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cs="宋体"/>
          <w:b/>
          <w:sz w:val="28"/>
          <w:szCs w:val="28"/>
        </w:rPr>
      </w:pPr>
      <w:r>
        <w:rPr>
          <w:rFonts w:hint="eastAsia" w:ascii="宋体" w:hAnsi="宋体" w:cs="宋体"/>
          <w:b/>
          <w:sz w:val="28"/>
          <w:szCs w:val="28"/>
        </w:rPr>
        <w:t>项目编号：</w:t>
      </w:r>
      <w:r>
        <w:rPr>
          <w:rFonts w:ascii="宋体" w:hAnsi="宋体" w:cs="宋体"/>
          <w:b/>
          <w:sz w:val="28"/>
          <w:szCs w:val="28"/>
        </w:rPr>
        <w:t>QX-zb-1710000358</w:t>
      </w:r>
    </w:p>
    <w:p>
      <w:pPr>
        <w:spacing w:line="360" w:lineRule="auto"/>
        <w:jc w:val="center"/>
        <w:rPr>
          <w:rFonts w:ascii="宋体" w:cs="宋体"/>
          <w:b/>
          <w:sz w:val="60"/>
          <w:szCs w:val="60"/>
        </w:rPr>
      </w:pPr>
    </w:p>
    <w:p>
      <w:pPr>
        <w:spacing w:line="360" w:lineRule="auto"/>
        <w:jc w:val="center"/>
        <w:rPr>
          <w:rFonts w:ascii="宋体" w:cs="宋体"/>
          <w:b/>
          <w:sz w:val="56"/>
          <w:szCs w:val="60"/>
        </w:rPr>
      </w:pPr>
      <w:r>
        <w:rPr>
          <w:rFonts w:hint="eastAsia" w:ascii="宋体" w:hAnsi="宋体" w:cs="宋体"/>
          <w:b/>
          <w:sz w:val="56"/>
          <w:szCs w:val="60"/>
        </w:rPr>
        <w:t>山东大学第二医院口腔科</w:t>
      </w:r>
      <w:r>
        <w:rPr>
          <w:rFonts w:ascii="宋体" w:hAnsi="宋体" w:cs="宋体"/>
          <w:b/>
          <w:sz w:val="56"/>
          <w:szCs w:val="60"/>
        </w:rPr>
        <w:t>CT</w:t>
      </w:r>
      <w:r>
        <w:rPr>
          <w:rFonts w:hint="eastAsia" w:ascii="宋体" w:hAnsi="宋体" w:cs="宋体"/>
          <w:b/>
          <w:sz w:val="56"/>
          <w:szCs w:val="60"/>
        </w:rPr>
        <w:t>、牙片机房配套改造工程</w:t>
      </w:r>
    </w:p>
    <w:p>
      <w:pPr>
        <w:spacing w:line="360" w:lineRule="auto"/>
        <w:rPr>
          <w:rFonts w:ascii="宋体" w:cs="宋体"/>
          <w:b/>
          <w:sz w:val="20"/>
          <w:szCs w:val="21"/>
        </w:rPr>
      </w:pPr>
    </w:p>
    <w:p>
      <w:pPr>
        <w:spacing w:line="360" w:lineRule="auto"/>
        <w:jc w:val="center"/>
        <w:rPr>
          <w:rFonts w:ascii="宋体" w:cs="宋体"/>
          <w:b/>
          <w:sz w:val="52"/>
          <w:szCs w:val="52"/>
        </w:rPr>
      </w:pPr>
      <w:r>
        <w:rPr>
          <w:rFonts w:hint="eastAsia" w:ascii="宋体" w:hAnsi="宋体" w:cs="宋体"/>
          <w:b/>
          <w:sz w:val="52"/>
          <w:szCs w:val="52"/>
        </w:rPr>
        <w:t>竞争性磋商文件</w:t>
      </w:r>
    </w:p>
    <w:p>
      <w:pPr>
        <w:spacing w:line="360" w:lineRule="auto"/>
        <w:jc w:val="center"/>
        <w:rPr>
          <w:rFonts w:ascii="宋体" w:cs="宋体"/>
          <w:sz w:val="20"/>
          <w:szCs w:val="20"/>
        </w:rPr>
      </w:pPr>
      <w:r>
        <w:pict>
          <v:shape id="Picture 4" o:spid="_x0000_s1026" o:spt="75" alt="标志" type="#_x0000_t75" style="position:absolute;left:0pt;margin-left:113.15pt;margin-top:5.4pt;height:200.2pt;width:215.9pt;mso-position-horizontal-relative:margin;mso-wrap-distance-bottom:0pt;mso-wrap-distance-left:9pt;mso-wrap-distance-right:9pt;mso-wrap-distance-top:0pt;z-index:1024;mso-width-relative:page;mso-height-relative:page;" filled="f" o:preferrelative="t" stroked="f" coordsize="21600,21600">
            <v:path/>
            <v:fill on="f" focussize="0,0"/>
            <v:stroke on="f" joinstyle="miter"/>
            <v:imagedata r:id="rId5" o:title=""/>
            <o:lock v:ext="edit" aspectratio="t"/>
            <w10:wrap type="square"/>
          </v:shape>
        </w:pict>
      </w:r>
    </w:p>
    <w:p>
      <w:pPr>
        <w:spacing w:line="360" w:lineRule="auto"/>
        <w:jc w:val="center"/>
        <w:rPr>
          <w:rFonts w:ascii="宋体" w:cs="宋体"/>
          <w:sz w:val="20"/>
          <w:szCs w:val="20"/>
        </w:rPr>
      </w:pPr>
    </w:p>
    <w:p>
      <w:pPr>
        <w:spacing w:line="360" w:lineRule="auto"/>
        <w:jc w:val="center"/>
        <w:rPr>
          <w:rFonts w:ascii="宋体" w:cs="宋体"/>
          <w:sz w:val="20"/>
          <w:szCs w:val="20"/>
        </w:rPr>
      </w:pPr>
    </w:p>
    <w:p>
      <w:pPr>
        <w:spacing w:line="360" w:lineRule="auto"/>
        <w:jc w:val="center"/>
        <w:rPr>
          <w:rFonts w:ascii="宋体" w:cs="宋体"/>
          <w:b/>
          <w:spacing w:val="49"/>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spacing w:line="360" w:lineRule="auto"/>
        <w:jc w:val="center"/>
        <w:rPr>
          <w:rFonts w:ascii="宋体" w:cs="宋体"/>
          <w:b/>
          <w:sz w:val="20"/>
          <w:szCs w:val="20"/>
        </w:rPr>
      </w:pPr>
    </w:p>
    <w:p>
      <w:pPr>
        <w:tabs>
          <w:tab w:val="left" w:pos="6660"/>
        </w:tabs>
        <w:spacing w:line="360" w:lineRule="auto"/>
        <w:jc w:val="center"/>
        <w:rPr>
          <w:rFonts w:ascii="宋体" w:cs="宋体"/>
          <w:b/>
          <w:sz w:val="20"/>
          <w:szCs w:val="21"/>
        </w:rPr>
      </w:pPr>
    </w:p>
    <w:p>
      <w:pPr>
        <w:spacing w:line="360" w:lineRule="auto"/>
        <w:ind w:right="-65" w:rightChars="-31" w:firstLine="1285" w:firstLineChars="400"/>
        <w:rPr>
          <w:rFonts w:ascii="宋体"/>
          <w:b/>
          <w:sz w:val="32"/>
          <w:szCs w:val="32"/>
        </w:rPr>
      </w:pPr>
      <w:r>
        <w:rPr>
          <w:rFonts w:hint="eastAsia" w:ascii="宋体" w:hAnsi="宋体"/>
          <w:b/>
          <w:sz w:val="32"/>
          <w:szCs w:val="32"/>
        </w:rPr>
        <w:t>采购人：</w:t>
      </w:r>
      <w:r>
        <w:rPr>
          <w:rFonts w:hint="eastAsia" w:ascii="宋体" w:hAnsi="宋体"/>
          <w:b/>
          <w:bCs/>
          <w:sz w:val="32"/>
          <w:szCs w:val="32"/>
        </w:rPr>
        <w:t>山东大学第二医院</w:t>
      </w:r>
    </w:p>
    <w:p>
      <w:pPr>
        <w:spacing w:line="360" w:lineRule="auto"/>
        <w:ind w:left="1260" w:leftChars="600" w:right="-65" w:rightChars="-31"/>
        <w:rPr>
          <w:rFonts w:ascii="宋体"/>
          <w:b/>
          <w:sz w:val="32"/>
          <w:szCs w:val="32"/>
        </w:rPr>
      </w:pPr>
      <w:r>
        <w:rPr>
          <w:rFonts w:hint="eastAsia" w:ascii="宋体" w:hAnsi="宋体"/>
          <w:b/>
          <w:sz w:val="32"/>
          <w:szCs w:val="32"/>
        </w:rPr>
        <w:t>采购代理机构：山东齐信招标有限公司</w:t>
      </w:r>
    </w:p>
    <w:p>
      <w:pPr>
        <w:spacing w:line="360" w:lineRule="auto"/>
        <w:ind w:left="1260" w:leftChars="600" w:right="-65" w:rightChars="-31"/>
        <w:rPr>
          <w:rFonts w:ascii="宋体"/>
          <w:sz w:val="36"/>
          <w:szCs w:val="36"/>
        </w:rPr>
      </w:pPr>
      <w:r>
        <w:rPr>
          <w:rFonts w:hint="eastAsia" w:ascii="宋体" w:hAnsi="宋体"/>
          <w:b/>
          <w:sz w:val="32"/>
          <w:szCs w:val="32"/>
        </w:rPr>
        <w:t>日期：二</w:t>
      </w:r>
      <w:r>
        <w:rPr>
          <w:rFonts w:hint="eastAsia" w:ascii="宋体" w:hAnsi="宋体" w:cs="宋体"/>
          <w:b/>
          <w:sz w:val="32"/>
          <w:szCs w:val="32"/>
        </w:rPr>
        <w:t>〇</w:t>
      </w:r>
      <w:r>
        <w:rPr>
          <w:rFonts w:hint="eastAsia" w:ascii="宋体" w:hAnsi="宋体" w:cs="仿宋_GB2312"/>
          <w:b/>
          <w:sz w:val="32"/>
          <w:szCs w:val="32"/>
        </w:rPr>
        <w:t>一七年十一月</w:t>
      </w:r>
    </w:p>
    <w:p>
      <w:pPr>
        <w:spacing w:line="440" w:lineRule="exact"/>
        <w:ind w:firstLine="602" w:firstLineChars="200"/>
        <w:jc w:val="center"/>
        <w:rPr>
          <w:rFonts w:ascii="宋体"/>
          <w:b/>
          <w:color w:val="000000"/>
          <w:sz w:val="30"/>
          <w:szCs w:val="30"/>
        </w:rPr>
      </w:pPr>
    </w:p>
    <w:p>
      <w:pPr>
        <w:spacing w:line="440" w:lineRule="exact"/>
        <w:ind w:firstLine="602" w:firstLineChars="200"/>
        <w:jc w:val="center"/>
        <w:rPr>
          <w:rFonts w:ascii="宋体"/>
          <w:b/>
          <w:color w:val="000000"/>
          <w:sz w:val="30"/>
          <w:szCs w:val="30"/>
        </w:rPr>
      </w:pPr>
    </w:p>
    <w:p>
      <w:pPr>
        <w:spacing w:line="440" w:lineRule="exact"/>
        <w:rPr>
          <w:rFonts w:ascii="宋体"/>
          <w:b/>
          <w:color w:val="000000"/>
          <w:sz w:val="30"/>
          <w:szCs w:val="30"/>
        </w:rPr>
      </w:pPr>
    </w:p>
    <w:p>
      <w:pPr>
        <w:spacing w:line="440" w:lineRule="exact"/>
        <w:ind w:firstLine="723" w:firstLineChars="200"/>
        <w:jc w:val="center"/>
        <w:rPr>
          <w:rFonts w:ascii="宋体"/>
          <w:b/>
          <w:sz w:val="36"/>
          <w:szCs w:val="36"/>
        </w:rPr>
      </w:pPr>
      <w:r>
        <w:rPr>
          <w:rFonts w:hint="eastAsia" w:ascii="宋体" w:hAnsi="宋体"/>
          <w:b/>
          <w:sz w:val="36"/>
          <w:szCs w:val="36"/>
        </w:rPr>
        <w:t>目录</w:t>
      </w:r>
    </w:p>
    <w:p>
      <w:pPr>
        <w:pStyle w:val="11"/>
        <w:tabs>
          <w:tab w:val="right" w:leader="dot" w:pos="8504"/>
          <w:tab w:val="clear" w:pos="9628"/>
        </w:tabs>
        <w:rPr>
          <w:b w:val="0"/>
          <w:bCs/>
        </w:rPr>
      </w:pPr>
      <w:bookmarkStart w:id="0" w:name="_Toc4901"/>
    </w:p>
    <w:p>
      <w:pPr>
        <w:pStyle w:val="11"/>
        <w:tabs>
          <w:tab w:val="right" w:leader="dot" w:pos="8504"/>
          <w:tab w:val="clear" w:pos="9628"/>
        </w:tabs>
      </w:pPr>
      <w:r>
        <w:rPr>
          <w:b w:val="0"/>
          <w:bCs/>
        </w:rPr>
        <w:fldChar w:fldCharType="begin"/>
      </w:r>
      <w:r>
        <w:rPr>
          <w:b w:val="0"/>
          <w:bCs/>
        </w:rPr>
        <w:instrText xml:space="preserve"> TOC \o "1-2" \h \z \u </w:instrText>
      </w:r>
      <w:r>
        <w:rPr>
          <w:b w:val="0"/>
          <w:bCs/>
        </w:rPr>
        <w:fldChar w:fldCharType="separate"/>
      </w:r>
      <w:r>
        <w:fldChar w:fldCharType="begin"/>
      </w:r>
      <w:r>
        <w:instrText xml:space="preserve"> HYPERLINK \l "_Toc6305" </w:instrText>
      </w:r>
      <w:r>
        <w:fldChar w:fldCharType="separate"/>
      </w:r>
      <w:r>
        <w:rPr>
          <w:rFonts w:hint="eastAsia"/>
          <w:szCs w:val="32"/>
        </w:rPr>
        <w:t>竞争性磋商公告</w:t>
      </w:r>
      <w:r>
        <w:tab/>
      </w:r>
      <w:r>
        <w:fldChar w:fldCharType="begin"/>
      </w:r>
      <w:r>
        <w:instrText xml:space="preserve"> PAGEREF _Toc6305 </w:instrText>
      </w:r>
      <w:r>
        <w:fldChar w:fldCharType="separate"/>
      </w:r>
      <w:r>
        <w:t>4</w:t>
      </w:r>
      <w:r>
        <w:fldChar w:fldCharType="end"/>
      </w:r>
      <w:r>
        <w:fldChar w:fldCharType="end"/>
      </w:r>
    </w:p>
    <w:p>
      <w:pPr>
        <w:pStyle w:val="11"/>
        <w:tabs>
          <w:tab w:val="right" w:leader="dot" w:pos="8504"/>
          <w:tab w:val="clear" w:pos="9628"/>
        </w:tabs>
      </w:pPr>
      <w:r>
        <w:fldChar w:fldCharType="begin"/>
      </w:r>
      <w:r>
        <w:instrText xml:space="preserve"> HYPERLINK \l "_Toc27049" </w:instrText>
      </w:r>
      <w:r>
        <w:fldChar w:fldCharType="separate"/>
      </w:r>
      <w:r>
        <w:t xml:space="preserve">第一章 </w:t>
      </w:r>
      <w:r>
        <w:rPr>
          <w:rFonts w:hint="eastAsia"/>
        </w:rPr>
        <w:t>供应商须知</w:t>
      </w:r>
      <w:r>
        <w:tab/>
      </w:r>
      <w:r>
        <w:fldChar w:fldCharType="begin"/>
      </w:r>
      <w:r>
        <w:instrText xml:space="preserve"> PAGEREF _Toc27049 </w:instrText>
      </w:r>
      <w:r>
        <w:fldChar w:fldCharType="separate"/>
      </w:r>
      <w:r>
        <w:t>8</w:t>
      </w:r>
      <w:r>
        <w:fldChar w:fldCharType="end"/>
      </w:r>
      <w:r>
        <w:fldChar w:fldCharType="end"/>
      </w:r>
    </w:p>
    <w:p>
      <w:pPr>
        <w:pStyle w:val="11"/>
        <w:tabs>
          <w:tab w:val="right" w:leader="dot" w:pos="8504"/>
          <w:tab w:val="clear" w:pos="9628"/>
        </w:tabs>
      </w:pPr>
      <w:r>
        <w:fldChar w:fldCharType="begin"/>
      </w:r>
      <w:r>
        <w:instrText xml:space="preserve"> HYPERLINK \l "_Toc11065" </w:instrText>
      </w:r>
      <w:r>
        <w:fldChar w:fldCharType="separate"/>
      </w:r>
      <w:r>
        <w:t xml:space="preserve">1.1 </w:t>
      </w:r>
      <w:r>
        <w:rPr>
          <w:rFonts w:hint="eastAsia"/>
        </w:rPr>
        <w:t>项目概况</w:t>
      </w:r>
      <w:r>
        <w:tab/>
      </w:r>
      <w:r>
        <w:fldChar w:fldCharType="begin"/>
      </w:r>
      <w:r>
        <w:instrText xml:space="preserve"> PAGEREF _Toc11065 </w:instrText>
      </w:r>
      <w:r>
        <w:fldChar w:fldCharType="separate"/>
      </w:r>
      <w:r>
        <w:t>12</w:t>
      </w:r>
      <w:r>
        <w:fldChar w:fldCharType="end"/>
      </w:r>
      <w:r>
        <w:fldChar w:fldCharType="end"/>
      </w:r>
    </w:p>
    <w:p>
      <w:pPr>
        <w:pStyle w:val="11"/>
        <w:tabs>
          <w:tab w:val="right" w:leader="dot" w:pos="8504"/>
          <w:tab w:val="clear" w:pos="9628"/>
        </w:tabs>
      </w:pPr>
      <w:r>
        <w:fldChar w:fldCharType="begin"/>
      </w:r>
      <w:r>
        <w:instrText xml:space="preserve"> HYPERLINK \l "_Toc25468" </w:instrText>
      </w:r>
      <w:r>
        <w:fldChar w:fldCharType="separate"/>
      </w:r>
      <w:r>
        <w:t xml:space="preserve">1.2 </w:t>
      </w:r>
      <w:r>
        <w:rPr>
          <w:rFonts w:hint="eastAsia"/>
        </w:rPr>
        <w:t>资金来源和落实情况</w:t>
      </w:r>
      <w:r>
        <w:tab/>
      </w:r>
      <w:r>
        <w:fldChar w:fldCharType="begin"/>
      </w:r>
      <w:r>
        <w:instrText xml:space="preserve"> PAGEREF _Toc25468 </w:instrText>
      </w:r>
      <w:r>
        <w:fldChar w:fldCharType="separate"/>
      </w:r>
      <w:r>
        <w:t>12</w:t>
      </w:r>
      <w:r>
        <w:fldChar w:fldCharType="end"/>
      </w:r>
      <w:r>
        <w:fldChar w:fldCharType="end"/>
      </w:r>
    </w:p>
    <w:p>
      <w:pPr>
        <w:pStyle w:val="11"/>
        <w:tabs>
          <w:tab w:val="right" w:leader="dot" w:pos="8504"/>
          <w:tab w:val="clear" w:pos="9628"/>
        </w:tabs>
      </w:pPr>
      <w:r>
        <w:fldChar w:fldCharType="begin"/>
      </w:r>
      <w:r>
        <w:instrText xml:space="preserve"> HYPERLINK \l "_Toc13068" </w:instrText>
      </w:r>
      <w:r>
        <w:fldChar w:fldCharType="separate"/>
      </w:r>
      <w:r>
        <w:t xml:space="preserve">1.3 </w:t>
      </w:r>
      <w:r>
        <w:rPr>
          <w:rFonts w:hint="eastAsia"/>
        </w:rPr>
        <w:t>磋商范围、计划工期和质量要求</w:t>
      </w:r>
      <w:r>
        <w:tab/>
      </w:r>
      <w:r>
        <w:fldChar w:fldCharType="begin"/>
      </w:r>
      <w:r>
        <w:instrText xml:space="preserve"> PAGEREF _Toc13068 </w:instrText>
      </w:r>
      <w:r>
        <w:fldChar w:fldCharType="separate"/>
      </w:r>
      <w:r>
        <w:t>12</w:t>
      </w:r>
      <w:r>
        <w:fldChar w:fldCharType="end"/>
      </w:r>
      <w:r>
        <w:fldChar w:fldCharType="end"/>
      </w:r>
    </w:p>
    <w:p>
      <w:pPr>
        <w:pStyle w:val="11"/>
        <w:tabs>
          <w:tab w:val="right" w:leader="dot" w:pos="8504"/>
          <w:tab w:val="clear" w:pos="9628"/>
        </w:tabs>
      </w:pPr>
      <w:r>
        <w:fldChar w:fldCharType="begin"/>
      </w:r>
      <w:r>
        <w:instrText xml:space="preserve"> HYPERLINK \l "_Toc19902" </w:instrText>
      </w:r>
      <w:r>
        <w:fldChar w:fldCharType="separate"/>
      </w:r>
      <w:r>
        <w:t xml:space="preserve">1.4 </w:t>
      </w:r>
      <w:r>
        <w:rPr>
          <w:rFonts w:hint="eastAsia"/>
        </w:rPr>
        <w:t>供应商资格要求</w:t>
      </w:r>
      <w:r>
        <w:tab/>
      </w:r>
      <w:r>
        <w:fldChar w:fldCharType="begin"/>
      </w:r>
      <w:r>
        <w:instrText xml:space="preserve"> PAGEREF _Toc19902 </w:instrText>
      </w:r>
      <w:r>
        <w:fldChar w:fldCharType="separate"/>
      </w:r>
      <w:r>
        <w:t>12</w:t>
      </w:r>
      <w:r>
        <w:fldChar w:fldCharType="end"/>
      </w:r>
      <w:r>
        <w:fldChar w:fldCharType="end"/>
      </w:r>
    </w:p>
    <w:p>
      <w:pPr>
        <w:pStyle w:val="11"/>
        <w:tabs>
          <w:tab w:val="right" w:leader="dot" w:pos="8504"/>
          <w:tab w:val="clear" w:pos="9628"/>
        </w:tabs>
      </w:pPr>
      <w:r>
        <w:fldChar w:fldCharType="begin"/>
      </w:r>
      <w:r>
        <w:instrText xml:space="preserve"> HYPERLINK \l "_Toc18994" </w:instrText>
      </w:r>
      <w:r>
        <w:fldChar w:fldCharType="separate"/>
      </w:r>
      <w:r>
        <w:t xml:space="preserve">1.5 </w:t>
      </w:r>
      <w:r>
        <w:rPr>
          <w:rFonts w:hint="eastAsia"/>
        </w:rPr>
        <w:t>费用承担</w:t>
      </w:r>
      <w:r>
        <w:tab/>
      </w:r>
      <w:r>
        <w:fldChar w:fldCharType="begin"/>
      </w:r>
      <w:r>
        <w:instrText xml:space="preserve"> PAGEREF _Toc18994 </w:instrText>
      </w:r>
      <w:r>
        <w:fldChar w:fldCharType="separate"/>
      </w:r>
      <w:r>
        <w:t>13</w:t>
      </w:r>
      <w:r>
        <w:fldChar w:fldCharType="end"/>
      </w:r>
      <w:r>
        <w:fldChar w:fldCharType="end"/>
      </w:r>
    </w:p>
    <w:p>
      <w:pPr>
        <w:pStyle w:val="11"/>
        <w:tabs>
          <w:tab w:val="right" w:leader="dot" w:pos="8504"/>
          <w:tab w:val="clear" w:pos="9628"/>
        </w:tabs>
      </w:pPr>
      <w:r>
        <w:fldChar w:fldCharType="begin"/>
      </w:r>
      <w:r>
        <w:instrText xml:space="preserve"> HYPERLINK \l "_Toc29997" </w:instrText>
      </w:r>
      <w:r>
        <w:fldChar w:fldCharType="separate"/>
      </w:r>
      <w:r>
        <w:t xml:space="preserve">1.6 </w:t>
      </w:r>
      <w:r>
        <w:rPr>
          <w:rFonts w:hint="eastAsia"/>
        </w:rPr>
        <w:t>保密</w:t>
      </w:r>
      <w:r>
        <w:tab/>
      </w:r>
      <w:r>
        <w:fldChar w:fldCharType="begin"/>
      </w:r>
      <w:r>
        <w:instrText xml:space="preserve"> PAGEREF _Toc29997 </w:instrText>
      </w:r>
      <w:r>
        <w:fldChar w:fldCharType="separate"/>
      </w:r>
      <w:r>
        <w:t>13</w:t>
      </w:r>
      <w:r>
        <w:fldChar w:fldCharType="end"/>
      </w:r>
      <w:r>
        <w:fldChar w:fldCharType="end"/>
      </w:r>
    </w:p>
    <w:p>
      <w:pPr>
        <w:pStyle w:val="11"/>
        <w:tabs>
          <w:tab w:val="right" w:leader="dot" w:pos="8504"/>
          <w:tab w:val="clear" w:pos="9628"/>
        </w:tabs>
      </w:pPr>
      <w:r>
        <w:fldChar w:fldCharType="begin"/>
      </w:r>
      <w:r>
        <w:instrText xml:space="preserve"> HYPERLINK \l "_Toc16747" </w:instrText>
      </w:r>
      <w:r>
        <w:fldChar w:fldCharType="separate"/>
      </w:r>
      <w:r>
        <w:t xml:space="preserve">1.7 </w:t>
      </w:r>
      <w:r>
        <w:rPr>
          <w:rFonts w:hint="eastAsia"/>
        </w:rPr>
        <w:t>语言文字</w:t>
      </w:r>
      <w:r>
        <w:tab/>
      </w:r>
      <w:r>
        <w:fldChar w:fldCharType="begin"/>
      </w:r>
      <w:r>
        <w:instrText xml:space="preserve"> PAGEREF _Toc16747 </w:instrText>
      </w:r>
      <w:r>
        <w:fldChar w:fldCharType="separate"/>
      </w:r>
      <w:r>
        <w:t>13</w:t>
      </w:r>
      <w:r>
        <w:fldChar w:fldCharType="end"/>
      </w:r>
      <w:r>
        <w:fldChar w:fldCharType="end"/>
      </w:r>
    </w:p>
    <w:p>
      <w:pPr>
        <w:pStyle w:val="11"/>
        <w:tabs>
          <w:tab w:val="right" w:leader="dot" w:pos="8504"/>
          <w:tab w:val="clear" w:pos="9628"/>
        </w:tabs>
      </w:pPr>
      <w:r>
        <w:fldChar w:fldCharType="begin"/>
      </w:r>
      <w:r>
        <w:instrText xml:space="preserve"> HYPERLINK \l "_Toc10901" </w:instrText>
      </w:r>
      <w:r>
        <w:fldChar w:fldCharType="separate"/>
      </w:r>
      <w:r>
        <w:t xml:space="preserve">1.8 </w:t>
      </w:r>
      <w:r>
        <w:rPr>
          <w:rFonts w:hint="eastAsia"/>
        </w:rPr>
        <w:t>计量单位</w:t>
      </w:r>
      <w:r>
        <w:tab/>
      </w:r>
      <w:r>
        <w:fldChar w:fldCharType="begin"/>
      </w:r>
      <w:r>
        <w:instrText xml:space="preserve"> PAGEREF _Toc10901 </w:instrText>
      </w:r>
      <w:r>
        <w:fldChar w:fldCharType="separate"/>
      </w:r>
      <w:r>
        <w:t>13</w:t>
      </w:r>
      <w:r>
        <w:fldChar w:fldCharType="end"/>
      </w:r>
      <w:r>
        <w:fldChar w:fldCharType="end"/>
      </w:r>
    </w:p>
    <w:p>
      <w:pPr>
        <w:pStyle w:val="11"/>
        <w:tabs>
          <w:tab w:val="right" w:leader="dot" w:pos="8504"/>
          <w:tab w:val="clear" w:pos="9628"/>
        </w:tabs>
      </w:pPr>
      <w:r>
        <w:fldChar w:fldCharType="begin"/>
      </w:r>
      <w:r>
        <w:instrText xml:space="preserve"> HYPERLINK \l "_Toc9497" </w:instrText>
      </w:r>
      <w:r>
        <w:fldChar w:fldCharType="separate"/>
      </w:r>
      <w:r>
        <w:t xml:space="preserve">1.9 </w:t>
      </w:r>
      <w:r>
        <w:rPr>
          <w:rFonts w:hint="eastAsia"/>
        </w:rPr>
        <w:t>踏勘现场</w:t>
      </w:r>
      <w:r>
        <w:tab/>
      </w:r>
      <w:r>
        <w:fldChar w:fldCharType="begin"/>
      </w:r>
      <w:r>
        <w:instrText xml:space="preserve"> PAGEREF _Toc9497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"_Toc29809" </w:instrText>
      </w:r>
      <w:r>
        <w:fldChar w:fldCharType="separate"/>
      </w:r>
      <w:r>
        <w:t xml:space="preserve">1.10 </w:t>
      </w:r>
      <w:r>
        <w:rPr>
          <w:rFonts w:hint="eastAsia"/>
        </w:rPr>
        <w:t>投标预备会</w:t>
      </w:r>
      <w:r>
        <w:tab/>
      </w:r>
      <w:r>
        <w:fldChar w:fldCharType="begin"/>
      </w:r>
      <w:r>
        <w:instrText xml:space="preserve"> PAGEREF _Toc29809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"_Toc26345" </w:instrText>
      </w:r>
      <w:r>
        <w:fldChar w:fldCharType="separate"/>
      </w:r>
      <w:r>
        <w:t xml:space="preserve">1.11 </w:t>
      </w:r>
      <w:r>
        <w:rPr>
          <w:rFonts w:hint="eastAsia"/>
        </w:rPr>
        <w:t>分包</w:t>
      </w:r>
      <w:r>
        <w:tab/>
      </w:r>
      <w:r>
        <w:fldChar w:fldCharType="begin"/>
      </w:r>
      <w:r>
        <w:instrText xml:space="preserve"> PAGEREF _Toc26345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"_Toc22133" </w:instrText>
      </w:r>
      <w:r>
        <w:fldChar w:fldCharType="separate"/>
      </w:r>
      <w:r>
        <w:t xml:space="preserve">1.12 </w:t>
      </w:r>
      <w:r>
        <w:rPr>
          <w:rFonts w:hint="eastAsia"/>
        </w:rPr>
        <w:t>偏离</w:t>
      </w:r>
      <w:r>
        <w:tab/>
      </w:r>
      <w:r>
        <w:fldChar w:fldCharType="begin"/>
      </w:r>
      <w:r>
        <w:instrText xml:space="preserve"> PAGEREF _Toc22133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"_Toc14763" </w:instrText>
      </w:r>
      <w:r>
        <w:fldChar w:fldCharType="separate"/>
      </w:r>
      <w:r>
        <w:t xml:space="preserve">2. </w:t>
      </w:r>
      <w:r>
        <w:rPr>
          <w:rFonts w:hint="eastAsia"/>
        </w:rPr>
        <w:t>磋商文件</w:t>
      </w:r>
      <w:r>
        <w:tab/>
      </w:r>
      <w:r>
        <w:fldChar w:fldCharType="begin"/>
      </w:r>
      <w:r>
        <w:instrText xml:space="preserve"> PAGEREF _Toc14763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"_Toc9833" </w:instrText>
      </w:r>
      <w:r>
        <w:fldChar w:fldCharType="separate"/>
      </w:r>
      <w:r>
        <w:t xml:space="preserve">2.1 </w:t>
      </w:r>
      <w:r>
        <w:rPr>
          <w:rFonts w:hint="eastAsia"/>
        </w:rPr>
        <w:t>磋商文件的组成</w:t>
      </w:r>
      <w:r>
        <w:tab/>
      </w:r>
      <w:r>
        <w:fldChar w:fldCharType="begin"/>
      </w:r>
      <w:r>
        <w:instrText xml:space="preserve"> PAGEREF _Toc9833 </w:instrText>
      </w:r>
      <w:r>
        <w:fldChar w:fldCharType="separate"/>
      </w:r>
      <w:r>
        <w:t>14</w:t>
      </w:r>
      <w:r>
        <w:fldChar w:fldCharType="end"/>
      </w:r>
      <w:r>
        <w:fldChar w:fldCharType="end"/>
      </w:r>
    </w:p>
    <w:p>
      <w:pPr>
        <w:pStyle w:val="11"/>
        <w:tabs>
          <w:tab w:val="right" w:leader="dot" w:pos="8504"/>
          <w:tab w:val="clear" w:pos="9628"/>
        </w:tabs>
      </w:pPr>
      <w:r>
        <w:fldChar w:fldCharType="begin"/>
      </w:r>
      <w:r>
        <w:instrText xml:space="preserve"> HYPERLINK \l "_Toc22845" </w:instrText>
      </w:r>
      <w:r>
        <w:fldChar w:fldCharType="separate"/>
      </w:r>
      <w:r>
        <w:t xml:space="preserve">2.2 </w:t>
      </w:r>
      <w:r>
        <w:rPr>
          <w:rFonts w:hint="eastAsia"/>
        </w:rPr>
        <w:t>磋商文件的澄清</w:t>
      </w:r>
      <w:r>
        <w:tab/>
      </w:r>
      <w:r>
        <w:fldChar w:fldCharType="begin"/>
      </w:r>
      <w:r>
        <w:instrText xml:space="preserve"> PAGEREF _Toc22845 </w:instrText>
      </w:r>
      <w:r>
        <w:fldChar w:fldCharType="separate"/>
      </w:r>
      <w:r>
        <w:t>15</w:t>
      </w:r>
      <w:r>
        <w:fldChar w:fldCharType="end"/>
      </w:r>
      <w:r>
        <w:fldChar w:fldCharType="end"/>
      </w:r>
    </w:p>
    <w:p>
      <w:pPr>
        <w:pStyle w:val="11"/>
        <w:tabs>
          <w:tab w:val="right" w:leader="dot" w:pos="8504"/>
          <w:tab w:val="clear" w:pos="9628"/>
        </w:tabs>
      </w:pPr>
      <w:r>
        <w:fldChar w:fldCharType="begin"/>
      </w:r>
      <w:r>
        <w:instrText xml:space="preserve"> HYPERLINK \l "_Toc24843" </w:instrText>
      </w:r>
      <w:r>
        <w:fldChar w:fldCharType="separate"/>
      </w:r>
      <w:r>
        <w:t xml:space="preserve">2.3 </w:t>
      </w:r>
      <w:r>
        <w:rPr>
          <w:rFonts w:hint="eastAsia"/>
        </w:rPr>
        <w:t>磋商文件的修改</w:t>
      </w:r>
      <w:r>
        <w:tab/>
      </w:r>
      <w:r>
        <w:fldChar w:fldCharType="begin"/>
      </w:r>
      <w:r>
        <w:instrText xml:space="preserve"> PAGEREF _Toc24843 </w:instrText>
      </w:r>
      <w:r>
        <w:fldChar w:fldCharType="separate"/>
      </w:r>
      <w:r>
        <w:t>15</w:t>
      </w:r>
      <w:r>
        <w:fldChar w:fldCharType="end"/>
      </w:r>
      <w:r>
        <w:fldChar w:fldCharType="end"/>
      </w:r>
    </w:p>
    <w:p>
      <w:pPr>
        <w:pStyle w:val="11"/>
        <w:tabs>
          <w:tab w:val="right" w:leader="dot" w:pos="8504"/>
          <w:tab w:val="clear" w:pos="9628"/>
        </w:tabs>
      </w:pPr>
      <w:r>
        <w:fldChar w:fldCharType="begin"/>
      </w:r>
      <w:r>
        <w:instrText xml:space="preserve"> HYPERLINK \l "_Toc1645" </w:instrText>
      </w:r>
      <w:r>
        <w:fldChar w:fldCharType="separate"/>
      </w:r>
      <w:r>
        <w:t xml:space="preserve">3. </w:t>
      </w:r>
      <w:r>
        <w:rPr>
          <w:rFonts w:hint="eastAsia"/>
        </w:rPr>
        <w:t>投标文件</w:t>
      </w:r>
      <w:r>
        <w:tab/>
      </w:r>
      <w:r>
        <w:fldChar w:fldCharType="begin"/>
      </w:r>
      <w:r>
        <w:instrText xml:space="preserve"> PAGEREF _Toc1645 </w:instrText>
      </w:r>
      <w:r>
        <w:fldChar w:fldCharType="separate"/>
      </w:r>
      <w:r>
        <w:t>16</w:t>
      </w:r>
      <w:r>
        <w:fldChar w:fldCharType="end"/>
      </w:r>
      <w:r>
        <w:fldChar w:fldCharType="end"/>
      </w:r>
    </w:p>
    <w:p>
      <w:pPr>
        <w:pStyle w:val="11"/>
        <w:tabs>
          <w:tab w:val="right" w:leader="dot" w:pos="8504"/>
          <w:tab w:val="clear" w:pos="9628"/>
        </w:tabs>
      </w:pPr>
      <w:r>
        <w:fldChar w:fldCharType="begin"/>
      </w:r>
      <w:r>
        <w:instrText xml:space="preserve"> HYPERLINK \l "_Toc18129" </w:instrText>
      </w:r>
      <w:r>
        <w:fldChar w:fldCharType="separate"/>
      </w:r>
      <w:r>
        <w:t xml:space="preserve">3.1 </w:t>
      </w:r>
      <w:r>
        <w:rPr>
          <w:rFonts w:hint="eastAsia"/>
        </w:rPr>
        <w:t>响应文件的组成</w:t>
      </w:r>
      <w:r>
        <w:tab/>
      </w:r>
      <w:r>
        <w:fldChar w:fldCharType="begin"/>
      </w:r>
      <w:r>
        <w:instrText xml:space="preserve"> PAGEREF _Toc18129 </w:instrText>
      </w:r>
      <w:r>
        <w:fldChar w:fldCharType="separate"/>
      </w:r>
      <w:r>
        <w:t>16</w:t>
      </w:r>
      <w:r>
        <w:fldChar w:fldCharType="end"/>
      </w:r>
      <w:r>
        <w:fldChar w:fldCharType="end"/>
      </w:r>
    </w:p>
    <w:p>
      <w:pPr>
        <w:pStyle w:val="11"/>
        <w:tabs>
          <w:tab w:val="right" w:leader="dot" w:pos="8504"/>
          <w:tab w:val="clear" w:pos="9628"/>
        </w:tabs>
      </w:pPr>
      <w:r>
        <w:fldChar w:fldCharType="begin"/>
      </w:r>
      <w:r>
        <w:instrText xml:space="preserve"> HYPERLINK \l "_Toc32569" </w:instrText>
      </w:r>
      <w:r>
        <w:fldChar w:fldCharType="separate"/>
      </w:r>
      <w:r>
        <w:t>3.2</w:t>
      </w:r>
      <w:r>
        <w:rPr>
          <w:rFonts w:hint="eastAsia"/>
        </w:rPr>
        <w:t>磋商报价</w:t>
      </w:r>
      <w:r>
        <w:tab/>
      </w:r>
      <w:r>
        <w:fldChar w:fldCharType="begin"/>
      </w:r>
      <w:r>
        <w:instrText xml:space="preserve"> PAGEREF _Toc32569 </w:instrText>
      </w:r>
      <w:r>
        <w:fldChar w:fldCharType="separate"/>
      </w:r>
      <w:r>
        <w:t>16</w:t>
      </w:r>
      <w:r>
        <w:fldChar w:fldCharType="end"/>
      </w:r>
      <w:r>
        <w:fldChar w:fldCharType="end"/>
      </w:r>
    </w:p>
    <w:p>
      <w:pPr>
        <w:pStyle w:val="11"/>
        <w:tabs>
          <w:tab w:val="right" w:leader="dot" w:pos="8504"/>
          <w:tab w:val="clear" w:pos="9628"/>
        </w:tabs>
      </w:pPr>
      <w:r>
        <w:fldChar w:fldCharType="begin"/>
      </w:r>
      <w:r>
        <w:instrText xml:space="preserve"> HYPERLINK \l "_Toc1971" </w:instrText>
      </w:r>
      <w:r>
        <w:fldChar w:fldCharType="separate"/>
      </w:r>
      <w:r>
        <w:t>3.3</w:t>
      </w:r>
      <w:r>
        <w:rPr>
          <w:rFonts w:hint="eastAsia"/>
        </w:rPr>
        <w:t>磋商有效期</w:t>
      </w:r>
      <w:r>
        <w:tab/>
      </w:r>
      <w:r>
        <w:fldChar w:fldCharType="begin"/>
      </w:r>
      <w:r>
        <w:instrText xml:space="preserve"> PAGEREF _Toc1971 </w:instrText>
      </w:r>
      <w:r>
        <w:fldChar w:fldCharType="separate"/>
      </w:r>
      <w:r>
        <w:t>17</w:t>
      </w:r>
      <w:r>
        <w:fldChar w:fldCharType="end"/>
      </w:r>
      <w:r>
        <w:fldChar w:fldCharType="end"/>
      </w:r>
    </w:p>
    <w:p>
      <w:pPr>
        <w:pStyle w:val="11"/>
        <w:tabs>
          <w:tab w:val="right" w:leader="dot" w:pos="8504"/>
          <w:tab w:val="clear" w:pos="9628"/>
        </w:tabs>
      </w:pPr>
      <w:r>
        <w:fldChar w:fldCharType="begin"/>
      </w:r>
      <w:r>
        <w:instrText xml:space="preserve"> HYPERLINK \l "_Toc15842" </w:instrText>
      </w:r>
      <w:r>
        <w:fldChar w:fldCharType="separate"/>
      </w:r>
      <w:r>
        <w:t xml:space="preserve">3.4 </w:t>
      </w:r>
      <w:r>
        <w:rPr>
          <w:rFonts w:hint="eastAsia"/>
        </w:rPr>
        <w:t>磋商保证金</w:t>
      </w:r>
      <w:r>
        <w:tab/>
      </w:r>
      <w:r>
        <w:fldChar w:fldCharType="begin"/>
      </w:r>
      <w:r>
        <w:instrText xml:space="preserve"> PAGEREF _Toc15842 </w:instrText>
      </w:r>
      <w:r>
        <w:fldChar w:fldCharType="separate"/>
      </w:r>
      <w:r>
        <w:t>17</w:t>
      </w:r>
      <w:r>
        <w:fldChar w:fldCharType="end"/>
      </w:r>
      <w:r>
        <w:fldChar w:fldCharType="end"/>
      </w:r>
    </w:p>
    <w:p>
      <w:pPr>
        <w:pStyle w:val="11"/>
        <w:tabs>
          <w:tab w:val="right" w:leader="dot" w:pos="8504"/>
          <w:tab w:val="clear" w:pos="9628"/>
        </w:tabs>
      </w:pPr>
      <w:r>
        <w:fldChar w:fldCharType="begin"/>
      </w:r>
      <w:r>
        <w:instrText xml:space="preserve"> HYPERLINK \l "_Toc15984" </w:instrText>
      </w:r>
      <w:r>
        <w:fldChar w:fldCharType="separate"/>
      </w:r>
      <w:r>
        <w:t>3.5</w:t>
      </w:r>
      <w:r>
        <w:rPr>
          <w:rFonts w:hint="eastAsia"/>
        </w:rPr>
        <w:t>资格审查资料</w:t>
      </w:r>
      <w:r>
        <w:tab/>
      </w:r>
      <w:r>
        <w:fldChar w:fldCharType="begin"/>
      </w:r>
      <w:r>
        <w:instrText xml:space="preserve"> PAGEREF _Toc15984 </w:instrText>
      </w:r>
      <w:r>
        <w:fldChar w:fldCharType="separate"/>
      </w:r>
      <w:r>
        <w:t>17</w:t>
      </w:r>
      <w:r>
        <w:fldChar w:fldCharType="end"/>
      </w:r>
      <w:r>
        <w:fldChar w:fldCharType="end"/>
      </w:r>
    </w:p>
    <w:p>
      <w:pPr>
        <w:pStyle w:val="11"/>
        <w:tabs>
          <w:tab w:val="right" w:leader="dot" w:pos="8504"/>
          <w:tab w:val="clear" w:pos="9628"/>
        </w:tabs>
      </w:pPr>
      <w:r>
        <w:fldChar w:fldCharType="begin"/>
      </w:r>
      <w:r>
        <w:instrText xml:space="preserve"> HYPERLINK \l "_Toc23968" </w:instrText>
      </w:r>
      <w:r>
        <w:fldChar w:fldCharType="separate"/>
      </w:r>
      <w:r>
        <w:rPr>
          <w:rFonts w:hint="eastAsia"/>
        </w:rPr>
        <w:t>执行第九章资格后审</w:t>
      </w:r>
      <w:r>
        <w:tab/>
      </w:r>
      <w:r>
        <w:fldChar w:fldCharType="begin"/>
      </w:r>
      <w:r>
        <w:instrText xml:space="preserve"> PAGEREF _Toc23968 </w:instrText>
      </w:r>
      <w:r>
        <w:fldChar w:fldCharType="separate"/>
      </w:r>
      <w:r>
        <w:t>17</w:t>
      </w:r>
      <w:r>
        <w:fldChar w:fldCharType="end"/>
      </w:r>
      <w:r>
        <w:fldChar w:fldCharType="end"/>
      </w:r>
    </w:p>
    <w:p>
      <w:pPr>
        <w:pStyle w:val="11"/>
        <w:tabs>
          <w:tab w:val="right" w:leader="dot" w:pos="8504"/>
          <w:tab w:val="clear" w:pos="9628"/>
        </w:tabs>
      </w:pPr>
      <w:r>
        <w:fldChar w:fldCharType="begin"/>
      </w:r>
      <w:r>
        <w:instrText xml:space="preserve"> HYPERLINK \l "_Toc16115" </w:instrText>
      </w:r>
      <w:r>
        <w:fldChar w:fldCharType="separate"/>
      </w:r>
      <w:r>
        <w:t xml:space="preserve">3.6 </w:t>
      </w:r>
      <w:r>
        <w:rPr>
          <w:rFonts w:hint="eastAsia"/>
        </w:rPr>
        <w:t>备选磋商方案</w:t>
      </w:r>
      <w:r>
        <w:tab/>
      </w:r>
      <w:r>
        <w:fldChar w:fldCharType="begin"/>
      </w:r>
      <w:r>
        <w:instrText xml:space="preserve"> PAGEREF _Toc16115 </w:instrText>
      </w:r>
      <w:r>
        <w:fldChar w:fldCharType="separate"/>
      </w:r>
      <w:r>
        <w:t>17</w:t>
      </w:r>
      <w:r>
        <w:fldChar w:fldCharType="end"/>
      </w:r>
      <w:r>
        <w:fldChar w:fldCharType="end"/>
      </w:r>
    </w:p>
    <w:p>
      <w:pPr>
        <w:pStyle w:val="11"/>
        <w:tabs>
          <w:tab w:val="right" w:leader="dot" w:pos="8504"/>
          <w:tab w:val="clear" w:pos="9628"/>
        </w:tabs>
      </w:pPr>
      <w:r>
        <w:fldChar w:fldCharType="begin"/>
      </w:r>
      <w:r>
        <w:instrText xml:space="preserve"> HYPERLINK \l "_Toc14849" </w:instrText>
      </w:r>
      <w:r>
        <w:fldChar w:fldCharType="separate"/>
      </w:r>
      <w:r>
        <w:t xml:space="preserve">3.7 </w:t>
      </w:r>
      <w:r>
        <w:rPr>
          <w:rFonts w:hint="eastAsia"/>
        </w:rPr>
        <w:t>响应文件的编制</w:t>
      </w:r>
      <w:r>
        <w:tab/>
      </w:r>
      <w:r>
        <w:fldChar w:fldCharType="begin"/>
      </w:r>
      <w:r>
        <w:instrText xml:space="preserve"> PAGEREF _Toc14849 </w:instrText>
      </w:r>
      <w:r>
        <w:fldChar w:fldCharType="separate"/>
      </w:r>
      <w:r>
        <w:t>18</w:t>
      </w:r>
      <w:r>
        <w:fldChar w:fldCharType="end"/>
      </w:r>
      <w:r>
        <w:fldChar w:fldCharType="end"/>
      </w:r>
    </w:p>
    <w:p>
      <w:pPr>
        <w:pStyle w:val="11"/>
        <w:tabs>
          <w:tab w:val="right" w:leader="dot" w:pos="8504"/>
          <w:tab w:val="clear" w:pos="9628"/>
        </w:tabs>
      </w:pPr>
      <w:r>
        <w:fldChar w:fldCharType="begin"/>
      </w:r>
      <w:r>
        <w:instrText xml:space="preserve"> HYPERLINK \l "_Toc6323" </w:instrText>
      </w:r>
      <w:r>
        <w:fldChar w:fldCharType="separate"/>
      </w:r>
      <w:r>
        <w:t>4.</w:t>
      </w:r>
      <w:r>
        <w:rPr>
          <w:rFonts w:hint="eastAsia"/>
        </w:rPr>
        <w:t>投标</w:t>
      </w:r>
      <w:r>
        <w:tab/>
      </w:r>
      <w:r>
        <w:fldChar w:fldCharType="begin"/>
      </w:r>
      <w:r>
        <w:instrText xml:space="preserve"> PAGEREF _Toc6323 </w:instrText>
      </w:r>
      <w:r>
        <w:fldChar w:fldCharType="separate"/>
      </w:r>
      <w:r>
        <w:t>18</w:t>
      </w:r>
      <w:r>
        <w:fldChar w:fldCharType="end"/>
      </w:r>
      <w:r>
        <w:fldChar w:fldCharType="end"/>
      </w:r>
    </w:p>
    <w:p>
      <w:pPr>
        <w:pStyle w:val="11"/>
        <w:tabs>
          <w:tab w:val="right" w:leader="dot" w:pos="8504"/>
          <w:tab w:val="clear" w:pos="9628"/>
        </w:tabs>
      </w:pPr>
      <w:r>
        <w:fldChar w:fldCharType="begin"/>
      </w:r>
      <w:r>
        <w:instrText xml:space="preserve"> HYPERLINK \l "_Toc17977" </w:instrText>
      </w:r>
      <w:r>
        <w:fldChar w:fldCharType="separate"/>
      </w:r>
      <w:r>
        <w:t xml:space="preserve">4.1 </w:t>
      </w:r>
      <w:r>
        <w:rPr>
          <w:rFonts w:hint="eastAsia"/>
        </w:rPr>
        <w:t>响应文件的密封和标记</w:t>
      </w:r>
      <w:r>
        <w:tab/>
      </w:r>
      <w:r>
        <w:fldChar w:fldCharType="begin"/>
      </w:r>
      <w:r>
        <w:instrText xml:space="preserve"> PAGEREF _Toc17977 </w:instrText>
      </w:r>
      <w:r>
        <w:fldChar w:fldCharType="separate"/>
      </w:r>
      <w:r>
        <w:t>18</w:t>
      </w:r>
      <w:r>
        <w:fldChar w:fldCharType="end"/>
      </w:r>
      <w:r>
        <w:fldChar w:fldCharType="end"/>
      </w:r>
    </w:p>
    <w:p>
      <w:pPr>
        <w:pStyle w:val="11"/>
        <w:tabs>
          <w:tab w:val="right" w:leader="dot" w:pos="8504"/>
          <w:tab w:val="clear" w:pos="9628"/>
        </w:tabs>
      </w:pPr>
      <w:r>
        <w:fldChar w:fldCharType="begin"/>
      </w:r>
      <w:r>
        <w:instrText xml:space="preserve"> HYPERLINK \l "_Toc30024" </w:instrText>
      </w:r>
      <w:r>
        <w:fldChar w:fldCharType="separate"/>
      </w:r>
      <w:r>
        <w:t xml:space="preserve">4.2 </w:t>
      </w:r>
      <w:r>
        <w:rPr>
          <w:rFonts w:hint="eastAsia"/>
        </w:rPr>
        <w:t>响应文件的递交</w:t>
      </w:r>
      <w:r>
        <w:tab/>
      </w:r>
      <w:r>
        <w:fldChar w:fldCharType="begin"/>
      </w:r>
      <w:r>
        <w:instrText xml:space="preserve"> PAGEREF _Toc30024 </w:instrText>
      </w:r>
      <w:r>
        <w:fldChar w:fldCharType="separate"/>
      </w:r>
      <w:r>
        <w:t>18</w:t>
      </w:r>
      <w:r>
        <w:fldChar w:fldCharType="end"/>
      </w:r>
      <w:r>
        <w:fldChar w:fldCharType="end"/>
      </w:r>
    </w:p>
    <w:p>
      <w:pPr>
        <w:pStyle w:val="11"/>
        <w:tabs>
          <w:tab w:val="right" w:leader="dot" w:pos="8504"/>
          <w:tab w:val="clear" w:pos="9628"/>
        </w:tabs>
      </w:pPr>
      <w:r>
        <w:fldChar w:fldCharType="begin"/>
      </w:r>
      <w:r>
        <w:instrText xml:space="preserve"> HYPERLINK \l "_Toc17382" </w:instrText>
      </w:r>
      <w:r>
        <w:fldChar w:fldCharType="separate"/>
      </w:r>
      <w:r>
        <w:t xml:space="preserve">5. </w:t>
      </w:r>
      <w:r>
        <w:rPr>
          <w:rFonts w:hint="eastAsia"/>
        </w:rPr>
        <w:t>开标</w:t>
      </w:r>
      <w:r>
        <w:tab/>
      </w:r>
      <w:r>
        <w:fldChar w:fldCharType="begin"/>
      </w:r>
      <w:r>
        <w:instrText xml:space="preserve"> PAGEREF _Toc17382 </w:instrText>
      </w:r>
      <w:r>
        <w:fldChar w:fldCharType="separate"/>
      </w:r>
      <w:r>
        <w:t>19</w:t>
      </w:r>
      <w:r>
        <w:fldChar w:fldCharType="end"/>
      </w:r>
      <w:r>
        <w:fldChar w:fldCharType="end"/>
      </w:r>
    </w:p>
    <w:p>
      <w:pPr>
        <w:pStyle w:val="11"/>
        <w:tabs>
          <w:tab w:val="right" w:leader="dot" w:pos="8504"/>
          <w:tab w:val="clear" w:pos="9628"/>
        </w:tabs>
      </w:pPr>
      <w:r>
        <w:fldChar w:fldCharType="begin"/>
      </w:r>
      <w:r>
        <w:instrText xml:space="preserve"> HYPERLINK \l "_Toc31893" </w:instrText>
      </w:r>
      <w:r>
        <w:fldChar w:fldCharType="separate"/>
      </w:r>
      <w:r>
        <w:t xml:space="preserve">5.1 </w:t>
      </w:r>
      <w:r>
        <w:rPr>
          <w:rFonts w:hint="eastAsia"/>
        </w:rPr>
        <w:t>开标时间和地点</w:t>
      </w:r>
      <w:r>
        <w:tab/>
      </w:r>
      <w:r>
        <w:fldChar w:fldCharType="begin"/>
      </w:r>
      <w:r>
        <w:instrText xml:space="preserve"> PAGEREF _Toc31893 </w:instrText>
      </w:r>
      <w:r>
        <w:fldChar w:fldCharType="separate"/>
      </w:r>
      <w:r>
        <w:t>19</w:t>
      </w:r>
      <w:r>
        <w:fldChar w:fldCharType="end"/>
      </w:r>
      <w:r>
        <w:fldChar w:fldCharType="end"/>
      </w:r>
    </w:p>
    <w:p>
      <w:pPr>
        <w:pStyle w:val="11"/>
        <w:tabs>
          <w:tab w:val="right" w:leader="dot" w:pos="8504"/>
          <w:tab w:val="clear" w:pos="9628"/>
        </w:tabs>
      </w:pPr>
      <w:r>
        <w:fldChar w:fldCharType="begin"/>
      </w:r>
      <w:r>
        <w:instrText xml:space="preserve"> HYPERLINK \l "_Toc32033" </w:instrText>
      </w:r>
      <w:r>
        <w:fldChar w:fldCharType="separate"/>
      </w:r>
      <w:r>
        <w:t xml:space="preserve">6. </w:t>
      </w:r>
      <w:r>
        <w:rPr>
          <w:rFonts w:hint="eastAsia"/>
        </w:rPr>
        <w:t>评审</w:t>
      </w:r>
      <w:r>
        <w:tab/>
      </w:r>
      <w:r>
        <w:fldChar w:fldCharType="begin"/>
      </w:r>
      <w:r>
        <w:instrText xml:space="preserve"> PAGEREF _Toc32033 </w:instrText>
      </w:r>
      <w:r>
        <w:fldChar w:fldCharType="separate"/>
      </w:r>
      <w:r>
        <w:t>20</w:t>
      </w:r>
      <w:r>
        <w:fldChar w:fldCharType="end"/>
      </w:r>
      <w:r>
        <w:fldChar w:fldCharType="end"/>
      </w:r>
    </w:p>
    <w:p>
      <w:pPr>
        <w:pStyle w:val="11"/>
        <w:tabs>
          <w:tab w:val="right" w:leader="dot" w:pos="8504"/>
          <w:tab w:val="clear" w:pos="9628"/>
        </w:tabs>
      </w:pPr>
      <w:r>
        <w:fldChar w:fldCharType="begin"/>
      </w:r>
      <w:r>
        <w:instrText xml:space="preserve"> HYPERLINK \l "_Toc29478" </w:instrText>
      </w:r>
      <w:r>
        <w:fldChar w:fldCharType="separate"/>
      </w:r>
      <w:r>
        <w:t xml:space="preserve">6.1 </w:t>
      </w:r>
      <w:r>
        <w:rPr>
          <w:rFonts w:hint="eastAsia"/>
        </w:rPr>
        <w:t>磋商小组</w:t>
      </w:r>
      <w:r>
        <w:tab/>
      </w:r>
      <w:r>
        <w:fldChar w:fldCharType="begin"/>
      </w:r>
      <w:r>
        <w:instrText xml:space="preserve"> PAGEREF _Toc29478 </w:instrText>
      </w:r>
      <w:r>
        <w:fldChar w:fldCharType="separate"/>
      </w:r>
      <w:r>
        <w:t>20</w:t>
      </w:r>
      <w:r>
        <w:fldChar w:fldCharType="end"/>
      </w:r>
      <w:r>
        <w:fldChar w:fldCharType="end"/>
      </w:r>
    </w:p>
    <w:p>
      <w:pPr>
        <w:pStyle w:val="11"/>
        <w:tabs>
          <w:tab w:val="right" w:leader="dot" w:pos="8504"/>
          <w:tab w:val="clear" w:pos="9628"/>
        </w:tabs>
      </w:pPr>
      <w:r>
        <w:fldChar w:fldCharType="begin"/>
      </w:r>
      <w:r>
        <w:instrText xml:space="preserve"> HYPERLINK \l "_Toc968" </w:instrText>
      </w:r>
      <w:r>
        <w:fldChar w:fldCharType="separate"/>
      </w:r>
      <w:r>
        <w:t xml:space="preserve">6.2 </w:t>
      </w:r>
      <w:r>
        <w:rPr>
          <w:rFonts w:hint="eastAsia"/>
        </w:rPr>
        <w:t>评标原则</w:t>
      </w:r>
      <w:r>
        <w:tab/>
      </w:r>
      <w:r>
        <w:fldChar w:fldCharType="begin"/>
      </w:r>
      <w:r>
        <w:instrText xml:space="preserve"> PAGEREF _Toc968 </w:instrText>
      </w:r>
      <w:r>
        <w:fldChar w:fldCharType="separate"/>
      </w:r>
      <w:r>
        <w:t>20</w:t>
      </w:r>
      <w:r>
        <w:fldChar w:fldCharType="end"/>
      </w:r>
      <w:r>
        <w:fldChar w:fldCharType="end"/>
      </w:r>
    </w:p>
    <w:p>
      <w:pPr>
        <w:pStyle w:val="11"/>
        <w:tabs>
          <w:tab w:val="right" w:leader="dot" w:pos="8504"/>
          <w:tab w:val="clear" w:pos="9628"/>
        </w:tabs>
      </w:pPr>
      <w:r>
        <w:fldChar w:fldCharType="begin"/>
      </w:r>
      <w:r>
        <w:instrText xml:space="preserve"> HYPERLINK \l "_Toc11457" </w:instrText>
      </w:r>
      <w:r>
        <w:fldChar w:fldCharType="separate"/>
      </w:r>
      <w:r>
        <w:t xml:space="preserve">6.3 </w:t>
      </w:r>
      <w:r>
        <w:rPr>
          <w:rFonts w:hint="eastAsia"/>
        </w:rPr>
        <w:t>评审</w:t>
      </w:r>
      <w:r>
        <w:tab/>
      </w:r>
      <w:r>
        <w:fldChar w:fldCharType="begin"/>
      </w:r>
      <w:r>
        <w:instrText xml:space="preserve"> PAGEREF _Toc11457 </w:instrText>
      </w:r>
      <w:r>
        <w:fldChar w:fldCharType="separate"/>
      </w:r>
      <w:r>
        <w:t>20</w:t>
      </w:r>
      <w:r>
        <w:fldChar w:fldCharType="end"/>
      </w:r>
      <w:r>
        <w:fldChar w:fldCharType="end"/>
      </w:r>
    </w:p>
    <w:p>
      <w:pPr>
        <w:pStyle w:val="11"/>
        <w:tabs>
          <w:tab w:val="right" w:leader="dot" w:pos="8504"/>
          <w:tab w:val="clear" w:pos="9628"/>
        </w:tabs>
      </w:pPr>
      <w:r>
        <w:fldChar w:fldCharType="begin"/>
      </w:r>
      <w:r>
        <w:instrText xml:space="preserve"> HYPERLINK \l "_Toc18533" </w:instrText>
      </w:r>
      <w:r>
        <w:fldChar w:fldCharType="separate"/>
      </w:r>
      <w:r>
        <w:t xml:space="preserve">7. </w:t>
      </w:r>
      <w:r>
        <w:rPr>
          <w:rFonts w:hint="eastAsia"/>
        </w:rPr>
        <w:t>合同授予</w:t>
      </w:r>
      <w:r>
        <w:tab/>
      </w:r>
      <w:r>
        <w:fldChar w:fldCharType="begin"/>
      </w:r>
      <w:r>
        <w:instrText xml:space="preserve"> PAGEREF _Toc18533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"_Toc31802" </w:instrText>
      </w:r>
      <w:r>
        <w:fldChar w:fldCharType="separate"/>
      </w:r>
      <w:r>
        <w:t xml:space="preserve">7.1 </w:t>
      </w:r>
      <w:r>
        <w:rPr>
          <w:rFonts w:hint="eastAsia"/>
        </w:rPr>
        <w:t>定标方式</w:t>
      </w:r>
      <w:r>
        <w:tab/>
      </w:r>
      <w:r>
        <w:fldChar w:fldCharType="begin"/>
      </w:r>
      <w:r>
        <w:instrText xml:space="preserve"> PAGEREF _Toc31802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"_Toc11563" </w:instrText>
      </w:r>
      <w:r>
        <w:fldChar w:fldCharType="separate"/>
      </w:r>
      <w:r>
        <w:t xml:space="preserve">7.2 </w:t>
      </w:r>
      <w:r>
        <w:rPr>
          <w:rFonts w:hint="eastAsia"/>
        </w:rPr>
        <w:t>中标通知</w:t>
      </w:r>
      <w:r>
        <w:tab/>
      </w:r>
      <w:r>
        <w:fldChar w:fldCharType="begin"/>
      </w:r>
      <w:r>
        <w:instrText xml:space="preserve"> PAGEREF _Toc11563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"_Toc21243" </w:instrText>
      </w:r>
      <w:r>
        <w:fldChar w:fldCharType="separate"/>
      </w:r>
      <w:r>
        <w:t xml:space="preserve">7.3 </w:t>
      </w:r>
      <w:r>
        <w:rPr>
          <w:rFonts w:hint="eastAsia"/>
        </w:rPr>
        <w:t>履约担保</w:t>
      </w:r>
      <w:r>
        <w:tab/>
      </w:r>
      <w:r>
        <w:fldChar w:fldCharType="begin"/>
      </w:r>
      <w:r>
        <w:instrText xml:space="preserve"> PAGEREF _Toc21243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"_Toc7632" </w:instrText>
      </w:r>
      <w:r>
        <w:fldChar w:fldCharType="separate"/>
      </w:r>
      <w:r>
        <w:t xml:space="preserve">7.4 </w:t>
      </w:r>
      <w:r>
        <w:rPr>
          <w:rFonts w:hint="eastAsia"/>
        </w:rPr>
        <w:t>签订合同</w:t>
      </w:r>
      <w:r>
        <w:tab/>
      </w:r>
      <w:r>
        <w:fldChar w:fldCharType="begin"/>
      </w:r>
      <w:r>
        <w:instrText xml:space="preserve"> PAGEREF _Toc7632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"_Toc5618" </w:instrText>
      </w:r>
      <w:r>
        <w:fldChar w:fldCharType="separate"/>
      </w:r>
      <w:r>
        <w:t xml:space="preserve">7.5 </w:t>
      </w:r>
      <w:r>
        <w:rPr>
          <w:rFonts w:hint="eastAsia"/>
        </w:rPr>
        <w:t>工程计价依据及投标报价方式</w:t>
      </w:r>
      <w:r>
        <w:tab/>
      </w:r>
      <w:r>
        <w:fldChar w:fldCharType="begin"/>
      </w:r>
      <w:r>
        <w:instrText xml:space="preserve"> PAGEREF _Toc5618 </w:instrText>
      </w:r>
      <w:r>
        <w:fldChar w:fldCharType="separate"/>
      </w:r>
      <w:r>
        <w:t>21</w:t>
      </w:r>
      <w:r>
        <w:fldChar w:fldCharType="end"/>
      </w:r>
      <w:r>
        <w:fldChar w:fldCharType="end"/>
      </w:r>
    </w:p>
    <w:p>
      <w:pPr>
        <w:pStyle w:val="11"/>
        <w:tabs>
          <w:tab w:val="right" w:leader="dot" w:pos="8504"/>
          <w:tab w:val="clear" w:pos="9628"/>
        </w:tabs>
      </w:pPr>
      <w:r>
        <w:fldChar w:fldCharType="begin"/>
      </w:r>
      <w:r>
        <w:instrText xml:space="preserve"> HYPERLINK \l "_Toc15191" </w:instrText>
      </w:r>
      <w:r>
        <w:fldChar w:fldCharType="separate"/>
      </w:r>
      <w:r>
        <w:t xml:space="preserve">8. </w:t>
      </w:r>
      <w:r>
        <w:rPr>
          <w:rFonts w:hint="eastAsia"/>
        </w:rPr>
        <w:t>重新磋商和不再磋商</w:t>
      </w:r>
      <w:r>
        <w:tab/>
      </w:r>
      <w:r>
        <w:fldChar w:fldCharType="begin"/>
      </w:r>
      <w:r>
        <w:instrText xml:space="preserve"> PAGEREF _Toc15191 </w:instrText>
      </w:r>
      <w:r>
        <w:fldChar w:fldCharType="separate"/>
      </w:r>
      <w:r>
        <w:t>23</w:t>
      </w:r>
      <w:r>
        <w:fldChar w:fldCharType="end"/>
      </w:r>
      <w:r>
        <w:fldChar w:fldCharType="end"/>
      </w:r>
    </w:p>
    <w:p>
      <w:pPr>
        <w:pStyle w:val="11"/>
        <w:tabs>
          <w:tab w:val="right" w:leader="dot" w:pos="8504"/>
          <w:tab w:val="clear" w:pos="9628"/>
        </w:tabs>
      </w:pPr>
      <w:r>
        <w:fldChar w:fldCharType="begin"/>
      </w:r>
      <w:r>
        <w:instrText xml:space="preserve"> HYPERLINK \l "_Toc6844" </w:instrText>
      </w:r>
      <w:r>
        <w:fldChar w:fldCharType="separate"/>
      </w:r>
      <w:r>
        <w:t xml:space="preserve">8.1 </w:t>
      </w:r>
      <w:r>
        <w:rPr>
          <w:rFonts w:hint="eastAsia"/>
        </w:rPr>
        <w:t>重新磋商</w:t>
      </w:r>
      <w:r>
        <w:tab/>
      </w:r>
      <w:r>
        <w:fldChar w:fldCharType="begin"/>
      </w:r>
      <w:r>
        <w:instrText xml:space="preserve"> PAGEREF _Toc6844 </w:instrText>
      </w:r>
      <w:r>
        <w:fldChar w:fldCharType="separate"/>
      </w:r>
      <w:r>
        <w:t>23</w:t>
      </w:r>
      <w:r>
        <w:fldChar w:fldCharType="end"/>
      </w:r>
      <w:r>
        <w:fldChar w:fldCharType="end"/>
      </w:r>
    </w:p>
    <w:p>
      <w:pPr>
        <w:pStyle w:val="11"/>
        <w:tabs>
          <w:tab w:val="right" w:leader="dot" w:pos="8504"/>
          <w:tab w:val="clear" w:pos="9628"/>
        </w:tabs>
      </w:pPr>
      <w:r>
        <w:fldChar w:fldCharType="begin"/>
      </w:r>
      <w:r>
        <w:instrText xml:space="preserve"> HYPERLINK \l "_Toc25346" </w:instrText>
      </w:r>
      <w:r>
        <w:fldChar w:fldCharType="separate"/>
      </w:r>
      <w:r>
        <w:t xml:space="preserve">8.2 </w:t>
      </w:r>
      <w:r>
        <w:rPr>
          <w:rFonts w:hint="eastAsia"/>
        </w:rPr>
        <w:t>不再磋商</w:t>
      </w:r>
      <w:r>
        <w:tab/>
      </w:r>
      <w:r>
        <w:fldChar w:fldCharType="begin"/>
      </w:r>
      <w:r>
        <w:instrText xml:space="preserve"> PAGEREF _Toc25346 </w:instrText>
      </w:r>
      <w:r>
        <w:fldChar w:fldCharType="separate"/>
      </w:r>
      <w:r>
        <w:t>23</w:t>
      </w:r>
      <w:r>
        <w:fldChar w:fldCharType="end"/>
      </w:r>
      <w:r>
        <w:fldChar w:fldCharType="end"/>
      </w:r>
    </w:p>
    <w:p>
      <w:pPr>
        <w:pStyle w:val="11"/>
        <w:tabs>
          <w:tab w:val="right" w:leader="dot" w:pos="8504"/>
          <w:tab w:val="clear" w:pos="9628"/>
        </w:tabs>
      </w:pPr>
      <w:r>
        <w:fldChar w:fldCharType="begin"/>
      </w:r>
      <w:r>
        <w:instrText xml:space="preserve"> HYPERLINK \l "_Toc5951" </w:instrText>
      </w:r>
      <w:r>
        <w:fldChar w:fldCharType="separate"/>
      </w:r>
      <w:r>
        <w:t>9.</w:t>
      </w:r>
      <w:r>
        <w:rPr>
          <w:rFonts w:hint="eastAsia"/>
        </w:rPr>
        <w:t>纪律和监督</w:t>
      </w:r>
      <w:r>
        <w:tab/>
      </w:r>
      <w:r>
        <w:fldChar w:fldCharType="begin"/>
      </w:r>
      <w:r>
        <w:instrText xml:space="preserve"> PAGEREF _Toc5951 </w:instrText>
      </w:r>
      <w:r>
        <w:fldChar w:fldCharType="separate"/>
      </w:r>
      <w:r>
        <w:t>23</w:t>
      </w:r>
      <w:r>
        <w:fldChar w:fldCharType="end"/>
      </w:r>
      <w:r>
        <w:fldChar w:fldCharType="end"/>
      </w:r>
    </w:p>
    <w:p>
      <w:pPr>
        <w:pStyle w:val="11"/>
        <w:tabs>
          <w:tab w:val="right" w:leader="dot" w:pos="8504"/>
          <w:tab w:val="clear" w:pos="9628"/>
        </w:tabs>
      </w:pPr>
      <w:r>
        <w:fldChar w:fldCharType="begin"/>
      </w:r>
      <w:r>
        <w:instrText xml:space="preserve"> HYPERLINK \l "_Toc21000" </w:instrText>
      </w:r>
      <w:r>
        <w:fldChar w:fldCharType="separate"/>
      </w:r>
      <w:r>
        <w:t xml:space="preserve">9.1 </w:t>
      </w:r>
      <w:r>
        <w:rPr>
          <w:rFonts w:hint="eastAsia"/>
        </w:rPr>
        <w:t>对采购人的纪律要求</w:t>
      </w:r>
      <w:r>
        <w:tab/>
      </w:r>
      <w:r>
        <w:fldChar w:fldCharType="begin"/>
      </w:r>
      <w:r>
        <w:instrText xml:space="preserve"> PAGEREF _Toc21000 </w:instrText>
      </w:r>
      <w:r>
        <w:fldChar w:fldCharType="separate"/>
      </w:r>
      <w:r>
        <w:t>23</w:t>
      </w:r>
      <w:r>
        <w:fldChar w:fldCharType="end"/>
      </w:r>
      <w:r>
        <w:fldChar w:fldCharType="end"/>
      </w:r>
    </w:p>
    <w:p>
      <w:pPr>
        <w:pStyle w:val="11"/>
        <w:tabs>
          <w:tab w:val="right" w:leader="dot" w:pos="8504"/>
          <w:tab w:val="clear" w:pos="9628"/>
        </w:tabs>
      </w:pPr>
      <w:r>
        <w:fldChar w:fldCharType="begin"/>
      </w:r>
      <w:r>
        <w:instrText xml:space="preserve"> HYPERLINK \l "_Toc24348" </w:instrText>
      </w:r>
      <w:r>
        <w:fldChar w:fldCharType="separate"/>
      </w:r>
      <w:r>
        <w:t>9.2</w:t>
      </w:r>
      <w:r>
        <w:rPr>
          <w:rFonts w:hint="eastAsia"/>
        </w:rPr>
        <w:t>对供应商的纪律要求</w:t>
      </w:r>
      <w:r>
        <w:tab/>
      </w:r>
      <w:r>
        <w:fldChar w:fldCharType="begin"/>
      </w:r>
      <w:r>
        <w:instrText xml:space="preserve"> PAGEREF _Toc24348 </w:instrText>
      </w:r>
      <w:r>
        <w:fldChar w:fldCharType="separate"/>
      </w:r>
      <w:r>
        <w:t>24</w:t>
      </w:r>
      <w:r>
        <w:fldChar w:fldCharType="end"/>
      </w:r>
      <w:r>
        <w:fldChar w:fldCharType="end"/>
      </w:r>
    </w:p>
    <w:p>
      <w:pPr>
        <w:pStyle w:val="11"/>
        <w:tabs>
          <w:tab w:val="right" w:leader="dot" w:pos="8504"/>
          <w:tab w:val="clear" w:pos="9628"/>
        </w:tabs>
      </w:pPr>
      <w:r>
        <w:fldChar w:fldCharType="begin"/>
      </w:r>
      <w:r>
        <w:instrText xml:space="preserve"> HYPERLINK \l "_Toc29634" </w:instrText>
      </w:r>
      <w:r>
        <w:fldChar w:fldCharType="separate"/>
      </w:r>
      <w:r>
        <w:t xml:space="preserve">9.3 </w:t>
      </w:r>
      <w:r>
        <w:rPr>
          <w:rFonts w:hint="eastAsia"/>
        </w:rPr>
        <w:t>对磋商小组成员的纪律要求</w:t>
      </w:r>
      <w:r>
        <w:tab/>
      </w:r>
      <w:r>
        <w:fldChar w:fldCharType="begin"/>
      </w:r>
      <w:r>
        <w:instrText xml:space="preserve"> PAGEREF _Toc29634 </w:instrText>
      </w:r>
      <w:r>
        <w:fldChar w:fldCharType="separate"/>
      </w:r>
      <w:r>
        <w:t>24</w:t>
      </w:r>
      <w:r>
        <w:fldChar w:fldCharType="end"/>
      </w:r>
      <w:r>
        <w:fldChar w:fldCharType="end"/>
      </w:r>
    </w:p>
    <w:p>
      <w:pPr>
        <w:pStyle w:val="11"/>
        <w:tabs>
          <w:tab w:val="right" w:leader="dot" w:pos="8504"/>
          <w:tab w:val="clear" w:pos="9628"/>
        </w:tabs>
      </w:pPr>
      <w:r>
        <w:fldChar w:fldCharType="begin"/>
      </w:r>
      <w:r>
        <w:instrText xml:space="preserve"> HYPERLINK \l "_Toc26010" </w:instrText>
      </w:r>
      <w:r>
        <w:fldChar w:fldCharType="separate"/>
      </w:r>
      <w:r>
        <w:t xml:space="preserve">9.4 </w:t>
      </w:r>
      <w:r>
        <w:rPr>
          <w:rFonts w:hint="eastAsia"/>
        </w:rPr>
        <w:t>对与评标活动有关的工作人员的纪律要求</w:t>
      </w:r>
      <w:r>
        <w:tab/>
      </w:r>
      <w:r>
        <w:fldChar w:fldCharType="begin"/>
      </w:r>
      <w:r>
        <w:instrText xml:space="preserve"> PAGEREF _Toc26010 </w:instrText>
      </w:r>
      <w:r>
        <w:fldChar w:fldCharType="separate"/>
      </w:r>
      <w:r>
        <w:t>24</w:t>
      </w:r>
      <w:r>
        <w:fldChar w:fldCharType="end"/>
      </w:r>
      <w:r>
        <w:fldChar w:fldCharType="end"/>
      </w:r>
    </w:p>
    <w:p>
      <w:pPr>
        <w:pStyle w:val="11"/>
        <w:tabs>
          <w:tab w:val="right" w:leader="dot" w:pos="8504"/>
          <w:tab w:val="clear" w:pos="9628"/>
        </w:tabs>
      </w:pPr>
      <w:r>
        <w:fldChar w:fldCharType="begin"/>
      </w:r>
      <w:r>
        <w:instrText xml:space="preserve"> HYPERLINK \l "_Toc5735" </w:instrText>
      </w:r>
      <w:r>
        <w:fldChar w:fldCharType="separate"/>
      </w:r>
      <w:r>
        <w:t xml:space="preserve">9.5 </w:t>
      </w:r>
      <w:r>
        <w:rPr>
          <w:rFonts w:hint="eastAsia"/>
        </w:rPr>
        <w:t>投诉</w:t>
      </w:r>
      <w:r>
        <w:tab/>
      </w:r>
      <w:r>
        <w:fldChar w:fldCharType="begin"/>
      </w:r>
      <w:r>
        <w:instrText xml:space="preserve"> PAGEREF _Toc5735 </w:instrText>
      </w:r>
      <w:r>
        <w:fldChar w:fldCharType="separate"/>
      </w:r>
      <w:r>
        <w:t>24</w:t>
      </w:r>
      <w:r>
        <w:fldChar w:fldCharType="end"/>
      </w:r>
      <w:r>
        <w:fldChar w:fldCharType="end"/>
      </w:r>
    </w:p>
    <w:p>
      <w:pPr>
        <w:pStyle w:val="11"/>
        <w:tabs>
          <w:tab w:val="right" w:leader="dot" w:pos="8504"/>
          <w:tab w:val="clear" w:pos="9628"/>
        </w:tabs>
      </w:pPr>
      <w:r>
        <w:fldChar w:fldCharType="begin"/>
      </w:r>
      <w:r>
        <w:instrText xml:space="preserve"> HYPERLINK \l "_Toc28661" </w:instrText>
      </w:r>
      <w:r>
        <w:fldChar w:fldCharType="separate"/>
      </w:r>
      <w:r>
        <w:t xml:space="preserve">10. </w:t>
      </w:r>
      <w:r>
        <w:rPr>
          <w:rFonts w:hint="eastAsia"/>
        </w:rPr>
        <w:t>需要补充的其他内容</w:t>
      </w:r>
      <w:r>
        <w:tab/>
      </w:r>
      <w:r>
        <w:fldChar w:fldCharType="begin"/>
      </w:r>
      <w:r>
        <w:instrText xml:space="preserve"> PAGEREF _Toc28661 </w:instrText>
      </w:r>
      <w:r>
        <w:fldChar w:fldCharType="separate"/>
      </w:r>
      <w:r>
        <w:t>24</w:t>
      </w:r>
      <w:r>
        <w:fldChar w:fldCharType="end"/>
      </w:r>
      <w:r>
        <w:fldChar w:fldCharType="end"/>
      </w:r>
    </w:p>
    <w:p>
      <w:pPr>
        <w:pStyle w:val="11"/>
        <w:tabs>
          <w:tab w:val="right" w:leader="dot" w:pos="8504"/>
          <w:tab w:val="clear" w:pos="9628"/>
        </w:tabs>
      </w:pPr>
      <w:r>
        <w:fldChar w:fldCharType="begin"/>
      </w:r>
      <w:r>
        <w:instrText xml:space="preserve"> HYPERLINK \l "_Toc25238" </w:instrText>
      </w:r>
      <w:r>
        <w:fldChar w:fldCharType="separate"/>
      </w:r>
      <w:r>
        <w:t xml:space="preserve">第三章 </w:t>
      </w:r>
      <w:r>
        <w:rPr>
          <w:rFonts w:hint="eastAsia"/>
        </w:rPr>
        <w:t>评标办法</w:t>
      </w:r>
      <w:r>
        <w:tab/>
      </w:r>
      <w:r>
        <w:fldChar w:fldCharType="begin"/>
      </w:r>
      <w:r>
        <w:instrText xml:space="preserve"> PAGEREF _Toc25238 </w:instrText>
      </w:r>
      <w:r>
        <w:fldChar w:fldCharType="separate"/>
      </w:r>
      <w:r>
        <w:t>25</w:t>
      </w:r>
      <w:r>
        <w:fldChar w:fldCharType="end"/>
      </w:r>
      <w:r>
        <w:fldChar w:fldCharType="end"/>
      </w:r>
    </w:p>
    <w:p>
      <w:pPr>
        <w:pStyle w:val="11"/>
        <w:tabs>
          <w:tab w:val="right" w:leader="dot" w:pos="8504"/>
          <w:tab w:val="clear" w:pos="9628"/>
        </w:tabs>
      </w:pPr>
      <w:r>
        <w:fldChar w:fldCharType="begin"/>
      </w:r>
      <w:r>
        <w:instrText xml:space="preserve"> HYPERLINK \l "_Toc837" </w:instrText>
      </w:r>
      <w:r>
        <w:fldChar w:fldCharType="separate"/>
      </w:r>
      <w:r>
        <w:rPr>
          <w:rFonts w:hint="eastAsia"/>
        </w:rPr>
        <w:t>评标办法前附表</w:t>
      </w:r>
      <w:r>
        <w:tab/>
      </w:r>
      <w:r>
        <w:fldChar w:fldCharType="begin"/>
      </w:r>
      <w:r>
        <w:instrText xml:space="preserve"> PAGEREF _Toc837 </w:instrText>
      </w:r>
      <w:r>
        <w:fldChar w:fldCharType="separate"/>
      </w:r>
      <w:r>
        <w:t>25</w:t>
      </w:r>
      <w:r>
        <w:fldChar w:fldCharType="end"/>
      </w:r>
      <w:r>
        <w:fldChar w:fldCharType="end"/>
      </w:r>
    </w:p>
    <w:p>
      <w:pPr>
        <w:pStyle w:val="11"/>
        <w:tabs>
          <w:tab w:val="right" w:leader="dot" w:pos="8504"/>
          <w:tab w:val="clear" w:pos="9628"/>
        </w:tabs>
      </w:pPr>
      <w:r>
        <w:fldChar w:fldCharType="begin"/>
      </w:r>
      <w:r>
        <w:instrText xml:space="preserve"> HYPERLINK \l "_Toc5177" </w:instrText>
      </w:r>
      <w:r>
        <w:fldChar w:fldCharType="separate"/>
      </w:r>
      <w:r>
        <w:rPr>
          <w:rFonts w:hint="eastAsia" w:cs="宋体"/>
          <w:bCs/>
        </w:rPr>
        <w:t>评审方法及标准：</w:t>
      </w:r>
      <w:r>
        <w:tab/>
      </w:r>
      <w:r>
        <w:fldChar w:fldCharType="begin"/>
      </w:r>
      <w:r>
        <w:instrText xml:space="preserve"> PAGEREF _Toc5177 </w:instrText>
      </w:r>
      <w:r>
        <w:fldChar w:fldCharType="separate"/>
      </w:r>
      <w:r>
        <w:t>27</w:t>
      </w:r>
      <w:r>
        <w:fldChar w:fldCharType="end"/>
      </w:r>
      <w:r>
        <w:fldChar w:fldCharType="end"/>
      </w:r>
    </w:p>
    <w:p>
      <w:pPr>
        <w:pStyle w:val="11"/>
        <w:tabs>
          <w:tab w:val="right" w:leader="dot" w:pos="8504"/>
          <w:tab w:val="clear" w:pos="9628"/>
        </w:tabs>
      </w:pPr>
      <w:r>
        <w:fldChar w:fldCharType="begin"/>
      </w:r>
      <w:r>
        <w:instrText xml:space="preserve"> HYPERLINK \l "_Toc12870" </w:instrText>
      </w:r>
      <w:r>
        <w:fldChar w:fldCharType="separate"/>
      </w:r>
      <w:r>
        <w:t xml:space="preserve">1. </w:t>
      </w:r>
      <w:r>
        <w:rPr>
          <w:rFonts w:hint="eastAsia"/>
        </w:rPr>
        <w:t>评标方法</w:t>
      </w:r>
      <w:r>
        <w:tab/>
      </w:r>
      <w:r>
        <w:fldChar w:fldCharType="begin"/>
      </w:r>
      <w:r>
        <w:instrText xml:space="preserve"> PAGEREF _Toc12870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"_Toc10128" </w:instrText>
      </w:r>
      <w:r>
        <w:fldChar w:fldCharType="separate"/>
      </w:r>
      <w:r>
        <w:t xml:space="preserve">2. </w:t>
      </w:r>
      <w:r>
        <w:rPr>
          <w:rFonts w:hint="eastAsia"/>
        </w:rPr>
        <w:t>评审标准</w:t>
      </w:r>
      <w:r>
        <w:tab/>
      </w:r>
      <w:r>
        <w:fldChar w:fldCharType="begin"/>
      </w:r>
      <w:r>
        <w:instrText xml:space="preserve"> PAGEREF _Toc10128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"_Toc21203" </w:instrText>
      </w:r>
      <w:r>
        <w:fldChar w:fldCharType="separate"/>
      </w:r>
      <w:r>
        <w:t xml:space="preserve">2.1 </w:t>
      </w:r>
      <w:r>
        <w:rPr>
          <w:rFonts w:hint="eastAsia"/>
        </w:rPr>
        <w:t>初步评审标准</w:t>
      </w:r>
      <w:r>
        <w:tab/>
      </w:r>
      <w:r>
        <w:fldChar w:fldCharType="begin"/>
      </w:r>
      <w:r>
        <w:instrText xml:space="preserve"> PAGEREF _Toc21203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"_Toc855" </w:instrText>
      </w:r>
      <w:r>
        <w:fldChar w:fldCharType="separate"/>
      </w:r>
      <w:r>
        <w:t xml:space="preserve">2.2 </w:t>
      </w:r>
      <w:r>
        <w:rPr>
          <w:rFonts w:hint="eastAsia"/>
        </w:rPr>
        <w:t>分值构成与评分标准</w:t>
      </w:r>
      <w:r>
        <w:tab/>
      </w:r>
      <w:r>
        <w:fldChar w:fldCharType="begin"/>
      </w:r>
      <w:r>
        <w:instrText xml:space="preserve"> PAGEREF _Toc855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"_Toc8149" </w:instrText>
      </w:r>
      <w:r>
        <w:fldChar w:fldCharType="separate"/>
      </w:r>
      <w:r>
        <w:t xml:space="preserve">3. </w:t>
      </w:r>
      <w:r>
        <w:rPr>
          <w:rFonts w:hint="eastAsia"/>
        </w:rPr>
        <w:t>评标程序</w:t>
      </w:r>
      <w:r>
        <w:tab/>
      </w:r>
      <w:r>
        <w:fldChar w:fldCharType="begin"/>
      </w:r>
      <w:r>
        <w:instrText xml:space="preserve"> PAGEREF _Toc8149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"_Toc12650" </w:instrText>
      </w:r>
      <w:r>
        <w:fldChar w:fldCharType="separate"/>
      </w:r>
      <w:r>
        <w:t xml:space="preserve">3.1 </w:t>
      </w:r>
      <w:r>
        <w:rPr>
          <w:rFonts w:hint="eastAsia"/>
        </w:rPr>
        <w:t>初步评审</w:t>
      </w:r>
      <w:r>
        <w:tab/>
      </w:r>
      <w:r>
        <w:fldChar w:fldCharType="begin"/>
      </w:r>
      <w:r>
        <w:instrText xml:space="preserve"> PAGEREF _Toc12650 </w:instrText>
      </w:r>
      <w:r>
        <w:fldChar w:fldCharType="separate"/>
      </w:r>
      <w:r>
        <w:t>28</w:t>
      </w:r>
      <w:r>
        <w:fldChar w:fldCharType="end"/>
      </w:r>
      <w:r>
        <w:fldChar w:fldCharType="end"/>
      </w:r>
    </w:p>
    <w:p>
      <w:pPr>
        <w:pStyle w:val="11"/>
        <w:tabs>
          <w:tab w:val="right" w:leader="dot" w:pos="8504"/>
          <w:tab w:val="clear" w:pos="9628"/>
        </w:tabs>
      </w:pPr>
      <w:r>
        <w:fldChar w:fldCharType="begin"/>
      </w:r>
      <w:r>
        <w:instrText xml:space="preserve"> HYPERLINK \l "_Toc13290" </w:instrText>
      </w:r>
      <w:r>
        <w:fldChar w:fldCharType="separate"/>
      </w:r>
      <w:r>
        <w:t xml:space="preserve">3.2 </w:t>
      </w:r>
      <w:r>
        <w:rPr>
          <w:rFonts w:hint="eastAsia"/>
        </w:rPr>
        <w:t>详细评审</w:t>
      </w:r>
      <w:r>
        <w:tab/>
      </w:r>
      <w:r>
        <w:fldChar w:fldCharType="begin"/>
      </w:r>
      <w:r>
        <w:instrText xml:space="preserve"> PAGEREF _Toc13290 </w:instrText>
      </w:r>
      <w:r>
        <w:fldChar w:fldCharType="separate"/>
      </w:r>
      <w:r>
        <w:t>30</w:t>
      </w:r>
      <w:r>
        <w:fldChar w:fldCharType="end"/>
      </w:r>
      <w:r>
        <w:fldChar w:fldCharType="end"/>
      </w:r>
    </w:p>
    <w:p>
      <w:pPr>
        <w:pStyle w:val="11"/>
        <w:tabs>
          <w:tab w:val="right" w:leader="dot" w:pos="8504"/>
          <w:tab w:val="clear" w:pos="9628"/>
        </w:tabs>
      </w:pPr>
      <w:r>
        <w:fldChar w:fldCharType="begin"/>
      </w:r>
      <w:r>
        <w:instrText xml:space="preserve"> HYPERLINK \l "_Toc350" </w:instrText>
      </w:r>
      <w:r>
        <w:fldChar w:fldCharType="separate"/>
      </w:r>
      <w:r>
        <w:t>3.3</w:t>
      </w:r>
      <w:r>
        <w:rPr>
          <w:rFonts w:hint="eastAsia"/>
        </w:rPr>
        <w:t>磋商文件的澄清和补正</w:t>
      </w:r>
      <w:r>
        <w:tab/>
      </w:r>
      <w:r>
        <w:fldChar w:fldCharType="begin"/>
      </w:r>
      <w:r>
        <w:instrText xml:space="preserve"> PAGEREF _Toc350 </w:instrText>
      </w:r>
      <w:r>
        <w:fldChar w:fldCharType="separate"/>
      </w:r>
      <w:r>
        <w:t>30</w:t>
      </w:r>
      <w:r>
        <w:fldChar w:fldCharType="end"/>
      </w:r>
      <w:r>
        <w:fldChar w:fldCharType="end"/>
      </w:r>
    </w:p>
    <w:p>
      <w:pPr>
        <w:pStyle w:val="11"/>
        <w:tabs>
          <w:tab w:val="right" w:leader="dot" w:pos="8504"/>
          <w:tab w:val="clear" w:pos="9628"/>
        </w:tabs>
      </w:pPr>
      <w:r>
        <w:fldChar w:fldCharType="begin"/>
      </w:r>
      <w:r>
        <w:instrText xml:space="preserve"> HYPERLINK \l "_Toc27161" </w:instrText>
      </w:r>
      <w:r>
        <w:fldChar w:fldCharType="separate"/>
      </w:r>
      <w:r>
        <w:t xml:space="preserve">3.4 </w:t>
      </w:r>
      <w:r>
        <w:rPr>
          <w:rFonts w:hint="eastAsia"/>
        </w:rPr>
        <w:t>评标结果</w:t>
      </w:r>
      <w:r>
        <w:tab/>
      </w:r>
      <w:r>
        <w:fldChar w:fldCharType="begin"/>
      </w:r>
      <w:r>
        <w:instrText xml:space="preserve"> PAGEREF _Toc27161 </w:instrText>
      </w:r>
      <w:r>
        <w:fldChar w:fldCharType="separate"/>
      </w:r>
      <w:r>
        <w:t>30</w:t>
      </w:r>
      <w:r>
        <w:fldChar w:fldCharType="end"/>
      </w:r>
      <w:r>
        <w:fldChar w:fldCharType="end"/>
      </w:r>
    </w:p>
    <w:p>
      <w:pPr>
        <w:pStyle w:val="12"/>
        <w:tabs>
          <w:tab w:val="right" w:leader="dot" w:pos="8504"/>
        </w:tabs>
      </w:pPr>
      <w:r>
        <w:fldChar w:fldCharType="begin"/>
      </w:r>
      <w:r>
        <w:instrText xml:space="preserve"> HYPERLINK \l "_Toc3286" </w:instrText>
      </w:r>
      <w:r>
        <w:fldChar w:fldCharType="separate"/>
      </w:r>
      <w:r>
        <w:rPr>
          <w:rFonts w:hint="eastAsia" w:ascii="宋体" w:hAnsi="宋体"/>
          <w:szCs w:val="21"/>
        </w:rPr>
        <w:t>附件：废标条件</w:t>
      </w:r>
      <w:r>
        <w:tab/>
      </w:r>
      <w:r>
        <w:fldChar w:fldCharType="begin"/>
      </w:r>
      <w:r>
        <w:instrText xml:space="preserve"> PAGEREF _Toc3286 </w:instrText>
      </w:r>
      <w:r>
        <w:fldChar w:fldCharType="separate"/>
      </w:r>
      <w:r>
        <w:t>30</w:t>
      </w:r>
      <w:r>
        <w:fldChar w:fldCharType="end"/>
      </w:r>
      <w:r>
        <w:fldChar w:fldCharType="end"/>
      </w:r>
    </w:p>
    <w:p>
      <w:pPr>
        <w:pStyle w:val="11"/>
        <w:tabs>
          <w:tab w:val="right" w:leader="dot" w:pos="8504"/>
          <w:tab w:val="clear" w:pos="9628"/>
        </w:tabs>
      </w:pPr>
      <w:r>
        <w:fldChar w:fldCharType="begin"/>
      </w:r>
      <w:r>
        <w:instrText xml:space="preserve"> HYPERLINK \l "_Toc23880" </w:instrText>
      </w:r>
      <w:r>
        <w:fldChar w:fldCharType="separate"/>
      </w:r>
      <w:r>
        <w:rPr>
          <w:rFonts w:hint="eastAsia"/>
        </w:rPr>
        <w:t>第四章合同条款及格式</w:t>
      </w:r>
      <w:r>
        <w:tab/>
      </w:r>
      <w:r>
        <w:fldChar w:fldCharType="begin"/>
      </w:r>
      <w:r>
        <w:instrText xml:space="preserve"> PAGEREF _Toc23880 </w:instrText>
      </w:r>
      <w:r>
        <w:fldChar w:fldCharType="separate"/>
      </w:r>
      <w:r>
        <w:t>33</w:t>
      </w:r>
      <w:r>
        <w:fldChar w:fldCharType="end"/>
      </w:r>
      <w:r>
        <w:fldChar w:fldCharType="end"/>
      </w:r>
    </w:p>
    <w:p>
      <w:pPr>
        <w:pStyle w:val="12"/>
        <w:tabs>
          <w:tab w:val="right" w:leader="dot" w:pos="8504"/>
        </w:tabs>
      </w:pPr>
      <w:r>
        <w:fldChar w:fldCharType="begin"/>
      </w:r>
      <w:r>
        <w:instrText xml:space="preserve"> HYPERLINK \l "_Toc5031" </w:instrText>
      </w:r>
      <w:r>
        <w:fldChar w:fldCharType="separate"/>
      </w:r>
      <w:r>
        <w:rPr>
          <w:rFonts w:hint="eastAsia" w:ascii="宋体" w:hAnsi="宋体"/>
          <w:szCs w:val="28"/>
        </w:rPr>
        <w:t>附件一：合同协议书</w:t>
      </w:r>
      <w:r>
        <w:tab/>
      </w:r>
      <w:r>
        <w:fldChar w:fldCharType="begin"/>
      </w:r>
      <w:r>
        <w:instrText xml:space="preserve"> PAGEREF _Toc5031 </w:instrText>
      </w:r>
      <w:r>
        <w:fldChar w:fldCharType="separate"/>
      </w:r>
      <w:r>
        <w:t>33</w:t>
      </w:r>
      <w:r>
        <w:fldChar w:fldCharType="end"/>
      </w:r>
      <w:r>
        <w:fldChar w:fldCharType="end"/>
      </w:r>
    </w:p>
    <w:p>
      <w:pPr>
        <w:pStyle w:val="11"/>
        <w:tabs>
          <w:tab w:val="right" w:leader="dot" w:pos="8504"/>
          <w:tab w:val="clear" w:pos="9628"/>
        </w:tabs>
      </w:pPr>
      <w:r>
        <w:fldChar w:fldCharType="begin"/>
      </w:r>
      <w:r>
        <w:instrText xml:space="preserve"> HYPERLINK \l "_Toc17494" </w:instrText>
      </w:r>
      <w:r>
        <w:fldChar w:fldCharType="separate"/>
      </w:r>
      <w:r>
        <w:rPr>
          <w:rFonts w:hint="eastAsia"/>
        </w:rPr>
        <w:t>第五章工程量清单</w:t>
      </w:r>
      <w:r>
        <w:tab/>
      </w:r>
      <w:r>
        <w:fldChar w:fldCharType="begin"/>
      </w:r>
      <w:r>
        <w:instrText xml:space="preserve"> PAGEREF _Toc17494 </w:instrText>
      </w:r>
      <w:r>
        <w:fldChar w:fldCharType="separate"/>
      </w:r>
      <w:r>
        <w:t>37</w:t>
      </w:r>
      <w:r>
        <w:fldChar w:fldCharType="end"/>
      </w:r>
      <w:r>
        <w:fldChar w:fldCharType="end"/>
      </w:r>
    </w:p>
    <w:p>
      <w:pPr>
        <w:pStyle w:val="11"/>
        <w:tabs>
          <w:tab w:val="right" w:leader="dot" w:pos="8504"/>
          <w:tab w:val="clear" w:pos="9628"/>
        </w:tabs>
      </w:pPr>
      <w:r>
        <w:fldChar w:fldCharType="begin"/>
      </w:r>
      <w:r>
        <w:instrText xml:space="preserve"> HYPERLINK \l "_Toc5647" </w:instrText>
      </w:r>
      <w:r>
        <w:fldChar w:fldCharType="separate"/>
      </w:r>
      <w:r>
        <w:rPr>
          <w:rFonts w:hint="eastAsia"/>
        </w:rPr>
        <w:t>第六章图纸</w:t>
      </w:r>
      <w:r>
        <w:tab/>
      </w:r>
      <w:r>
        <w:fldChar w:fldCharType="begin"/>
      </w:r>
      <w:r>
        <w:instrText xml:space="preserve"> PAGEREF _Toc5647 </w:instrText>
      </w:r>
      <w:r>
        <w:fldChar w:fldCharType="separate"/>
      </w:r>
      <w:r>
        <w:t>44</w:t>
      </w:r>
      <w:r>
        <w:fldChar w:fldCharType="end"/>
      </w:r>
      <w:r>
        <w:fldChar w:fldCharType="end"/>
      </w:r>
    </w:p>
    <w:p>
      <w:pPr>
        <w:pStyle w:val="11"/>
        <w:tabs>
          <w:tab w:val="right" w:leader="dot" w:pos="8504"/>
          <w:tab w:val="clear" w:pos="9628"/>
        </w:tabs>
      </w:pPr>
      <w:r>
        <w:fldChar w:fldCharType="begin"/>
      </w:r>
      <w:r>
        <w:instrText xml:space="preserve"> HYPERLINK \l "_Toc6148" </w:instrText>
      </w:r>
      <w:r>
        <w:fldChar w:fldCharType="separate"/>
      </w:r>
      <w:r>
        <w:rPr>
          <w:rFonts w:hint="eastAsia"/>
        </w:rPr>
        <w:t>第七章技术标准和要求</w:t>
      </w:r>
      <w:r>
        <w:tab/>
      </w:r>
      <w:r>
        <w:fldChar w:fldCharType="begin"/>
      </w:r>
      <w:r>
        <w:instrText xml:space="preserve"> PAGEREF _Toc6148 </w:instrText>
      </w:r>
      <w:r>
        <w:fldChar w:fldCharType="separate"/>
      </w:r>
      <w:r>
        <w:t>45</w:t>
      </w:r>
      <w:r>
        <w:fldChar w:fldCharType="end"/>
      </w:r>
      <w:r>
        <w:fldChar w:fldCharType="end"/>
      </w:r>
    </w:p>
    <w:p>
      <w:pPr>
        <w:pStyle w:val="11"/>
        <w:tabs>
          <w:tab w:val="right" w:pos="3200"/>
          <w:tab w:val="right" w:leader="dot" w:pos="8504"/>
          <w:tab w:val="clear" w:pos="9628"/>
        </w:tabs>
      </w:pPr>
      <w:r>
        <w:fldChar w:fldCharType="begin"/>
      </w:r>
      <w:r>
        <w:instrText xml:space="preserve"> HYPERLINK \l "_Toc1402" </w:instrText>
      </w:r>
      <w:r>
        <w:fldChar w:fldCharType="separate"/>
      </w:r>
      <w:r>
        <w:rPr>
          <w:rFonts w:hint="eastAsia"/>
        </w:rPr>
        <w:t>第八章</w:t>
      </w:r>
      <w:r>
        <w:tab/>
      </w:r>
      <w:r>
        <w:rPr>
          <w:rFonts w:hint="eastAsia"/>
        </w:rPr>
        <w:t>响应文件格式</w:t>
      </w:r>
      <w:r>
        <w:tab/>
      </w:r>
      <w:r>
        <w:fldChar w:fldCharType="begin"/>
      </w:r>
      <w:r>
        <w:instrText xml:space="preserve"> PAGEREF _Toc1402 </w:instrText>
      </w:r>
      <w:r>
        <w:fldChar w:fldCharType="separate"/>
      </w:r>
      <w:r>
        <w:t>47</w:t>
      </w:r>
      <w:r>
        <w:fldChar w:fldCharType="end"/>
      </w:r>
      <w:r>
        <w:fldChar w:fldCharType="end"/>
      </w:r>
    </w:p>
    <w:p>
      <w:pPr>
        <w:pStyle w:val="11"/>
        <w:tabs>
          <w:tab w:val="right" w:leader="dot" w:pos="8504"/>
          <w:tab w:val="clear" w:pos="9628"/>
        </w:tabs>
      </w:pPr>
      <w:r>
        <w:fldChar w:fldCharType="begin"/>
      </w:r>
      <w:r>
        <w:instrText xml:space="preserve"> HYPERLINK \l "_Toc6410" </w:instrText>
      </w:r>
      <w:r>
        <w:fldChar w:fldCharType="separate"/>
      </w:r>
      <w:r>
        <w:rPr>
          <w:rFonts w:hint="eastAsia"/>
          <w:szCs w:val="28"/>
        </w:rPr>
        <w:t>一、投标函、投标函附录</w:t>
      </w:r>
      <w:r>
        <w:tab/>
      </w:r>
      <w:r>
        <w:fldChar w:fldCharType="begin"/>
      </w:r>
      <w:r>
        <w:instrText xml:space="preserve"> PAGEREF _Toc6410 </w:instrText>
      </w:r>
      <w:r>
        <w:fldChar w:fldCharType="separate"/>
      </w:r>
      <w:r>
        <w:t>49</w:t>
      </w:r>
      <w:r>
        <w:fldChar w:fldCharType="end"/>
      </w:r>
      <w:r>
        <w:fldChar w:fldCharType="end"/>
      </w:r>
    </w:p>
    <w:p>
      <w:pPr>
        <w:pStyle w:val="11"/>
        <w:tabs>
          <w:tab w:val="right" w:leader="dot" w:pos="8504"/>
          <w:tab w:val="clear" w:pos="9628"/>
        </w:tabs>
      </w:pPr>
      <w:r>
        <w:fldChar w:fldCharType="begin"/>
      </w:r>
      <w:r>
        <w:instrText xml:space="preserve"> HYPERLINK \l "_Toc26804" </w:instrText>
      </w:r>
      <w:r>
        <w:fldChar w:fldCharType="separate"/>
      </w:r>
      <w:r>
        <w:rPr>
          <w:rFonts w:hint="eastAsia"/>
          <w:szCs w:val="28"/>
        </w:rPr>
        <w:t>（一）投标函</w:t>
      </w:r>
      <w:r>
        <w:tab/>
      </w:r>
      <w:r>
        <w:fldChar w:fldCharType="begin"/>
      </w:r>
      <w:r>
        <w:instrText xml:space="preserve"> PAGEREF _Toc26804 </w:instrText>
      </w:r>
      <w:r>
        <w:fldChar w:fldCharType="separate"/>
      </w:r>
      <w:r>
        <w:t>49</w:t>
      </w:r>
      <w:r>
        <w:fldChar w:fldCharType="end"/>
      </w:r>
      <w:r>
        <w:fldChar w:fldCharType="end"/>
      </w:r>
    </w:p>
    <w:p>
      <w:pPr>
        <w:pStyle w:val="11"/>
        <w:tabs>
          <w:tab w:val="right" w:leader="dot" w:pos="8504"/>
          <w:tab w:val="clear" w:pos="9628"/>
        </w:tabs>
      </w:pPr>
      <w:r>
        <w:fldChar w:fldCharType="begin"/>
      </w:r>
      <w:r>
        <w:instrText xml:space="preserve"> HYPERLINK \l "_Toc16406" </w:instrText>
      </w:r>
      <w:r>
        <w:fldChar w:fldCharType="separate"/>
      </w:r>
      <w:r>
        <w:rPr>
          <w:rFonts w:hint="eastAsia"/>
          <w:szCs w:val="28"/>
        </w:rPr>
        <w:t>（二）投标函附录</w:t>
      </w:r>
      <w:r>
        <w:tab/>
      </w:r>
      <w:r>
        <w:fldChar w:fldCharType="begin"/>
      </w:r>
      <w:r>
        <w:instrText xml:space="preserve"> PAGEREF _Toc16406 </w:instrText>
      </w:r>
      <w:r>
        <w:fldChar w:fldCharType="separate"/>
      </w:r>
      <w:r>
        <w:t>50</w:t>
      </w:r>
      <w:r>
        <w:fldChar w:fldCharType="end"/>
      </w:r>
      <w:r>
        <w:fldChar w:fldCharType="end"/>
      </w:r>
    </w:p>
    <w:p>
      <w:pPr>
        <w:pStyle w:val="11"/>
        <w:tabs>
          <w:tab w:val="right" w:leader="dot" w:pos="8504"/>
          <w:tab w:val="clear" w:pos="9628"/>
        </w:tabs>
      </w:pPr>
      <w:r>
        <w:fldChar w:fldCharType="begin"/>
      </w:r>
      <w:r>
        <w:instrText xml:space="preserve"> HYPERLINK \l "_Toc30334" </w:instrText>
      </w:r>
      <w:r>
        <w:fldChar w:fldCharType="separate"/>
      </w:r>
      <w:r>
        <w:rPr>
          <w:rFonts w:hint="eastAsia"/>
          <w:szCs w:val="28"/>
        </w:rPr>
        <w:t>投标函附录</w:t>
      </w:r>
      <w:r>
        <w:rPr>
          <w:szCs w:val="28"/>
        </w:rPr>
        <w:t>-1</w:t>
      </w:r>
      <w:r>
        <w:tab/>
      </w:r>
      <w:r>
        <w:fldChar w:fldCharType="begin"/>
      </w:r>
      <w:r>
        <w:instrText xml:space="preserve"> PAGEREF _Toc30334 </w:instrText>
      </w:r>
      <w:r>
        <w:fldChar w:fldCharType="separate"/>
      </w:r>
      <w:r>
        <w:t>50</w:t>
      </w:r>
      <w:r>
        <w:fldChar w:fldCharType="end"/>
      </w:r>
      <w:r>
        <w:fldChar w:fldCharType="end"/>
      </w:r>
    </w:p>
    <w:p>
      <w:pPr>
        <w:pStyle w:val="11"/>
        <w:tabs>
          <w:tab w:val="right" w:leader="dot" w:pos="8504"/>
          <w:tab w:val="clear" w:pos="9628"/>
        </w:tabs>
      </w:pPr>
      <w:r>
        <w:fldChar w:fldCharType="begin"/>
      </w:r>
      <w:r>
        <w:instrText xml:space="preserve"> HYPERLINK \l "_Toc11912" </w:instrText>
      </w:r>
      <w:r>
        <w:fldChar w:fldCharType="separate"/>
      </w:r>
      <w:r>
        <w:rPr>
          <w:rFonts w:hint="eastAsia"/>
          <w:szCs w:val="28"/>
        </w:rPr>
        <w:t>二、法定代表人身份证明</w:t>
      </w:r>
      <w:r>
        <w:tab/>
      </w:r>
      <w:r>
        <w:fldChar w:fldCharType="begin"/>
      </w:r>
      <w:r>
        <w:instrText xml:space="preserve"> PAGEREF _Toc11912 </w:instrText>
      </w:r>
      <w:r>
        <w:fldChar w:fldCharType="separate"/>
      </w:r>
      <w:r>
        <w:t>52</w:t>
      </w:r>
      <w:r>
        <w:fldChar w:fldCharType="end"/>
      </w:r>
      <w:r>
        <w:fldChar w:fldCharType="end"/>
      </w:r>
    </w:p>
    <w:p>
      <w:pPr>
        <w:pStyle w:val="11"/>
        <w:tabs>
          <w:tab w:val="right" w:leader="dot" w:pos="8504"/>
          <w:tab w:val="clear" w:pos="9628"/>
        </w:tabs>
      </w:pPr>
      <w:r>
        <w:fldChar w:fldCharType="begin"/>
      </w:r>
      <w:r>
        <w:instrText xml:space="preserve"> HYPERLINK \l "_Toc470" </w:instrText>
      </w:r>
      <w:r>
        <w:fldChar w:fldCharType="separate"/>
      </w:r>
      <w:r>
        <w:rPr>
          <w:rFonts w:hint="eastAsia"/>
          <w:szCs w:val="28"/>
        </w:rPr>
        <w:t>三、授权委托书</w:t>
      </w:r>
      <w:r>
        <w:tab/>
      </w:r>
      <w:r>
        <w:fldChar w:fldCharType="begin"/>
      </w:r>
      <w:r>
        <w:instrText xml:space="preserve"> PAGEREF _Toc470 </w:instrText>
      </w:r>
      <w:r>
        <w:fldChar w:fldCharType="separate"/>
      </w:r>
      <w:r>
        <w:t>53</w:t>
      </w:r>
      <w:r>
        <w:fldChar w:fldCharType="end"/>
      </w:r>
      <w:r>
        <w:fldChar w:fldCharType="end"/>
      </w:r>
    </w:p>
    <w:p>
      <w:pPr>
        <w:pStyle w:val="11"/>
        <w:tabs>
          <w:tab w:val="right" w:leader="dot" w:pos="8504"/>
          <w:tab w:val="clear" w:pos="9628"/>
        </w:tabs>
      </w:pPr>
      <w:r>
        <w:fldChar w:fldCharType="begin"/>
      </w:r>
      <w:r>
        <w:instrText xml:space="preserve"> HYPERLINK \l "_Toc11802" </w:instrText>
      </w:r>
      <w:r>
        <w:fldChar w:fldCharType="separate"/>
      </w:r>
      <w:r>
        <w:rPr>
          <w:rFonts w:hint="eastAsia"/>
          <w:szCs w:val="28"/>
        </w:rPr>
        <w:t>四、磋商保证金</w:t>
      </w:r>
      <w:r>
        <w:tab/>
      </w:r>
      <w:r>
        <w:fldChar w:fldCharType="begin"/>
      </w:r>
      <w:r>
        <w:instrText xml:space="preserve"> PAGEREF _Toc11802 </w:instrText>
      </w:r>
      <w:r>
        <w:fldChar w:fldCharType="separate"/>
      </w:r>
      <w:r>
        <w:t>54</w:t>
      </w:r>
      <w:r>
        <w:fldChar w:fldCharType="end"/>
      </w:r>
      <w:r>
        <w:fldChar w:fldCharType="end"/>
      </w:r>
    </w:p>
    <w:p>
      <w:pPr>
        <w:pStyle w:val="11"/>
        <w:tabs>
          <w:tab w:val="right" w:leader="dot" w:pos="8504"/>
          <w:tab w:val="clear" w:pos="9628"/>
        </w:tabs>
      </w:pPr>
      <w:r>
        <w:fldChar w:fldCharType="begin"/>
      </w:r>
      <w:r>
        <w:instrText xml:space="preserve"> HYPERLINK \l "_Toc11636" </w:instrText>
      </w:r>
      <w:r>
        <w:fldChar w:fldCharType="separate"/>
      </w:r>
      <w:r>
        <w:rPr>
          <w:rFonts w:hint="eastAsia" w:cs="黑体"/>
          <w:szCs w:val="28"/>
        </w:rPr>
        <w:t>五</w:t>
      </w:r>
      <w:r>
        <w:rPr>
          <w:rFonts w:hint="eastAsia"/>
          <w:szCs w:val="28"/>
        </w:rPr>
        <w:t>、已标价工程量清单</w:t>
      </w:r>
      <w:r>
        <w:tab/>
      </w:r>
      <w:r>
        <w:fldChar w:fldCharType="begin"/>
      </w:r>
      <w:r>
        <w:instrText xml:space="preserve"> PAGEREF _Toc11636 </w:instrText>
      </w:r>
      <w:r>
        <w:fldChar w:fldCharType="separate"/>
      </w:r>
      <w:r>
        <w:t>55</w:t>
      </w:r>
      <w:r>
        <w:fldChar w:fldCharType="end"/>
      </w:r>
      <w:r>
        <w:fldChar w:fldCharType="end"/>
      </w:r>
    </w:p>
    <w:p>
      <w:pPr>
        <w:pStyle w:val="11"/>
        <w:tabs>
          <w:tab w:val="right" w:leader="dot" w:pos="8504"/>
          <w:tab w:val="clear" w:pos="9628"/>
        </w:tabs>
      </w:pPr>
      <w:r>
        <w:fldChar w:fldCharType="begin"/>
      </w:r>
      <w:r>
        <w:instrText xml:space="preserve"> HYPERLINK \l "_Toc32483" </w:instrText>
      </w:r>
      <w:r>
        <w:fldChar w:fldCharType="separate"/>
      </w:r>
      <w:r>
        <w:rPr>
          <w:rFonts w:hint="eastAsia"/>
          <w:szCs w:val="28"/>
        </w:rPr>
        <w:t>六、项目管理机构</w:t>
      </w:r>
      <w:r>
        <w:tab/>
      </w:r>
      <w:r>
        <w:fldChar w:fldCharType="begin"/>
      </w:r>
      <w:r>
        <w:instrText xml:space="preserve"> PAGEREF _Toc32483 </w:instrText>
      </w:r>
      <w:r>
        <w:fldChar w:fldCharType="separate"/>
      </w:r>
      <w:r>
        <w:t>56</w:t>
      </w:r>
      <w:r>
        <w:fldChar w:fldCharType="end"/>
      </w:r>
      <w:r>
        <w:fldChar w:fldCharType="end"/>
      </w:r>
    </w:p>
    <w:p>
      <w:pPr>
        <w:pStyle w:val="11"/>
        <w:tabs>
          <w:tab w:val="right" w:leader="dot" w:pos="8504"/>
          <w:tab w:val="clear" w:pos="9628"/>
        </w:tabs>
      </w:pPr>
      <w:r>
        <w:fldChar w:fldCharType="begin"/>
      </w:r>
      <w:r>
        <w:instrText xml:space="preserve"> HYPERLINK \l "_Toc18512" </w:instrText>
      </w:r>
      <w:r>
        <w:fldChar w:fldCharType="separate"/>
      </w:r>
      <w:r>
        <w:rPr>
          <w:rFonts w:hint="eastAsia"/>
          <w:szCs w:val="28"/>
        </w:rPr>
        <w:t>七、施工组织设计</w:t>
      </w:r>
      <w:r>
        <w:tab/>
      </w:r>
      <w:r>
        <w:fldChar w:fldCharType="begin"/>
      </w:r>
      <w:r>
        <w:instrText xml:space="preserve"> PAGEREF _Toc18512 </w:instrText>
      </w:r>
      <w:r>
        <w:fldChar w:fldCharType="separate"/>
      </w:r>
      <w:r>
        <w:t>58</w:t>
      </w:r>
      <w:r>
        <w:fldChar w:fldCharType="end"/>
      </w:r>
      <w:r>
        <w:fldChar w:fldCharType="end"/>
      </w:r>
    </w:p>
    <w:p>
      <w:pPr>
        <w:pStyle w:val="11"/>
        <w:tabs>
          <w:tab w:val="right" w:leader="dot" w:pos="8504"/>
          <w:tab w:val="clear" w:pos="9628"/>
        </w:tabs>
      </w:pPr>
      <w:r>
        <w:fldChar w:fldCharType="begin"/>
      </w:r>
      <w:r>
        <w:instrText xml:space="preserve"> HYPERLINK \l "_Toc28241" </w:instrText>
      </w:r>
      <w:r>
        <w:fldChar w:fldCharType="separate"/>
      </w:r>
      <w:r>
        <w:rPr>
          <w:rFonts w:hint="eastAsia"/>
        </w:rPr>
        <w:t>第九章资格后审文件</w:t>
      </w:r>
      <w:r>
        <w:tab/>
      </w:r>
      <w:r>
        <w:fldChar w:fldCharType="begin"/>
      </w:r>
      <w:r>
        <w:instrText xml:space="preserve"> PAGEREF _Toc28241 </w:instrText>
      </w:r>
      <w:r>
        <w:fldChar w:fldCharType="separate"/>
      </w:r>
      <w:r>
        <w:t>59</w:t>
      </w:r>
      <w:r>
        <w:fldChar w:fldCharType="end"/>
      </w:r>
      <w:r>
        <w:fldChar w:fldCharType="end"/>
      </w:r>
    </w:p>
    <w:p>
      <w:pPr>
        <w:jc w:val="left"/>
        <w:rPr>
          <w:rFonts w:ascii="宋体"/>
        </w:rPr>
      </w:pPr>
      <w:r>
        <w:rPr>
          <w:bCs/>
        </w:rPr>
        <w:fldChar w:fldCharType="end"/>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pStyle w:val="12"/>
        <w:tabs>
          <w:tab w:val="right" w:leader="dot" w:pos="9077"/>
        </w:tabs>
        <w:spacing w:line="360" w:lineRule="auto"/>
        <w:ind w:left="0" w:leftChars="0" w:right="-65" w:rightChars="-31" w:firstLine="0" w:firstLineChars="0"/>
        <w:jc w:val="both"/>
        <w:outlineLvl w:val="0"/>
        <w:rPr>
          <w:rFonts w:ascii="宋体"/>
          <w:b/>
          <w:sz w:val="32"/>
          <w:szCs w:val="32"/>
        </w:rPr>
      </w:pPr>
      <w:bookmarkStart w:id="1" w:name="_Toc30143"/>
      <w:r>
        <w:rPr>
          <w:rFonts w:hint="eastAsia" w:ascii="宋体" w:hAnsi="宋体"/>
          <w:b/>
          <w:sz w:val="32"/>
          <w:szCs w:val="32"/>
        </w:rPr>
        <w:t>山东大学第二医院口腔科</w:t>
      </w:r>
      <w:r>
        <w:rPr>
          <w:rFonts w:ascii="宋体" w:hAnsi="宋体"/>
          <w:b/>
          <w:sz w:val="32"/>
          <w:szCs w:val="32"/>
        </w:rPr>
        <w:t>CT</w:t>
      </w:r>
      <w:r>
        <w:rPr>
          <w:rFonts w:hint="eastAsia" w:ascii="宋体" w:hAnsi="宋体"/>
          <w:b/>
          <w:sz w:val="32"/>
          <w:szCs w:val="32"/>
        </w:rPr>
        <w:t>、牙片机房配套改造工程</w:t>
      </w:r>
      <w:bookmarkEnd w:id="1"/>
    </w:p>
    <w:p>
      <w:pPr>
        <w:pStyle w:val="12"/>
        <w:tabs>
          <w:tab w:val="right" w:leader="dot" w:pos="9077"/>
        </w:tabs>
        <w:spacing w:line="360" w:lineRule="auto"/>
        <w:ind w:right="-65" w:rightChars="-31"/>
        <w:jc w:val="center"/>
        <w:outlineLvl w:val="0"/>
        <w:rPr>
          <w:rFonts w:ascii="宋体"/>
          <w:b/>
          <w:sz w:val="32"/>
          <w:szCs w:val="32"/>
        </w:rPr>
      </w:pPr>
      <w:bookmarkStart w:id="2" w:name="_Toc6305"/>
      <w:r>
        <w:rPr>
          <w:rFonts w:hint="eastAsia" w:ascii="宋体" w:hAnsi="宋体"/>
          <w:b/>
          <w:sz w:val="32"/>
          <w:szCs w:val="32"/>
        </w:rPr>
        <w:t>竞争性磋商公告</w:t>
      </w:r>
      <w:bookmarkEnd w:id="2"/>
    </w:p>
    <w:p>
      <w:pPr>
        <w:pStyle w:val="13"/>
        <w:shd w:val="clear" w:color="auto" w:fill="FFFFFF"/>
        <w:spacing w:beforeAutospacing="0" w:after="96" w:afterAutospacing="0" w:line="348" w:lineRule="atLeast"/>
        <w:ind w:firstLine="480" w:firstLineChars="200"/>
        <w:rPr>
          <w:rFonts w:ascii="Verdana" w:hAnsi="Verdana" w:cs="Verdana"/>
          <w:color w:val="333333"/>
        </w:rPr>
      </w:pPr>
      <w:r>
        <w:rPr>
          <w:rStyle w:val="15"/>
          <w:rFonts w:hint="eastAsia" w:cs="宋体"/>
          <w:b w:val="0"/>
          <w:color w:val="333333"/>
          <w:shd w:val="clear" w:color="auto" w:fill="FFFFFF"/>
        </w:rPr>
        <w:t>一、</w:t>
      </w:r>
      <w:r>
        <w:rPr>
          <w:rStyle w:val="15"/>
          <w:rFonts w:hint="eastAsia" w:cs="宋体"/>
          <w:bCs w:val="0"/>
          <w:color w:val="333333"/>
          <w:shd w:val="clear" w:color="auto" w:fill="FFFFFF"/>
        </w:rPr>
        <w:t>采购人名称</w:t>
      </w:r>
      <w:r>
        <w:rPr>
          <w:rStyle w:val="15"/>
          <w:rFonts w:hint="eastAsia" w:cs="宋体"/>
          <w:b w:val="0"/>
          <w:color w:val="333333"/>
          <w:shd w:val="clear" w:color="auto" w:fill="FFFFFF"/>
        </w:rPr>
        <w:t>：</w:t>
      </w:r>
      <w:r>
        <w:rPr>
          <w:rFonts w:hint="eastAsia"/>
          <w:color w:val="333333"/>
          <w:shd w:val="clear" w:color="auto" w:fill="FFFFFF"/>
        </w:rPr>
        <w:t>山东大学第二医院</w:t>
      </w:r>
    </w:p>
    <w:p>
      <w:pPr>
        <w:pStyle w:val="13"/>
        <w:shd w:val="clear" w:color="auto" w:fill="FFFFFF"/>
        <w:spacing w:beforeAutospacing="0" w:after="96" w:afterAutospacing="0" w:line="348" w:lineRule="atLeast"/>
        <w:ind w:firstLine="336"/>
        <w:rPr>
          <w:rFonts w:ascii="Verdana" w:hAnsi="Verdana" w:cs="Verdana"/>
          <w:color w:val="333333"/>
        </w:rPr>
      </w:pPr>
      <w:r>
        <w:rPr>
          <w:rFonts w:hint="eastAsia"/>
          <w:color w:val="333333"/>
          <w:shd w:val="clear" w:color="auto" w:fill="FFFFFF"/>
        </w:rPr>
        <w:t>地址：济南市天桥区北园路</w:t>
      </w:r>
      <w:r>
        <w:rPr>
          <w:color w:val="333333"/>
          <w:shd w:val="clear" w:color="auto" w:fill="FFFFFF"/>
        </w:rPr>
        <w:t>247</w:t>
      </w:r>
      <w:r>
        <w:rPr>
          <w:rFonts w:hint="eastAsia"/>
          <w:color w:val="333333"/>
          <w:shd w:val="clear" w:color="auto" w:fill="FFFFFF"/>
        </w:rPr>
        <w:t>号</w:t>
      </w:r>
    </w:p>
    <w:p>
      <w:pPr>
        <w:pStyle w:val="13"/>
        <w:shd w:val="clear" w:color="auto" w:fill="FFFFFF"/>
        <w:spacing w:beforeAutospacing="0" w:after="96" w:afterAutospacing="0" w:line="348" w:lineRule="atLeast"/>
        <w:ind w:firstLine="336"/>
        <w:rPr>
          <w:rFonts w:ascii="Verdana" w:hAnsi="Verdana" w:cs="Verdana"/>
          <w:color w:val="333333"/>
        </w:rPr>
      </w:pPr>
      <w:r>
        <w:rPr>
          <w:rFonts w:hint="eastAsia"/>
          <w:color w:val="333333"/>
          <w:shd w:val="clear" w:color="auto" w:fill="FFFFFF"/>
        </w:rPr>
        <w:t>联系方式：</w:t>
      </w:r>
      <w:r>
        <w:rPr>
          <w:color w:val="333333"/>
          <w:shd w:val="clear" w:color="auto" w:fill="FFFFFF"/>
        </w:rPr>
        <w:t>0531-85875076</w:t>
      </w:r>
    </w:p>
    <w:p>
      <w:pPr>
        <w:pStyle w:val="13"/>
        <w:shd w:val="clear" w:color="auto" w:fill="FFFFFF"/>
        <w:spacing w:beforeAutospacing="0" w:after="96" w:afterAutospacing="0" w:line="348" w:lineRule="atLeast"/>
        <w:ind w:firstLine="480" w:firstLineChars="200"/>
        <w:rPr>
          <w:rFonts w:ascii="Verdana" w:hAnsi="Verdana" w:cs="Verdana"/>
          <w:color w:val="333333"/>
        </w:rPr>
      </w:pPr>
      <w:r>
        <w:rPr>
          <w:rStyle w:val="15"/>
          <w:rFonts w:hint="eastAsia" w:cs="宋体"/>
          <w:b w:val="0"/>
          <w:color w:val="333333"/>
          <w:shd w:val="clear" w:color="auto" w:fill="FFFFFF"/>
        </w:rPr>
        <w:t>二、</w:t>
      </w:r>
      <w:r>
        <w:rPr>
          <w:rStyle w:val="15"/>
          <w:rFonts w:hint="eastAsia" w:cs="宋体"/>
          <w:bCs w:val="0"/>
          <w:color w:val="333333"/>
          <w:shd w:val="clear" w:color="auto" w:fill="FFFFFF"/>
        </w:rPr>
        <w:t>招标代理机构名称</w:t>
      </w:r>
      <w:r>
        <w:rPr>
          <w:rStyle w:val="15"/>
          <w:rFonts w:hint="eastAsia" w:cs="宋体"/>
          <w:b w:val="0"/>
          <w:color w:val="333333"/>
          <w:shd w:val="clear" w:color="auto" w:fill="FFFFFF"/>
        </w:rPr>
        <w:t>：</w:t>
      </w:r>
      <w:r>
        <w:rPr>
          <w:rFonts w:hint="eastAsia"/>
        </w:rPr>
        <w:t>山东齐信招标有限公司</w:t>
      </w:r>
    </w:p>
    <w:p>
      <w:pPr>
        <w:pStyle w:val="13"/>
        <w:shd w:val="clear" w:color="auto" w:fill="FFFFFF"/>
        <w:spacing w:beforeAutospacing="0" w:after="96" w:afterAutospacing="0" w:line="348" w:lineRule="atLeast"/>
        <w:ind w:left="312"/>
        <w:rPr>
          <w:rFonts w:ascii="Verdana" w:hAnsi="Verdana" w:cs="Verdana"/>
          <w:color w:val="333333"/>
        </w:rPr>
      </w:pPr>
      <w:r>
        <w:rPr>
          <w:rFonts w:hint="eastAsia"/>
          <w:color w:val="333333"/>
          <w:shd w:val="clear" w:color="auto" w:fill="FFFFFF"/>
        </w:rPr>
        <w:t>地址：</w:t>
      </w:r>
      <w:r>
        <w:rPr>
          <w:rFonts w:hint="eastAsia"/>
        </w:rPr>
        <w:t>济南市市中区二环南路</w:t>
      </w:r>
      <w:r>
        <w:t>6636</w:t>
      </w:r>
      <w:r>
        <w:rPr>
          <w:rFonts w:hint="eastAsia"/>
        </w:rPr>
        <w:t>号中海广场</w:t>
      </w:r>
      <w:r>
        <w:t>6</w:t>
      </w:r>
      <w:r>
        <w:rPr>
          <w:rFonts w:hint="eastAsia"/>
        </w:rPr>
        <w:t>楼</w:t>
      </w:r>
      <w:r>
        <w:t>603</w:t>
      </w:r>
      <w:r>
        <w:rPr>
          <w:rFonts w:hint="eastAsia"/>
        </w:rPr>
        <w:t>室</w:t>
      </w:r>
    </w:p>
    <w:p>
      <w:pPr>
        <w:pStyle w:val="13"/>
        <w:shd w:val="clear" w:color="auto" w:fill="FFFFFF"/>
        <w:spacing w:beforeAutospacing="0" w:after="96" w:afterAutospacing="0" w:line="348" w:lineRule="atLeast"/>
        <w:ind w:left="312"/>
        <w:rPr>
          <w:rFonts w:ascii="Verdana" w:hAnsi="Verdana" w:cs="Verdana"/>
          <w:color w:val="333333"/>
        </w:rPr>
      </w:pPr>
      <w:r>
        <w:rPr>
          <w:rFonts w:hint="eastAsia"/>
          <w:color w:val="333333"/>
          <w:shd w:val="clear" w:color="auto" w:fill="FFFFFF"/>
        </w:rPr>
        <w:t>联系方式：</w:t>
      </w:r>
      <w:r>
        <w:t xml:space="preserve">0531-88259318 </w:t>
      </w:r>
    </w:p>
    <w:p>
      <w:pPr>
        <w:pStyle w:val="23"/>
        <w:spacing w:line="480" w:lineRule="exact"/>
        <w:ind w:firstLine="422" w:firstLineChars="200"/>
        <w:rPr>
          <w:bCs/>
        </w:rPr>
      </w:pPr>
      <w:r>
        <w:rPr>
          <w:rFonts w:hint="eastAsia"/>
          <w:b/>
        </w:rPr>
        <w:t>三、采购项目名称：</w:t>
      </w:r>
      <w:r>
        <w:rPr>
          <w:rFonts w:hint="eastAsia"/>
          <w:szCs w:val="24"/>
        </w:rPr>
        <w:t>山东大学第二医院口腔科</w:t>
      </w:r>
      <w:r>
        <w:rPr>
          <w:szCs w:val="24"/>
        </w:rPr>
        <w:t>CT</w:t>
      </w:r>
      <w:r>
        <w:rPr>
          <w:rFonts w:hint="eastAsia"/>
          <w:szCs w:val="24"/>
        </w:rPr>
        <w:t>、牙片机房配套改造工程</w:t>
      </w:r>
    </w:p>
    <w:p>
      <w:pPr>
        <w:pStyle w:val="23"/>
        <w:spacing w:line="480" w:lineRule="exact"/>
        <w:ind w:left="2256" w:leftChars="171" w:right="-65" w:rightChars="-31" w:hanging="1897" w:hangingChars="900"/>
        <w:rPr>
          <w:b/>
        </w:rPr>
      </w:pPr>
      <w:r>
        <w:rPr>
          <w:rFonts w:hint="eastAsia"/>
          <w:b/>
        </w:rPr>
        <w:t>四、采购项目编号：</w:t>
      </w:r>
      <w:r>
        <w:rPr>
          <w:bCs/>
        </w:rPr>
        <w:t>QX-zb-1710000358</w:t>
      </w:r>
    </w:p>
    <w:p>
      <w:pPr>
        <w:pStyle w:val="23"/>
        <w:spacing w:line="480" w:lineRule="exact"/>
        <w:ind w:right="-65" w:rightChars="-31" w:firstLine="316" w:firstLineChars="150"/>
        <w:rPr>
          <w:b/>
        </w:rPr>
      </w:pPr>
      <w:r>
        <w:rPr>
          <w:rFonts w:hint="eastAsia"/>
          <w:b/>
        </w:rPr>
        <w:t>五、采购项目情况：</w:t>
      </w:r>
    </w:p>
    <w:tbl>
      <w:tblPr>
        <w:tblStyle w:val="16"/>
        <w:tblW w:w="8698"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1980"/>
        <w:gridCol w:w="4493"/>
        <w:gridCol w:w="758"/>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1" w:hRule="atLeast"/>
          <w:tblCellSpacing w:w="0" w:type="dxa"/>
          <w:jc w:val="center"/>
        </w:trPr>
        <w:tc>
          <w:tcPr>
            <w:tcW w:w="714" w:type="dxa"/>
            <w:vAlign w:val="center"/>
          </w:tcPr>
          <w:p>
            <w:pPr>
              <w:pStyle w:val="23"/>
              <w:spacing w:line="360" w:lineRule="auto"/>
              <w:ind w:right="-65" w:rightChars="-31" w:firstLine="105" w:firstLineChars="50"/>
              <w:rPr>
                <w:szCs w:val="24"/>
              </w:rPr>
            </w:pPr>
            <w:r>
              <w:rPr>
                <w:rFonts w:hint="eastAsia"/>
                <w:szCs w:val="24"/>
              </w:rPr>
              <w:t>采购</w:t>
            </w:r>
          </w:p>
          <w:p>
            <w:pPr>
              <w:pStyle w:val="23"/>
              <w:spacing w:line="360" w:lineRule="auto"/>
              <w:ind w:right="-65" w:rightChars="-31" w:firstLine="105" w:firstLineChars="50"/>
              <w:rPr>
                <w:szCs w:val="24"/>
              </w:rPr>
            </w:pPr>
            <w:r>
              <w:rPr>
                <w:rFonts w:hint="eastAsia"/>
                <w:szCs w:val="24"/>
              </w:rPr>
              <w:t>内容</w:t>
            </w:r>
          </w:p>
        </w:tc>
        <w:tc>
          <w:tcPr>
            <w:tcW w:w="1980" w:type="dxa"/>
            <w:vAlign w:val="center"/>
          </w:tcPr>
          <w:p>
            <w:pPr>
              <w:pStyle w:val="23"/>
              <w:spacing w:line="360" w:lineRule="auto"/>
              <w:ind w:right="-65" w:rightChars="-31" w:firstLine="0"/>
              <w:jc w:val="center"/>
              <w:rPr>
                <w:szCs w:val="24"/>
              </w:rPr>
            </w:pPr>
            <w:r>
              <w:rPr>
                <w:rFonts w:hint="eastAsia"/>
                <w:szCs w:val="24"/>
              </w:rPr>
              <w:t>采购需求</w:t>
            </w:r>
          </w:p>
        </w:tc>
        <w:tc>
          <w:tcPr>
            <w:tcW w:w="4493" w:type="dxa"/>
            <w:vAlign w:val="center"/>
          </w:tcPr>
          <w:p>
            <w:pPr>
              <w:pStyle w:val="23"/>
              <w:spacing w:line="360" w:lineRule="auto"/>
              <w:ind w:right="-65" w:rightChars="-31" w:firstLine="0"/>
              <w:jc w:val="center"/>
              <w:rPr>
                <w:szCs w:val="24"/>
              </w:rPr>
            </w:pPr>
            <w:r>
              <w:rPr>
                <w:rFonts w:hint="eastAsia"/>
                <w:szCs w:val="24"/>
              </w:rPr>
              <w:t>供应商资格要求</w:t>
            </w:r>
          </w:p>
        </w:tc>
        <w:tc>
          <w:tcPr>
            <w:tcW w:w="758" w:type="dxa"/>
            <w:vAlign w:val="center"/>
          </w:tcPr>
          <w:p>
            <w:pPr>
              <w:pStyle w:val="23"/>
              <w:spacing w:line="360" w:lineRule="auto"/>
              <w:ind w:right="-65" w:rightChars="-31" w:firstLine="0"/>
              <w:rPr>
                <w:szCs w:val="24"/>
              </w:rPr>
            </w:pPr>
            <w:r>
              <w:rPr>
                <w:rFonts w:hint="eastAsia"/>
                <w:szCs w:val="24"/>
              </w:rPr>
              <w:t>预算</w:t>
            </w:r>
          </w:p>
          <w:p>
            <w:pPr>
              <w:pStyle w:val="23"/>
              <w:spacing w:line="360" w:lineRule="auto"/>
              <w:ind w:right="-65" w:rightChars="-31" w:firstLine="0"/>
              <w:rPr>
                <w:szCs w:val="24"/>
              </w:rPr>
            </w:pPr>
            <w:r>
              <w:rPr>
                <w:rFonts w:hint="eastAsia"/>
                <w:szCs w:val="24"/>
              </w:rPr>
              <w:t>金额</w:t>
            </w:r>
          </w:p>
        </w:tc>
        <w:tc>
          <w:tcPr>
            <w:tcW w:w="753" w:type="dxa"/>
            <w:vAlign w:val="center"/>
          </w:tcPr>
          <w:p>
            <w:pPr>
              <w:pStyle w:val="23"/>
              <w:spacing w:line="360" w:lineRule="auto"/>
              <w:ind w:right="-65" w:rightChars="-31" w:firstLine="0"/>
              <w:rPr>
                <w:szCs w:val="24"/>
              </w:rPr>
            </w:pPr>
            <w:r>
              <w:rPr>
                <w:rFonts w:hint="eastAsia"/>
                <w:szCs w:val="24"/>
              </w:rPr>
              <w:t>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CellSpacing w:w="0" w:type="dxa"/>
          <w:jc w:val="center"/>
        </w:trPr>
        <w:tc>
          <w:tcPr>
            <w:tcW w:w="714" w:type="dxa"/>
            <w:vAlign w:val="center"/>
          </w:tcPr>
          <w:p>
            <w:pPr>
              <w:pStyle w:val="23"/>
              <w:spacing w:line="360" w:lineRule="auto"/>
              <w:ind w:right="-65" w:rightChars="-31" w:firstLine="0"/>
              <w:jc w:val="center"/>
              <w:rPr>
                <w:bCs/>
                <w:szCs w:val="24"/>
              </w:rPr>
            </w:pPr>
          </w:p>
          <w:p>
            <w:pPr>
              <w:pStyle w:val="23"/>
              <w:spacing w:line="480" w:lineRule="exact"/>
              <w:ind w:left="57" w:leftChars="27" w:firstLine="0"/>
              <w:rPr>
                <w:bCs/>
              </w:rPr>
            </w:pPr>
            <w:r>
              <w:rPr>
                <w:rFonts w:hint="eastAsia"/>
                <w:szCs w:val="24"/>
              </w:rPr>
              <w:t>山东大学第二医院口腔科</w:t>
            </w:r>
            <w:r>
              <w:rPr>
                <w:szCs w:val="24"/>
              </w:rPr>
              <w:t>CT</w:t>
            </w:r>
            <w:r>
              <w:rPr>
                <w:rFonts w:hint="eastAsia"/>
                <w:szCs w:val="24"/>
              </w:rPr>
              <w:t>、牙片机房配套改造工程</w:t>
            </w:r>
          </w:p>
        </w:tc>
        <w:tc>
          <w:tcPr>
            <w:tcW w:w="1980" w:type="dxa"/>
            <w:vAlign w:val="center"/>
          </w:tcPr>
          <w:p>
            <w:pPr>
              <w:spacing w:line="500" w:lineRule="exact"/>
              <w:rPr>
                <w:rFonts w:ascii="宋体"/>
              </w:rPr>
            </w:pPr>
            <w:r>
              <w:rPr>
                <w:rFonts w:hint="eastAsia" w:ascii="宋体" w:hAnsi="宋体" w:cs="宋体"/>
              </w:rPr>
              <w:t>本项目为</w:t>
            </w:r>
            <w:r>
              <w:rPr>
                <w:rFonts w:hint="eastAsia" w:ascii="宋体" w:hAnsi="宋体" w:cs="宋体"/>
                <w:bCs/>
              </w:rPr>
              <w:t>机房配套改造工程项目</w:t>
            </w:r>
            <w:r>
              <w:rPr>
                <w:rFonts w:hint="eastAsia" w:ascii="宋体" w:hAnsi="宋体" w:cs="宋体"/>
              </w:rPr>
              <w:t>，建设地点</w:t>
            </w:r>
            <w:r>
              <w:rPr>
                <w:rFonts w:hint="eastAsia" w:ascii="宋体" w:hAnsi="宋体" w:cs="宋体"/>
                <w:bCs/>
              </w:rPr>
              <w:t>位于济南市天桥区北园大街</w:t>
            </w:r>
            <w:r>
              <w:rPr>
                <w:rFonts w:ascii="宋体" w:hAnsi="宋体" w:cs="宋体"/>
                <w:bCs/>
              </w:rPr>
              <w:t>247</w:t>
            </w:r>
            <w:r>
              <w:rPr>
                <w:rFonts w:hint="eastAsia" w:ascii="宋体" w:hAnsi="宋体" w:cs="宋体"/>
                <w:bCs/>
              </w:rPr>
              <w:t>号山东大学第二医院院内</w:t>
            </w:r>
            <w:r>
              <w:rPr>
                <w:rFonts w:hint="eastAsia" w:ascii="宋体" w:hAnsi="宋体" w:cs="宋体"/>
              </w:rPr>
              <w:t>，</w:t>
            </w:r>
            <w:r>
              <w:rPr>
                <w:rFonts w:hint="eastAsia" w:ascii="宋体" w:hAnsi="宋体" w:cs="宋体"/>
                <w:bCs/>
              </w:rPr>
              <w:t>为门诊楼五层</w:t>
            </w:r>
            <w:r>
              <w:rPr>
                <w:rFonts w:ascii="宋体" w:hAnsi="宋体" w:cs="宋体"/>
                <w:bCs/>
              </w:rPr>
              <w:t>CT</w:t>
            </w:r>
            <w:r>
              <w:rPr>
                <w:rFonts w:hint="eastAsia" w:ascii="宋体" w:hAnsi="宋体" w:cs="宋体"/>
                <w:bCs/>
              </w:rPr>
              <w:t>、牙片机房配套改造工程，面积约</w:t>
            </w:r>
            <w:r>
              <w:rPr>
                <w:rFonts w:ascii="宋体" w:hAnsi="宋体" w:cs="宋体"/>
                <w:bCs/>
              </w:rPr>
              <w:t>50</w:t>
            </w:r>
            <w:r>
              <w:rPr>
                <w:rFonts w:hint="eastAsia" w:ascii="宋体" w:hAnsi="宋体" w:cs="宋体"/>
                <w:bCs/>
              </w:rPr>
              <w:t>平米，工程主要内容有：拆除及垃圾外运，装饰工程，安装工程，防护工程等。</w:t>
            </w:r>
          </w:p>
        </w:tc>
        <w:tc>
          <w:tcPr>
            <w:tcW w:w="4493" w:type="dxa"/>
            <w:vAlign w:val="center"/>
          </w:tcPr>
          <w:p>
            <w:pPr>
              <w:spacing w:line="360" w:lineRule="auto"/>
            </w:pPr>
            <w:r>
              <w:t>1</w:t>
            </w:r>
            <w:r>
              <w:rPr>
                <w:rFonts w:hint="eastAsia"/>
              </w:rPr>
              <w:t>、在中华人民共和国境内注册，具有独立法人资格；</w:t>
            </w:r>
          </w:p>
          <w:p>
            <w:pPr>
              <w:spacing w:line="360" w:lineRule="auto"/>
            </w:pPr>
            <w:r>
              <w:t>2</w:t>
            </w:r>
            <w:r>
              <w:rPr>
                <w:rFonts w:hint="eastAsia"/>
              </w:rPr>
              <w:t>、具有机电设备安装叁级及以上资质、装饰装修专业叁级及以上资质；经营范围内包含放射防护工程施工等类似内容；提供建设行政主管部分颁发的安全生产许可证；</w:t>
            </w:r>
          </w:p>
          <w:p>
            <w:pPr>
              <w:spacing w:line="360" w:lineRule="auto"/>
            </w:pPr>
            <w:r>
              <w:t>3</w:t>
            </w:r>
            <w:r>
              <w:rPr>
                <w:rFonts w:hint="eastAsia"/>
              </w:rPr>
              <w:t>、具有中国疾病预防控制中心辐射防护与核安全医学所出具的铅板、铅玻璃板、防护涂料板合格检测报告。</w:t>
            </w:r>
          </w:p>
          <w:p>
            <w:pPr>
              <w:spacing w:line="360" w:lineRule="auto"/>
            </w:pPr>
            <w:r>
              <w:t>4</w:t>
            </w:r>
            <w:r>
              <w:rPr>
                <w:rFonts w:hint="eastAsia"/>
              </w:rPr>
              <w:t>、拟派本项目的项目经理需在本单位注册具有贰级及以上建筑工程或机电安装专业建造师资格；</w:t>
            </w:r>
            <w:r>
              <w:t> </w:t>
            </w:r>
            <w:r>
              <w:rPr>
                <w:rFonts w:hint="eastAsia"/>
              </w:rPr>
              <w:t>（提供经人社部门认定盖章的劳动合同或社会养老保险证明）</w:t>
            </w:r>
          </w:p>
          <w:p>
            <w:pPr>
              <w:spacing w:line="360" w:lineRule="auto"/>
            </w:pPr>
            <w:r>
              <w:t>5</w:t>
            </w:r>
            <w:r>
              <w:rPr>
                <w:rFonts w:hint="eastAsia"/>
              </w:rPr>
              <w:t>、本项目接受联合体投标</w:t>
            </w:r>
            <w:r>
              <w:t xml:space="preserve">. </w:t>
            </w:r>
          </w:p>
          <w:p>
            <w:pPr>
              <w:spacing w:line="360" w:lineRule="auto"/>
            </w:pPr>
            <w:r>
              <w:rPr>
                <w:rFonts w:hint="eastAsia"/>
              </w:rPr>
              <w:t>注：单位负责人为同一人或者存在控股、管理关系的不同单位，不得参加同一标段投标或者未划分标段的同一磋商项目投标。本项目对供应商的资格审查采用资格后审（基本条件合格制），资格审查标准和内容详见响应文件。</w:t>
            </w:r>
          </w:p>
          <w:p>
            <w:pPr>
              <w:pStyle w:val="24"/>
              <w:spacing w:line="360" w:lineRule="auto"/>
              <w:ind w:left="360" w:firstLine="0" w:firstLineChars="0"/>
              <w:rPr>
                <w:rFonts w:ascii="宋体"/>
              </w:rPr>
            </w:pPr>
          </w:p>
        </w:tc>
        <w:tc>
          <w:tcPr>
            <w:tcW w:w="758" w:type="dxa"/>
            <w:vAlign w:val="center"/>
          </w:tcPr>
          <w:p>
            <w:pPr>
              <w:pStyle w:val="23"/>
              <w:spacing w:line="360" w:lineRule="auto"/>
              <w:ind w:right="-65" w:rightChars="-31" w:firstLine="0"/>
              <w:jc w:val="center"/>
              <w:rPr>
                <w:szCs w:val="24"/>
              </w:rPr>
            </w:pPr>
            <w:r>
              <w:rPr>
                <w:szCs w:val="24"/>
              </w:rPr>
              <w:t>29</w:t>
            </w:r>
          </w:p>
          <w:p>
            <w:pPr>
              <w:pStyle w:val="23"/>
              <w:spacing w:line="360" w:lineRule="auto"/>
              <w:ind w:right="-65" w:rightChars="-31" w:firstLine="0"/>
              <w:jc w:val="center"/>
              <w:rPr>
                <w:szCs w:val="24"/>
              </w:rPr>
            </w:pPr>
            <w:r>
              <w:rPr>
                <w:rFonts w:hint="eastAsia"/>
                <w:szCs w:val="24"/>
              </w:rPr>
              <w:t>万元</w:t>
            </w:r>
          </w:p>
        </w:tc>
        <w:tc>
          <w:tcPr>
            <w:tcW w:w="753" w:type="dxa"/>
            <w:vAlign w:val="center"/>
          </w:tcPr>
          <w:p>
            <w:pPr>
              <w:pStyle w:val="23"/>
              <w:spacing w:line="360" w:lineRule="auto"/>
              <w:ind w:right="-65" w:rightChars="-31" w:firstLine="0"/>
              <w:jc w:val="center"/>
              <w:rPr>
                <w:szCs w:val="24"/>
              </w:rPr>
            </w:pPr>
            <w:r>
              <w:rPr>
                <w:rStyle w:val="15"/>
                <w:rFonts w:cs="宋体"/>
                <w:b w:val="0"/>
                <w:bCs w:val="0"/>
                <w:szCs w:val="21"/>
              </w:rPr>
              <w:t>27.078908</w:t>
            </w:r>
            <w:r>
              <w:rPr>
                <w:rStyle w:val="15"/>
                <w:rFonts w:hint="eastAsia" w:cs="宋体"/>
                <w:b w:val="0"/>
                <w:bCs w:val="0"/>
                <w:szCs w:val="21"/>
              </w:rPr>
              <w:t>万元</w:t>
            </w:r>
            <w:r>
              <w:rPr>
                <w:rStyle w:val="15"/>
                <w:rFonts w:hint="eastAsia" w:cs="宋体"/>
                <w:b w:val="0"/>
                <w:bCs w:val="0"/>
                <w:sz w:val="24"/>
                <w:szCs w:val="22"/>
              </w:rPr>
              <w:t>。</w:t>
            </w:r>
          </w:p>
        </w:tc>
      </w:tr>
    </w:tbl>
    <w:p>
      <w:pPr>
        <w:spacing w:line="360" w:lineRule="auto"/>
        <w:rPr>
          <w:b/>
        </w:rPr>
      </w:pPr>
      <w:r>
        <w:rPr>
          <w:rFonts w:hint="eastAsia" w:ascii="宋体" w:hAnsi="宋体"/>
        </w:rPr>
        <w:t>本项目不划分标段</w:t>
      </w:r>
      <w:r>
        <w:rPr>
          <w:rFonts w:ascii="宋体" w:cs="宋体"/>
        </w:rPr>
        <w:t>,</w:t>
      </w:r>
      <w:r>
        <w:rPr>
          <w:rStyle w:val="25"/>
          <w:color w:val="393939"/>
          <w:szCs w:val="21"/>
        </w:rPr>
        <w:t> </w:t>
      </w:r>
      <w:r>
        <w:rPr>
          <w:rFonts w:hint="eastAsia"/>
          <w:color w:val="393939"/>
          <w:szCs w:val="21"/>
        </w:rPr>
        <w:t>供应商对本项目进行报价必须整包响应。具体技术要求、数量等内容详见响应文件。</w:t>
      </w:r>
    </w:p>
    <w:p>
      <w:pPr>
        <w:pStyle w:val="23"/>
        <w:spacing w:line="480" w:lineRule="exact"/>
        <w:ind w:right="-65" w:rightChars="-31" w:firstLine="482"/>
        <w:rPr>
          <w:b/>
          <w:szCs w:val="24"/>
        </w:rPr>
      </w:pPr>
      <w:r>
        <w:rPr>
          <w:rFonts w:hint="eastAsia"/>
          <w:b/>
        </w:rPr>
        <w:t>六、</w:t>
      </w:r>
      <w:r>
        <w:rPr>
          <w:rStyle w:val="15"/>
          <w:rFonts w:hint="eastAsia" w:cs="宋体"/>
          <w:bCs w:val="0"/>
          <w:color w:val="333333"/>
          <w:sz w:val="24"/>
          <w:szCs w:val="24"/>
          <w:shd w:val="clear" w:color="auto" w:fill="FFFFFF"/>
        </w:rPr>
        <w:t>获取磋商文件的时间期限、地点、方式及磋商文件售价</w:t>
      </w:r>
    </w:p>
    <w:p>
      <w:pPr>
        <w:pStyle w:val="23"/>
        <w:spacing w:line="480" w:lineRule="exact"/>
        <w:ind w:right="-65" w:rightChars="-31"/>
      </w:pPr>
      <w:r>
        <w:t>1</w:t>
      </w:r>
      <w:r>
        <w:rPr>
          <w:rFonts w:hint="eastAsia"/>
        </w:rPr>
        <w:t>、时间：</w:t>
      </w:r>
      <w:r>
        <w:rPr>
          <w:szCs w:val="24"/>
        </w:rPr>
        <w:t>2017</w:t>
      </w:r>
      <w:r>
        <w:rPr>
          <w:rFonts w:hint="eastAsia"/>
          <w:szCs w:val="24"/>
        </w:rPr>
        <w:t>年11月</w:t>
      </w:r>
      <w:r>
        <w:rPr>
          <w:rFonts w:hint="eastAsia"/>
          <w:szCs w:val="24"/>
          <w:u w:val="single"/>
        </w:rPr>
        <w:t>2</w:t>
      </w:r>
      <w:r>
        <w:rPr>
          <w:rFonts w:hint="eastAsia"/>
          <w:szCs w:val="24"/>
          <w:u w:val="single"/>
          <w:lang w:val="en-US" w:eastAsia="zh-CN"/>
        </w:rPr>
        <w:t>2</w:t>
      </w:r>
      <w:r>
        <w:rPr>
          <w:rFonts w:hint="eastAsia"/>
          <w:szCs w:val="24"/>
        </w:rPr>
        <w:t>日</w:t>
      </w:r>
      <w:r>
        <w:rPr>
          <w:szCs w:val="24"/>
        </w:rPr>
        <w:t>9</w:t>
      </w:r>
      <w:r>
        <w:rPr>
          <w:rFonts w:hint="eastAsia"/>
          <w:szCs w:val="24"/>
        </w:rPr>
        <w:t>时</w:t>
      </w:r>
      <w:r>
        <w:rPr>
          <w:szCs w:val="24"/>
        </w:rPr>
        <w:t>00</w:t>
      </w:r>
      <w:r>
        <w:rPr>
          <w:rFonts w:hint="eastAsia"/>
          <w:szCs w:val="24"/>
        </w:rPr>
        <w:t>分至</w:t>
      </w:r>
      <w:r>
        <w:rPr>
          <w:szCs w:val="24"/>
        </w:rPr>
        <w:t>2017</w:t>
      </w:r>
      <w:r>
        <w:rPr>
          <w:rFonts w:hint="eastAsia"/>
          <w:szCs w:val="24"/>
        </w:rPr>
        <w:t>年</w:t>
      </w:r>
      <w:r>
        <w:rPr>
          <w:szCs w:val="24"/>
        </w:rPr>
        <w:t>1</w:t>
      </w:r>
      <w:r>
        <w:rPr>
          <w:rFonts w:hint="eastAsia"/>
          <w:szCs w:val="24"/>
        </w:rPr>
        <w:t>1月</w:t>
      </w:r>
      <w:r>
        <w:rPr>
          <w:rFonts w:hint="eastAsia"/>
          <w:szCs w:val="24"/>
          <w:u w:val="single"/>
        </w:rPr>
        <w:t>28</w:t>
      </w:r>
      <w:r>
        <w:rPr>
          <w:rFonts w:hint="eastAsia"/>
          <w:szCs w:val="24"/>
        </w:rPr>
        <w:t>日</w:t>
      </w:r>
      <w:r>
        <w:t>16</w:t>
      </w:r>
      <w:r>
        <w:rPr>
          <w:rFonts w:hint="eastAsia"/>
        </w:rPr>
        <w:t>时</w:t>
      </w:r>
      <w:r>
        <w:t>30</w:t>
      </w:r>
      <w:r>
        <w:rPr>
          <w:rFonts w:hint="eastAsia"/>
        </w:rPr>
        <w:t>分（北京时间，法定节假日除外）</w:t>
      </w:r>
    </w:p>
    <w:p>
      <w:pPr>
        <w:pStyle w:val="23"/>
        <w:spacing w:line="480" w:lineRule="exact"/>
        <w:ind w:right="-65" w:rightChars="-31"/>
      </w:pPr>
      <w:r>
        <w:t>2</w:t>
      </w:r>
      <w:r>
        <w:rPr>
          <w:rFonts w:hint="eastAsia"/>
        </w:rPr>
        <w:t>、地点：济南市市中区二环南路</w:t>
      </w:r>
      <w:r>
        <w:t>6636</w:t>
      </w:r>
      <w:r>
        <w:rPr>
          <w:rFonts w:hint="eastAsia"/>
        </w:rPr>
        <w:t>号中海广场</w:t>
      </w:r>
      <w:r>
        <w:t>6</w:t>
      </w:r>
      <w:r>
        <w:rPr>
          <w:rFonts w:hint="eastAsia"/>
        </w:rPr>
        <w:t>楼</w:t>
      </w:r>
      <w:r>
        <w:t>603</w:t>
      </w:r>
      <w:r>
        <w:rPr>
          <w:rFonts w:hint="eastAsia"/>
        </w:rPr>
        <w:t>室</w:t>
      </w:r>
    </w:p>
    <w:p>
      <w:pPr>
        <w:pStyle w:val="23"/>
        <w:spacing w:line="480" w:lineRule="exact"/>
        <w:ind w:right="-65" w:rightChars="-31"/>
      </w:pPr>
      <w:r>
        <w:t>3</w:t>
      </w:r>
      <w:r>
        <w:rPr>
          <w:rFonts w:hint="eastAsia"/>
        </w:rPr>
        <w:t>、方式：现场报名，报名通过方可购买磋商文件。购买磋商文件时，供应商需携带以下资料：</w:t>
      </w:r>
    </w:p>
    <w:p>
      <w:pPr>
        <w:pStyle w:val="23"/>
        <w:spacing w:line="480" w:lineRule="exact"/>
        <w:ind w:right="-65" w:rightChars="-31"/>
      </w:pPr>
      <w:r>
        <w:t>3.1</w:t>
      </w:r>
      <w:r>
        <w:rPr>
          <w:rFonts w:hint="eastAsia"/>
        </w:rPr>
        <w:t>法定代表人（负责人）身份证明书原件或法定代表人授权委托书原件、授权代表的身份证原件；</w:t>
      </w:r>
    </w:p>
    <w:p>
      <w:pPr>
        <w:pStyle w:val="23"/>
        <w:spacing w:line="480" w:lineRule="exact"/>
        <w:ind w:right="-65" w:rightChars="-31"/>
        <w:rPr>
          <w:color w:val="000000"/>
        </w:rPr>
      </w:pPr>
      <w:r>
        <w:t>3.2</w:t>
      </w:r>
      <w:r>
        <w:rPr>
          <w:rFonts w:hint="eastAsia"/>
        </w:rPr>
        <w:t>供应商的营业执照原件、税务登记证原件（或“</w:t>
      </w:r>
      <w:r>
        <w:rPr>
          <w:rFonts w:hint="eastAsia"/>
          <w:color w:val="000000"/>
        </w:rPr>
        <w:t>三证合一”的营业执照原件）；</w:t>
      </w:r>
    </w:p>
    <w:p>
      <w:pPr>
        <w:spacing w:line="360" w:lineRule="auto"/>
        <w:ind w:firstLine="420" w:firstLineChars="200"/>
        <w:rPr>
          <w:rFonts w:ascii="宋体" w:cs="宋体"/>
        </w:rPr>
      </w:pPr>
      <w:r>
        <w:rPr>
          <w:rFonts w:ascii="宋体" w:hAnsi="宋体" w:cs="宋体"/>
        </w:rPr>
        <w:t>3.3</w:t>
      </w:r>
      <w:r>
        <w:rPr>
          <w:rFonts w:hint="eastAsia" w:ascii="宋体" w:hAnsi="宋体" w:cs="宋体"/>
        </w:rPr>
        <w:t>供应商须提供机电设备安装叁级及以上资质、装饰装修专业叁级及以上资质证书原件；经营范围内包含放射防护工程施工等类似内容；提供建设行政主管部分颁发的安全生产许可证原件；</w:t>
      </w:r>
    </w:p>
    <w:p>
      <w:pPr>
        <w:spacing w:line="360" w:lineRule="auto"/>
        <w:ind w:firstLine="420" w:firstLineChars="200"/>
        <w:rPr>
          <w:rFonts w:ascii="宋体" w:cs="宋体"/>
        </w:rPr>
      </w:pPr>
      <w:r>
        <w:rPr>
          <w:rFonts w:ascii="宋体" w:hAnsi="宋体" w:cs="宋体"/>
        </w:rPr>
        <w:t>3.4</w:t>
      </w:r>
      <w:r>
        <w:rPr>
          <w:rFonts w:hint="eastAsia" w:ascii="宋体" w:hAnsi="宋体" w:cs="宋体"/>
        </w:rPr>
        <w:t>供应商须提供中国疾病预防控制中心辐射防护与核安全医学所出具的铅板、铅玻璃板、防护涂料板合格检测报告。</w:t>
      </w:r>
    </w:p>
    <w:p>
      <w:pPr>
        <w:spacing w:line="360" w:lineRule="auto"/>
        <w:ind w:firstLine="420" w:firstLineChars="200"/>
        <w:rPr>
          <w:rFonts w:ascii="宋体" w:cs="宋体"/>
        </w:rPr>
      </w:pPr>
      <w:r>
        <w:rPr>
          <w:rFonts w:ascii="宋体" w:hAnsi="宋体" w:cs="宋体"/>
        </w:rPr>
        <w:t>3.5</w:t>
      </w:r>
      <w:r>
        <w:rPr>
          <w:rFonts w:hint="eastAsia" w:ascii="宋体" w:hAnsi="宋体" w:cs="宋体"/>
        </w:rPr>
        <w:t>供应商须提供拟派本项目的项目经理需在本单位注册贰级及以上建筑工程或机电安装专业建造师资格证书；</w:t>
      </w:r>
      <w:r>
        <w:rPr>
          <w:rFonts w:ascii="宋体" w:cs="宋体"/>
        </w:rPr>
        <w:t> </w:t>
      </w:r>
      <w:r>
        <w:rPr>
          <w:rFonts w:hint="eastAsia" w:ascii="宋体" w:hAnsi="宋体" w:cs="宋体"/>
        </w:rPr>
        <w:t>提供经人社部门认定盖章的劳动合同或社会养老保险证明。</w:t>
      </w:r>
    </w:p>
    <w:p>
      <w:pPr>
        <w:spacing w:line="360" w:lineRule="auto"/>
        <w:ind w:firstLine="420" w:firstLineChars="200"/>
        <w:rPr>
          <w:rFonts w:ascii="宋体" w:cs="宋体"/>
        </w:rPr>
      </w:pPr>
      <w:r>
        <w:rPr>
          <w:rFonts w:hint="eastAsia" w:ascii="宋体" w:hAnsi="宋体" w:cs="宋体"/>
        </w:rPr>
        <w:t>根据财库〔</w:t>
      </w:r>
      <w:r>
        <w:rPr>
          <w:rFonts w:ascii="宋体" w:hAnsi="宋体" w:cs="宋体"/>
        </w:rPr>
        <w:t>2016</w:t>
      </w:r>
      <w:r>
        <w:rPr>
          <w:rFonts w:hint="eastAsia" w:ascii="宋体" w:hAnsi="宋体" w:cs="宋体"/>
        </w:rPr>
        <w:t>〕</w:t>
      </w:r>
      <w:r>
        <w:rPr>
          <w:rFonts w:ascii="宋体" w:hAnsi="宋体" w:cs="宋体"/>
        </w:rPr>
        <w:t>125</w:t>
      </w:r>
      <w:r>
        <w:rPr>
          <w:rFonts w:hint="eastAsia" w:ascii="宋体" w:hAnsi="宋体" w:cs="宋体"/>
        </w:rPr>
        <w:t>号文的规定，招标代理机构应当通过“信用中国”网站</w:t>
      </w:r>
      <w:r>
        <w:rPr>
          <w:rFonts w:ascii="宋体" w:hAnsi="宋体" w:cs="宋体"/>
        </w:rPr>
        <w:t>(www.creditchina.gov.cn)</w:t>
      </w:r>
      <w:r>
        <w:rPr>
          <w:rFonts w:hint="eastAsia" w:ascii="宋体" w:hAnsi="宋体" w:cs="宋体"/>
        </w:rPr>
        <w:t>、中国政府采购网</w:t>
      </w:r>
      <w:r>
        <w:rPr>
          <w:rFonts w:ascii="宋体" w:hAnsi="宋体" w:cs="宋体"/>
        </w:rPr>
        <w:t>(www.ccgp.gov.cn)</w:t>
      </w:r>
      <w:r>
        <w:rPr>
          <w:rFonts w:hint="eastAsia" w:ascii="宋体" w:hAnsi="宋体" w:cs="宋体"/>
        </w:rPr>
        <w:t>等渠道查询供应商主体信用记录，对列入失信被执行人、重大税收违法案件当事人名单、政府采购严重违法失信行为记录名单及其他不符合《中华人民共和国政府采购法》第二十二条规定条件的供应商，应当拒绝其参与政府采购活动。</w:t>
      </w:r>
    </w:p>
    <w:p>
      <w:pPr>
        <w:spacing w:line="360" w:lineRule="auto"/>
        <w:ind w:firstLine="420" w:firstLineChars="200"/>
        <w:rPr>
          <w:rFonts w:ascii="宋体" w:cs="宋体"/>
        </w:rPr>
      </w:pPr>
      <w:r>
        <w:rPr>
          <w:rFonts w:hint="eastAsia" w:ascii="宋体" w:hAnsi="宋体" w:cs="宋体"/>
        </w:rPr>
        <w:t>注：以上报名资料需按上述要求提供原件及加盖公章复印件一套，简单装订。不能提供或提供不全的，代理机构将不予办理响应文件购买手续。</w:t>
      </w:r>
    </w:p>
    <w:p>
      <w:pPr>
        <w:spacing w:line="360" w:lineRule="auto"/>
        <w:ind w:firstLine="420" w:firstLineChars="200"/>
        <w:rPr>
          <w:rFonts w:ascii="宋体" w:cs="宋体"/>
        </w:rPr>
      </w:pPr>
      <w:r>
        <w:rPr>
          <w:rFonts w:hint="eastAsia" w:ascii="宋体" w:hAnsi="宋体" w:cs="宋体"/>
        </w:rPr>
        <w:t>售价：</w:t>
      </w:r>
      <w:r>
        <w:rPr>
          <w:rFonts w:ascii="宋体" w:hAnsi="宋体" w:cs="宋体"/>
        </w:rPr>
        <w:t>300</w:t>
      </w:r>
      <w:r>
        <w:rPr>
          <w:rFonts w:hint="eastAsia" w:ascii="宋体" w:hAnsi="宋体" w:cs="宋体"/>
        </w:rPr>
        <w:t>元</w:t>
      </w:r>
      <w:r>
        <w:rPr>
          <w:rFonts w:ascii="宋体" w:hAnsi="宋体" w:cs="宋体"/>
        </w:rPr>
        <w:t>/</w:t>
      </w:r>
      <w:r>
        <w:rPr>
          <w:rFonts w:hint="eastAsia" w:ascii="宋体" w:hAnsi="宋体" w:cs="宋体"/>
        </w:rPr>
        <w:t>份</w:t>
      </w:r>
      <w:r>
        <w:rPr>
          <w:rFonts w:ascii="宋体" w:cs="宋体"/>
        </w:rPr>
        <w:t>,</w:t>
      </w:r>
      <w:r>
        <w:rPr>
          <w:rFonts w:hint="eastAsia" w:ascii="宋体" w:hAnsi="宋体" w:cs="宋体"/>
        </w:rPr>
        <w:t>售后不退。</w:t>
      </w:r>
    </w:p>
    <w:p>
      <w:pPr>
        <w:spacing w:line="360" w:lineRule="auto"/>
        <w:ind w:firstLine="422" w:firstLineChars="200"/>
        <w:rPr>
          <w:rFonts w:ascii="宋体" w:cs="宋体"/>
        </w:rPr>
      </w:pPr>
      <w:r>
        <w:rPr>
          <w:rFonts w:hint="eastAsia" w:ascii="宋体" w:hAnsi="宋体" w:cs="宋体"/>
          <w:b/>
          <w:bCs/>
        </w:rPr>
        <w:t>七、公告期限</w:t>
      </w:r>
      <w:r>
        <w:rPr>
          <w:rFonts w:hint="eastAsia" w:ascii="宋体" w:hAnsi="宋体" w:cs="宋体"/>
        </w:rPr>
        <w:t>：</w:t>
      </w:r>
      <w:r>
        <w:rPr>
          <w:rFonts w:ascii="宋体" w:hAnsi="宋体" w:cs="宋体"/>
        </w:rPr>
        <w:t>2017</w:t>
      </w:r>
      <w:r>
        <w:rPr>
          <w:rFonts w:hint="eastAsia" w:ascii="宋体" w:hAnsi="宋体" w:cs="宋体"/>
        </w:rPr>
        <w:t>年11月2</w:t>
      </w:r>
      <w:r>
        <w:rPr>
          <w:rFonts w:hint="eastAsia" w:ascii="宋体" w:hAnsi="宋体" w:cs="宋体"/>
          <w:lang w:val="en-US" w:eastAsia="zh-CN"/>
        </w:rPr>
        <w:t>2</w:t>
      </w:r>
      <w:r>
        <w:rPr>
          <w:rFonts w:hint="eastAsia" w:ascii="宋体" w:hAnsi="宋体" w:cs="宋体"/>
        </w:rPr>
        <w:t>日至</w:t>
      </w:r>
      <w:r>
        <w:rPr>
          <w:rFonts w:ascii="宋体" w:hAnsi="宋体" w:cs="宋体"/>
        </w:rPr>
        <w:t>2017</w:t>
      </w:r>
      <w:r>
        <w:rPr>
          <w:rFonts w:hint="eastAsia" w:ascii="宋体" w:hAnsi="宋体" w:cs="宋体"/>
        </w:rPr>
        <w:t>年11月28日（不含节假日）</w:t>
      </w:r>
    </w:p>
    <w:p>
      <w:pPr>
        <w:spacing w:line="360" w:lineRule="auto"/>
        <w:ind w:firstLine="422" w:firstLineChars="200"/>
        <w:rPr>
          <w:rFonts w:ascii="宋体" w:cs="宋体"/>
          <w:b/>
          <w:bCs/>
        </w:rPr>
      </w:pPr>
      <w:r>
        <w:rPr>
          <w:rFonts w:hint="eastAsia" w:ascii="宋体" w:hAnsi="宋体" w:cs="宋体"/>
          <w:b/>
          <w:bCs/>
        </w:rPr>
        <w:t>八、响应文件递交截止时间（开标时间）及地点</w:t>
      </w:r>
    </w:p>
    <w:p>
      <w:pPr>
        <w:spacing w:line="360" w:lineRule="auto"/>
        <w:ind w:firstLine="420" w:firstLineChars="200"/>
        <w:rPr>
          <w:rFonts w:ascii="宋体" w:cs="宋体"/>
        </w:rPr>
      </w:pPr>
      <w:r>
        <w:rPr>
          <w:rFonts w:ascii="宋体" w:hAnsi="宋体" w:cs="宋体"/>
        </w:rPr>
        <w:t>1</w:t>
      </w:r>
      <w:r>
        <w:rPr>
          <w:rFonts w:hint="eastAsia" w:ascii="宋体" w:hAnsi="宋体" w:cs="宋体"/>
        </w:rPr>
        <w:t>、响应文件递交截止时间及开标时间：</w:t>
      </w:r>
      <w:r>
        <w:rPr>
          <w:rFonts w:ascii="宋体" w:hAnsi="宋体" w:cs="宋体"/>
        </w:rPr>
        <w:t>2017</w:t>
      </w:r>
      <w:r>
        <w:rPr>
          <w:rFonts w:hint="eastAsia" w:ascii="宋体" w:hAnsi="宋体" w:cs="宋体"/>
        </w:rPr>
        <w:t>年12月5日</w:t>
      </w:r>
      <w:r>
        <w:rPr>
          <w:rFonts w:ascii="宋体" w:hAnsi="宋体" w:cs="宋体"/>
        </w:rPr>
        <w:t>9:00</w:t>
      </w:r>
      <w:r>
        <w:rPr>
          <w:rFonts w:hint="eastAsia" w:ascii="宋体" w:hAnsi="宋体" w:cs="宋体"/>
        </w:rPr>
        <w:t>时（北京时间）；</w:t>
      </w:r>
    </w:p>
    <w:p>
      <w:pPr>
        <w:spacing w:line="360" w:lineRule="auto"/>
        <w:ind w:firstLine="420" w:firstLineChars="200"/>
        <w:rPr>
          <w:rFonts w:ascii="宋体" w:cs="宋体"/>
        </w:rPr>
      </w:pPr>
      <w:r>
        <w:rPr>
          <w:rFonts w:ascii="宋体" w:hAnsi="宋体" w:cs="宋体"/>
        </w:rPr>
        <w:t>2</w:t>
      </w:r>
      <w:r>
        <w:rPr>
          <w:rFonts w:hint="eastAsia" w:ascii="宋体" w:hAnsi="宋体" w:cs="宋体"/>
        </w:rPr>
        <w:t>、响应文件递交地点及开标地点：山东大学第二医院办公楼五楼会议室（地址：济南市天桥区北园大街</w:t>
      </w:r>
      <w:r>
        <w:rPr>
          <w:rFonts w:ascii="宋体" w:hAnsi="宋体" w:cs="宋体"/>
        </w:rPr>
        <w:t>247</w:t>
      </w:r>
      <w:r>
        <w:rPr>
          <w:rFonts w:hint="eastAsia" w:ascii="宋体" w:hAnsi="宋体" w:cs="宋体"/>
        </w:rPr>
        <w:t>号）；</w:t>
      </w:r>
    </w:p>
    <w:p>
      <w:pPr>
        <w:spacing w:line="360" w:lineRule="auto"/>
        <w:ind w:firstLine="420" w:firstLineChars="200"/>
        <w:rPr>
          <w:rFonts w:ascii="宋体" w:cs="宋体"/>
        </w:rPr>
      </w:pPr>
      <w:r>
        <w:rPr>
          <w:rFonts w:ascii="宋体" w:hAnsi="宋体" w:cs="宋体"/>
        </w:rPr>
        <w:t>3</w:t>
      </w:r>
      <w:r>
        <w:rPr>
          <w:rFonts w:hint="eastAsia" w:ascii="宋体" w:hAnsi="宋体" w:cs="宋体"/>
        </w:rPr>
        <w:t>、逾期送达的或者未送达指定地点的响应文件，采购人不予受理。</w:t>
      </w:r>
    </w:p>
    <w:p>
      <w:pPr>
        <w:spacing w:line="360" w:lineRule="auto"/>
        <w:ind w:firstLine="422" w:firstLineChars="200"/>
        <w:rPr>
          <w:rFonts w:ascii="宋体" w:cs="宋体"/>
        </w:rPr>
      </w:pPr>
      <w:r>
        <w:rPr>
          <w:rFonts w:hint="eastAsia" w:ascii="宋体" w:hAnsi="宋体" w:cs="宋体"/>
          <w:b/>
          <w:bCs/>
        </w:rPr>
        <w:t>九、发布公告的媒介</w:t>
      </w:r>
    </w:p>
    <w:p>
      <w:pPr>
        <w:spacing w:line="360" w:lineRule="auto"/>
        <w:ind w:firstLine="420" w:firstLineChars="200"/>
        <w:rPr>
          <w:rFonts w:ascii="宋体" w:cs="宋体"/>
        </w:rPr>
      </w:pPr>
      <w:r>
        <w:rPr>
          <w:rFonts w:hint="eastAsia" w:ascii="宋体" w:hAnsi="宋体" w:cs="宋体"/>
        </w:rPr>
        <w:t>本次磋商公告同时在《中国政府采购网》、《中国采购与招标网》、《山东省采购与招标网》、《山东大学第二医院官网》发布。</w:t>
      </w:r>
    </w:p>
    <w:p>
      <w:pPr>
        <w:spacing w:line="360" w:lineRule="auto"/>
        <w:ind w:firstLine="422" w:firstLineChars="200"/>
        <w:rPr>
          <w:rFonts w:ascii="宋体" w:cs="宋体"/>
          <w:b/>
          <w:bCs/>
        </w:rPr>
      </w:pPr>
      <w:r>
        <w:rPr>
          <w:rFonts w:hint="eastAsia" w:ascii="宋体" w:hAnsi="宋体" w:cs="宋体"/>
          <w:b/>
          <w:bCs/>
        </w:rPr>
        <w:t>十、联系方式</w:t>
      </w:r>
    </w:p>
    <w:p>
      <w:pPr>
        <w:spacing w:line="360" w:lineRule="auto"/>
        <w:ind w:firstLine="420" w:firstLineChars="200"/>
        <w:rPr>
          <w:rFonts w:ascii="宋体" w:cs="宋体"/>
        </w:rPr>
      </w:pPr>
      <w:r>
        <w:rPr>
          <w:rFonts w:hint="eastAsia" w:ascii="宋体" w:hAnsi="宋体" w:cs="宋体"/>
        </w:rPr>
        <w:t>招标代理：山东齐信招标有限公司</w:t>
      </w:r>
      <w:r>
        <w:rPr>
          <w:rFonts w:ascii="宋体" w:cs="宋体"/>
        </w:rPr>
        <w:t> </w:t>
      </w:r>
      <w:r>
        <w:rPr>
          <w:rFonts w:hint="eastAsia" w:ascii="宋体" w:cs="宋体"/>
        </w:rPr>
        <w:t xml:space="preserve">       </w:t>
      </w:r>
      <w:r>
        <w:rPr>
          <w:rFonts w:hint="eastAsia" w:ascii="宋体" w:hAnsi="宋体" w:cs="宋体"/>
        </w:rPr>
        <w:t>采购人：山东大学第二医院</w:t>
      </w:r>
    </w:p>
    <w:p>
      <w:pPr>
        <w:spacing w:line="360" w:lineRule="auto"/>
        <w:ind w:firstLine="420" w:firstLineChars="200"/>
        <w:rPr>
          <w:rFonts w:ascii="宋体" w:cs="宋体"/>
        </w:rPr>
      </w:pPr>
      <w:r>
        <w:rPr>
          <w:rFonts w:hint="eastAsia" w:ascii="宋体" w:hAnsi="宋体" w:cs="宋体"/>
        </w:rPr>
        <w:t>地址：济南市市中区二环南路</w:t>
      </w:r>
      <w:r>
        <w:rPr>
          <w:rFonts w:ascii="宋体" w:hAnsi="宋体" w:cs="宋体"/>
        </w:rPr>
        <w:t>6636</w:t>
      </w:r>
      <w:r>
        <w:rPr>
          <w:rFonts w:hint="eastAsia" w:ascii="宋体" w:hAnsi="宋体" w:cs="宋体"/>
        </w:rPr>
        <w:t>号     地址：济南市天桥区北园路</w:t>
      </w:r>
      <w:r>
        <w:rPr>
          <w:rFonts w:ascii="宋体" w:hAnsi="宋体" w:cs="宋体"/>
        </w:rPr>
        <w:t>247</w:t>
      </w:r>
      <w:r>
        <w:rPr>
          <w:rFonts w:hint="eastAsia" w:ascii="宋体" w:hAnsi="宋体" w:cs="宋体"/>
        </w:rPr>
        <w:t>号</w:t>
      </w:r>
    </w:p>
    <w:p>
      <w:pPr>
        <w:spacing w:line="360" w:lineRule="auto"/>
        <w:ind w:firstLine="420" w:firstLineChars="200"/>
        <w:rPr>
          <w:rFonts w:ascii="宋体" w:cs="宋体"/>
        </w:rPr>
      </w:pPr>
      <w:r>
        <w:rPr>
          <w:rFonts w:hint="eastAsia" w:ascii="宋体" w:hAnsi="宋体" w:cs="宋体"/>
        </w:rPr>
        <w:t>中海广场</w:t>
      </w:r>
      <w:r>
        <w:rPr>
          <w:rFonts w:ascii="宋体" w:hAnsi="宋体" w:cs="宋体"/>
        </w:rPr>
        <w:t>6</w:t>
      </w:r>
      <w:r>
        <w:rPr>
          <w:rFonts w:hint="eastAsia" w:ascii="宋体" w:hAnsi="宋体" w:cs="宋体"/>
        </w:rPr>
        <w:t>楼</w:t>
      </w:r>
      <w:r>
        <w:rPr>
          <w:rFonts w:ascii="宋体" w:hAnsi="宋体" w:cs="宋体"/>
        </w:rPr>
        <w:t>603</w:t>
      </w:r>
      <w:r>
        <w:rPr>
          <w:rFonts w:hint="eastAsia" w:ascii="宋体" w:hAnsi="宋体" w:cs="宋体"/>
        </w:rPr>
        <w:t>室</w:t>
      </w:r>
      <w:r>
        <w:rPr>
          <w:rFonts w:ascii="宋体" w:cs="宋体"/>
        </w:rPr>
        <w:t> </w:t>
      </w:r>
    </w:p>
    <w:p>
      <w:pPr>
        <w:spacing w:line="360" w:lineRule="auto"/>
        <w:ind w:firstLine="420" w:firstLineChars="200"/>
        <w:rPr>
          <w:rFonts w:ascii="宋体" w:cs="宋体"/>
        </w:rPr>
      </w:pPr>
      <w:r>
        <w:rPr>
          <w:rFonts w:hint="eastAsia" w:ascii="宋体" w:hAnsi="宋体" w:cs="宋体"/>
        </w:rPr>
        <w:t>邮编：</w:t>
      </w:r>
      <w:r>
        <w:rPr>
          <w:rFonts w:ascii="宋体" w:hAnsi="宋体" w:cs="宋体"/>
        </w:rPr>
        <w:t>250012          </w:t>
      </w:r>
      <w:r>
        <w:rPr>
          <w:rFonts w:hint="eastAsia" w:ascii="宋体" w:hAnsi="宋体" w:cs="宋体"/>
        </w:rPr>
        <w:t xml:space="preserve">     </w:t>
      </w:r>
      <w:r>
        <w:rPr>
          <w:rFonts w:ascii="宋体" w:hAnsi="宋体" w:cs="宋体"/>
        </w:rPr>
        <w:t xml:space="preserve"> </w:t>
      </w:r>
      <w:r>
        <w:rPr>
          <w:rFonts w:hint="eastAsia" w:ascii="宋体" w:hAnsi="宋体" w:cs="宋体"/>
        </w:rPr>
        <w:t>邮编：</w:t>
      </w:r>
    </w:p>
    <w:p>
      <w:pPr>
        <w:spacing w:line="360" w:lineRule="auto"/>
        <w:ind w:firstLine="420" w:firstLineChars="200"/>
        <w:rPr>
          <w:rFonts w:ascii="宋体" w:cs="宋体"/>
        </w:rPr>
      </w:pPr>
      <w:r>
        <w:rPr>
          <w:rFonts w:hint="eastAsia" w:ascii="宋体" w:hAnsi="宋体" w:cs="宋体"/>
        </w:rPr>
        <w:t>联系人：</w:t>
      </w:r>
      <w:r>
        <w:rPr>
          <w:rFonts w:ascii="宋体" w:cs="宋体"/>
        </w:rPr>
        <w:t> </w:t>
      </w:r>
      <w:r>
        <w:rPr>
          <w:rFonts w:hint="eastAsia" w:ascii="宋体" w:hAnsi="宋体" w:cs="宋体"/>
        </w:rPr>
        <w:t>杨经理</w:t>
      </w:r>
      <w:r>
        <w:rPr>
          <w:rFonts w:ascii="宋体" w:cs="宋体"/>
        </w:rPr>
        <w:t>    </w:t>
      </w:r>
      <w:r>
        <w:rPr>
          <w:rFonts w:hint="eastAsia" w:ascii="宋体" w:cs="宋体"/>
        </w:rPr>
        <w:t xml:space="preserve">                   </w:t>
      </w:r>
      <w:r>
        <w:rPr>
          <w:rFonts w:ascii="宋体" w:cs="宋体"/>
        </w:rPr>
        <w:t>    </w:t>
      </w:r>
      <w:r>
        <w:rPr>
          <w:rFonts w:hint="eastAsia" w:ascii="宋体" w:hAnsi="宋体" w:cs="宋体"/>
        </w:rPr>
        <w:t>联系人：</w:t>
      </w:r>
    </w:p>
    <w:p>
      <w:pPr>
        <w:spacing w:line="360" w:lineRule="auto"/>
        <w:ind w:firstLine="420" w:firstLineChars="200"/>
        <w:rPr>
          <w:rFonts w:ascii="宋体" w:cs="宋体"/>
        </w:rPr>
      </w:pPr>
      <w:r>
        <w:rPr>
          <w:rFonts w:hint="eastAsia" w:ascii="宋体" w:hAnsi="宋体" w:cs="宋体"/>
        </w:rPr>
        <w:t>电话：</w:t>
      </w:r>
      <w:r>
        <w:rPr>
          <w:rFonts w:ascii="宋体" w:hAnsi="宋体" w:cs="宋体"/>
        </w:rPr>
        <w:t xml:space="preserve">0531-88259318 </w:t>
      </w:r>
      <w:r>
        <w:rPr>
          <w:rFonts w:hint="eastAsia" w:ascii="宋体" w:hAnsi="宋体" w:cs="宋体"/>
        </w:rPr>
        <w:t xml:space="preserve">                 电话：</w:t>
      </w:r>
      <w:r>
        <w:rPr>
          <w:rFonts w:ascii="宋体" w:hAnsi="宋体" w:cs="宋体"/>
        </w:rPr>
        <w:t>0531-85875076 </w:t>
      </w:r>
    </w:p>
    <w:p>
      <w:pPr>
        <w:spacing w:line="360" w:lineRule="auto"/>
        <w:ind w:firstLine="420" w:firstLineChars="200"/>
        <w:rPr>
          <w:rFonts w:ascii="宋体" w:cs="宋体"/>
        </w:rPr>
      </w:pPr>
      <w:r>
        <w:rPr>
          <w:rFonts w:hint="eastAsia" w:ascii="宋体" w:hAnsi="宋体" w:cs="宋体"/>
        </w:rPr>
        <w:t>电子邮件：</w:t>
      </w:r>
      <w:r>
        <w:fldChar w:fldCharType="begin"/>
      </w:r>
      <w:r>
        <w:instrText xml:space="preserve"> HYPERLINK "mailto:qxjnfgs@163.com" </w:instrText>
      </w:r>
      <w:r>
        <w:fldChar w:fldCharType="separate"/>
      </w:r>
      <w:r>
        <w:rPr>
          <w:rFonts w:ascii="宋体" w:hAnsi="宋体" w:cs="宋体"/>
        </w:rPr>
        <w:t>qxjnfgs@163.com</w:t>
      </w:r>
      <w:r>
        <w:rPr>
          <w:rFonts w:ascii="宋体" w:hAnsi="宋体" w:cs="宋体"/>
        </w:rPr>
        <w:fldChar w:fldCharType="end"/>
      </w:r>
      <w:r>
        <w:rPr>
          <w:rFonts w:hint="eastAsia"/>
        </w:rPr>
        <w:t xml:space="preserve">            </w:t>
      </w:r>
      <w:r>
        <w:rPr>
          <w:rFonts w:hint="eastAsia" w:ascii="宋体" w:hAnsi="宋体" w:cs="宋体"/>
        </w:rPr>
        <w:t>电子邮件：</w:t>
      </w:r>
    </w:p>
    <w:p>
      <w:pPr>
        <w:spacing w:line="360" w:lineRule="auto"/>
        <w:ind w:firstLine="420" w:firstLineChars="200"/>
        <w:rPr>
          <w:rFonts w:ascii="宋体" w:cs="宋体"/>
        </w:rPr>
      </w:pPr>
      <w:r>
        <w:rPr>
          <w:rFonts w:ascii="宋体" w:cs="宋体"/>
        </w:rPr>
        <w:t> </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bookmarkEnd w:id="0"/>
    <w:p>
      <w:pPr>
        <w:autoSpaceDN w:val="0"/>
        <w:spacing w:line="500" w:lineRule="exact"/>
        <w:rPr>
          <w:rFonts w:ascii="宋体"/>
          <w:color w:val="000000"/>
          <w:sz w:val="24"/>
        </w:rPr>
      </w:pPr>
      <w:bookmarkStart w:id="3" w:name="_Toc301349911"/>
      <w:bookmarkStart w:id="4" w:name="_Toc23438"/>
    </w:p>
    <w:p>
      <w:pPr>
        <w:pStyle w:val="2"/>
        <w:numPr>
          <w:ilvl w:val="0"/>
          <w:numId w:val="1"/>
        </w:numPr>
        <w:spacing w:line="500" w:lineRule="exact"/>
        <w:jc w:val="center"/>
        <w:rPr>
          <w:rFonts w:ascii="宋体"/>
        </w:rPr>
      </w:pPr>
      <w:r>
        <w:rPr>
          <w:rFonts w:hint="eastAsia" w:ascii="宋体" w:hAnsi="宋体"/>
          <w:color w:val="000000"/>
          <w:sz w:val="24"/>
        </w:rPr>
        <w:t>　　　　</w:t>
      </w:r>
      <w:bookmarkStart w:id="5" w:name="_Toc27049"/>
      <w:r>
        <w:rPr>
          <w:rFonts w:hint="eastAsia" w:ascii="宋体" w:hAnsi="宋体"/>
        </w:rPr>
        <w:t>供应商须知</w:t>
      </w:r>
      <w:bookmarkEnd w:id="3"/>
      <w:bookmarkEnd w:id="4"/>
      <w:bookmarkEnd w:id="5"/>
    </w:p>
    <w:p>
      <w:pPr>
        <w:rPr>
          <w:rFonts w:ascii="宋体"/>
        </w:rPr>
      </w:pPr>
    </w:p>
    <w:p>
      <w:pPr>
        <w:pStyle w:val="4"/>
        <w:spacing w:line="500" w:lineRule="exact"/>
        <w:jc w:val="center"/>
        <w:rPr>
          <w:rFonts w:ascii="宋体"/>
          <w:color w:val="000000"/>
          <w:szCs w:val="24"/>
        </w:rPr>
      </w:pPr>
      <w:bookmarkStart w:id="6" w:name="_Toc301349912"/>
      <w:r>
        <w:rPr>
          <w:rFonts w:hint="eastAsia" w:ascii="宋体" w:hAnsi="宋体"/>
          <w:color w:val="000000"/>
          <w:szCs w:val="24"/>
        </w:rPr>
        <w:t>供应商须知前附表</w:t>
      </w:r>
      <w:bookmarkEnd w:id="6"/>
    </w:p>
    <w:p>
      <w:pPr>
        <w:rPr>
          <w:rFonts w:ascii="宋体"/>
        </w:rPr>
      </w:pPr>
    </w:p>
    <w:tbl>
      <w:tblPr>
        <w:tblStyle w:val="16"/>
        <w:tblW w:w="9844" w:type="dxa"/>
        <w:jc w:val="center"/>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60"/>
        <w:gridCol w:w="56"/>
        <w:gridCol w:w="2480"/>
        <w:gridCol w:w="6248"/>
      </w:tblGrid>
      <w:tr>
        <w:tblPrEx>
          <w:tblLayout w:type="fixed"/>
          <w:tblCellMar>
            <w:top w:w="0" w:type="dxa"/>
            <w:left w:w="0" w:type="dxa"/>
            <w:bottom w:w="0" w:type="dxa"/>
            <w:right w:w="0" w:type="dxa"/>
          </w:tblCellMar>
        </w:tblPrEx>
        <w:trPr>
          <w:trHeight w:val="550" w:hRule="atLeast"/>
          <w:jc w:val="center"/>
        </w:trPr>
        <w:tc>
          <w:tcPr>
            <w:tcW w:w="1060" w:type="dxa"/>
            <w:tcBorders>
              <w:top w:val="single" w:color="000000" w:sz="12" w:space="0"/>
            </w:tcBorders>
            <w:vAlign w:val="center"/>
          </w:tcPr>
          <w:p>
            <w:pPr>
              <w:jc w:val="center"/>
              <w:rPr>
                <w:rFonts w:ascii="宋体"/>
                <w:b/>
                <w:sz w:val="24"/>
              </w:rPr>
            </w:pPr>
            <w:bookmarkStart w:id="7" w:name="_Toc184635071"/>
            <w:r>
              <w:rPr>
                <w:rFonts w:hint="eastAsia" w:ascii="宋体" w:hAnsi="宋体"/>
                <w:b/>
                <w:sz w:val="24"/>
              </w:rPr>
              <w:t>条款号</w:t>
            </w:r>
          </w:p>
        </w:tc>
        <w:tc>
          <w:tcPr>
            <w:tcW w:w="2536" w:type="dxa"/>
            <w:gridSpan w:val="2"/>
            <w:tcBorders>
              <w:top w:val="single" w:color="000000" w:sz="12" w:space="0"/>
            </w:tcBorders>
            <w:vAlign w:val="center"/>
          </w:tcPr>
          <w:p>
            <w:pPr>
              <w:jc w:val="center"/>
              <w:rPr>
                <w:rFonts w:ascii="宋体"/>
                <w:b/>
                <w:sz w:val="24"/>
              </w:rPr>
            </w:pPr>
            <w:r>
              <w:rPr>
                <w:rFonts w:hint="eastAsia" w:ascii="宋体" w:hAnsi="宋体"/>
                <w:b/>
                <w:sz w:val="24"/>
              </w:rPr>
              <w:t>条款名称</w:t>
            </w:r>
          </w:p>
        </w:tc>
        <w:tc>
          <w:tcPr>
            <w:tcW w:w="6248" w:type="dxa"/>
            <w:tcBorders>
              <w:top w:val="single" w:color="000000" w:sz="12" w:space="0"/>
            </w:tcBorders>
            <w:vAlign w:val="center"/>
          </w:tcPr>
          <w:p>
            <w:pPr>
              <w:jc w:val="center"/>
              <w:rPr>
                <w:rFonts w:ascii="宋体"/>
                <w:b/>
                <w:sz w:val="24"/>
              </w:rPr>
            </w:pPr>
            <w:r>
              <w:rPr>
                <w:rFonts w:hint="eastAsia" w:ascii="宋体" w:hAnsi="宋体"/>
                <w:b/>
                <w:sz w:val="24"/>
              </w:rPr>
              <w:t>编列内容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705" w:hRule="atLeast"/>
          <w:jc w:val="center"/>
        </w:trPr>
        <w:tc>
          <w:tcPr>
            <w:tcW w:w="1060" w:type="dxa"/>
            <w:vAlign w:val="center"/>
          </w:tcPr>
          <w:p>
            <w:pPr>
              <w:jc w:val="center"/>
              <w:rPr>
                <w:rFonts w:ascii="宋体" w:hAnsi="宋体"/>
                <w:sz w:val="24"/>
              </w:rPr>
            </w:pPr>
            <w:r>
              <w:rPr>
                <w:rFonts w:ascii="宋体" w:hAnsi="宋体"/>
                <w:sz w:val="24"/>
              </w:rPr>
              <w:t>1.1</w:t>
            </w:r>
          </w:p>
        </w:tc>
        <w:tc>
          <w:tcPr>
            <w:tcW w:w="2536" w:type="dxa"/>
            <w:gridSpan w:val="2"/>
            <w:vAlign w:val="center"/>
          </w:tcPr>
          <w:p>
            <w:pPr>
              <w:spacing w:line="500" w:lineRule="exact"/>
              <w:jc w:val="center"/>
              <w:rPr>
                <w:rFonts w:ascii="宋体"/>
                <w:sz w:val="24"/>
              </w:rPr>
            </w:pPr>
            <w:r>
              <w:rPr>
                <w:rFonts w:hint="eastAsia" w:ascii="宋体" w:hAnsi="宋体"/>
                <w:color w:val="000000"/>
                <w:sz w:val="24"/>
              </w:rPr>
              <w:t>采购人</w:t>
            </w:r>
          </w:p>
        </w:tc>
        <w:tc>
          <w:tcPr>
            <w:tcW w:w="6248" w:type="dxa"/>
            <w:vAlign w:val="center"/>
          </w:tcPr>
          <w:p>
            <w:pPr>
              <w:pStyle w:val="23"/>
              <w:spacing w:line="480" w:lineRule="exact"/>
              <w:ind w:right="-65" w:rightChars="-31" w:firstLine="0"/>
              <w:rPr>
                <w:color w:val="000000"/>
                <w:sz w:val="24"/>
                <w:szCs w:val="24"/>
              </w:rPr>
            </w:pPr>
            <w:r>
              <w:rPr>
                <w:rFonts w:hint="eastAsia"/>
                <w:color w:val="000000"/>
                <w:sz w:val="24"/>
              </w:rPr>
              <w:t>名称：</w:t>
            </w:r>
            <w:r>
              <w:rPr>
                <w:rFonts w:hint="eastAsia"/>
                <w:sz w:val="24"/>
                <w:szCs w:val="24"/>
              </w:rPr>
              <w:t>山东大学第二医院</w:t>
            </w:r>
          </w:p>
          <w:p>
            <w:pPr>
              <w:spacing w:line="400" w:lineRule="exact"/>
              <w:rPr>
                <w:rFonts w:ascii="宋体"/>
                <w:color w:val="000000"/>
                <w:sz w:val="24"/>
              </w:rPr>
            </w:pPr>
            <w:r>
              <w:rPr>
                <w:rFonts w:hint="eastAsia" w:ascii="宋体" w:hAnsi="宋体"/>
                <w:color w:val="000000"/>
                <w:sz w:val="24"/>
              </w:rPr>
              <w:t>地址：</w:t>
            </w:r>
            <w:r>
              <w:rPr>
                <w:rFonts w:hint="eastAsia"/>
                <w:sz w:val="24"/>
              </w:rPr>
              <w:t>济南市天桥区北园路</w:t>
            </w:r>
            <w:r>
              <w:rPr>
                <w:sz w:val="24"/>
              </w:rPr>
              <w:t>247</w:t>
            </w:r>
            <w:r>
              <w:rPr>
                <w:rFonts w:hint="eastAsia"/>
                <w:sz w:val="24"/>
              </w:rPr>
              <w:t>号</w:t>
            </w:r>
          </w:p>
          <w:p>
            <w:pPr>
              <w:spacing w:line="400" w:lineRule="exact"/>
              <w:rPr>
                <w:rFonts w:ascii="宋体"/>
                <w:color w:val="000000"/>
                <w:sz w:val="24"/>
              </w:rPr>
            </w:pPr>
            <w:r>
              <w:rPr>
                <w:rFonts w:hint="eastAsia" w:ascii="宋体" w:hAnsi="宋体"/>
                <w:color w:val="000000"/>
                <w:sz w:val="24"/>
              </w:rPr>
              <w:t>联系人：</w:t>
            </w:r>
          </w:p>
          <w:p>
            <w:pPr>
              <w:spacing w:line="400" w:lineRule="exact"/>
              <w:rPr>
                <w:rFonts w:ascii="宋体"/>
                <w:color w:val="000000"/>
                <w:sz w:val="24"/>
              </w:rPr>
            </w:pPr>
            <w:r>
              <w:rPr>
                <w:rFonts w:hint="eastAsia" w:ascii="宋体" w:hAnsi="宋体"/>
                <w:color w:val="000000"/>
                <w:sz w:val="24"/>
              </w:rPr>
              <w:t>电话：</w:t>
            </w:r>
            <w:r>
              <w:rPr>
                <w:rFonts w:ascii="宋体" w:hAnsi="宋体" w:cs="宋体"/>
              </w:rPr>
              <w:t>0531-85875076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185" w:hRule="atLeast"/>
          <w:jc w:val="center"/>
        </w:trPr>
        <w:tc>
          <w:tcPr>
            <w:tcW w:w="1060" w:type="dxa"/>
            <w:vAlign w:val="center"/>
          </w:tcPr>
          <w:p>
            <w:pPr>
              <w:jc w:val="center"/>
              <w:rPr>
                <w:rFonts w:ascii="宋体" w:hAnsi="宋体"/>
                <w:sz w:val="24"/>
              </w:rPr>
            </w:pPr>
            <w:r>
              <w:rPr>
                <w:rFonts w:ascii="宋体" w:hAnsi="宋体"/>
                <w:sz w:val="24"/>
              </w:rPr>
              <w:t>1.2</w:t>
            </w:r>
          </w:p>
        </w:tc>
        <w:tc>
          <w:tcPr>
            <w:tcW w:w="2536" w:type="dxa"/>
            <w:gridSpan w:val="2"/>
            <w:vAlign w:val="center"/>
          </w:tcPr>
          <w:p>
            <w:pPr>
              <w:spacing w:line="500" w:lineRule="exact"/>
              <w:jc w:val="center"/>
              <w:rPr>
                <w:rFonts w:ascii="宋体"/>
                <w:sz w:val="24"/>
              </w:rPr>
            </w:pPr>
            <w:r>
              <w:rPr>
                <w:rFonts w:hint="eastAsia" w:ascii="宋体" w:hAnsi="宋体"/>
                <w:color w:val="000000"/>
                <w:sz w:val="24"/>
              </w:rPr>
              <w:t>招标代理机构</w:t>
            </w:r>
          </w:p>
        </w:tc>
        <w:tc>
          <w:tcPr>
            <w:tcW w:w="6248" w:type="dxa"/>
            <w:vAlign w:val="center"/>
          </w:tcPr>
          <w:p>
            <w:pPr>
              <w:spacing w:line="400" w:lineRule="exact"/>
              <w:rPr>
                <w:rFonts w:ascii="宋体"/>
                <w:color w:val="000000"/>
                <w:sz w:val="24"/>
              </w:rPr>
            </w:pPr>
            <w:r>
              <w:rPr>
                <w:rFonts w:hint="eastAsia" w:ascii="宋体" w:hAnsi="宋体"/>
                <w:color w:val="000000"/>
                <w:sz w:val="24"/>
              </w:rPr>
              <w:t>名称：</w:t>
            </w:r>
            <w:r>
              <w:rPr>
                <w:rFonts w:hint="eastAsia"/>
                <w:sz w:val="24"/>
              </w:rPr>
              <w:t>山东齐信招标有限公司</w:t>
            </w:r>
          </w:p>
          <w:p>
            <w:pPr>
              <w:pStyle w:val="23"/>
              <w:spacing w:line="480" w:lineRule="exact"/>
              <w:ind w:right="-65" w:rightChars="-31" w:firstLine="0"/>
              <w:rPr>
                <w:color w:val="000000"/>
                <w:sz w:val="24"/>
              </w:rPr>
            </w:pPr>
            <w:r>
              <w:rPr>
                <w:rFonts w:hint="eastAsia"/>
                <w:color w:val="000000"/>
                <w:sz w:val="24"/>
              </w:rPr>
              <w:t>地址：</w:t>
            </w:r>
            <w:r>
              <w:rPr>
                <w:rFonts w:hint="eastAsia"/>
                <w:sz w:val="24"/>
                <w:szCs w:val="24"/>
              </w:rPr>
              <w:t>济南市市中区二环南路</w:t>
            </w:r>
            <w:r>
              <w:rPr>
                <w:sz w:val="24"/>
                <w:szCs w:val="24"/>
              </w:rPr>
              <w:t>6636</w:t>
            </w:r>
            <w:r>
              <w:rPr>
                <w:rFonts w:hint="eastAsia"/>
                <w:sz w:val="24"/>
                <w:szCs w:val="24"/>
              </w:rPr>
              <w:t>号中海广场</w:t>
            </w:r>
            <w:r>
              <w:rPr>
                <w:sz w:val="24"/>
                <w:szCs w:val="24"/>
              </w:rPr>
              <w:t>6</w:t>
            </w:r>
            <w:r>
              <w:rPr>
                <w:rFonts w:hint="eastAsia"/>
                <w:sz w:val="24"/>
                <w:szCs w:val="24"/>
              </w:rPr>
              <w:t>楼</w:t>
            </w:r>
            <w:r>
              <w:rPr>
                <w:sz w:val="24"/>
                <w:szCs w:val="24"/>
              </w:rPr>
              <w:t>603</w:t>
            </w:r>
            <w:r>
              <w:rPr>
                <w:rFonts w:hint="eastAsia"/>
                <w:sz w:val="24"/>
                <w:szCs w:val="24"/>
              </w:rPr>
              <w:t>室</w:t>
            </w:r>
          </w:p>
          <w:p>
            <w:pPr>
              <w:spacing w:line="400" w:lineRule="exact"/>
              <w:rPr>
                <w:sz w:val="24"/>
              </w:rPr>
            </w:pPr>
            <w:r>
              <w:rPr>
                <w:rFonts w:hint="eastAsia" w:ascii="宋体" w:hAnsi="宋体"/>
                <w:color w:val="000000"/>
                <w:sz w:val="24"/>
              </w:rPr>
              <w:t>联系人：</w:t>
            </w:r>
            <w:r>
              <w:rPr>
                <w:rFonts w:hint="eastAsia"/>
                <w:sz w:val="24"/>
              </w:rPr>
              <w:t>杨经理</w:t>
            </w:r>
          </w:p>
          <w:p>
            <w:pPr>
              <w:spacing w:line="400" w:lineRule="exact"/>
              <w:rPr>
                <w:rFonts w:ascii="宋体"/>
                <w:color w:val="000000"/>
                <w:sz w:val="24"/>
              </w:rPr>
            </w:pPr>
            <w:r>
              <w:rPr>
                <w:rFonts w:hint="eastAsia" w:ascii="宋体" w:hAnsi="宋体"/>
                <w:color w:val="000000"/>
                <w:sz w:val="24"/>
              </w:rPr>
              <w:t>电话：</w:t>
            </w:r>
            <w:r>
              <w:rPr>
                <w:sz w:val="24"/>
              </w:rPr>
              <w:t>0531-88259318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9" w:hRule="exact"/>
          <w:jc w:val="center"/>
        </w:trPr>
        <w:tc>
          <w:tcPr>
            <w:tcW w:w="1060" w:type="dxa"/>
            <w:vAlign w:val="center"/>
          </w:tcPr>
          <w:p>
            <w:pPr>
              <w:jc w:val="center"/>
              <w:rPr>
                <w:rFonts w:ascii="宋体" w:hAnsi="宋体"/>
                <w:sz w:val="24"/>
              </w:rPr>
            </w:pPr>
            <w:r>
              <w:rPr>
                <w:rFonts w:ascii="宋体" w:hAnsi="宋体"/>
                <w:sz w:val="24"/>
              </w:rPr>
              <w:t>1.3</w:t>
            </w:r>
          </w:p>
        </w:tc>
        <w:tc>
          <w:tcPr>
            <w:tcW w:w="2536" w:type="dxa"/>
            <w:gridSpan w:val="2"/>
            <w:vAlign w:val="center"/>
          </w:tcPr>
          <w:p>
            <w:pPr>
              <w:jc w:val="center"/>
              <w:rPr>
                <w:rFonts w:ascii="宋体"/>
                <w:sz w:val="24"/>
              </w:rPr>
            </w:pPr>
            <w:r>
              <w:rPr>
                <w:rFonts w:hint="eastAsia" w:ascii="宋体" w:hAnsi="宋体"/>
                <w:sz w:val="24"/>
              </w:rPr>
              <w:t>项目名称</w:t>
            </w:r>
          </w:p>
        </w:tc>
        <w:tc>
          <w:tcPr>
            <w:tcW w:w="6248" w:type="dxa"/>
            <w:vAlign w:val="center"/>
          </w:tcPr>
          <w:p>
            <w:pPr>
              <w:ind w:left="105" w:leftChars="50"/>
              <w:rPr>
                <w:rFonts w:ascii="宋体"/>
                <w:sz w:val="24"/>
              </w:rPr>
            </w:pPr>
            <w:r>
              <w:rPr>
                <w:rFonts w:hint="eastAsia"/>
                <w:sz w:val="24"/>
              </w:rPr>
              <w:t>山东大学第二医院口腔科</w:t>
            </w:r>
            <w:r>
              <w:rPr>
                <w:sz w:val="24"/>
              </w:rPr>
              <w:t>CT</w:t>
            </w:r>
            <w:r>
              <w:rPr>
                <w:rFonts w:hint="eastAsia"/>
                <w:sz w:val="24"/>
              </w:rPr>
              <w:t>、牙片机房配套改造工程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678" w:hRule="exact"/>
          <w:jc w:val="center"/>
        </w:trPr>
        <w:tc>
          <w:tcPr>
            <w:tcW w:w="1060" w:type="dxa"/>
            <w:vAlign w:val="center"/>
          </w:tcPr>
          <w:p>
            <w:pPr>
              <w:jc w:val="center"/>
              <w:rPr>
                <w:rFonts w:ascii="宋体" w:hAnsi="宋体"/>
                <w:sz w:val="24"/>
              </w:rPr>
            </w:pPr>
            <w:r>
              <w:rPr>
                <w:rFonts w:ascii="宋体" w:hAnsi="宋体"/>
                <w:sz w:val="24"/>
              </w:rPr>
              <w:t>1.4</w:t>
            </w:r>
          </w:p>
        </w:tc>
        <w:tc>
          <w:tcPr>
            <w:tcW w:w="2536" w:type="dxa"/>
            <w:gridSpan w:val="2"/>
            <w:vAlign w:val="center"/>
          </w:tcPr>
          <w:p>
            <w:pPr>
              <w:jc w:val="center"/>
              <w:rPr>
                <w:rFonts w:ascii="宋体"/>
                <w:sz w:val="24"/>
              </w:rPr>
            </w:pPr>
            <w:r>
              <w:rPr>
                <w:rFonts w:hint="eastAsia" w:ascii="宋体" w:hAnsi="宋体"/>
                <w:sz w:val="24"/>
              </w:rPr>
              <w:t>项目概况</w:t>
            </w:r>
          </w:p>
        </w:tc>
        <w:tc>
          <w:tcPr>
            <w:tcW w:w="6248" w:type="dxa"/>
            <w:vAlign w:val="center"/>
          </w:tcPr>
          <w:p>
            <w:pPr>
              <w:rPr>
                <w:sz w:val="24"/>
              </w:rPr>
            </w:pPr>
            <w:r>
              <w:rPr>
                <w:rFonts w:hint="eastAsia"/>
                <w:sz w:val="24"/>
              </w:rPr>
              <w:t>山东大学第二医院口腔科</w:t>
            </w:r>
            <w:r>
              <w:rPr>
                <w:sz w:val="24"/>
              </w:rPr>
              <w:t>CT</w:t>
            </w:r>
            <w:r>
              <w:rPr>
                <w:rFonts w:hint="eastAsia"/>
                <w:sz w:val="24"/>
              </w:rPr>
              <w:t>、牙片机房配套改造工程，位于济南市天桥区北园大街</w:t>
            </w:r>
            <w:r>
              <w:rPr>
                <w:sz w:val="24"/>
              </w:rPr>
              <w:t>247</w:t>
            </w:r>
            <w:r>
              <w:rPr>
                <w:rFonts w:hint="eastAsia"/>
                <w:sz w:val="24"/>
              </w:rPr>
              <w:t>号山东大学第二医院院内，为门诊楼五层</w:t>
            </w:r>
            <w:r>
              <w:rPr>
                <w:sz w:val="24"/>
              </w:rPr>
              <w:t>CT</w:t>
            </w:r>
            <w:r>
              <w:rPr>
                <w:rFonts w:hint="eastAsia"/>
                <w:sz w:val="24"/>
              </w:rPr>
              <w:t>、牙片机房配套改造工程，面积约</w:t>
            </w:r>
            <w:r>
              <w:rPr>
                <w:sz w:val="24"/>
              </w:rPr>
              <w:t>50</w:t>
            </w:r>
            <w:r>
              <w:rPr>
                <w:rFonts w:hint="eastAsia"/>
                <w:sz w:val="24"/>
              </w:rPr>
              <w:t>平米，工程主要内容有：拆除及垃圾外运，装饰工程，安装工程，防护工程等。</w:t>
            </w:r>
          </w:p>
          <w:p>
            <w:pPr>
              <w:ind w:left="105" w:leftChars="50"/>
              <w:rPr>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92" w:hRule="exact"/>
          <w:jc w:val="center"/>
        </w:trPr>
        <w:tc>
          <w:tcPr>
            <w:tcW w:w="1060" w:type="dxa"/>
            <w:vAlign w:val="center"/>
          </w:tcPr>
          <w:p>
            <w:pPr>
              <w:jc w:val="center"/>
              <w:rPr>
                <w:rFonts w:ascii="宋体" w:hAnsi="宋体"/>
                <w:sz w:val="24"/>
              </w:rPr>
            </w:pPr>
            <w:r>
              <w:rPr>
                <w:rFonts w:ascii="宋体" w:hAnsi="宋体"/>
                <w:sz w:val="24"/>
              </w:rPr>
              <w:t>1.5</w:t>
            </w:r>
          </w:p>
        </w:tc>
        <w:tc>
          <w:tcPr>
            <w:tcW w:w="2536" w:type="dxa"/>
            <w:gridSpan w:val="2"/>
            <w:vAlign w:val="center"/>
          </w:tcPr>
          <w:p>
            <w:pPr>
              <w:jc w:val="center"/>
              <w:rPr>
                <w:rFonts w:ascii="宋体"/>
                <w:sz w:val="24"/>
              </w:rPr>
            </w:pPr>
            <w:r>
              <w:rPr>
                <w:rFonts w:hint="eastAsia" w:ascii="宋体" w:hAnsi="宋体"/>
                <w:sz w:val="24"/>
              </w:rPr>
              <w:t>采购方式</w:t>
            </w:r>
          </w:p>
        </w:tc>
        <w:tc>
          <w:tcPr>
            <w:tcW w:w="6248" w:type="dxa"/>
            <w:vAlign w:val="center"/>
          </w:tcPr>
          <w:p>
            <w:pPr>
              <w:jc w:val="left"/>
              <w:rPr>
                <w:rFonts w:ascii="宋体"/>
                <w:sz w:val="24"/>
              </w:rPr>
            </w:pPr>
            <w:r>
              <w:rPr>
                <w:rFonts w:hint="eastAsia" w:ascii="宋体" w:hAnsi="宋体"/>
                <w:sz w:val="24"/>
              </w:rPr>
              <w:t>竞争性磋商</w:t>
            </w:r>
          </w:p>
        </w:tc>
      </w:tr>
      <w:tr>
        <w:tblPrEx>
          <w:tblLayout w:type="fixed"/>
          <w:tblCellMar>
            <w:top w:w="0" w:type="dxa"/>
            <w:left w:w="0" w:type="dxa"/>
            <w:bottom w:w="0" w:type="dxa"/>
            <w:right w:w="0" w:type="dxa"/>
          </w:tblCellMar>
        </w:tblPrEx>
        <w:trPr>
          <w:trHeight w:val="583" w:hRule="exact"/>
          <w:jc w:val="center"/>
        </w:trPr>
        <w:tc>
          <w:tcPr>
            <w:tcW w:w="1060" w:type="dxa"/>
            <w:vAlign w:val="center"/>
          </w:tcPr>
          <w:p>
            <w:pPr>
              <w:jc w:val="center"/>
              <w:rPr>
                <w:rFonts w:ascii="宋体" w:hAnsi="宋体"/>
                <w:sz w:val="24"/>
              </w:rPr>
            </w:pPr>
            <w:r>
              <w:rPr>
                <w:rFonts w:ascii="宋体" w:hAnsi="宋体"/>
                <w:sz w:val="24"/>
              </w:rPr>
              <w:t>1.6</w:t>
            </w:r>
          </w:p>
        </w:tc>
        <w:tc>
          <w:tcPr>
            <w:tcW w:w="2536" w:type="dxa"/>
            <w:gridSpan w:val="2"/>
            <w:vAlign w:val="center"/>
          </w:tcPr>
          <w:p>
            <w:pPr>
              <w:jc w:val="center"/>
              <w:rPr>
                <w:rFonts w:ascii="宋体"/>
                <w:sz w:val="24"/>
              </w:rPr>
            </w:pPr>
            <w:r>
              <w:rPr>
                <w:rFonts w:hint="eastAsia" w:ascii="宋体" w:hAnsi="宋体"/>
                <w:sz w:val="24"/>
              </w:rPr>
              <w:t>建设地点</w:t>
            </w:r>
          </w:p>
        </w:tc>
        <w:tc>
          <w:tcPr>
            <w:tcW w:w="6248" w:type="dxa"/>
            <w:vAlign w:val="center"/>
          </w:tcPr>
          <w:p>
            <w:pPr>
              <w:jc w:val="left"/>
              <w:rPr>
                <w:rFonts w:ascii="宋体"/>
                <w:sz w:val="24"/>
              </w:rPr>
            </w:pPr>
            <w:r>
              <w:rPr>
                <w:rFonts w:hint="eastAsia" w:ascii="宋体" w:hAnsi="宋体"/>
                <w:color w:val="000000"/>
                <w:sz w:val="24"/>
              </w:rPr>
              <w:t>山东大学</w:t>
            </w:r>
            <w:r>
              <w:rPr>
                <w:rFonts w:hint="eastAsia"/>
                <w:sz w:val="24"/>
              </w:rPr>
              <w:t>第二医院院内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83" w:hRule="exact"/>
          <w:jc w:val="center"/>
        </w:trPr>
        <w:tc>
          <w:tcPr>
            <w:tcW w:w="1060" w:type="dxa"/>
            <w:vAlign w:val="center"/>
          </w:tcPr>
          <w:p>
            <w:pPr>
              <w:jc w:val="center"/>
              <w:rPr>
                <w:rFonts w:ascii="宋体" w:hAnsi="宋体"/>
                <w:sz w:val="24"/>
              </w:rPr>
            </w:pPr>
            <w:r>
              <w:rPr>
                <w:rFonts w:ascii="宋体" w:hAnsi="宋体"/>
                <w:sz w:val="24"/>
              </w:rPr>
              <w:t>1.7</w:t>
            </w:r>
          </w:p>
        </w:tc>
        <w:tc>
          <w:tcPr>
            <w:tcW w:w="2536" w:type="dxa"/>
            <w:gridSpan w:val="2"/>
            <w:vAlign w:val="center"/>
          </w:tcPr>
          <w:p>
            <w:pPr>
              <w:jc w:val="center"/>
              <w:rPr>
                <w:rFonts w:ascii="宋体"/>
                <w:sz w:val="24"/>
              </w:rPr>
            </w:pPr>
            <w:r>
              <w:rPr>
                <w:rFonts w:hint="eastAsia" w:ascii="宋体" w:hAnsi="宋体"/>
                <w:sz w:val="24"/>
              </w:rPr>
              <w:t>资金来源</w:t>
            </w:r>
          </w:p>
        </w:tc>
        <w:tc>
          <w:tcPr>
            <w:tcW w:w="6248" w:type="dxa"/>
            <w:vAlign w:val="center"/>
          </w:tcPr>
          <w:p>
            <w:pPr>
              <w:jc w:val="left"/>
              <w:rPr>
                <w:rFonts w:ascii="宋体"/>
                <w:sz w:val="24"/>
              </w:rPr>
            </w:pPr>
            <w:r>
              <w:rPr>
                <w:rFonts w:hint="eastAsia" w:ascii="宋体" w:hAnsi="宋体"/>
                <w:sz w:val="24"/>
              </w:rPr>
              <w:t>自筹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04" w:hRule="exact"/>
          <w:jc w:val="center"/>
        </w:trPr>
        <w:tc>
          <w:tcPr>
            <w:tcW w:w="1060" w:type="dxa"/>
            <w:vAlign w:val="center"/>
          </w:tcPr>
          <w:p>
            <w:pPr>
              <w:jc w:val="center"/>
              <w:rPr>
                <w:rFonts w:ascii="宋体" w:hAnsi="宋体"/>
                <w:sz w:val="24"/>
              </w:rPr>
            </w:pPr>
            <w:r>
              <w:rPr>
                <w:rFonts w:ascii="宋体" w:hAnsi="宋体"/>
                <w:sz w:val="24"/>
              </w:rPr>
              <w:t>1.8</w:t>
            </w:r>
          </w:p>
        </w:tc>
        <w:tc>
          <w:tcPr>
            <w:tcW w:w="2536" w:type="dxa"/>
            <w:gridSpan w:val="2"/>
            <w:vAlign w:val="center"/>
          </w:tcPr>
          <w:p>
            <w:pPr>
              <w:jc w:val="center"/>
              <w:rPr>
                <w:rFonts w:ascii="宋体"/>
                <w:sz w:val="24"/>
              </w:rPr>
            </w:pPr>
            <w:r>
              <w:rPr>
                <w:rFonts w:hint="eastAsia" w:ascii="宋体" w:hAnsi="宋体"/>
                <w:sz w:val="24"/>
              </w:rPr>
              <w:t>资金落实情况</w:t>
            </w:r>
          </w:p>
        </w:tc>
        <w:tc>
          <w:tcPr>
            <w:tcW w:w="6248" w:type="dxa"/>
            <w:vAlign w:val="center"/>
          </w:tcPr>
          <w:p>
            <w:pPr>
              <w:jc w:val="left"/>
              <w:rPr>
                <w:rFonts w:ascii="宋体"/>
                <w:sz w:val="24"/>
              </w:rPr>
            </w:pPr>
            <w:r>
              <w:rPr>
                <w:rFonts w:hint="eastAsia" w:ascii="宋体" w:hAnsi="宋体"/>
                <w:sz w:val="24"/>
              </w:rPr>
              <w:t>已落实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23" w:hRule="exact"/>
          <w:jc w:val="center"/>
        </w:trPr>
        <w:tc>
          <w:tcPr>
            <w:tcW w:w="1060" w:type="dxa"/>
            <w:vAlign w:val="center"/>
          </w:tcPr>
          <w:p>
            <w:pPr>
              <w:jc w:val="center"/>
              <w:rPr>
                <w:rFonts w:ascii="宋体" w:hAnsi="宋体"/>
                <w:sz w:val="24"/>
              </w:rPr>
            </w:pPr>
            <w:r>
              <w:rPr>
                <w:rFonts w:ascii="宋体" w:hAnsi="宋体"/>
                <w:sz w:val="24"/>
              </w:rPr>
              <w:t>1.9</w:t>
            </w:r>
          </w:p>
        </w:tc>
        <w:tc>
          <w:tcPr>
            <w:tcW w:w="2536" w:type="dxa"/>
            <w:gridSpan w:val="2"/>
            <w:vAlign w:val="center"/>
          </w:tcPr>
          <w:p>
            <w:pPr>
              <w:jc w:val="center"/>
              <w:rPr>
                <w:rFonts w:ascii="宋体"/>
                <w:sz w:val="24"/>
              </w:rPr>
            </w:pPr>
            <w:r>
              <w:rPr>
                <w:rFonts w:hint="eastAsia" w:ascii="宋体" w:hAnsi="宋体"/>
                <w:sz w:val="24"/>
              </w:rPr>
              <w:t>磋商范围</w:t>
            </w:r>
          </w:p>
        </w:tc>
        <w:tc>
          <w:tcPr>
            <w:tcW w:w="6248" w:type="dxa"/>
            <w:vAlign w:val="center"/>
          </w:tcPr>
          <w:p>
            <w:pPr>
              <w:jc w:val="left"/>
              <w:rPr>
                <w:rFonts w:ascii="宋体" w:hAnsi="宋体"/>
                <w:sz w:val="24"/>
              </w:rPr>
            </w:pPr>
            <w:r>
              <w:rPr>
                <w:rFonts w:hint="eastAsia" w:ascii="宋体" w:hAnsi="宋体"/>
                <w:sz w:val="24"/>
              </w:rPr>
              <w:t>工程量清单及图纸范围内所有内容</w:t>
            </w:r>
            <w:r>
              <w:rPr>
                <w:rFonts w:ascii="宋体" w:hAnsi="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08" w:hRule="atLeast"/>
          <w:jc w:val="center"/>
        </w:trPr>
        <w:tc>
          <w:tcPr>
            <w:tcW w:w="1060" w:type="dxa"/>
            <w:vAlign w:val="center"/>
          </w:tcPr>
          <w:p>
            <w:pPr>
              <w:jc w:val="center"/>
              <w:rPr>
                <w:rFonts w:ascii="宋体" w:hAnsi="宋体"/>
                <w:sz w:val="24"/>
              </w:rPr>
            </w:pPr>
            <w:r>
              <w:rPr>
                <w:rFonts w:ascii="宋体" w:hAnsi="宋体"/>
                <w:sz w:val="24"/>
              </w:rPr>
              <w:t>1.10</w:t>
            </w:r>
          </w:p>
        </w:tc>
        <w:tc>
          <w:tcPr>
            <w:tcW w:w="2536" w:type="dxa"/>
            <w:gridSpan w:val="2"/>
            <w:vAlign w:val="center"/>
          </w:tcPr>
          <w:p>
            <w:pPr>
              <w:jc w:val="center"/>
              <w:rPr>
                <w:rFonts w:ascii="宋体"/>
                <w:sz w:val="24"/>
              </w:rPr>
            </w:pPr>
            <w:r>
              <w:rPr>
                <w:rFonts w:hint="eastAsia" w:ascii="宋体" w:hAnsi="宋体"/>
                <w:sz w:val="24"/>
              </w:rPr>
              <w:t>计划工期</w:t>
            </w:r>
          </w:p>
        </w:tc>
        <w:tc>
          <w:tcPr>
            <w:tcW w:w="6248" w:type="dxa"/>
            <w:vAlign w:val="center"/>
          </w:tcPr>
          <w:p>
            <w:pPr>
              <w:rPr>
                <w:rFonts w:ascii="宋体"/>
                <w:sz w:val="24"/>
              </w:rPr>
            </w:pPr>
            <w:r>
              <w:rPr>
                <w:rFonts w:ascii="宋体" w:hAnsi="宋体" w:cs="宋体"/>
                <w:color w:val="000000"/>
                <w:kern w:val="0"/>
                <w:sz w:val="24"/>
              </w:rPr>
              <w:t>50</w:t>
            </w:r>
            <w:r>
              <w:rPr>
                <w:rFonts w:hint="eastAsia" w:ascii="宋体" w:hAnsi="宋体" w:cs="宋体"/>
                <w:color w:val="000000"/>
                <w:kern w:val="0"/>
                <w:sz w:val="24"/>
              </w:rPr>
              <w:t>天（具体开工时间以甲方书面通知为准）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14" w:hRule="atLeast"/>
          <w:jc w:val="center"/>
        </w:trPr>
        <w:tc>
          <w:tcPr>
            <w:tcW w:w="1060" w:type="dxa"/>
            <w:vAlign w:val="center"/>
          </w:tcPr>
          <w:p>
            <w:pPr>
              <w:jc w:val="center"/>
              <w:rPr>
                <w:rFonts w:ascii="宋体" w:hAnsi="宋体"/>
                <w:sz w:val="24"/>
              </w:rPr>
            </w:pPr>
            <w:r>
              <w:rPr>
                <w:rFonts w:ascii="宋体" w:hAnsi="宋体"/>
                <w:sz w:val="24"/>
              </w:rPr>
              <w:t>2.1</w:t>
            </w:r>
          </w:p>
        </w:tc>
        <w:tc>
          <w:tcPr>
            <w:tcW w:w="2536" w:type="dxa"/>
            <w:gridSpan w:val="2"/>
            <w:vAlign w:val="center"/>
          </w:tcPr>
          <w:p>
            <w:pPr>
              <w:jc w:val="center"/>
              <w:rPr>
                <w:rFonts w:ascii="宋体"/>
                <w:sz w:val="24"/>
              </w:rPr>
            </w:pPr>
            <w:r>
              <w:rPr>
                <w:rFonts w:hint="eastAsia" w:ascii="宋体" w:hAnsi="宋体"/>
                <w:sz w:val="24"/>
              </w:rPr>
              <w:t>质量要求</w:t>
            </w:r>
          </w:p>
        </w:tc>
        <w:tc>
          <w:tcPr>
            <w:tcW w:w="6248" w:type="dxa"/>
            <w:vAlign w:val="center"/>
          </w:tcPr>
          <w:p>
            <w:pPr>
              <w:ind w:left="105" w:leftChars="50"/>
              <w:rPr>
                <w:rFonts w:ascii="宋体"/>
                <w:sz w:val="24"/>
              </w:rPr>
            </w:pPr>
            <w:r>
              <w:rPr>
                <w:rFonts w:hint="eastAsia" w:ascii="宋体" w:hAnsi="宋体"/>
                <w:sz w:val="24"/>
              </w:rPr>
              <w:t>竣工验收的质量评定：</w:t>
            </w:r>
            <w:r>
              <w:rPr>
                <w:rFonts w:hint="eastAsia" w:ascii="宋体" w:hAnsi="宋体"/>
                <w:sz w:val="24"/>
                <w:u w:val="single"/>
              </w:rPr>
              <w:t>达到合格标准</w:t>
            </w:r>
            <w:r>
              <w:rPr>
                <w:rFonts w:hint="eastAsia" w:ascii="宋体" w:hAnsi="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92" w:hRule="atLeast"/>
          <w:jc w:val="center"/>
        </w:trPr>
        <w:tc>
          <w:tcPr>
            <w:tcW w:w="1060" w:type="dxa"/>
            <w:vAlign w:val="center"/>
          </w:tcPr>
          <w:p>
            <w:pPr>
              <w:jc w:val="center"/>
              <w:rPr>
                <w:rFonts w:ascii="宋体"/>
                <w:sz w:val="24"/>
                <w:vertAlign w:val="superscript"/>
              </w:rPr>
            </w:pPr>
            <w:r>
              <w:rPr>
                <w:rFonts w:ascii="宋体" w:hAnsi="宋体"/>
                <w:sz w:val="24"/>
              </w:rPr>
              <w:t>2.2</w:t>
            </w:r>
          </w:p>
        </w:tc>
        <w:tc>
          <w:tcPr>
            <w:tcW w:w="2536" w:type="dxa"/>
            <w:gridSpan w:val="2"/>
            <w:vAlign w:val="center"/>
          </w:tcPr>
          <w:p>
            <w:pPr>
              <w:jc w:val="center"/>
              <w:rPr>
                <w:rFonts w:ascii="宋体"/>
                <w:sz w:val="24"/>
              </w:rPr>
            </w:pPr>
            <w:r>
              <w:rPr>
                <w:rFonts w:hint="eastAsia" w:ascii="宋体" w:hAnsi="宋体"/>
                <w:sz w:val="24"/>
              </w:rPr>
              <w:t>供应商资质条件</w:t>
            </w:r>
          </w:p>
        </w:tc>
        <w:tc>
          <w:tcPr>
            <w:tcW w:w="6248" w:type="dxa"/>
            <w:vAlign w:val="center"/>
          </w:tcPr>
          <w:p>
            <w:pPr>
              <w:jc w:val="left"/>
              <w:rPr>
                <w:rFonts w:ascii="宋体"/>
                <w:sz w:val="24"/>
              </w:rPr>
            </w:pPr>
            <w:r>
              <w:rPr>
                <w:rFonts w:hint="eastAsia" w:ascii="宋体" w:hAnsi="宋体"/>
                <w:sz w:val="24"/>
              </w:rPr>
              <w:t>见磋商公告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92" w:hRule="atLeast"/>
          <w:jc w:val="center"/>
        </w:trPr>
        <w:tc>
          <w:tcPr>
            <w:tcW w:w="1060" w:type="dxa"/>
            <w:vAlign w:val="center"/>
          </w:tcPr>
          <w:p>
            <w:pPr>
              <w:spacing w:line="400" w:lineRule="exact"/>
              <w:jc w:val="center"/>
              <w:rPr>
                <w:rFonts w:ascii="宋体" w:hAnsi="宋体"/>
                <w:sz w:val="24"/>
              </w:rPr>
            </w:pPr>
            <w:r>
              <w:rPr>
                <w:rFonts w:ascii="宋体" w:hAnsi="宋体"/>
                <w:sz w:val="24"/>
              </w:rPr>
              <w:t>2.3</w:t>
            </w:r>
          </w:p>
        </w:tc>
        <w:tc>
          <w:tcPr>
            <w:tcW w:w="2536" w:type="dxa"/>
            <w:gridSpan w:val="2"/>
            <w:vAlign w:val="center"/>
          </w:tcPr>
          <w:p>
            <w:pPr>
              <w:spacing w:line="400" w:lineRule="exact"/>
              <w:jc w:val="center"/>
              <w:rPr>
                <w:rFonts w:ascii="宋体"/>
                <w:sz w:val="24"/>
              </w:rPr>
            </w:pPr>
            <w:r>
              <w:rPr>
                <w:rFonts w:hint="eastAsia" w:ascii="宋体" w:hAnsi="宋体"/>
                <w:sz w:val="24"/>
              </w:rPr>
              <w:t>是否接受联合体投标</w:t>
            </w:r>
          </w:p>
        </w:tc>
        <w:tc>
          <w:tcPr>
            <w:tcW w:w="6248" w:type="dxa"/>
            <w:vAlign w:val="center"/>
          </w:tcPr>
          <w:p>
            <w:pPr>
              <w:spacing w:line="400" w:lineRule="exact"/>
              <w:ind w:right="113"/>
              <w:rPr>
                <w:rFonts w:ascii="宋体"/>
                <w:sz w:val="24"/>
              </w:rPr>
            </w:pPr>
            <w:r>
              <w:rPr>
                <w:rFonts w:hint="eastAsia" w:ascii="宋体" w:hAnsi="宋体"/>
                <w:color w:val="000000"/>
                <w:sz w:val="24"/>
              </w:rPr>
              <w:t>■接受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2.4</w:t>
            </w:r>
          </w:p>
        </w:tc>
        <w:tc>
          <w:tcPr>
            <w:tcW w:w="2536" w:type="dxa"/>
            <w:gridSpan w:val="2"/>
            <w:vAlign w:val="center"/>
          </w:tcPr>
          <w:p>
            <w:pPr>
              <w:spacing w:line="400" w:lineRule="exact"/>
              <w:jc w:val="center"/>
              <w:rPr>
                <w:rFonts w:ascii="宋体"/>
                <w:color w:val="FF0000"/>
                <w:sz w:val="24"/>
              </w:rPr>
            </w:pPr>
            <w:r>
              <w:rPr>
                <w:rFonts w:hint="eastAsia" w:ascii="宋体" w:hAnsi="宋体"/>
                <w:sz w:val="24"/>
              </w:rPr>
              <w:t>踏勘现场</w:t>
            </w:r>
          </w:p>
        </w:tc>
        <w:tc>
          <w:tcPr>
            <w:tcW w:w="6248" w:type="dxa"/>
            <w:vAlign w:val="center"/>
          </w:tcPr>
          <w:p>
            <w:pPr>
              <w:spacing w:line="400" w:lineRule="exact"/>
              <w:ind w:right="113"/>
              <w:rPr>
                <w:rFonts w:ascii="宋体"/>
                <w:sz w:val="24"/>
              </w:rPr>
            </w:pPr>
            <w:r>
              <w:rPr>
                <w:rFonts w:hint="eastAsia" w:ascii="宋体" w:hAnsi="宋体"/>
                <w:sz w:val="24"/>
              </w:rPr>
              <w:t>■不统一组织，自行踏勘。</w:t>
            </w:r>
          </w:p>
          <w:p>
            <w:pPr>
              <w:spacing w:line="400" w:lineRule="exact"/>
              <w:ind w:right="113"/>
              <w:rPr>
                <w:rFonts w:ascii="宋体"/>
                <w:sz w:val="24"/>
              </w:rPr>
            </w:pPr>
            <w:r>
              <w:rPr>
                <w:rFonts w:hint="eastAsia" w:ascii="宋体" w:hAnsi="宋体"/>
                <w:szCs w:val="21"/>
              </w:rPr>
              <w:t>□</w:t>
            </w:r>
            <w:r>
              <w:rPr>
                <w:rFonts w:hint="eastAsia" w:ascii="宋体" w:hAnsi="宋体"/>
                <w:sz w:val="24"/>
              </w:rPr>
              <w:t>组织</w:t>
            </w:r>
          </w:p>
          <w:p>
            <w:pPr>
              <w:spacing w:line="400" w:lineRule="exact"/>
              <w:ind w:right="113"/>
              <w:rPr>
                <w:rFonts w:ascii="宋体"/>
                <w:sz w:val="24"/>
              </w:rPr>
            </w:pPr>
            <w:r>
              <w:rPr>
                <w:rFonts w:hint="eastAsia" w:ascii="宋体" w:hAnsi="宋体"/>
                <w:sz w:val="24"/>
              </w:rPr>
              <w:t>踏勘时间：</w:t>
            </w:r>
          </w:p>
          <w:p>
            <w:pPr>
              <w:spacing w:line="400" w:lineRule="exact"/>
              <w:ind w:right="113"/>
              <w:rPr>
                <w:rFonts w:ascii="宋体"/>
                <w:sz w:val="24"/>
              </w:rPr>
            </w:pPr>
            <w:r>
              <w:rPr>
                <w:rFonts w:hint="eastAsia" w:ascii="宋体" w:hAnsi="宋体"/>
                <w:sz w:val="24"/>
              </w:rPr>
              <w:t>踏勘集合地点：</w:t>
            </w:r>
          </w:p>
          <w:p>
            <w:pPr>
              <w:spacing w:line="400" w:lineRule="exact"/>
              <w:ind w:right="113"/>
              <w:rPr>
                <w:rFonts w:ascii="宋体"/>
                <w:sz w:val="24"/>
              </w:rPr>
            </w:pPr>
            <w:r>
              <w:rPr>
                <w:rFonts w:hint="eastAsia" w:ascii="宋体" w:hAnsi="宋体"/>
                <w:sz w:val="24"/>
              </w:rPr>
              <w:t>联系人：联系电话：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2.5</w:t>
            </w:r>
          </w:p>
        </w:tc>
        <w:tc>
          <w:tcPr>
            <w:tcW w:w="2536" w:type="dxa"/>
            <w:gridSpan w:val="2"/>
            <w:vAlign w:val="center"/>
          </w:tcPr>
          <w:p>
            <w:pPr>
              <w:spacing w:line="400" w:lineRule="exact"/>
              <w:jc w:val="center"/>
              <w:rPr>
                <w:rFonts w:ascii="宋体"/>
                <w:sz w:val="24"/>
              </w:rPr>
            </w:pPr>
            <w:r>
              <w:rPr>
                <w:rFonts w:hint="eastAsia" w:ascii="宋体" w:hAnsi="宋体"/>
                <w:sz w:val="24"/>
              </w:rPr>
              <w:t>磋商预备会</w:t>
            </w:r>
          </w:p>
        </w:tc>
        <w:tc>
          <w:tcPr>
            <w:tcW w:w="6248" w:type="dxa"/>
            <w:vAlign w:val="center"/>
          </w:tcPr>
          <w:p>
            <w:pPr>
              <w:spacing w:line="400" w:lineRule="exact"/>
              <w:ind w:right="113"/>
              <w:rPr>
                <w:rFonts w:ascii="宋体"/>
                <w:sz w:val="24"/>
              </w:rPr>
            </w:pPr>
            <w:r>
              <w:rPr>
                <w:rFonts w:hint="eastAsia" w:ascii="宋体" w:hAnsi="宋体"/>
                <w:color w:val="000000"/>
                <w:sz w:val="24"/>
              </w:rPr>
              <w:t>■不召开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55" w:hRule="atLeast"/>
          <w:jc w:val="center"/>
        </w:trPr>
        <w:tc>
          <w:tcPr>
            <w:tcW w:w="1060" w:type="dxa"/>
            <w:vAlign w:val="center"/>
          </w:tcPr>
          <w:p>
            <w:pPr>
              <w:spacing w:line="400" w:lineRule="exact"/>
              <w:jc w:val="center"/>
              <w:rPr>
                <w:rFonts w:ascii="宋体" w:hAnsi="宋体"/>
                <w:sz w:val="24"/>
              </w:rPr>
            </w:pPr>
            <w:r>
              <w:rPr>
                <w:rFonts w:ascii="宋体" w:hAnsi="宋体"/>
                <w:sz w:val="24"/>
              </w:rPr>
              <w:t>2.6</w:t>
            </w:r>
          </w:p>
        </w:tc>
        <w:tc>
          <w:tcPr>
            <w:tcW w:w="2536" w:type="dxa"/>
            <w:gridSpan w:val="2"/>
            <w:vAlign w:val="center"/>
          </w:tcPr>
          <w:p>
            <w:pPr>
              <w:spacing w:line="400" w:lineRule="exact"/>
              <w:jc w:val="center"/>
              <w:rPr>
                <w:rFonts w:ascii="宋体"/>
                <w:sz w:val="24"/>
              </w:rPr>
            </w:pPr>
            <w:r>
              <w:rPr>
                <w:rFonts w:hint="eastAsia" w:ascii="宋体" w:hAnsi="宋体"/>
                <w:sz w:val="24"/>
              </w:rPr>
              <w:t>供应商提出问题的</w:t>
            </w:r>
          </w:p>
          <w:p>
            <w:pPr>
              <w:spacing w:line="400" w:lineRule="exact"/>
              <w:jc w:val="center"/>
              <w:rPr>
                <w:rFonts w:ascii="宋体"/>
                <w:sz w:val="24"/>
              </w:rPr>
            </w:pPr>
            <w:r>
              <w:rPr>
                <w:rFonts w:hint="eastAsia" w:ascii="宋体" w:hAnsi="宋体"/>
                <w:sz w:val="24"/>
              </w:rPr>
              <w:t>截止时间</w:t>
            </w:r>
          </w:p>
        </w:tc>
        <w:tc>
          <w:tcPr>
            <w:tcW w:w="6248" w:type="dxa"/>
            <w:vAlign w:val="center"/>
          </w:tcPr>
          <w:p>
            <w:pPr>
              <w:spacing w:line="400" w:lineRule="exact"/>
              <w:rPr>
                <w:rFonts w:ascii="宋体"/>
                <w:sz w:val="24"/>
              </w:rPr>
            </w:pPr>
            <w:r>
              <w:rPr>
                <w:rFonts w:hint="eastAsia" w:ascii="宋体" w:hAnsi="宋体"/>
                <w:color w:val="000000"/>
                <w:sz w:val="24"/>
              </w:rPr>
              <w:t>应在获得响应文件</w:t>
            </w:r>
            <w:r>
              <w:rPr>
                <w:rFonts w:ascii="宋体" w:hAnsi="宋体"/>
                <w:color w:val="000000"/>
                <w:sz w:val="24"/>
              </w:rPr>
              <w:t>24</w:t>
            </w:r>
            <w:r>
              <w:rPr>
                <w:rFonts w:hint="eastAsia" w:ascii="宋体" w:hAnsi="宋体"/>
                <w:color w:val="000000"/>
                <w:sz w:val="24"/>
              </w:rPr>
              <w:t>小时内向采购人提出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2.7</w:t>
            </w:r>
          </w:p>
        </w:tc>
        <w:tc>
          <w:tcPr>
            <w:tcW w:w="2536" w:type="dxa"/>
            <w:gridSpan w:val="2"/>
            <w:vAlign w:val="center"/>
          </w:tcPr>
          <w:p>
            <w:pPr>
              <w:spacing w:line="400" w:lineRule="exact"/>
              <w:jc w:val="center"/>
              <w:rPr>
                <w:rFonts w:ascii="宋体"/>
                <w:sz w:val="24"/>
              </w:rPr>
            </w:pPr>
            <w:r>
              <w:rPr>
                <w:rFonts w:hint="eastAsia" w:ascii="宋体" w:hAnsi="宋体"/>
                <w:sz w:val="24"/>
              </w:rPr>
              <w:t>供应商书面澄清的时间</w:t>
            </w:r>
          </w:p>
        </w:tc>
        <w:tc>
          <w:tcPr>
            <w:tcW w:w="6248" w:type="dxa"/>
            <w:vAlign w:val="center"/>
          </w:tcPr>
          <w:p>
            <w:pPr>
              <w:spacing w:line="400" w:lineRule="exact"/>
              <w:rPr>
                <w:rFonts w:ascii="宋体"/>
                <w:sz w:val="24"/>
              </w:rPr>
            </w:pPr>
            <w:r>
              <w:rPr>
                <w:rFonts w:hint="eastAsia" w:ascii="宋体" w:hAnsi="宋体"/>
                <w:sz w:val="24"/>
              </w:rPr>
              <w:t>收到供应商书面疑问后，</w:t>
            </w:r>
            <w:r>
              <w:rPr>
                <w:rFonts w:ascii="宋体" w:hAnsi="宋体"/>
                <w:color w:val="000000"/>
                <w:sz w:val="24"/>
              </w:rPr>
              <w:t>48</w:t>
            </w:r>
            <w:r>
              <w:rPr>
                <w:rFonts w:hint="eastAsia" w:ascii="宋体" w:hAnsi="宋体"/>
                <w:color w:val="000000"/>
                <w:sz w:val="24"/>
              </w:rPr>
              <w:t>小时</w:t>
            </w:r>
            <w:r>
              <w:rPr>
                <w:rFonts w:hint="eastAsia" w:ascii="宋体" w:hAnsi="宋体"/>
                <w:sz w:val="24"/>
              </w:rPr>
              <w:t>向所有供应商答复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65" w:hRule="atLeast"/>
          <w:jc w:val="center"/>
        </w:trPr>
        <w:tc>
          <w:tcPr>
            <w:tcW w:w="1060" w:type="dxa"/>
            <w:vAlign w:val="center"/>
          </w:tcPr>
          <w:p>
            <w:pPr>
              <w:spacing w:line="400" w:lineRule="exact"/>
              <w:jc w:val="center"/>
              <w:rPr>
                <w:rFonts w:ascii="宋体" w:hAnsi="宋体"/>
                <w:sz w:val="24"/>
              </w:rPr>
            </w:pPr>
            <w:r>
              <w:rPr>
                <w:rFonts w:ascii="宋体" w:hAnsi="宋体"/>
                <w:sz w:val="24"/>
              </w:rPr>
              <w:t>2.8</w:t>
            </w:r>
          </w:p>
        </w:tc>
        <w:tc>
          <w:tcPr>
            <w:tcW w:w="2536" w:type="dxa"/>
            <w:gridSpan w:val="2"/>
            <w:vAlign w:val="center"/>
          </w:tcPr>
          <w:p>
            <w:pPr>
              <w:spacing w:line="400" w:lineRule="exact"/>
              <w:jc w:val="center"/>
              <w:rPr>
                <w:rFonts w:ascii="宋体"/>
                <w:sz w:val="24"/>
              </w:rPr>
            </w:pPr>
            <w:r>
              <w:rPr>
                <w:rFonts w:hint="eastAsia" w:ascii="宋体" w:hAnsi="宋体"/>
                <w:sz w:val="24"/>
              </w:rPr>
              <w:t>分包</w:t>
            </w:r>
          </w:p>
        </w:tc>
        <w:tc>
          <w:tcPr>
            <w:tcW w:w="6248" w:type="dxa"/>
            <w:vAlign w:val="center"/>
          </w:tcPr>
          <w:p>
            <w:pPr>
              <w:spacing w:line="400" w:lineRule="exact"/>
              <w:ind w:left="105" w:leftChars="50" w:right="113"/>
              <w:rPr>
                <w:rFonts w:ascii="宋体"/>
                <w:sz w:val="24"/>
              </w:rPr>
            </w:pPr>
            <w:r>
              <w:rPr>
                <w:rFonts w:hint="eastAsia" w:ascii="宋体" w:hAnsi="宋体"/>
                <w:color w:val="000000"/>
                <w:sz w:val="24"/>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9" w:hRule="atLeast"/>
          <w:jc w:val="center"/>
        </w:trPr>
        <w:tc>
          <w:tcPr>
            <w:tcW w:w="1060" w:type="dxa"/>
            <w:vAlign w:val="center"/>
          </w:tcPr>
          <w:p>
            <w:pPr>
              <w:spacing w:line="400" w:lineRule="exact"/>
              <w:jc w:val="center"/>
              <w:rPr>
                <w:rFonts w:ascii="宋体" w:hAnsi="宋体"/>
                <w:sz w:val="24"/>
              </w:rPr>
            </w:pPr>
            <w:r>
              <w:rPr>
                <w:rFonts w:ascii="宋体" w:hAnsi="宋体"/>
                <w:sz w:val="24"/>
              </w:rPr>
              <w:t>2.9</w:t>
            </w:r>
          </w:p>
        </w:tc>
        <w:tc>
          <w:tcPr>
            <w:tcW w:w="2536" w:type="dxa"/>
            <w:gridSpan w:val="2"/>
            <w:vAlign w:val="center"/>
          </w:tcPr>
          <w:p>
            <w:pPr>
              <w:spacing w:line="400" w:lineRule="exact"/>
              <w:jc w:val="center"/>
              <w:rPr>
                <w:rFonts w:ascii="宋体"/>
                <w:sz w:val="24"/>
              </w:rPr>
            </w:pPr>
            <w:r>
              <w:rPr>
                <w:rFonts w:hint="eastAsia" w:ascii="宋体" w:hAnsi="宋体"/>
                <w:sz w:val="24"/>
              </w:rPr>
              <w:t>偏离</w:t>
            </w:r>
          </w:p>
        </w:tc>
        <w:tc>
          <w:tcPr>
            <w:tcW w:w="6248" w:type="dxa"/>
            <w:vAlign w:val="center"/>
          </w:tcPr>
          <w:p>
            <w:pPr>
              <w:spacing w:line="400" w:lineRule="exact"/>
              <w:ind w:right="113" w:firstLine="120" w:firstLineChars="50"/>
              <w:rPr>
                <w:rFonts w:ascii="宋体"/>
                <w:sz w:val="24"/>
              </w:rPr>
            </w:pPr>
            <w:r>
              <w:rPr>
                <w:rFonts w:hint="eastAsia" w:ascii="宋体" w:hAnsi="宋体"/>
                <w:color w:val="000000"/>
                <w:sz w:val="24"/>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24" w:hRule="atLeast"/>
          <w:jc w:val="center"/>
        </w:trPr>
        <w:tc>
          <w:tcPr>
            <w:tcW w:w="1060" w:type="dxa"/>
            <w:vAlign w:val="center"/>
          </w:tcPr>
          <w:p>
            <w:pPr>
              <w:spacing w:line="400" w:lineRule="exact"/>
              <w:jc w:val="center"/>
              <w:rPr>
                <w:rFonts w:ascii="宋体" w:hAnsi="宋体"/>
                <w:sz w:val="24"/>
              </w:rPr>
            </w:pPr>
            <w:r>
              <w:rPr>
                <w:rFonts w:ascii="宋体" w:hAnsi="宋体"/>
                <w:sz w:val="24"/>
              </w:rPr>
              <w:t>2.10</w:t>
            </w:r>
          </w:p>
        </w:tc>
        <w:tc>
          <w:tcPr>
            <w:tcW w:w="2536" w:type="dxa"/>
            <w:gridSpan w:val="2"/>
            <w:vAlign w:val="center"/>
          </w:tcPr>
          <w:p>
            <w:pPr>
              <w:spacing w:line="400" w:lineRule="exact"/>
              <w:jc w:val="center"/>
              <w:rPr>
                <w:rFonts w:ascii="宋体"/>
                <w:sz w:val="24"/>
              </w:rPr>
            </w:pPr>
            <w:r>
              <w:rPr>
                <w:rFonts w:hint="eastAsia" w:ascii="宋体" w:hAnsi="宋体"/>
                <w:sz w:val="24"/>
              </w:rPr>
              <w:t>构成磋商文件的其他</w:t>
            </w:r>
          </w:p>
          <w:p>
            <w:pPr>
              <w:spacing w:line="400" w:lineRule="exact"/>
              <w:jc w:val="center"/>
              <w:rPr>
                <w:rFonts w:ascii="宋体"/>
                <w:sz w:val="24"/>
              </w:rPr>
            </w:pPr>
            <w:r>
              <w:rPr>
                <w:rFonts w:hint="eastAsia" w:ascii="宋体" w:hAnsi="宋体"/>
                <w:sz w:val="24"/>
              </w:rPr>
              <w:t>材料</w:t>
            </w:r>
          </w:p>
        </w:tc>
        <w:tc>
          <w:tcPr>
            <w:tcW w:w="6248" w:type="dxa"/>
            <w:vAlign w:val="center"/>
          </w:tcPr>
          <w:p>
            <w:pPr>
              <w:spacing w:line="400" w:lineRule="exact"/>
              <w:ind w:left="105" w:leftChars="50" w:right="113"/>
              <w:rPr>
                <w:rFonts w:ascii="宋体"/>
                <w:sz w:val="24"/>
              </w:rPr>
            </w:pPr>
            <w:r>
              <w:rPr>
                <w:rFonts w:hint="eastAsia" w:ascii="宋体" w:hAnsi="宋体"/>
                <w:sz w:val="24"/>
              </w:rPr>
              <w:t>施工设计图纸、工程量清单、响应文件补充说明（如有时）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3.1</w:t>
            </w:r>
          </w:p>
        </w:tc>
        <w:tc>
          <w:tcPr>
            <w:tcW w:w="2536" w:type="dxa"/>
            <w:gridSpan w:val="2"/>
            <w:vAlign w:val="center"/>
          </w:tcPr>
          <w:p>
            <w:pPr>
              <w:spacing w:line="400" w:lineRule="exact"/>
              <w:jc w:val="center"/>
              <w:rPr>
                <w:rFonts w:ascii="宋体"/>
                <w:sz w:val="24"/>
              </w:rPr>
            </w:pPr>
            <w:r>
              <w:rPr>
                <w:rFonts w:hint="eastAsia" w:ascii="宋体" w:hAnsi="宋体"/>
                <w:sz w:val="24"/>
              </w:rPr>
              <w:t>供应商要求澄清</w:t>
            </w:r>
          </w:p>
          <w:p>
            <w:pPr>
              <w:spacing w:line="400" w:lineRule="exact"/>
              <w:jc w:val="center"/>
              <w:rPr>
                <w:rFonts w:ascii="宋体"/>
                <w:sz w:val="24"/>
              </w:rPr>
            </w:pPr>
            <w:r>
              <w:rPr>
                <w:rFonts w:hint="eastAsia" w:ascii="宋体" w:hAnsi="宋体"/>
                <w:sz w:val="24"/>
              </w:rPr>
              <w:t>磋商文件的截止时间</w:t>
            </w:r>
          </w:p>
        </w:tc>
        <w:tc>
          <w:tcPr>
            <w:tcW w:w="6248" w:type="dxa"/>
            <w:vAlign w:val="center"/>
          </w:tcPr>
          <w:p>
            <w:pPr>
              <w:spacing w:line="400" w:lineRule="exact"/>
              <w:ind w:left="105" w:leftChars="50" w:right="113"/>
              <w:rPr>
                <w:rFonts w:ascii="宋体"/>
                <w:sz w:val="24"/>
              </w:rPr>
            </w:pPr>
            <w:r>
              <w:rPr>
                <w:rFonts w:hint="eastAsia" w:ascii="宋体" w:hAnsi="宋体"/>
                <w:color w:val="000000"/>
                <w:sz w:val="24"/>
              </w:rPr>
              <w:t>应在获得响应文件</w:t>
            </w:r>
            <w:r>
              <w:rPr>
                <w:rFonts w:ascii="宋体" w:hAnsi="宋体"/>
                <w:color w:val="000000"/>
                <w:sz w:val="24"/>
              </w:rPr>
              <w:t>24</w:t>
            </w:r>
            <w:r>
              <w:rPr>
                <w:rFonts w:hint="eastAsia" w:ascii="宋体" w:hAnsi="宋体"/>
                <w:color w:val="000000"/>
                <w:sz w:val="24"/>
              </w:rPr>
              <w:t>小时内向采购人提出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71" w:hRule="atLeast"/>
          <w:jc w:val="center"/>
        </w:trPr>
        <w:tc>
          <w:tcPr>
            <w:tcW w:w="1060" w:type="dxa"/>
            <w:vAlign w:val="center"/>
          </w:tcPr>
          <w:p>
            <w:pPr>
              <w:spacing w:line="400" w:lineRule="exact"/>
              <w:jc w:val="center"/>
              <w:rPr>
                <w:rFonts w:ascii="宋体" w:hAnsi="宋体"/>
                <w:sz w:val="24"/>
              </w:rPr>
            </w:pPr>
            <w:r>
              <w:rPr>
                <w:rFonts w:ascii="宋体" w:hAnsi="宋体"/>
                <w:sz w:val="24"/>
              </w:rPr>
              <w:t>3.2</w:t>
            </w:r>
          </w:p>
        </w:tc>
        <w:tc>
          <w:tcPr>
            <w:tcW w:w="2536" w:type="dxa"/>
            <w:gridSpan w:val="2"/>
            <w:vAlign w:val="center"/>
          </w:tcPr>
          <w:p>
            <w:pPr>
              <w:spacing w:line="400" w:lineRule="exact"/>
              <w:jc w:val="center"/>
              <w:rPr>
                <w:rFonts w:ascii="宋体"/>
                <w:sz w:val="24"/>
              </w:rPr>
            </w:pPr>
            <w:r>
              <w:rPr>
                <w:rFonts w:hint="eastAsia" w:ascii="宋体" w:hAnsi="宋体"/>
                <w:sz w:val="24"/>
              </w:rPr>
              <w:t>磋商截止时间</w:t>
            </w:r>
          </w:p>
        </w:tc>
        <w:tc>
          <w:tcPr>
            <w:tcW w:w="6248" w:type="dxa"/>
            <w:vAlign w:val="center"/>
          </w:tcPr>
          <w:p>
            <w:pPr>
              <w:spacing w:line="400" w:lineRule="exact"/>
              <w:ind w:left="105" w:leftChars="50" w:right="113"/>
              <w:rPr>
                <w:rFonts w:ascii="宋体"/>
                <w:sz w:val="24"/>
              </w:rPr>
            </w:pPr>
            <w:r>
              <w:rPr>
                <w:rFonts w:ascii="宋体" w:hAnsi="宋体" w:cs="宋体"/>
                <w:sz w:val="24"/>
                <w:u w:val="single"/>
              </w:rPr>
              <w:t>2017</w:t>
            </w:r>
            <w:r>
              <w:rPr>
                <w:rFonts w:hint="eastAsia" w:ascii="宋体" w:hAnsi="宋体" w:cs="宋体"/>
                <w:sz w:val="24"/>
              </w:rPr>
              <w:t>年</w:t>
            </w:r>
            <w:r>
              <w:rPr>
                <w:rFonts w:hint="eastAsia" w:ascii="宋体" w:hAnsi="宋体" w:cs="宋体"/>
                <w:sz w:val="24"/>
                <w:u w:val="single"/>
              </w:rPr>
              <w:t>12</w:t>
            </w:r>
            <w:r>
              <w:rPr>
                <w:rFonts w:hint="eastAsia" w:ascii="宋体" w:hAnsi="宋体" w:cs="宋体"/>
                <w:sz w:val="24"/>
              </w:rPr>
              <w:t>月</w:t>
            </w:r>
            <w:r>
              <w:rPr>
                <w:rFonts w:hint="eastAsia" w:ascii="宋体" w:hAnsi="宋体" w:cs="宋体"/>
                <w:sz w:val="24"/>
                <w:u w:val="single"/>
              </w:rPr>
              <w:t>5</w:t>
            </w:r>
            <w:r>
              <w:rPr>
                <w:rFonts w:hint="eastAsia" w:ascii="宋体" w:hAnsi="宋体" w:cs="宋体"/>
                <w:sz w:val="24"/>
              </w:rPr>
              <w:t>日</w:t>
            </w:r>
            <w:r>
              <w:rPr>
                <w:rFonts w:ascii="宋体" w:hAnsi="宋体" w:cs="宋体"/>
                <w:sz w:val="24"/>
                <w:u w:val="single"/>
              </w:rPr>
              <w:t xml:space="preserve"> 9 </w:t>
            </w:r>
            <w:r>
              <w:rPr>
                <w:rFonts w:hint="eastAsia" w:ascii="宋体" w:hAnsi="宋体" w:cs="宋体"/>
                <w:sz w:val="24"/>
              </w:rPr>
              <w:t>时</w:t>
            </w:r>
            <w:r>
              <w:rPr>
                <w:rFonts w:ascii="宋体" w:hAnsi="宋体" w:cs="宋体"/>
                <w:sz w:val="24"/>
                <w:u w:val="single"/>
              </w:rPr>
              <w:t xml:space="preserve"> 00 </w:t>
            </w:r>
            <w:r>
              <w:rPr>
                <w:rFonts w:hint="eastAsia" w:ascii="宋体" w:hAnsi="宋体" w:cs="宋体"/>
                <w:sz w:val="24"/>
              </w:rPr>
              <w:t>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3.3</w:t>
            </w:r>
          </w:p>
        </w:tc>
        <w:tc>
          <w:tcPr>
            <w:tcW w:w="2536" w:type="dxa"/>
            <w:gridSpan w:val="2"/>
            <w:vAlign w:val="center"/>
          </w:tcPr>
          <w:p>
            <w:pPr>
              <w:spacing w:line="400" w:lineRule="exact"/>
              <w:jc w:val="center"/>
              <w:rPr>
                <w:rFonts w:ascii="宋体"/>
                <w:sz w:val="24"/>
              </w:rPr>
            </w:pPr>
            <w:r>
              <w:rPr>
                <w:rFonts w:hint="eastAsia" w:ascii="宋体" w:hAnsi="宋体"/>
                <w:sz w:val="24"/>
              </w:rPr>
              <w:t>供应商确认收到</w:t>
            </w:r>
          </w:p>
          <w:p>
            <w:pPr>
              <w:spacing w:line="400" w:lineRule="exact"/>
              <w:jc w:val="center"/>
              <w:rPr>
                <w:rFonts w:ascii="宋体"/>
                <w:sz w:val="24"/>
              </w:rPr>
            </w:pPr>
            <w:r>
              <w:rPr>
                <w:rFonts w:hint="eastAsia" w:ascii="宋体" w:hAnsi="宋体"/>
                <w:sz w:val="24"/>
              </w:rPr>
              <w:t>磋商文件澄清的时间</w:t>
            </w:r>
          </w:p>
        </w:tc>
        <w:tc>
          <w:tcPr>
            <w:tcW w:w="6248" w:type="dxa"/>
            <w:vAlign w:val="center"/>
          </w:tcPr>
          <w:p>
            <w:pPr>
              <w:spacing w:line="400" w:lineRule="exact"/>
              <w:rPr>
                <w:rFonts w:ascii="宋体"/>
                <w:sz w:val="24"/>
              </w:rPr>
            </w:pPr>
            <w:r>
              <w:rPr>
                <w:rFonts w:hint="eastAsia" w:ascii="宋体" w:hAnsi="宋体"/>
                <w:color w:val="000000"/>
                <w:sz w:val="24"/>
              </w:rPr>
              <w:t>收到文件澄清当日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0" w:hRule="atLeast"/>
          <w:jc w:val="center"/>
        </w:trPr>
        <w:tc>
          <w:tcPr>
            <w:tcW w:w="1060" w:type="dxa"/>
            <w:vAlign w:val="center"/>
          </w:tcPr>
          <w:p>
            <w:pPr>
              <w:spacing w:line="400" w:lineRule="exact"/>
              <w:jc w:val="center"/>
              <w:rPr>
                <w:rFonts w:ascii="宋体" w:hAnsi="宋体"/>
                <w:sz w:val="24"/>
              </w:rPr>
            </w:pPr>
            <w:r>
              <w:rPr>
                <w:rFonts w:ascii="宋体" w:hAnsi="宋体"/>
                <w:sz w:val="24"/>
              </w:rPr>
              <w:t>3.4</w:t>
            </w:r>
          </w:p>
        </w:tc>
        <w:tc>
          <w:tcPr>
            <w:tcW w:w="2536" w:type="dxa"/>
            <w:gridSpan w:val="2"/>
            <w:vAlign w:val="center"/>
          </w:tcPr>
          <w:p>
            <w:pPr>
              <w:spacing w:line="400" w:lineRule="exact"/>
              <w:jc w:val="center"/>
              <w:rPr>
                <w:rFonts w:ascii="宋体"/>
                <w:sz w:val="24"/>
              </w:rPr>
            </w:pPr>
            <w:r>
              <w:rPr>
                <w:rFonts w:hint="eastAsia" w:ascii="宋体" w:hAnsi="宋体"/>
                <w:sz w:val="24"/>
              </w:rPr>
              <w:t>供应商确认收到</w:t>
            </w:r>
          </w:p>
          <w:p>
            <w:pPr>
              <w:spacing w:line="400" w:lineRule="exact"/>
              <w:jc w:val="center"/>
              <w:rPr>
                <w:rFonts w:ascii="宋体"/>
                <w:sz w:val="24"/>
              </w:rPr>
            </w:pPr>
            <w:r>
              <w:rPr>
                <w:rFonts w:hint="eastAsia" w:ascii="宋体" w:hAnsi="宋体"/>
                <w:sz w:val="24"/>
              </w:rPr>
              <w:t>磋商文件修改的时间</w:t>
            </w:r>
          </w:p>
        </w:tc>
        <w:tc>
          <w:tcPr>
            <w:tcW w:w="6248" w:type="dxa"/>
            <w:vAlign w:val="center"/>
          </w:tcPr>
          <w:p>
            <w:pPr>
              <w:spacing w:line="400" w:lineRule="exact"/>
              <w:rPr>
                <w:rFonts w:ascii="宋体"/>
                <w:sz w:val="24"/>
              </w:rPr>
            </w:pPr>
            <w:r>
              <w:rPr>
                <w:rFonts w:hint="eastAsia" w:ascii="宋体" w:hAnsi="宋体"/>
                <w:color w:val="000000"/>
                <w:sz w:val="24"/>
              </w:rPr>
              <w:t>收到文件澄清当日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76" w:hRule="atLeast"/>
          <w:jc w:val="center"/>
        </w:trPr>
        <w:tc>
          <w:tcPr>
            <w:tcW w:w="1060" w:type="dxa"/>
            <w:vAlign w:val="center"/>
          </w:tcPr>
          <w:p>
            <w:pPr>
              <w:spacing w:line="400" w:lineRule="exact"/>
              <w:jc w:val="center"/>
              <w:rPr>
                <w:rFonts w:ascii="宋体" w:hAnsi="宋体"/>
                <w:sz w:val="24"/>
              </w:rPr>
            </w:pPr>
            <w:r>
              <w:rPr>
                <w:rFonts w:ascii="宋体" w:hAnsi="宋体"/>
                <w:sz w:val="24"/>
              </w:rPr>
              <w:t>3.5</w:t>
            </w:r>
          </w:p>
        </w:tc>
        <w:tc>
          <w:tcPr>
            <w:tcW w:w="2536" w:type="dxa"/>
            <w:gridSpan w:val="2"/>
            <w:vAlign w:val="center"/>
          </w:tcPr>
          <w:p>
            <w:pPr>
              <w:spacing w:line="400" w:lineRule="exact"/>
              <w:jc w:val="center"/>
              <w:rPr>
                <w:rFonts w:ascii="宋体"/>
                <w:sz w:val="24"/>
              </w:rPr>
            </w:pPr>
            <w:r>
              <w:rPr>
                <w:rFonts w:hint="eastAsia" w:ascii="宋体" w:hAnsi="宋体"/>
                <w:sz w:val="24"/>
              </w:rPr>
              <w:t>构成磋商文件的</w:t>
            </w:r>
          </w:p>
          <w:p>
            <w:pPr>
              <w:spacing w:line="400" w:lineRule="exact"/>
              <w:jc w:val="center"/>
              <w:rPr>
                <w:rFonts w:ascii="宋体"/>
                <w:sz w:val="24"/>
              </w:rPr>
            </w:pPr>
            <w:r>
              <w:rPr>
                <w:rFonts w:hint="eastAsia" w:ascii="宋体" w:hAnsi="宋体"/>
                <w:sz w:val="24"/>
              </w:rPr>
              <w:t>其他材料</w:t>
            </w:r>
          </w:p>
        </w:tc>
        <w:tc>
          <w:tcPr>
            <w:tcW w:w="6248" w:type="dxa"/>
            <w:vAlign w:val="center"/>
          </w:tcPr>
          <w:p>
            <w:pPr>
              <w:spacing w:line="400" w:lineRule="exact"/>
              <w:ind w:right="113"/>
              <w:rPr>
                <w:rFonts w:ascii="宋体"/>
                <w:sz w:val="24"/>
              </w:rPr>
            </w:pPr>
            <w:r>
              <w:rPr>
                <w:rFonts w:hint="eastAsia" w:ascii="宋体" w:hAnsi="宋体" w:cs="宋体"/>
                <w:sz w:val="24"/>
              </w:rPr>
              <w:t>供应商的书面澄清、说明和补正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869" w:hRule="atLeast"/>
          <w:jc w:val="center"/>
        </w:trPr>
        <w:tc>
          <w:tcPr>
            <w:tcW w:w="1060" w:type="dxa"/>
            <w:vAlign w:val="center"/>
          </w:tcPr>
          <w:p>
            <w:pPr>
              <w:spacing w:line="400" w:lineRule="exact"/>
              <w:jc w:val="center"/>
              <w:rPr>
                <w:rFonts w:ascii="宋体" w:hAnsi="宋体"/>
                <w:sz w:val="24"/>
              </w:rPr>
            </w:pPr>
            <w:r>
              <w:rPr>
                <w:rFonts w:ascii="宋体" w:hAnsi="宋体"/>
                <w:sz w:val="24"/>
              </w:rPr>
              <w:t>3.6</w:t>
            </w:r>
          </w:p>
        </w:tc>
        <w:tc>
          <w:tcPr>
            <w:tcW w:w="2536" w:type="dxa"/>
            <w:gridSpan w:val="2"/>
            <w:vAlign w:val="center"/>
          </w:tcPr>
          <w:p>
            <w:pPr>
              <w:spacing w:line="400" w:lineRule="exact"/>
              <w:jc w:val="center"/>
              <w:rPr>
                <w:rFonts w:ascii="宋体"/>
                <w:sz w:val="24"/>
              </w:rPr>
            </w:pPr>
            <w:r>
              <w:rPr>
                <w:rFonts w:hint="eastAsia" w:ascii="宋体" w:hAnsi="宋体"/>
                <w:sz w:val="24"/>
              </w:rPr>
              <w:t>工程量清单的填写方式</w:t>
            </w:r>
          </w:p>
        </w:tc>
        <w:tc>
          <w:tcPr>
            <w:tcW w:w="6248" w:type="dxa"/>
            <w:vAlign w:val="center"/>
          </w:tcPr>
          <w:p>
            <w:pPr>
              <w:spacing w:line="400" w:lineRule="exact"/>
              <w:ind w:left="105" w:leftChars="50" w:right="113"/>
              <w:rPr>
                <w:rFonts w:ascii="宋体"/>
                <w:sz w:val="24"/>
              </w:rPr>
            </w:pPr>
            <w:r>
              <w:rPr>
                <w:rFonts w:hint="eastAsia" w:ascii="宋体" w:hAnsi="宋体"/>
                <w:sz w:val="24"/>
              </w:rPr>
              <w:t>供应商按照供应商提供的工程量清单填写工程量清单、包括综合单价分析表，材料单价表等。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98" w:hRule="atLeast"/>
          <w:jc w:val="center"/>
        </w:trPr>
        <w:tc>
          <w:tcPr>
            <w:tcW w:w="1060" w:type="dxa"/>
            <w:vAlign w:val="center"/>
          </w:tcPr>
          <w:p>
            <w:pPr>
              <w:spacing w:line="400" w:lineRule="exact"/>
              <w:jc w:val="center"/>
              <w:rPr>
                <w:rFonts w:ascii="宋体" w:hAnsi="宋体"/>
                <w:sz w:val="24"/>
              </w:rPr>
            </w:pPr>
            <w:r>
              <w:rPr>
                <w:rFonts w:ascii="宋体" w:hAnsi="宋体"/>
                <w:sz w:val="24"/>
              </w:rPr>
              <w:t>3.7</w:t>
            </w:r>
          </w:p>
        </w:tc>
        <w:tc>
          <w:tcPr>
            <w:tcW w:w="2536" w:type="dxa"/>
            <w:gridSpan w:val="2"/>
            <w:vAlign w:val="center"/>
          </w:tcPr>
          <w:p>
            <w:pPr>
              <w:spacing w:line="400" w:lineRule="exact"/>
              <w:jc w:val="center"/>
              <w:rPr>
                <w:rFonts w:ascii="宋体"/>
                <w:sz w:val="24"/>
              </w:rPr>
            </w:pPr>
            <w:r>
              <w:rPr>
                <w:rFonts w:hint="eastAsia" w:ascii="宋体" w:hAnsi="宋体"/>
                <w:sz w:val="24"/>
              </w:rPr>
              <w:t>投标有效期</w:t>
            </w:r>
          </w:p>
        </w:tc>
        <w:tc>
          <w:tcPr>
            <w:tcW w:w="6248" w:type="dxa"/>
            <w:vAlign w:val="center"/>
          </w:tcPr>
          <w:p>
            <w:pPr>
              <w:spacing w:line="400" w:lineRule="exact"/>
              <w:ind w:left="105" w:leftChars="50" w:right="113"/>
              <w:rPr>
                <w:rFonts w:ascii="宋体"/>
                <w:sz w:val="24"/>
              </w:rPr>
            </w:pPr>
            <w:r>
              <w:rPr>
                <w:rFonts w:ascii="宋体" w:hAnsi="宋体"/>
                <w:bCs/>
                <w:color w:val="000000"/>
                <w:sz w:val="24"/>
                <w:u w:val="single"/>
              </w:rPr>
              <w:t>90</w:t>
            </w:r>
            <w:r>
              <w:rPr>
                <w:rFonts w:hint="eastAsia" w:ascii="宋体" w:hAnsi="宋体"/>
                <w:bCs/>
                <w:color w:val="000000"/>
                <w:sz w:val="24"/>
                <w:u w:val="single"/>
              </w:rPr>
              <w:t>日历天</w:t>
            </w:r>
            <w:r>
              <w:rPr>
                <w:rFonts w:hint="eastAsia" w:ascii="宋体" w:hAnsi="宋体"/>
                <w:color w:val="000000"/>
                <w:sz w:val="24"/>
              </w:rPr>
              <w:t>（从投标截止之日算起）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808"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3.8</w:t>
            </w:r>
          </w:p>
        </w:tc>
        <w:tc>
          <w:tcPr>
            <w:tcW w:w="2536" w:type="dxa"/>
            <w:gridSpan w:val="2"/>
            <w:vAlign w:val="center"/>
          </w:tcPr>
          <w:p>
            <w:pPr>
              <w:widowControl/>
              <w:spacing w:line="400" w:lineRule="exact"/>
              <w:jc w:val="center"/>
              <w:rPr>
                <w:rFonts w:ascii="宋体"/>
                <w:sz w:val="24"/>
              </w:rPr>
            </w:pPr>
            <w:r>
              <w:rPr>
                <w:rFonts w:hint="eastAsia" w:ascii="宋体" w:hAnsi="宋体"/>
                <w:sz w:val="24"/>
              </w:rPr>
              <w:t>磋商保证金</w:t>
            </w:r>
          </w:p>
        </w:tc>
        <w:tc>
          <w:tcPr>
            <w:tcW w:w="6248" w:type="dxa"/>
            <w:vAlign w:val="center"/>
          </w:tcPr>
          <w:p>
            <w:pPr>
              <w:spacing w:line="500" w:lineRule="exact"/>
              <w:rPr>
                <w:rFonts w:ascii="宋体"/>
                <w:sz w:val="24"/>
              </w:rPr>
            </w:pPr>
            <w:r>
              <w:rPr>
                <w:rFonts w:ascii="宋体" w:hAnsi="宋体" w:cs="宋体"/>
                <w:sz w:val="24"/>
              </w:rPr>
              <w:t xml:space="preserve"> 1</w:t>
            </w:r>
            <w:r>
              <w:rPr>
                <w:rFonts w:hint="eastAsia" w:ascii="宋体" w:hAnsi="宋体" w:cs="宋体"/>
                <w:sz w:val="24"/>
              </w:rPr>
              <w:t>、</w:t>
            </w:r>
            <w:r>
              <w:rPr>
                <w:rFonts w:hint="eastAsia" w:ascii="宋体" w:hAnsi="宋体"/>
                <w:sz w:val="24"/>
              </w:rPr>
              <w:t>磋商保证金为</w:t>
            </w:r>
            <w:r>
              <w:rPr>
                <w:rFonts w:ascii="宋体" w:hAnsi="宋体"/>
                <w:sz w:val="24"/>
                <w:u w:val="single"/>
              </w:rPr>
              <w:t xml:space="preserve"> 5000  </w:t>
            </w:r>
            <w:r>
              <w:rPr>
                <w:rFonts w:hint="eastAsia" w:ascii="宋体" w:hAnsi="宋体"/>
                <w:bCs/>
                <w:sz w:val="24"/>
              </w:rPr>
              <w:t>元人民币</w:t>
            </w:r>
            <w:r>
              <w:rPr>
                <w:rFonts w:hint="eastAsia" w:ascii="宋体" w:hAnsi="宋体"/>
                <w:sz w:val="24"/>
              </w:rPr>
              <w:t>，可采用电汇或网银的形式，必须从供应商的基本账户转出，不接受以个人名义及现金形式提交的保证金。违反上述规定的，视为自动放弃投标资格。</w:t>
            </w:r>
          </w:p>
          <w:p>
            <w:pPr>
              <w:spacing w:line="500" w:lineRule="exact"/>
              <w:rPr>
                <w:rFonts w:ascii="宋体"/>
                <w:sz w:val="24"/>
              </w:rPr>
            </w:pPr>
            <w:r>
              <w:rPr>
                <w:rFonts w:hint="eastAsia" w:ascii="宋体" w:hAnsi="宋体"/>
                <w:sz w:val="24"/>
              </w:rPr>
              <w:t>磋商保证金交纳帐户：</w:t>
            </w:r>
          </w:p>
          <w:p>
            <w:pPr>
              <w:spacing w:line="500" w:lineRule="exact"/>
              <w:rPr>
                <w:rFonts w:ascii="宋体"/>
                <w:sz w:val="24"/>
              </w:rPr>
            </w:pPr>
            <w:r>
              <w:rPr>
                <w:rFonts w:hint="eastAsia" w:ascii="宋体" w:hAnsi="宋体"/>
                <w:sz w:val="24"/>
              </w:rPr>
              <w:t>单位名称：</w:t>
            </w:r>
            <w:r>
              <w:rPr>
                <w:rFonts w:hint="eastAsia" w:ascii="宋体" w:hAnsi="宋体" w:cs="宋体"/>
                <w:sz w:val="24"/>
              </w:rPr>
              <w:t>山东齐信招标有限公司</w:t>
            </w:r>
          </w:p>
          <w:p>
            <w:pPr>
              <w:spacing w:line="360" w:lineRule="auto"/>
              <w:rPr>
                <w:rFonts w:ascii="宋体"/>
                <w:sz w:val="24"/>
              </w:rPr>
            </w:pPr>
            <w:r>
              <w:rPr>
                <w:rFonts w:hint="eastAsia" w:ascii="宋体" w:hAnsi="宋体"/>
                <w:sz w:val="24"/>
              </w:rPr>
              <w:t>账号：</w:t>
            </w:r>
            <w:r>
              <w:rPr>
                <w:rFonts w:ascii="宋体" w:hAnsi="宋体" w:cs="宋体"/>
                <w:sz w:val="24"/>
              </w:rPr>
              <w:t>244202099787</w:t>
            </w:r>
          </w:p>
          <w:p>
            <w:pPr>
              <w:spacing w:line="360" w:lineRule="auto"/>
              <w:rPr>
                <w:rFonts w:ascii="宋体" w:cs="宋体"/>
                <w:sz w:val="24"/>
              </w:rPr>
            </w:pPr>
            <w:r>
              <w:rPr>
                <w:rFonts w:hint="eastAsia" w:ascii="宋体" w:hAnsi="宋体"/>
                <w:sz w:val="24"/>
              </w:rPr>
              <w:t>开户银行：</w:t>
            </w:r>
            <w:r>
              <w:rPr>
                <w:rFonts w:hint="eastAsia" w:ascii="宋体" w:hAnsi="宋体" w:cs="宋体"/>
                <w:sz w:val="24"/>
              </w:rPr>
              <w:t>中国银行淄博分行</w:t>
            </w:r>
          </w:p>
          <w:p>
            <w:pPr>
              <w:spacing w:line="360" w:lineRule="auto"/>
              <w:rPr>
                <w:rFonts w:ascii="宋体" w:cs="宋体"/>
                <w:b/>
                <w:bCs/>
                <w:spacing w:val="6"/>
                <w:sz w:val="24"/>
              </w:rPr>
            </w:pPr>
            <w:r>
              <w:rPr>
                <w:rFonts w:ascii="宋体" w:hAnsi="宋体" w:cs="宋体"/>
                <w:b/>
                <w:bCs/>
                <w:sz w:val="24"/>
              </w:rPr>
              <w:t>2</w:t>
            </w:r>
            <w:r>
              <w:rPr>
                <w:rFonts w:hint="eastAsia" w:ascii="宋体" w:hAnsi="宋体" w:cs="宋体"/>
                <w:b/>
                <w:bCs/>
                <w:sz w:val="24"/>
              </w:rPr>
              <w:t>、磋商保证金提交截止期限为</w:t>
            </w:r>
            <w:r>
              <w:rPr>
                <w:rFonts w:ascii="宋体" w:hAnsi="宋体" w:cs="宋体"/>
                <w:b/>
                <w:bCs/>
                <w:sz w:val="24"/>
              </w:rPr>
              <w:t>2017</w:t>
            </w:r>
            <w:r>
              <w:rPr>
                <w:rFonts w:hint="eastAsia" w:ascii="宋体" w:hAnsi="宋体" w:cs="宋体"/>
                <w:b/>
                <w:bCs/>
                <w:sz w:val="24"/>
              </w:rPr>
              <w:t>年12月3日</w:t>
            </w:r>
            <w:r>
              <w:rPr>
                <w:rFonts w:ascii="宋体" w:hAnsi="宋体" w:cs="宋体"/>
                <w:b/>
                <w:bCs/>
                <w:sz w:val="24"/>
              </w:rPr>
              <w:t>12:00</w:t>
            </w:r>
            <w:r>
              <w:rPr>
                <w:rFonts w:hint="eastAsia" w:ascii="宋体" w:hAnsi="宋体" w:cs="宋体"/>
                <w:b/>
                <w:bCs/>
                <w:sz w:val="24"/>
              </w:rPr>
              <w:t>前，汇款时简要注明项目名称。</w:t>
            </w:r>
            <w:r>
              <w:rPr>
                <w:rFonts w:hint="eastAsia" w:ascii="宋体" w:hAnsi="宋体" w:cs="仿宋_GB2312"/>
                <w:b/>
                <w:bCs/>
                <w:sz w:val="24"/>
              </w:rPr>
              <w:t>且必须从供应商基本账户一次性转出，不接受个人汇款及现金，同时将开户许可证及磋商保证金电汇凭证扫描版发送邮件至</w:t>
            </w:r>
            <w:r>
              <w:rPr>
                <w:rFonts w:ascii="宋体" w:hAnsi="宋体" w:cs="仿宋_GB2312"/>
                <w:b/>
                <w:bCs/>
                <w:sz w:val="24"/>
                <w:u w:val="single"/>
              </w:rPr>
              <w:t>qxjnfgs@163.com</w:t>
            </w:r>
            <w:r>
              <w:rPr>
                <w:rFonts w:hint="eastAsia" w:ascii="宋体" w:hAnsi="宋体" w:cs="仿宋_GB2312"/>
                <w:b/>
                <w:bCs/>
                <w:sz w:val="24"/>
              </w:rPr>
              <w:t>，同时电话通知采购代理机构负责人。</w:t>
            </w:r>
            <w:r>
              <w:rPr>
                <w:rFonts w:hint="eastAsia" w:ascii="宋体" w:hAnsi="宋体" w:cs="宋体"/>
                <w:b/>
                <w:bCs/>
                <w:spacing w:val="6"/>
                <w:sz w:val="24"/>
              </w:rPr>
              <w:t>未按上述要求缴纳保证金的按无效投标处理。</w:t>
            </w:r>
          </w:p>
          <w:p>
            <w:pPr>
              <w:spacing w:line="360" w:lineRule="auto"/>
              <w:rPr>
                <w:rFonts w:ascii="宋体" w:cs="仿宋_GB2312"/>
                <w:b/>
                <w:bCs/>
                <w:sz w:val="24"/>
              </w:rPr>
            </w:pPr>
            <w:r>
              <w:rPr>
                <w:rFonts w:ascii="宋体" w:hAnsi="宋体" w:cs="仿宋_GB2312"/>
                <w:b/>
                <w:bCs/>
                <w:sz w:val="24"/>
              </w:rPr>
              <w:t>4.</w:t>
            </w:r>
            <w:r>
              <w:rPr>
                <w:rFonts w:hint="eastAsia" w:ascii="宋体" w:hAnsi="宋体" w:cs="仿宋_GB2312"/>
                <w:b/>
                <w:bCs/>
                <w:sz w:val="24"/>
              </w:rPr>
              <w:t>磋商保证金在投标有效期内保持有效，未中标单位的磋商保证金应当在成交通知书发出后</w:t>
            </w:r>
            <w:r>
              <w:rPr>
                <w:rFonts w:ascii="宋体" w:hAnsi="宋体" w:cs="仿宋_GB2312"/>
                <w:b/>
                <w:bCs/>
                <w:sz w:val="24"/>
              </w:rPr>
              <w:t>5</w:t>
            </w:r>
            <w:r>
              <w:rPr>
                <w:rFonts w:hint="eastAsia" w:ascii="宋体" w:hAnsi="宋体" w:cs="仿宋_GB2312"/>
                <w:b/>
                <w:bCs/>
                <w:sz w:val="24"/>
              </w:rPr>
              <w:t>个工作日内退还，成交单位的磋商保证金应当在采购合同签订后</w:t>
            </w:r>
            <w:r>
              <w:rPr>
                <w:rFonts w:ascii="宋体" w:hAnsi="宋体" w:cs="仿宋_GB2312"/>
                <w:b/>
                <w:bCs/>
                <w:sz w:val="24"/>
              </w:rPr>
              <w:t>5</w:t>
            </w:r>
            <w:r>
              <w:rPr>
                <w:rFonts w:hint="eastAsia" w:ascii="宋体" w:hAnsi="宋体" w:cs="仿宋_GB2312"/>
                <w:b/>
                <w:bCs/>
                <w:sz w:val="24"/>
              </w:rPr>
              <w:t>个工作日内退还。</w:t>
            </w:r>
          </w:p>
          <w:p>
            <w:pPr>
              <w:widowControl/>
              <w:spacing w:line="400" w:lineRule="exact"/>
              <w:rPr>
                <w:rFonts w:ascii="宋体" w:cs="宋体"/>
                <w:b/>
                <w:bCs/>
                <w:sz w:val="24"/>
              </w:rPr>
            </w:pPr>
            <w:r>
              <w:rPr>
                <w:rFonts w:hint="eastAsia" w:ascii="宋体" w:hAnsi="宋体" w:cs="宋体"/>
                <w:b/>
                <w:bCs/>
                <w:spacing w:val="6"/>
                <w:sz w:val="24"/>
              </w:rPr>
              <w:t>注：不允许供应商自行到银行直接将现金存到指定帐户，请在汇款单或网银汇款用途中写明：</w:t>
            </w:r>
            <w:r>
              <w:rPr>
                <w:rFonts w:hint="eastAsia" w:ascii="宋体" w:hAnsi="宋体" w:cs="宋体"/>
                <w:b/>
                <w:bCs/>
                <w:spacing w:val="6"/>
                <w:sz w:val="24"/>
                <w:u w:val="single"/>
              </w:rPr>
              <w:t>项目名称。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18"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3.9</w:t>
            </w:r>
          </w:p>
        </w:tc>
        <w:tc>
          <w:tcPr>
            <w:tcW w:w="2536" w:type="dxa"/>
            <w:gridSpan w:val="2"/>
            <w:vAlign w:val="center"/>
          </w:tcPr>
          <w:p>
            <w:pPr>
              <w:widowControl/>
              <w:spacing w:line="400" w:lineRule="exact"/>
              <w:jc w:val="center"/>
              <w:rPr>
                <w:rFonts w:ascii="宋体"/>
                <w:sz w:val="24"/>
              </w:rPr>
            </w:pPr>
            <w:r>
              <w:rPr>
                <w:rFonts w:hint="eastAsia" w:ascii="宋体" w:hAnsi="宋体"/>
                <w:sz w:val="24"/>
              </w:rPr>
              <w:t>近年财务状况的年份</w:t>
            </w:r>
          </w:p>
          <w:p>
            <w:pPr>
              <w:widowControl/>
              <w:spacing w:line="400" w:lineRule="exact"/>
              <w:jc w:val="center"/>
              <w:rPr>
                <w:rFonts w:ascii="宋体"/>
                <w:sz w:val="24"/>
              </w:rPr>
            </w:pPr>
            <w:r>
              <w:rPr>
                <w:rFonts w:hint="eastAsia" w:ascii="宋体" w:hAnsi="宋体"/>
                <w:sz w:val="24"/>
              </w:rPr>
              <w:t>要求</w:t>
            </w:r>
          </w:p>
        </w:tc>
        <w:tc>
          <w:tcPr>
            <w:tcW w:w="6248" w:type="dxa"/>
            <w:vAlign w:val="center"/>
          </w:tcPr>
          <w:p>
            <w:pPr>
              <w:widowControl/>
              <w:spacing w:line="400" w:lineRule="exact"/>
              <w:ind w:right="113"/>
              <w:rPr>
                <w:rFonts w:ascii="宋体" w:cs="宋体"/>
                <w:b/>
                <w:sz w:val="24"/>
              </w:rPr>
            </w:pPr>
            <w:r>
              <w:rPr>
                <w:rFonts w:ascii="宋体" w:hAnsi="宋体"/>
                <w:sz w:val="24"/>
                <w:u w:val="single"/>
              </w:rPr>
              <w:t xml:space="preserve"> 2014</w:t>
            </w:r>
            <w:r>
              <w:rPr>
                <w:rFonts w:hint="eastAsia" w:ascii="宋体" w:hAnsi="宋体"/>
                <w:sz w:val="24"/>
              </w:rPr>
              <w:t>年～</w:t>
            </w:r>
            <w:r>
              <w:rPr>
                <w:rFonts w:ascii="宋体" w:hAnsi="宋体"/>
                <w:sz w:val="24"/>
                <w:u w:val="single"/>
              </w:rPr>
              <w:t xml:space="preserve"> 2016 </w:t>
            </w:r>
            <w:r>
              <w:rPr>
                <w:rFonts w:hint="eastAsia" w:ascii="宋体" w:hAnsi="宋体"/>
                <w:sz w:val="24"/>
              </w:rPr>
              <w:t>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48"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3.10</w:t>
            </w:r>
          </w:p>
        </w:tc>
        <w:tc>
          <w:tcPr>
            <w:tcW w:w="2536" w:type="dxa"/>
            <w:gridSpan w:val="2"/>
            <w:vAlign w:val="center"/>
          </w:tcPr>
          <w:p>
            <w:pPr>
              <w:widowControl/>
              <w:spacing w:line="400" w:lineRule="exact"/>
              <w:jc w:val="center"/>
              <w:rPr>
                <w:rFonts w:ascii="宋体"/>
                <w:sz w:val="24"/>
              </w:rPr>
            </w:pPr>
            <w:r>
              <w:rPr>
                <w:rFonts w:hint="eastAsia" w:ascii="宋体" w:hAnsi="宋体"/>
                <w:sz w:val="24"/>
              </w:rPr>
              <w:t>近年发生的类似项目的年份要求</w:t>
            </w:r>
          </w:p>
        </w:tc>
        <w:tc>
          <w:tcPr>
            <w:tcW w:w="6248" w:type="dxa"/>
            <w:vAlign w:val="center"/>
          </w:tcPr>
          <w:p>
            <w:pPr>
              <w:widowControl/>
              <w:spacing w:line="400" w:lineRule="exact"/>
              <w:ind w:right="113"/>
              <w:rPr>
                <w:rFonts w:ascii="宋体" w:cs="宋体"/>
                <w:b/>
                <w:sz w:val="24"/>
              </w:rPr>
            </w:pPr>
            <w:r>
              <w:rPr>
                <w:rFonts w:ascii="宋体" w:hAnsi="宋体"/>
                <w:sz w:val="24"/>
                <w:u w:val="single"/>
              </w:rPr>
              <w:t xml:space="preserve"> 2014 </w:t>
            </w:r>
            <w:r>
              <w:rPr>
                <w:rFonts w:hint="eastAsia" w:ascii="宋体" w:hAnsi="宋体"/>
                <w:sz w:val="24"/>
              </w:rPr>
              <w:t>年至今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808"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4.1</w:t>
            </w:r>
          </w:p>
        </w:tc>
        <w:tc>
          <w:tcPr>
            <w:tcW w:w="2536" w:type="dxa"/>
            <w:gridSpan w:val="2"/>
            <w:vAlign w:val="center"/>
          </w:tcPr>
          <w:p>
            <w:pPr>
              <w:widowControl/>
              <w:spacing w:line="400" w:lineRule="exact"/>
              <w:jc w:val="center"/>
              <w:rPr>
                <w:rFonts w:ascii="宋体"/>
                <w:sz w:val="24"/>
              </w:rPr>
            </w:pPr>
            <w:r>
              <w:rPr>
                <w:rFonts w:hint="eastAsia" w:ascii="宋体" w:hAnsi="宋体"/>
                <w:sz w:val="24"/>
              </w:rPr>
              <w:t>近年发生的诉讼及仲裁情况的年份要求</w:t>
            </w:r>
          </w:p>
        </w:tc>
        <w:tc>
          <w:tcPr>
            <w:tcW w:w="6248" w:type="dxa"/>
            <w:vAlign w:val="center"/>
          </w:tcPr>
          <w:p>
            <w:pPr>
              <w:widowControl/>
              <w:spacing w:line="400" w:lineRule="exact"/>
              <w:ind w:right="113"/>
              <w:rPr>
                <w:rFonts w:ascii="宋体" w:cs="宋体"/>
                <w:b/>
                <w:sz w:val="24"/>
              </w:rPr>
            </w:pPr>
            <w:r>
              <w:rPr>
                <w:rFonts w:ascii="宋体" w:hAnsi="宋体"/>
                <w:sz w:val="24"/>
                <w:u w:val="single"/>
              </w:rPr>
              <w:t xml:space="preserve"> 2014 </w:t>
            </w:r>
            <w:r>
              <w:rPr>
                <w:rFonts w:hint="eastAsia" w:ascii="宋体" w:hAnsi="宋体"/>
                <w:sz w:val="24"/>
              </w:rPr>
              <w:t>年至今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88"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4.2</w:t>
            </w:r>
          </w:p>
        </w:tc>
        <w:tc>
          <w:tcPr>
            <w:tcW w:w="2536" w:type="dxa"/>
            <w:gridSpan w:val="2"/>
            <w:vAlign w:val="center"/>
          </w:tcPr>
          <w:p>
            <w:pPr>
              <w:widowControl/>
              <w:spacing w:line="400" w:lineRule="exact"/>
              <w:jc w:val="center"/>
              <w:rPr>
                <w:rFonts w:ascii="宋体"/>
                <w:sz w:val="24"/>
              </w:rPr>
            </w:pPr>
            <w:r>
              <w:rPr>
                <w:rFonts w:hint="eastAsia" w:ascii="宋体" w:hAnsi="宋体"/>
                <w:sz w:val="24"/>
              </w:rPr>
              <w:t>是否允许递交备选磋商方案</w:t>
            </w:r>
          </w:p>
        </w:tc>
        <w:tc>
          <w:tcPr>
            <w:tcW w:w="6248" w:type="dxa"/>
            <w:vAlign w:val="center"/>
          </w:tcPr>
          <w:p>
            <w:pPr>
              <w:widowControl/>
              <w:spacing w:line="400" w:lineRule="exact"/>
              <w:ind w:left="113" w:right="113"/>
              <w:rPr>
                <w:rFonts w:ascii="宋体"/>
                <w:sz w:val="24"/>
                <w:u w:val="single"/>
              </w:rPr>
            </w:pPr>
            <w:r>
              <w:rPr>
                <w:rFonts w:hint="eastAsia" w:ascii="宋体" w:hAnsi="宋体"/>
                <w:color w:val="000000"/>
                <w:sz w:val="24"/>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027"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4.3</w:t>
            </w:r>
          </w:p>
        </w:tc>
        <w:tc>
          <w:tcPr>
            <w:tcW w:w="2536" w:type="dxa"/>
            <w:gridSpan w:val="2"/>
            <w:vAlign w:val="center"/>
          </w:tcPr>
          <w:p>
            <w:pPr>
              <w:widowControl/>
              <w:spacing w:line="400" w:lineRule="exact"/>
              <w:jc w:val="center"/>
              <w:rPr>
                <w:rFonts w:ascii="宋体"/>
                <w:sz w:val="24"/>
              </w:rPr>
            </w:pPr>
            <w:r>
              <w:rPr>
                <w:rFonts w:hint="eastAsia" w:ascii="宋体" w:hAnsi="宋体"/>
                <w:sz w:val="24"/>
              </w:rPr>
              <w:t>签字或盖章要求</w:t>
            </w:r>
          </w:p>
        </w:tc>
        <w:tc>
          <w:tcPr>
            <w:tcW w:w="6248" w:type="dxa"/>
            <w:vAlign w:val="center"/>
          </w:tcPr>
          <w:p>
            <w:pPr>
              <w:widowControl/>
              <w:spacing w:line="400" w:lineRule="exact"/>
              <w:ind w:right="113"/>
              <w:rPr>
                <w:rFonts w:ascii="宋体"/>
                <w:sz w:val="24"/>
                <w:u w:val="single"/>
              </w:rPr>
            </w:pPr>
            <w:r>
              <w:rPr>
                <w:rFonts w:hint="eastAsia" w:ascii="宋体" w:hAnsi="宋体"/>
                <w:sz w:val="24"/>
              </w:rPr>
              <w:t>密封骑缝处、投标函均应加盖供应商印章，并经法定代表人（或其委托代理人）签字（或盖章）。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925"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4.4</w:t>
            </w:r>
          </w:p>
        </w:tc>
        <w:tc>
          <w:tcPr>
            <w:tcW w:w="2536" w:type="dxa"/>
            <w:gridSpan w:val="2"/>
            <w:vAlign w:val="center"/>
          </w:tcPr>
          <w:p>
            <w:pPr>
              <w:widowControl/>
              <w:spacing w:line="400" w:lineRule="exact"/>
              <w:jc w:val="center"/>
              <w:rPr>
                <w:rFonts w:ascii="宋体"/>
                <w:sz w:val="24"/>
              </w:rPr>
            </w:pPr>
            <w:r>
              <w:rPr>
                <w:rFonts w:hint="eastAsia" w:ascii="宋体" w:hAnsi="宋体"/>
                <w:sz w:val="24"/>
              </w:rPr>
              <w:t>响应文件副本份数</w:t>
            </w:r>
          </w:p>
        </w:tc>
        <w:tc>
          <w:tcPr>
            <w:tcW w:w="6248" w:type="dxa"/>
            <w:vAlign w:val="center"/>
          </w:tcPr>
          <w:p>
            <w:pPr>
              <w:widowControl/>
              <w:spacing w:line="400" w:lineRule="exact"/>
              <w:jc w:val="left"/>
              <w:rPr>
                <w:rFonts w:ascii="宋体"/>
                <w:sz w:val="24"/>
                <w:u w:val="single"/>
              </w:rPr>
            </w:pPr>
            <w:r>
              <w:rPr>
                <w:rFonts w:hint="eastAsia" w:ascii="宋体" w:hAnsi="宋体"/>
                <w:bCs/>
                <w:sz w:val="24"/>
              </w:rPr>
              <w:t>正本</w:t>
            </w:r>
            <w:r>
              <w:rPr>
                <w:rFonts w:ascii="宋体" w:hAnsi="宋体"/>
                <w:bCs/>
                <w:sz w:val="24"/>
              </w:rPr>
              <w:t>1</w:t>
            </w:r>
            <w:r>
              <w:rPr>
                <w:rFonts w:hint="eastAsia" w:ascii="宋体" w:hAnsi="宋体"/>
                <w:bCs/>
                <w:sz w:val="24"/>
              </w:rPr>
              <w:t>份，副本</w:t>
            </w:r>
            <w:r>
              <w:rPr>
                <w:rFonts w:ascii="宋体" w:hAnsi="宋体"/>
                <w:bCs/>
                <w:sz w:val="24"/>
              </w:rPr>
              <w:t>3</w:t>
            </w:r>
            <w:r>
              <w:rPr>
                <w:rFonts w:hint="eastAsia" w:ascii="宋体" w:hAnsi="宋体"/>
                <w:bCs/>
                <w:sz w:val="24"/>
              </w:rPr>
              <w:t>份，并在封面上标明“正本”、“副本”字样，电子文档一份，唱标单两份（单独密封）。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43"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4.5</w:t>
            </w:r>
          </w:p>
        </w:tc>
        <w:tc>
          <w:tcPr>
            <w:tcW w:w="2536" w:type="dxa"/>
            <w:gridSpan w:val="2"/>
            <w:vAlign w:val="center"/>
          </w:tcPr>
          <w:p>
            <w:pPr>
              <w:widowControl/>
              <w:spacing w:line="400" w:lineRule="exact"/>
              <w:jc w:val="center"/>
              <w:rPr>
                <w:rFonts w:ascii="宋体"/>
                <w:sz w:val="24"/>
              </w:rPr>
            </w:pPr>
            <w:r>
              <w:rPr>
                <w:rFonts w:hint="eastAsia" w:ascii="宋体" w:hAnsi="宋体"/>
                <w:sz w:val="24"/>
              </w:rPr>
              <w:t>装订要求</w:t>
            </w:r>
          </w:p>
        </w:tc>
        <w:tc>
          <w:tcPr>
            <w:tcW w:w="6248" w:type="dxa"/>
            <w:vAlign w:val="center"/>
          </w:tcPr>
          <w:p>
            <w:pPr>
              <w:widowControl/>
              <w:spacing w:line="400" w:lineRule="exact"/>
              <w:ind w:left="113" w:leftChars="54" w:right="113"/>
              <w:rPr>
                <w:rFonts w:ascii="宋体"/>
                <w:bCs/>
                <w:sz w:val="24"/>
              </w:rPr>
            </w:pPr>
            <w:r>
              <w:rPr>
                <w:rFonts w:hint="eastAsia" w:ascii="宋体" w:hAnsi="宋体"/>
                <w:bCs/>
                <w:sz w:val="24"/>
              </w:rPr>
              <w:t>每册采用胶装方式装订，</w:t>
            </w:r>
            <w:r>
              <w:rPr>
                <w:rFonts w:hint="eastAsia" w:ascii="宋体" w:hAnsi="宋体"/>
                <w:sz w:val="24"/>
              </w:rPr>
              <w:t>装订应牢固、不易拆散和换页，不得采用活页装订。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876" w:hRule="atLeast"/>
          <w:jc w:val="center"/>
        </w:trPr>
        <w:tc>
          <w:tcPr>
            <w:tcW w:w="1060" w:type="dxa"/>
            <w:vAlign w:val="center"/>
          </w:tcPr>
          <w:p>
            <w:pPr>
              <w:widowControl/>
              <w:spacing w:line="400" w:lineRule="exact"/>
              <w:jc w:val="center"/>
              <w:rPr>
                <w:rFonts w:ascii="宋体" w:hAnsi="宋体"/>
                <w:sz w:val="24"/>
              </w:rPr>
            </w:pPr>
            <w:r>
              <w:rPr>
                <w:rFonts w:ascii="宋体" w:hAnsi="宋体"/>
                <w:sz w:val="24"/>
              </w:rPr>
              <w:t>4.6</w:t>
            </w:r>
          </w:p>
        </w:tc>
        <w:tc>
          <w:tcPr>
            <w:tcW w:w="2536" w:type="dxa"/>
            <w:gridSpan w:val="2"/>
            <w:vAlign w:val="center"/>
          </w:tcPr>
          <w:p>
            <w:pPr>
              <w:widowControl/>
              <w:spacing w:line="400" w:lineRule="exact"/>
              <w:jc w:val="center"/>
              <w:rPr>
                <w:rFonts w:ascii="宋体"/>
                <w:sz w:val="24"/>
              </w:rPr>
            </w:pPr>
            <w:r>
              <w:rPr>
                <w:rFonts w:hint="eastAsia" w:ascii="宋体" w:hAnsi="宋体"/>
                <w:sz w:val="24"/>
              </w:rPr>
              <w:t>封套上写明</w:t>
            </w:r>
          </w:p>
        </w:tc>
        <w:tc>
          <w:tcPr>
            <w:tcW w:w="6248" w:type="dxa"/>
            <w:vAlign w:val="center"/>
          </w:tcPr>
          <w:p>
            <w:pPr>
              <w:widowControl/>
              <w:spacing w:line="400" w:lineRule="exact"/>
              <w:rPr>
                <w:rFonts w:ascii="宋体"/>
                <w:sz w:val="24"/>
                <w:u w:val="single"/>
              </w:rPr>
            </w:pPr>
            <w:r>
              <w:rPr>
                <w:rFonts w:hint="eastAsia" w:ascii="宋体" w:hAnsi="宋体"/>
                <w:sz w:val="24"/>
              </w:rPr>
              <w:t>采购人名称：</w:t>
            </w:r>
            <w:r>
              <w:rPr>
                <w:rFonts w:hint="eastAsia" w:ascii="宋体" w:hAnsi="宋体"/>
                <w:sz w:val="24"/>
                <w:u w:val="single"/>
              </w:rPr>
              <w:t>山东大学第二医院</w:t>
            </w:r>
          </w:p>
          <w:p>
            <w:pPr>
              <w:widowControl/>
              <w:spacing w:line="400" w:lineRule="exact"/>
              <w:ind w:left="113" w:right="113"/>
              <w:rPr>
                <w:rFonts w:ascii="宋体"/>
                <w:sz w:val="24"/>
              </w:rPr>
            </w:pPr>
            <w:r>
              <w:rPr>
                <w:rFonts w:hint="eastAsia"/>
                <w:sz w:val="24"/>
                <w:u w:val="single"/>
              </w:rPr>
              <w:t>山东大学第二医院口腔科</w:t>
            </w:r>
            <w:r>
              <w:rPr>
                <w:sz w:val="24"/>
                <w:u w:val="single"/>
              </w:rPr>
              <w:t>CT</w:t>
            </w:r>
            <w:r>
              <w:rPr>
                <w:rFonts w:hint="eastAsia"/>
                <w:sz w:val="24"/>
                <w:u w:val="single"/>
              </w:rPr>
              <w:t>、牙片机房配套改造工程</w:t>
            </w:r>
            <w:r>
              <w:rPr>
                <w:rFonts w:hint="eastAsia" w:ascii="宋体" w:hAnsi="宋体"/>
                <w:sz w:val="24"/>
              </w:rPr>
              <w:t>投标文件</w:t>
            </w:r>
          </w:p>
          <w:p>
            <w:pPr>
              <w:widowControl/>
              <w:spacing w:line="400" w:lineRule="exact"/>
              <w:ind w:left="113" w:right="113"/>
              <w:rPr>
                <w:rFonts w:ascii="宋体"/>
                <w:sz w:val="24"/>
              </w:rPr>
            </w:pPr>
            <w:r>
              <w:rPr>
                <w:rFonts w:hint="eastAsia" w:ascii="宋体" w:hAnsi="宋体"/>
                <w:sz w:val="24"/>
              </w:rPr>
              <w:t>供应商名称：</w:t>
            </w:r>
          </w:p>
          <w:p>
            <w:pPr>
              <w:widowControl/>
              <w:spacing w:line="400" w:lineRule="exact"/>
              <w:ind w:left="113" w:right="113"/>
              <w:rPr>
                <w:rFonts w:ascii="宋体"/>
                <w:bCs/>
                <w:sz w:val="24"/>
              </w:rPr>
            </w:pPr>
            <w:r>
              <w:rPr>
                <w:rFonts w:hint="eastAsia" w:ascii="宋体" w:hAnsi="宋体"/>
                <w:sz w:val="24"/>
              </w:rPr>
              <w:t>在年月日时前不得开启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8"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4.7</w:t>
            </w:r>
          </w:p>
        </w:tc>
        <w:tc>
          <w:tcPr>
            <w:tcW w:w="2536" w:type="dxa"/>
            <w:gridSpan w:val="2"/>
            <w:vAlign w:val="center"/>
          </w:tcPr>
          <w:p>
            <w:pPr>
              <w:widowControl/>
              <w:spacing w:line="460" w:lineRule="exact"/>
              <w:jc w:val="center"/>
              <w:rPr>
                <w:rFonts w:ascii="宋体"/>
                <w:sz w:val="24"/>
              </w:rPr>
            </w:pPr>
            <w:r>
              <w:rPr>
                <w:rFonts w:hint="eastAsia" w:ascii="宋体" w:hAnsi="宋体"/>
                <w:sz w:val="24"/>
              </w:rPr>
              <w:t>递交响应文件地点</w:t>
            </w:r>
          </w:p>
        </w:tc>
        <w:tc>
          <w:tcPr>
            <w:tcW w:w="6248" w:type="dxa"/>
            <w:vAlign w:val="center"/>
          </w:tcPr>
          <w:p>
            <w:pPr>
              <w:widowControl/>
              <w:spacing w:line="460" w:lineRule="exact"/>
              <w:ind w:left="113" w:right="113"/>
              <w:rPr>
                <w:rFonts w:ascii="宋体"/>
                <w:sz w:val="24"/>
              </w:rPr>
            </w:pPr>
            <w:r>
              <w:rPr>
                <w:rFonts w:hint="eastAsia" w:ascii="宋体" w:hAnsi="宋体" w:cs="宋体"/>
                <w:spacing w:val="6"/>
                <w:sz w:val="24"/>
              </w:rPr>
              <w:t>山东大学第二医院办公楼五楼会议室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3"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4.8</w:t>
            </w:r>
          </w:p>
        </w:tc>
        <w:tc>
          <w:tcPr>
            <w:tcW w:w="2536" w:type="dxa"/>
            <w:gridSpan w:val="2"/>
            <w:vAlign w:val="center"/>
          </w:tcPr>
          <w:p>
            <w:pPr>
              <w:widowControl/>
              <w:spacing w:line="460" w:lineRule="exact"/>
              <w:jc w:val="center"/>
              <w:rPr>
                <w:rFonts w:ascii="宋体"/>
                <w:sz w:val="24"/>
              </w:rPr>
            </w:pPr>
            <w:r>
              <w:rPr>
                <w:rFonts w:hint="eastAsia" w:ascii="宋体" w:hAnsi="宋体"/>
                <w:sz w:val="24"/>
              </w:rPr>
              <w:t>是否退还响应文件</w:t>
            </w:r>
          </w:p>
        </w:tc>
        <w:tc>
          <w:tcPr>
            <w:tcW w:w="6248" w:type="dxa"/>
            <w:vAlign w:val="center"/>
          </w:tcPr>
          <w:p>
            <w:pPr>
              <w:widowControl/>
              <w:spacing w:line="460" w:lineRule="exact"/>
              <w:rPr>
                <w:rFonts w:ascii="宋体"/>
                <w:sz w:val="24"/>
              </w:rPr>
            </w:pPr>
            <w:r>
              <w:rPr>
                <w:rFonts w:hint="eastAsia" w:ascii="宋体" w:hAnsi="宋体"/>
                <w:color w:val="000000"/>
                <w:sz w:val="24"/>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170"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4.9</w:t>
            </w:r>
          </w:p>
        </w:tc>
        <w:tc>
          <w:tcPr>
            <w:tcW w:w="2536" w:type="dxa"/>
            <w:gridSpan w:val="2"/>
            <w:vAlign w:val="center"/>
          </w:tcPr>
          <w:p>
            <w:pPr>
              <w:widowControl/>
              <w:spacing w:line="460" w:lineRule="exact"/>
              <w:jc w:val="center"/>
              <w:rPr>
                <w:rFonts w:ascii="宋体"/>
                <w:sz w:val="24"/>
              </w:rPr>
            </w:pPr>
            <w:r>
              <w:rPr>
                <w:rFonts w:hint="eastAsia" w:ascii="宋体" w:hAnsi="宋体"/>
                <w:color w:val="000000"/>
                <w:sz w:val="24"/>
              </w:rPr>
              <w:t>开标时间和地点</w:t>
            </w:r>
          </w:p>
        </w:tc>
        <w:tc>
          <w:tcPr>
            <w:tcW w:w="6248" w:type="dxa"/>
            <w:vAlign w:val="center"/>
          </w:tcPr>
          <w:p>
            <w:pPr>
              <w:widowControl/>
              <w:spacing w:line="460" w:lineRule="exact"/>
              <w:rPr>
                <w:rFonts w:ascii="宋体"/>
                <w:sz w:val="24"/>
              </w:rPr>
            </w:pPr>
            <w:r>
              <w:rPr>
                <w:rFonts w:hint="eastAsia" w:ascii="宋体" w:hAnsi="宋体"/>
                <w:sz w:val="24"/>
              </w:rPr>
              <w:t>开标时间：</w:t>
            </w:r>
            <w:r>
              <w:rPr>
                <w:rFonts w:ascii="宋体" w:hAnsi="宋体"/>
                <w:sz w:val="24"/>
                <w:u w:val="single"/>
              </w:rPr>
              <w:t xml:space="preserve"> 2017 </w:t>
            </w:r>
            <w:r>
              <w:rPr>
                <w:rFonts w:hint="eastAsia" w:ascii="宋体" w:hAnsi="宋体"/>
                <w:sz w:val="24"/>
              </w:rPr>
              <w:t>年</w:t>
            </w:r>
            <w:r>
              <w:rPr>
                <w:rFonts w:hint="eastAsia" w:ascii="宋体" w:hAnsi="宋体"/>
                <w:sz w:val="24"/>
                <w:u w:val="single"/>
              </w:rPr>
              <w:t>12</w:t>
            </w:r>
            <w:r>
              <w:rPr>
                <w:rFonts w:hint="eastAsia" w:ascii="宋体" w:hAnsi="宋体"/>
                <w:sz w:val="24"/>
              </w:rPr>
              <w:t>月</w:t>
            </w:r>
            <w:r>
              <w:rPr>
                <w:rFonts w:hint="eastAsia" w:ascii="宋体" w:hAnsi="宋体"/>
                <w:sz w:val="24"/>
                <w:u w:val="single"/>
              </w:rPr>
              <w:t>5</w:t>
            </w:r>
            <w:r>
              <w:rPr>
                <w:rFonts w:hint="eastAsia" w:ascii="宋体" w:hAnsi="宋体"/>
                <w:sz w:val="24"/>
              </w:rPr>
              <w:t>日</w:t>
            </w:r>
            <w:r>
              <w:rPr>
                <w:rFonts w:ascii="宋体" w:hAnsi="宋体"/>
                <w:sz w:val="24"/>
                <w:u w:val="single"/>
              </w:rPr>
              <w:t>9</w:t>
            </w:r>
            <w:r>
              <w:rPr>
                <w:rFonts w:hint="eastAsia" w:ascii="宋体" w:hAnsi="宋体"/>
                <w:sz w:val="24"/>
              </w:rPr>
              <w:t>时</w:t>
            </w:r>
          </w:p>
          <w:p>
            <w:pPr>
              <w:widowControl/>
              <w:spacing w:line="460" w:lineRule="exact"/>
              <w:rPr>
                <w:rFonts w:ascii="宋体"/>
              </w:rPr>
            </w:pPr>
            <w:r>
              <w:rPr>
                <w:rFonts w:hint="eastAsia" w:ascii="宋体" w:hAnsi="宋体"/>
                <w:sz w:val="24"/>
              </w:rPr>
              <w:t>开标地点：</w:t>
            </w:r>
            <w:r>
              <w:rPr>
                <w:rFonts w:hint="eastAsia" w:ascii="宋体" w:hAnsi="宋体" w:cs="宋体"/>
                <w:spacing w:val="6"/>
                <w:sz w:val="24"/>
              </w:rPr>
              <w:t>山东大学第二医院办公楼五楼会议室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5"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4.10</w:t>
            </w:r>
          </w:p>
        </w:tc>
        <w:tc>
          <w:tcPr>
            <w:tcW w:w="2536" w:type="dxa"/>
            <w:gridSpan w:val="2"/>
            <w:vAlign w:val="center"/>
          </w:tcPr>
          <w:p>
            <w:pPr>
              <w:widowControl/>
              <w:spacing w:line="460" w:lineRule="exact"/>
              <w:jc w:val="center"/>
              <w:rPr>
                <w:rFonts w:ascii="宋体"/>
                <w:sz w:val="24"/>
              </w:rPr>
            </w:pPr>
            <w:r>
              <w:rPr>
                <w:rFonts w:hint="eastAsia" w:ascii="宋体" w:hAnsi="宋体"/>
                <w:sz w:val="24"/>
              </w:rPr>
              <w:t>开标程序</w:t>
            </w:r>
          </w:p>
        </w:tc>
        <w:tc>
          <w:tcPr>
            <w:tcW w:w="6248" w:type="dxa"/>
            <w:vAlign w:val="center"/>
          </w:tcPr>
          <w:p>
            <w:pPr>
              <w:widowControl/>
              <w:numPr>
                <w:ilvl w:val="0"/>
                <w:numId w:val="2"/>
              </w:numPr>
              <w:spacing w:line="460" w:lineRule="exact"/>
              <w:ind w:left="105" w:leftChars="50" w:right="113"/>
              <w:rPr>
                <w:rFonts w:ascii="宋体" w:hAnsi="宋体"/>
                <w:sz w:val="24"/>
                <w:u w:val="single"/>
              </w:rPr>
            </w:pPr>
            <w:r>
              <w:rPr>
                <w:rFonts w:hint="eastAsia" w:ascii="宋体" w:hAnsi="宋体"/>
                <w:sz w:val="24"/>
              </w:rPr>
              <w:t>密封情况检查：由</w:t>
            </w:r>
            <w:r>
              <w:rPr>
                <w:rFonts w:hint="eastAsia" w:ascii="宋体" w:hAnsi="宋体"/>
                <w:sz w:val="24"/>
                <w:u w:val="single"/>
              </w:rPr>
              <w:t>供应商授权代表检查</w:t>
            </w:r>
          </w:p>
          <w:p>
            <w:pPr>
              <w:widowControl/>
              <w:numPr>
                <w:ilvl w:val="0"/>
                <w:numId w:val="2"/>
              </w:numPr>
              <w:spacing w:line="460" w:lineRule="exact"/>
              <w:ind w:left="105" w:leftChars="50" w:right="113"/>
              <w:rPr>
                <w:rFonts w:ascii="宋体"/>
                <w:sz w:val="24"/>
                <w:u w:val="single"/>
              </w:rPr>
            </w:pPr>
            <w:r>
              <w:rPr>
                <w:rFonts w:hint="eastAsia" w:ascii="宋体" w:hAnsi="宋体"/>
                <w:sz w:val="24"/>
              </w:rPr>
              <w:t>唱标顺序：</w:t>
            </w:r>
            <w:r>
              <w:rPr>
                <w:rFonts w:hint="eastAsia" w:ascii="宋体" w:hAnsi="宋体" w:cs="宋体"/>
                <w:sz w:val="24"/>
                <w:u w:val="single"/>
              </w:rPr>
              <w:t>按供应商签到顺序依次进行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60"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5.1</w:t>
            </w:r>
          </w:p>
        </w:tc>
        <w:tc>
          <w:tcPr>
            <w:tcW w:w="2536" w:type="dxa"/>
            <w:gridSpan w:val="2"/>
            <w:vAlign w:val="center"/>
          </w:tcPr>
          <w:p>
            <w:pPr>
              <w:widowControl/>
              <w:spacing w:line="460" w:lineRule="exact"/>
              <w:jc w:val="center"/>
              <w:rPr>
                <w:rFonts w:ascii="宋体"/>
                <w:sz w:val="24"/>
              </w:rPr>
            </w:pPr>
            <w:r>
              <w:rPr>
                <w:rFonts w:hint="eastAsia" w:ascii="宋体" w:hAnsi="宋体"/>
                <w:sz w:val="24"/>
              </w:rPr>
              <w:t>磋商小组的组建</w:t>
            </w:r>
          </w:p>
        </w:tc>
        <w:tc>
          <w:tcPr>
            <w:tcW w:w="6248" w:type="dxa"/>
            <w:vAlign w:val="center"/>
          </w:tcPr>
          <w:p>
            <w:pPr>
              <w:widowControl/>
              <w:spacing w:line="460" w:lineRule="exact"/>
              <w:ind w:left="105" w:leftChars="50" w:right="113"/>
              <w:rPr>
                <w:rFonts w:ascii="宋体"/>
                <w:sz w:val="24"/>
              </w:rPr>
            </w:pPr>
            <w:r>
              <w:rPr>
                <w:rFonts w:hint="eastAsia" w:ascii="宋体" w:hAnsi="宋体"/>
                <w:sz w:val="24"/>
              </w:rPr>
              <w:t>磋商小组构成：</w:t>
            </w:r>
            <w:r>
              <w:rPr>
                <w:rFonts w:ascii="宋体" w:hAnsi="宋体"/>
                <w:sz w:val="24"/>
                <w:u w:val="single"/>
              </w:rPr>
              <w:t>3</w:t>
            </w:r>
            <w:r>
              <w:rPr>
                <w:rFonts w:hint="eastAsia" w:ascii="宋体" w:hAnsi="宋体"/>
                <w:sz w:val="24"/>
              </w:rPr>
              <w:t>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5"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5.2</w:t>
            </w:r>
          </w:p>
        </w:tc>
        <w:tc>
          <w:tcPr>
            <w:tcW w:w="2536" w:type="dxa"/>
            <w:gridSpan w:val="2"/>
            <w:vAlign w:val="center"/>
          </w:tcPr>
          <w:p>
            <w:pPr>
              <w:widowControl/>
              <w:spacing w:line="460" w:lineRule="exact"/>
              <w:jc w:val="center"/>
              <w:rPr>
                <w:rFonts w:ascii="宋体"/>
                <w:sz w:val="24"/>
              </w:rPr>
            </w:pPr>
            <w:r>
              <w:rPr>
                <w:rFonts w:hint="eastAsia" w:ascii="宋体" w:hAnsi="宋体"/>
                <w:sz w:val="24"/>
              </w:rPr>
              <w:t>是否授权磋商小组确定中标人</w:t>
            </w:r>
          </w:p>
        </w:tc>
        <w:tc>
          <w:tcPr>
            <w:tcW w:w="6248" w:type="dxa"/>
            <w:vAlign w:val="center"/>
          </w:tcPr>
          <w:p>
            <w:pPr>
              <w:widowControl/>
              <w:spacing w:line="460" w:lineRule="exact"/>
              <w:ind w:left="600" w:leftChars="57" w:right="113" w:hanging="480" w:hangingChars="200"/>
              <w:rPr>
                <w:rFonts w:ascii="宋体"/>
                <w:sz w:val="24"/>
              </w:rPr>
            </w:pPr>
            <w:r>
              <w:rPr>
                <w:rFonts w:hint="eastAsia" w:ascii="宋体" w:hAnsi="宋体"/>
                <w:sz w:val="24"/>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5" w:hRule="atLeast"/>
          <w:jc w:val="center"/>
        </w:trPr>
        <w:tc>
          <w:tcPr>
            <w:tcW w:w="1060" w:type="dxa"/>
            <w:vAlign w:val="center"/>
          </w:tcPr>
          <w:p>
            <w:pPr>
              <w:widowControl/>
              <w:spacing w:line="460" w:lineRule="exact"/>
              <w:jc w:val="center"/>
              <w:rPr>
                <w:rFonts w:ascii="宋体" w:hAnsi="宋体"/>
                <w:sz w:val="24"/>
              </w:rPr>
            </w:pPr>
            <w:r>
              <w:rPr>
                <w:rFonts w:ascii="宋体" w:hAnsi="宋体"/>
                <w:sz w:val="24"/>
              </w:rPr>
              <w:t>5.3</w:t>
            </w:r>
          </w:p>
        </w:tc>
        <w:tc>
          <w:tcPr>
            <w:tcW w:w="2536" w:type="dxa"/>
            <w:gridSpan w:val="2"/>
            <w:vAlign w:val="center"/>
          </w:tcPr>
          <w:p>
            <w:pPr>
              <w:widowControl/>
              <w:spacing w:line="460" w:lineRule="exact"/>
              <w:jc w:val="center"/>
              <w:rPr>
                <w:rFonts w:ascii="宋体"/>
                <w:sz w:val="24"/>
              </w:rPr>
            </w:pPr>
            <w:r>
              <w:rPr>
                <w:rFonts w:hint="eastAsia" w:ascii="宋体" w:hAnsi="宋体"/>
                <w:sz w:val="24"/>
              </w:rPr>
              <w:t>履约保证金</w:t>
            </w:r>
          </w:p>
        </w:tc>
        <w:tc>
          <w:tcPr>
            <w:tcW w:w="6248" w:type="dxa"/>
            <w:vAlign w:val="center"/>
          </w:tcPr>
          <w:p>
            <w:pPr>
              <w:widowControl/>
              <w:spacing w:line="460" w:lineRule="exact"/>
              <w:ind w:left="105" w:leftChars="50" w:right="113"/>
              <w:rPr>
                <w:rFonts w:ascii="宋体"/>
                <w:sz w:val="24"/>
              </w:rPr>
            </w:pPr>
            <w:r>
              <w:rPr>
                <w:rFonts w:hint="eastAsia" w:ascii="宋体" w:hAnsi="宋体"/>
                <w:sz w:val="24"/>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5" w:hRule="atLeast"/>
          <w:jc w:val="center"/>
        </w:trPr>
        <w:tc>
          <w:tcPr>
            <w:tcW w:w="9844" w:type="dxa"/>
            <w:gridSpan w:val="4"/>
            <w:vAlign w:val="center"/>
          </w:tcPr>
          <w:p>
            <w:pPr>
              <w:widowControl/>
              <w:spacing w:line="460" w:lineRule="exact"/>
              <w:jc w:val="left"/>
              <w:rPr>
                <w:rFonts w:ascii="宋体"/>
                <w:b/>
                <w:sz w:val="24"/>
              </w:rPr>
            </w:pPr>
            <w:r>
              <w:rPr>
                <w:rFonts w:hint="eastAsia" w:ascii="宋体" w:hAnsi="宋体"/>
                <w:sz w:val="24"/>
              </w:rPr>
              <w:t>需要补充的其他内容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92" w:hRule="atLeast"/>
          <w:jc w:val="center"/>
        </w:trPr>
        <w:tc>
          <w:tcPr>
            <w:tcW w:w="1116" w:type="dxa"/>
            <w:gridSpan w:val="2"/>
            <w:vAlign w:val="center"/>
          </w:tcPr>
          <w:p>
            <w:pPr>
              <w:widowControl/>
              <w:spacing w:line="460" w:lineRule="exact"/>
              <w:jc w:val="center"/>
              <w:rPr>
                <w:rFonts w:ascii="宋体" w:hAnsi="宋体"/>
                <w:sz w:val="24"/>
              </w:rPr>
            </w:pPr>
            <w:r>
              <w:rPr>
                <w:rFonts w:ascii="宋体" w:hAnsi="宋体"/>
                <w:sz w:val="24"/>
              </w:rPr>
              <w:t>1</w:t>
            </w:r>
          </w:p>
        </w:tc>
        <w:tc>
          <w:tcPr>
            <w:tcW w:w="8728" w:type="dxa"/>
            <w:gridSpan w:val="2"/>
            <w:vAlign w:val="center"/>
          </w:tcPr>
          <w:p>
            <w:pPr>
              <w:widowControl/>
              <w:spacing w:line="460" w:lineRule="exact"/>
              <w:ind w:left="113" w:right="113"/>
              <w:rPr>
                <w:rFonts w:ascii="宋体"/>
                <w:sz w:val="24"/>
              </w:rPr>
            </w:pPr>
            <w:r>
              <w:rPr>
                <w:rFonts w:hint="eastAsia" w:ascii="宋体" w:hAnsi="宋体"/>
                <w:sz w:val="24"/>
              </w:rPr>
              <w:t>本项目最高限价人民币：</w:t>
            </w:r>
            <w:r>
              <w:rPr>
                <w:rStyle w:val="15"/>
                <w:rFonts w:ascii="宋体" w:hAnsi="宋体" w:cs="宋体"/>
                <w:b w:val="0"/>
                <w:bCs w:val="0"/>
                <w:sz w:val="24"/>
                <w:szCs w:val="22"/>
              </w:rPr>
              <w:t>27.078908</w:t>
            </w:r>
            <w:r>
              <w:rPr>
                <w:rFonts w:hint="eastAsia" w:ascii="宋体" w:hAnsi="宋体"/>
                <w:sz w:val="24"/>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92" w:hRule="atLeast"/>
          <w:jc w:val="center"/>
        </w:trPr>
        <w:tc>
          <w:tcPr>
            <w:tcW w:w="1116" w:type="dxa"/>
            <w:gridSpan w:val="2"/>
            <w:tcBorders>
              <w:bottom w:val="single" w:color="000000" w:sz="12" w:space="0"/>
            </w:tcBorders>
            <w:vAlign w:val="center"/>
          </w:tcPr>
          <w:p>
            <w:pPr>
              <w:widowControl/>
              <w:spacing w:line="460" w:lineRule="exact"/>
              <w:jc w:val="center"/>
              <w:rPr>
                <w:rFonts w:ascii="宋体"/>
                <w:sz w:val="24"/>
              </w:rPr>
            </w:pPr>
            <w:r>
              <w:rPr>
                <w:rFonts w:ascii="宋体" w:hAnsi="宋体"/>
                <w:sz w:val="24"/>
              </w:rPr>
              <w:t>2</w:t>
            </w:r>
          </w:p>
        </w:tc>
        <w:tc>
          <w:tcPr>
            <w:tcW w:w="8728" w:type="dxa"/>
            <w:gridSpan w:val="2"/>
            <w:tcBorders>
              <w:bottom w:val="single" w:color="000000" w:sz="12" w:space="0"/>
            </w:tcBorders>
            <w:vAlign w:val="center"/>
          </w:tcPr>
          <w:p>
            <w:pPr>
              <w:widowControl/>
              <w:spacing w:line="460" w:lineRule="exact"/>
              <w:ind w:left="113" w:right="113"/>
              <w:rPr>
                <w:rFonts w:ascii="宋体"/>
                <w:sz w:val="24"/>
              </w:rPr>
            </w:pPr>
            <w:r>
              <w:rPr>
                <w:rFonts w:hint="eastAsia" w:ascii="宋体" w:hAnsi="宋体"/>
                <w:sz w:val="24"/>
              </w:rPr>
              <w:t>采购人邀请所有供应商的法定代表人或其委托代理人参加开标会。供应商的法定代表人或其委托代理人应当按时参加开标会，并在采购人按开标程序进行点名时，向供应商提交法定代表人身份证明文件或法定代表人授权委托书原件，出示本人身份证原件，以证明其出席，否则视为自动放弃投标资格。</w:t>
            </w:r>
          </w:p>
        </w:tc>
      </w:tr>
    </w:tbl>
    <w:p>
      <w:pPr>
        <w:rPr>
          <w:rFonts w:ascii="宋体"/>
        </w:rPr>
      </w:pPr>
      <w:bookmarkStart w:id="8" w:name="_Toc234382590"/>
      <w:bookmarkStart w:id="9" w:name="_Toc23728"/>
    </w:p>
    <w:p>
      <w:pPr>
        <w:rPr>
          <w:rFonts w:ascii="宋体"/>
        </w:rPr>
      </w:pPr>
      <w:r>
        <w:rPr>
          <w:rFonts w:ascii="宋体"/>
        </w:rPr>
        <w:br w:type="page"/>
      </w:r>
    </w:p>
    <w:p>
      <w:pPr>
        <w:rPr>
          <w:rFonts w:ascii="宋体"/>
          <w:b/>
          <w:sz w:val="24"/>
        </w:rPr>
      </w:pPr>
      <w:r>
        <w:rPr>
          <w:rFonts w:hint="eastAsia" w:ascii="宋体" w:hAnsi="宋体"/>
          <w:b/>
          <w:sz w:val="24"/>
        </w:rPr>
        <w:t>总则</w:t>
      </w:r>
    </w:p>
    <w:p>
      <w:pPr>
        <w:pStyle w:val="2"/>
        <w:rPr>
          <w:rFonts w:ascii="宋体"/>
          <w:sz w:val="24"/>
          <w:szCs w:val="24"/>
        </w:rPr>
      </w:pPr>
      <w:bookmarkStart w:id="10" w:name="_Toc11065"/>
      <w:r>
        <w:rPr>
          <w:rFonts w:ascii="宋体" w:hAnsi="宋体"/>
          <w:sz w:val="24"/>
          <w:szCs w:val="24"/>
        </w:rPr>
        <w:t xml:space="preserve">1.1 </w:t>
      </w:r>
      <w:r>
        <w:rPr>
          <w:rFonts w:hint="eastAsia" w:ascii="宋体" w:hAnsi="宋体"/>
          <w:sz w:val="24"/>
          <w:szCs w:val="24"/>
        </w:rPr>
        <w:t>项目概况</w:t>
      </w:r>
      <w:bookmarkEnd w:id="8"/>
      <w:bookmarkEnd w:id="9"/>
      <w:bookmarkEnd w:id="10"/>
    </w:p>
    <w:p>
      <w:pPr>
        <w:spacing w:line="360" w:lineRule="auto"/>
        <w:ind w:firstLine="480" w:firstLineChars="200"/>
        <w:rPr>
          <w:rFonts w:ascii="宋体"/>
          <w:sz w:val="24"/>
        </w:rPr>
      </w:pPr>
      <w:r>
        <w:rPr>
          <w:rFonts w:ascii="宋体" w:hAnsi="宋体"/>
          <w:sz w:val="24"/>
        </w:rPr>
        <w:t>1.1.1</w:t>
      </w:r>
      <w:r>
        <w:rPr>
          <w:rFonts w:hint="eastAsia" w:ascii="宋体" w:hAnsi="宋体"/>
          <w:sz w:val="24"/>
        </w:rPr>
        <w:t>根据《中华人民共和国招标投标法》等有关法律、法规和规章的规定，本磋商项目已具备磋商条件，现对本项目施工进行磋商。</w:t>
      </w:r>
    </w:p>
    <w:p>
      <w:pPr>
        <w:spacing w:line="360" w:lineRule="auto"/>
        <w:ind w:firstLine="480" w:firstLineChars="200"/>
        <w:rPr>
          <w:rFonts w:ascii="宋体"/>
          <w:sz w:val="24"/>
        </w:rPr>
      </w:pPr>
      <w:r>
        <w:rPr>
          <w:rFonts w:ascii="宋体" w:hAnsi="宋体"/>
          <w:sz w:val="24"/>
        </w:rPr>
        <w:t xml:space="preserve">1.1.2 </w:t>
      </w:r>
      <w:r>
        <w:rPr>
          <w:rFonts w:hint="eastAsia" w:ascii="宋体" w:hAnsi="宋体"/>
          <w:sz w:val="24"/>
        </w:rPr>
        <w:t>本项目采购人：见供应商须知前附表。</w:t>
      </w:r>
    </w:p>
    <w:p>
      <w:pPr>
        <w:spacing w:line="360" w:lineRule="auto"/>
        <w:ind w:firstLine="480" w:firstLineChars="200"/>
        <w:rPr>
          <w:rFonts w:ascii="宋体"/>
          <w:sz w:val="24"/>
        </w:rPr>
      </w:pPr>
      <w:r>
        <w:rPr>
          <w:rFonts w:ascii="宋体" w:hAnsi="宋体"/>
          <w:sz w:val="24"/>
        </w:rPr>
        <w:t xml:space="preserve">1.1.3 </w:t>
      </w:r>
      <w:r>
        <w:rPr>
          <w:rFonts w:hint="eastAsia" w:ascii="宋体" w:hAnsi="宋体"/>
          <w:sz w:val="24"/>
        </w:rPr>
        <w:t>本项目招标代理机构：见供应商须知前附表。</w:t>
      </w:r>
    </w:p>
    <w:p>
      <w:pPr>
        <w:spacing w:line="360" w:lineRule="auto"/>
        <w:ind w:firstLine="480" w:firstLineChars="200"/>
        <w:rPr>
          <w:rFonts w:ascii="宋体"/>
          <w:sz w:val="24"/>
        </w:rPr>
      </w:pPr>
      <w:r>
        <w:rPr>
          <w:rFonts w:ascii="宋体" w:hAnsi="宋体"/>
          <w:sz w:val="24"/>
        </w:rPr>
        <w:t xml:space="preserve">1.1.4 </w:t>
      </w:r>
      <w:r>
        <w:rPr>
          <w:rFonts w:hint="eastAsia" w:ascii="宋体" w:hAnsi="宋体"/>
          <w:sz w:val="24"/>
        </w:rPr>
        <w:t>本项目名称：见供应商须知前附表。</w:t>
      </w:r>
    </w:p>
    <w:p>
      <w:pPr>
        <w:spacing w:line="360" w:lineRule="auto"/>
        <w:ind w:firstLine="480" w:firstLineChars="200"/>
        <w:rPr>
          <w:rFonts w:ascii="宋体"/>
          <w:sz w:val="24"/>
        </w:rPr>
      </w:pPr>
      <w:r>
        <w:rPr>
          <w:rFonts w:ascii="宋体" w:hAnsi="宋体"/>
          <w:sz w:val="24"/>
        </w:rPr>
        <w:t xml:space="preserve">1.1.5 </w:t>
      </w:r>
      <w:r>
        <w:rPr>
          <w:rFonts w:hint="eastAsia" w:ascii="宋体" w:hAnsi="宋体"/>
          <w:sz w:val="24"/>
        </w:rPr>
        <w:t>本项目建设地点：见供应商须知前附表。</w:t>
      </w:r>
    </w:p>
    <w:p>
      <w:pPr>
        <w:pStyle w:val="2"/>
        <w:spacing w:beforeLines="50"/>
        <w:rPr>
          <w:rFonts w:ascii="宋体"/>
          <w:sz w:val="24"/>
          <w:szCs w:val="24"/>
        </w:rPr>
      </w:pPr>
      <w:bookmarkStart w:id="11" w:name="_Toc25468"/>
      <w:bookmarkStart w:id="12" w:name="_Toc234382591"/>
      <w:bookmarkStart w:id="13" w:name="_Toc9703"/>
      <w:r>
        <w:rPr>
          <w:rFonts w:ascii="宋体" w:hAnsi="宋体"/>
          <w:sz w:val="24"/>
          <w:szCs w:val="24"/>
        </w:rPr>
        <w:t xml:space="preserve">1.2 </w:t>
      </w:r>
      <w:r>
        <w:rPr>
          <w:rFonts w:hint="eastAsia" w:ascii="宋体" w:hAnsi="宋体"/>
          <w:sz w:val="24"/>
          <w:szCs w:val="24"/>
        </w:rPr>
        <w:t>资金来源和落实情况</w:t>
      </w:r>
      <w:bookmarkEnd w:id="11"/>
      <w:bookmarkEnd w:id="12"/>
      <w:bookmarkEnd w:id="13"/>
    </w:p>
    <w:p>
      <w:pPr>
        <w:spacing w:line="360" w:lineRule="auto"/>
        <w:ind w:firstLine="480" w:firstLineChars="200"/>
        <w:rPr>
          <w:rFonts w:ascii="宋体"/>
          <w:sz w:val="24"/>
        </w:rPr>
      </w:pPr>
      <w:r>
        <w:rPr>
          <w:rFonts w:ascii="宋体" w:hAnsi="宋体"/>
          <w:sz w:val="24"/>
        </w:rPr>
        <w:t xml:space="preserve">1.2.1 </w:t>
      </w:r>
      <w:r>
        <w:rPr>
          <w:rFonts w:hint="eastAsia" w:ascii="宋体" w:hAnsi="宋体"/>
          <w:sz w:val="24"/>
        </w:rPr>
        <w:t>本磋商项目的资金来源：见供应商须知前附表。</w:t>
      </w:r>
    </w:p>
    <w:p>
      <w:pPr>
        <w:spacing w:line="360" w:lineRule="auto"/>
        <w:ind w:firstLine="480" w:firstLineChars="200"/>
        <w:rPr>
          <w:rFonts w:ascii="宋体"/>
          <w:sz w:val="24"/>
        </w:rPr>
      </w:pPr>
      <w:r>
        <w:rPr>
          <w:rFonts w:ascii="宋体" w:hAnsi="宋体"/>
          <w:sz w:val="24"/>
        </w:rPr>
        <w:t xml:space="preserve">1.2.2 </w:t>
      </w:r>
      <w:r>
        <w:rPr>
          <w:rFonts w:hint="eastAsia" w:ascii="宋体" w:hAnsi="宋体"/>
          <w:sz w:val="24"/>
        </w:rPr>
        <w:t>本磋商项目的资金落实情况：见供应商须知前附表。</w:t>
      </w:r>
    </w:p>
    <w:p>
      <w:pPr>
        <w:pStyle w:val="2"/>
        <w:spacing w:beforeLines="50"/>
        <w:rPr>
          <w:rFonts w:ascii="宋体"/>
          <w:sz w:val="24"/>
          <w:szCs w:val="24"/>
        </w:rPr>
      </w:pPr>
      <w:bookmarkStart w:id="14" w:name="_Toc234382592"/>
      <w:bookmarkStart w:id="15" w:name="_Toc13068"/>
      <w:bookmarkStart w:id="16" w:name="_Toc13407"/>
      <w:r>
        <w:rPr>
          <w:rFonts w:ascii="宋体" w:hAnsi="宋体"/>
          <w:sz w:val="24"/>
          <w:szCs w:val="24"/>
        </w:rPr>
        <w:t xml:space="preserve">1.3 </w:t>
      </w:r>
      <w:r>
        <w:rPr>
          <w:rFonts w:hint="eastAsia" w:ascii="宋体" w:hAnsi="宋体"/>
          <w:sz w:val="24"/>
          <w:szCs w:val="24"/>
        </w:rPr>
        <w:t>磋商范围、计划工期和质量要求</w:t>
      </w:r>
      <w:bookmarkEnd w:id="14"/>
      <w:bookmarkEnd w:id="15"/>
      <w:bookmarkEnd w:id="16"/>
    </w:p>
    <w:p>
      <w:pPr>
        <w:spacing w:line="360" w:lineRule="auto"/>
        <w:ind w:firstLine="480" w:firstLineChars="200"/>
        <w:rPr>
          <w:rFonts w:ascii="宋体"/>
          <w:sz w:val="24"/>
        </w:rPr>
      </w:pPr>
      <w:r>
        <w:rPr>
          <w:rFonts w:ascii="宋体" w:hAnsi="宋体"/>
          <w:sz w:val="24"/>
        </w:rPr>
        <w:t xml:space="preserve">1.3.1 </w:t>
      </w:r>
      <w:r>
        <w:rPr>
          <w:rFonts w:hint="eastAsia" w:ascii="宋体" w:hAnsi="宋体"/>
          <w:sz w:val="24"/>
        </w:rPr>
        <w:t>本次磋商范围：见供应商须知前附表。</w:t>
      </w:r>
    </w:p>
    <w:p>
      <w:pPr>
        <w:spacing w:line="360" w:lineRule="auto"/>
        <w:ind w:firstLine="480" w:firstLineChars="200"/>
        <w:rPr>
          <w:rFonts w:ascii="宋体"/>
          <w:sz w:val="24"/>
        </w:rPr>
      </w:pPr>
      <w:r>
        <w:rPr>
          <w:rFonts w:ascii="宋体" w:hAnsi="宋体"/>
          <w:sz w:val="24"/>
        </w:rPr>
        <w:t xml:space="preserve">1.3.2 </w:t>
      </w:r>
      <w:r>
        <w:rPr>
          <w:rFonts w:hint="eastAsia" w:ascii="宋体" w:hAnsi="宋体"/>
          <w:sz w:val="24"/>
        </w:rPr>
        <w:t>本项目的计划工期：见供应商须知前附表。</w:t>
      </w:r>
    </w:p>
    <w:p>
      <w:pPr>
        <w:spacing w:line="360" w:lineRule="auto"/>
        <w:ind w:firstLine="480" w:firstLineChars="200"/>
        <w:rPr>
          <w:rFonts w:ascii="宋体"/>
          <w:sz w:val="24"/>
        </w:rPr>
      </w:pPr>
      <w:r>
        <w:rPr>
          <w:rFonts w:ascii="宋体" w:hAnsi="宋体"/>
          <w:sz w:val="24"/>
        </w:rPr>
        <w:t xml:space="preserve">1.3.3 </w:t>
      </w:r>
      <w:r>
        <w:rPr>
          <w:rFonts w:hint="eastAsia" w:ascii="宋体" w:hAnsi="宋体"/>
          <w:sz w:val="24"/>
        </w:rPr>
        <w:t>本项目的质量要求：见供应商须知前附表。</w:t>
      </w:r>
    </w:p>
    <w:p>
      <w:pPr>
        <w:pStyle w:val="2"/>
        <w:spacing w:beforeLines="50"/>
        <w:rPr>
          <w:rFonts w:ascii="宋体"/>
          <w:sz w:val="24"/>
          <w:szCs w:val="24"/>
        </w:rPr>
      </w:pPr>
      <w:bookmarkStart w:id="17" w:name="_Toc19902"/>
      <w:bookmarkStart w:id="18" w:name="_Toc2319"/>
      <w:bookmarkStart w:id="19" w:name="_Toc234382594"/>
      <w:r>
        <w:rPr>
          <w:rFonts w:ascii="宋体" w:hAnsi="宋体"/>
          <w:sz w:val="24"/>
          <w:szCs w:val="24"/>
        </w:rPr>
        <w:t xml:space="preserve">1.4 </w:t>
      </w:r>
      <w:r>
        <w:rPr>
          <w:rFonts w:hint="eastAsia" w:ascii="宋体" w:hAnsi="宋体"/>
          <w:sz w:val="24"/>
          <w:szCs w:val="24"/>
        </w:rPr>
        <w:t>供应商资格要求</w:t>
      </w:r>
      <w:bookmarkEnd w:id="17"/>
      <w:bookmarkEnd w:id="18"/>
      <w:bookmarkEnd w:id="19"/>
    </w:p>
    <w:p>
      <w:pPr>
        <w:spacing w:line="360" w:lineRule="auto"/>
        <w:ind w:firstLine="480" w:firstLineChars="200"/>
        <w:rPr>
          <w:rFonts w:ascii="宋体"/>
          <w:sz w:val="24"/>
        </w:rPr>
      </w:pPr>
      <w:r>
        <w:rPr>
          <w:rFonts w:ascii="宋体" w:hAnsi="宋体"/>
          <w:sz w:val="24"/>
        </w:rPr>
        <w:t>1.4.1</w:t>
      </w:r>
      <w:r>
        <w:rPr>
          <w:rFonts w:hint="eastAsia" w:ascii="宋体" w:hAnsi="宋体"/>
          <w:sz w:val="24"/>
        </w:rPr>
        <w:t>在中华人民共和国境内注册，具有独立法人资格；</w:t>
      </w:r>
    </w:p>
    <w:p>
      <w:pPr>
        <w:spacing w:line="360" w:lineRule="auto"/>
        <w:ind w:firstLine="480" w:firstLineChars="200"/>
        <w:rPr>
          <w:rFonts w:ascii="宋体"/>
          <w:sz w:val="24"/>
        </w:rPr>
      </w:pPr>
      <w:r>
        <w:rPr>
          <w:rFonts w:ascii="宋体" w:hAnsi="宋体"/>
          <w:sz w:val="24"/>
        </w:rPr>
        <w:t>1.4.2</w:t>
      </w:r>
      <w:r>
        <w:rPr>
          <w:rFonts w:hint="eastAsia" w:ascii="宋体" w:hAnsi="宋体"/>
          <w:sz w:val="24"/>
        </w:rPr>
        <w:t>具有机电设备安装叁级及以上资质、装饰装修专业叁级及以上资质；经营范围内包含放射防护工程施工等类似内容；提供建设行政主管部分颁发的安全生产许可证；</w:t>
      </w:r>
    </w:p>
    <w:p>
      <w:pPr>
        <w:spacing w:line="360" w:lineRule="auto"/>
        <w:ind w:firstLine="480" w:firstLineChars="200"/>
        <w:rPr>
          <w:rFonts w:ascii="宋体"/>
          <w:sz w:val="24"/>
        </w:rPr>
      </w:pPr>
      <w:r>
        <w:rPr>
          <w:rFonts w:ascii="宋体" w:hAnsi="宋体"/>
          <w:sz w:val="24"/>
        </w:rPr>
        <w:t>1.4.3</w:t>
      </w:r>
      <w:r>
        <w:rPr>
          <w:rFonts w:hint="eastAsia" w:ascii="宋体" w:hAnsi="宋体"/>
          <w:sz w:val="24"/>
        </w:rPr>
        <w:t>具有中国疾病预防控制中心辐射防护与核安全医学所出具的铅板、铅玻璃板、防护涂料板合格检测报告。</w:t>
      </w:r>
    </w:p>
    <w:p>
      <w:pPr>
        <w:spacing w:line="360" w:lineRule="auto"/>
        <w:ind w:firstLine="480" w:firstLineChars="200"/>
        <w:rPr>
          <w:rFonts w:ascii="宋体"/>
          <w:sz w:val="24"/>
        </w:rPr>
      </w:pPr>
      <w:r>
        <w:rPr>
          <w:rFonts w:ascii="宋体" w:hAnsi="宋体"/>
          <w:sz w:val="24"/>
        </w:rPr>
        <w:t>1.4.4</w:t>
      </w:r>
      <w:r>
        <w:rPr>
          <w:rFonts w:hint="eastAsia" w:ascii="宋体" w:hAnsi="宋体"/>
          <w:sz w:val="24"/>
        </w:rPr>
        <w:t>拟派本项目的项目经理需在本单位注册具有贰级及以上建筑工程或机电安装专业建造师资格；</w:t>
      </w:r>
      <w:r>
        <w:rPr>
          <w:rFonts w:ascii="宋体"/>
          <w:sz w:val="24"/>
        </w:rPr>
        <w:t> </w:t>
      </w:r>
      <w:r>
        <w:rPr>
          <w:rFonts w:hint="eastAsia" w:ascii="宋体" w:hAnsi="宋体"/>
          <w:sz w:val="24"/>
        </w:rPr>
        <w:t>（提供经人社部门认定盖章的劳动合同或社会养老保险证明）</w:t>
      </w:r>
    </w:p>
    <w:p>
      <w:pPr>
        <w:spacing w:line="360" w:lineRule="auto"/>
        <w:ind w:firstLine="480" w:firstLineChars="200"/>
        <w:rPr>
          <w:rFonts w:ascii="宋体"/>
          <w:sz w:val="24"/>
        </w:rPr>
      </w:pPr>
      <w:r>
        <w:rPr>
          <w:rFonts w:ascii="宋体" w:hAnsi="宋体"/>
          <w:sz w:val="24"/>
        </w:rPr>
        <w:t>1.4.5</w:t>
      </w:r>
      <w:r>
        <w:rPr>
          <w:rFonts w:hint="eastAsia" w:ascii="宋体" w:hAnsi="宋体"/>
          <w:sz w:val="24"/>
        </w:rPr>
        <w:t>本项目接受联合体投标</w:t>
      </w:r>
      <w:r>
        <w:rPr>
          <w:rFonts w:ascii="宋体" w:hAnsi="宋体"/>
          <w:sz w:val="24"/>
        </w:rPr>
        <w:t xml:space="preserve">. </w:t>
      </w:r>
    </w:p>
    <w:p>
      <w:pPr>
        <w:spacing w:line="360" w:lineRule="auto"/>
        <w:ind w:firstLine="480" w:firstLineChars="200"/>
        <w:rPr>
          <w:rFonts w:ascii="宋体"/>
          <w:sz w:val="24"/>
        </w:rPr>
      </w:pPr>
      <w:r>
        <w:rPr>
          <w:rFonts w:hint="eastAsia" w:ascii="宋体" w:hAnsi="宋体"/>
          <w:sz w:val="24"/>
        </w:rPr>
        <w:t>注：单位负责人为同一人或者存在控股、管理关系的不同单位，不得参加同一标段投标或者未划分标段的同一磋商项目投标。本项目对供应商的资格审查采用资格后审（基本条件合格制），资格审查标准和内容详见响应文件。</w:t>
      </w:r>
    </w:p>
    <w:p>
      <w:pPr>
        <w:spacing w:line="360" w:lineRule="auto"/>
        <w:ind w:firstLine="482" w:firstLineChars="200"/>
        <w:rPr>
          <w:rFonts w:ascii="宋体"/>
          <w:b/>
          <w:bCs/>
          <w:sz w:val="24"/>
        </w:rPr>
      </w:pPr>
      <w:r>
        <w:rPr>
          <w:rFonts w:ascii="宋体" w:hAnsi="宋体"/>
          <w:b/>
          <w:bCs/>
          <w:sz w:val="24"/>
        </w:rPr>
        <w:t>1.4.6</w:t>
      </w:r>
      <w:r>
        <w:rPr>
          <w:rFonts w:hint="eastAsia" w:ascii="宋体" w:hAnsi="宋体"/>
          <w:b/>
          <w:bCs/>
          <w:sz w:val="24"/>
        </w:rPr>
        <w:t>供应商不得存在下列情形之一：</w:t>
      </w:r>
      <w:bookmarkStart w:id="273" w:name="_GoBack"/>
      <w:bookmarkEnd w:id="273"/>
    </w:p>
    <w:p>
      <w:pPr>
        <w:autoSpaceDN w:val="0"/>
        <w:spacing w:line="500" w:lineRule="exact"/>
        <w:ind w:firstLine="480" w:firstLineChars="200"/>
        <w:rPr>
          <w:rFonts w:ascii="宋体"/>
          <w:color w:val="000000"/>
          <w:sz w:val="24"/>
        </w:rPr>
      </w:pPr>
      <w:bookmarkStart w:id="20" w:name="_Toc3939"/>
      <w:bookmarkStart w:id="21" w:name="_Toc234382595"/>
      <w:r>
        <w:rPr>
          <w:rFonts w:hint="eastAsia" w:ascii="宋体" w:hAnsi="宋体"/>
          <w:color w:val="000000"/>
          <w:sz w:val="24"/>
        </w:rPr>
        <w:t>（</w:t>
      </w:r>
      <w:r>
        <w:rPr>
          <w:rFonts w:ascii="宋体" w:hAnsi="宋体"/>
          <w:color w:val="000000"/>
          <w:sz w:val="24"/>
        </w:rPr>
        <w:t>1</w:t>
      </w:r>
      <w:r>
        <w:rPr>
          <w:rFonts w:hint="eastAsia" w:ascii="宋体" w:hAnsi="宋体"/>
          <w:color w:val="000000"/>
          <w:sz w:val="24"/>
        </w:rPr>
        <w:t>）为本项目前期准备提供设计或咨询服务的，但设计施工总承包的除外；</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2</w:t>
      </w:r>
      <w:r>
        <w:rPr>
          <w:rFonts w:hint="eastAsia" w:ascii="宋体" w:hAnsi="宋体"/>
          <w:color w:val="000000"/>
          <w:sz w:val="24"/>
        </w:rPr>
        <w:t>）为本项目的监理人；</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）为本项目提供磋商代理服务的；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4</w:t>
      </w:r>
      <w:r>
        <w:rPr>
          <w:rFonts w:hint="eastAsia" w:ascii="宋体" w:hAnsi="宋体"/>
          <w:color w:val="000000"/>
          <w:sz w:val="24"/>
        </w:rPr>
        <w:t>）与本项目的监理人或招标代理机构同为一个法定代表人的；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5</w:t>
      </w:r>
      <w:r>
        <w:rPr>
          <w:rFonts w:hint="eastAsia" w:ascii="宋体" w:hAnsi="宋体"/>
          <w:color w:val="000000"/>
          <w:sz w:val="24"/>
        </w:rPr>
        <w:t>）与本项目的监理人或招标代理机构相互控股或参股的；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6</w:t>
      </w:r>
      <w:r>
        <w:rPr>
          <w:rFonts w:hint="eastAsia" w:ascii="宋体" w:hAnsi="宋体"/>
          <w:color w:val="000000"/>
          <w:sz w:val="24"/>
        </w:rPr>
        <w:t>）与本项目的监理人或招标代理机构相互任职或工作的；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7</w:t>
      </w:r>
      <w:r>
        <w:rPr>
          <w:rFonts w:hint="eastAsia" w:ascii="宋体" w:hAnsi="宋体"/>
          <w:color w:val="000000"/>
          <w:sz w:val="24"/>
        </w:rPr>
        <w:t>）被责令停业的；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8</w:t>
      </w:r>
      <w:r>
        <w:rPr>
          <w:rFonts w:hint="eastAsia" w:ascii="宋体" w:hAnsi="宋体"/>
          <w:color w:val="000000"/>
          <w:sz w:val="24"/>
        </w:rPr>
        <w:t>）被暂停或取消投标资格的；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9</w:t>
      </w:r>
      <w:r>
        <w:rPr>
          <w:rFonts w:hint="eastAsia" w:ascii="宋体" w:hAnsi="宋体"/>
          <w:color w:val="000000"/>
          <w:sz w:val="24"/>
        </w:rPr>
        <w:t>）财产被接管或冻结的；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10</w:t>
      </w:r>
      <w:r>
        <w:rPr>
          <w:rFonts w:hint="eastAsia" w:ascii="宋体" w:hAnsi="宋体"/>
          <w:color w:val="000000"/>
          <w:sz w:val="24"/>
        </w:rPr>
        <w:t>）在最近三年内有骗取中标或严重违约或重大工程质量问题的；</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11</w:t>
      </w:r>
      <w:r>
        <w:rPr>
          <w:rFonts w:hint="eastAsia" w:ascii="宋体" w:hAnsi="宋体"/>
          <w:color w:val="000000"/>
          <w:sz w:val="24"/>
        </w:rPr>
        <w:t>）单位负责人为同一人或者存在控股、管理关系的不同单位，在同一工程标段中投标；</w:t>
      </w:r>
    </w:p>
    <w:p>
      <w:pPr>
        <w:autoSpaceDN w:val="0"/>
        <w:spacing w:line="50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12</w:t>
      </w:r>
      <w:r>
        <w:rPr>
          <w:rFonts w:hint="eastAsia" w:ascii="宋体" w:hAnsi="宋体"/>
          <w:color w:val="000000"/>
          <w:sz w:val="24"/>
        </w:rPr>
        <w:t>）供应商低于成本或者违反政府指导价的报价。</w:t>
      </w:r>
    </w:p>
    <w:p>
      <w:pPr>
        <w:pStyle w:val="2"/>
        <w:spacing w:beforeLines="50"/>
        <w:rPr>
          <w:rFonts w:ascii="宋体"/>
          <w:sz w:val="24"/>
          <w:szCs w:val="24"/>
        </w:rPr>
      </w:pPr>
      <w:bookmarkStart w:id="22" w:name="_Toc18994"/>
      <w:r>
        <w:rPr>
          <w:rFonts w:ascii="宋体" w:hAnsi="宋体"/>
          <w:sz w:val="24"/>
          <w:szCs w:val="24"/>
        </w:rPr>
        <w:t xml:space="preserve">1.5 </w:t>
      </w:r>
      <w:r>
        <w:rPr>
          <w:rFonts w:hint="eastAsia" w:ascii="宋体" w:hAnsi="宋体"/>
          <w:sz w:val="24"/>
          <w:szCs w:val="24"/>
        </w:rPr>
        <w:t>费用承担</w:t>
      </w:r>
      <w:bookmarkEnd w:id="20"/>
      <w:bookmarkEnd w:id="21"/>
      <w:bookmarkEnd w:id="22"/>
    </w:p>
    <w:p>
      <w:pPr>
        <w:spacing w:line="360" w:lineRule="auto"/>
        <w:ind w:firstLine="480" w:firstLineChars="200"/>
        <w:rPr>
          <w:rFonts w:ascii="宋体"/>
          <w:sz w:val="24"/>
        </w:rPr>
      </w:pPr>
      <w:r>
        <w:rPr>
          <w:rFonts w:ascii="宋体" w:hAnsi="宋体"/>
          <w:sz w:val="24"/>
        </w:rPr>
        <w:t>1.5.1</w:t>
      </w:r>
      <w:r>
        <w:rPr>
          <w:rFonts w:hint="eastAsia" w:ascii="宋体" w:hAnsi="宋体"/>
          <w:sz w:val="24"/>
        </w:rPr>
        <w:t>供应商准备和参加投标活动发生的费用自理。</w:t>
      </w:r>
    </w:p>
    <w:p>
      <w:pPr>
        <w:spacing w:line="360" w:lineRule="auto"/>
        <w:ind w:firstLine="480" w:firstLineChars="200"/>
        <w:rPr>
          <w:rFonts w:ascii="宋体"/>
          <w:kern w:val="0"/>
          <w:sz w:val="24"/>
        </w:rPr>
      </w:pPr>
      <w:r>
        <w:rPr>
          <w:rFonts w:ascii="宋体" w:hAnsi="宋体"/>
          <w:sz w:val="24"/>
        </w:rPr>
        <w:t>1.5.2</w:t>
      </w:r>
      <w:r>
        <w:rPr>
          <w:rFonts w:hint="eastAsia" w:ascii="宋体" w:hAnsi="宋体"/>
          <w:sz w:val="24"/>
        </w:rPr>
        <w:t>本项目代理服务费按中华人民共和国国家计划委员会</w:t>
      </w:r>
      <w:r>
        <w:rPr>
          <w:rFonts w:ascii="宋体" w:hAnsi="宋体"/>
          <w:sz w:val="24"/>
        </w:rPr>
        <w:t>[</w:t>
      </w:r>
      <w:r>
        <w:rPr>
          <w:rFonts w:hint="eastAsia" w:ascii="宋体" w:hAnsi="宋体"/>
          <w:sz w:val="24"/>
        </w:rPr>
        <w:t>计价格</w:t>
      </w:r>
      <w:r>
        <w:rPr>
          <w:rFonts w:ascii="宋体" w:hAnsi="宋体"/>
          <w:sz w:val="24"/>
        </w:rPr>
        <w:t>[2002]1980]</w:t>
      </w:r>
      <w:r>
        <w:rPr>
          <w:rFonts w:hint="eastAsia" w:ascii="宋体" w:hAnsi="宋体"/>
          <w:sz w:val="24"/>
        </w:rPr>
        <w:t>号文规定的</w:t>
      </w:r>
      <w:r>
        <w:rPr>
          <w:rFonts w:ascii="宋体" w:hAnsi="宋体"/>
          <w:sz w:val="24"/>
        </w:rPr>
        <w:t>80%</w:t>
      </w:r>
      <w:r>
        <w:rPr>
          <w:rFonts w:hint="eastAsia" w:ascii="宋体" w:hAnsi="宋体"/>
          <w:sz w:val="24"/>
        </w:rPr>
        <w:t>收取，由中标单位支付给招标代理机构。</w:t>
      </w:r>
    </w:p>
    <w:p>
      <w:pPr>
        <w:pStyle w:val="2"/>
        <w:spacing w:beforeLines="50"/>
        <w:rPr>
          <w:rFonts w:ascii="宋体"/>
          <w:sz w:val="24"/>
          <w:szCs w:val="24"/>
        </w:rPr>
      </w:pPr>
      <w:bookmarkStart w:id="23" w:name="_Toc29997"/>
      <w:bookmarkStart w:id="24" w:name="_Toc8492"/>
      <w:bookmarkStart w:id="25" w:name="_Toc234382596"/>
      <w:r>
        <w:rPr>
          <w:rFonts w:ascii="宋体" w:hAnsi="宋体"/>
          <w:sz w:val="24"/>
          <w:szCs w:val="24"/>
        </w:rPr>
        <w:t xml:space="preserve">1.6 </w:t>
      </w:r>
      <w:r>
        <w:rPr>
          <w:rFonts w:hint="eastAsia" w:ascii="宋体" w:hAnsi="宋体"/>
          <w:sz w:val="24"/>
          <w:szCs w:val="24"/>
        </w:rPr>
        <w:t>保密</w:t>
      </w:r>
      <w:bookmarkEnd w:id="23"/>
      <w:bookmarkEnd w:id="24"/>
      <w:bookmarkEnd w:id="25"/>
    </w:p>
    <w:p>
      <w:pPr>
        <w:spacing w:line="360" w:lineRule="auto"/>
        <w:ind w:firstLine="480" w:firstLineChars="200"/>
        <w:rPr>
          <w:rFonts w:ascii="宋体"/>
          <w:sz w:val="24"/>
        </w:rPr>
      </w:pPr>
      <w:r>
        <w:rPr>
          <w:rFonts w:hint="eastAsia" w:ascii="宋体" w:hAnsi="宋体"/>
          <w:sz w:val="24"/>
        </w:rPr>
        <w:t>参与磋商投标活动的各方应对响应文件和响应文件中的商业和技术等秘密保密，违者应对由此造成的后果承担法律责任。</w:t>
      </w:r>
    </w:p>
    <w:p>
      <w:pPr>
        <w:pStyle w:val="2"/>
        <w:spacing w:beforeLines="50"/>
        <w:rPr>
          <w:rFonts w:ascii="宋体"/>
          <w:sz w:val="24"/>
          <w:szCs w:val="24"/>
        </w:rPr>
      </w:pPr>
      <w:bookmarkStart w:id="26" w:name="_Toc16747"/>
      <w:bookmarkStart w:id="27" w:name="_Toc234382597"/>
      <w:bookmarkStart w:id="28" w:name="_Toc10163"/>
      <w:r>
        <w:rPr>
          <w:rFonts w:ascii="宋体" w:hAnsi="宋体"/>
          <w:sz w:val="24"/>
          <w:szCs w:val="24"/>
        </w:rPr>
        <w:t xml:space="preserve">1.7 </w:t>
      </w:r>
      <w:r>
        <w:rPr>
          <w:rFonts w:hint="eastAsia" w:ascii="宋体" w:hAnsi="宋体"/>
          <w:sz w:val="24"/>
          <w:szCs w:val="24"/>
        </w:rPr>
        <w:t>语言文字</w:t>
      </w:r>
      <w:bookmarkEnd w:id="26"/>
      <w:bookmarkEnd w:id="27"/>
      <w:bookmarkEnd w:id="28"/>
    </w:p>
    <w:p>
      <w:pPr>
        <w:spacing w:line="360" w:lineRule="auto"/>
        <w:ind w:firstLine="480" w:firstLineChars="200"/>
        <w:rPr>
          <w:rFonts w:ascii="宋体"/>
          <w:sz w:val="24"/>
        </w:rPr>
      </w:pPr>
      <w:r>
        <w:rPr>
          <w:rFonts w:hint="eastAsia" w:ascii="宋体" w:hAnsi="宋体"/>
          <w:sz w:val="24"/>
        </w:rPr>
        <w:t>除专用术语外，与磋商投标有关的语言均使用中文。必要时专用术语应附有中文注释。</w:t>
      </w:r>
    </w:p>
    <w:p>
      <w:pPr>
        <w:pStyle w:val="2"/>
        <w:spacing w:beforeLines="50"/>
        <w:rPr>
          <w:rFonts w:ascii="宋体"/>
          <w:sz w:val="24"/>
          <w:szCs w:val="24"/>
        </w:rPr>
      </w:pPr>
      <w:bookmarkStart w:id="29" w:name="_Toc8682"/>
      <w:bookmarkStart w:id="30" w:name="_Toc234382598"/>
      <w:bookmarkStart w:id="31" w:name="_Toc10901"/>
      <w:r>
        <w:rPr>
          <w:rFonts w:ascii="宋体" w:hAnsi="宋体"/>
          <w:sz w:val="24"/>
          <w:szCs w:val="24"/>
        </w:rPr>
        <w:t xml:space="preserve">1.8 </w:t>
      </w:r>
      <w:r>
        <w:rPr>
          <w:rFonts w:hint="eastAsia" w:ascii="宋体" w:hAnsi="宋体"/>
          <w:sz w:val="24"/>
          <w:szCs w:val="24"/>
        </w:rPr>
        <w:t>计量单位</w:t>
      </w:r>
      <w:bookmarkEnd w:id="29"/>
      <w:bookmarkEnd w:id="30"/>
      <w:bookmarkEnd w:id="31"/>
    </w:p>
    <w:p>
      <w:pPr>
        <w:spacing w:line="360" w:lineRule="auto"/>
        <w:ind w:firstLine="480" w:firstLineChars="200"/>
        <w:rPr>
          <w:rFonts w:ascii="宋体"/>
          <w:sz w:val="24"/>
        </w:rPr>
      </w:pPr>
      <w:r>
        <w:rPr>
          <w:rFonts w:hint="eastAsia" w:ascii="宋体" w:hAnsi="宋体"/>
          <w:sz w:val="24"/>
        </w:rPr>
        <w:t>所有计量均采用中华人民共和国法定计量单位。</w:t>
      </w:r>
    </w:p>
    <w:p>
      <w:pPr>
        <w:pStyle w:val="2"/>
        <w:spacing w:beforeLines="50"/>
        <w:rPr>
          <w:rFonts w:ascii="宋体"/>
          <w:color w:val="FF0000"/>
          <w:sz w:val="24"/>
          <w:szCs w:val="24"/>
        </w:rPr>
      </w:pPr>
      <w:bookmarkStart w:id="32" w:name="_Toc1427"/>
      <w:bookmarkStart w:id="33" w:name="_Toc9497"/>
      <w:bookmarkStart w:id="34" w:name="_Toc234382599"/>
      <w:r>
        <w:rPr>
          <w:rFonts w:ascii="宋体" w:hAnsi="宋体"/>
          <w:sz w:val="24"/>
          <w:szCs w:val="24"/>
        </w:rPr>
        <w:t xml:space="preserve">1.9 </w:t>
      </w:r>
      <w:r>
        <w:rPr>
          <w:rFonts w:hint="eastAsia" w:ascii="宋体" w:hAnsi="宋体"/>
          <w:sz w:val="24"/>
          <w:szCs w:val="24"/>
        </w:rPr>
        <w:t>踏勘现场</w:t>
      </w:r>
      <w:bookmarkEnd w:id="32"/>
      <w:bookmarkEnd w:id="33"/>
      <w:bookmarkEnd w:id="34"/>
    </w:p>
    <w:p>
      <w:pPr>
        <w:spacing w:line="360" w:lineRule="auto"/>
        <w:ind w:firstLine="480" w:firstLineChars="200"/>
        <w:rPr>
          <w:rFonts w:ascii="宋体"/>
          <w:sz w:val="24"/>
        </w:rPr>
      </w:pPr>
      <w:r>
        <w:rPr>
          <w:rFonts w:ascii="宋体" w:hAnsi="宋体"/>
          <w:sz w:val="24"/>
        </w:rPr>
        <w:t>1.9.1</w:t>
      </w:r>
      <w:r>
        <w:rPr>
          <w:rFonts w:hint="eastAsia" w:ascii="宋体" w:hAnsi="宋体"/>
          <w:sz w:val="24"/>
        </w:rPr>
        <w:t>供应商须知前附表规定组织踏勘现场的，采购人按供应商须知前附表规定的时间、地点组织供应商踏勘项目现场并签字确认。</w:t>
      </w:r>
    </w:p>
    <w:p>
      <w:pPr>
        <w:spacing w:line="360" w:lineRule="auto"/>
        <w:ind w:firstLine="480" w:firstLineChars="200"/>
        <w:rPr>
          <w:rFonts w:ascii="宋体"/>
          <w:sz w:val="24"/>
        </w:rPr>
      </w:pPr>
      <w:r>
        <w:rPr>
          <w:rFonts w:ascii="宋体" w:hAnsi="宋体"/>
          <w:sz w:val="24"/>
        </w:rPr>
        <w:t xml:space="preserve">1.9.2 </w:t>
      </w:r>
      <w:r>
        <w:rPr>
          <w:rFonts w:hint="eastAsia" w:ascii="宋体" w:hAnsi="宋体"/>
          <w:sz w:val="24"/>
        </w:rPr>
        <w:t>供应商自行踏勘现场发生的费用自理。</w:t>
      </w:r>
    </w:p>
    <w:p>
      <w:pPr>
        <w:spacing w:line="360" w:lineRule="auto"/>
        <w:ind w:firstLine="480" w:firstLineChars="200"/>
        <w:rPr>
          <w:rFonts w:ascii="宋体"/>
          <w:sz w:val="24"/>
        </w:rPr>
      </w:pPr>
      <w:r>
        <w:rPr>
          <w:rFonts w:ascii="宋体" w:hAnsi="宋体"/>
          <w:sz w:val="24"/>
        </w:rPr>
        <w:t xml:space="preserve">1.9.3 </w:t>
      </w:r>
      <w:r>
        <w:rPr>
          <w:rFonts w:hint="eastAsia" w:ascii="宋体" w:hAnsi="宋体"/>
          <w:sz w:val="24"/>
        </w:rPr>
        <w:t>除采购人的原因外，供应商自行负责在踏勘现场中所发生的人员伤亡和财产损失。</w:t>
      </w:r>
    </w:p>
    <w:p>
      <w:pPr>
        <w:spacing w:line="360" w:lineRule="auto"/>
        <w:ind w:firstLine="480" w:firstLineChars="200"/>
        <w:rPr>
          <w:rFonts w:ascii="宋体"/>
          <w:sz w:val="24"/>
        </w:rPr>
      </w:pPr>
      <w:r>
        <w:rPr>
          <w:rFonts w:ascii="宋体" w:hAnsi="宋体"/>
          <w:sz w:val="24"/>
        </w:rPr>
        <w:t xml:space="preserve">1.9.4 </w:t>
      </w:r>
      <w:r>
        <w:rPr>
          <w:rFonts w:hint="eastAsia" w:ascii="宋体" w:hAnsi="宋体"/>
          <w:sz w:val="24"/>
        </w:rPr>
        <w:t>采购人在踏勘现场中介绍的工程场地和相关的周边环境情况，供供应商在编制投标文件时参考，采购人不对供应商据此作出的判断和决策负责。</w:t>
      </w:r>
    </w:p>
    <w:p>
      <w:pPr>
        <w:pStyle w:val="2"/>
        <w:spacing w:beforeLines="50"/>
        <w:rPr>
          <w:rFonts w:ascii="宋体"/>
          <w:sz w:val="24"/>
          <w:szCs w:val="24"/>
        </w:rPr>
      </w:pPr>
      <w:bookmarkStart w:id="35" w:name="_Toc234382600"/>
      <w:bookmarkStart w:id="36" w:name="_Toc12443"/>
      <w:bookmarkStart w:id="37" w:name="_Toc29809"/>
      <w:r>
        <w:rPr>
          <w:rFonts w:ascii="宋体" w:hAnsi="宋体"/>
          <w:sz w:val="24"/>
          <w:szCs w:val="24"/>
        </w:rPr>
        <w:t xml:space="preserve">1.10 </w:t>
      </w:r>
      <w:r>
        <w:rPr>
          <w:rFonts w:hint="eastAsia" w:ascii="宋体" w:hAnsi="宋体"/>
          <w:sz w:val="24"/>
          <w:szCs w:val="24"/>
        </w:rPr>
        <w:t>投标预备会</w:t>
      </w:r>
      <w:bookmarkEnd w:id="35"/>
      <w:bookmarkEnd w:id="36"/>
      <w:bookmarkEnd w:id="37"/>
    </w:p>
    <w:p>
      <w:pPr>
        <w:spacing w:line="360" w:lineRule="auto"/>
        <w:ind w:firstLine="480" w:firstLineChars="200"/>
        <w:rPr>
          <w:rFonts w:ascii="宋体"/>
          <w:sz w:val="24"/>
        </w:rPr>
      </w:pPr>
      <w:r>
        <w:rPr>
          <w:rFonts w:ascii="宋体" w:hAnsi="宋体"/>
          <w:sz w:val="24"/>
        </w:rPr>
        <w:t xml:space="preserve">1.10.1 </w:t>
      </w:r>
      <w:r>
        <w:rPr>
          <w:rFonts w:hint="eastAsia" w:ascii="宋体" w:hAnsi="宋体"/>
          <w:sz w:val="24"/>
        </w:rPr>
        <w:t>采购人不组织召开投标预备会。</w:t>
      </w:r>
    </w:p>
    <w:p>
      <w:pPr>
        <w:spacing w:line="360" w:lineRule="auto"/>
        <w:ind w:firstLine="480" w:firstLineChars="200"/>
        <w:rPr>
          <w:rFonts w:ascii="宋体"/>
          <w:sz w:val="24"/>
        </w:rPr>
      </w:pPr>
      <w:r>
        <w:rPr>
          <w:rFonts w:ascii="宋体" w:hAnsi="宋体"/>
          <w:sz w:val="24"/>
        </w:rPr>
        <w:t xml:space="preserve">1.10.2 </w:t>
      </w:r>
      <w:r>
        <w:rPr>
          <w:rFonts w:hint="eastAsia" w:ascii="宋体" w:hAnsi="宋体"/>
          <w:sz w:val="24"/>
        </w:rPr>
        <w:t>供应商应在供应商须知前附表规定的时间前，以书面形式将提出的问题送达山东齐信招标有限公司。</w:t>
      </w:r>
    </w:p>
    <w:p>
      <w:pPr>
        <w:spacing w:line="360" w:lineRule="auto"/>
        <w:ind w:firstLine="480" w:firstLineChars="200"/>
        <w:rPr>
          <w:rFonts w:ascii="宋体"/>
          <w:sz w:val="24"/>
        </w:rPr>
      </w:pPr>
      <w:r>
        <w:rPr>
          <w:rFonts w:ascii="宋体" w:hAnsi="宋体"/>
          <w:sz w:val="24"/>
        </w:rPr>
        <w:t>1.10.3</w:t>
      </w:r>
      <w:r>
        <w:rPr>
          <w:rFonts w:hint="eastAsia" w:ascii="宋体" w:hAnsi="宋体"/>
          <w:sz w:val="24"/>
        </w:rPr>
        <w:t>山东齐信招标有限公司将在供应商须知前附表规定的时间内，将对供应商所提问题的澄清，以书面方式通知所有购买响应文件的供应商，该澄清内容为响应文件的组成部分，其它任何单位、个人以任何形式，任何名义发放的澄清内容均无效。</w:t>
      </w:r>
    </w:p>
    <w:p>
      <w:pPr>
        <w:pStyle w:val="2"/>
        <w:spacing w:beforeLines="50"/>
        <w:rPr>
          <w:rFonts w:ascii="宋体"/>
          <w:sz w:val="24"/>
          <w:szCs w:val="24"/>
        </w:rPr>
      </w:pPr>
      <w:bookmarkStart w:id="38" w:name="_Toc26345"/>
      <w:bookmarkStart w:id="39" w:name="_Toc234382601"/>
      <w:bookmarkStart w:id="40" w:name="_Toc1703"/>
      <w:r>
        <w:rPr>
          <w:rFonts w:ascii="宋体" w:hAnsi="宋体"/>
          <w:sz w:val="24"/>
          <w:szCs w:val="24"/>
        </w:rPr>
        <w:t xml:space="preserve">1.11 </w:t>
      </w:r>
      <w:r>
        <w:rPr>
          <w:rFonts w:hint="eastAsia" w:ascii="宋体" w:hAnsi="宋体"/>
          <w:sz w:val="24"/>
          <w:szCs w:val="24"/>
        </w:rPr>
        <w:t>分包</w:t>
      </w:r>
      <w:bookmarkEnd w:id="38"/>
      <w:bookmarkEnd w:id="39"/>
      <w:bookmarkEnd w:id="40"/>
    </w:p>
    <w:p>
      <w:pPr>
        <w:spacing w:line="360" w:lineRule="auto"/>
        <w:ind w:firstLine="480" w:firstLineChars="200"/>
        <w:rPr>
          <w:rFonts w:ascii="宋体"/>
          <w:sz w:val="24"/>
        </w:rPr>
      </w:pPr>
      <w:r>
        <w:rPr>
          <w:rFonts w:hint="eastAsia" w:ascii="宋体" w:hAnsi="宋体"/>
          <w:sz w:val="24"/>
        </w:rPr>
        <w:t>本项目严禁转包和分包，且不得再次分包。否则中标单位视为违约并承担因此造成的一切后果及法律责任。</w:t>
      </w:r>
    </w:p>
    <w:p>
      <w:pPr>
        <w:pStyle w:val="2"/>
        <w:spacing w:beforeLines="50"/>
        <w:rPr>
          <w:rFonts w:ascii="宋体"/>
          <w:sz w:val="24"/>
          <w:szCs w:val="24"/>
        </w:rPr>
      </w:pPr>
      <w:bookmarkStart w:id="41" w:name="_Toc13195"/>
      <w:bookmarkStart w:id="42" w:name="_Toc234382602"/>
      <w:bookmarkStart w:id="43" w:name="_Toc22133"/>
      <w:r>
        <w:rPr>
          <w:rFonts w:ascii="宋体" w:hAnsi="宋体"/>
          <w:sz w:val="24"/>
          <w:szCs w:val="24"/>
        </w:rPr>
        <w:t xml:space="preserve">1.12 </w:t>
      </w:r>
      <w:r>
        <w:rPr>
          <w:rFonts w:hint="eastAsia" w:ascii="宋体" w:hAnsi="宋体"/>
          <w:sz w:val="24"/>
          <w:szCs w:val="24"/>
        </w:rPr>
        <w:t>偏离</w:t>
      </w:r>
      <w:bookmarkEnd w:id="41"/>
      <w:bookmarkEnd w:id="42"/>
      <w:bookmarkEnd w:id="43"/>
    </w:p>
    <w:p>
      <w:pPr>
        <w:spacing w:line="360" w:lineRule="auto"/>
        <w:ind w:firstLine="240" w:firstLineChars="100"/>
        <w:rPr>
          <w:rFonts w:ascii="宋体"/>
          <w:sz w:val="24"/>
        </w:rPr>
      </w:pPr>
      <w:r>
        <w:rPr>
          <w:rFonts w:hint="eastAsia" w:ascii="宋体" w:hAnsi="宋体"/>
          <w:sz w:val="24"/>
        </w:rPr>
        <w:t>本工程项目投标报价不允许报价偏离。</w:t>
      </w:r>
    </w:p>
    <w:p>
      <w:pPr>
        <w:pStyle w:val="2"/>
        <w:spacing w:beforeLines="150" w:after="480" w:line="240" w:lineRule="auto"/>
        <w:rPr>
          <w:rFonts w:ascii="宋体"/>
          <w:sz w:val="24"/>
          <w:szCs w:val="24"/>
        </w:rPr>
      </w:pPr>
      <w:bookmarkStart w:id="44" w:name="_Toc17013"/>
      <w:bookmarkStart w:id="45" w:name="_Toc234382603"/>
      <w:bookmarkStart w:id="46" w:name="_Toc14763"/>
      <w:r>
        <w:rPr>
          <w:rFonts w:ascii="宋体" w:hAnsi="宋体"/>
          <w:sz w:val="24"/>
          <w:szCs w:val="24"/>
        </w:rPr>
        <w:t xml:space="preserve">2. </w:t>
      </w:r>
      <w:bookmarkEnd w:id="44"/>
      <w:bookmarkEnd w:id="45"/>
      <w:r>
        <w:rPr>
          <w:rFonts w:hint="eastAsia" w:ascii="宋体" w:hAnsi="宋体"/>
          <w:sz w:val="24"/>
          <w:szCs w:val="24"/>
        </w:rPr>
        <w:t>磋商文件</w:t>
      </w:r>
      <w:bookmarkEnd w:id="46"/>
    </w:p>
    <w:p>
      <w:pPr>
        <w:pStyle w:val="2"/>
        <w:rPr>
          <w:rFonts w:ascii="宋体"/>
          <w:sz w:val="24"/>
          <w:szCs w:val="24"/>
        </w:rPr>
      </w:pPr>
      <w:bookmarkStart w:id="47" w:name="_Toc234382604"/>
      <w:bookmarkStart w:id="48" w:name="_Toc9833"/>
      <w:bookmarkStart w:id="49" w:name="_Toc11494"/>
      <w:r>
        <w:rPr>
          <w:rFonts w:ascii="宋体" w:hAnsi="宋体"/>
          <w:sz w:val="24"/>
          <w:szCs w:val="24"/>
        </w:rPr>
        <w:t xml:space="preserve">2.1 </w:t>
      </w:r>
      <w:r>
        <w:rPr>
          <w:rFonts w:hint="eastAsia" w:ascii="宋体" w:hAnsi="宋体"/>
          <w:sz w:val="24"/>
          <w:szCs w:val="24"/>
        </w:rPr>
        <w:t>磋商文件的组成</w:t>
      </w:r>
      <w:bookmarkEnd w:id="47"/>
      <w:bookmarkEnd w:id="48"/>
      <w:bookmarkEnd w:id="49"/>
    </w:p>
    <w:p>
      <w:pPr>
        <w:spacing w:line="360" w:lineRule="auto"/>
        <w:ind w:firstLine="480" w:firstLineChars="200"/>
        <w:rPr>
          <w:rFonts w:ascii="宋体"/>
          <w:sz w:val="24"/>
        </w:rPr>
      </w:pPr>
      <w:r>
        <w:rPr>
          <w:rFonts w:hint="eastAsia" w:ascii="宋体" w:hAnsi="宋体"/>
          <w:sz w:val="24"/>
        </w:rPr>
        <w:t>本磋商文件包括：</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）磋商公告（或投标邀请书）；</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）供应商须知；</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）评审办法；</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）合同条款及格式；</w:t>
      </w:r>
    </w:p>
    <w:p>
      <w:pPr>
        <w:spacing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）工程量清单；</w:t>
      </w:r>
    </w:p>
    <w:p>
      <w:pPr>
        <w:spacing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）图纸；</w:t>
      </w:r>
    </w:p>
    <w:p>
      <w:pPr>
        <w:spacing w:line="360" w:lineRule="auto"/>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）技术标准和要求；</w:t>
      </w:r>
    </w:p>
    <w:p>
      <w:pPr>
        <w:spacing w:line="360" w:lineRule="auto"/>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）响应文件格式；</w:t>
      </w:r>
    </w:p>
    <w:p>
      <w:pPr>
        <w:spacing w:line="360" w:lineRule="auto"/>
        <w:ind w:firstLine="480" w:firstLineChars="200"/>
        <w:rPr>
          <w:rFonts w:ascii="宋体"/>
          <w:sz w:val="24"/>
        </w:rPr>
      </w:pPr>
      <w:r>
        <w:rPr>
          <w:rFonts w:hint="eastAsia" w:ascii="宋体" w:hAnsi="宋体"/>
          <w:sz w:val="24"/>
        </w:rPr>
        <w:t>（</w:t>
      </w:r>
      <w:r>
        <w:rPr>
          <w:rFonts w:ascii="宋体" w:hAnsi="宋体"/>
          <w:sz w:val="24"/>
        </w:rPr>
        <w:t>9</w:t>
      </w:r>
      <w:r>
        <w:rPr>
          <w:rFonts w:hint="eastAsia" w:ascii="宋体" w:hAnsi="宋体"/>
          <w:sz w:val="24"/>
        </w:rPr>
        <w:t>）供应商须知前附表规定的其他材料。</w:t>
      </w:r>
    </w:p>
    <w:p>
      <w:pPr>
        <w:spacing w:line="360" w:lineRule="auto"/>
        <w:ind w:firstLine="480" w:firstLineChars="200"/>
        <w:rPr>
          <w:rFonts w:ascii="宋体"/>
          <w:sz w:val="24"/>
        </w:rPr>
      </w:pPr>
      <w:r>
        <w:rPr>
          <w:rFonts w:hint="eastAsia" w:ascii="宋体" w:hAnsi="宋体"/>
          <w:sz w:val="24"/>
        </w:rPr>
        <w:t>根据本章第</w:t>
      </w:r>
      <w:r>
        <w:rPr>
          <w:rFonts w:ascii="宋体" w:hAnsi="宋体"/>
          <w:sz w:val="24"/>
        </w:rPr>
        <w:t>2.2</w:t>
      </w:r>
      <w:r>
        <w:rPr>
          <w:rFonts w:hint="eastAsia" w:ascii="宋体" w:hAnsi="宋体"/>
          <w:sz w:val="24"/>
        </w:rPr>
        <w:t>款和第</w:t>
      </w:r>
      <w:r>
        <w:rPr>
          <w:rFonts w:ascii="宋体" w:hAnsi="宋体"/>
          <w:sz w:val="24"/>
        </w:rPr>
        <w:t>2.3</w:t>
      </w:r>
      <w:r>
        <w:rPr>
          <w:rFonts w:hint="eastAsia" w:ascii="宋体" w:hAnsi="宋体"/>
          <w:sz w:val="24"/>
        </w:rPr>
        <w:t>款对响应文件所作的澄清、修改，构成响应文件的组成部分。</w:t>
      </w:r>
    </w:p>
    <w:p>
      <w:pPr>
        <w:spacing w:line="360" w:lineRule="auto"/>
        <w:ind w:firstLine="480" w:firstLineChars="200"/>
        <w:rPr>
          <w:rFonts w:ascii="宋体"/>
          <w:sz w:val="24"/>
        </w:rPr>
      </w:pPr>
      <w:r>
        <w:rPr>
          <w:rFonts w:hint="eastAsia" w:ascii="宋体" w:hAnsi="宋体"/>
          <w:sz w:val="24"/>
        </w:rPr>
        <w:t>当磋商文件、磋商文件的澄清或修改等在同一内容的表述上不一致时，以最后发出的书面文件为准。</w:t>
      </w:r>
    </w:p>
    <w:p>
      <w:pPr>
        <w:pStyle w:val="2"/>
        <w:spacing w:beforeLines="50"/>
        <w:rPr>
          <w:rFonts w:ascii="宋体"/>
          <w:sz w:val="24"/>
          <w:szCs w:val="24"/>
        </w:rPr>
      </w:pPr>
      <w:bookmarkStart w:id="50" w:name="_Toc24627"/>
      <w:bookmarkStart w:id="51" w:name="_Toc234382605"/>
      <w:bookmarkStart w:id="52" w:name="_Toc22845"/>
      <w:r>
        <w:rPr>
          <w:rFonts w:ascii="宋体" w:hAnsi="宋体"/>
          <w:sz w:val="24"/>
          <w:szCs w:val="24"/>
        </w:rPr>
        <w:t xml:space="preserve">2.2 </w:t>
      </w:r>
      <w:r>
        <w:rPr>
          <w:rFonts w:hint="eastAsia" w:ascii="宋体" w:hAnsi="宋体"/>
          <w:sz w:val="24"/>
          <w:szCs w:val="24"/>
        </w:rPr>
        <w:t>磋商文件的澄清</w:t>
      </w:r>
      <w:bookmarkEnd w:id="50"/>
      <w:bookmarkEnd w:id="51"/>
      <w:bookmarkEnd w:id="52"/>
    </w:p>
    <w:p>
      <w:pPr>
        <w:spacing w:line="360" w:lineRule="auto"/>
        <w:ind w:firstLine="480" w:firstLineChars="200"/>
        <w:rPr>
          <w:rFonts w:ascii="宋体"/>
          <w:sz w:val="24"/>
        </w:rPr>
      </w:pPr>
      <w:r>
        <w:rPr>
          <w:rFonts w:ascii="宋体" w:hAnsi="宋体"/>
          <w:sz w:val="24"/>
        </w:rPr>
        <w:t xml:space="preserve">2.2.1 </w:t>
      </w:r>
      <w:r>
        <w:rPr>
          <w:rFonts w:hint="eastAsia" w:ascii="宋体" w:hAnsi="宋体"/>
          <w:sz w:val="24"/>
        </w:rPr>
        <w:t>供应商应仔细阅读和检查磋商文件的全部内容。如发现缺页或附件不全，应及时向采购人提出，以便补齐。如有疑问，应在供应商须知前附表规定的时间前以书面形式（包括信函、电报、传真等可以有形地表现所载内容的形式，下同），要求采购人对磋商文件予以澄清。</w:t>
      </w:r>
    </w:p>
    <w:p>
      <w:pPr>
        <w:spacing w:line="360" w:lineRule="auto"/>
        <w:ind w:firstLine="480" w:firstLineChars="200"/>
        <w:rPr>
          <w:rFonts w:ascii="宋体"/>
          <w:sz w:val="24"/>
        </w:rPr>
      </w:pPr>
      <w:r>
        <w:rPr>
          <w:rFonts w:ascii="宋体" w:hAnsi="宋体"/>
          <w:sz w:val="24"/>
        </w:rPr>
        <w:t xml:space="preserve">2.2.2 </w:t>
      </w:r>
      <w:r>
        <w:rPr>
          <w:rFonts w:hint="eastAsia" w:ascii="宋体" w:hAnsi="宋体"/>
          <w:sz w:val="24"/>
        </w:rPr>
        <w:t>磋商文件的澄清将在供应商须知前附表规定的投标截止时间</w:t>
      </w:r>
      <w:r>
        <w:rPr>
          <w:rFonts w:ascii="宋体" w:hAnsi="宋体"/>
          <w:sz w:val="24"/>
        </w:rPr>
        <w:t>5</w:t>
      </w:r>
      <w:r>
        <w:rPr>
          <w:rFonts w:hint="eastAsia" w:ascii="宋体" w:hAnsi="宋体"/>
          <w:sz w:val="24"/>
        </w:rPr>
        <w:t>天前以书面形式发给所有购买响应文件的供应商，但不指明澄清问题的来源。如果澄清发出的时间距投标截止时间不足</w:t>
      </w:r>
      <w:r>
        <w:rPr>
          <w:rFonts w:ascii="宋体" w:hAnsi="宋体"/>
          <w:sz w:val="24"/>
        </w:rPr>
        <w:t>5</w:t>
      </w:r>
      <w:r>
        <w:rPr>
          <w:rFonts w:hint="eastAsia" w:ascii="宋体" w:hAnsi="宋体"/>
          <w:sz w:val="24"/>
        </w:rPr>
        <w:t>天，相应延长投标截止时间。供应商有责任保证所有购买磋商文件的供应商收到磋商文件的澄清。</w:t>
      </w:r>
    </w:p>
    <w:p>
      <w:pPr>
        <w:spacing w:line="360" w:lineRule="auto"/>
        <w:ind w:firstLine="480" w:firstLineChars="200"/>
        <w:rPr>
          <w:rFonts w:ascii="宋体"/>
          <w:sz w:val="24"/>
        </w:rPr>
      </w:pPr>
      <w:r>
        <w:rPr>
          <w:rFonts w:ascii="宋体" w:hAnsi="宋体"/>
          <w:sz w:val="24"/>
        </w:rPr>
        <w:t xml:space="preserve">2.2.3 </w:t>
      </w:r>
      <w:r>
        <w:rPr>
          <w:rFonts w:hint="eastAsia" w:ascii="宋体" w:hAnsi="宋体"/>
          <w:sz w:val="24"/>
        </w:rPr>
        <w:t>供应商在收到澄清后，应在供应商须知前附表规定的时间内以书面形式通知采购人，确认已收到该澄清。</w:t>
      </w:r>
    </w:p>
    <w:p>
      <w:pPr>
        <w:pStyle w:val="2"/>
        <w:spacing w:beforeLines="50"/>
        <w:rPr>
          <w:rFonts w:ascii="宋体"/>
          <w:sz w:val="24"/>
          <w:szCs w:val="24"/>
        </w:rPr>
      </w:pPr>
      <w:bookmarkStart w:id="53" w:name="_Toc24843"/>
      <w:bookmarkStart w:id="54" w:name="_Toc1501"/>
      <w:bookmarkStart w:id="55" w:name="_Toc234382606"/>
      <w:r>
        <w:rPr>
          <w:rFonts w:ascii="宋体" w:hAnsi="宋体"/>
          <w:sz w:val="24"/>
          <w:szCs w:val="24"/>
        </w:rPr>
        <w:t xml:space="preserve">2.3 </w:t>
      </w:r>
      <w:r>
        <w:rPr>
          <w:rFonts w:hint="eastAsia" w:ascii="宋体" w:hAnsi="宋体"/>
          <w:sz w:val="24"/>
          <w:szCs w:val="24"/>
        </w:rPr>
        <w:t>磋商文件的修改</w:t>
      </w:r>
      <w:bookmarkEnd w:id="53"/>
      <w:bookmarkEnd w:id="54"/>
      <w:bookmarkEnd w:id="55"/>
    </w:p>
    <w:p>
      <w:pPr>
        <w:spacing w:line="360" w:lineRule="auto"/>
        <w:ind w:firstLine="480" w:firstLineChars="200"/>
        <w:rPr>
          <w:rFonts w:ascii="宋体"/>
          <w:sz w:val="24"/>
        </w:rPr>
      </w:pPr>
      <w:r>
        <w:rPr>
          <w:rFonts w:ascii="宋体" w:hAnsi="宋体"/>
          <w:sz w:val="24"/>
        </w:rPr>
        <w:t xml:space="preserve">2.3.1 </w:t>
      </w:r>
      <w:r>
        <w:rPr>
          <w:rFonts w:hint="eastAsia" w:ascii="宋体" w:hAnsi="宋体"/>
          <w:sz w:val="24"/>
        </w:rPr>
        <w:t>在投标截止时间</w:t>
      </w:r>
      <w:r>
        <w:rPr>
          <w:rFonts w:ascii="宋体" w:hAnsi="宋体"/>
          <w:sz w:val="24"/>
        </w:rPr>
        <w:t>5</w:t>
      </w:r>
      <w:r>
        <w:rPr>
          <w:rFonts w:hint="eastAsia" w:ascii="宋体" w:hAnsi="宋体"/>
          <w:sz w:val="24"/>
        </w:rPr>
        <w:t>天前，采购人可以书面形式修改磋商文件，并通知所有已购买磋商文件的供应商。如果修改磋商文件的时间距投标截止时间不足</w:t>
      </w:r>
      <w:r>
        <w:rPr>
          <w:rFonts w:ascii="宋体" w:hAnsi="宋体"/>
          <w:sz w:val="24"/>
        </w:rPr>
        <w:t>5</w:t>
      </w:r>
      <w:r>
        <w:rPr>
          <w:rFonts w:hint="eastAsia" w:ascii="宋体" w:hAnsi="宋体"/>
          <w:sz w:val="24"/>
        </w:rPr>
        <w:t>天，相应延长投标截止时间。采购人有责任保证所有购买磋商文件的供应商收到磋商文件的修改。</w:t>
      </w:r>
    </w:p>
    <w:p>
      <w:pPr>
        <w:spacing w:line="360" w:lineRule="auto"/>
        <w:ind w:firstLine="480" w:firstLineChars="200"/>
        <w:rPr>
          <w:rFonts w:ascii="宋体"/>
          <w:sz w:val="24"/>
        </w:rPr>
      </w:pPr>
      <w:r>
        <w:rPr>
          <w:rFonts w:ascii="宋体" w:hAnsi="宋体"/>
          <w:sz w:val="24"/>
        </w:rPr>
        <w:t xml:space="preserve">2.3.2 </w:t>
      </w:r>
      <w:r>
        <w:rPr>
          <w:rFonts w:hint="eastAsia" w:ascii="宋体" w:hAnsi="宋体"/>
          <w:sz w:val="24"/>
        </w:rPr>
        <w:t>供应商收到修改内容后，应在供应商须知前附表规定的时间内以书面形式通知采购人，确认已收到该修改。</w:t>
      </w:r>
    </w:p>
    <w:p>
      <w:pPr>
        <w:pStyle w:val="2"/>
        <w:spacing w:beforeLines="150" w:after="480" w:line="240" w:lineRule="auto"/>
        <w:rPr>
          <w:rFonts w:ascii="宋体"/>
          <w:sz w:val="24"/>
          <w:szCs w:val="24"/>
        </w:rPr>
      </w:pPr>
      <w:bookmarkStart w:id="56" w:name="_Toc234382607"/>
      <w:bookmarkStart w:id="57" w:name="_Toc1645"/>
      <w:bookmarkStart w:id="58" w:name="_Toc20439"/>
      <w:r>
        <w:rPr>
          <w:rFonts w:ascii="宋体" w:hAnsi="宋体"/>
          <w:sz w:val="24"/>
          <w:szCs w:val="24"/>
        </w:rPr>
        <w:t xml:space="preserve">3. </w:t>
      </w:r>
      <w:r>
        <w:rPr>
          <w:rFonts w:hint="eastAsia" w:ascii="宋体" w:hAnsi="宋体"/>
          <w:sz w:val="24"/>
          <w:szCs w:val="24"/>
        </w:rPr>
        <w:t>投标文件</w:t>
      </w:r>
      <w:bookmarkEnd w:id="56"/>
      <w:bookmarkEnd w:id="57"/>
      <w:bookmarkEnd w:id="58"/>
    </w:p>
    <w:p>
      <w:pPr>
        <w:pStyle w:val="2"/>
        <w:rPr>
          <w:rFonts w:ascii="宋体"/>
          <w:sz w:val="24"/>
          <w:szCs w:val="24"/>
        </w:rPr>
      </w:pPr>
      <w:bookmarkStart w:id="59" w:name="_Toc18129"/>
      <w:bookmarkStart w:id="60" w:name="_Toc234382608"/>
      <w:bookmarkStart w:id="61" w:name="_Toc5106"/>
      <w:r>
        <w:rPr>
          <w:rFonts w:ascii="宋体" w:hAnsi="宋体"/>
          <w:sz w:val="24"/>
          <w:szCs w:val="24"/>
        </w:rPr>
        <w:t xml:space="preserve">3.1 </w:t>
      </w:r>
      <w:r>
        <w:rPr>
          <w:rFonts w:hint="eastAsia" w:ascii="宋体" w:hAnsi="宋体"/>
          <w:sz w:val="24"/>
          <w:szCs w:val="24"/>
        </w:rPr>
        <w:t>响应文件的组成</w:t>
      </w:r>
      <w:bookmarkEnd w:id="59"/>
      <w:bookmarkEnd w:id="60"/>
      <w:bookmarkEnd w:id="61"/>
    </w:p>
    <w:p>
      <w:pPr>
        <w:spacing w:line="360" w:lineRule="auto"/>
        <w:ind w:firstLine="480" w:firstLineChars="200"/>
        <w:rPr>
          <w:rFonts w:ascii="宋体"/>
          <w:sz w:val="24"/>
        </w:rPr>
      </w:pPr>
      <w:r>
        <w:rPr>
          <w:rFonts w:ascii="宋体" w:hAnsi="宋体"/>
          <w:sz w:val="24"/>
        </w:rPr>
        <w:t xml:space="preserve">3.1.1 </w:t>
      </w:r>
      <w:r>
        <w:rPr>
          <w:rFonts w:hint="eastAsia" w:ascii="宋体" w:hAnsi="宋体"/>
          <w:sz w:val="24"/>
        </w:rPr>
        <w:t>响应文件应包括下列内容：</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）投标函及投标函附录；</w:t>
      </w:r>
    </w:p>
    <w:p>
      <w:pPr>
        <w:spacing w:line="360" w:lineRule="auto"/>
        <w:ind w:left="1079" w:leftChars="228" w:hanging="600" w:hangingChars="250"/>
        <w:rPr>
          <w:rFonts w:ascii="宋体"/>
          <w:b/>
          <w:sz w:val="24"/>
        </w:rPr>
      </w:pPr>
      <w:r>
        <w:rPr>
          <w:rFonts w:hint="eastAsia" w:ascii="宋体" w:hAnsi="宋体"/>
          <w:sz w:val="24"/>
        </w:rPr>
        <w:t>（</w:t>
      </w:r>
      <w:r>
        <w:rPr>
          <w:rFonts w:ascii="宋体" w:hAnsi="宋体"/>
          <w:sz w:val="24"/>
        </w:rPr>
        <w:t>2</w:t>
      </w:r>
      <w:r>
        <w:rPr>
          <w:rFonts w:hint="eastAsia" w:ascii="宋体" w:hAnsi="宋体"/>
          <w:sz w:val="24"/>
        </w:rPr>
        <w:t>）法定代表人身份证明或附有法人授权委托书；</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）磋商保证金已缴纳凭证；</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）已标价工程量清单；</w:t>
      </w:r>
    </w:p>
    <w:p>
      <w:pPr>
        <w:spacing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）施工组织设计；</w:t>
      </w:r>
    </w:p>
    <w:p>
      <w:pPr>
        <w:spacing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）项目管理机构；</w:t>
      </w:r>
    </w:p>
    <w:p>
      <w:pPr>
        <w:spacing w:line="360" w:lineRule="auto"/>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）拟分包项目情况表；</w:t>
      </w:r>
    </w:p>
    <w:p>
      <w:pPr>
        <w:spacing w:line="360" w:lineRule="auto"/>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）资格审查资料；</w:t>
      </w:r>
    </w:p>
    <w:p>
      <w:pPr>
        <w:spacing w:line="360" w:lineRule="auto"/>
        <w:ind w:firstLine="480" w:firstLineChars="200"/>
        <w:rPr>
          <w:rFonts w:ascii="宋体"/>
          <w:sz w:val="24"/>
        </w:rPr>
      </w:pPr>
      <w:r>
        <w:rPr>
          <w:rFonts w:hint="eastAsia" w:ascii="宋体" w:hAnsi="宋体"/>
          <w:sz w:val="24"/>
        </w:rPr>
        <w:t>（</w:t>
      </w:r>
      <w:r>
        <w:rPr>
          <w:rFonts w:ascii="宋体" w:hAnsi="宋体"/>
          <w:sz w:val="24"/>
        </w:rPr>
        <w:t>9</w:t>
      </w:r>
      <w:r>
        <w:rPr>
          <w:rFonts w:hint="eastAsia" w:ascii="宋体" w:hAnsi="宋体"/>
          <w:sz w:val="24"/>
        </w:rPr>
        <w:t>）承诺函；</w:t>
      </w:r>
    </w:p>
    <w:p>
      <w:pPr>
        <w:spacing w:line="360" w:lineRule="auto"/>
        <w:ind w:firstLine="480" w:firstLineChars="200"/>
        <w:rPr>
          <w:rFonts w:ascii="宋体"/>
          <w:sz w:val="24"/>
        </w:rPr>
      </w:pPr>
      <w:r>
        <w:rPr>
          <w:rFonts w:hint="eastAsia" w:ascii="宋体" w:hAnsi="宋体"/>
          <w:sz w:val="24"/>
        </w:rPr>
        <w:t>（</w:t>
      </w:r>
      <w:r>
        <w:rPr>
          <w:rFonts w:ascii="宋体" w:hAnsi="宋体"/>
          <w:sz w:val="24"/>
        </w:rPr>
        <w:t>10</w:t>
      </w:r>
      <w:r>
        <w:rPr>
          <w:rFonts w:hint="eastAsia" w:ascii="宋体" w:hAnsi="宋体"/>
          <w:sz w:val="24"/>
        </w:rPr>
        <w:t>）供应商须知前附表规定的其他材料。</w:t>
      </w:r>
    </w:p>
    <w:p>
      <w:pPr>
        <w:pStyle w:val="2"/>
        <w:rPr>
          <w:rFonts w:ascii="宋体"/>
          <w:sz w:val="24"/>
          <w:szCs w:val="24"/>
        </w:rPr>
      </w:pPr>
      <w:bookmarkStart w:id="62" w:name="_Toc32569"/>
      <w:r>
        <w:rPr>
          <w:rFonts w:ascii="宋体" w:hAnsi="宋体"/>
          <w:sz w:val="24"/>
          <w:szCs w:val="24"/>
        </w:rPr>
        <w:t>3.2</w:t>
      </w:r>
      <w:r>
        <w:rPr>
          <w:rFonts w:hint="eastAsia" w:ascii="宋体" w:hAnsi="宋体"/>
          <w:sz w:val="24"/>
          <w:szCs w:val="24"/>
        </w:rPr>
        <w:t>磋商报价</w:t>
      </w:r>
      <w:bookmarkEnd w:id="62"/>
    </w:p>
    <w:p>
      <w:pPr>
        <w:spacing w:line="360" w:lineRule="auto"/>
        <w:ind w:firstLine="480" w:firstLineChars="200"/>
        <w:rPr>
          <w:rFonts w:ascii="宋体"/>
          <w:b/>
          <w:sz w:val="24"/>
          <w:u w:val="single"/>
        </w:rPr>
      </w:pPr>
      <w:r>
        <w:rPr>
          <w:rFonts w:ascii="宋体" w:hAnsi="宋体"/>
          <w:sz w:val="24"/>
        </w:rPr>
        <w:t xml:space="preserve">3.2.1 </w:t>
      </w:r>
      <w:r>
        <w:rPr>
          <w:rFonts w:hint="eastAsia" w:ascii="宋体" w:hAnsi="宋体"/>
          <w:sz w:val="24"/>
        </w:rPr>
        <w:t>供应商应按采购人提供的工程量清单计算投标报价，每个标段只允许有一个投标报价，任何有选择的报价将不予接受。供应商所填入的投标报价，除非合同另外约定，报价均已包含了所有施工的人工费、材料费、机械费、规费、管理费、试验费、检测费、利润、税金及本响应文件明示或暗示的所有风险、责任和义务。本次施工时应注意高空、高温作业，做好必要的安全措施，供应商报价时应综合考虑。</w:t>
      </w:r>
    </w:p>
    <w:p>
      <w:pPr>
        <w:spacing w:line="360" w:lineRule="auto"/>
        <w:ind w:firstLine="480" w:firstLineChars="200"/>
        <w:rPr>
          <w:rFonts w:ascii="宋体"/>
          <w:sz w:val="24"/>
        </w:rPr>
      </w:pPr>
      <w:r>
        <w:rPr>
          <w:rFonts w:hint="eastAsia" w:ascii="宋体" w:hAnsi="宋体"/>
          <w:sz w:val="24"/>
        </w:rPr>
        <w:t>供应商应按照采购人提供的</w:t>
      </w:r>
      <w:r>
        <w:rPr>
          <w:rFonts w:hint="eastAsia" w:ascii="宋体" w:hAnsi="宋体"/>
          <w:bCs/>
          <w:sz w:val="24"/>
        </w:rPr>
        <w:t>书面工程量清单填写工程量清单、包括综合单价分析表，材料单价表等。</w:t>
      </w:r>
      <w:r>
        <w:rPr>
          <w:rFonts w:hint="eastAsia" w:ascii="宋体" w:hAnsi="宋体"/>
          <w:sz w:val="24"/>
        </w:rPr>
        <w:t>本项目磋商由采购人提供书面工程量清单，由供应商按照采购人提供的工程量清单填写本合同各工程子目的单价、合价和总额价。</w:t>
      </w:r>
    </w:p>
    <w:p>
      <w:pPr>
        <w:spacing w:line="360" w:lineRule="auto"/>
        <w:ind w:firstLine="480" w:firstLineChars="200"/>
        <w:rPr>
          <w:rFonts w:ascii="宋体"/>
          <w:sz w:val="24"/>
        </w:rPr>
      </w:pPr>
      <w:r>
        <w:rPr>
          <w:rFonts w:ascii="宋体" w:hAnsi="宋体"/>
          <w:sz w:val="24"/>
        </w:rPr>
        <w:t xml:space="preserve">3.2.2 </w:t>
      </w:r>
      <w:r>
        <w:rPr>
          <w:rFonts w:hint="eastAsia" w:ascii="宋体" w:hAnsi="宋体"/>
          <w:sz w:val="24"/>
        </w:rPr>
        <w:t>供应商在投标截止时间前修改投标函中的投标总报价，应同时修改第五章</w:t>
      </w:r>
      <w:r>
        <w:rPr>
          <w:rFonts w:hint="eastAsia" w:ascii="宋体"/>
          <w:sz w:val="24"/>
        </w:rPr>
        <w:t>“</w:t>
      </w:r>
      <w:r>
        <w:rPr>
          <w:rFonts w:hint="eastAsia" w:ascii="宋体" w:hAnsi="宋体"/>
          <w:sz w:val="24"/>
        </w:rPr>
        <w:t>工程量清单</w:t>
      </w:r>
      <w:r>
        <w:rPr>
          <w:rFonts w:hint="eastAsia" w:ascii="宋体"/>
          <w:sz w:val="24"/>
        </w:rPr>
        <w:t>”</w:t>
      </w:r>
      <w:r>
        <w:rPr>
          <w:rFonts w:hint="eastAsia" w:ascii="宋体" w:hAnsi="宋体"/>
          <w:sz w:val="24"/>
        </w:rPr>
        <w:t>中的相应报价。此修改须符合本章第</w:t>
      </w:r>
      <w:r>
        <w:rPr>
          <w:rFonts w:ascii="宋体" w:hAnsi="宋体"/>
          <w:sz w:val="24"/>
        </w:rPr>
        <w:t xml:space="preserve"> 4.3 </w:t>
      </w:r>
      <w:r>
        <w:rPr>
          <w:rFonts w:hint="eastAsia" w:ascii="宋体" w:hAnsi="宋体"/>
          <w:sz w:val="24"/>
        </w:rPr>
        <w:t>款的有关要求。</w:t>
      </w:r>
    </w:p>
    <w:p>
      <w:pPr>
        <w:spacing w:line="360" w:lineRule="auto"/>
        <w:ind w:firstLine="480" w:firstLineChars="200"/>
        <w:rPr>
          <w:rFonts w:ascii="宋体"/>
          <w:sz w:val="24"/>
        </w:rPr>
      </w:pPr>
      <w:r>
        <w:rPr>
          <w:rFonts w:ascii="宋体" w:hAnsi="宋体"/>
          <w:sz w:val="24"/>
        </w:rPr>
        <w:t xml:space="preserve">3.2.3 </w:t>
      </w:r>
      <w:r>
        <w:rPr>
          <w:rFonts w:hint="eastAsia" w:ascii="宋体" w:hAnsi="宋体"/>
          <w:sz w:val="24"/>
        </w:rPr>
        <w:t>供应商如果发现工程量清单中的数量与图纸中数量不一致时，应立即通知采购人核查，除非采购人以书面方式予以更正，否则，应以工程量清单中列出的数量为准。</w:t>
      </w:r>
    </w:p>
    <w:p>
      <w:pPr>
        <w:spacing w:line="360" w:lineRule="auto"/>
        <w:ind w:firstLine="480" w:firstLineChars="200"/>
        <w:rPr>
          <w:rFonts w:ascii="宋体"/>
          <w:sz w:val="24"/>
        </w:rPr>
      </w:pPr>
      <w:r>
        <w:rPr>
          <w:rFonts w:ascii="宋体" w:hAnsi="宋体"/>
          <w:sz w:val="24"/>
        </w:rPr>
        <w:t>3.2.4</w:t>
      </w:r>
      <w:r>
        <w:rPr>
          <w:rFonts w:hint="eastAsia" w:ascii="宋体" w:hAnsi="宋体"/>
          <w:sz w:val="24"/>
        </w:rPr>
        <w:t>本项目非一次性报价，评审过程中供应商均具有再次调整报价的机会，再次报价不得高于第一次报价，否则视为无效报价。</w:t>
      </w:r>
    </w:p>
    <w:p>
      <w:pPr>
        <w:spacing w:line="360" w:lineRule="auto"/>
        <w:ind w:firstLine="480" w:firstLineChars="200"/>
        <w:rPr>
          <w:rFonts w:ascii="宋体"/>
          <w:sz w:val="24"/>
        </w:rPr>
      </w:pPr>
    </w:p>
    <w:p>
      <w:pPr>
        <w:spacing w:line="360" w:lineRule="auto"/>
        <w:ind w:firstLine="480" w:firstLineChars="200"/>
        <w:rPr>
          <w:rFonts w:ascii="宋体"/>
          <w:sz w:val="24"/>
        </w:rPr>
      </w:pPr>
      <w:r>
        <w:rPr>
          <w:rFonts w:ascii="宋体" w:hAnsi="宋体"/>
          <w:sz w:val="24"/>
        </w:rPr>
        <w:t xml:space="preserve">3.2.5 </w:t>
      </w:r>
      <w:r>
        <w:rPr>
          <w:rFonts w:hint="eastAsia" w:ascii="宋体" w:hAnsi="宋体"/>
          <w:sz w:val="24"/>
        </w:rPr>
        <w:t>在合同实施期间，按照供应商所填写的人工综合工日单价、机械台班单价不再进行调整，施工过程中的临时设施、安全防护、水电通讯费不再进行调整。</w:t>
      </w:r>
    </w:p>
    <w:p>
      <w:pPr>
        <w:pStyle w:val="2"/>
        <w:rPr>
          <w:rFonts w:ascii="宋体"/>
          <w:sz w:val="24"/>
          <w:szCs w:val="24"/>
        </w:rPr>
      </w:pPr>
      <w:bookmarkStart w:id="63" w:name="_Toc1971"/>
      <w:r>
        <w:rPr>
          <w:rFonts w:ascii="宋体" w:hAnsi="宋体"/>
          <w:sz w:val="24"/>
          <w:szCs w:val="24"/>
        </w:rPr>
        <w:t>3.3</w:t>
      </w:r>
      <w:r>
        <w:rPr>
          <w:rFonts w:hint="eastAsia" w:ascii="宋体" w:hAnsi="宋体"/>
          <w:sz w:val="24"/>
          <w:szCs w:val="24"/>
        </w:rPr>
        <w:t>磋商有效期</w:t>
      </w:r>
      <w:bookmarkEnd w:id="63"/>
    </w:p>
    <w:p>
      <w:pPr>
        <w:spacing w:line="360" w:lineRule="auto"/>
        <w:ind w:firstLine="480" w:firstLineChars="200"/>
        <w:rPr>
          <w:rFonts w:ascii="宋体"/>
          <w:sz w:val="24"/>
        </w:rPr>
      </w:pPr>
      <w:r>
        <w:rPr>
          <w:rFonts w:ascii="宋体" w:hAnsi="宋体"/>
          <w:sz w:val="24"/>
        </w:rPr>
        <w:t xml:space="preserve">3.3.1 </w:t>
      </w:r>
      <w:r>
        <w:rPr>
          <w:rFonts w:hint="eastAsia" w:ascii="宋体" w:hAnsi="宋体"/>
          <w:sz w:val="24"/>
        </w:rPr>
        <w:t>在供应商须知前附表规定的投标有效期内，供应商不得要求撤销或修改其投标文件。</w:t>
      </w:r>
    </w:p>
    <w:p>
      <w:pPr>
        <w:spacing w:line="360" w:lineRule="auto"/>
        <w:ind w:firstLine="480" w:firstLineChars="200"/>
        <w:rPr>
          <w:rFonts w:ascii="宋体"/>
          <w:sz w:val="24"/>
        </w:rPr>
      </w:pPr>
      <w:r>
        <w:rPr>
          <w:rFonts w:ascii="宋体" w:hAnsi="宋体"/>
          <w:sz w:val="24"/>
        </w:rPr>
        <w:t xml:space="preserve">3.3.2 </w:t>
      </w:r>
      <w:r>
        <w:rPr>
          <w:rFonts w:hint="eastAsia" w:ascii="宋体" w:hAnsi="宋体"/>
          <w:sz w:val="24"/>
        </w:rPr>
        <w:t>出现特殊情况需要延长投标有效期的，采购人以书面形式通知所有供应商延长投标有效期。供应商同意延长的，应相应延长其投标保证金的有效期，但不得要求或被允许修改或撤销其投标文件；供应商拒绝延长的，其投标失效，但供应商有权收回其投标保证金。</w:t>
      </w:r>
    </w:p>
    <w:p>
      <w:pPr>
        <w:pStyle w:val="2"/>
        <w:rPr>
          <w:rFonts w:ascii="宋体"/>
          <w:sz w:val="24"/>
          <w:szCs w:val="24"/>
        </w:rPr>
      </w:pPr>
      <w:bookmarkStart w:id="64" w:name="_Toc234382611"/>
      <w:bookmarkStart w:id="65" w:name="_Toc16982"/>
      <w:bookmarkStart w:id="66" w:name="_Toc15842"/>
      <w:r>
        <w:rPr>
          <w:rFonts w:ascii="宋体" w:hAnsi="宋体"/>
          <w:sz w:val="24"/>
          <w:szCs w:val="24"/>
        </w:rPr>
        <w:t xml:space="preserve">3.4 </w:t>
      </w:r>
      <w:r>
        <w:rPr>
          <w:rFonts w:hint="eastAsia" w:ascii="宋体" w:hAnsi="宋体"/>
          <w:sz w:val="24"/>
          <w:szCs w:val="24"/>
        </w:rPr>
        <w:t>磋商保证金</w:t>
      </w:r>
      <w:bookmarkEnd w:id="64"/>
      <w:bookmarkEnd w:id="65"/>
      <w:bookmarkEnd w:id="66"/>
    </w:p>
    <w:p>
      <w:pPr>
        <w:spacing w:line="360" w:lineRule="auto"/>
        <w:ind w:firstLine="480" w:firstLineChars="200"/>
        <w:rPr>
          <w:rFonts w:ascii="宋体"/>
          <w:sz w:val="24"/>
        </w:rPr>
      </w:pPr>
      <w:r>
        <w:rPr>
          <w:rFonts w:ascii="宋体" w:hAnsi="宋体"/>
          <w:sz w:val="24"/>
        </w:rPr>
        <w:t xml:space="preserve">3.4.1 </w:t>
      </w:r>
      <w:r>
        <w:rPr>
          <w:rFonts w:hint="eastAsia" w:ascii="宋体" w:hAnsi="宋体"/>
          <w:sz w:val="24"/>
        </w:rPr>
        <w:t>供应商应按供应商须知前附表规定提交磋商保证金，并作为其响应文件的组成部分。</w:t>
      </w:r>
    </w:p>
    <w:p>
      <w:pPr>
        <w:spacing w:line="360" w:lineRule="auto"/>
        <w:ind w:firstLine="482" w:firstLineChars="200"/>
        <w:rPr>
          <w:rFonts w:ascii="宋体"/>
          <w:b/>
          <w:sz w:val="24"/>
          <w:u w:val="wave"/>
        </w:rPr>
      </w:pPr>
      <w:r>
        <w:rPr>
          <w:rFonts w:ascii="宋体" w:hAnsi="宋体"/>
          <w:b/>
          <w:sz w:val="24"/>
          <w:u w:val="wave"/>
        </w:rPr>
        <w:t xml:space="preserve">3.4.2 </w:t>
      </w:r>
      <w:r>
        <w:rPr>
          <w:rFonts w:hint="eastAsia" w:ascii="宋体" w:hAnsi="宋体"/>
          <w:b/>
          <w:sz w:val="24"/>
          <w:u w:val="wave"/>
        </w:rPr>
        <w:t>供应商不按本章第</w:t>
      </w:r>
      <w:r>
        <w:rPr>
          <w:rFonts w:ascii="宋体" w:hAnsi="宋体"/>
          <w:b/>
          <w:sz w:val="24"/>
          <w:u w:val="wave"/>
        </w:rPr>
        <w:t xml:space="preserve"> 3.4.1</w:t>
      </w:r>
      <w:r>
        <w:rPr>
          <w:rFonts w:hint="eastAsia" w:ascii="宋体" w:hAnsi="宋体"/>
          <w:b/>
          <w:sz w:val="24"/>
          <w:u w:val="wave"/>
        </w:rPr>
        <w:t>项要求提交磋商保证金的，其响应文件按无效处理。</w:t>
      </w:r>
    </w:p>
    <w:p>
      <w:pPr>
        <w:spacing w:line="360" w:lineRule="auto"/>
        <w:rPr>
          <w:rFonts w:ascii="宋体"/>
          <w:sz w:val="24"/>
        </w:rPr>
      </w:pPr>
      <w:r>
        <w:rPr>
          <w:rFonts w:ascii="宋体" w:hAnsi="宋体"/>
          <w:sz w:val="24"/>
        </w:rPr>
        <w:t xml:space="preserve">3.4.3 </w:t>
      </w:r>
      <w:r>
        <w:rPr>
          <w:rFonts w:hint="eastAsia" w:ascii="宋体" w:hAnsi="宋体"/>
          <w:sz w:val="24"/>
        </w:rPr>
        <w:t>中标公示期结束无投诉或投诉不影响评标结果的，</w:t>
      </w:r>
      <w:r>
        <w:rPr>
          <w:rFonts w:ascii="宋体" w:hAnsi="宋体"/>
          <w:sz w:val="24"/>
        </w:rPr>
        <w:t>5</w:t>
      </w:r>
      <w:r>
        <w:rPr>
          <w:rFonts w:hint="eastAsia" w:ascii="宋体" w:hAnsi="宋体"/>
          <w:sz w:val="24"/>
        </w:rPr>
        <w:t>个工作日内向未中标的供应商退还磋商保证金。采购人与中标人签订合同后</w:t>
      </w:r>
      <w:r>
        <w:rPr>
          <w:rFonts w:ascii="宋体" w:hAnsi="宋体"/>
          <w:sz w:val="24"/>
        </w:rPr>
        <w:t>5</w:t>
      </w:r>
      <w:r>
        <w:rPr>
          <w:rFonts w:hint="eastAsia" w:ascii="宋体" w:hAnsi="宋体"/>
          <w:sz w:val="24"/>
        </w:rPr>
        <w:t>个工作日内，向中标人退还磋商保证金。</w:t>
      </w:r>
    </w:p>
    <w:p>
      <w:pPr>
        <w:spacing w:line="360" w:lineRule="auto"/>
        <w:ind w:firstLine="482" w:firstLineChars="200"/>
        <w:rPr>
          <w:rFonts w:ascii="宋体"/>
          <w:b/>
          <w:bCs/>
          <w:sz w:val="24"/>
        </w:rPr>
      </w:pPr>
      <w:r>
        <w:rPr>
          <w:rFonts w:ascii="宋体" w:hAnsi="宋体"/>
          <w:b/>
          <w:bCs/>
          <w:sz w:val="24"/>
        </w:rPr>
        <w:t xml:space="preserve">3.4.4 </w:t>
      </w:r>
      <w:r>
        <w:rPr>
          <w:rFonts w:hint="eastAsia" w:ascii="宋体" w:hAnsi="宋体"/>
          <w:b/>
          <w:bCs/>
          <w:sz w:val="24"/>
        </w:rPr>
        <w:t>有下列情形之一的，磋商保证金将不予退还：</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）供应商在规定的投标有效期内撤销或修改其投标文件；</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）中标人在收到中标通知书后，无正当理由拒签合同协议书或未按响应文件规定提交履约担保。</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）经查实发现有围标、串标、弄虚作假、骗取中标情况的。</w:t>
      </w:r>
    </w:p>
    <w:p>
      <w:pPr>
        <w:pStyle w:val="2"/>
        <w:rPr>
          <w:rFonts w:ascii="宋体"/>
          <w:sz w:val="24"/>
          <w:szCs w:val="24"/>
        </w:rPr>
      </w:pPr>
      <w:bookmarkStart w:id="67" w:name="_Toc15984"/>
      <w:r>
        <w:rPr>
          <w:rFonts w:ascii="宋体" w:hAnsi="宋体"/>
          <w:sz w:val="24"/>
          <w:szCs w:val="24"/>
        </w:rPr>
        <w:t>3.5</w:t>
      </w:r>
      <w:r>
        <w:rPr>
          <w:rFonts w:hint="eastAsia" w:ascii="宋体" w:hAnsi="宋体"/>
          <w:sz w:val="24"/>
          <w:szCs w:val="24"/>
        </w:rPr>
        <w:t>资格审查资料</w:t>
      </w:r>
      <w:bookmarkEnd w:id="67"/>
    </w:p>
    <w:p>
      <w:pPr>
        <w:pStyle w:val="2"/>
        <w:spacing w:beforeLines="50"/>
        <w:rPr>
          <w:rFonts w:ascii="宋体"/>
          <w:sz w:val="24"/>
          <w:szCs w:val="24"/>
        </w:rPr>
      </w:pPr>
      <w:bookmarkStart w:id="68" w:name="_Toc2696"/>
      <w:bookmarkStart w:id="69" w:name="_Toc23968"/>
      <w:bookmarkStart w:id="70" w:name="_Toc29833"/>
      <w:bookmarkStart w:id="71" w:name="_Toc32736"/>
      <w:bookmarkStart w:id="72" w:name="_Toc234382614"/>
      <w:r>
        <w:rPr>
          <w:rFonts w:hint="eastAsia" w:ascii="宋体" w:hAnsi="宋体"/>
          <w:b w:val="0"/>
          <w:bCs w:val="0"/>
          <w:sz w:val="24"/>
          <w:szCs w:val="24"/>
        </w:rPr>
        <w:t>执行第九章资格后审</w:t>
      </w:r>
      <w:bookmarkEnd w:id="68"/>
      <w:bookmarkEnd w:id="69"/>
      <w:bookmarkEnd w:id="70"/>
    </w:p>
    <w:p>
      <w:pPr>
        <w:pStyle w:val="2"/>
        <w:spacing w:beforeLines="50"/>
        <w:rPr>
          <w:rFonts w:ascii="宋体"/>
          <w:sz w:val="24"/>
          <w:szCs w:val="24"/>
        </w:rPr>
      </w:pPr>
      <w:bookmarkStart w:id="73" w:name="_Toc16115"/>
      <w:r>
        <w:rPr>
          <w:rFonts w:ascii="宋体" w:hAnsi="宋体"/>
          <w:sz w:val="24"/>
          <w:szCs w:val="24"/>
        </w:rPr>
        <w:t xml:space="preserve">3.6 </w:t>
      </w:r>
      <w:r>
        <w:rPr>
          <w:rFonts w:hint="eastAsia" w:ascii="宋体" w:hAnsi="宋体"/>
          <w:sz w:val="24"/>
          <w:szCs w:val="24"/>
        </w:rPr>
        <w:t>备选磋商方案</w:t>
      </w:r>
      <w:bookmarkEnd w:id="71"/>
      <w:bookmarkEnd w:id="72"/>
      <w:bookmarkEnd w:id="73"/>
    </w:p>
    <w:p>
      <w:pPr>
        <w:spacing w:line="360" w:lineRule="auto"/>
        <w:ind w:firstLine="480" w:firstLineChars="200"/>
        <w:rPr>
          <w:rFonts w:ascii="宋体"/>
          <w:sz w:val="24"/>
        </w:rPr>
      </w:pPr>
      <w:r>
        <w:rPr>
          <w:rFonts w:hint="eastAsia" w:ascii="宋体" w:hAnsi="宋体"/>
          <w:sz w:val="24"/>
        </w:rPr>
        <w:t>本项目供应商不得递交备选磋商方案。</w:t>
      </w:r>
    </w:p>
    <w:p>
      <w:pPr>
        <w:pStyle w:val="2"/>
        <w:spacing w:beforeLines="50"/>
        <w:rPr>
          <w:rFonts w:ascii="宋体"/>
          <w:sz w:val="24"/>
          <w:szCs w:val="24"/>
        </w:rPr>
      </w:pPr>
      <w:bookmarkStart w:id="74" w:name="_Toc7793"/>
      <w:bookmarkStart w:id="75" w:name="_Toc234382615"/>
      <w:bookmarkStart w:id="76" w:name="_Toc14849"/>
      <w:r>
        <w:rPr>
          <w:rFonts w:ascii="宋体" w:hAnsi="宋体"/>
          <w:sz w:val="24"/>
          <w:szCs w:val="24"/>
        </w:rPr>
        <w:t xml:space="preserve">3.7 </w:t>
      </w:r>
      <w:r>
        <w:rPr>
          <w:rFonts w:hint="eastAsia" w:ascii="宋体" w:hAnsi="宋体"/>
          <w:sz w:val="24"/>
          <w:szCs w:val="24"/>
        </w:rPr>
        <w:t>响应文件的编制</w:t>
      </w:r>
      <w:bookmarkEnd w:id="74"/>
      <w:bookmarkEnd w:id="75"/>
      <w:bookmarkEnd w:id="76"/>
    </w:p>
    <w:p>
      <w:pPr>
        <w:spacing w:line="360" w:lineRule="auto"/>
        <w:ind w:firstLine="480" w:firstLineChars="200"/>
        <w:rPr>
          <w:rFonts w:ascii="宋体"/>
          <w:sz w:val="24"/>
        </w:rPr>
      </w:pPr>
      <w:r>
        <w:rPr>
          <w:rFonts w:ascii="宋体" w:hAnsi="宋体"/>
          <w:sz w:val="24"/>
        </w:rPr>
        <w:t xml:space="preserve">3.7.1 </w:t>
      </w:r>
      <w:r>
        <w:rPr>
          <w:rFonts w:hint="eastAsia" w:ascii="宋体" w:hAnsi="宋体"/>
          <w:sz w:val="24"/>
        </w:rPr>
        <w:t>响应文件应按第八章</w:t>
      </w:r>
      <w:r>
        <w:rPr>
          <w:rFonts w:hint="eastAsia" w:ascii="宋体"/>
          <w:sz w:val="24"/>
        </w:rPr>
        <w:t>“</w:t>
      </w:r>
      <w:r>
        <w:rPr>
          <w:rFonts w:hint="eastAsia" w:ascii="宋体" w:hAnsi="宋体"/>
          <w:sz w:val="24"/>
        </w:rPr>
        <w:t>响应文件格式</w:t>
      </w:r>
      <w:r>
        <w:rPr>
          <w:rFonts w:hint="eastAsia" w:ascii="宋体"/>
          <w:sz w:val="24"/>
        </w:rPr>
        <w:t>”</w:t>
      </w:r>
      <w:r>
        <w:rPr>
          <w:rFonts w:hint="eastAsia" w:ascii="宋体" w:hAnsi="宋体"/>
          <w:sz w:val="24"/>
        </w:rPr>
        <w:t>进行编写，如有必要，可以增加附页，作为投标文件的组成部分。其中，投标函附录在满足响应文件实质性要求的基础上，可以提出比响应文件要求更有利于采购人的承诺。</w:t>
      </w:r>
    </w:p>
    <w:p>
      <w:pPr>
        <w:spacing w:line="360" w:lineRule="auto"/>
        <w:ind w:firstLine="480" w:firstLineChars="200"/>
        <w:rPr>
          <w:rFonts w:ascii="宋体"/>
          <w:sz w:val="24"/>
        </w:rPr>
      </w:pPr>
      <w:r>
        <w:rPr>
          <w:rFonts w:ascii="宋体" w:hAnsi="宋体"/>
          <w:sz w:val="24"/>
        </w:rPr>
        <w:t xml:space="preserve">3.7.2 </w:t>
      </w:r>
      <w:r>
        <w:rPr>
          <w:rFonts w:hint="eastAsia" w:ascii="宋体" w:hAnsi="宋体"/>
          <w:sz w:val="24"/>
        </w:rPr>
        <w:t>响应文件应当对响应文件有关工期、投标有效期、质量要求、技术标准和要求、磋商范围等实质性内容作出响应。</w:t>
      </w:r>
    </w:p>
    <w:p>
      <w:pPr>
        <w:spacing w:line="360" w:lineRule="auto"/>
        <w:ind w:firstLine="480" w:firstLineChars="200"/>
        <w:rPr>
          <w:rFonts w:ascii="宋体"/>
          <w:b/>
          <w:bCs/>
          <w:sz w:val="24"/>
        </w:rPr>
      </w:pPr>
      <w:r>
        <w:rPr>
          <w:rFonts w:ascii="宋体" w:hAnsi="宋体"/>
          <w:sz w:val="24"/>
        </w:rPr>
        <w:t>3.7.3</w:t>
      </w:r>
      <w:r>
        <w:rPr>
          <w:rFonts w:hint="eastAsia" w:ascii="宋体" w:hAnsi="宋体"/>
          <w:sz w:val="24"/>
        </w:rPr>
        <w:t>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pPr>
        <w:spacing w:line="360" w:lineRule="auto"/>
        <w:ind w:firstLine="480" w:firstLineChars="200"/>
        <w:rPr>
          <w:rFonts w:ascii="宋体"/>
          <w:sz w:val="24"/>
        </w:rPr>
      </w:pPr>
      <w:r>
        <w:rPr>
          <w:rFonts w:hint="eastAsia" w:ascii="宋体" w:hAnsi="宋体"/>
          <w:sz w:val="24"/>
        </w:rPr>
        <w:t>响应文件应尽量避免涂改、行间插字或删除。如果出现上述情况，改动之处应加盖单位章或由供应商的法定代表人或其授权的代理人签字确认。</w:t>
      </w:r>
    </w:p>
    <w:p>
      <w:pPr>
        <w:spacing w:line="360" w:lineRule="auto"/>
        <w:ind w:firstLine="480" w:firstLineChars="200"/>
        <w:rPr>
          <w:rFonts w:ascii="宋体"/>
          <w:sz w:val="24"/>
        </w:rPr>
      </w:pPr>
      <w:r>
        <w:rPr>
          <w:rFonts w:hint="eastAsia" w:ascii="宋体" w:hAnsi="宋体"/>
          <w:sz w:val="24"/>
        </w:rPr>
        <w:t>签字或盖章的其他要求见供应商须知前附表。</w:t>
      </w:r>
    </w:p>
    <w:p>
      <w:pPr>
        <w:spacing w:line="360" w:lineRule="auto"/>
        <w:ind w:firstLine="480" w:firstLineChars="200"/>
        <w:rPr>
          <w:rFonts w:ascii="宋体"/>
          <w:sz w:val="24"/>
        </w:rPr>
      </w:pPr>
      <w:r>
        <w:rPr>
          <w:rFonts w:ascii="宋体" w:hAnsi="宋体"/>
          <w:sz w:val="24"/>
        </w:rPr>
        <w:t>3.7.4</w:t>
      </w:r>
      <w:r>
        <w:rPr>
          <w:rFonts w:hint="eastAsia" w:ascii="宋体" w:hAnsi="宋体"/>
          <w:sz w:val="24"/>
        </w:rPr>
        <w:t>响应文件份数见供应商须知前附表。</w:t>
      </w:r>
      <w:r>
        <w:rPr>
          <w:rFonts w:hint="eastAsia" w:ascii="宋体" w:hAnsi="宋体"/>
          <w:b/>
          <w:bCs/>
          <w:sz w:val="24"/>
        </w:rPr>
        <w:t>正本和副本的封面上应清楚地标记“正本”或“副本”的字样并加盖供应商公章</w:t>
      </w:r>
      <w:r>
        <w:rPr>
          <w:rFonts w:hint="eastAsia" w:ascii="宋体" w:hAnsi="宋体"/>
          <w:sz w:val="24"/>
        </w:rPr>
        <w:t>。电子文档一份，唱标单两份（单独密封），当副本和正本不一致时，以正本为准。响应文件按照要求胶装成册，未按要求装订的响应文件将被视为无效投标。</w:t>
      </w:r>
    </w:p>
    <w:p>
      <w:pPr>
        <w:pStyle w:val="2"/>
        <w:spacing w:beforeLines="50"/>
        <w:rPr>
          <w:rFonts w:ascii="宋体"/>
          <w:sz w:val="24"/>
          <w:szCs w:val="24"/>
        </w:rPr>
      </w:pPr>
      <w:bookmarkStart w:id="77" w:name="_Toc19921"/>
      <w:bookmarkStart w:id="78" w:name="_Toc234382616"/>
      <w:bookmarkStart w:id="79" w:name="_Toc6323"/>
      <w:r>
        <w:rPr>
          <w:rFonts w:ascii="宋体" w:hAnsi="宋体"/>
          <w:sz w:val="24"/>
          <w:szCs w:val="24"/>
        </w:rPr>
        <w:t>4.</w:t>
      </w:r>
      <w:bookmarkEnd w:id="77"/>
      <w:bookmarkEnd w:id="78"/>
      <w:bookmarkStart w:id="80" w:name="_Toc234382617"/>
      <w:r>
        <w:rPr>
          <w:rFonts w:hint="eastAsia" w:ascii="宋体" w:hAnsi="宋体"/>
          <w:sz w:val="24"/>
          <w:szCs w:val="24"/>
        </w:rPr>
        <w:t>投标</w:t>
      </w:r>
      <w:bookmarkEnd w:id="79"/>
    </w:p>
    <w:p>
      <w:pPr>
        <w:pStyle w:val="2"/>
        <w:spacing w:beforeLines="50"/>
        <w:rPr>
          <w:rFonts w:ascii="宋体"/>
          <w:sz w:val="24"/>
          <w:szCs w:val="24"/>
        </w:rPr>
      </w:pPr>
      <w:bookmarkStart w:id="81" w:name="_Toc17977"/>
      <w:r>
        <w:rPr>
          <w:rFonts w:ascii="宋体" w:hAnsi="宋体"/>
          <w:sz w:val="24"/>
          <w:szCs w:val="24"/>
        </w:rPr>
        <w:t xml:space="preserve">4.1 </w:t>
      </w:r>
      <w:r>
        <w:rPr>
          <w:rFonts w:hint="eastAsia" w:ascii="宋体" w:hAnsi="宋体"/>
          <w:sz w:val="24"/>
          <w:szCs w:val="24"/>
        </w:rPr>
        <w:t>响应文件的密封和标记</w:t>
      </w:r>
      <w:bookmarkEnd w:id="81"/>
    </w:p>
    <w:bookmarkEnd w:id="80"/>
    <w:p>
      <w:pPr>
        <w:spacing w:line="360" w:lineRule="auto"/>
        <w:ind w:firstLine="480" w:firstLineChars="200"/>
        <w:rPr>
          <w:rFonts w:ascii="宋体" w:cs="宋体"/>
          <w:sz w:val="24"/>
        </w:rPr>
      </w:pPr>
      <w:bookmarkStart w:id="82" w:name="_Toc234382618"/>
      <w:r>
        <w:rPr>
          <w:rFonts w:ascii="宋体" w:hAnsi="宋体" w:cs="宋体"/>
          <w:sz w:val="24"/>
        </w:rPr>
        <w:t xml:space="preserve">4.1.1 </w:t>
      </w:r>
      <w:r>
        <w:rPr>
          <w:rFonts w:hint="eastAsia" w:ascii="宋体" w:hAnsi="宋体" w:cs="宋体"/>
          <w:sz w:val="24"/>
        </w:rPr>
        <w:t>供应商应将所有投标文件密封在一个封套里并加贴封条，封套的封口处应加盖供应商单位章并由法人或授权委托人签字或盖章。</w:t>
      </w:r>
    </w:p>
    <w:p>
      <w:pPr>
        <w:spacing w:line="360" w:lineRule="auto"/>
        <w:ind w:firstLine="480" w:firstLineChars="200"/>
        <w:rPr>
          <w:rFonts w:ascii="宋体" w:cs="宋体"/>
          <w:sz w:val="24"/>
        </w:rPr>
      </w:pPr>
      <w:r>
        <w:rPr>
          <w:rFonts w:ascii="宋体" w:hAnsi="宋体" w:cs="宋体"/>
          <w:sz w:val="24"/>
        </w:rPr>
        <w:t xml:space="preserve">4.1.2 </w:t>
      </w:r>
      <w:r>
        <w:rPr>
          <w:rFonts w:hint="eastAsia" w:ascii="宋体" w:hAnsi="宋体" w:cs="宋体"/>
          <w:sz w:val="24"/>
        </w:rPr>
        <w:t>响应文件封面上应清楚地标记“正本”或“副本”“唱标一览表”“电子文档”字样，封套上应写明的其他内容见供应商须知前附表。</w:t>
      </w:r>
    </w:p>
    <w:p>
      <w:pPr>
        <w:spacing w:line="360" w:lineRule="auto"/>
        <w:ind w:firstLine="480" w:firstLineChars="200"/>
        <w:rPr>
          <w:rFonts w:ascii="宋体" w:cs="宋体"/>
          <w:sz w:val="24"/>
        </w:rPr>
      </w:pPr>
      <w:r>
        <w:rPr>
          <w:rFonts w:ascii="宋体" w:hAnsi="宋体" w:cs="宋体"/>
          <w:sz w:val="24"/>
        </w:rPr>
        <w:t xml:space="preserve">4.1.3 </w:t>
      </w:r>
      <w:r>
        <w:rPr>
          <w:rFonts w:hint="eastAsia" w:ascii="宋体" w:hAnsi="宋体" w:cs="宋体"/>
          <w:sz w:val="24"/>
        </w:rPr>
        <w:t>未按本章第</w:t>
      </w:r>
      <w:r>
        <w:rPr>
          <w:rFonts w:ascii="宋体" w:hAnsi="宋体" w:cs="宋体"/>
          <w:sz w:val="24"/>
        </w:rPr>
        <w:t xml:space="preserve">4.1.1 </w:t>
      </w:r>
      <w:r>
        <w:rPr>
          <w:rFonts w:hint="eastAsia" w:ascii="宋体" w:hAnsi="宋体" w:cs="宋体"/>
          <w:sz w:val="24"/>
        </w:rPr>
        <w:t>项或第</w:t>
      </w:r>
      <w:r>
        <w:rPr>
          <w:rFonts w:ascii="宋体" w:hAnsi="宋体" w:cs="宋体"/>
          <w:sz w:val="24"/>
        </w:rPr>
        <w:t xml:space="preserve">4.1.2 </w:t>
      </w:r>
      <w:r>
        <w:rPr>
          <w:rFonts w:hint="eastAsia" w:ascii="宋体" w:hAnsi="宋体" w:cs="宋体"/>
          <w:sz w:val="24"/>
        </w:rPr>
        <w:t>项要求密封和加写标记的响应文件，采购人不予受理。</w:t>
      </w:r>
    </w:p>
    <w:p>
      <w:pPr>
        <w:pStyle w:val="2"/>
        <w:spacing w:beforeLines="50"/>
        <w:rPr>
          <w:rFonts w:ascii="宋体"/>
          <w:sz w:val="24"/>
          <w:szCs w:val="24"/>
        </w:rPr>
      </w:pPr>
      <w:bookmarkStart w:id="83" w:name="_Toc30024"/>
      <w:bookmarkStart w:id="84" w:name="_Toc2204"/>
      <w:r>
        <w:rPr>
          <w:rFonts w:ascii="宋体" w:hAnsi="宋体"/>
          <w:sz w:val="24"/>
          <w:szCs w:val="24"/>
        </w:rPr>
        <w:t xml:space="preserve">4.2 </w:t>
      </w:r>
      <w:r>
        <w:rPr>
          <w:rFonts w:hint="eastAsia" w:ascii="宋体" w:hAnsi="宋体"/>
          <w:sz w:val="24"/>
          <w:szCs w:val="24"/>
        </w:rPr>
        <w:t>响应文件的递交</w:t>
      </w:r>
      <w:bookmarkEnd w:id="82"/>
      <w:bookmarkEnd w:id="83"/>
      <w:bookmarkEnd w:id="84"/>
    </w:p>
    <w:p>
      <w:pPr>
        <w:spacing w:line="360" w:lineRule="auto"/>
        <w:ind w:firstLine="480" w:firstLineChars="200"/>
        <w:rPr>
          <w:rFonts w:ascii="宋体"/>
          <w:sz w:val="24"/>
        </w:rPr>
      </w:pPr>
      <w:r>
        <w:rPr>
          <w:rFonts w:ascii="宋体" w:hAnsi="宋体"/>
          <w:sz w:val="24"/>
        </w:rPr>
        <w:t xml:space="preserve">4.2.1 </w:t>
      </w:r>
      <w:r>
        <w:rPr>
          <w:rFonts w:hint="eastAsia" w:ascii="宋体" w:hAnsi="宋体"/>
          <w:sz w:val="24"/>
        </w:rPr>
        <w:t>供应商应在供应商须知前附表规定的投标截止时间前递交响应文件。</w:t>
      </w:r>
    </w:p>
    <w:p>
      <w:pPr>
        <w:spacing w:line="360" w:lineRule="auto"/>
        <w:ind w:firstLine="480" w:firstLineChars="200"/>
        <w:rPr>
          <w:rFonts w:ascii="宋体"/>
          <w:sz w:val="24"/>
        </w:rPr>
      </w:pPr>
      <w:r>
        <w:rPr>
          <w:rFonts w:ascii="宋体" w:hAnsi="宋体"/>
          <w:sz w:val="24"/>
        </w:rPr>
        <w:t xml:space="preserve">4.2.2 </w:t>
      </w:r>
      <w:r>
        <w:rPr>
          <w:rFonts w:hint="eastAsia" w:ascii="宋体" w:hAnsi="宋体"/>
          <w:sz w:val="24"/>
        </w:rPr>
        <w:t>供应商递交响应文件的地点：见供应商须知前附表。</w:t>
      </w:r>
    </w:p>
    <w:p>
      <w:pPr>
        <w:spacing w:line="360" w:lineRule="auto"/>
        <w:ind w:firstLine="480" w:firstLineChars="200"/>
        <w:rPr>
          <w:rFonts w:ascii="宋体"/>
          <w:sz w:val="24"/>
        </w:rPr>
      </w:pPr>
      <w:r>
        <w:rPr>
          <w:rFonts w:ascii="宋体" w:hAnsi="宋体"/>
          <w:sz w:val="24"/>
        </w:rPr>
        <w:t xml:space="preserve">4.2.3 </w:t>
      </w:r>
      <w:r>
        <w:rPr>
          <w:rFonts w:hint="eastAsia" w:ascii="宋体" w:hAnsi="宋体"/>
          <w:sz w:val="24"/>
        </w:rPr>
        <w:t>除供应商须知前附表另有规定外，供应商所递交的投标文件将不予退还。</w:t>
      </w:r>
    </w:p>
    <w:p>
      <w:pPr>
        <w:spacing w:line="360" w:lineRule="auto"/>
        <w:ind w:firstLine="480" w:firstLineChars="200"/>
        <w:rPr>
          <w:rFonts w:ascii="宋体"/>
          <w:sz w:val="24"/>
        </w:rPr>
      </w:pPr>
      <w:r>
        <w:rPr>
          <w:rFonts w:ascii="宋体" w:hAnsi="宋体"/>
          <w:sz w:val="24"/>
        </w:rPr>
        <w:t xml:space="preserve">4.2.4 </w:t>
      </w:r>
      <w:r>
        <w:rPr>
          <w:rFonts w:hint="eastAsia" w:ascii="宋体" w:hAnsi="宋体"/>
          <w:sz w:val="24"/>
        </w:rPr>
        <w:t>逾期送达的或者未送达指定地点的响应文件，采购人不予受理。</w:t>
      </w:r>
    </w:p>
    <w:p>
      <w:pPr>
        <w:spacing w:line="360" w:lineRule="auto"/>
        <w:ind w:firstLine="480" w:firstLineChars="200"/>
        <w:rPr>
          <w:rFonts w:ascii="宋体"/>
          <w:sz w:val="24"/>
        </w:rPr>
      </w:pPr>
      <w:r>
        <w:rPr>
          <w:rFonts w:ascii="宋体" w:hAnsi="宋体"/>
          <w:sz w:val="24"/>
        </w:rPr>
        <w:t>4.2.5</w:t>
      </w:r>
      <w:r>
        <w:rPr>
          <w:rFonts w:hint="eastAsia" w:ascii="宋体" w:hAnsi="宋体"/>
          <w:sz w:val="24"/>
        </w:rPr>
        <w:t>在特殊情况下，采购人如果决定延后递交投标截止时间，应在供应商须知前附表规定的时间前，以书面形式通知送达所有供应商延后投标截止时间。在此情况下，采购人和供应商的权利和义务相应延后至新的投标截止时间。</w:t>
      </w:r>
    </w:p>
    <w:p>
      <w:pPr>
        <w:spacing w:line="360" w:lineRule="auto"/>
        <w:rPr>
          <w:rFonts w:ascii="宋体"/>
          <w:b/>
          <w:bCs/>
          <w:sz w:val="24"/>
        </w:rPr>
      </w:pPr>
      <w:bookmarkStart w:id="85" w:name="_Toc19327"/>
      <w:bookmarkStart w:id="86" w:name="_Toc234382619"/>
      <w:r>
        <w:rPr>
          <w:rFonts w:ascii="宋体" w:hAnsi="宋体"/>
          <w:b/>
          <w:bCs/>
          <w:sz w:val="24"/>
        </w:rPr>
        <w:t>4.3</w:t>
      </w:r>
      <w:r>
        <w:rPr>
          <w:rFonts w:hint="eastAsia" w:ascii="宋体" w:hAnsi="宋体"/>
          <w:b/>
          <w:bCs/>
          <w:sz w:val="24"/>
        </w:rPr>
        <w:t>响应文件的修改与撤回</w:t>
      </w:r>
    </w:p>
    <w:bookmarkEnd w:id="85"/>
    <w:bookmarkEnd w:id="86"/>
    <w:p>
      <w:pPr>
        <w:spacing w:line="360" w:lineRule="auto"/>
        <w:ind w:firstLine="480" w:firstLineChars="200"/>
        <w:rPr>
          <w:rFonts w:ascii="宋体"/>
          <w:sz w:val="24"/>
        </w:rPr>
      </w:pPr>
      <w:r>
        <w:rPr>
          <w:rFonts w:ascii="宋体" w:hAnsi="宋体"/>
          <w:sz w:val="24"/>
        </w:rPr>
        <w:t xml:space="preserve">4.3.1 </w:t>
      </w:r>
      <w:r>
        <w:rPr>
          <w:rFonts w:hint="eastAsia" w:ascii="宋体" w:hAnsi="宋体"/>
          <w:sz w:val="24"/>
        </w:rPr>
        <w:t>在供应商须知前附表规定的投标截止时间前，供应商可以修改或撤回已递交的响应文件，但应以书面形式通知采购人。</w:t>
      </w:r>
    </w:p>
    <w:p>
      <w:pPr>
        <w:spacing w:line="360" w:lineRule="auto"/>
        <w:ind w:firstLine="480" w:firstLineChars="200"/>
        <w:rPr>
          <w:rFonts w:ascii="宋体"/>
          <w:sz w:val="24"/>
        </w:rPr>
      </w:pPr>
      <w:r>
        <w:rPr>
          <w:rFonts w:ascii="宋体" w:hAnsi="宋体"/>
          <w:sz w:val="24"/>
        </w:rPr>
        <w:t xml:space="preserve">4.3.2 </w:t>
      </w:r>
      <w:r>
        <w:rPr>
          <w:rFonts w:hint="eastAsia" w:ascii="宋体" w:hAnsi="宋体"/>
          <w:sz w:val="24"/>
        </w:rPr>
        <w:t>供应商修改或撤回已递交响应文件的书面通知应按照本章第</w:t>
      </w:r>
      <w:r>
        <w:rPr>
          <w:rFonts w:ascii="宋体" w:hAnsi="宋体"/>
          <w:sz w:val="24"/>
        </w:rPr>
        <w:t xml:space="preserve"> 3.7.3 </w:t>
      </w:r>
      <w:r>
        <w:rPr>
          <w:rFonts w:hint="eastAsia" w:ascii="宋体" w:hAnsi="宋体"/>
          <w:sz w:val="24"/>
        </w:rPr>
        <w:t>项的要求签字或盖章。采购人收到书面通知后，向供应商出具签收凭证。</w:t>
      </w:r>
    </w:p>
    <w:p>
      <w:pPr>
        <w:spacing w:line="360" w:lineRule="auto"/>
        <w:ind w:firstLine="480" w:firstLineChars="200"/>
        <w:rPr>
          <w:rFonts w:ascii="宋体"/>
          <w:sz w:val="24"/>
        </w:rPr>
      </w:pPr>
      <w:r>
        <w:rPr>
          <w:rFonts w:ascii="宋体" w:hAnsi="宋体"/>
          <w:sz w:val="24"/>
        </w:rPr>
        <w:t xml:space="preserve">4.3.3 </w:t>
      </w:r>
      <w:r>
        <w:rPr>
          <w:rFonts w:hint="eastAsia" w:ascii="宋体" w:hAnsi="宋体"/>
          <w:sz w:val="24"/>
        </w:rPr>
        <w:t>修改的内容为响应文件的组成部分。修改的响应文件应按照本章第</w:t>
      </w:r>
      <w:r>
        <w:rPr>
          <w:rFonts w:ascii="宋体" w:hAnsi="宋体"/>
          <w:sz w:val="24"/>
        </w:rPr>
        <w:t>3</w:t>
      </w:r>
      <w:r>
        <w:rPr>
          <w:rFonts w:hint="eastAsia" w:ascii="宋体" w:hAnsi="宋体"/>
          <w:sz w:val="24"/>
        </w:rPr>
        <w:t>条、第</w:t>
      </w:r>
      <w:r>
        <w:rPr>
          <w:rFonts w:ascii="宋体" w:hAnsi="宋体"/>
          <w:sz w:val="24"/>
        </w:rPr>
        <w:t>4</w:t>
      </w:r>
      <w:r>
        <w:rPr>
          <w:rFonts w:hint="eastAsia" w:ascii="宋体" w:hAnsi="宋体"/>
          <w:sz w:val="24"/>
        </w:rPr>
        <w:t>条规定进行编制、密封、标记和递交，并标明</w:t>
      </w:r>
      <w:r>
        <w:rPr>
          <w:rFonts w:hint="eastAsia" w:ascii="宋体"/>
          <w:sz w:val="24"/>
        </w:rPr>
        <w:t>“</w:t>
      </w:r>
      <w:r>
        <w:rPr>
          <w:rFonts w:hint="eastAsia" w:ascii="宋体" w:hAnsi="宋体"/>
          <w:sz w:val="24"/>
        </w:rPr>
        <w:t>修改</w:t>
      </w:r>
      <w:r>
        <w:rPr>
          <w:rFonts w:hint="eastAsia" w:ascii="宋体"/>
          <w:sz w:val="24"/>
        </w:rPr>
        <w:t>”</w:t>
      </w:r>
      <w:r>
        <w:rPr>
          <w:rFonts w:hint="eastAsia" w:ascii="宋体" w:hAnsi="宋体"/>
          <w:sz w:val="24"/>
        </w:rPr>
        <w:t>字样。</w:t>
      </w:r>
    </w:p>
    <w:p>
      <w:pPr>
        <w:pStyle w:val="2"/>
        <w:spacing w:beforeLines="150" w:after="480"/>
        <w:rPr>
          <w:rFonts w:ascii="宋体"/>
          <w:sz w:val="24"/>
          <w:szCs w:val="24"/>
        </w:rPr>
      </w:pPr>
      <w:bookmarkStart w:id="87" w:name="_Toc32286"/>
      <w:bookmarkStart w:id="88" w:name="_Toc17382"/>
      <w:bookmarkStart w:id="89" w:name="_Toc234382620"/>
      <w:r>
        <w:rPr>
          <w:rFonts w:ascii="宋体" w:hAnsi="宋体"/>
          <w:sz w:val="24"/>
          <w:szCs w:val="24"/>
        </w:rPr>
        <w:t xml:space="preserve">5. </w:t>
      </w:r>
      <w:r>
        <w:rPr>
          <w:rFonts w:hint="eastAsia" w:ascii="宋体" w:hAnsi="宋体"/>
          <w:sz w:val="24"/>
          <w:szCs w:val="24"/>
        </w:rPr>
        <w:t>开标</w:t>
      </w:r>
      <w:bookmarkEnd w:id="87"/>
      <w:bookmarkEnd w:id="88"/>
      <w:bookmarkEnd w:id="89"/>
    </w:p>
    <w:p>
      <w:pPr>
        <w:pStyle w:val="2"/>
        <w:rPr>
          <w:rFonts w:ascii="宋体"/>
          <w:sz w:val="24"/>
          <w:szCs w:val="24"/>
        </w:rPr>
      </w:pPr>
      <w:bookmarkStart w:id="90" w:name="_Toc22618"/>
      <w:bookmarkStart w:id="91" w:name="_Toc31893"/>
      <w:bookmarkStart w:id="92" w:name="_Toc234382621"/>
      <w:r>
        <w:rPr>
          <w:rFonts w:ascii="宋体" w:hAnsi="宋体"/>
          <w:sz w:val="24"/>
          <w:szCs w:val="24"/>
        </w:rPr>
        <w:t xml:space="preserve">5.1 </w:t>
      </w:r>
      <w:r>
        <w:rPr>
          <w:rFonts w:hint="eastAsia" w:ascii="宋体" w:hAnsi="宋体"/>
          <w:sz w:val="24"/>
          <w:szCs w:val="24"/>
        </w:rPr>
        <w:t>开标时间和地点</w:t>
      </w:r>
      <w:bookmarkEnd w:id="90"/>
      <w:bookmarkEnd w:id="91"/>
      <w:bookmarkEnd w:id="92"/>
    </w:p>
    <w:p>
      <w:pPr>
        <w:spacing w:line="360" w:lineRule="auto"/>
        <w:ind w:firstLine="480" w:firstLineChars="200"/>
        <w:rPr>
          <w:rFonts w:ascii="宋体"/>
          <w:sz w:val="24"/>
        </w:rPr>
      </w:pPr>
      <w:r>
        <w:rPr>
          <w:rFonts w:hint="eastAsia" w:ascii="宋体" w:hAnsi="宋体"/>
          <w:sz w:val="24"/>
        </w:rPr>
        <w:t>采购人在供应商须知前附表规定的时间、地点开标，并邀请所有供应商的法定代表人或其委托代理人准时参加。</w:t>
      </w:r>
    </w:p>
    <w:p>
      <w:pPr>
        <w:spacing w:line="360" w:lineRule="auto"/>
        <w:ind w:firstLine="480" w:firstLineChars="200"/>
        <w:rPr>
          <w:rFonts w:ascii="宋体"/>
          <w:sz w:val="24"/>
        </w:rPr>
      </w:pPr>
      <w:bookmarkStart w:id="93" w:name="_Toc144974529"/>
      <w:bookmarkStart w:id="94" w:name="_Toc286929461"/>
      <w:bookmarkStart w:id="95" w:name="_Toc294124190"/>
      <w:bookmarkStart w:id="96" w:name="_Toc152045561"/>
      <w:bookmarkStart w:id="97" w:name="_Toc152042337"/>
      <w:bookmarkStart w:id="98" w:name="_Toc6029"/>
      <w:bookmarkStart w:id="99" w:name="_Toc287015588"/>
      <w:bookmarkStart w:id="100" w:name="_Toc179632579"/>
      <w:r>
        <w:rPr>
          <w:rFonts w:ascii="宋体" w:hAnsi="宋体"/>
          <w:sz w:val="24"/>
        </w:rPr>
        <w:t xml:space="preserve">5.2 </w:t>
      </w:r>
      <w:r>
        <w:rPr>
          <w:rFonts w:hint="eastAsia" w:ascii="宋体" w:hAnsi="宋体"/>
          <w:sz w:val="24"/>
        </w:rPr>
        <w:t>开标程序</w:t>
      </w:r>
      <w:bookmarkEnd w:id="93"/>
      <w:bookmarkEnd w:id="94"/>
      <w:bookmarkEnd w:id="95"/>
      <w:bookmarkEnd w:id="96"/>
      <w:bookmarkEnd w:id="97"/>
      <w:bookmarkEnd w:id="98"/>
      <w:bookmarkEnd w:id="99"/>
      <w:bookmarkEnd w:id="100"/>
    </w:p>
    <w:p>
      <w:pPr>
        <w:spacing w:line="360" w:lineRule="auto"/>
        <w:ind w:firstLine="480" w:firstLineChars="200"/>
        <w:rPr>
          <w:rFonts w:ascii="宋体"/>
          <w:sz w:val="24"/>
        </w:rPr>
      </w:pPr>
      <w:r>
        <w:rPr>
          <w:rFonts w:hint="eastAsia" w:ascii="宋体" w:hAnsi="宋体"/>
          <w:sz w:val="24"/>
        </w:rPr>
        <w:t>主持人按下列程序进行开标：</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）宣读开标纪律；</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）公布在投标截止时间前递交投标文件的供应商名称，并点名确认供应商是否派人到场；</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）宣布磋商（代理）人、唱标人、监督人等有关单位；</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）在监督人监督下，由采购人核验供应商的证件（授权委托书、身份证等），并宣布核验结果。</w:t>
      </w:r>
    </w:p>
    <w:p>
      <w:pPr>
        <w:spacing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）在监督人监督下，由供应商推选的代表检查响应文件的密封情况并予以签字确认；</w:t>
      </w:r>
    </w:p>
    <w:p>
      <w:pPr>
        <w:spacing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）按照宣布的开标顺序当众开标，公布供应商名称、项目名称、投标报价、质量目标、工期及其他内容，并记录在案；</w:t>
      </w:r>
    </w:p>
    <w:p>
      <w:pPr>
        <w:spacing w:line="360" w:lineRule="auto"/>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）对本次开标存在的异议的投标单位，请现场提出。</w:t>
      </w:r>
    </w:p>
    <w:p>
      <w:pPr>
        <w:spacing w:line="360" w:lineRule="auto"/>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）磋商（代理）人、唱标人、监督人应对《开标记录》全部内容进行签字确认；</w:t>
      </w:r>
    </w:p>
    <w:p>
      <w:pPr>
        <w:spacing w:line="360" w:lineRule="auto"/>
        <w:ind w:firstLine="480" w:firstLineChars="200"/>
        <w:rPr>
          <w:rFonts w:ascii="宋体"/>
          <w:sz w:val="24"/>
        </w:rPr>
      </w:pPr>
      <w:r>
        <w:rPr>
          <w:rFonts w:hint="eastAsia" w:ascii="宋体" w:hAnsi="宋体"/>
          <w:sz w:val="24"/>
        </w:rPr>
        <w:t>（</w:t>
      </w:r>
      <w:r>
        <w:rPr>
          <w:rFonts w:ascii="宋体" w:hAnsi="宋体"/>
          <w:sz w:val="24"/>
        </w:rPr>
        <w:t>9</w:t>
      </w:r>
      <w:r>
        <w:rPr>
          <w:rFonts w:hint="eastAsia" w:ascii="宋体" w:hAnsi="宋体"/>
          <w:sz w:val="24"/>
        </w:rPr>
        <w:t>）开标会结束，供应商退场。</w:t>
      </w:r>
    </w:p>
    <w:p>
      <w:pPr>
        <w:spacing w:line="360" w:lineRule="auto"/>
        <w:ind w:firstLine="480" w:firstLineChars="200"/>
        <w:rPr>
          <w:rFonts w:ascii="宋体"/>
          <w:sz w:val="24"/>
        </w:rPr>
      </w:pPr>
      <w:r>
        <w:rPr>
          <w:rFonts w:hint="eastAsia" w:ascii="宋体" w:hAnsi="宋体"/>
          <w:sz w:val="24"/>
        </w:rPr>
        <w:t>（</w:t>
      </w:r>
      <w:r>
        <w:rPr>
          <w:rFonts w:ascii="宋体" w:hAnsi="宋体"/>
          <w:sz w:val="24"/>
        </w:rPr>
        <w:t>10</w:t>
      </w:r>
      <w:r>
        <w:rPr>
          <w:rFonts w:hint="eastAsia" w:ascii="宋体" w:hAnsi="宋体"/>
          <w:sz w:val="24"/>
        </w:rPr>
        <w:t>）在监督人监督下，由工作人员将响应文件密封入标书箱内。</w:t>
      </w:r>
    </w:p>
    <w:p>
      <w:pPr>
        <w:pStyle w:val="2"/>
        <w:spacing w:beforeLines="150" w:after="480"/>
        <w:rPr>
          <w:rFonts w:ascii="宋体"/>
          <w:sz w:val="24"/>
          <w:szCs w:val="24"/>
        </w:rPr>
      </w:pPr>
      <w:bookmarkStart w:id="101" w:name="_Toc234382625"/>
      <w:bookmarkStart w:id="102" w:name="_Toc17317"/>
      <w:bookmarkStart w:id="103" w:name="_Toc32033"/>
      <w:r>
        <w:rPr>
          <w:rFonts w:ascii="宋体" w:hAnsi="宋体"/>
          <w:sz w:val="24"/>
          <w:szCs w:val="24"/>
        </w:rPr>
        <w:t xml:space="preserve">6. </w:t>
      </w:r>
      <w:r>
        <w:rPr>
          <w:rFonts w:hint="eastAsia" w:ascii="宋体" w:hAnsi="宋体"/>
          <w:sz w:val="24"/>
          <w:szCs w:val="24"/>
        </w:rPr>
        <w:t>评</w:t>
      </w:r>
      <w:bookmarkEnd w:id="101"/>
      <w:bookmarkEnd w:id="102"/>
      <w:r>
        <w:rPr>
          <w:rFonts w:hint="eastAsia" w:ascii="宋体" w:hAnsi="宋体"/>
          <w:sz w:val="24"/>
          <w:szCs w:val="24"/>
        </w:rPr>
        <w:t>审</w:t>
      </w:r>
      <w:bookmarkEnd w:id="103"/>
    </w:p>
    <w:p>
      <w:pPr>
        <w:pStyle w:val="2"/>
        <w:rPr>
          <w:rFonts w:ascii="宋体"/>
          <w:sz w:val="24"/>
          <w:szCs w:val="24"/>
        </w:rPr>
      </w:pPr>
      <w:bookmarkStart w:id="104" w:name="_Toc234382626"/>
      <w:bookmarkStart w:id="105" w:name="_Toc26619"/>
      <w:bookmarkStart w:id="106" w:name="_Toc29478"/>
      <w:r>
        <w:rPr>
          <w:rFonts w:ascii="宋体" w:hAnsi="宋体"/>
          <w:sz w:val="24"/>
          <w:szCs w:val="24"/>
        </w:rPr>
        <w:t xml:space="preserve">6.1 </w:t>
      </w:r>
      <w:r>
        <w:rPr>
          <w:rFonts w:hint="eastAsia" w:ascii="宋体" w:hAnsi="宋体"/>
          <w:sz w:val="24"/>
          <w:szCs w:val="24"/>
        </w:rPr>
        <w:t>磋商</w:t>
      </w:r>
      <w:bookmarkEnd w:id="104"/>
      <w:bookmarkEnd w:id="105"/>
      <w:r>
        <w:rPr>
          <w:rFonts w:hint="eastAsia" w:ascii="宋体" w:hAnsi="宋体"/>
          <w:sz w:val="24"/>
          <w:szCs w:val="24"/>
        </w:rPr>
        <w:t>小组</w:t>
      </w:r>
      <w:bookmarkEnd w:id="106"/>
    </w:p>
    <w:p>
      <w:pPr>
        <w:spacing w:line="360" w:lineRule="auto"/>
        <w:ind w:firstLine="480" w:firstLineChars="200"/>
        <w:rPr>
          <w:rFonts w:ascii="宋体"/>
          <w:sz w:val="24"/>
        </w:rPr>
      </w:pPr>
      <w:r>
        <w:rPr>
          <w:rFonts w:ascii="宋体" w:hAnsi="宋体"/>
          <w:sz w:val="24"/>
        </w:rPr>
        <w:t xml:space="preserve">6.1.1 </w:t>
      </w:r>
      <w:r>
        <w:rPr>
          <w:rFonts w:hint="eastAsia" w:ascii="宋体" w:hAnsi="宋体"/>
          <w:sz w:val="24"/>
        </w:rPr>
        <w:t>评标由采购人依法组建的磋商小组负责。</w:t>
      </w:r>
    </w:p>
    <w:p>
      <w:pPr>
        <w:spacing w:line="360" w:lineRule="auto"/>
        <w:ind w:firstLine="480" w:firstLineChars="200"/>
        <w:rPr>
          <w:rFonts w:ascii="宋体"/>
          <w:sz w:val="24"/>
        </w:rPr>
      </w:pPr>
      <w:r>
        <w:rPr>
          <w:rFonts w:ascii="宋体" w:hAnsi="宋体"/>
          <w:sz w:val="24"/>
        </w:rPr>
        <w:t xml:space="preserve">6.1.2 </w:t>
      </w:r>
      <w:r>
        <w:rPr>
          <w:rFonts w:hint="eastAsia" w:ascii="宋体" w:hAnsi="宋体"/>
          <w:sz w:val="24"/>
        </w:rPr>
        <w:t>磋商小组成员有下列情形之一的，应当回避：</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）采购人或供应商的主要负责人的近亲属；</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）项目主管部门或者行政监督部门的人员；</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）与供应商有经济利益关系，可能影响对投标公正评审的；</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）曾因在磋商、评标以及其他与磋商投标有关活动中从事违法行为而受过行政处罚或刑事处罚的。</w:t>
      </w:r>
    </w:p>
    <w:p>
      <w:pPr>
        <w:pStyle w:val="2"/>
        <w:spacing w:beforeLines="50"/>
        <w:rPr>
          <w:rFonts w:ascii="宋体"/>
          <w:sz w:val="24"/>
          <w:szCs w:val="24"/>
        </w:rPr>
      </w:pPr>
      <w:bookmarkStart w:id="107" w:name="_Toc4121"/>
      <w:bookmarkStart w:id="108" w:name="_Toc234382627"/>
      <w:bookmarkStart w:id="109" w:name="_Toc968"/>
      <w:r>
        <w:rPr>
          <w:rFonts w:ascii="宋体" w:hAnsi="宋体"/>
          <w:sz w:val="24"/>
          <w:szCs w:val="24"/>
        </w:rPr>
        <w:t xml:space="preserve">6.2 </w:t>
      </w:r>
      <w:r>
        <w:rPr>
          <w:rFonts w:hint="eastAsia" w:ascii="宋体" w:hAnsi="宋体"/>
          <w:sz w:val="24"/>
          <w:szCs w:val="24"/>
        </w:rPr>
        <w:t>评标原则</w:t>
      </w:r>
      <w:bookmarkEnd w:id="107"/>
      <w:bookmarkEnd w:id="108"/>
      <w:bookmarkEnd w:id="109"/>
    </w:p>
    <w:p>
      <w:pPr>
        <w:spacing w:line="360" w:lineRule="auto"/>
        <w:ind w:firstLine="480" w:firstLineChars="200"/>
        <w:rPr>
          <w:rFonts w:ascii="宋体"/>
          <w:sz w:val="24"/>
        </w:rPr>
      </w:pPr>
      <w:r>
        <w:rPr>
          <w:rFonts w:hint="eastAsia" w:ascii="宋体" w:hAnsi="宋体"/>
          <w:sz w:val="24"/>
        </w:rPr>
        <w:t>评标活动遵循公平、公正、科学和择优的原则。</w:t>
      </w:r>
    </w:p>
    <w:p>
      <w:pPr>
        <w:pStyle w:val="2"/>
        <w:spacing w:beforeLines="50"/>
        <w:rPr>
          <w:rFonts w:ascii="宋体"/>
          <w:sz w:val="24"/>
          <w:szCs w:val="24"/>
        </w:rPr>
      </w:pPr>
      <w:bookmarkStart w:id="110" w:name="_Toc234382628"/>
      <w:bookmarkStart w:id="111" w:name="_Toc15250"/>
      <w:bookmarkStart w:id="112" w:name="_Toc11457"/>
      <w:r>
        <w:rPr>
          <w:rFonts w:ascii="宋体" w:hAnsi="宋体"/>
          <w:sz w:val="24"/>
          <w:szCs w:val="24"/>
        </w:rPr>
        <w:t xml:space="preserve">6.3 </w:t>
      </w:r>
      <w:r>
        <w:rPr>
          <w:rFonts w:hint="eastAsia" w:ascii="宋体" w:hAnsi="宋体"/>
          <w:sz w:val="24"/>
          <w:szCs w:val="24"/>
        </w:rPr>
        <w:t>评</w:t>
      </w:r>
      <w:bookmarkEnd w:id="110"/>
      <w:bookmarkEnd w:id="111"/>
      <w:r>
        <w:rPr>
          <w:rFonts w:hint="eastAsia" w:ascii="宋体" w:hAnsi="宋体"/>
          <w:sz w:val="24"/>
          <w:szCs w:val="24"/>
        </w:rPr>
        <w:t>审</w:t>
      </w:r>
      <w:bookmarkEnd w:id="112"/>
    </w:p>
    <w:p>
      <w:pPr>
        <w:spacing w:line="360" w:lineRule="auto"/>
        <w:ind w:firstLine="480" w:firstLineChars="200"/>
        <w:rPr>
          <w:rFonts w:ascii="宋体"/>
          <w:sz w:val="24"/>
        </w:rPr>
      </w:pPr>
      <w:r>
        <w:rPr>
          <w:rFonts w:hint="eastAsia" w:ascii="宋体" w:hAnsi="宋体"/>
          <w:sz w:val="24"/>
        </w:rPr>
        <w:t>磋商小组按照第三章</w:t>
      </w:r>
      <w:r>
        <w:rPr>
          <w:rFonts w:hint="eastAsia" w:ascii="宋体"/>
          <w:sz w:val="24"/>
        </w:rPr>
        <w:t>“</w:t>
      </w:r>
      <w:r>
        <w:rPr>
          <w:rFonts w:hint="eastAsia" w:ascii="宋体" w:hAnsi="宋体"/>
          <w:sz w:val="24"/>
        </w:rPr>
        <w:t>评标办法</w:t>
      </w:r>
      <w:r>
        <w:rPr>
          <w:rFonts w:hint="eastAsia" w:ascii="宋体"/>
          <w:sz w:val="24"/>
        </w:rPr>
        <w:t>”</w:t>
      </w:r>
      <w:r>
        <w:rPr>
          <w:rFonts w:hint="eastAsia" w:ascii="宋体" w:hAnsi="宋体"/>
          <w:sz w:val="24"/>
        </w:rPr>
        <w:t>规定的方法、评审因素、标准和程序对投标文件进行评审。第三章</w:t>
      </w:r>
      <w:r>
        <w:rPr>
          <w:rFonts w:hint="eastAsia" w:ascii="宋体"/>
          <w:sz w:val="24"/>
        </w:rPr>
        <w:t>“</w:t>
      </w:r>
      <w:r>
        <w:rPr>
          <w:rFonts w:hint="eastAsia" w:ascii="宋体" w:hAnsi="宋体"/>
          <w:sz w:val="24"/>
        </w:rPr>
        <w:t>评标办法</w:t>
      </w:r>
      <w:r>
        <w:rPr>
          <w:rFonts w:hint="eastAsia" w:ascii="宋体"/>
          <w:sz w:val="24"/>
        </w:rPr>
        <w:t>”</w:t>
      </w:r>
      <w:r>
        <w:rPr>
          <w:rFonts w:hint="eastAsia" w:ascii="宋体" w:hAnsi="宋体"/>
          <w:sz w:val="24"/>
        </w:rPr>
        <w:t>没有规定的方法、评审因素和标准，不作为评标依据。</w:t>
      </w:r>
    </w:p>
    <w:p>
      <w:pPr>
        <w:pStyle w:val="2"/>
        <w:spacing w:beforeLines="150" w:after="480"/>
        <w:rPr>
          <w:rFonts w:ascii="宋体"/>
          <w:sz w:val="24"/>
          <w:szCs w:val="24"/>
        </w:rPr>
      </w:pPr>
      <w:bookmarkStart w:id="113" w:name="_Toc18533"/>
      <w:bookmarkStart w:id="114" w:name="_Toc25629"/>
      <w:bookmarkStart w:id="115" w:name="_Toc234382629"/>
      <w:r>
        <w:rPr>
          <w:rFonts w:ascii="宋体" w:hAnsi="宋体"/>
          <w:sz w:val="24"/>
          <w:szCs w:val="24"/>
        </w:rPr>
        <w:t xml:space="preserve">7. </w:t>
      </w:r>
      <w:r>
        <w:rPr>
          <w:rFonts w:hint="eastAsia" w:ascii="宋体" w:hAnsi="宋体"/>
          <w:sz w:val="24"/>
          <w:szCs w:val="24"/>
        </w:rPr>
        <w:t>合同授予</w:t>
      </w:r>
      <w:bookmarkEnd w:id="113"/>
      <w:bookmarkEnd w:id="114"/>
      <w:bookmarkEnd w:id="115"/>
    </w:p>
    <w:p>
      <w:pPr>
        <w:pStyle w:val="2"/>
        <w:rPr>
          <w:rFonts w:ascii="宋体"/>
          <w:sz w:val="24"/>
          <w:szCs w:val="24"/>
        </w:rPr>
      </w:pPr>
      <w:bookmarkStart w:id="116" w:name="_Toc31802"/>
      <w:bookmarkStart w:id="117" w:name="_Toc26183"/>
      <w:bookmarkStart w:id="118" w:name="_Toc234382630"/>
      <w:r>
        <w:rPr>
          <w:rFonts w:ascii="宋体" w:hAnsi="宋体"/>
          <w:sz w:val="24"/>
          <w:szCs w:val="24"/>
        </w:rPr>
        <w:t xml:space="preserve">7.1 </w:t>
      </w:r>
      <w:r>
        <w:rPr>
          <w:rFonts w:hint="eastAsia" w:ascii="宋体" w:hAnsi="宋体"/>
          <w:sz w:val="24"/>
          <w:szCs w:val="24"/>
        </w:rPr>
        <w:t>定标方式</w:t>
      </w:r>
      <w:bookmarkEnd w:id="116"/>
      <w:bookmarkEnd w:id="117"/>
      <w:bookmarkEnd w:id="118"/>
    </w:p>
    <w:p>
      <w:pPr>
        <w:spacing w:line="360" w:lineRule="auto"/>
        <w:ind w:firstLine="480" w:firstLineChars="200"/>
        <w:rPr>
          <w:rFonts w:ascii="宋体"/>
          <w:sz w:val="24"/>
        </w:rPr>
      </w:pPr>
      <w:bookmarkStart w:id="119" w:name="_Toc234382631"/>
      <w:bookmarkStart w:id="120" w:name="_Toc13915"/>
      <w:r>
        <w:rPr>
          <w:rFonts w:hint="eastAsia" w:ascii="宋体" w:hAnsi="宋体"/>
          <w:sz w:val="24"/>
        </w:rPr>
        <w:t>采购人授权磋商小组直接确定中标人，磋商小组按照最终得分由高到低的次序排序，并确定排名第一的供应商为中标人。</w:t>
      </w:r>
    </w:p>
    <w:p>
      <w:pPr>
        <w:pStyle w:val="2"/>
        <w:spacing w:beforeLines="50"/>
        <w:rPr>
          <w:rFonts w:ascii="宋体"/>
          <w:sz w:val="24"/>
          <w:szCs w:val="24"/>
        </w:rPr>
      </w:pPr>
      <w:bookmarkStart w:id="121" w:name="_Toc11563"/>
      <w:r>
        <w:rPr>
          <w:rFonts w:ascii="宋体" w:hAnsi="宋体"/>
          <w:sz w:val="24"/>
          <w:szCs w:val="24"/>
        </w:rPr>
        <w:t xml:space="preserve">7.2 </w:t>
      </w:r>
      <w:r>
        <w:rPr>
          <w:rFonts w:hint="eastAsia" w:ascii="宋体" w:hAnsi="宋体"/>
          <w:sz w:val="24"/>
          <w:szCs w:val="24"/>
        </w:rPr>
        <w:t>中标通知</w:t>
      </w:r>
      <w:bookmarkEnd w:id="119"/>
      <w:bookmarkEnd w:id="120"/>
      <w:bookmarkEnd w:id="121"/>
    </w:p>
    <w:p>
      <w:pPr>
        <w:spacing w:line="360" w:lineRule="auto"/>
        <w:ind w:firstLine="480" w:firstLineChars="200"/>
        <w:rPr>
          <w:rFonts w:ascii="宋体"/>
          <w:sz w:val="24"/>
        </w:rPr>
      </w:pPr>
      <w:r>
        <w:rPr>
          <w:rFonts w:hint="eastAsia" w:ascii="宋体" w:hAnsi="宋体"/>
          <w:sz w:val="24"/>
        </w:rPr>
        <w:t>在本章第</w:t>
      </w:r>
      <w:r>
        <w:rPr>
          <w:rFonts w:ascii="宋体" w:hAnsi="宋体"/>
          <w:sz w:val="24"/>
        </w:rPr>
        <w:t xml:space="preserve"> 3.3 </w:t>
      </w:r>
      <w:r>
        <w:rPr>
          <w:rFonts w:hint="eastAsia" w:ascii="宋体" w:hAnsi="宋体"/>
          <w:sz w:val="24"/>
        </w:rPr>
        <w:t>款规定的投标有效期内，采购人以书面形式向中标人发出中标通知书，同时将中标结果通知所有未中标的供应商。</w:t>
      </w:r>
    </w:p>
    <w:p>
      <w:pPr>
        <w:pStyle w:val="2"/>
        <w:spacing w:beforeLines="50"/>
        <w:rPr>
          <w:rFonts w:ascii="宋体"/>
          <w:sz w:val="24"/>
          <w:szCs w:val="24"/>
        </w:rPr>
      </w:pPr>
      <w:bookmarkStart w:id="122" w:name="_Toc234382632"/>
      <w:bookmarkStart w:id="123" w:name="_Toc9365"/>
      <w:bookmarkStart w:id="124" w:name="_Toc21243"/>
      <w:r>
        <w:rPr>
          <w:rFonts w:ascii="宋体" w:hAnsi="宋体"/>
          <w:sz w:val="24"/>
          <w:szCs w:val="24"/>
        </w:rPr>
        <w:t xml:space="preserve">7.3 </w:t>
      </w:r>
      <w:r>
        <w:rPr>
          <w:rFonts w:hint="eastAsia" w:ascii="宋体" w:hAnsi="宋体"/>
          <w:sz w:val="24"/>
          <w:szCs w:val="24"/>
        </w:rPr>
        <w:t>履约担保</w:t>
      </w:r>
      <w:bookmarkEnd w:id="122"/>
      <w:bookmarkEnd w:id="123"/>
      <w:bookmarkEnd w:id="124"/>
    </w:p>
    <w:p>
      <w:pPr>
        <w:spacing w:line="360" w:lineRule="auto"/>
        <w:rPr>
          <w:rFonts w:ascii="宋体"/>
          <w:sz w:val="24"/>
        </w:rPr>
      </w:pPr>
      <w:r>
        <w:rPr>
          <w:rFonts w:hint="eastAsia" w:ascii="宋体" w:hAnsi="宋体"/>
          <w:sz w:val="24"/>
        </w:rPr>
        <w:t>按照响应文件前附表要求提供履约保证金。</w:t>
      </w:r>
    </w:p>
    <w:p>
      <w:pPr>
        <w:pStyle w:val="2"/>
        <w:spacing w:beforeLines="50"/>
        <w:rPr>
          <w:rFonts w:ascii="宋体"/>
          <w:sz w:val="24"/>
          <w:szCs w:val="24"/>
        </w:rPr>
      </w:pPr>
      <w:bookmarkStart w:id="125" w:name="_Toc234382633"/>
      <w:bookmarkStart w:id="126" w:name="_Toc7632"/>
      <w:bookmarkStart w:id="127" w:name="_Toc22513"/>
      <w:r>
        <w:rPr>
          <w:rFonts w:ascii="宋体" w:hAnsi="宋体"/>
          <w:sz w:val="24"/>
          <w:szCs w:val="24"/>
        </w:rPr>
        <w:t xml:space="preserve">7.4 </w:t>
      </w:r>
      <w:r>
        <w:rPr>
          <w:rFonts w:hint="eastAsia" w:ascii="宋体" w:hAnsi="宋体"/>
          <w:sz w:val="24"/>
          <w:szCs w:val="24"/>
        </w:rPr>
        <w:t>签订合同</w:t>
      </w:r>
      <w:bookmarkEnd w:id="125"/>
      <w:bookmarkEnd w:id="126"/>
      <w:bookmarkEnd w:id="127"/>
    </w:p>
    <w:p>
      <w:pPr>
        <w:spacing w:line="360" w:lineRule="auto"/>
        <w:ind w:firstLine="480" w:firstLineChars="200"/>
        <w:rPr>
          <w:rFonts w:ascii="宋体"/>
          <w:sz w:val="24"/>
        </w:rPr>
      </w:pPr>
      <w:r>
        <w:rPr>
          <w:rFonts w:ascii="宋体" w:hAnsi="宋体"/>
          <w:sz w:val="24"/>
        </w:rPr>
        <w:t xml:space="preserve">7.4.1 </w:t>
      </w:r>
      <w:r>
        <w:rPr>
          <w:rFonts w:hint="eastAsia" w:ascii="宋体" w:hAnsi="宋体"/>
          <w:sz w:val="24"/>
        </w:rPr>
        <w:t>采购人和中标人应当自中标通知书发出之日起</w:t>
      </w:r>
      <w:r>
        <w:rPr>
          <w:rFonts w:ascii="宋体" w:hAnsi="宋体"/>
          <w:sz w:val="24"/>
        </w:rPr>
        <w:t>30</w:t>
      </w:r>
      <w:r>
        <w:rPr>
          <w:rFonts w:hint="eastAsia" w:ascii="宋体" w:hAnsi="宋体"/>
          <w:sz w:val="24"/>
        </w:rPr>
        <w:t>天内，根据响应文件和中标人的磋商文件订立书面合同。中标人无正当理由拒签合同的，采购人取消其中标资格，其磋商保证金不予退还；给采购人造成的损失超过磋商保证金数额的，中标人还应当对超过部分予以赔偿。</w:t>
      </w:r>
    </w:p>
    <w:p>
      <w:pPr>
        <w:spacing w:line="360" w:lineRule="auto"/>
        <w:ind w:firstLine="480" w:firstLineChars="200"/>
        <w:rPr>
          <w:rFonts w:ascii="宋体"/>
          <w:sz w:val="24"/>
        </w:rPr>
      </w:pPr>
      <w:r>
        <w:rPr>
          <w:rFonts w:ascii="宋体" w:hAnsi="宋体"/>
          <w:sz w:val="24"/>
        </w:rPr>
        <w:t xml:space="preserve">7.4.2 </w:t>
      </w:r>
      <w:r>
        <w:rPr>
          <w:rFonts w:hint="eastAsia" w:ascii="宋体" w:hAnsi="宋体"/>
          <w:sz w:val="24"/>
        </w:rPr>
        <w:t>合同协议书经双方法定代表人或其授权的代理人签署并加盖单位章后生效。发包人和中标人在签订合同协议书的同时需按照本磋商文件规定的格式和要求签订廉政合同及安全生产合同，明确双方在廉政建设安全生产方面的权利和义务以及应承担的违约责任。</w:t>
      </w:r>
    </w:p>
    <w:p>
      <w:pPr>
        <w:spacing w:line="360" w:lineRule="auto"/>
        <w:ind w:firstLine="480" w:firstLineChars="200"/>
        <w:rPr>
          <w:rFonts w:ascii="宋体"/>
          <w:sz w:val="24"/>
        </w:rPr>
      </w:pPr>
      <w:r>
        <w:rPr>
          <w:rFonts w:ascii="宋体" w:hAnsi="宋体"/>
          <w:sz w:val="24"/>
        </w:rPr>
        <w:t xml:space="preserve">7.4.3 </w:t>
      </w:r>
      <w:r>
        <w:rPr>
          <w:rFonts w:hint="eastAsia" w:ascii="宋体" w:hAnsi="宋体"/>
          <w:sz w:val="24"/>
        </w:rPr>
        <w:t>如果根据本章第</w:t>
      </w:r>
      <w:r>
        <w:rPr>
          <w:rFonts w:ascii="宋体" w:hAnsi="宋体"/>
          <w:sz w:val="24"/>
        </w:rPr>
        <w:t>7.4.1</w:t>
      </w:r>
      <w:r>
        <w:rPr>
          <w:rFonts w:hint="eastAsia" w:ascii="宋体" w:hAnsi="宋体"/>
          <w:sz w:val="24"/>
        </w:rPr>
        <w:t>项规定，采购人取消了中标人的中标资格，在此情况下，采购人可将合同授予下一个中标候选人，或者按规定重新组织磋商。</w:t>
      </w:r>
    </w:p>
    <w:p>
      <w:pPr>
        <w:pStyle w:val="2"/>
        <w:spacing w:beforeLines="50"/>
        <w:rPr>
          <w:rFonts w:ascii="宋体"/>
          <w:sz w:val="24"/>
          <w:szCs w:val="24"/>
        </w:rPr>
      </w:pPr>
      <w:bookmarkStart w:id="128" w:name="_Toc5618"/>
      <w:r>
        <w:rPr>
          <w:rFonts w:ascii="宋体" w:hAnsi="宋体"/>
          <w:sz w:val="24"/>
          <w:szCs w:val="24"/>
        </w:rPr>
        <w:t xml:space="preserve">7.5 </w:t>
      </w:r>
      <w:r>
        <w:rPr>
          <w:rFonts w:hint="eastAsia" w:ascii="宋体" w:hAnsi="宋体"/>
          <w:sz w:val="24"/>
          <w:szCs w:val="24"/>
        </w:rPr>
        <w:t>工程计价依据及投标报价方式</w:t>
      </w:r>
      <w:bookmarkEnd w:id="128"/>
    </w:p>
    <w:p>
      <w:pPr>
        <w:spacing w:line="360" w:lineRule="auto"/>
        <w:ind w:firstLine="480" w:firstLineChars="200"/>
        <w:rPr>
          <w:rFonts w:ascii="宋体"/>
          <w:color w:val="000000"/>
          <w:sz w:val="24"/>
        </w:rPr>
      </w:pPr>
      <w:r>
        <w:rPr>
          <w:rFonts w:ascii="宋体" w:hAnsi="宋体"/>
          <w:sz w:val="24"/>
        </w:rPr>
        <w:t>7.5.1</w:t>
      </w:r>
      <w:r>
        <w:rPr>
          <w:rFonts w:hint="eastAsia" w:ascii="宋体" w:hAnsi="宋体" w:cs="宋体"/>
          <w:color w:val="000000"/>
          <w:sz w:val="24"/>
        </w:rPr>
        <w:t>报价应该依照工程量清单计价规范以及相关定额进行计价。综合单价包括本工程施工过程中涉及的人工费、材料费、施工机械费、管理费、利润等，并考虑有关风险费用，且该综合单价不因市场的物价变动和政府文件、定额变更而调整。供应商需编制详细的预算报价，并对综合单价进行详细分析。</w:t>
      </w:r>
    </w:p>
    <w:p>
      <w:pPr>
        <w:spacing w:line="360" w:lineRule="auto"/>
        <w:ind w:firstLine="480" w:firstLineChars="200"/>
        <w:rPr>
          <w:rFonts w:ascii="宋体"/>
          <w:sz w:val="24"/>
        </w:rPr>
      </w:pPr>
      <w:r>
        <w:rPr>
          <w:rFonts w:hint="eastAsia" w:ascii="宋体" w:hAnsi="宋体" w:cs="宋体"/>
          <w:color w:val="000000"/>
          <w:sz w:val="24"/>
        </w:rPr>
        <w:t>供应商应仔细阅读项目说明和现场踏勘，若有误差或漏项必须在答疑时提出，否则视为已认同采购文件所反映的所有土建及安装工作内容。</w:t>
      </w:r>
    </w:p>
    <w:p>
      <w:pPr>
        <w:spacing w:line="360" w:lineRule="auto"/>
        <w:ind w:firstLine="482" w:firstLineChars="200"/>
        <w:rPr>
          <w:rFonts w:ascii="宋体"/>
          <w:b/>
          <w:bCs/>
          <w:sz w:val="24"/>
        </w:rPr>
      </w:pPr>
      <w:r>
        <w:rPr>
          <w:rFonts w:ascii="宋体" w:hAnsi="宋体"/>
          <w:b/>
          <w:bCs/>
          <w:sz w:val="24"/>
        </w:rPr>
        <w:t>7.5.2</w:t>
      </w:r>
      <w:r>
        <w:rPr>
          <w:rFonts w:hint="eastAsia" w:ascii="宋体" w:hAnsi="宋体" w:cs="宋体"/>
          <w:b/>
          <w:bCs/>
          <w:color w:val="000000"/>
          <w:sz w:val="24"/>
        </w:rPr>
        <w:t>本工程项目采用固定综合单价报价方式，报价完毕后，除经采购人同意的增减项目外，一律不得调整。报价单必须加盖单位公章，并经法人代表或委托授权人签字。</w:t>
      </w:r>
    </w:p>
    <w:p>
      <w:pPr>
        <w:spacing w:line="360" w:lineRule="auto"/>
        <w:ind w:firstLine="480" w:firstLineChars="200"/>
        <w:jc w:val="left"/>
        <w:rPr>
          <w:rFonts w:ascii="宋体"/>
          <w:sz w:val="24"/>
        </w:rPr>
      </w:pPr>
      <w:r>
        <w:rPr>
          <w:rFonts w:ascii="宋体" w:hAnsi="宋体"/>
          <w:sz w:val="24"/>
        </w:rPr>
        <w:t>7.5.3</w:t>
      </w:r>
      <w:r>
        <w:rPr>
          <w:rFonts w:hint="eastAsia" w:ascii="宋体" w:hAnsi="宋体"/>
          <w:sz w:val="24"/>
        </w:rPr>
        <w:t>供应商应充分了解工程的工地位置、道路、装卸限制及其他足以影响报价的情况；任何因忽视或误解工地道路等情况而导致的索赔或工期延长申请将不被批准。</w:t>
      </w:r>
    </w:p>
    <w:p>
      <w:pPr>
        <w:spacing w:line="360" w:lineRule="auto"/>
        <w:ind w:firstLine="480" w:firstLineChars="200"/>
        <w:rPr>
          <w:rFonts w:ascii="宋体"/>
          <w:color w:val="000000"/>
          <w:sz w:val="24"/>
        </w:rPr>
      </w:pPr>
      <w:r>
        <w:rPr>
          <w:rFonts w:ascii="宋体" w:hAnsi="宋体"/>
          <w:sz w:val="24"/>
        </w:rPr>
        <w:t>7.5.4</w:t>
      </w:r>
      <w:r>
        <w:rPr>
          <w:rFonts w:hint="eastAsia" w:ascii="宋体" w:hAnsi="宋体" w:cs="宋体"/>
          <w:color w:val="000000"/>
          <w:sz w:val="24"/>
        </w:rPr>
        <w:t>施工场地交通、环保、环卫、渣土和施工噪音管理、夜间施工等有关手续需供应商办理，此项工作及费用由供应商负责，报入总价。</w:t>
      </w:r>
    </w:p>
    <w:p>
      <w:pPr>
        <w:spacing w:line="360" w:lineRule="auto"/>
        <w:ind w:left="120" w:leftChars="57" w:firstLine="360" w:firstLineChars="150"/>
        <w:rPr>
          <w:rFonts w:ascii="宋体"/>
          <w:color w:val="000000"/>
          <w:sz w:val="24"/>
        </w:rPr>
      </w:pPr>
      <w:r>
        <w:rPr>
          <w:rFonts w:ascii="宋体" w:hAnsi="宋体"/>
          <w:sz w:val="24"/>
        </w:rPr>
        <w:t>7.5.5</w:t>
      </w:r>
      <w:r>
        <w:rPr>
          <w:rFonts w:hint="eastAsia" w:ascii="宋体" w:hAnsi="宋体" w:cs="宋体"/>
          <w:color w:val="000000"/>
          <w:sz w:val="24"/>
        </w:rPr>
        <w:t>垃圾外运费用需含在总价内（外运垃圾按相关部门指定的倒土场倾倒）。</w:t>
      </w:r>
    </w:p>
    <w:p>
      <w:pPr>
        <w:spacing w:line="360" w:lineRule="auto"/>
        <w:ind w:left="120" w:leftChars="57" w:firstLine="360" w:firstLineChars="150"/>
        <w:rPr>
          <w:rFonts w:ascii="宋体"/>
          <w:color w:val="000000"/>
          <w:sz w:val="24"/>
        </w:rPr>
      </w:pPr>
      <w:r>
        <w:rPr>
          <w:rFonts w:ascii="宋体" w:hAnsi="宋体"/>
          <w:sz w:val="24"/>
        </w:rPr>
        <w:t>7.5.6</w:t>
      </w:r>
      <w:r>
        <w:rPr>
          <w:rFonts w:hint="eastAsia" w:ascii="宋体" w:hAnsi="宋体" w:cs="宋体"/>
          <w:color w:val="000000"/>
          <w:sz w:val="24"/>
        </w:rPr>
        <w:t>拆除部分材料供应商需保管完好，由采购人统一进行处理。</w:t>
      </w:r>
    </w:p>
    <w:p>
      <w:pPr>
        <w:spacing w:line="360" w:lineRule="auto"/>
        <w:ind w:left="120" w:leftChars="57" w:firstLine="361" w:firstLineChars="150"/>
        <w:rPr>
          <w:rFonts w:ascii="宋体" w:cs="宋体"/>
          <w:color w:val="000000"/>
          <w:sz w:val="24"/>
        </w:rPr>
      </w:pPr>
      <w:r>
        <w:rPr>
          <w:rFonts w:ascii="宋体" w:hAnsi="宋体"/>
          <w:b/>
          <w:bCs/>
          <w:sz w:val="24"/>
        </w:rPr>
        <w:t>7.5.7</w:t>
      </w:r>
      <w:r>
        <w:rPr>
          <w:rFonts w:hint="eastAsia" w:ascii="宋体" w:hAnsi="宋体" w:cs="宋体"/>
          <w:color w:val="000000"/>
          <w:sz w:val="24"/>
        </w:rPr>
        <w:t>投标报价时应执行</w:t>
      </w:r>
      <w:r>
        <w:rPr>
          <w:rFonts w:ascii="宋体" w:hAnsi="宋体" w:cs="宋体"/>
          <w:color w:val="000000"/>
          <w:sz w:val="24"/>
        </w:rPr>
        <w:t>2016</w:t>
      </w:r>
      <w:r>
        <w:rPr>
          <w:rFonts w:hint="eastAsia" w:ascii="宋体" w:hAnsi="宋体" w:cs="宋体"/>
          <w:color w:val="000000"/>
          <w:sz w:val="24"/>
        </w:rPr>
        <w:t>版《山东省建设工程费用项目组成及计算规则》、</w:t>
      </w:r>
      <w:bookmarkStart w:id="129" w:name="OLE_LINK6"/>
      <w:bookmarkStart w:id="130" w:name="OLE_LINK5"/>
      <w:bookmarkStart w:id="131" w:name="OLE_LINK7"/>
      <w:r>
        <w:rPr>
          <w:rFonts w:hint="eastAsia" w:ascii="宋体" w:hAnsi="宋体" w:cs="宋体"/>
          <w:color w:val="000000"/>
          <w:sz w:val="24"/>
        </w:rPr>
        <w:t>济建标字【</w:t>
      </w:r>
      <w:r>
        <w:rPr>
          <w:rFonts w:ascii="宋体" w:hAnsi="宋体" w:cs="宋体"/>
          <w:color w:val="000000"/>
          <w:sz w:val="24"/>
        </w:rPr>
        <w:t>2017</w:t>
      </w: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号文；</w:t>
      </w:r>
      <w:bookmarkEnd w:id="129"/>
      <w:bookmarkEnd w:id="130"/>
      <w:bookmarkEnd w:id="131"/>
      <w:r>
        <w:rPr>
          <w:rFonts w:ascii="宋体" w:hAnsi="宋体" w:cs="宋体"/>
          <w:color w:val="000000"/>
          <w:sz w:val="24"/>
        </w:rPr>
        <w:t xml:space="preserve"> 2016</w:t>
      </w:r>
      <w:r>
        <w:rPr>
          <w:rFonts w:hint="eastAsia" w:ascii="宋体" w:hAnsi="宋体" w:cs="宋体"/>
          <w:color w:val="000000"/>
          <w:sz w:val="24"/>
        </w:rPr>
        <w:t>版《山东省建筑工程消耗量定额》和《山东省安装工程消耗量定额》；规费取费标准按照济建标字【</w:t>
      </w:r>
      <w:r>
        <w:rPr>
          <w:rFonts w:ascii="宋体" w:hAnsi="宋体" w:cs="宋体"/>
          <w:color w:val="000000"/>
          <w:sz w:val="24"/>
        </w:rPr>
        <w:t>2017</w:t>
      </w: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号文执行。</w:t>
      </w:r>
    </w:p>
    <w:p>
      <w:pPr>
        <w:spacing w:line="500" w:lineRule="exact"/>
        <w:rPr>
          <w:b/>
          <w:bCs/>
          <w:color w:val="000000"/>
          <w:sz w:val="24"/>
        </w:rPr>
      </w:pPr>
      <w:r>
        <w:rPr>
          <w:rFonts w:hint="eastAsia"/>
          <w:b/>
          <w:bCs/>
          <w:color w:val="000000"/>
          <w:sz w:val="24"/>
        </w:rPr>
        <w:t>规费和税金应按“规费、税金项目清单与计价表”所列项目并根据国家、省级或行业建设主管部门的有关规定列项和计算，不得作为竞争性费用，否则商务报价得</w:t>
      </w:r>
      <w:r>
        <w:rPr>
          <w:b/>
          <w:bCs/>
          <w:color w:val="000000"/>
          <w:sz w:val="24"/>
        </w:rPr>
        <w:t>0</w:t>
      </w:r>
      <w:r>
        <w:rPr>
          <w:rFonts w:hint="eastAsia"/>
          <w:b/>
          <w:bCs/>
          <w:color w:val="000000"/>
          <w:sz w:val="24"/>
        </w:rPr>
        <w:t>分，且不参与评标基准值计算。</w:t>
      </w:r>
    </w:p>
    <w:p>
      <w:pPr>
        <w:spacing w:line="420" w:lineRule="exact"/>
        <w:ind w:firstLine="482" w:firstLineChars="200"/>
        <w:rPr>
          <w:rFonts w:ascii="宋体"/>
          <w:color w:val="000000"/>
          <w:sz w:val="24"/>
        </w:rPr>
      </w:pPr>
      <w:r>
        <w:rPr>
          <w:rFonts w:hint="eastAsia"/>
          <w:b/>
          <w:bCs/>
          <w:color w:val="000000"/>
          <w:sz w:val="24"/>
        </w:rPr>
        <w:t>规费取费标准按照</w:t>
      </w:r>
      <w:r>
        <w:rPr>
          <w:rFonts w:hint="eastAsia" w:ascii="宋体" w:hAnsi="宋体"/>
          <w:b/>
          <w:color w:val="000000"/>
          <w:sz w:val="24"/>
        </w:rPr>
        <w:t>济建标字【</w:t>
      </w:r>
      <w:r>
        <w:rPr>
          <w:rFonts w:ascii="宋体" w:hAnsi="宋体"/>
          <w:b/>
          <w:color w:val="000000"/>
          <w:sz w:val="24"/>
        </w:rPr>
        <w:t>2017</w:t>
      </w:r>
      <w:r>
        <w:rPr>
          <w:rFonts w:hint="eastAsia" w:ascii="宋体" w:hAnsi="宋体"/>
          <w:b/>
          <w:color w:val="000000"/>
          <w:sz w:val="24"/>
        </w:rPr>
        <w:t>】</w:t>
      </w:r>
      <w:r>
        <w:rPr>
          <w:rFonts w:ascii="宋体" w:hAnsi="宋体"/>
          <w:b/>
          <w:color w:val="000000"/>
          <w:sz w:val="24"/>
        </w:rPr>
        <w:t>1</w:t>
      </w:r>
      <w:r>
        <w:rPr>
          <w:rFonts w:hint="eastAsia" w:ascii="宋体" w:hAnsi="宋体"/>
          <w:b/>
          <w:color w:val="000000"/>
          <w:sz w:val="24"/>
        </w:rPr>
        <w:t>号文</w:t>
      </w:r>
      <w:r>
        <w:rPr>
          <w:rFonts w:hint="eastAsia"/>
          <w:b/>
          <w:bCs/>
          <w:color w:val="000000"/>
          <w:sz w:val="24"/>
        </w:rPr>
        <w:t>执行，</w:t>
      </w:r>
      <w:r>
        <w:rPr>
          <w:rFonts w:hint="eastAsia" w:ascii="宋体" w:hAnsi="宋体"/>
          <w:b/>
          <w:color w:val="000000"/>
          <w:sz w:val="24"/>
        </w:rPr>
        <w:t>其中：社会保险费和</w:t>
      </w:r>
      <w:r>
        <w:rPr>
          <w:rFonts w:hint="eastAsia" w:ascii="宋体" w:hAnsi="宋体" w:cs="宋体"/>
          <w:b/>
          <w:bCs/>
          <w:color w:val="000000"/>
          <w:sz w:val="24"/>
        </w:rPr>
        <w:t>建设项目工伤保险费</w:t>
      </w:r>
      <w:r>
        <w:rPr>
          <w:rFonts w:hint="eastAsia" w:ascii="宋体" w:hAnsi="宋体"/>
          <w:b/>
          <w:color w:val="000000"/>
          <w:sz w:val="24"/>
        </w:rPr>
        <w:t>应包含在投标报价中。</w:t>
      </w:r>
    </w:p>
    <w:p>
      <w:pPr>
        <w:autoSpaceDE w:val="0"/>
        <w:autoSpaceDN w:val="0"/>
        <w:adjustRightInd w:val="0"/>
        <w:snapToGrid w:val="0"/>
        <w:spacing w:line="400" w:lineRule="exact"/>
        <w:jc w:val="center"/>
        <w:rPr>
          <w:rFonts w:ascii="宋体" w:cs="宋体"/>
          <w:b/>
          <w:kern w:val="0"/>
          <w:sz w:val="24"/>
        </w:rPr>
      </w:pPr>
    </w:p>
    <w:p>
      <w:pPr>
        <w:autoSpaceDE w:val="0"/>
        <w:autoSpaceDN w:val="0"/>
        <w:adjustRightInd w:val="0"/>
        <w:snapToGrid w:val="0"/>
        <w:spacing w:line="400" w:lineRule="exact"/>
        <w:jc w:val="center"/>
        <w:rPr>
          <w:rFonts w:ascii="宋体" w:cs="宋体"/>
          <w:b/>
          <w:kern w:val="0"/>
          <w:sz w:val="24"/>
        </w:rPr>
      </w:pPr>
    </w:p>
    <w:p>
      <w:pPr>
        <w:autoSpaceDE w:val="0"/>
        <w:autoSpaceDN w:val="0"/>
        <w:adjustRightInd w:val="0"/>
        <w:snapToGrid w:val="0"/>
        <w:spacing w:line="400" w:lineRule="exact"/>
        <w:jc w:val="center"/>
        <w:rPr>
          <w:rFonts w:ascii="宋体" w:cs="宋体"/>
          <w:b/>
          <w:kern w:val="0"/>
          <w:sz w:val="24"/>
        </w:rPr>
      </w:pPr>
      <w:r>
        <w:rPr>
          <w:rFonts w:hint="eastAsia" w:ascii="宋体" w:hAnsi="宋体" w:cs="宋体"/>
          <w:b/>
          <w:kern w:val="0"/>
          <w:sz w:val="24"/>
        </w:rPr>
        <w:t>规费取费标准（建筑、安装工程规费费率）</w:t>
      </w:r>
    </w:p>
    <w:p>
      <w:pPr>
        <w:autoSpaceDE w:val="0"/>
        <w:autoSpaceDN w:val="0"/>
        <w:adjustRightInd w:val="0"/>
        <w:snapToGrid w:val="0"/>
        <w:spacing w:line="400" w:lineRule="exact"/>
        <w:jc w:val="right"/>
        <w:rPr>
          <w:rFonts w:ascii="宋体" w:cs="宋体"/>
          <w:b/>
          <w:kern w:val="0"/>
          <w:sz w:val="24"/>
        </w:rPr>
      </w:pPr>
      <w:r>
        <w:rPr>
          <w:rFonts w:hint="eastAsia" w:ascii="宋体" w:hAnsi="宋体" w:cs="宋体"/>
          <w:b/>
          <w:kern w:val="0"/>
          <w:sz w:val="24"/>
        </w:rPr>
        <w:t>单位：</w:t>
      </w:r>
      <w:r>
        <w:rPr>
          <w:rFonts w:ascii="宋体" w:hAnsi="宋体" w:cs="宋体"/>
          <w:b/>
          <w:kern w:val="0"/>
          <w:sz w:val="24"/>
        </w:rPr>
        <w:t>%</w:t>
      </w:r>
    </w:p>
    <w:tbl>
      <w:tblPr>
        <w:tblStyle w:val="16"/>
        <w:tblpPr w:leftFromText="180" w:rightFromText="180" w:vertAnchor="text" w:horzAnchor="page" w:tblpX="1720" w:tblpY="295"/>
        <w:tblOverlap w:val="never"/>
        <w:tblW w:w="8646" w:type="dxa"/>
        <w:tblInd w:w="0" w:type="dxa"/>
        <w:tblLayout w:type="fixed"/>
        <w:tblCellMar>
          <w:top w:w="0" w:type="dxa"/>
          <w:left w:w="108" w:type="dxa"/>
          <w:bottom w:w="0" w:type="dxa"/>
          <w:right w:w="108" w:type="dxa"/>
        </w:tblCellMar>
      </w:tblPr>
      <w:tblGrid>
        <w:gridCol w:w="2840"/>
        <w:gridCol w:w="1812"/>
        <w:gridCol w:w="1894"/>
        <w:gridCol w:w="2100"/>
      </w:tblGrid>
      <w:tr>
        <w:tblPrEx>
          <w:tblLayout w:type="fixed"/>
          <w:tblCellMar>
            <w:top w:w="0" w:type="dxa"/>
            <w:left w:w="108" w:type="dxa"/>
            <w:bottom w:w="0" w:type="dxa"/>
            <w:right w:w="108" w:type="dxa"/>
          </w:tblCellMar>
        </w:tblPrEx>
        <w:trPr>
          <w:trHeight w:val="454" w:hRule="atLeast"/>
        </w:trPr>
        <w:tc>
          <w:tcPr>
            <w:tcW w:w="2840" w:type="dxa"/>
            <w:vMerge w:val="restart"/>
            <w:tcBorders>
              <w:top w:val="single" w:color="auto" w:sz="6" w:space="0"/>
              <w:left w:val="single" w:color="auto" w:sz="6" w:space="0"/>
              <w:bottom w:val="single" w:color="auto" w:sz="6" w:space="0"/>
              <w:right w:val="single" w:color="auto" w:sz="6" w:space="0"/>
              <w:tl2br w:val="single" w:color="auto" w:sz="6" w:space="0"/>
            </w:tcBorders>
            <w:vAlign w:val="center"/>
          </w:tcPr>
          <w:p>
            <w:pPr>
              <w:spacing w:line="300" w:lineRule="exact"/>
              <w:jc w:val="center"/>
              <w:rPr>
                <w:rFonts w:ascii="宋体" w:cs="宋体"/>
                <w:bCs/>
                <w:kern w:val="0"/>
                <w:szCs w:val="21"/>
              </w:rPr>
            </w:pPr>
            <w:r>
              <w:rPr>
                <w:rFonts w:hint="eastAsia" w:ascii="宋体" w:hAnsi="宋体" w:cs="宋体"/>
                <w:bCs/>
                <w:kern w:val="0"/>
                <w:szCs w:val="21"/>
              </w:rPr>
              <w:t>专业名称</w:t>
            </w:r>
          </w:p>
          <w:p>
            <w:pPr>
              <w:spacing w:line="300" w:lineRule="exact"/>
              <w:ind w:firstLine="105" w:firstLineChars="50"/>
              <w:rPr>
                <w:rFonts w:ascii="宋体" w:cs="宋体"/>
                <w:bCs/>
                <w:kern w:val="0"/>
                <w:szCs w:val="21"/>
              </w:rPr>
            </w:pPr>
          </w:p>
          <w:p>
            <w:pPr>
              <w:spacing w:line="300" w:lineRule="exact"/>
              <w:ind w:firstLine="105" w:firstLineChars="50"/>
              <w:rPr>
                <w:rFonts w:ascii="宋体" w:cs="宋体"/>
                <w:bCs/>
                <w:szCs w:val="21"/>
              </w:rPr>
            </w:pPr>
            <w:r>
              <w:rPr>
                <w:rFonts w:hint="eastAsia" w:ascii="宋体" w:hAnsi="宋体" w:cs="宋体"/>
                <w:bCs/>
                <w:kern w:val="0"/>
                <w:szCs w:val="21"/>
              </w:rPr>
              <w:t>费用名称</w:t>
            </w:r>
          </w:p>
        </w:tc>
        <w:tc>
          <w:tcPr>
            <w:tcW w:w="3706"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建筑工程</w:t>
            </w:r>
          </w:p>
        </w:tc>
        <w:tc>
          <w:tcPr>
            <w:tcW w:w="2100" w:type="dxa"/>
            <w:vMerge w:val="restart"/>
            <w:tcBorders>
              <w:top w:val="single" w:color="auto" w:sz="6" w:space="0"/>
              <w:left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安装工程</w:t>
            </w:r>
          </w:p>
        </w:tc>
      </w:tr>
      <w:tr>
        <w:tblPrEx>
          <w:tblLayout w:type="fixed"/>
          <w:tblCellMar>
            <w:top w:w="0" w:type="dxa"/>
            <w:left w:w="108" w:type="dxa"/>
            <w:bottom w:w="0" w:type="dxa"/>
            <w:right w:w="108" w:type="dxa"/>
          </w:tblCellMar>
        </w:tblPrEx>
        <w:trPr>
          <w:trHeight w:val="448" w:hRule="atLeast"/>
        </w:trPr>
        <w:tc>
          <w:tcPr>
            <w:tcW w:w="2840" w:type="dxa"/>
            <w:vMerge w:val="continue"/>
            <w:tcBorders>
              <w:left w:val="single" w:color="auto" w:sz="6" w:space="0"/>
              <w:bottom w:val="single" w:color="auto" w:sz="6" w:space="0"/>
              <w:right w:val="single" w:color="auto" w:sz="6" w:space="0"/>
              <w:tl2br w:val="single" w:color="auto" w:sz="6" w:space="0"/>
            </w:tcBorders>
            <w:vAlign w:val="center"/>
          </w:tcPr>
          <w:p>
            <w:pPr>
              <w:spacing w:line="300" w:lineRule="exact"/>
              <w:jc w:val="center"/>
              <w:rPr>
                <w:rFonts w:ascii="宋体" w:cs="宋体"/>
                <w:bCs/>
                <w:szCs w:val="21"/>
              </w:rPr>
            </w:pP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建筑工程</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装饰工程</w:t>
            </w:r>
          </w:p>
        </w:tc>
        <w:tc>
          <w:tcPr>
            <w:tcW w:w="2100" w:type="dxa"/>
            <w:vMerge w:val="continue"/>
            <w:tcBorders>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p>
        </w:tc>
      </w:tr>
      <w:tr>
        <w:tblPrEx>
          <w:tblLayout w:type="fixed"/>
          <w:tblCellMar>
            <w:top w:w="0" w:type="dxa"/>
            <w:left w:w="108" w:type="dxa"/>
            <w:bottom w:w="0" w:type="dxa"/>
            <w:right w:w="108" w:type="dxa"/>
          </w:tblCellMar>
        </w:tblPrEx>
        <w:trPr>
          <w:trHeight w:val="490" w:hRule="exact"/>
        </w:trPr>
        <w:tc>
          <w:tcPr>
            <w:tcW w:w="284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安全文明施工费</w:t>
            </w: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hAnsi="宋体" w:cs="宋体"/>
                <w:bCs/>
                <w:szCs w:val="21"/>
              </w:rPr>
            </w:pPr>
            <w:r>
              <w:rPr>
                <w:rFonts w:ascii="宋体" w:hAnsi="宋体" w:cs="宋体"/>
                <w:bCs/>
                <w:szCs w:val="21"/>
              </w:rPr>
              <w:t>3.70</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hAnsi="宋体" w:cs="宋体"/>
                <w:bCs/>
                <w:szCs w:val="21"/>
              </w:rPr>
            </w:pPr>
            <w:r>
              <w:rPr>
                <w:rFonts w:ascii="宋体" w:hAnsi="宋体" w:cs="宋体"/>
                <w:bCs/>
                <w:szCs w:val="21"/>
              </w:rPr>
              <w:t>4.15</w:t>
            </w:r>
          </w:p>
        </w:tc>
        <w:tc>
          <w:tcPr>
            <w:tcW w:w="210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4.98</w:t>
            </w:r>
          </w:p>
        </w:tc>
      </w:tr>
      <w:tr>
        <w:tblPrEx>
          <w:tblLayout w:type="fixed"/>
          <w:tblCellMar>
            <w:top w:w="0" w:type="dxa"/>
            <w:left w:w="108" w:type="dxa"/>
            <w:bottom w:w="0" w:type="dxa"/>
            <w:right w:w="108" w:type="dxa"/>
          </w:tblCellMar>
        </w:tblPrEx>
        <w:trPr>
          <w:trHeight w:val="514" w:hRule="exact"/>
        </w:trPr>
        <w:tc>
          <w:tcPr>
            <w:tcW w:w="284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其中：（</w:t>
            </w:r>
            <w:r>
              <w:rPr>
                <w:rFonts w:ascii="宋体" w:hAnsi="宋体" w:cs="宋体"/>
                <w:bCs/>
                <w:kern w:val="0"/>
                <w:szCs w:val="21"/>
              </w:rPr>
              <w:t>1</w:t>
            </w:r>
            <w:r>
              <w:rPr>
                <w:rFonts w:hint="eastAsia" w:ascii="宋体" w:hAnsi="宋体" w:cs="宋体"/>
                <w:bCs/>
                <w:kern w:val="0"/>
                <w:szCs w:val="21"/>
              </w:rPr>
              <w:t>）安全施工费</w:t>
            </w: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2.34</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2.34</w:t>
            </w:r>
          </w:p>
        </w:tc>
        <w:tc>
          <w:tcPr>
            <w:tcW w:w="210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2.34</w:t>
            </w:r>
          </w:p>
        </w:tc>
      </w:tr>
      <w:tr>
        <w:tblPrEx>
          <w:tblLayout w:type="fixed"/>
          <w:tblCellMar>
            <w:top w:w="0" w:type="dxa"/>
            <w:left w:w="108" w:type="dxa"/>
            <w:bottom w:w="0" w:type="dxa"/>
            <w:right w:w="108" w:type="dxa"/>
          </w:tblCellMar>
        </w:tblPrEx>
        <w:trPr>
          <w:trHeight w:val="397" w:hRule="exact"/>
        </w:trPr>
        <w:tc>
          <w:tcPr>
            <w:tcW w:w="284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w:t>
            </w:r>
            <w:r>
              <w:rPr>
                <w:rFonts w:ascii="宋体" w:hAnsi="宋体" w:cs="宋体"/>
                <w:bCs/>
                <w:kern w:val="0"/>
                <w:szCs w:val="21"/>
              </w:rPr>
              <w:t>2</w:t>
            </w:r>
            <w:r>
              <w:rPr>
                <w:rFonts w:hint="eastAsia" w:ascii="宋体" w:hAnsi="宋体" w:cs="宋体"/>
                <w:bCs/>
                <w:kern w:val="0"/>
                <w:szCs w:val="21"/>
              </w:rPr>
              <w:t>）环境保护费</w:t>
            </w: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0.11</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0.12</w:t>
            </w:r>
          </w:p>
        </w:tc>
        <w:tc>
          <w:tcPr>
            <w:tcW w:w="210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0.29</w:t>
            </w:r>
          </w:p>
        </w:tc>
      </w:tr>
      <w:tr>
        <w:tblPrEx>
          <w:tblLayout w:type="fixed"/>
          <w:tblCellMar>
            <w:top w:w="0" w:type="dxa"/>
            <w:left w:w="108" w:type="dxa"/>
            <w:bottom w:w="0" w:type="dxa"/>
            <w:right w:w="108" w:type="dxa"/>
          </w:tblCellMar>
        </w:tblPrEx>
        <w:trPr>
          <w:trHeight w:val="390" w:hRule="exact"/>
        </w:trPr>
        <w:tc>
          <w:tcPr>
            <w:tcW w:w="284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w:t>
            </w:r>
            <w:r>
              <w:rPr>
                <w:rFonts w:ascii="宋体" w:hAnsi="宋体" w:cs="宋体"/>
                <w:bCs/>
                <w:kern w:val="0"/>
                <w:szCs w:val="21"/>
              </w:rPr>
              <w:t>3</w:t>
            </w:r>
            <w:r>
              <w:rPr>
                <w:rFonts w:hint="eastAsia" w:ascii="宋体" w:hAnsi="宋体" w:cs="宋体"/>
                <w:bCs/>
                <w:kern w:val="0"/>
                <w:szCs w:val="21"/>
              </w:rPr>
              <w:t>）文明施工费</w:t>
            </w: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0.54</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0.10</w:t>
            </w:r>
          </w:p>
        </w:tc>
        <w:tc>
          <w:tcPr>
            <w:tcW w:w="210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0.59</w:t>
            </w:r>
          </w:p>
        </w:tc>
      </w:tr>
      <w:tr>
        <w:tblPrEx>
          <w:tblLayout w:type="fixed"/>
          <w:tblCellMar>
            <w:top w:w="0" w:type="dxa"/>
            <w:left w:w="108" w:type="dxa"/>
            <w:bottom w:w="0" w:type="dxa"/>
            <w:right w:w="108" w:type="dxa"/>
          </w:tblCellMar>
        </w:tblPrEx>
        <w:trPr>
          <w:trHeight w:val="540" w:hRule="exact"/>
        </w:trPr>
        <w:tc>
          <w:tcPr>
            <w:tcW w:w="2840"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w:t>
            </w:r>
            <w:r>
              <w:rPr>
                <w:rFonts w:ascii="宋体" w:hAnsi="宋体" w:cs="宋体"/>
                <w:bCs/>
                <w:kern w:val="0"/>
                <w:szCs w:val="21"/>
              </w:rPr>
              <w:t>4</w:t>
            </w:r>
            <w:r>
              <w:rPr>
                <w:rFonts w:hint="eastAsia" w:ascii="宋体" w:hAnsi="宋体" w:cs="宋体"/>
                <w:bCs/>
                <w:kern w:val="0"/>
                <w:szCs w:val="21"/>
              </w:rPr>
              <w:t>）临时设施费</w:t>
            </w:r>
          </w:p>
        </w:tc>
        <w:tc>
          <w:tcPr>
            <w:tcW w:w="1812"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0.71</w:t>
            </w:r>
          </w:p>
        </w:tc>
        <w:tc>
          <w:tcPr>
            <w:tcW w:w="1894"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cs="宋体"/>
                <w:bCs/>
                <w:szCs w:val="21"/>
              </w:rPr>
            </w:pPr>
            <w:r>
              <w:rPr>
                <w:rFonts w:ascii="宋体" w:hAnsi="宋体" w:cs="宋体"/>
                <w:bCs/>
                <w:kern w:val="0"/>
                <w:szCs w:val="21"/>
              </w:rPr>
              <w:t>1.59</w:t>
            </w:r>
          </w:p>
        </w:tc>
        <w:tc>
          <w:tcPr>
            <w:tcW w:w="2100" w:type="dxa"/>
            <w:tcBorders>
              <w:top w:val="single" w:color="auto" w:sz="6" w:space="0"/>
              <w:left w:val="single" w:color="auto" w:sz="6" w:space="0"/>
              <w:bottom w:val="single" w:color="auto" w:sz="6" w:space="0"/>
              <w:right w:val="single" w:color="auto" w:sz="4" w:space="0"/>
            </w:tcBorders>
            <w:vAlign w:val="center"/>
          </w:tcPr>
          <w:p>
            <w:pPr>
              <w:spacing w:line="300" w:lineRule="exact"/>
              <w:jc w:val="center"/>
              <w:rPr>
                <w:rFonts w:ascii="宋体" w:cs="宋体"/>
                <w:bCs/>
                <w:szCs w:val="21"/>
              </w:rPr>
            </w:pPr>
            <w:r>
              <w:rPr>
                <w:rFonts w:ascii="宋体" w:hAnsi="宋体" w:cs="宋体"/>
                <w:bCs/>
                <w:kern w:val="0"/>
                <w:szCs w:val="21"/>
              </w:rPr>
              <w:t>1.76</w:t>
            </w:r>
          </w:p>
        </w:tc>
      </w:tr>
      <w:tr>
        <w:tblPrEx>
          <w:tblLayout w:type="fixed"/>
          <w:tblCellMar>
            <w:top w:w="0" w:type="dxa"/>
            <w:left w:w="108" w:type="dxa"/>
            <w:bottom w:w="0" w:type="dxa"/>
            <w:right w:w="108" w:type="dxa"/>
          </w:tblCellMar>
        </w:tblPrEx>
        <w:trPr>
          <w:trHeight w:val="392" w:hRule="exact"/>
        </w:trPr>
        <w:tc>
          <w:tcPr>
            <w:tcW w:w="2840"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rFonts w:ascii="宋体" w:cs="宋体"/>
                <w:bCs/>
                <w:szCs w:val="21"/>
              </w:rPr>
            </w:pPr>
            <w:r>
              <w:rPr>
                <w:rFonts w:hint="eastAsia" w:ascii="宋体" w:hAnsi="宋体" w:cs="宋体"/>
                <w:bCs/>
                <w:kern w:val="0"/>
                <w:szCs w:val="21"/>
              </w:rPr>
              <w:t>工程排污费</w:t>
            </w:r>
          </w:p>
        </w:tc>
        <w:tc>
          <w:tcPr>
            <w:tcW w:w="5806" w:type="dxa"/>
            <w:gridSpan w:val="3"/>
            <w:tcBorders>
              <w:top w:val="single" w:color="auto" w:sz="6" w:space="0"/>
              <w:left w:val="single" w:color="auto" w:sz="6" w:space="0"/>
              <w:bottom w:val="single" w:color="auto" w:sz="4" w:space="0"/>
              <w:right w:val="single" w:color="auto" w:sz="4" w:space="0"/>
            </w:tcBorders>
            <w:vAlign w:val="center"/>
          </w:tcPr>
          <w:p>
            <w:pPr>
              <w:spacing w:line="300" w:lineRule="exact"/>
              <w:jc w:val="center"/>
              <w:rPr>
                <w:rFonts w:ascii="宋体" w:cs="宋体"/>
                <w:bCs/>
                <w:szCs w:val="21"/>
              </w:rPr>
            </w:pPr>
            <w:r>
              <w:rPr>
                <w:rFonts w:ascii="宋体" w:hAnsi="宋体" w:cs="宋体"/>
                <w:bCs/>
                <w:kern w:val="0"/>
                <w:szCs w:val="21"/>
              </w:rPr>
              <w:t>0.27</w:t>
            </w:r>
          </w:p>
        </w:tc>
      </w:tr>
      <w:tr>
        <w:tblPrEx>
          <w:tblLayout w:type="fixed"/>
          <w:tblCellMar>
            <w:top w:w="0" w:type="dxa"/>
            <w:left w:w="108" w:type="dxa"/>
            <w:bottom w:w="0" w:type="dxa"/>
            <w:right w:w="108" w:type="dxa"/>
          </w:tblCellMar>
        </w:tblPrEx>
        <w:trPr>
          <w:trHeight w:val="987" w:hRule="exact"/>
        </w:trPr>
        <w:tc>
          <w:tcPr>
            <w:tcW w:w="28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bCs/>
                <w:szCs w:val="21"/>
              </w:rPr>
            </w:pPr>
            <w:r>
              <w:rPr>
                <w:rFonts w:hint="eastAsia" w:ascii="宋体" w:hAnsi="宋体" w:cs="宋体"/>
                <w:bCs/>
                <w:kern w:val="0"/>
                <w:szCs w:val="21"/>
              </w:rPr>
              <w:t>社会保障费</w:t>
            </w:r>
          </w:p>
        </w:tc>
        <w:tc>
          <w:tcPr>
            <w:tcW w:w="58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Cs/>
                <w:kern w:val="0"/>
                <w:szCs w:val="21"/>
              </w:rPr>
            </w:pPr>
            <w:r>
              <w:rPr>
                <w:rFonts w:ascii="宋体" w:hAnsi="宋体" w:cs="宋体"/>
                <w:bCs/>
                <w:kern w:val="0"/>
                <w:szCs w:val="21"/>
              </w:rPr>
              <w:t>1.52</w:t>
            </w:r>
          </w:p>
          <w:p>
            <w:pPr>
              <w:spacing w:line="300" w:lineRule="exact"/>
              <w:jc w:val="center"/>
              <w:rPr>
                <w:rFonts w:ascii="宋体" w:cs="宋体"/>
                <w:bCs/>
                <w:kern w:val="0"/>
                <w:szCs w:val="21"/>
              </w:rPr>
            </w:pPr>
            <w:r>
              <w:rPr>
                <w:rFonts w:hint="eastAsia" w:ascii="宋体" w:hAnsi="宋体" w:cs="宋体"/>
                <w:bCs/>
                <w:kern w:val="0"/>
                <w:szCs w:val="21"/>
              </w:rPr>
              <w:t>（房建施工企业在投标报价时，</w:t>
            </w:r>
          </w:p>
          <w:p>
            <w:pPr>
              <w:spacing w:line="300" w:lineRule="exact"/>
              <w:jc w:val="center"/>
              <w:rPr>
                <w:rFonts w:ascii="宋体" w:cs="宋体"/>
                <w:bCs/>
                <w:kern w:val="0"/>
                <w:szCs w:val="21"/>
              </w:rPr>
            </w:pPr>
            <w:r>
              <w:rPr>
                <w:rFonts w:hint="eastAsia" w:ascii="宋体" w:hAnsi="宋体" w:cs="宋体"/>
                <w:bCs/>
                <w:kern w:val="0"/>
                <w:szCs w:val="21"/>
              </w:rPr>
              <w:t>该项费用不计入总报价，仅计取税金）</w:t>
            </w:r>
          </w:p>
        </w:tc>
      </w:tr>
      <w:tr>
        <w:tblPrEx>
          <w:tblLayout w:type="fixed"/>
          <w:tblCellMar>
            <w:top w:w="0" w:type="dxa"/>
            <w:left w:w="108" w:type="dxa"/>
            <w:bottom w:w="0" w:type="dxa"/>
            <w:right w:w="108" w:type="dxa"/>
          </w:tblCellMar>
        </w:tblPrEx>
        <w:trPr>
          <w:trHeight w:val="466" w:hRule="exact"/>
        </w:trPr>
        <w:tc>
          <w:tcPr>
            <w:tcW w:w="28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bCs/>
                <w:szCs w:val="21"/>
              </w:rPr>
            </w:pPr>
            <w:r>
              <w:rPr>
                <w:rFonts w:hint="eastAsia" w:ascii="宋体" w:hAnsi="宋体" w:cs="宋体"/>
                <w:bCs/>
                <w:kern w:val="0"/>
                <w:szCs w:val="21"/>
              </w:rPr>
              <w:t>住房公积金</w:t>
            </w:r>
          </w:p>
        </w:tc>
        <w:tc>
          <w:tcPr>
            <w:tcW w:w="58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bCs/>
                <w:szCs w:val="21"/>
              </w:rPr>
            </w:pPr>
            <w:r>
              <w:rPr>
                <w:rFonts w:ascii="宋体" w:hAnsi="宋体" w:cs="宋体"/>
                <w:bCs/>
                <w:kern w:val="0"/>
                <w:szCs w:val="21"/>
              </w:rPr>
              <w:t>0.21</w:t>
            </w:r>
          </w:p>
        </w:tc>
      </w:tr>
      <w:tr>
        <w:tblPrEx>
          <w:tblLayout w:type="fixed"/>
          <w:tblCellMar>
            <w:top w:w="0" w:type="dxa"/>
            <w:left w:w="108" w:type="dxa"/>
            <w:bottom w:w="0" w:type="dxa"/>
            <w:right w:w="108" w:type="dxa"/>
          </w:tblCellMar>
        </w:tblPrEx>
        <w:trPr>
          <w:trHeight w:val="417" w:hRule="exact"/>
        </w:trPr>
        <w:tc>
          <w:tcPr>
            <w:tcW w:w="284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bCs/>
                <w:szCs w:val="21"/>
              </w:rPr>
            </w:pPr>
            <w:r>
              <w:rPr>
                <w:rFonts w:hint="eastAsia" w:ascii="宋体" w:hAnsi="宋体" w:cs="宋体"/>
                <w:bCs/>
                <w:kern w:val="0"/>
                <w:szCs w:val="21"/>
              </w:rPr>
              <w:t>建设项目工伤保险</w:t>
            </w:r>
          </w:p>
        </w:tc>
        <w:tc>
          <w:tcPr>
            <w:tcW w:w="58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bCs/>
                <w:szCs w:val="21"/>
              </w:rPr>
            </w:pPr>
            <w:r>
              <w:rPr>
                <w:rFonts w:ascii="宋体" w:hAnsi="宋体" w:cs="宋体"/>
                <w:bCs/>
                <w:kern w:val="0"/>
                <w:szCs w:val="21"/>
              </w:rPr>
              <w:t>0.24</w:t>
            </w:r>
          </w:p>
        </w:tc>
      </w:tr>
    </w:tbl>
    <w:p>
      <w:pPr>
        <w:spacing w:line="500" w:lineRule="exact"/>
        <w:rPr>
          <w:rFonts w:ascii="宋体" w:cs="宋体"/>
          <w:b/>
          <w:bCs/>
        </w:rPr>
      </w:pPr>
      <w:r>
        <w:rPr>
          <w:rFonts w:hint="eastAsia" w:ascii="宋体" w:hAnsi="宋体" w:cs="宋体"/>
          <w:b/>
          <w:color w:val="000000"/>
        </w:rPr>
        <w:t>说明：根据项目要求，土建部分、装饰部分、安装部分分别取费。其中，</w:t>
      </w:r>
      <w:r>
        <w:rPr>
          <w:rFonts w:hint="eastAsia" w:ascii="宋体" w:hAnsi="宋体" w:cs="宋体"/>
          <w:b/>
          <w:bCs/>
          <w:szCs w:val="21"/>
        </w:rPr>
        <w:t>安装工程安全文明施工费费率为：</w:t>
      </w:r>
      <w:r>
        <w:rPr>
          <w:rFonts w:ascii="宋体" w:hAnsi="宋体" w:cs="宋体"/>
          <w:b/>
          <w:bCs/>
          <w:szCs w:val="21"/>
        </w:rPr>
        <w:t>4.98%</w:t>
      </w:r>
      <w:r>
        <w:rPr>
          <w:rFonts w:hint="eastAsia" w:ascii="宋体" w:hAnsi="宋体" w:cs="宋体"/>
          <w:b/>
          <w:bCs/>
          <w:szCs w:val="21"/>
        </w:rPr>
        <w:t>，安装工程安全施工费费率为：</w:t>
      </w:r>
      <w:r>
        <w:rPr>
          <w:rFonts w:ascii="宋体" w:hAnsi="宋体" w:cs="宋体"/>
          <w:b/>
          <w:bCs/>
          <w:szCs w:val="21"/>
        </w:rPr>
        <w:t>2.34%</w:t>
      </w:r>
      <w:r>
        <w:rPr>
          <w:rFonts w:hint="eastAsia" w:ascii="宋体" w:hAnsi="宋体" w:cs="宋体"/>
          <w:b/>
          <w:bCs/>
          <w:szCs w:val="21"/>
        </w:rPr>
        <w:t>，。</w:t>
      </w:r>
    </w:p>
    <w:p>
      <w:pPr>
        <w:autoSpaceDE w:val="0"/>
        <w:autoSpaceDN w:val="0"/>
        <w:adjustRightInd w:val="0"/>
        <w:snapToGrid w:val="0"/>
        <w:spacing w:line="500" w:lineRule="exact"/>
        <w:jc w:val="center"/>
        <w:rPr>
          <w:rFonts w:ascii="宋体" w:cs="宋体"/>
          <w:b/>
          <w:color w:val="000000"/>
          <w:kern w:val="0"/>
        </w:rPr>
      </w:pPr>
      <w:bookmarkStart w:id="132" w:name="_Toc234382634"/>
      <w:bookmarkStart w:id="133" w:name="_Toc14194"/>
      <w:r>
        <w:rPr>
          <w:rFonts w:hint="eastAsia" w:ascii="宋体" w:hAnsi="宋体" w:cs="宋体"/>
          <w:b/>
          <w:color w:val="000000"/>
          <w:kern w:val="0"/>
        </w:rPr>
        <w:t>税金</w:t>
      </w:r>
    </w:p>
    <w:p>
      <w:pPr>
        <w:spacing w:line="500" w:lineRule="exact"/>
        <w:jc w:val="right"/>
        <w:rPr>
          <w:rFonts w:ascii="宋体" w:cs="宋体"/>
          <w:b/>
          <w:color w:val="000000"/>
        </w:rPr>
      </w:pPr>
      <w:r>
        <w:rPr>
          <w:rFonts w:hint="eastAsia" w:ascii="宋体" w:hAnsi="宋体" w:cs="宋体"/>
          <w:b/>
          <w:color w:val="000000"/>
          <w:kern w:val="0"/>
        </w:rPr>
        <w:t>单位：</w:t>
      </w:r>
      <w:r>
        <w:rPr>
          <w:rFonts w:ascii="宋体" w:hAnsi="宋体" w:cs="宋体"/>
          <w:b/>
          <w:color w:val="000000"/>
          <w:kern w:val="0"/>
        </w:rPr>
        <w:t>%</w:t>
      </w:r>
    </w:p>
    <w:tbl>
      <w:tblPr>
        <w:tblStyle w:val="16"/>
        <w:tblW w:w="8644" w:type="dxa"/>
        <w:jc w:val="center"/>
        <w:tblInd w:w="0" w:type="dxa"/>
        <w:tblLayout w:type="fixed"/>
        <w:tblCellMar>
          <w:top w:w="0" w:type="dxa"/>
          <w:left w:w="108" w:type="dxa"/>
          <w:bottom w:w="0" w:type="dxa"/>
          <w:right w:w="108" w:type="dxa"/>
        </w:tblCellMar>
      </w:tblPr>
      <w:tblGrid>
        <w:gridCol w:w="4551"/>
        <w:gridCol w:w="4093"/>
      </w:tblGrid>
      <w:tr>
        <w:tblPrEx>
          <w:tblLayout w:type="fixed"/>
          <w:tblCellMar>
            <w:top w:w="0" w:type="dxa"/>
            <w:left w:w="108" w:type="dxa"/>
            <w:bottom w:w="0" w:type="dxa"/>
            <w:right w:w="108" w:type="dxa"/>
          </w:tblCellMar>
        </w:tblPrEx>
        <w:trPr>
          <w:trHeight w:val="547" w:hRule="atLeast"/>
          <w:jc w:val="center"/>
        </w:trPr>
        <w:tc>
          <w:tcPr>
            <w:tcW w:w="4551"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rFonts w:ascii="宋体" w:cs="宋体"/>
                <w:bCs/>
                <w:color w:val="000000"/>
              </w:rPr>
            </w:pPr>
            <w:r>
              <w:rPr>
                <w:rFonts w:hint="eastAsia" w:ascii="宋体" w:hAnsi="宋体" w:cs="宋体"/>
                <w:bCs/>
                <w:color w:val="000000"/>
                <w:kern w:val="0"/>
              </w:rPr>
              <w:t>税金</w:t>
            </w:r>
          </w:p>
        </w:tc>
        <w:tc>
          <w:tcPr>
            <w:tcW w:w="4093"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rFonts w:ascii="宋体" w:cs="宋体"/>
                <w:bCs/>
                <w:color w:val="000000"/>
              </w:rPr>
            </w:pPr>
            <w:r>
              <w:rPr>
                <w:rFonts w:hint="eastAsia" w:ascii="宋体" w:hAnsi="宋体" w:cs="宋体"/>
                <w:bCs/>
                <w:color w:val="000000"/>
                <w:kern w:val="0"/>
              </w:rPr>
              <w:t>税率</w:t>
            </w:r>
          </w:p>
        </w:tc>
      </w:tr>
      <w:tr>
        <w:tblPrEx>
          <w:tblLayout w:type="fixed"/>
          <w:tblCellMar>
            <w:top w:w="0" w:type="dxa"/>
            <w:left w:w="108" w:type="dxa"/>
            <w:bottom w:w="0" w:type="dxa"/>
            <w:right w:w="108" w:type="dxa"/>
          </w:tblCellMar>
        </w:tblPrEx>
        <w:trPr>
          <w:trHeight w:val="564" w:hRule="atLeast"/>
          <w:jc w:val="center"/>
        </w:trPr>
        <w:tc>
          <w:tcPr>
            <w:tcW w:w="4551"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rFonts w:ascii="宋体" w:cs="宋体"/>
                <w:bCs/>
                <w:color w:val="000000"/>
              </w:rPr>
            </w:pPr>
            <w:r>
              <w:rPr>
                <w:rFonts w:hint="eastAsia" w:ascii="宋体" w:hAnsi="宋体" w:cs="宋体"/>
                <w:bCs/>
                <w:color w:val="000000"/>
                <w:kern w:val="0"/>
              </w:rPr>
              <w:t>增值税</w:t>
            </w:r>
          </w:p>
        </w:tc>
        <w:tc>
          <w:tcPr>
            <w:tcW w:w="4093"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rFonts w:ascii="宋体" w:cs="宋体"/>
                <w:bCs/>
                <w:color w:val="000000"/>
              </w:rPr>
            </w:pPr>
            <w:r>
              <w:rPr>
                <w:rFonts w:ascii="宋体" w:hAnsi="宋体" w:cs="宋体"/>
                <w:bCs/>
                <w:color w:val="000000"/>
                <w:kern w:val="0"/>
              </w:rPr>
              <w:t>11</w:t>
            </w:r>
          </w:p>
        </w:tc>
      </w:tr>
    </w:tbl>
    <w:p>
      <w:pPr>
        <w:rPr>
          <w:b/>
          <w:bCs/>
          <w:color w:val="000000"/>
          <w:sz w:val="24"/>
        </w:rPr>
      </w:pPr>
    </w:p>
    <w:p>
      <w:pPr>
        <w:spacing w:line="420" w:lineRule="exact"/>
        <w:ind w:left="630" w:leftChars="300" w:firstLine="482" w:firstLineChars="200"/>
        <w:rPr>
          <w:rFonts w:ascii="宋体"/>
          <w:b/>
          <w:bCs/>
          <w:color w:val="000000"/>
          <w:sz w:val="24"/>
        </w:rPr>
      </w:pPr>
      <w:r>
        <w:rPr>
          <w:rFonts w:hint="eastAsia" w:ascii="宋体" w:hAnsi="宋体"/>
          <w:b/>
          <w:bCs/>
          <w:color w:val="000000"/>
          <w:sz w:val="24"/>
        </w:rPr>
        <w:t>规费、税金上述规定计价，如果供应商不执行以上规定，经评审委员会认定后，商务报价不得分，且不参与评标基准值计算。</w:t>
      </w:r>
    </w:p>
    <w:p>
      <w:pPr>
        <w:pStyle w:val="2"/>
        <w:spacing w:beforeLines="150" w:after="480" w:line="240" w:lineRule="auto"/>
        <w:rPr>
          <w:rFonts w:ascii="宋体"/>
          <w:sz w:val="24"/>
          <w:szCs w:val="24"/>
        </w:rPr>
      </w:pPr>
      <w:bookmarkStart w:id="134" w:name="_Toc15191"/>
      <w:r>
        <w:rPr>
          <w:rFonts w:ascii="宋体" w:hAnsi="宋体"/>
          <w:sz w:val="24"/>
          <w:szCs w:val="24"/>
        </w:rPr>
        <w:t xml:space="preserve">8. </w:t>
      </w:r>
      <w:r>
        <w:rPr>
          <w:rFonts w:hint="eastAsia" w:ascii="宋体" w:hAnsi="宋体"/>
          <w:sz w:val="24"/>
          <w:szCs w:val="24"/>
        </w:rPr>
        <w:t>重新磋商和不再</w:t>
      </w:r>
      <w:bookmarkEnd w:id="132"/>
      <w:bookmarkEnd w:id="133"/>
      <w:r>
        <w:rPr>
          <w:rFonts w:hint="eastAsia" w:ascii="宋体" w:hAnsi="宋体"/>
          <w:sz w:val="24"/>
          <w:szCs w:val="24"/>
        </w:rPr>
        <w:t>磋商</w:t>
      </w:r>
      <w:bookmarkEnd w:id="134"/>
    </w:p>
    <w:p>
      <w:pPr>
        <w:pStyle w:val="2"/>
        <w:rPr>
          <w:rFonts w:ascii="宋体"/>
          <w:sz w:val="24"/>
          <w:szCs w:val="24"/>
        </w:rPr>
      </w:pPr>
      <w:bookmarkStart w:id="135" w:name="_Toc234382635"/>
      <w:bookmarkStart w:id="136" w:name="_Toc4387"/>
      <w:bookmarkStart w:id="137" w:name="_Toc6844"/>
      <w:r>
        <w:rPr>
          <w:rFonts w:ascii="宋体" w:hAnsi="宋体"/>
          <w:sz w:val="24"/>
          <w:szCs w:val="24"/>
        </w:rPr>
        <w:t xml:space="preserve">8.1 </w:t>
      </w:r>
      <w:r>
        <w:rPr>
          <w:rFonts w:hint="eastAsia" w:ascii="宋体" w:hAnsi="宋体"/>
          <w:sz w:val="24"/>
          <w:szCs w:val="24"/>
        </w:rPr>
        <w:t>重新</w:t>
      </w:r>
      <w:bookmarkEnd w:id="135"/>
      <w:bookmarkEnd w:id="136"/>
      <w:r>
        <w:rPr>
          <w:rFonts w:hint="eastAsia" w:ascii="宋体" w:hAnsi="宋体"/>
          <w:sz w:val="24"/>
          <w:szCs w:val="24"/>
        </w:rPr>
        <w:t>磋商</w:t>
      </w:r>
      <w:bookmarkEnd w:id="137"/>
    </w:p>
    <w:p>
      <w:pPr>
        <w:spacing w:line="360" w:lineRule="auto"/>
        <w:ind w:firstLine="480" w:firstLineChars="200"/>
        <w:rPr>
          <w:rFonts w:ascii="宋体"/>
          <w:sz w:val="24"/>
        </w:rPr>
      </w:pPr>
      <w:r>
        <w:rPr>
          <w:rFonts w:hint="eastAsia" w:ascii="宋体" w:hAnsi="宋体"/>
          <w:sz w:val="24"/>
        </w:rPr>
        <w:t>有下列情形之一的，采购人将重新磋商：</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）磋商截止时间止，供应商少于</w:t>
      </w:r>
      <w:r>
        <w:rPr>
          <w:rFonts w:ascii="宋体" w:hAnsi="宋体"/>
          <w:sz w:val="24"/>
        </w:rPr>
        <w:t>3</w:t>
      </w:r>
      <w:r>
        <w:rPr>
          <w:rFonts w:hint="eastAsia" w:ascii="宋体" w:hAnsi="宋体"/>
          <w:sz w:val="24"/>
        </w:rPr>
        <w:t>个的；</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）经磋商小组评审后否决所有投标的；</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）中标候选人均未与采购人签订合同的；</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）法律规定的其他情形。</w:t>
      </w:r>
    </w:p>
    <w:p>
      <w:pPr>
        <w:pStyle w:val="2"/>
        <w:spacing w:beforeLines="50"/>
        <w:rPr>
          <w:rFonts w:ascii="宋体"/>
          <w:sz w:val="24"/>
          <w:szCs w:val="24"/>
        </w:rPr>
      </w:pPr>
      <w:bookmarkStart w:id="138" w:name="_Toc234382636"/>
      <w:bookmarkStart w:id="139" w:name="_Toc11432"/>
      <w:bookmarkStart w:id="140" w:name="_Toc25346"/>
      <w:r>
        <w:rPr>
          <w:rFonts w:ascii="宋体" w:hAnsi="宋体"/>
          <w:sz w:val="24"/>
          <w:szCs w:val="24"/>
        </w:rPr>
        <w:t xml:space="preserve">8.2 </w:t>
      </w:r>
      <w:r>
        <w:rPr>
          <w:rFonts w:hint="eastAsia" w:ascii="宋体" w:hAnsi="宋体"/>
          <w:sz w:val="24"/>
          <w:szCs w:val="24"/>
        </w:rPr>
        <w:t>不再</w:t>
      </w:r>
      <w:bookmarkEnd w:id="138"/>
      <w:bookmarkEnd w:id="139"/>
      <w:r>
        <w:rPr>
          <w:rFonts w:hint="eastAsia" w:ascii="宋体" w:hAnsi="宋体"/>
          <w:sz w:val="24"/>
          <w:szCs w:val="24"/>
        </w:rPr>
        <w:t>磋商</w:t>
      </w:r>
      <w:bookmarkEnd w:id="140"/>
    </w:p>
    <w:p>
      <w:pPr>
        <w:spacing w:line="360" w:lineRule="auto"/>
        <w:ind w:firstLine="480" w:firstLineChars="200"/>
        <w:rPr>
          <w:rFonts w:ascii="宋体"/>
          <w:sz w:val="24"/>
        </w:rPr>
      </w:pPr>
      <w:r>
        <w:rPr>
          <w:rFonts w:hint="eastAsia" w:ascii="宋体" w:hAnsi="宋体"/>
          <w:sz w:val="24"/>
        </w:rPr>
        <w:t>重新磋商后供应商仍少于</w:t>
      </w:r>
      <w:r>
        <w:rPr>
          <w:rFonts w:ascii="宋体" w:hAnsi="宋体"/>
          <w:sz w:val="24"/>
        </w:rPr>
        <w:t>3</w:t>
      </w:r>
      <w:r>
        <w:rPr>
          <w:rFonts w:hint="eastAsia" w:ascii="宋体" w:hAnsi="宋体"/>
          <w:sz w:val="24"/>
        </w:rPr>
        <w:t>个或者所有投标被否决的，属于必须审批或核准的工程建设项目，经原审批或核准部门批准后不再进行磋商。</w:t>
      </w:r>
    </w:p>
    <w:p>
      <w:pPr>
        <w:pStyle w:val="2"/>
        <w:spacing w:beforeLines="50"/>
        <w:rPr>
          <w:rFonts w:ascii="宋体"/>
          <w:sz w:val="24"/>
          <w:szCs w:val="24"/>
        </w:rPr>
      </w:pPr>
      <w:bookmarkStart w:id="141" w:name="_Toc5951"/>
      <w:r>
        <w:rPr>
          <w:rFonts w:ascii="宋体" w:hAnsi="宋体"/>
          <w:sz w:val="24"/>
          <w:szCs w:val="24"/>
        </w:rPr>
        <w:t>9.</w:t>
      </w:r>
      <w:r>
        <w:rPr>
          <w:rFonts w:hint="eastAsia" w:ascii="宋体" w:hAnsi="宋体"/>
          <w:sz w:val="24"/>
          <w:szCs w:val="24"/>
        </w:rPr>
        <w:t>纪律和监督</w:t>
      </w:r>
      <w:bookmarkEnd w:id="141"/>
    </w:p>
    <w:p>
      <w:pPr>
        <w:pStyle w:val="2"/>
        <w:rPr>
          <w:rFonts w:ascii="宋体"/>
          <w:sz w:val="24"/>
          <w:szCs w:val="24"/>
        </w:rPr>
      </w:pPr>
      <w:bookmarkStart w:id="142" w:name="_Toc234382638"/>
      <w:bookmarkStart w:id="143" w:name="_Toc21000"/>
      <w:bookmarkStart w:id="144" w:name="_Toc3890"/>
      <w:r>
        <w:rPr>
          <w:rFonts w:ascii="宋体" w:hAnsi="宋体"/>
          <w:sz w:val="24"/>
          <w:szCs w:val="24"/>
        </w:rPr>
        <w:t xml:space="preserve">9.1 </w:t>
      </w:r>
      <w:r>
        <w:rPr>
          <w:rFonts w:hint="eastAsia" w:ascii="宋体" w:hAnsi="宋体"/>
          <w:sz w:val="24"/>
          <w:szCs w:val="24"/>
        </w:rPr>
        <w:t>对采购人的纪律要求</w:t>
      </w:r>
      <w:bookmarkEnd w:id="142"/>
      <w:bookmarkEnd w:id="143"/>
      <w:bookmarkEnd w:id="144"/>
    </w:p>
    <w:p>
      <w:pPr>
        <w:spacing w:line="360" w:lineRule="auto"/>
        <w:ind w:firstLine="480" w:firstLineChars="200"/>
        <w:rPr>
          <w:rFonts w:ascii="宋体"/>
          <w:sz w:val="24"/>
        </w:rPr>
      </w:pPr>
      <w:r>
        <w:rPr>
          <w:rFonts w:hint="eastAsia" w:ascii="宋体" w:hAnsi="宋体"/>
          <w:sz w:val="24"/>
        </w:rPr>
        <w:t>采购人不得泄漏磋商投标活动中应当保密的情况和资料，不得与供应商串通损害国家利益、社会公共利益或者他人合法权益。</w:t>
      </w:r>
    </w:p>
    <w:p>
      <w:pPr>
        <w:pStyle w:val="2"/>
        <w:rPr>
          <w:rFonts w:ascii="宋体"/>
          <w:sz w:val="24"/>
          <w:szCs w:val="24"/>
        </w:rPr>
      </w:pPr>
      <w:bookmarkStart w:id="145" w:name="_Toc24348"/>
      <w:r>
        <w:rPr>
          <w:rFonts w:ascii="宋体" w:hAnsi="宋体"/>
          <w:sz w:val="24"/>
          <w:szCs w:val="24"/>
        </w:rPr>
        <w:t>9.2</w:t>
      </w:r>
      <w:r>
        <w:rPr>
          <w:rFonts w:hint="eastAsia" w:ascii="宋体" w:hAnsi="宋体"/>
          <w:sz w:val="24"/>
          <w:szCs w:val="24"/>
        </w:rPr>
        <w:t>对供应商的纪律要求</w:t>
      </w:r>
      <w:bookmarkEnd w:id="145"/>
    </w:p>
    <w:p>
      <w:pPr>
        <w:spacing w:line="360" w:lineRule="auto"/>
        <w:ind w:firstLine="480" w:firstLineChars="200"/>
        <w:rPr>
          <w:rFonts w:ascii="宋体"/>
          <w:sz w:val="24"/>
        </w:rPr>
      </w:pPr>
      <w:r>
        <w:rPr>
          <w:rFonts w:hint="eastAsia" w:ascii="宋体" w:hAnsi="宋体"/>
          <w:sz w:val="24"/>
        </w:rPr>
        <w:t>供应商不得相互串通投标或者与采购人串通投标，不得向采购人或者磋商小组成员行贿谋取中标，不得以他人名义投标或者以其他方式弄虚作假骗取中标；供应商不得以任何方式干扰、影响评标工作。</w:t>
      </w:r>
    </w:p>
    <w:p>
      <w:pPr>
        <w:pStyle w:val="2"/>
        <w:spacing w:beforeLines="50"/>
        <w:rPr>
          <w:rFonts w:ascii="宋体"/>
          <w:sz w:val="24"/>
          <w:szCs w:val="24"/>
        </w:rPr>
      </w:pPr>
      <w:bookmarkStart w:id="146" w:name="_Toc234382640"/>
      <w:bookmarkStart w:id="147" w:name="_Toc29634"/>
      <w:bookmarkStart w:id="148" w:name="_Toc26450"/>
      <w:r>
        <w:rPr>
          <w:rFonts w:ascii="宋体" w:hAnsi="宋体"/>
          <w:sz w:val="24"/>
          <w:szCs w:val="24"/>
        </w:rPr>
        <w:t xml:space="preserve">9.3 </w:t>
      </w:r>
      <w:r>
        <w:rPr>
          <w:rFonts w:hint="eastAsia" w:ascii="宋体" w:hAnsi="宋体"/>
          <w:sz w:val="24"/>
          <w:szCs w:val="24"/>
        </w:rPr>
        <w:t>对磋商小组成员的纪律要求</w:t>
      </w:r>
      <w:bookmarkEnd w:id="146"/>
      <w:bookmarkEnd w:id="147"/>
      <w:bookmarkEnd w:id="148"/>
    </w:p>
    <w:p>
      <w:pPr>
        <w:spacing w:line="360" w:lineRule="auto"/>
        <w:ind w:firstLine="480" w:firstLineChars="200"/>
        <w:rPr>
          <w:rFonts w:ascii="宋体"/>
          <w:sz w:val="24"/>
        </w:rPr>
      </w:pPr>
      <w:r>
        <w:rPr>
          <w:rFonts w:hint="eastAsia" w:ascii="宋体" w:hAnsi="宋体"/>
          <w:sz w:val="24"/>
        </w:rPr>
        <w:t>磋商小组成员不得收受他人的财物或者其他好处，不得向他人透漏对投标文件的评审和比较、中标候选人的推荐情况以及评标有关的其他情况。在评标活动中，磋商小组成员不得擅离职守，影响评标程序正常进行，不得使用第三章</w:t>
      </w:r>
      <w:r>
        <w:rPr>
          <w:rFonts w:hint="eastAsia" w:ascii="宋体"/>
          <w:sz w:val="24"/>
        </w:rPr>
        <w:t>“</w:t>
      </w:r>
      <w:r>
        <w:rPr>
          <w:rFonts w:hint="eastAsia" w:ascii="宋体" w:hAnsi="宋体"/>
          <w:sz w:val="24"/>
        </w:rPr>
        <w:t>评标办法</w:t>
      </w:r>
      <w:r>
        <w:rPr>
          <w:rFonts w:hint="eastAsia" w:ascii="宋体"/>
          <w:sz w:val="24"/>
        </w:rPr>
        <w:t>”</w:t>
      </w:r>
      <w:r>
        <w:rPr>
          <w:rFonts w:hint="eastAsia" w:ascii="宋体" w:hAnsi="宋体"/>
          <w:sz w:val="24"/>
        </w:rPr>
        <w:t>没有规定的评审因素和标准进行评标。</w:t>
      </w:r>
    </w:p>
    <w:p>
      <w:pPr>
        <w:pStyle w:val="2"/>
        <w:spacing w:beforeLines="50"/>
        <w:rPr>
          <w:rFonts w:ascii="宋体"/>
          <w:sz w:val="24"/>
          <w:szCs w:val="24"/>
        </w:rPr>
      </w:pPr>
      <w:bookmarkStart w:id="149" w:name="_Toc9407"/>
      <w:bookmarkStart w:id="150" w:name="_Toc234382641"/>
      <w:bookmarkStart w:id="151" w:name="_Toc26010"/>
      <w:r>
        <w:rPr>
          <w:rFonts w:ascii="宋体" w:hAnsi="宋体"/>
          <w:sz w:val="24"/>
          <w:szCs w:val="24"/>
        </w:rPr>
        <w:t xml:space="preserve">9.4 </w:t>
      </w:r>
      <w:r>
        <w:rPr>
          <w:rFonts w:hint="eastAsia" w:ascii="宋体" w:hAnsi="宋体"/>
          <w:sz w:val="24"/>
          <w:szCs w:val="24"/>
        </w:rPr>
        <w:t>对与评标活动有关的工作人员的纪律要求</w:t>
      </w:r>
      <w:bookmarkEnd w:id="149"/>
      <w:bookmarkEnd w:id="150"/>
      <w:bookmarkEnd w:id="151"/>
    </w:p>
    <w:p>
      <w:pPr>
        <w:spacing w:line="360" w:lineRule="auto"/>
        <w:ind w:firstLine="480" w:firstLineChars="200"/>
        <w:rPr>
          <w:rFonts w:ascii="宋体"/>
          <w:sz w:val="24"/>
        </w:rPr>
      </w:pPr>
      <w:r>
        <w:rPr>
          <w:rFonts w:hint="eastAsia" w:ascii="宋体" w:hAnsi="宋体"/>
          <w:sz w:val="24"/>
        </w:rPr>
        <w:t>与评标活动有关的工作人员不得收受他人的财物或者其他好处，不得向他人透漏对磋商文件的评审和比较、中标候选人的推荐情况以及评标有关的其他情况。在评标活动中，与评标活动有关的工作人员不得擅离职守，影响评标程序正常进行。</w:t>
      </w:r>
    </w:p>
    <w:p>
      <w:pPr>
        <w:pStyle w:val="2"/>
        <w:spacing w:beforeLines="50"/>
        <w:rPr>
          <w:rFonts w:ascii="宋体"/>
          <w:sz w:val="24"/>
          <w:szCs w:val="24"/>
        </w:rPr>
      </w:pPr>
      <w:bookmarkStart w:id="152" w:name="_Toc28791"/>
      <w:bookmarkStart w:id="153" w:name="_Toc5735"/>
      <w:bookmarkStart w:id="154" w:name="_Toc234382642"/>
      <w:r>
        <w:rPr>
          <w:rFonts w:ascii="宋体" w:hAnsi="宋体"/>
          <w:sz w:val="24"/>
          <w:szCs w:val="24"/>
        </w:rPr>
        <w:t xml:space="preserve">9.5 </w:t>
      </w:r>
      <w:r>
        <w:rPr>
          <w:rFonts w:hint="eastAsia" w:ascii="宋体" w:hAnsi="宋体"/>
          <w:sz w:val="24"/>
          <w:szCs w:val="24"/>
        </w:rPr>
        <w:t>投诉</w:t>
      </w:r>
      <w:bookmarkEnd w:id="152"/>
      <w:bookmarkEnd w:id="153"/>
      <w:bookmarkEnd w:id="154"/>
    </w:p>
    <w:p>
      <w:pPr>
        <w:spacing w:line="360" w:lineRule="auto"/>
        <w:ind w:firstLine="480" w:firstLineChars="200"/>
        <w:rPr>
          <w:rFonts w:ascii="宋体"/>
          <w:sz w:val="24"/>
        </w:rPr>
      </w:pPr>
      <w:r>
        <w:rPr>
          <w:rFonts w:hint="eastAsia" w:ascii="宋体" w:hAnsi="宋体"/>
          <w:sz w:val="24"/>
        </w:rPr>
        <w:t>供应商和其他利害关系人认为本次磋商活动违反法律、法规和规章规定的，有权向有关行政监督部门投诉。</w:t>
      </w:r>
    </w:p>
    <w:p>
      <w:pPr>
        <w:pStyle w:val="2"/>
        <w:spacing w:beforeLines="150" w:after="480"/>
        <w:rPr>
          <w:rFonts w:ascii="宋体"/>
          <w:sz w:val="24"/>
          <w:szCs w:val="24"/>
        </w:rPr>
      </w:pPr>
      <w:bookmarkStart w:id="155" w:name="_Toc28661"/>
      <w:bookmarkStart w:id="156" w:name="_Toc27716"/>
      <w:bookmarkStart w:id="157" w:name="_Toc234382643"/>
      <w:r>
        <w:rPr>
          <w:rFonts w:ascii="宋体" w:hAnsi="宋体"/>
          <w:sz w:val="24"/>
          <w:szCs w:val="24"/>
        </w:rPr>
        <w:t xml:space="preserve">10. </w:t>
      </w:r>
      <w:r>
        <w:rPr>
          <w:rFonts w:hint="eastAsia" w:ascii="宋体" w:hAnsi="宋体"/>
          <w:sz w:val="24"/>
          <w:szCs w:val="24"/>
        </w:rPr>
        <w:t>需要补充的其他内容</w:t>
      </w:r>
      <w:bookmarkEnd w:id="155"/>
      <w:bookmarkEnd w:id="156"/>
      <w:bookmarkEnd w:id="157"/>
    </w:p>
    <w:p>
      <w:pPr>
        <w:spacing w:line="360" w:lineRule="auto"/>
        <w:ind w:firstLine="480" w:firstLineChars="200"/>
        <w:rPr>
          <w:rFonts w:ascii="宋体" w:hAnsi="宋体"/>
          <w:sz w:val="24"/>
        </w:rPr>
      </w:pPr>
      <w:r>
        <w:rPr>
          <w:rFonts w:hint="eastAsia" w:ascii="宋体" w:hAnsi="宋体"/>
          <w:sz w:val="24"/>
        </w:rPr>
        <w:t>自购买磋商文件之日起，供应商应保证其提供的联系方式（电话、传真、电子邮件）一直有效，以保证往来函件能及时通知供应商，并能及时反馈信息，否则采购人不承担由此引起的一切后果。</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pStyle w:val="2"/>
        <w:numPr>
          <w:ilvl w:val="0"/>
          <w:numId w:val="3"/>
        </w:numPr>
        <w:spacing w:line="500" w:lineRule="exact"/>
        <w:jc w:val="center"/>
        <w:rPr>
          <w:rFonts w:ascii="宋体"/>
        </w:rPr>
      </w:pPr>
      <w:bookmarkStart w:id="158" w:name="_Toc23339"/>
      <w:bookmarkStart w:id="159" w:name="_Toc25238"/>
      <w:r>
        <w:rPr>
          <w:rFonts w:hint="eastAsia" w:ascii="宋体" w:hAnsi="宋体"/>
        </w:rPr>
        <w:t>评标办法</w:t>
      </w:r>
      <w:bookmarkEnd w:id="158"/>
      <w:bookmarkEnd w:id="159"/>
      <w:bookmarkStart w:id="160" w:name="_Toc234382663"/>
    </w:p>
    <w:p>
      <w:pPr>
        <w:rPr>
          <w:rFonts w:ascii="宋体"/>
        </w:rPr>
      </w:pPr>
    </w:p>
    <w:p>
      <w:pPr>
        <w:pStyle w:val="2"/>
        <w:spacing w:line="400" w:lineRule="exact"/>
        <w:jc w:val="center"/>
        <w:rPr>
          <w:rFonts w:ascii="宋体"/>
          <w:sz w:val="28"/>
          <w:szCs w:val="24"/>
        </w:rPr>
      </w:pPr>
      <w:bookmarkStart w:id="161" w:name="_Toc837"/>
      <w:bookmarkStart w:id="162" w:name="_Toc16274"/>
      <w:bookmarkStart w:id="163" w:name="_Toc10750"/>
      <w:r>
        <w:rPr>
          <w:rFonts w:hint="eastAsia" w:ascii="宋体" w:hAnsi="宋体"/>
          <w:sz w:val="28"/>
          <w:szCs w:val="24"/>
        </w:rPr>
        <w:t>评标办法前附表</w:t>
      </w:r>
      <w:bookmarkEnd w:id="160"/>
      <w:bookmarkEnd w:id="161"/>
      <w:bookmarkEnd w:id="162"/>
      <w:bookmarkEnd w:id="163"/>
    </w:p>
    <w:tbl>
      <w:tblPr>
        <w:tblStyle w:val="16"/>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086"/>
        <w:gridCol w:w="2704"/>
        <w:gridCol w:w="131"/>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trPr>
        <w:tc>
          <w:tcPr>
            <w:tcW w:w="1893" w:type="dxa"/>
            <w:gridSpan w:val="2"/>
            <w:vAlign w:val="center"/>
          </w:tcPr>
          <w:p>
            <w:pPr>
              <w:tabs>
                <w:tab w:val="left" w:pos="432"/>
              </w:tabs>
              <w:spacing w:beforeLines="50" w:afterLines="50"/>
              <w:ind w:left="432" w:hanging="432"/>
              <w:jc w:val="center"/>
              <w:rPr>
                <w:rFonts w:ascii="宋体" w:hAnsi="宋体"/>
                <w:szCs w:val="21"/>
              </w:rPr>
            </w:pPr>
            <w:bookmarkStart w:id="164" w:name="_Toc31389"/>
            <w:r>
              <w:rPr>
                <w:rFonts w:ascii="宋体" w:hAnsi="宋体"/>
                <w:szCs w:val="21"/>
              </w:rPr>
              <w:t>条款号</w:t>
            </w: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评审因素</w:t>
            </w:r>
          </w:p>
        </w:tc>
        <w:tc>
          <w:tcPr>
            <w:tcW w:w="4751"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trPr>
        <w:tc>
          <w:tcPr>
            <w:tcW w:w="807" w:type="dxa"/>
            <w:vMerge w:val="restart"/>
            <w:vAlign w:val="center"/>
          </w:tcPr>
          <w:p>
            <w:pPr>
              <w:tabs>
                <w:tab w:val="left" w:pos="432"/>
              </w:tabs>
              <w:spacing w:beforeLines="50" w:afterLines="50"/>
              <w:ind w:left="432" w:hanging="432"/>
              <w:jc w:val="center"/>
              <w:rPr>
                <w:rFonts w:ascii="宋体" w:hAnsi="宋体"/>
                <w:szCs w:val="21"/>
              </w:rPr>
            </w:pPr>
            <w:r>
              <w:rPr>
                <w:rFonts w:ascii="宋体" w:hAnsi="宋体"/>
                <w:szCs w:val="21"/>
              </w:rPr>
              <w:t>2.1.1</w:t>
            </w:r>
          </w:p>
        </w:tc>
        <w:tc>
          <w:tcPr>
            <w:tcW w:w="1086" w:type="dxa"/>
            <w:vMerge w:val="restart"/>
            <w:vAlign w:val="center"/>
          </w:tcPr>
          <w:p>
            <w:pPr>
              <w:tabs>
                <w:tab w:val="left" w:pos="432"/>
              </w:tabs>
              <w:spacing w:beforeLines="50" w:afterLines="50"/>
              <w:rPr>
                <w:rFonts w:ascii="宋体" w:hAnsi="宋体"/>
                <w:szCs w:val="21"/>
              </w:rPr>
            </w:pPr>
            <w:r>
              <w:rPr>
                <w:rFonts w:ascii="宋体" w:hAnsi="宋体"/>
                <w:szCs w:val="21"/>
              </w:rPr>
              <w:t>形式评审标准</w:t>
            </w: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供应商名称</w:t>
            </w:r>
          </w:p>
        </w:tc>
        <w:tc>
          <w:tcPr>
            <w:tcW w:w="4751" w:type="dxa"/>
            <w:gridSpan w:val="2"/>
            <w:vAlign w:val="center"/>
          </w:tcPr>
          <w:p>
            <w:pPr>
              <w:tabs>
                <w:tab w:val="left" w:pos="432"/>
              </w:tabs>
              <w:spacing w:beforeLines="50" w:afterLines="50"/>
              <w:rPr>
                <w:rFonts w:ascii="宋体" w:hAnsi="宋体"/>
                <w:szCs w:val="21"/>
              </w:rPr>
            </w:pPr>
            <w:r>
              <w:rPr>
                <w:rFonts w:ascii="宋体" w:hAnsi="宋体"/>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投标函签字盖章</w:t>
            </w:r>
          </w:p>
        </w:tc>
        <w:tc>
          <w:tcPr>
            <w:tcW w:w="4751" w:type="dxa"/>
            <w:gridSpan w:val="2"/>
            <w:vAlign w:val="center"/>
          </w:tcPr>
          <w:p>
            <w:pPr>
              <w:tabs>
                <w:tab w:val="left" w:pos="432"/>
              </w:tabs>
              <w:spacing w:beforeLines="50" w:afterLines="50"/>
              <w:rPr>
                <w:rFonts w:ascii="宋体" w:hAnsi="宋体"/>
                <w:szCs w:val="21"/>
              </w:rPr>
            </w:pPr>
            <w:r>
              <w:rPr>
                <w:rFonts w:hint="eastAsia" w:ascii="宋体" w:hAnsi="宋体"/>
                <w:szCs w:val="21"/>
              </w:rPr>
              <w:t>有单位盖章且</w:t>
            </w:r>
            <w:r>
              <w:rPr>
                <w:rFonts w:ascii="宋体" w:hAnsi="宋体"/>
                <w:szCs w:val="21"/>
              </w:rPr>
              <w:t>有法定代表人</w:t>
            </w:r>
            <w:r>
              <w:rPr>
                <w:rFonts w:hint="eastAsia" w:ascii="宋体" w:hAnsi="宋体"/>
                <w:szCs w:val="21"/>
              </w:rPr>
              <w:t>（</w:t>
            </w:r>
            <w:r>
              <w:rPr>
                <w:rFonts w:ascii="宋体" w:hAnsi="宋体"/>
                <w:szCs w:val="21"/>
              </w:rPr>
              <w:t>或其委托代理人</w:t>
            </w:r>
            <w:r>
              <w:rPr>
                <w:rFonts w:hint="eastAsia" w:ascii="宋体" w:hAnsi="宋体"/>
                <w:szCs w:val="21"/>
              </w:rPr>
              <w:t>）</w:t>
            </w:r>
            <w:r>
              <w:rPr>
                <w:rFonts w:ascii="宋体" w:hAnsi="宋体"/>
                <w:szCs w:val="21"/>
              </w:rPr>
              <w:t>签字</w:t>
            </w:r>
            <w:r>
              <w:rPr>
                <w:rFonts w:hint="eastAsia" w:ascii="宋体" w:hAnsi="宋体"/>
                <w:szCs w:val="21"/>
              </w:rPr>
              <w:t>（</w:t>
            </w:r>
            <w:r>
              <w:rPr>
                <w:rFonts w:ascii="宋体" w:hAnsi="宋体"/>
                <w:szCs w:val="21"/>
              </w:rPr>
              <w:t>或</w:t>
            </w:r>
            <w:r>
              <w:rPr>
                <w:rFonts w:hint="eastAsia" w:ascii="宋体" w:hAnsi="宋体"/>
                <w:szCs w:val="21"/>
              </w:rPr>
              <w:t>盖</w:t>
            </w:r>
            <w:r>
              <w:rPr>
                <w:rFonts w:ascii="宋体" w:hAnsi="宋体"/>
                <w:szCs w:val="21"/>
              </w:rPr>
              <w:t>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磋商文件格式</w:t>
            </w:r>
          </w:p>
        </w:tc>
        <w:tc>
          <w:tcPr>
            <w:tcW w:w="4751" w:type="dxa"/>
            <w:gridSpan w:val="2"/>
            <w:vAlign w:val="center"/>
          </w:tcPr>
          <w:p>
            <w:pPr>
              <w:tabs>
                <w:tab w:val="left" w:pos="432"/>
              </w:tabs>
              <w:spacing w:beforeLines="50" w:afterLines="50"/>
              <w:rPr>
                <w:rFonts w:ascii="宋体" w:hAnsi="宋体"/>
                <w:szCs w:val="21"/>
              </w:rPr>
            </w:pPr>
            <w:r>
              <w:rPr>
                <w:rFonts w:ascii="宋体" w:hAnsi="宋体"/>
                <w:szCs w:val="21"/>
              </w:rPr>
              <w:t>符合第八章“磋商文件格式”的要求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联合体供应商（如有）</w:t>
            </w:r>
          </w:p>
        </w:tc>
        <w:tc>
          <w:tcPr>
            <w:tcW w:w="4751" w:type="dxa"/>
            <w:gridSpan w:val="2"/>
            <w:vAlign w:val="center"/>
          </w:tcPr>
          <w:p>
            <w:pPr>
              <w:tabs>
                <w:tab w:val="left" w:pos="432"/>
              </w:tabs>
              <w:spacing w:beforeLines="50" w:afterLines="50"/>
              <w:rPr>
                <w:rFonts w:ascii="宋体" w:hAnsi="宋体"/>
                <w:szCs w:val="21"/>
              </w:rPr>
            </w:pPr>
            <w:r>
              <w:rPr>
                <w:rFonts w:ascii="宋体" w:hAnsi="宋体"/>
                <w:szCs w:val="21"/>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报价唯一</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w:t>
            </w:r>
          </w:p>
        </w:tc>
        <w:tc>
          <w:tcPr>
            <w:tcW w:w="4751"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807" w:type="dxa"/>
            <w:vMerge w:val="restart"/>
            <w:vAlign w:val="center"/>
          </w:tcPr>
          <w:p>
            <w:pPr>
              <w:tabs>
                <w:tab w:val="left" w:pos="432"/>
              </w:tabs>
              <w:spacing w:beforeLines="50" w:afterLines="50"/>
              <w:ind w:left="432" w:hanging="432"/>
              <w:jc w:val="center"/>
              <w:rPr>
                <w:rFonts w:ascii="宋体" w:hAnsi="宋体"/>
                <w:szCs w:val="21"/>
              </w:rPr>
            </w:pPr>
            <w:r>
              <w:rPr>
                <w:rFonts w:ascii="宋体" w:hAnsi="宋体"/>
                <w:szCs w:val="21"/>
              </w:rPr>
              <w:t>2.1.2</w:t>
            </w:r>
          </w:p>
        </w:tc>
        <w:tc>
          <w:tcPr>
            <w:tcW w:w="1086" w:type="dxa"/>
            <w:vMerge w:val="restart"/>
            <w:vAlign w:val="center"/>
          </w:tcPr>
          <w:p>
            <w:pPr>
              <w:tabs>
                <w:tab w:val="left" w:pos="432"/>
              </w:tabs>
              <w:spacing w:beforeLines="50" w:afterLines="50"/>
              <w:rPr>
                <w:rFonts w:ascii="宋体" w:hAnsi="宋体"/>
                <w:szCs w:val="21"/>
              </w:rPr>
            </w:pPr>
            <w:r>
              <w:rPr>
                <w:rFonts w:ascii="宋体" w:hAnsi="宋体"/>
                <w:szCs w:val="21"/>
              </w:rPr>
              <w:t>资格评审标准</w:t>
            </w: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营业执照</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安全生产许可证</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资质等级</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2.1</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财务状况</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3.8</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类似项目业绩</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3.9</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信誉</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2.1</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项目经理</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2.1</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其他要求</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2.1</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联合体供应商（如有）</w:t>
            </w:r>
          </w:p>
        </w:tc>
        <w:tc>
          <w:tcPr>
            <w:tcW w:w="4751" w:type="dxa"/>
            <w:gridSpan w:val="2"/>
            <w:vAlign w:val="center"/>
          </w:tcPr>
          <w:p>
            <w:pPr>
              <w:tabs>
                <w:tab w:val="left" w:pos="432"/>
              </w:tabs>
              <w:spacing w:beforeLines="50" w:afterLines="50"/>
              <w:ind w:left="432" w:hanging="432"/>
              <w:rPr>
                <w:rFonts w:ascii="宋体" w:hAnsi="宋体"/>
                <w:szCs w:val="21"/>
              </w:rPr>
            </w:pPr>
            <w:r>
              <w:rPr>
                <w:rFonts w:ascii="宋体" w:hAnsi="宋体"/>
                <w:szCs w:val="21"/>
              </w:rPr>
              <w:t>符合第二章“供应商须知”第</w:t>
            </w:r>
            <w:r>
              <w:rPr>
                <w:rFonts w:hint="eastAsia" w:ascii="宋体" w:hAnsi="宋体"/>
                <w:szCs w:val="21"/>
              </w:rPr>
              <w:t>2.</w:t>
            </w:r>
            <w:r>
              <w:rPr>
                <w:rFonts w:ascii="宋体" w:hAnsi="宋体"/>
                <w:szCs w:val="21"/>
              </w:rPr>
              <w:t>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704"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w:t>
            </w:r>
          </w:p>
        </w:tc>
        <w:tc>
          <w:tcPr>
            <w:tcW w:w="4751"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7455" w:type="dxa"/>
            <w:gridSpan w:val="3"/>
            <w:vAlign w:val="center"/>
          </w:tcPr>
          <w:p>
            <w:pPr>
              <w:tabs>
                <w:tab w:val="left" w:pos="432"/>
              </w:tabs>
              <w:spacing w:beforeLines="50" w:afterLines="50"/>
              <w:ind w:left="432" w:hanging="432"/>
              <w:jc w:val="center"/>
              <w:rPr>
                <w:rFonts w:ascii="宋体" w:hAnsi="宋体"/>
                <w:szCs w:val="21"/>
              </w:rPr>
            </w:pPr>
            <w:r>
              <w:rPr>
                <w:rFonts w:hint="eastAsia" w:ascii="宋体" w:hAnsi="宋体"/>
                <w:szCs w:val="21"/>
              </w:rPr>
              <w:t>注：采用资格后审的，详见第九章 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807" w:type="dxa"/>
            <w:vMerge w:val="restart"/>
            <w:vAlign w:val="center"/>
          </w:tcPr>
          <w:p>
            <w:pPr>
              <w:tabs>
                <w:tab w:val="left" w:pos="432"/>
              </w:tabs>
              <w:spacing w:beforeLines="50" w:afterLines="50"/>
              <w:ind w:left="432" w:hanging="432"/>
              <w:jc w:val="center"/>
              <w:rPr>
                <w:rFonts w:ascii="宋体" w:hAnsi="宋体"/>
                <w:szCs w:val="21"/>
              </w:rPr>
            </w:pPr>
            <w:r>
              <w:rPr>
                <w:rFonts w:ascii="宋体" w:hAnsi="宋体"/>
                <w:szCs w:val="21"/>
              </w:rPr>
              <w:t>2.1.3</w:t>
            </w:r>
          </w:p>
        </w:tc>
        <w:tc>
          <w:tcPr>
            <w:tcW w:w="1086" w:type="dxa"/>
            <w:vMerge w:val="restart"/>
            <w:vAlign w:val="center"/>
          </w:tcPr>
          <w:p>
            <w:pPr>
              <w:tabs>
                <w:tab w:val="left" w:pos="432"/>
              </w:tabs>
              <w:spacing w:beforeLines="50" w:afterLines="50"/>
              <w:rPr>
                <w:rFonts w:ascii="宋体" w:hAnsi="宋体"/>
                <w:szCs w:val="21"/>
              </w:rPr>
            </w:pPr>
            <w:r>
              <w:rPr>
                <w:rFonts w:ascii="宋体" w:hAnsi="宋体"/>
                <w:szCs w:val="21"/>
              </w:rPr>
              <w:t>响应性评审标准</w:t>
            </w: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投标内容</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w:t>
            </w:r>
            <w:r>
              <w:rPr>
                <w:rFonts w:hint="eastAsia" w:ascii="宋体" w:hAnsi="宋体"/>
                <w:szCs w:val="21"/>
              </w:rPr>
              <w:t>1.4</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工期</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符合第二章“供应商须知”第1</w:t>
            </w:r>
            <w:r>
              <w:rPr>
                <w:rFonts w:hint="eastAsia" w:ascii="宋体" w:hAnsi="宋体"/>
                <w:szCs w:val="21"/>
              </w:rPr>
              <w:t>.9</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工程质量</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符合第二章“供应商须知”第1.</w:t>
            </w:r>
            <w:r>
              <w:rPr>
                <w:rFonts w:hint="eastAsia" w:ascii="宋体" w:hAnsi="宋体"/>
                <w:szCs w:val="21"/>
              </w:rPr>
              <w:t>10</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投标有效期</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符合第二章“供应商须知”第3.</w:t>
            </w:r>
            <w:r>
              <w:rPr>
                <w:rFonts w:hint="eastAsia" w:ascii="宋体" w:hAnsi="宋体"/>
                <w:szCs w:val="21"/>
              </w:rPr>
              <w:t>6</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投标保证金</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符合第二章“供应商须知”第3.</w:t>
            </w:r>
            <w:r>
              <w:rPr>
                <w:rFonts w:hint="eastAsia" w:ascii="宋体" w:hAnsi="宋体"/>
                <w:szCs w:val="21"/>
              </w:rPr>
              <w:t>7</w:t>
            </w:r>
            <w:r>
              <w:rPr>
                <w:rFonts w:ascii="宋体" w:hAnsi="宋体"/>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权利义务</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已标价工程量清单</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符合第五章“工程量清单”给出的子目编码、子目名称、子目特征、计量单位和工程量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技术标准和要求</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符合第七章“技术标准和要求”规定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投标价格</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□低于（含等于）拦标价，</w:t>
            </w:r>
          </w:p>
          <w:p>
            <w:pPr>
              <w:tabs>
                <w:tab w:val="left" w:pos="432"/>
              </w:tabs>
              <w:spacing w:beforeLines="50" w:afterLines="50"/>
              <w:ind w:firstLine="210" w:firstLineChars="100"/>
              <w:jc w:val="left"/>
              <w:rPr>
                <w:rFonts w:ascii="宋体" w:hAnsi="宋体"/>
                <w:szCs w:val="21"/>
              </w:rPr>
            </w:pPr>
            <w:r>
              <w:rPr>
                <w:rFonts w:ascii="宋体" w:hAnsi="宋体"/>
                <w:szCs w:val="21"/>
              </w:rPr>
              <w:t>拦标价＝标底价×（1+％）。</w:t>
            </w:r>
          </w:p>
          <w:p>
            <w:pPr>
              <w:tabs>
                <w:tab w:val="left" w:pos="-3"/>
              </w:tabs>
              <w:spacing w:beforeLines="50" w:afterLines="50"/>
              <w:ind w:hanging="3"/>
              <w:jc w:val="left"/>
              <w:rPr>
                <w:rFonts w:ascii="宋体" w:hAnsi="宋体"/>
                <w:szCs w:val="21"/>
              </w:rPr>
            </w:pPr>
            <w:r>
              <w:rPr>
                <w:rFonts w:hint="eastAsia" w:ascii="宋体" w:hAnsi="宋体" w:cs="宋体"/>
                <w:szCs w:val="21"/>
              </w:rPr>
              <w:t>■</w:t>
            </w:r>
            <w:r>
              <w:rPr>
                <w:rFonts w:ascii="宋体" w:hAnsi="宋体"/>
                <w:szCs w:val="21"/>
              </w:rPr>
              <w:t>低于（含等于）第二章“供应商须知”前附表第10.2款载明的招标控制价。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分包计划</w:t>
            </w:r>
          </w:p>
        </w:tc>
        <w:tc>
          <w:tcPr>
            <w:tcW w:w="4620" w:type="dxa"/>
            <w:vAlign w:val="center"/>
          </w:tcPr>
          <w:p>
            <w:pPr>
              <w:tabs>
                <w:tab w:val="left" w:pos="432"/>
              </w:tabs>
              <w:spacing w:beforeLines="50" w:afterLines="50"/>
              <w:ind w:left="432" w:hanging="432"/>
              <w:jc w:val="left"/>
              <w:rPr>
                <w:rFonts w:ascii="宋体" w:hAnsi="宋体"/>
                <w:szCs w:val="21"/>
              </w:rPr>
            </w:pPr>
            <w:r>
              <w:rPr>
                <w:rFonts w:ascii="宋体" w:hAnsi="宋体"/>
                <w:szCs w:val="21"/>
              </w:rPr>
              <w:t>符合第二章“供应商须知”第1.11项规定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trPr>
        <w:tc>
          <w:tcPr>
            <w:tcW w:w="807" w:type="dxa"/>
            <w:vMerge w:val="continue"/>
            <w:vAlign w:val="center"/>
          </w:tcPr>
          <w:p>
            <w:pPr>
              <w:tabs>
                <w:tab w:val="left" w:pos="432"/>
              </w:tabs>
              <w:spacing w:beforeLines="50" w:afterLines="50"/>
              <w:ind w:left="432" w:hanging="432"/>
              <w:jc w:val="center"/>
              <w:rPr>
                <w:rFonts w:ascii="宋体" w:hAnsi="宋体"/>
                <w:szCs w:val="21"/>
              </w:rPr>
            </w:pPr>
          </w:p>
        </w:tc>
        <w:tc>
          <w:tcPr>
            <w:tcW w:w="1086" w:type="dxa"/>
            <w:vMerge w:val="continue"/>
            <w:vAlign w:val="center"/>
          </w:tcPr>
          <w:p>
            <w:pPr>
              <w:tabs>
                <w:tab w:val="left" w:pos="432"/>
              </w:tabs>
              <w:spacing w:beforeLines="50" w:afterLines="50"/>
              <w:ind w:left="432" w:hanging="432"/>
              <w:jc w:val="center"/>
              <w:rPr>
                <w:rFonts w:ascii="宋体" w:hAnsi="宋体"/>
                <w:szCs w:val="21"/>
              </w:rPr>
            </w:pPr>
          </w:p>
        </w:tc>
        <w:tc>
          <w:tcPr>
            <w:tcW w:w="2835" w:type="dxa"/>
            <w:gridSpan w:val="2"/>
            <w:vAlign w:val="center"/>
          </w:tcPr>
          <w:p>
            <w:pPr>
              <w:tabs>
                <w:tab w:val="left" w:pos="432"/>
              </w:tabs>
              <w:spacing w:beforeLines="50" w:afterLines="50"/>
              <w:ind w:left="432" w:hanging="432"/>
              <w:jc w:val="center"/>
              <w:rPr>
                <w:rFonts w:ascii="宋体" w:hAnsi="宋体"/>
                <w:sz w:val="18"/>
                <w:szCs w:val="18"/>
              </w:rPr>
            </w:pPr>
            <w:r>
              <w:rPr>
                <w:rFonts w:ascii="宋体" w:hAnsi="宋体"/>
                <w:sz w:val="18"/>
                <w:szCs w:val="18"/>
              </w:rPr>
              <w:t>……</w:t>
            </w:r>
          </w:p>
        </w:tc>
        <w:tc>
          <w:tcPr>
            <w:tcW w:w="4620" w:type="dxa"/>
            <w:vAlign w:val="center"/>
          </w:tcPr>
          <w:p>
            <w:pPr>
              <w:tabs>
                <w:tab w:val="left" w:pos="432"/>
              </w:tabs>
              <w:spacing w:beforeLines="50" w:afterLines="50"/>
              <w:ind w:left="432" w:hanging="432"/>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1893"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条款号</w:t>
            </w: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条款内容</w:t>
            </w:r>
          </w:p>
        </w:tc>
        <w:tc>
          <w:tcPr>
            <w:tcW w:w="4620"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trPr>
        <w:tc>
          <w:tcPr>
            <w:tcW w:w="1893"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2.2.1</w:t>
            </w:r>
          </w:p>
        </w:tc>
        <w:tc>
          <w:tcPr>
            <w:tcW w:w="2835"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分值构成（总分100分）</w:t>
            </w:r>
          </w:p>
        </w:tc>
        <w:tc>
          <w:tcPr>
            <w:tcW w:w="4620" w:type="dxa"/>
            <w:vAlign w:val="center"/>
          </w:tcPr>
          <w:p>
            <w:pPr>
              <w:tabs>
                <w:tab w:val="left" w:pos="432"/>
              </w:tabs>
              <w:spacing w:beforeLines="50" w:afterLines="50"/>
              <w:ind w:left="432" w:hanging="432"/>
              <w:jc w:val="center"/>
              <w:rPr>
                <w:rFonts w:ascii="宋体" w:hAnsi="宋体"/>
                <w:szCs w:val="21"/>
              </w:rPr>
            </w:pPr>
            <w:r>
              <w:rPr>
                <w:rFonts w:hint="eastAsia" w:ascii="宋体" w:hAnsi="宋体"/>
                <w:szCs w:val="21"/>
              </w:rPr>
              <w:t>详评分细则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1893" w:type="dxa"/>
            <w:gridSpan w:val="2"/>
            <w:vAlign w:val="center"/>
          </w:tcPr>
          <w:p>
            <w:pPr>
              <w:tabs>
                <w:tab w:val="left" w:pos="432"/>
              </w:tabs>
              <w:spacing w:beforeLines="50" w:afterLines="50"/>
              <w:ind w:left="432" w:hanging="432"/>
              <w:jc w:val="center"/>
              <w:rPr>
                <w:rFonts w:ascii="宋体" w:hAnsi="宋体"/>
                <w:b/>
                <w:szCs w:val="21"/>
              </w:rPr>
            </w:pPr>
            <w:r>
              <w:rPr>
                <w:rFonts w:hint="eastAsia" w:ascii="宋体" w:hAnsi="宋体"/>
                <w:b/>
                <w:szCs w:val="21"/>
              </w:rPr>
              <w:t>2.2.2</w:t>
            </w:r>
          </w:p>
        </w:tc>
        <w:tc>
          <w:tcPr>
            <w:tcW w:w="7455" w:type="dxa"/>
            <w:gridSpan w:val="3"/>
            <w:vAlign w:val="center"/>
          </w:tcPr>
          <w:p>
            <w:pPr>
              <w:tabs>
                <w:tab w:val="left" w:pos="432"/>
              </w:tabs>
              <w:spacing w:beforeLines="50" w:afterLines="50"/>
              <w:ind w:left="432" w:hanging="432"/>
              <w:jc w:val="center"/>
              <w:rPr>
                <w:rFonts w:ascii="宋体" w:hAnsi="宋体"/>
                <w:b/>
                <w:szCs w:val="21"/>
              </w:rPr>
            </w:pPr>
            <w:r>
              <w:rPr>
                <w:rFonts w:hint="eastAsia" w:ascii="宋体" w:hAnsi="宋体"/>
                <w:b/>
                <w:szCs w:val="21"/>
              </w:rPr>
              <w:t>详评分细则（见下页）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trPr>
        <w:tc>
          <w:tcPr>
            <w:tcW w:w="1893" w:type="dxa"/>
            <w:gridSpan w:val="2"/>
            <w:vAlign w:val="center"/>
          </w:tcPr>
          <w:p>
            <w:pPr>
              <w:tabs>
                <w:tab w:val="left" w:pos="432"/>
              </w:tabs>
              <w:spacing w:beforeLines="50" w:afterLines="50"/>
              <w:ind w:left="432" w:hanging="432"/>
              <w:jc w:val="center"/>
              <w:rPr>
                <w:rFonts w:ascii="宋体" w:hAnsi="宋体"/>
                <w:szCs w:val="21"/>
              </w:rPr>
            </w:pPr>
            <w:r>
              <w:rPr>
                <w:rFonts w:ascii="宋体" w:hAnsi="宋体"/>
                <w:szCs w:val="21"/>
              </w:rPr>
              <w:t>条款号</w:t>
            </w:r>
          </w:p>
        </w:tc>
        <w:tc>
          <w:tcPr>
            <w:tcW w:w="7455" w:type="dxa"/>
            <w:gridSpan w:val="3"/>
            <w:vAlign w:val="center"/>
          </w:tcPr>
          <w:p>
            <w:pPr>
              <w:tabs>
                <w:tab w:val="left" w:pos="432"/>
              </w:tabs>
              <w:spacing w:beforeLines="50" w:afterLines="50"/>
              <w:ind w:left="432" w:hanging="432"/>
              <w:jc w:val="center"/>
              <w:rPr>
                <w:rFonts w:ascii="宋体" w:hAnsi="宋体"/>
                <w:szCs w:val="21"/>
              </w:rPr>
            </w:pPr>
            <w:r>
              <w:rPr>
                <w:rFonts w:ascii="宋体" w:hAnsi="宋体"/>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trPr>
        <w:tc>
          <w:tcPr>
            <w:tcW w:w="807"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3</w:t>
            </w:r>
          </w:p>
        </w:tc>
        <w:tc>
          <w:tcPr>
            <w:tcW w:w="1086" w:type="dxa"/>
            <w:vAlign w:val="center"/>
          </w:tcPr>
          <w:p>
            <w:pPr>
              <w:tabs>
                <w:tab w:val="left" w:pos="432"/>
              </w:tabs>
              <w:spacing w:beforeLines="50" w:afterLines="50"/>
              <w:ind w:left="432" w:hanging="432"/>
              <w:jc w:val="center"/>
              <w:rPr>
                <w:rFonts w:ascii="宋体" w:hAnsi="宋体"/>
                <w:szCs w:val="21"/>
              </w:rPr>
            </w:pPr>
            <w:r>
              <w:rPr>
                <w:rFonts w:ascii="宋体" w:hAnsi="宋体"/>
                <w:szCs w:val="21"/>
              </w:rPr>
              <w:t>废标条件</w:t>
            </w:r>
          </w:p>
        </w:tc>
        <w:tc>
          <w:tcPr>
            <w:tcW w:w="7455" w:type="dxa"/>
            <w:gridSpan w:val="3"/>
            <w:vAlign w:val="center"/>
          </w:tcPr>
          <w:p>
            <w:pPr>
              <w:tabs>
                <w:tab w:val="left" w:pos="432"/>
              </w:tabs>
              <w:spacing w:beforeLines="50" w:afterLines="50"/>
              <w:ind w:left="432" w:hanging="432"/>
              <w:jc w:val="center"/>
              <w:rPr>
                <w:rFonts w:ascii="宋体" w:hAnsi="宋体"/>
                <w:szCs w:val="21"/>
              </w:rPr>
            </w:pPr>
            <w:r>
              <w:rPr>
                <w:rFonts w:ascii="宋体" w:hAnsi="宋体"/>
                <w:szCs w:val="21"/>
              </w:rPr>
              <w:t>详见本章附件： 废标条件</w:t>
            </w:r>
          </w:p>
        </w:tc>
      </w:tr>
    </w:tbl>
    <w:p>
      <w:pPr>
        <w:rPr>
          <w:rFonts w:ascii="宋体"/>
          <w:color w:val="000000"/>
          <w:szCs w:val="21"/>
          <w:highlight w:val="cyan"/>
        </w:rPr>
        <w:sectPr>
          <w:footerReference r:id="rId3" w:type="default"/>
          <w:pgSz w:w="11906" w:h="16838"/>
          <w:pgMar w:top="1588" w:right="1701" w:bottom="1418" w:left="1701" w:header="851" w:footer="851" w:gutter="0"/>
          <w:pgNumType w:start="0"/>
          <w:cols w:space="720" w:num="1"/>
          <w:titlePg/>
          <w:docGrid w:type="lines" w:linePitch="312" w:charSpace="0"/>
        </w:sectPr>
      </w:pPr>
    </w:p>
    <w:bookmarkEnd w:id="164"/>
    <w:p>
      <w:pPr>
        <w:pStyle w:val="6"/>
        <w:spacing w:line="460" w:lineRule="exact"/>
        <w:ind w:left="198" w:leftChars="47" w:hanging="99" w:hangingChars="47"/>
        <w:outlineLvl w:val="0"/>
        <w:rPr>
          <w:rFonts w:ascii="宋体"/>
          <w:b/>
          <w:bCs/>
        </w:rPr>
      </w:pPr>
      <w:bookmarkStart w:id="165" w:name="_Toc352689445"/>
      <w:bookmarkStart w:id="166" w:name="_Toc5177"/>
      <w:r>
        <w:rPr>
          <w:rFonts w:hint="eastAsia" w:ascii="宋体" w:hAnsi="宋体" w:cs="宋体"/>
          <w:b/>
          <w:bCs/>
        </w:rPr>
        <w:t>评审方法及标准：</w:t>
      </w:r>
      <w:bookmarkEnd w:id="165"/>
      <w:bookmarkEnd w:id="166"/>
    </w:p>
    <w:tbl>
      <w:tblPr>
        <w:tblStyle w:val="16"/>
        <w:tblpPr w:leftFromText="180" w:rightFromText="180" w:horzAnchor="margin" w:tblpXSpec="center" w:tblpY="570"/>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2552" w:type="dxa"/>
            <w:gridSpan w:val="2"/>
            <w:vAlign w:val="center"/>
          </w:tcPr>
          <w:p>
            <w:pPr>
              <w:snapToGrid w:val="0"/>
              <w:spacing w:line="400" w:lineRule="exact"/>
              <w:jc w:val="center"/>
              <w:rPr>
                <w:rFonts w:ascii="宋体"/>
                <w:b/>
                <w:bCs/>
                <w:color w:val="000000"/>
                <w:sz w:val="24"/>
              </w:rPr>
            </w:pPr>
            <w:r>
              <w:rPr>
                <w:rFonts w:hint="eastAsia" w:ascii="宋体" w:hAnsi="宋体" w:cs="宋体"/>
                <w:b/>
                <w:bCs/>
                <w:color w:val="000000"/>
                <w:sz w:val="24"/>
              </w:rPr>
              <w:t>评分项目</w:t>
            </w:r>
          </w:p>
        </w:tc>
        <w:tc>
          <w:tcPr>
            <w:tcW w:w="7371" w:type="dxa"/>
            <w:vAlign w:val="center"/>
          </w:tcPr>
          <w:p>
            <w:pPr>
              <w:snapToGrid w:val="0"/>
              <w:spacing w:line="400" w:lineRule="exact"/>
              <w:jc w:val="center"/>
              <w:rPr>
                <w:rFonts w:ascii="宋体"/>
                <w:b/>
                <w:bCs/>
                <w:color w:val="000000"/>
                <w:sz w:val="24"/>
              </w:rPr>
            </w:pPr>
            <w:r>
              <w:rPr>
                <w:rFonts w:hint="eastAsia" w:ascii="宋体" w:hAnsi="宋体" w:cs="宋体"/>
                <w:b/>
                <w:bCs/>
                <w:color w:val="000000"/>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53" w:hRule="atLeast"/>
        </w:trPr>
        <w:tc>
          <w:tcPr>
            <w:tcW w:w="851" w:type="dxa"/>
            <w:vMerge w:val="restart"/>
            <w:vAlign w:val="center"/>
          </w:tcPr>
          <w:p>
            <w:pPr>
              <w:snapToGrid w:val="0"/>
              <w:spacing w:line="440" w:lineRule="exact"/>
              <w:jc w:val="center"/>
              <w:rPr>
                <w:rFonts w:ascii="宋体"/>
                <w:b/>
                <w:bCs/>
                <w:sz w:val="24"/>
              </w:rPr>
            </w:pPr>
            <w:r>
              <w:rPr>
                <w:rFonts w:hint="eastAsia" w:ascii="宋体" w:hAnsi="宋体" w:cs="宋体"/>
                <w:b/>
                <w:bCs/>
                <w:sz w:val="24"/>
              </w:rPr>
              <w:t>商务</w:t>
            </w:r>
          </w:p>
          <w:p>
            <w:pPr>
              <w:snapToGrid w:val="0"/>
              <w:spacing w:line="440" w:lineRule="exact"/>
              <w:jc w:val="center"/>
              <w:rPr>
                <w:rFonts w:ascii="宋体"/>
                <w:b/>
                <w:bCs/>
                <w:sz w:val="24"/>
              </w:rPr>
            </w:pPr>
            <w:r>
              <w:rPr>
                <w:rFonts w:hint="eastAsia" w:ascii="宋体" w:hAnsi="宋体" w:cs="宋体"/>
                <w:b/>
                <w:bCs/>
                <w:sz w:val="24"/>
              </w:rPr>
              <w:t>部分</w:t>
            </w:r>
          </w:p>
          <w:p>
            <w:pPr>
              <w:snapToGrid w:val="0"/>
              <w:spacing w:line="440" w:lineRule="exact"/>
              <w:jc w:val="center"/>
              <w:rPr>
                <w:rFonts w:ascii="宋体"/>
                <w:b/>
                <w:bCs/>
                <w:sz w:val="24"/>
              </w:rPr>
            </w:pPr>
            <w:r>
              <w:rPr>
                <w:rFonts w:ascii="宋体" w:hAnsi="宋体"/>
                <w:b/>
                <w:bCs/>
                <w:sz w:val="24"/>
              </w:rPr>
              <w:t>76</w:t>
            </w:r>
            <w:r>
              <w:rPr>
                <w:rFonts w:hint="eastAsia" w:ascii="宋体" w:hAnsi="宋体" w:cs="宋体"/>
                <w:b/>
                <w:bCs/>
                <w:sz w:val="24"/>
              </w:rPr>
              <w:t>分</w:t>
            </w:r>
          </w:p>
          <w:p>
            <w:pPr>
              <w:snapToGrid w:val="0"/>
              <w:spacing w:line="440" w:lineRule="exact"/>
              <w:jc w:val="center"/>
              <w:rPr>
                <w:rFonts w:ascii="宋体"/>
                <w:b/>
                <w:bCs/>
                <w:sz w:val="24"/>
              </w:rPr>
            </w:pPr>
          </w:p>
        </w:tc>
        <w:tc>
          <w:tcPr>
            <w:tcW w:w="1701" w:type="dxa"/>
            <w:vAlign w:val="center"/>
          </w:tcPr>
          <w:p>
            <w:pPr>
              <w:snapToGrid w:val="0"/>
              <w:spacing w:line="440" w:lineRule="exact"/>
              <w:jc w:val="center"/>
              <w:rPr>
                <w:rFonts w:ascii="宋体" w:hAnsi="宋体"/>
                <w:b/>
                <w:bCs/>
                <w:sz w:val="24"/>
              </w:rPr>
            </w:pPr>
          </w:p>
          <w:p>
            <w:pPr>
              <w:snapToGrid w:val="0"/>
              <w:spacing w:line="440" w:lineRule="exact"/>
              <w:jc w:val="center"/>
              <w:rPr>
                <w:rFonts w:ascii="宋体"/>
                <w:b/>
                <w:bCs/>
                <w:sz w:val="24"/>
              </w:rPr>
            </w:pPr>
            <w:r>
              <w:rPr>
                <w:rFonts w:hint="eastAsia" w:ascii="宋体" w:hAnsi="宋体" w:cs="宋体"/>
                <w:b/>
                <w:bCs/>
                <w:sz w:val="24"/>
              </w:rPr>
              <w:t>报价部分</w:t>
            </w:r>
          </w:p>
          <w:p>
            <w:pPr>
              <w:snapToGrid w:val="0"/>
              <w:spacing w:line="440" w:lineRule="exact"/>
              <w:jc w:val="center"/>
              <w:rPr>
                <w:rFonts w:ascii="宋体"/>
                <w:b/>
                <w:bCs/>
                <w:sz w:val="24"/>
              </w:rPr>
            </w:pPr>
            <w:r>
              <w:rPr>
                <w:rFonts w:ascii="宋体" w:hAnsi="宋体" w:cs="宋体"/>
                <w:b/>
                <w:bCs/>
                <w:sz w:val="24"/>
              </w:rPr>
              <w:t>70</w:t>
            </w:r>
            <w:r>
              <w:rPr>
                <w:rFonts w:hint="eastAsia" w:ascii="宋体" w:hAnsi="宋体" w:cs="宋体"/>
                <w:b/>
                <w:bCs/>
                <w:sz w:val="24"/>
              </w:rPr>
              <w:t>分</w:t>
            </w:r>
          </w:p>
        </w:tc>
        <w:tc>
          <w:tcPr>
            <w:tcW w:w="7371" w:type="dxa"/>
          </w:tcPr>
          <w:p>
            <w:pPr>
              <w:spacing w:line="400" w:lineRule="exact"/>
              <w:rPr>
                <w:rFonts w:ascii="宋体"/>
              </w:rPr>
            </w:pPr>
            <w:r>
              <w:rPr>
                <w:rFonts w:ascii="宋体" w:hAnsi="宋体"/>
              </w:rPr>
              <w:t>1</w:t>
            </w:r>
            <w:r>
              <w:rPr>
                <w:rFonts w:hint="eastAsia" w:ascii="宋体" w:hAnsi="宋体" w:cs="宋体"/>
              </w:rPr>
              <w:t>、所有合格供应商（供应商少于或等于</w:t>
            </w:r>
            <w:r>
              <w:rPr>
                <w:rFonts w:ascii="宋体" w:hAnsi="宋体"/>
              </w:rPr>
              <w:t>5</w:t>
            </w:r>
            <w:r>
              <w:rPr>
                <w:rFonts w:hint="eastAsia" w:ascii="宋体" w:hAnsi="宋体" w:cs="宋体"/>
              </w:rPr>
              <w:t>家，经磋商小组会评审确认的合理有效的投标报价的算术平均值；投标报价超过</w:t>
            </w:r>
            <w:r>
              <w:rPr>
                <w:rFonts w:ascii="宋体" w:hAnsi="宋体"/>
              </w:rPr>
              <w:t>5</w:t>
            </w:r>
            <w:r>
              <w:rPr>
                <w:rFonts w:hint="eastAsia" w:ascii="宋体" w:hAnsi="宋体" w:cs="宋体"/>
              </w:rPr>
              <w:t>家，且少于等于</w:t>
            </w:r>
            <w:r>
              <w:rPr>
                <w:rFonts w:ascii="宋体" w:hAnsi="宋体"/>
              </w:rPr>
              <w:t>7</w:t>
            </w:r>
            <w:r>
              <w:rPr>
                <w:rFonts w:hint="eastAsia" w:ascii="宋体" w:hAnsi="宋体" w:cs="宋体"/>
              </w:rPr>
              <w:t>家，报价去掉一个最高值；投标报价超过</w:t>
            </w:r>
            <w:r>
              <w:rPr>
                <w:rFonts w:ascii="宋体" w:hAnsi="宋体"/>
              </w:rPr>
              <w:t>7</w:t>
            </w:r>
            <w:r>
              <w:rPr>
                <w:rFonts w:hint="eastAsia" w:ascii="宋体" w:hAnsi="宋体" w:cs="宋体"/>
              </w:rPr>
              <w:t>家，且少于等于</w:t>
            </w:r>
            <w:r>
              <w:rPr>
                <w:rFonts w:ascii="宋体" w:hAnsi="宋体"/>
              </w:rPr>
              <w:t>9</w:t>
            </w:r>
            <w:r>
              <w:rPr>
                <w:rFonts w:hint="eastAsia" w:ascii="宋体" w:hAnsi="宋体" w:cs="宋体"/>
              </w:rPr>
              <w:t>家，报价去掉一个最高值和一个最低值；投标报价超过</w:t>
            </w:r>
            <w:r>
              <w:rPr>
                <w:rFonts w:ascii="宋体" w:hAnsi="宋体"/>
              </w:rPr>
              <w:t>9</w:t>
            </w:r>
            <w:r>
              <w:rPr>
                <w:rFonts w:hint="eastAsia" w:ascii="宋体" w:hAnsi="宋体" w:cs="宋体"/>
              </w:rPr>
              <w:t>家，报价去掉两个最高值，一个最低值）报价的算术平均值乘以</w:t>
            </w:r>
            <w:r>
              <w:rPr>
                <w:rFonts w:ascii="宋体" w:hAnsi="宋体"/>
              </w:rPr>
              <w:t>97%</w:t>
            </w:r>
            <w:r>
              <w:rPr>
                <w:rFonts w:hint="eastAsia" w:ascii="宋体" w:hAnsi="宋体" w:cs="宋体"/>
              </w:rPr>
              <w:t>为评标基准值。</w:t>
            </w:r>
          </w:p>
          <w:p>
            <w:pPr>
              <w:snapToGrid w:val="0"/>
              <w:spacing w:line="400" w:lineRule="exact"/>
              <w:rPr>
                <w:rFonts w:ascii="宋体"/>
              </w:rPr>
            </w:pPr>
            <w:r>
              <w:rPr>
                <w:rFonts w:ascii="宋体" w:hAnsi="宋体"/>
              </w:rPr>
              <w:t>2</w:t>
            </w:r>
            <w:r>
              <w:rPr>
                <w:rFonts w:hint="eastAsia" w:ascii="宋体" w:hAnsi="宋体" w:cs="宋体"/>
              </w:rPr>
              <w:t>、各供应商的总报价分别与该项基准价比较，与该项基准价相同得满分；比该项基准价每高</w:t>
            </w:r>
            <w:r>
              <w:rPr>
                <w:rFonts w:ascii="宋体" w:hAnsi="宋体"/>
              </w:rPr>
              <w:t>1%</w:t>
            </w:r>
            <w:r>
              <w:rPr>
                <w:rFonts w:hint="eastAsia" w:ascii="宋体" w:hAnsi="宋体" w:cs="宋体"/>
              </w:rPr>
              <w:t>减</w:t>
            </w:r>
            <w:r>
              <w:rPr>
                <w:rFonts w:ascii="宋体" w:hAnsi="宋体"/>
              </w:rPr>
              <w:t>1</w:t>
            </w:r>
            <w:r>
              <w:rPr>
                <w:rFonts w:hint="eastAsia" w:ascii="宋体" w:hAnsi="宋体" w:cs="宋体"/>
              </w:rPr>
              <w:t>分；每低</w:t>
            </w:r>
            <w:r>
              <w:rPr>
                <w:rFonts w:ascii="宋体" w:hAnsi="宋体"/>
              </w:rPr>
              <w:t>1%</w:t>
            </w:r>
            <w:r>
              <w:rPr>
                <w:rFonts w:hint="eastAsia" w:ascii="宋体" w:hAnsi="宋体" w:cs="宋体"/>
              </w:rPr>
              <w:t>减</w:t>
            </w:r>
            <w:r>
              <w:rPr>
                <w:rFonts w:ascii="宋体" w:hAnsi="宋体"/>
              </w:rPr>
              <w:t>0.5</w:t>
            </w:r>
            <w:r>
              <w:rPr>
                <w:rFonts w:hint="eastAsia" w:ascii="宋体" w:hAnsi="宋体" w:cs="宋体"/>
              </w:rPr>
              <w:t>分，减完为止。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9" w:hRule="atLeast"/>
        </w:trPr>
        <w:tc>
          <w:tcPr>
            <w:tcW w:w="851" w:type="dxa"/>
            <w:vMerge w:val="continue"/>
            <w:vAlign w:val="center"/>
          </w:tcPr>
          <w:p>
            <w:pPr>
              <w:snapToGrid w:val="0"/>
              <w:spacing w:line="440" w:lineRule="exact"/>
              <w:jc w:val="center"/>
              <w:rPr>
                <w:rFonts w:ascii="宋体"/>
                <w:b/>
                <w:bCs/>
                <w:sz w:val="24"/>
              </w:rPr>
            </w:pPr>
          </w:p>
        </w:tc>
        <w:tc>
          <w:tcPr>
            <w:tcW w:w="1701" w:type="dxa"/>
            <w:vAlign w:val="center"/>
          </w:tcPr>
          <w:p>
            <w:pPr>
              <w:snapToGrid w:val="0"/>
              <w:spacing w:line="440" w:lineRule="exact"/>
              <w:jc w:val="center"/>
              <w:rPr>
                <w:rFonts w:ascii="宋体"/>
                <w:b/>
                <w:bCs/>
                <w:sz w:val="24"/>
              </w:rPr>
            </w:pPr>
            <w:r>
              <w:rPr>
                <w:rFonts w:hint="eastAsia" w:ascii="宋体" w:hAnsi="宋体"/>
                <w:b/>
                <w:bCs/>
                <w:sz w:val="24"/>
              </w:rPr>
              <w:t>组价合理性</w:t>
            </w:r>
          </w:p>
          <w:p>
            <w:pPr>
              <w:snapToGrid w:val="0"/>
              <w:spacing w:line="440" w:lineRule="exact"/>
              <w:jc w:val="center"/>
              <w:rPr>
                <w:rFonts w:ascii="宋体"/>
                <w:b/>
                <w:bCs/>
                <w:sz w:val="24"/>
              </w:rPr>
            </w:pPr>
            <w:r>
              <w:rPr>
                <w:rFonts w:ascii="宋体" w:hAnsi="宋体"/>
                <w:b/>
                <w:bCs/>
                <w:sz w:val="24"/>
              </w:rPr>
              <w:t>3</w:t>
            </w:r>
            <w:r>
              <w:rPr>
                <w:rFonts w:hint="eastAsia" w:ascii="宋体" w:hAnsi="宋体"/>
                <w:b/>
                <w:bCs/>
                <w:sz w:val="24"/>
              </w:rPr>
              <w:t>分</w:t>
            </w:r>
          </w:p>
        </w:tc>
        <w:tc>
          <w:tcPr>
            <w:tcW w:w="7371" w:type="dxa"/>
          </w:tcPr>
          <w:p>
            <w:pPr>
              <w:spacing w:line="400" w:lineRule="exact"/>
              <w:rPr>
                <w:rFonts w:ascii="宋体"/>
              </w:rPr>
            </w:pPr>
            <w:r>
              <w:rPr>
                <w:rFonts w:ascii="宋体" w:hAnsi="宋体" w:cs="宋体"/>
              </w:rPr>
              <w:t>1</w:t>
            </w:r>
            <w:r>
              <w:rPr>
                <w:rFonts w:hint="eastAsia" w:ascii="宋体" w:hAnsi="宋体" w:cs="宋体"/>
              </w:rPr>
              <w:t>、综合单价的组成及分析，符合计价规范得</w:t>
            </w:r>
            <w:r>
              <w:rPr>
                <w:rFonts w:ascii="宋体" w:hAnsi="宋体" w:cs="宋体"/>
              </w:rPr>
              <w:t>2</w:t>
            </w:r>
            <w:r>
              <w:rPr>
                <w:rFonts w:hint="eastAsia" w:ascii="宋体" w:hAnsi="宋体" w:cs="宋体"/>
              </w:rPr>
              <w:t>分；不符合计价规范，酌情扣分。</w:t>
            </w:r>
          </w:p>
          <w:p>
            <w:pPr>
              <w:snapToGrid w:val="0"/>
              <w:spacing w:line="400" w:lineRule="exact"/>
              <w:rPr>
                <w:rFonts w:ascii="宋体"/>
              </w:rPr>
            </w:pPr>
            <w:r>
              <w:rPr>
                <w:rFonts w:ascii="宋体" w:hAnsi="宋体" w:cs="宋体"/>
              </w:rPr>
              <w:t>2</w:t>
            </w:r>
            <w:r>
              <w:rPr>
                <w:rFonts w:hint="eastAsia" w:ascii="宋体" w:hAnsi="宋体" w:cs="宋体"/>
              </w:rPr>
              <w:t>、报价表格齐全规范得</w:t>
            </w:r>
            <w:r>
              <w:rPr>
                <w:rFonts w:ascii="宋体" w:hAnsi="宋体" w:cs="宋体"/>
              </w:rPr>
              <w:t>1</w:t>
            </w:r>
            <w:r>
              <w:rPr>
                <w:rFonts w:hint="eastAsia" w:ascii="宋体" w:hAnsi="宋体" w:cs="宋体"/>
              </w:rPr>
              <w:t>分，不符合要求每发现一处扣</w:t>
            </w:r>
            <w:r>
              <w:rPr>
                <w:rFonts w:ascii="宋体" w:hAnsi="宋体" w:cs="宋体"/>
              </w:rPr>
              <w:t>0.5</w:t>
            </w:r>
            <w:r>
              <w:rPr>
                <w:rFonts w:hint="eastAsia" w:ascii="宋体" w:hAnsi="宋体" w:cs="宋体"/>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9" w:hRule="atLeast"/>
        </w:trPr>
        <w:tc>
          <w:tcPr>
            <w:tcW w:w="851" w:type="dxa"/>
            <w:vMerge w:val="continue"/>
            <w:vAlign w:val="center"/>
          </w:tcPr>
          <w:p>
            <w:pPr>
              <w:widowControl/>
              <w:jc w:val="left"/>
              <w:rPr>
                <w:rFonts w:ascii="宋体"/>
                <w:b/>
                <w:bCs/>
                <w:sz w:val="24"/>
              </w:rPr>
            </w:pPr>
          </w:p>
        </w:tc>
        <w:tc>
          <w:tcPr>
            <w:tcW w:w="1701" w:type="dxa"/>
            <w:vAlign w:val="center"/>
          </w:tcPr>
          <w:p>
            <w:pPr>
              <w:snapToGrid w:val="0"/>
              <w:spacing w:line="440" w:lineRule="exact"/>
              <w:jc w:val="center"/>
              <w:rPr>
                <w:rFonts w:ascii="宋体"/>
                <w:b/>
                <w:bCs/>
                <w:sz w:val="24"/>
              </w:rPr>
            </w:pPr>
            <w:r>
              <w:rPr>
                <w:rFonts w:hint="eastAsia" w:ascii="宋体" w:hAnsi="宋体"/>
                <w:b/>
                <w:bCs/>
                <w:sz w:val="24"/>
              </w:rPr>
              <w:t>企业业绩</w:t>
            </w:r>
          </w:p>
          <w:p>
            <w:pPr>
              <w:snapToGrid w:val="0"/>
              <w:spacing w:line="440" w:lineRule="exact"/>
              <w:jc w:val="center"/>
              <w:rPr>
                <w:rFonts w:ascii="宋体"/>
                <w:b/>
                <w:bCs/>
                <w:sz w:val="24"/>
              </w:rPr>
            </w:pPr>
            <w:r>
              <w:rPr>
                <w:rFonts w:ascii="宋体" w:hAnsi="宋体"/>
                <w:b/>
                <w:bCs/>
                <w:sz w:val="24"/>
              </w:rPr>
              <w:t>3</w:t>
            </w:r>
            <w:r>
              <w:rPr>
                <w:rFonts w:hint="eastAsia" w:ascii="宋体" w:hAnsi="宋体"/>
                <w:b/>
                <w:bCs/>
                <w:sz w:val="24"/>
              </w:rPr>
              <w:t>分</w:t>
            </w:r>
          </w:p>
        </w:tc>
        <w:tc>
          <w:tcPr>
            <w:tcW w:w="7371" w:type="dxa"/>
            <w:vAlign w:val="center"/>
          </w:tcPr>
          <w:p>
            <w:pPr>
              <w:ind w:right="113"/>
              <w:rPr>
                <w:rFonts w:ascii="宋体"/>
                <w:szCs w:val="21"/>
              </w:rPr>
            </w:pPr>
            <w:r>
              <w:rPr>
                <w:rFonts w:hint="eastAsia" w:ascii="宋体" w:hAnsi="宋体"/>
                <w:szCs w:val="21"/>
              </w:rPr>
              <w:t>自</w:t>
            </w:r>
            <w:r>
              <w:rPr>
                <w:rFonts w:ascii="宋体" w:hAnsi="宋体"/>
                <w:szCs w:val="21"/>
              </w:rPr>
              <w:t>2014</w:t>
            </w:r>
            <w:r>
              <w:rPr>
                <w:rFonts w:hint="eastAsia" w:ascii="宋体" w:hAnsi="宋体"/>
                <w:szCs w:val="21"/>
              </w:rPr>
              <w:t>年</w:t>
            </w:r>
            <w:r>
              <w:rPr>
                <w:rFonts w:ascii="宋体" w:hAnsi="宋体"/>
                <w:szCs w:val="21"/>
              </w:rPr>
              <w:t>1</w:t>
            </w:r>
            <w:r>
              <w:rPr>
                <w:rFonts w:hint="eastAsia" w:ascii="宋体" w:hAnsi="宋体"/>
                <w:szCs w:val="21"/>
              </w:rPr>
              <w:t>月</w:t>
            </w:r>
            <w:r>
              <w:rPr>
                <w:rFonts w:ascii="宋体" w:hAnsi="宋体"/>
                <w:szCs w:val="21"/>
              </w:rPr>
              <w:t>1</w:t>
            </w:r>
            <w:r>
              <w:rPr>
                <w:rFonts w:hint="eastAsia" w:ascii="宋体" w:hAnsi="宋体"/>
                <w:szCs w:val="21"/>
              </w:rPr>
              <w:t>日以来施工的类似项目：类似项目是指合同额为</w:t>
            </w:r>
            <w:r>
              <w:rPr>
                <w:rFonts w:ascii="宋体" w:hAnsi="宋体"/>
                <w:szCs w:val="21"/>
              </w:rPr>
              <w:t>20</w:t>
            </w:r>
            <w:r>
              <w:rPr>
                <w:rFonts w:hint="eastAsia" w:ascii="宋体" w:hAnsi="宋体"/>
                <w:szCs w:val="21"/>
              </w:rPr>
              <w:t>万元及以上的改造工程。时间以合同签订时间为准，每有一项加</w:t>
            </w:r>
            <w:r>
              <w:rPr>
                <w:rFonts w:ascii="宋体" w:hAnsi="宋体"/>
                <w:szCs w:val="21"/>
              </w:rPr>
              <w:t>1</w:t>
            </w:r>
            <w:r>
              <w:rPr>
                <w:rFonts w:hint="eastAsia" w:ascii="宋体" w:hAnsi="宋体"/>
                <w:szCs w:val="21"/>
              </w:rPr>
              <w:t>分，最多加</w:t>
            </w:r>
            <w:r>
              <w:rPr>
                <w:rFonts w:ascii="宋体" w:hAnsi="宋体"/>
                <w:szCs w:val="21"/>
              </w:rPr>
              <w:t>3</w:t>
            </w:r>
            <w:r>
              <w:rPr>
                <w:rFonts w:hint="eastAsia" w:ascii="宋体" w:hAnsi="宋体"/>
                <w:szCs w:val="21"/>
              </w:rPr>
              <w:t>分。</w:t>
            </w:r>
            <w:r>
              <w:rPr>
                <w:rFonts w:hint="eastAsia" w:ascii="宋体" w:hAnsi="宋体"/>
                <w:b/>
                <w:bCs/>
                <w:szCs w:val="21"/>
              </w:rPr>
              <w:t>（提供类似项目合同原件或复印件加盖公章，同时复印件要求做在响应文件中，否则不予以计分）。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trPr>
        <w:tc>
          <w:tcPr>
            <w:tcW w:w="851" w:type="dxa"/>
            <w:vMerge w:val="restart"/>
            <w:vAlign w:val="center"/>
          </w:tcPr>
          <w:p>
            <w:pPr>
              <w:snapToGrid w:val="0"/>
              <w:spacing w:line="440" w:lineRule="exact"/>
              <w:jc w:val="center"/>
              <w:rPr>
                <w:rFonts w:ascii="宋体"/>
                <w:b/>
                <w:bCs/>
                <w:color w:val="000000"/>
                <w:sz w:val="24"/>
              </w:rPr>
            </w:pPr>
            <w:r>
              <w:rPr>
                <w:rFonts w:hint="eastAsia" w:ascii="宋体" w:hAnsi="宋体" w:cs="宋体"/>
                <w:b/>
                <w:bCs/>
                <w:color w:val="000000"/>
                <w:sz w:val="24"/>
              </w:rPr>
              <w:t>技术</w:t>
            </w:r>
          </w:p>
          <w:p>
            <w:pPr>
              <w:snapToGrid w:val="0"/>
              <w:spacing w:line="440" w:lineRule="exact"/>
              <w:jc w:val="center"/>
              <w:rPr>
                <w:rFonts w:ascii="宋体"/>
                <w:b/>
                <w:bCs/>
                <w:color w:val="000000"/>
                <w:sz w:val="24"/>
              </w:rPr>
            </w:pPr>
            <w:r>
              <w:rPr>
                <w:rFonts w:hint="eastAsia" w:ascii="宋体" w:hAnsi="宋体" w:cs="宋体"/>
                <w:b/>
                <w:bCs/>
                <w:color w:val="000000"/>
                <w:sz w:val="24"/>
              </w:rPr>
              <w:t>部分</w:t>
            </w:r>
          </w:p>
          <w:p>
            <w:pPr>
              <w:snapToGrid w:val="0"/>
              <w:spacing w:line="440" w:lineRule="exact"/>
              <w:jc w:val="center"/>
              <w:rPr>
                <w:rFonts w:ascii="宋体"/>
                <w:b/>
                <w:bCs/>
                <w:color w:val="000000"/>
                <w:sz w:val="24"/>
              </w:rPr>
            </w:pPr>
            <w:r>
              <w:rPr>
                <w:rFonts w:ascii="宋体" w:hAnsi="宋体"/>
                <w:b/>
                <w:bCs/>
                <w:color w:val="000000"/>
                <w:sz w:val="24"/>
              </w:rPr>
              <w:t>24</w:t>
            </w:r>
            <w:r>
              <w:rPr>
                <w:rFonts w:hint="eastAsia" w:ascii="宋体" w:hAnsi="宋体" w:cs="宋体"/>
                <w:b/>
                <w:bCs/>
                <w:color w:val="000000"/>
                <w:sz w:val="24"/>
              </w:rPr>
              <w:t>分</w:t>
            </w:r>
          </w:p>
        </w:tc>
        <w:tc>
          <w:tcPr>
            <w:tcW w:w="1701" w:type="dxa"/>
            <w:vMerge w:val="restart"/>
            <w:vAlign w:val="center"/>
          </w:tcPr>
          <w:p>
            <w:pPr>
              <w:snapToGrid w:val="0"/>
              <w:spacing w:line="440" w:lineRule="exact"/>
              <w:jc w:val="center"/>
              <w:rPr>
                <w:rFonts w:ascii="宋体"/>
                <w:b/>
                <w:bCs/>
                <w:color w:val="000000"/>
                <w:sz w:val="24"/>
              </w:rPr>
            </w:pPr>
            <w:r>
              <w:rPr>
                <w:rFonts w:hint="eastAsia" w:ascii="宋体" w:hAnsi="宋体" w:cs="宋体"/>
                <w:b/>
                <w:bCs/>
                <w:color w:val="000000"/>
                <w:sz w:val="24"/>
              </w:rPr>
              <w:t>施工</w:t>
            </w:r>
          </w:p>
          <w:p>
            <w:pPr>
              <w:snapToGrid w:val="0"/>
              <w:spacing w:line="440" w:lineRule="exact"/>
              <w:jc w:val="center"/>
              <w:rPr>
                <w:rFonts w:ascii="宋体"/>
                <w:b/>
                <w:bCs/>
                <w:color w:val="000000"/>
                <w:sz w:val="24"/>
              </w:rPr>
            </w:pPr>
            <w:r>
              <w:rPr>
                <w:rFonts w:hint="eastAsia" w:ascii="宋体" w:hAnsi="宋体" w:cs="宋体"/>
                <w:b/>
                <w:bCs/>
                <w:color w:val="000000"/>
                <w:sz w:val="24"/>
              </w:rPr>
              <w:t>方案</w:t>
            </w:r>
          </w:p>
          <w:p>
            <w:pPr>
              <w:snapToGrid w:val="0"/>
              <w:spacing w:line="440" w:lineRule="exact"/>
              <w:jc w:val="center"/>
              <w:rPr>
                <w:rFonts w:ascii="宋体"/>
                <w:b/>
                <w:bCs/>
                <w:color w:val="000000"/>
                <w:sz w:val="24"/>
              </w:rPr>
            </w:pPr>
            <w:r>
              <w:rPr>
                <w:rFonts w:ascii="宋体" w:hAnsi="宋体" w:cs="宋体"/>
                <w:b/>
                <w:bCs/>
                <w:color w:val="000000"/>
                <w:sz w:val="24"/>
              </w:rPr>
              <w:t>21</w:t>
            </w:r>
            <w:r>
              <w:rPr>
                <w:rFonts w:hint="eastAsia" w:ascii="宋体" w:hAnsi="宋体" w:cs="宋体"/>
                <w:b/>
                <w:bCs/>
                <w:color w:val="000000"/>
                <w:sz w:val="24"/>
              </w:rPr>
              <w:t>分</w:t>
            </w:r>
          </w:p>
        </w:tc>
        <w:tc>
          <w:tcPr>
            <w:tcW w:w="7371" w:type="dxa"/>
            <w:vAlign w:val="center"/>
          </w:tcPr>
          <w:p>
            <w:pPr>
              <w:tabs>
                <w:tab w:val="left" w:pos="7854"/>
              </w:tabs>
              <w:spacing w:line="400" w:lineRule="exact"/>
              <w:rPr>
                <w:rFonts w:ascii="宋体"/>
                <w:color w:val="000000"/>
              </w:rPr>
            </w:pPr>
            <w:r>
              <w:rPr>
                <w:rFonts w:ascii="宋体" w:hAnsi="宋体"/>
                <w:color w:val="000000"/>
              </w:rPr>
              <w:t>1</w:t>
            </w:r>
            <w:r>
              <w:rPr>
                <w:rFonts w:hint="eastAsia" w:ascii="宋体" w:hAnsi="宋体" w:cs="宋体"/>
                <w:color w:val="000000"/>
              </w:rPr>
              <w:t>、总体施工方案、主要施工方法、主要施工管理措施、夜间施工方案内容正确，切实可行并能体现本工程的实际需要，磋商小组会根据响应文件酌情</w:t>
            </w:r>
            <w:r>
              <w:rPr>
                <w:rFonts w:ascii="宋体" w:hAnsi="宋体" w:cs="宋体"/>
                <w:color w:val="000000"/>
              </w:rPr>
              <w:t>0-5</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8" w:hRule="atLeast"/>
        </w:trPr>
        <w:tc>
          <w:tcPr>
            <w:tcW w:w="851" w:type="dxa"/>
            <w:vMerge w:val="continue"/>
            <w:vAlign w:val="center"/>
          </w:tcPr>
          <w:p>
            <w:pPr>
              <w:widowControl/>
              <w:jc w:val="left"/>
              <w:rPr>
                <w:rFonts w:ascii="宋体"/>
                <w:b/>
                <w:bCs/>
                <w:color w:val="000000"/>
                <w:sz w:val="24"/>
              </w:rPr>
            </w:pPr>
          </w:p>
        </w:tc>
        <w:tc>
          <w:tcPr>
            <w:tcW w:w="1701" w:type="dxa"/>
            <w:vMerge w:val="continue"/>
            <w:vAlign w:val="center"/>
          </w:tcPr>
          <w:p>
            <w:pPr>
              <w:widowControl/>
              <w:jc w:val="left"/>
              <w:rPr>
                <w:rFonts w:ascii="宋体"/>
                <w:b/>
                <w:bCs/>
                <w:color w:val="000000"/>
                <w:sz w:val="24"/>
              </w:rPr>
            </w:pPr>
          </w:p>
        </w:tc>
        <w:tc>
          <w:tcPr>
            <w:tcW w:w="7371" w:type="dxa"/>
            <w:vAlign w:val="center"/>
          </w:tcPr>
          <w:p>
            <w:pPr>
              <w:tabs>
                <w:tab w:val="left" w:pos="7854"/>
              </w:tabs>
              <w:spacing w:line="400" w:lineRule="exact"/>
              <w:rPr>
                <w:rFonts w:ascii="宋体"/>
                <w:color w:val="000000"/>
              </w:rPr>
            </w:pPr>
            <w:r>
              <w:rPr>
                <w:rFonts w:ascii="宋体" w:hAnsi="宋体"/>
                <w:color w:val="000000"/>
              </w:rPr>
              <w:t>2</w:t>
            </w:r>
            <w:r>
              <w:rPr>
                <w:rFonts w:hint="eastAsia" w:ascii="宋体" w:hAnsi="宋体" w:cs="宋体"/>
                <w:color w:val="000000"/>
              </w:rPr>
              <w:t>、工期安排合理，有切实可行的保证措施，能承诺确保按照采购人工期要求竣工；保证工期的措施得力可靠，施工进度计划安排合理，并有明确计划安排供应方案和相应保障措施，磋商小组会根据响应文件酌情</w:t>
            </w:r>
            <w:r>
              <w:rPr>
                <w:rFonts w:ascii="宋体" w:hAnsi="宋体" w:cs="宋体"/>
                <w:color w:val="000000"/>
              </w:rPr>
              <w:t>0-3</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trPr>
        <w:tc>
          <w:tcPr>
            <w:tcW w:w="851" w:type="dxa"/>
            <w:vMerge w:val="continue"/>
            <w:vAlign w:val="center"/>
          </w:tcPr>
          <w:p>
            <w:pPr>
              <w:widowControl/>
              <w:jc w:val="left"/>
              <w:rPr>
                <w:rFonts w:ascii="宋体"/>
                <w:b/>
                <w:bCs/>
                <w:color w:val="000000"/>
                <w:sz w:val="24"/>
              </w:rPr>
            </w:pPr>
          </w:p>
        </w:tc>
        <w:tc>
          <w:tcPr>
            <w:tcW w:w="1701" w:type="dxa"/>
            <w:vMerge w:val="continue"/>
            <w:vAlign w:val="center"/>
          </w:tcPr>
          <w:p>
            <w:pPr>
              <w:widowControl/>
              <w:jc w:val="left"/>
              <w:rPr>
                <w:rFonts w:ascii="宋体"/>
                <w:b/>
                <w:bCs/>
                <w:color w:val="000000"/>
                <w:sz w:val="24"/>
              </w:rPr>
            </w:pPr>
          </w:p>
        </w:tc>
        <w:tc>
          <w:tcPr>
            <w:tcW w:w="7371" w:type="dxa"/>
            <w:vAlign w:val="center"/>
          </w:tcPr>
          <w:p>
            <w:pPr>
              <w:tabs>
                <w:tab w:val="left" w:pos="7854"/>
              </w:tabs>
              <w:spacing w:line="400" w:lineRule="exact"/>
              <w:rPr>
                <w:rFonts w:ascii="宋体"/>
                <w:color w:val="000000"/>
              </w:rPr>
            </w:pPr>
            <w:r>
              <w:rPr>
                <w:rFonts w:ascii="宋体" w:hAnsi="宋体"/>
                <w:color w:val="000000"/>
              </w:rPr>
              <w:t>3</w:t>
            </w:r>
            <w:r>
              <w:rPr>
                <w:rFonts w:hint="eastAsia" w:ascii="宋体" w:hAnsi="宋体" w:cs="宋体"/>
                <w:color w:val="000000"/>
              </w:rPr>
              <w:t>、有完善的质量保证体系，并按技术要求和本工程的特点制定出质量控制措施；</w:t>
            </w:r>
            <w:r>
              <w:rPr>
                <w:rFonts w:hint="eastAsia" w:ascii="宋体" w:hAnsi="宋体" w:cs="宋体"/>
                <w:b/>
                <w:bCs/>
                <w:color w:val="000000"/>
              </w:rPr>
              <w:t>所需材料和设备符合磋商文件要求</w:t>
            </w:r>
            <w:r>
              <w:rPr>
                <w:rFonts w:hint="eastAsia" w:ascii="宋体" w:hAnsi="宋体" w:cs="宋体"/>
                <w:color w:val="000000"/>
              </w:rPr>
              <w:t>、质量保证措施全面、完善、可行，磋商小组会根据响应文件酌情</w:t>
            </w:r>
            <w:r>
              <w:rPr>
                <w:rFonts w:ascii="宋体" w:hAnsi="宋体" w:cs="宋体"/>
                <w:color w:val="000000"/>
              </w:rPr>
              <w:t>0-5</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8" w:hRule="atLeast"/>
        </w:trPr>
        <w:tc>
          <w:tcPr>
            <w:tcW w:w="851" w:type="dxa"/>
            <w:vMerge w:val="continue"/>
            <w:vAlign w:val="center"/>
          </w:tcPr>
          <w:p>
            <w:pPr>
              <w:widowControl/>
              <w:jc w:val="left"/>
              <w:rPr>
                <w:rFonts w:ascii="宋体"/>
                <w:b/>
                <w:bCs/>
                <w:color w:val="000000"/>
                <w:sz w:val="24"/>
              </w:rPr>
            </w:pPr>
          </w:p>
        </w:tc>
        <w:tc>
          <w:tcPr>
            <w:tcW w:w="1701" w:type="dxa"/>
            <w:vMerge w:val="continue"/>
            <w:vAlign w:val="center"/>
          </w:tcPr>
          <w:p>
            <w:pPr>
              <w:widowControl/>
              <w:jc w:val="left"/>
              <w:rPr>
                <w:rFonts w:ascii="宋体"/>
                <w:b/>
                <w:bCs/>
                <w:color w:val="000000"/>
                <w:sz w:val="24"/>
              </w:rPr>
            </w:pPr>
          </w:p>
        </w:tc>
        <w:tc>
          <w:tcPr>
            <w:tcW w:w="7371" w:type="dxa"/>
            <w:vAlign w:val="center"/>
          </w:tcPr>
          <w:p>
            <w:pPr>
              <w:tabs>
                <w:tab w:val="left" w:pos="7854"/>
              </w:tabs>
              <w:spacing w:line="400" w:lineRule="exact"/>
              <w:rPr>
                <w:rFonts w:ascii="宋体"/>
                <w:color w:val="000000"/>
              </w:rPr>
            </w:pPr>
            <w:r>
              <w:rPr>
                <w:rFonts w:ascii="宋体" w:hAnsi="宋体"/>
                <w:color w:val="000000"/>
              </w:rPr>
              <w:t>4</w:t>
            </w:r>
            <w:r>
              <w:rPr>
                <w:rFonts w:hint="eastAsia" w:ascii="宋体" w:hAnsi="宋体" w:cs="宋体"/>
                <w:color w:val="000000"/>
              </w:rPr>
              <w:t>、针对本工程的特点和现场实际情况，制定切实有效、可行的安全措施、机械设备安全管理措施，磋商小组会根据响应文件酌情</w:t>
            </w:r>
            <w:r>
              <w:rPr>
                <w:rFonts w:ascii="宋体" w:hAnsi="宋体" w:cs="宋体"/>
                <w:color w:val="000000"/>
              </w:rPr>
              <w:t>0-3</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9" w:hRule="atLeast"/>
        </w:trPr>
        <w:tc>
          <w:tcPr>
            <w:tcW w:w="851" w:type="dxa"/>
            <w:vMerge w:val="continue"/>
            <w:vAlign w:val="center"/>
          </w:tcPr>
          <w:p>
            <w:pPr>
              <w:widowControl/>
              <w:jc w:val="left"/>
              <w:rPr>
                <w:rFonts w:ascii="宋体"/>
                <w:b/>
                <w:bCs/>
                <w:color w:val="000000"/>
                <w:sz w:val="24"/>
              </w:rPr>
            </w:pPr>
          </w:p>
        </w:tc>
        <w:tc>
          <w:tcPr>
            <w:tcW w:w="1701" w:type="dxa"/>
            <w:vMerge w:val="continue"/>
            <w:vAlign w:val="center"/>
          </w:tcPr>
          <w:p>
            <w:pPr>
              <w:widowControl/>
              <w:jc w:val="left"/>
              <w:rPr>
                <w:rFonts w:ascii="宋体"/>
                <w:b/>
                <w:bCs/>
                <w:color w:val="000000"/>
                <w:sz w:val="24"/>
              </w:rPr>
            </w:pPr>
          </w:p>
        </w:tc>
        <w:tc>
          <w:tcPr>
            <w:tcW w:w="7371" w:type="dxa"/>
            <w:vAlign w:val="center"/>
          </w:tcPr>
          <w:p>
            <w:pPr>
              <w:snapToGrid w:val="0"/>
              <w:spacing w:line="400" w:lineRule="exact"/>
              <w:jc w:val="left"/>
              <w:rPr>
                <w:rFonts w:ascii="宋体"/>
                <w:color w:val="000000"/>
              </w:rPr>
            </w:pPr>
            <w:r>
              <w:rPr>
                <w:rFonts w:ascii="宋体" w:hAnsi="宋体"/>
                <w:color w:val="000000"/>
              </w:rPr>
              <w:t>5</w:t>
            </w:r>
            <w:r>
              <w:rPr>
                <w:rFonts w:hint="eastAsia" w:ascii="宋体" w:hAnsi="宋体" w:cs="宋体"/>
                <w:color w:val="000000"/>
              </w:rPr>
              <w:t>、针对本工程的特点和现场实际情况，制定切实有效、可行的文明施工措施和环境保护措施，磋商小组会根据响应文件酌情</w:t>
            </w:r>
            <w:r>
              <w:rPr>
                <w:rFonts w:ascii="宋体" w:hAnsi="宋体" w:cs="宋体"/>
                <w:color w:val="000000"/>
              </w:rPr>
              <w:t>0-3</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1" w:hRule="atLeast"/>
        </w:trPr>
        <w:tc>
          <w:tcPr>
            <w:tcW w:w="851" w:type="dxa"/>
            <w:vMerge w:val="continue"/>
            <w:vAlign w:val="center"/>
          </w:tcPr>
          <w:p>
            <w:pPr>
              <w:widowControl/>
              <w:jc w:val="left"/>
              <w:rPr>
                <w:rFonts w:ascii="宋体"/>
                <w:b/>
                <w:bCs/>
                <w:color w:val="000000"/>
                <w:sz w:val="24"/>
              </w:rPr>
            </w:pPr>
          </w:p>
        </w:tc>
        <w:tc>
          <w:tcPr>
            <w:tcW w:w="1701" w:type="dxa"/>
            <w:vMerge w:val="continue"/>
            <w:vAlign w:val="center"/>
          </w:tcPr>
          <w:p>
            <w:pPr>
              <w:widowControl/>
              <w:jc w:val="left"/>
              <w:rPr>
                <w:rFonts w:ascii="宋体"/>
                <w:b/>
                <w:bCs/>
                <w:color w:val="000000"/>
                <w:sz w:val="24"/>
              </w:rPr>
            </w:pPr>
          </w:p>
        </w:tc>
        <w:tc>
          <w:tcPr>
            <w:tcW w:w="7371" w:type="dxa"/>
            <w:vAlign w:val="center"/>
          </w:tcPr>
          <w:p>
            <w:pPr>
              <w:snapToGrid w:val="0"/>
              <w:spacing w:line="400" w:lineRule="exact"/>
              <w:jc w:val="left"/>
              <w:rPr>
                <w:rFonts w:ascii="宋体"/>
                <w:color w:val="000000"/>
              </w:rPr>
            </w:pPr>
            <w:r>
              <w:rPr>
                <w:rFonts w:ascii="宋体" w:hAnsi="宋体"/>
                <w:color w:val="000000"/>
              </w:rPr>
              <w:t>6</w:t>
            </w:r>
            <w:r>
              <w:rPr>
                <w:rFonts w:hint="eastAsia" w:ascii="宋体" w:hAnsi="宋体" w:cs="宋体"/>
                <w:color w:val="000000"/>
              </w:rPr>
              <w:t>、根据工程需要，制定规范的资料管理流程和办法，保障施工资料的及时性、完整性和准确性，磋商小组会根据响应文件酌情</w:t>
            </w:r>
            <w:r>
              <w:rPr>
                <w:rFonts w:ascii="宋体" w:hAnsi="宋体" w:cs="宋体"/>
                <w:color w:val="000000"/>
              </w:rPr>
              <w:t>0-2</w:t>
            </w:r>
            <w:r>
              <w:rPr>
                <w:rFonts w:hint="eastAsia" w:ascii="宋体" w:hAnsi="宋体" w:cs="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95" w:hRule="atLeast"/>
        </w:trPr>
        <w:tc>
          <w:tcPr>
            <w:tcW w:w="851" w:type="dxa"/>
            <w:vMerge w:val="continue"/>
            <w:vAlign w:val="center"/>
          </w:tcPr>
          <w:p>
            <w:pPr>
              <w:widowControl/>
              <w:jc w:val="left"/>
              <w:rPr>
                <w:rFonts w:ascii="宋体"/>
                <w:b/>
                <w:bCs/>
                <w:color w:val="000000"/>
                <w:sz w:val="24"/>
              </w:rPr>
            </w:pPr>
          </w:p>
        </w:tc>
        <w:tc>
          <w:tcPr>
            <w:tcW w:w="1701" w:type="dxa"/>
            <w:vAlign w:val="center"/>
          </w:tcPr>
          <w:p>
            <w:pPr>
              <w:pStyle w:val="5"/>
              <w:spacing w:line="440" w:lineRule="exact"/>
              <w:jc w:val="center"/>
              <w:rPr>
                <w:rFonts w:ascii="宋体"/>
                <w:b/>
                <w:bCs/>
                <w:color w:val="000000"/>
                <w:sz w:val="24"/>
                <w:szCs w:val="24"/>
              </w:rPr>
            </w:pPr>
            <w:r>
              <w:rPr>
                <w:rFonts w:hint="eastAsia" w:ascii="宋体" w:hAnsi="宋体" w:cs="宋体"/>
                <w:b/>
                <w:bCs/>
                <w:color w:val="000000"/>
                <w:sz w:val="24"/>
                <w:szCs w:val="24"/>
              </w:rPr>
              <w:t>项目管理班子配备</w:t>
            </w:r>
          </w:p>
          <w:p>
            <w:pPr>
              <w:pStyle w:val="5"/>
              <w:spacing w:line="440" w:lineRule="exact"/>
              <w:jc w:val="center"/>
              <w:rPr>
                <w:rFonts w:ascii="宋体"/>
                <w:b/>
                <w:bCs/>
                <w:color w:val="000000"/>
                <w:sz w:val="24"/>
                <w:szCs w:val="24"/>
              </w:rPr>
            </w:pPr>
            <w:r>
              <w:rPr>
                <w:rFonts w:ascii="宋体" w:hAnsi="宋体" w:cs="宋体"/>
                <w:b/>
                <w:bCs/>
                <w:color w:val="000000"/>
                <w:sz w:val="24"/>
                <w:szCs w:val="24"/>
              </w:rPr>
              <w:t>3</w:t>
            </w:r>
            <w:r>
              <w:rPr>
                <w:rFonts w:hint="eastAsia" w:ascii="宋体" w:hAnsi="宋体" w:cs="宋体"/>
                <w:b/>
                <w:bCs/>
                <w:color w:val="000000"/>
                <w:sz w:val="24"/>
                <w:szCs w:val="24"/>
              </w:rPr>
              <w:t>分</w:t>
            </w:r>
          </w:p>
        </w:tc>
        <w:tc>
          <w:tcPr>
            <w:tcW w:w="7371" w:type="dxa"/>
            <w:vAlign w:val="center"/>
          </w:tcPr>
          <w:p>
            <w:pPr>
              <w:tabs>
                <w:tab w:val="left" w:pos="7854"/>
              </w:tabs>
              <w:spacing w:line="440" w:lineRule="exact"/>
              <w:rPr>
                <w:rFonts w:ascii="宋体"/>
                <w:color w:val="000000"/>
              </w:rPr>
            </w:pPr>
            <w:r>
              <w:rPr>
                <w:rFonts w:hint="eastAsia" w:ascii="宋体" w:hAnsi="宋体" w:cs="宋体"/>
                <w:color w:val="000000"/>
              </w:rPr>
              <w:t>项目部人员配备齐全、专业搭配合理，人员资格、资历满足本工程管理的要求，磋商小组会根据响应文件酌情</w:t>
            </w:r>
            <w:r>
              <w:rPr>
                <w:rFonts w:ascii="宋体" w:hAnsi="宋体" w:cs="宋体"/>
                <w:color w:val="000000"/>
              </w:rPr>
              <w:t>0-3</w:t>
            </w:r>
            <w:r>
              <w:rPr>
                <w:rFonts w:hint="eastAsia" w:ascii="宋体" w:hAnsi="宋体" w:cs="宋体"/>
                <w:color w:val="000000"/>
              </w:rPr>
              <w:t>分。</w:t>
            </w:r>
          </w:p>
        </w:tc>
      </w:tr>
    </w:tbl>
    <w:p>
      <w:pPr>
        <w:wordWrap w:val="0"/>
        <w:spacing w:line="360" w:lineRule="auto"/>
        <w:ind w:right="840"/>
        <w:rPr>
          <w:rFonts w:ascii="宋体"/>
          <w:b/>
          <w:bCs/>
          <w:color w:val="000000"/>
          <w:sz w:val="28"/>
        </w:rPr>
      </w:pPr>
    </w:p>
    <w:p>
      <w:pPr>
        <w:wordWrap w:val="0"/>
        <w:spacing w:line="360" w:lineRule="auto"/>
        <w:ind w:right="840"/>
        <w:rPr>
          <w:rFonts w:ascii="宋体"/>
          <w:b/>
          <w:bCs/>
          <w:color w:val="000000"/>
          <w:sz w:val="28"/>
        </w:rPr>
      </w:pPr>
    </w:p>
    <w:p>
      <w:pPr>
        <w:wordWrap w:val="0"/>
        <w:spacing w:line="360" w:lineRule="auto"/>
        <w:ind w:right="840"/>
        <w:rPr>
          <w:rFonts w:ascii="宋体"/>
          <w:b/>
          <w:bCs/>
          <w:color w:val="000000"/>
          <w:sz w:val="24"/>
        </w:rPr>
      </w:pPr>
    </w:p>
    <w:p>
      <w:pPr>
        <w:pStyle w:val="2"/>
        <w:spacing w:beforeLines="50"/>
        <w:rPr>
          <w:rFonts w:ascii="宋体"/>
          <w:sz w:val="24"/>
          <w:szCs w:val="24"/>
        </w:rPr>
      </w:pPr>
      <w:bookmarkStart w:id="167" w:name="_Toc21876"/>
      <w:bookmarkStart w:id="168" w:name="_Toc12870"/>
      <w:r>
        <w:rPr>
          <w:rFonts w:ascii="宋体" w:hAnsi="宋体"/>
          <w:sz w:val="24"/>
          <w:szCs w:val="24"/>
        </w:rPr>
        <w:t xml:space="preserve">1. </w:t>
      </w:r>
      <w:r>
        <w:rPr>
          <w:rFonts w:hint="eastAsia" w:ascii="宋体" w:hAnsi="宋体"/>
          <w:sz w:val="24"/>
          <w:szCs w:val="24"/>
        </w:rPr>
        <w:t>评标方法</w:t>
      </w:r>
      <w:bookmarkEnd w:id="167"/>
      <w:bookmarkEnd w:id="168"/>
    </w:p>
    <w:p>
      <w:pPr>
        <w:spacing w:line="360" w:lineRule="auto"/>
        <w:rPr>
          <w:rFonts w:ascii="宋体"/>
          <w:color w:val="000000"/>
          <w:sz w:val="24"/>
        </w:rPr>
      </w:pPr>
      <w:bookmarkStart w:id="169" w:name="_Toc234382665"/>
      <w:bookmarkEnd w:id="169"/>
      <w:bookmarkStart w:id="170" w:name="_Toc25506"/>
      <w:bookmarkEnd w:id="170"/>
      <w:r>
        <w:rPr>
          <w:rFonts w:hint="eastAsia" w:ascii="宋体" w:hAnsi="宋体"/>
          <w:color w:val="000000"/>
          <w:sz w:val="24"/>
        </w:rPr>
        <w:t>本次评标采用综合评估法。磋商小组对满足磋商文件实质性要求的响应文件，按照本章第</w:t>
      </w:r>
      <w:r>
        <w:rPr>
          <w:rFonts w:ascii="宋体" w:hAnsi="宋体"/>
          <w:color w:val="000000"/>
          <w:sz w:val="24"/>
        </w:rPr>
        <w:t>2.2</w:t>
      </w:r>
      <w:r>
        <w:rPr>
          <w:rFonts w:hint="eastAsia" w:ascii="宋体" w:hAnsi="宋体"/>
          <w:color w:val="000000"/>
          <w:sz w:val="24"/>
        </w:rPr>
        <w:t>款规定的评分细则进行打分，并按得分由高到低顺序推荐中标候选人，或根据采购人授权直接确定中标人，但磋商报价低于其成本的除外。最终评标得分相等时，以投标报价低的优先；磋商报价也相等的，由采购人自行确定。</w:t>
      </w:r>
    </w:p>
    <w:p>
      <w:pPr>
        <w:pStyle w:val="2"/>
        <w:spacing w:beforeLines="50"/>
        <w:rPr>
          <w:rFonts w:ascii="宋体"/>
          <w:sz w:val="24"/>
          <w:szCs w:val="24"/>
        </w:rPr>
      </w:pPr>
      <w:bookmarkStart w:id="171" w:name="_Toc16956"/>
      <w:bookmarkStart w:id="172" w:name="_Toc10128"/>
      <w:r>
        <w:rPr>
          <w:rFonts w:ascii="宋体" w:hAnsi="宋体"/>
          <w:sz w:val="24"/>
          <w:szCs w:val="24"/>
        </w:rPr>
        <w:t xml:space="preserve">2. </w:t>
      </w:r>
      <w:r>
        <w:rPr>
          <w:rFonts w:hint="eastAsia" w:ascii="宋体" w:hAnsi="宋体"/>
          <w:sz w:val="24"/>
          <w:szCs w:val="24"/>
        </w:rPr>
        <w:t>评审标准</w:t>
      </w:r>
      <w:bookmarkEnd w:id="171"/>
      <w:bookmarkEnd w:id="172"/>
    </w:p>
    <w:p>
      <w:pPr>
        <w:pStyle w:val="2"/>
        <w:rPr>
          <w:rFonts w:ascii="宋体"/>
          <w:sz w:val="24"/>
          <w:szCs w:val="24"/>
        </w:rPr>
      </w:pPr>
      <w:bookmarkStart w:id="173" w:name="_Toc234382666"/>
      <w:bookmarkStart w:id="174" w:name="_Toc6736"/>
      <w:bookmarkStart w:id="175" w:name="_Toc21203"/>
      <w:bookmarkStart w:id="176" w:name="_Toc24687"/>
      <w:r>
        <w:rPr>
          <w:rFonts w:ascii="宋体" w:hAnsi="宋体"/>
          <w:sz w:val="24"/>
          <w:szCs w:val="24"/>
        </w:rPr>
        <w:t xml:space="preserve">2.1 </w:t>
      </w:r>
      <w:r>
        <w:rPr>
          <w:rFonts w:hint="eastAsia" w:ascii="宋体" w:hAnsi="宋体"/>
          <w:sz w:val="24"/>
          <w:szCs w:val="24"/>
        </w:rPr>
        <w:t>初步评审标准</w:t>
      </w:r>
      <w:bookmarkEnd w:id="173"/>
      <w:bookmarkEnd w:id="174"/>
      <w:bookmarkEnd w:id="175"/>
      <w:bookmarkEnd w:id="176"/>
    </w:p>
    <w:p>
      <w:pPr>
        <w:spacing w:line="360" w:lineRule="auto"/>
        <w:ind w:firstLine="480" w:firstLineChars="200"/>
        <w:rPr>
          <w:rFonts w:ascii="宋体"/>
          <w:sz w:val="24"/>
        </w:rPr>
      </w:pPr>
      <w:r>
        <w:rPr>
          <w:rFonts w:ascii="宋体" w:hAnsi="宋体"/>
          <w:sz w:val="24"/>
        </w:rPr>
        <w:t xml:space="preserve">2.1.1 </w:t>
      </w:r>
      <w:r>
        <w:rPr>
          <w:rFonts w:hint="eastAsia" w:ascii="宋体" w:hAnsi="宋体"/>
          <w:sz w:val="24"/>
        </w:rPr>
        <w:t>形式评审标准：见评标办法前附表。</w:t>
      </w:r>
    </w:p>
    <w:p>
      <w:pPr>
        <w:spacing w:line="360" w:lineRule="auto"/>
        <w:ind w:firstLine="480" w:firstLineChars="200"/>
        <w:rPr>
          <w:rFonts w:ascii="宋体"/>
          <w:sz w:val="24"/>
        </w:rPr>
      </w:pPr>
      <w:r>
        <w:rPr>
          <w:rFonts w:ascii="宋体" w:hAnsi="宋体"/>
          <w:sz w:val="24"/>
        </w:rPr>
        <w:t xml:space="preserve">2.1.2 </w:t>
      </w:r>
      <w:r>
        <w:rPr>
          <w:rFonts w:hint="eastAsia" w:ascii="宋体" w:hAnsi="宋体"/>
          <w:sz w:val="24"/>
        </w:rPr>
        <w:t>资格评审标准：见评标办法前附表。</w:t>
      </w:r>
    </w:p>
    <w:p>
      <w:pPr>
        <w:spacing w:line="360" w:lineRule="auto"/>
        <w:ind w:firstLine="480" w:firstLineChars="200"/>
        <w:rPr>
          <w:rFonts w:ascii="宋体"/>
          <w:sz w:val="24"/>
        </w:rPr>
      </w:pPr>
      <w:r>
        <w:rPr>
          <w:rFonts w:ascii="宋体" w:hAnsi="宋体"/>
          <w:sz w:val="24"/>
        </w:rPr>
        <w:t xml:space="preserve">2.1.3 </w:t>
      </w:r>
      <w:r>
        <w:rPr>
          <w:rFonts w:hint="eastAsia" w:ascii="宋体" w:hAnsi="宋体"/>
          <w:sz w:val="24"/>
        </w:rPr>
        <w:t>响应性评审标准：见评标办法前附表。</w:t>
      </w:r>
    </w:p>
    <w:p>
      <w:pPr>
        <w:pStyle w:val="2"/>
        <w:spacing w:beforeLines="50"/>
        <w:rPr>
          <w:rFonts w:ascii="宋体"/>
          <w:sz w:val="24"/>
          <w:szCs w:val="24"/>
        </w:rPr>
      </w:pPr>
      <w:bookmarkStart w:id="177" w:name="_Toc234382667"/>
      <w:bookmarkStart w:id="178" w:name="_Toc741"/>
      <w:bookmarkStart w:id="179" w:name="_Toc855"/>
      <w:bookmarkStart w:id="180" w:name="_Toc2470"/>
      <w:r>
        <w:rPr>
          <w:rFonts w:ascii="宋体" w:hAnsi="宋体"/>
          <w:sz w:val="24"/>
          <w:szCs w:val="24"/>
        </w:rPr>
        <w:t xml:space="preserve">2.2 </w:t>
      </w:r>
      <w:r>
        <w:rPr>
          <w:rFonts w:hint="eastAsia" w:ascii="宋体" w:hAnsi="宋体"/>
          <w:sz w:val="24"/>
          <w:szCs w:val="24"/>
        </w:rPr>
        <w:t>分值构成与评分标准</w:t>
      </w:r>
      <w:bookmarkEnd w:id="177"/>
      <w:bookmarkEnd w:id="178"/>
      <w:bookmarkEnd w:id="179"/>
      <w:bookmarkEnd w:id="180"/>
    </w:p>
    <w:p>
      <w:pPr>
        <w:spacing w:line="360" w:lineRule="auto"/>
        <w:ind w:firstLine="480" w:firstLineChars="200"/>
        <w:rPr>
          <w:rFonts w:ascii="宋体"/>
          <w:sz w:val="24"/>
        </w:rPr>
      </w:pPr>
      <w:r>
        <w:rPr>
          <w:rFonts w:hint="eastAsia" w:ascii="宋体" w:hAnsi="宋体"/>
          <w:sz w:val="24"/>
        </w:rPr>
        <w:t>见评标办法前附表。</w:t>
      </w:r>
    </w:p>
    <w:p>
      <w:pPr>
        <w:pStyle w:val="2"/>
        <w:spacing w:beforeLines="50"/>
        <w:rPr>
          <w:rFonts w:ascii="宋体"/>
          <w:sz w:val="24"/>
          <w:szCs w:val="24"/>
        </w:rPr>
      </w:pPr>
      <w:bookmarkStart w:id="181" w:name="_Toc234382668"/>
      <w:bookmarkStart w:id="182" w:name="_Toc1773"/>
      <w:bookmarkStart w:id="183" w:name="_Toc25669"/>
      <w:bookmarkStart w:id="184" w:name="_Toc8149"/>
      <w:r>
        <w:rPr>
          <w:rFonts w:ascii="宋体" w:hAnsi="宋体"/>
          <w:sz w:val="24"/>
          <w:szCs w:val="24"/>
        </w:rPr>
        <w:t xml:space="preserve">3. </w:t>
      </w:r>
      <w:r>
        <w:rPr>
          <w:rFonts w:hint="eastAsia" w:ascii="宋体" w:hAnsi="宋体"/>
          <w:sz w:val="24"/>
          <w:szCs w:val="24"/>
        </w:rPr>
        <w:t>评标程序</w:t>
      </w:r>
      <w:bookmarkEnd w:id="181"/>
      <w:bookmarkEnd w:id="182"/>
      <w:bookmarkEnd w:id="183"/>
      <w:bookmarkEnd w:id="184"/>
    </w:p>
    <w:p>
      <w:pPr>
        <w:pStyle w:val="2"/>
        <w:rPr>
          <w:rFonts w:ascii="宋体"/>
          <w:sz w:val="24"/>
          <w:szCs w:val="24"/>
        </w:rPr>
      </w:pPr>
      <w:bookmarkStart w:id="185" w:name="_Toc23793"/>
      <w:bookmarkStart w:id="186" w:name="_Toc234382669"/>
      <w:bookmarkStart w:id="187" w:name="_Toc12650"/>
      <w:bookmarkStart w:id="188" w:name="_Toc26124"/>
      <w:r>
        <w:rPr>
          <w:rFonts w:ascii="宋体" w:hAnsi="宋体"/>
          <w:sz w:val="24"/>
          <w:szCs w:val="24"/>
        </w:rPr>
        <w:t xml:space="preserve">3.1 </w:t>
      </w:r>
      <w:r>
        <w:rPr>
          <w:rFonts w:hint="eastAsia" w:ascii="宋体" w:hAnsi="宋体"/>
          <w:sz w:val="24"/>
          <w:szCs w:val="24"/>
        </w:rPr>
        <w:t>初步评审</w:t>
      </w:r>
      <w:bookmarkEnd w:id="185"/>
      <w:bookmarkEnd w:id="186"/>
      <w:bookmarkEnd w:id="187"/>
      <w:bookmarkEnd w:id="188"/>
    </w:p>
    <w:p>
      <w:pPr>
        <w:spacing w:line="360" w:lineRule="auto"/>
        <w:ind w:firstLine="480" w:firstLineChars="200"/>
        <w:rPr>
          <w:rFonts w:ascii="宋体"/>
          <w:sz w:val="24"/>
        </w:rPr>
      </w:pPr>
      <w:r>
        <w:rPr>
          <w:rFonts w:ascii="宋体" w:hAnsi="宋体"/>
          <w:sz w:val="24"/>
        </w:rPr>
        <w:t>3.1.1</w:t>
      </w:r>
      <w:r>
        <w:rPr>
          <w:rFonts w:hint="eastAsia" w:ascii="宋体" w:hAnsi="宋体"/>
          <w:sz w:val="24"/>
        </w:rPr>
        <w:t>磋商小组依据本章第</w:t>
      </w:r>
      <w:r>
        <w:rPr>
          <w:rFonts w:ascii="宋体" w:hAnsi="宋体"/>
          <w:sz w:val="24"/>
        </w:rPr>
        <w:t>2.1</w:t>
      </w:r>
      <w:r>
        <w:rPr>
          <w:rFonts w:hint="eastAsia" w:ascii="宋体" w:hAnsi="宋体"/>
          <w:sz w:val="24"/>
        </w:rPr>
        <w:t>项规定的评审标准对投标文件进行初步评审。当供应商资格审查申请文件的内容发生重大变化时，评标委员会依据本章第</w:t>
      </w:r>
      <w:r>
        <w:rPr>
          <w:rFonts w:ascii="宋体" w:hAnsi="宋体"/>
          <w:sz w:val="24"/>
        </w:rPr>
        <w:t>2.1</w:t>
      </w:r>
      <w:r>
        <w:rPr>
          <w:rFonts w:hint="eastAsia" w:ascii="宋体" w:hAnsi="宋体"/>
          <w:sz w:val="24"/>
        </w:rPr>
        <w:t>项规定的标准对其更新资料进行评审。</w:t>
      </w:r>
    </w:p>
    <w:p>
      <w:pPr>
        <w:spacing w:line="360" w:lineRule="auto"/>
        <w:ind w:firstLine="480" w:firstLineChars="200"/>
        <w:rPr>
          <w:rFonts w:ascii="宋体"/>
          <w:bCs/>
          <w:sz w:val="24"/>
        </w:rPr>
      </w:pPr>
      <w:r>
        <w:rPr>
          <w:rFonts w:ascii="宋体" w:hAnsi="宋体"/>
          <w:bCs/>
          <w:sz w:val="24"/>
        </w:rPr>
        <w:t xml:space="preserve">3.1.2 </w:t>
      </w:r>
      <w:r>
        <w:rPr>
          <w:rFonts w:hint="eastAsia" w:ascii="宋体" w:hAnsi="宋体"/>
          <w:bCs/>
          <w:sz w:val="24"/>
        </w:rPr>
        <w:t>供应商有以下情形之一的，其投标作废标处理：</w:t>
      </w:r>
      <w:r>
        <w:rPr>
          <w:rFonts w:hint="eastAsia" w:ascii="宋体" w:hAnsi="宋体"/>
          <w:b/>
          <w:szCs w:val="21"/>
        </w:rPr>
        <w:t>详附件：废标条件</w:t>
      </w:r>
    </w:p>
    <w:p>
      <w:pPr>
        <w:spacing w:line="360" w:lineRule="auto"/>
        <w:ind w:firstLine="480" w:firstLineChars="200"/>
        <w:rPr>
          <w:rFonts w:ascii="宋体"/>
          <w:bCs/>
          <w:sz w:val="24"/>
        </w:rPr>
      </w:pPr>
      <w:r>
        <w:rPr>
          <w:rFonts w:ascii="宋体" w:hAnsi="宋体"/>
          <w:bCs/>
          <w:sz w:val="24"/>
        </w:rPr>
        <w:t xml:space="preserve">3.1.3 </w:t>
      </w:r>
      <w:r>
        <w:rPr>
          <w:rFonts w:hint="eastAsia" w:ascii="宋体" w:hAnsi="宋体"/>
          <w:bCs/>
          <w:sz w:val="24"/>
        </w:rPr>
        <w:t>磋商报价有算术错误的，磋商小组按以下原则对投标报价进行修正，修正的价格经供应商书面确认后具有约束力。供应商不接受修正价格的，其投标作废标处理，并没收其投标担保。</w:t>
      </w:r>
    </w:p>
    <w:p>
      <w:pPr>
        <w:numPr>
          <w:ilvl w:val="0"/>
          <w:numId w:val="4"/>
        </w:numPr>
        <w:spacing w:line="360" w:lineRule="auto"/>
        <w:ind w:firstLine="480" w:firstLineChars="200"/>
        <w:rPr>
          <w:rFonts w:ascii="宋体"/>
          <w:bCs/>
          <w:sz w:val="24"/>
          <w:u w:val="wave"/>
        </w:rPr>
      </w:pPr>
      <w:r>
        <w:rPr>
          <w:rFonts w:hint="eastAsia" w:ascii="宋体" w:hAnsi="宋体"/>
          <w:bCs/>
          <w:sz w:val="24"/>
          <w:u w:val="wave"/>
        </w:rPr>
        <w:t>磋商文件中的大写金额与小写金额不一致的，以大写金额为准；</w:t>
      </w:r>
    </w:p>
    <w:p>
      <w:pPr>
        <w:pStyle w:val="26"/>
        <w:numPr>
          <w:ilvl w:val="0"/>
          <w:numId w:val="4"/>
        </w:numPr>
        <w:spacing w:line="360" w:lineRule="auto"/>
        <w:ind w:firstLineChars="0"/>
        <w:rPr>
          <w:rFonts w:ascii="宋体"/>
          <w:bCs/>
          <w:sz w:val="24"/>
        </w:rPr>
      </w:pPr>
      <w:r>
        <w:rPr>
          <w:rFonts w:hint="eastAsia" w:ascii="宋体" w:hAnsi="宋体"/>
          <w:bCs/>
          <w:sz w:val="24"/>
        </w:rPr>
        <w:t>总价金额与依据单价计算出的结果不一致的，以单价金额为准修正总价，但单价金额小数点有明显错误的除外。</w:t>
      </w:r>
    </w:p>
    <w:p>
      <w:pPr>
        <w:spacing w:line="440" w:lineRule="exact"/>
        <w:rPr>
          <w:rFonts w:ascii="宋体"/>
          <w:bCs/>
          <w:sz w:val="24"/>
        </w:rPr>
      </w:pPr>
      <w:r>
        <w:rPr>
          <w:rFonts w:ascii="宋体" w:hAnsi="宋体"/>
          <w:bCs/>
          <w:sz w:val="24"/>
        </w:rPr>
        <w:t>3.1.4</w:t>
      </w:r>
      <w:r>
        <w:rPr>
          <w:rFonts w:hint="eastAsia" w:ascii="宋体" w:hAnsi="宋体"/>
          <w:bCs/>
          <w:sz w:val="24"/>
        </w:rPr>
        <w:t>最终报价</w:t>
      </w:r>
    </w:p>
    <w:p>
      <w:pPr>
        <w:spacing w:line="440" w:lineRule="exact"/>
        <w:ind w:firstLine="420" w:firstLineChars="200"/>
        <w:rPr>
          <w:rFonts w:ascii="宋体"/>
          <w:szCs w:val="21"/>
        </w:rPr>
      </w:pPr>
      <w:r>
        <w:rPr>
          <w:rFonts w:hint="eastAsia" w:ascii="宋体" w:hAnsi="宋体"/>
          <w:szCs w:val="21"/>
        </w:rPr>
        <w:t>由磋商小组组织所有供应商单独进行报价，各供应商最终报价函必须经授权代表签字且按指定时间同时送达磋商小组，否则仍按原报价进行评审。在采购内容及相关要求不变的情况下，供应商后一轮报价应低于前一轮报价。</w:t>
      </w:r>
    </w:p>
    <w:p>
      <w:pPr>
        <w:pStyle w:val="26"/>
        <w:spacing w:line="440" w:lineRule="exact"/>
        <w:ind w:left="420" w:firstLine="0" w:firstLineChars="0"/>
        <w:rPr>
          <w:rFonts w:ascii="宋体"/>
          <w:bCs/>
          <w:sz w:val="24"/>
        </w:rPr>
      </w:pPr>
      <w:r>
        <w:rPr>
          <w:rFonts w:ascii="宋体" w:hAnsi="宋体"/>
          <w:bCs/>
          <w:sz w:val="24"/>
        </w:rPr>
        <w:t>3.1.5</w:t>
      </w:r>
      <w:r>
        <w:rPr>
          <w:rFonts w:hint="eastAsia" w:ascii="宋体" w:hAnsi="宋体"/>
          <w:bCs/>
          <w:sz w:val="24"/>
        </w:rPr>
        <w:t>确定成交供应商</w:t>
      </w:r>
    </w:p>
    <w:p>
      <w:pPr>
        <w:spacing w:line="440" w:lineRule="exact"/>
        <w:ind w:firstLine="420" w:firstLineChars="200"/>
        <w:rPr>
          <w:rFonts w:ascii="宋体"/>
          <w:szCs w:val="21"/>
        </w:rPr>
      </w:pPr>
      <w:r>
        <w:rPr>
          <w:rFonts w:hint="eastAsia" w:ascii="宋体" w:hAnsi="宋体"/>
          <w:szCs w:val="21"/>
        </w:rPr>
        <w:t>在规定的时间内进行最终报价后，对各供应商报价文件进行综合评审，推荐成交候选供应商，并将结果通知所有参加磋商的未成交的供应商。</w:t>
      </w:r>
    </w:p>
    <w:p>
      <w:pPr>
        <w:spacing w:line="440" w:lineRule="exact"/>
        <w:rPr>
          <w:rFonts w:ascii="宋体"/>
          <w:szCs w:val="21"/>
        </w:rPr>
      </w:pPr>
      <w:r>
        <w:rPr>
          <w:rFonts w:ascii="宋体" w:hAnsi="宋体"/>
          <w:b/>
          <w:bCs/>
          <w:szCs w:val="21"/>
        </w:rPr>
        <w:t>3.1.6</w:t>
      </w:r>
      <w:r>
        <w:rPr>
          <w:rFonts w:hint="eastAsia" w:ascii="宋体" w:hAnsi="宋体"/>
          <w:b/>
          <w:bCs/>
          <w:szCs w:val="21"/>
        </w:rPr>
        <w:t>评审办法</w:t>
      </w:r>
    </w:p>
    <w:p>
      <w:pPr>
        <w:spacing w:line="440" w:lineRule="exact"/>
        <w:ind w:firstLine="525" w:firstLineChars="250"/>
        <w:rPr>
          <w:rFonts w:ascii="宋体"/>
          <w:szCs w:val="21"/>
        </w:rPr>
      </w:pPr>
      <w:r>
        <w:rPr>
          <w:rFonts w:hint="eastAsia" w:ascii="宋体" w:hAnsi="宋体"/>
          <w:szCs w:val="21"/>
        </w:rPr>
        <w:t>竞争性磋商小组各成员独立地对每个合格供应商的投标文件进行评价、打分，然后汇总每个合格供应商的总得分，总分排名第一的供应商为成交供应商。竞争性磋商小组采用“综合实力最强，能够最大限度满足采购人需求，并且投标报价合理”的方法依次对各合格投标方进行评审，按评审后综合得分由高到低顺序排列。得分相同的，按投标报价由低到高顺序排列；得分且投标报价相同的，按技术指标优劣顺序排列，以确定成交供应商。</w:t>
      </w:r>
    </w:p>
    <w:p>
      <w:pPr>
        <w:pStyle w:val="26"/>
        <w:spacing w:line="360" w:lineRule="auto"/>
        <w:ind w:left="420" w:firstLine="0" w:firstLineChars="0"/>
        <w:rPr>
          <w:rFonts w:ascii="宋体"/>
          <w:bCs/>
          <w:sz w:val="24"/>
        </w:rPr>
      </w:pPr>
    </w:p>
    <w:p>
      <w:pPr>
        <w:spacing w:line="360" w:lineRule="auto"/>
        <w:ind w:firstLine="482" w:firstLineChars="200"/>
        <w:rPr>
          <w:rFonts w:ascii="宋体"/>
          <w:b/>
          <w:sz w:val="24"/>
        </w:rPr>
      </w:pPr>
      <w:r>
        <w:rPr>
          <w:rFonts w:ascii="宋体" w:hAnsi="宋体"/>
          <w:b/>
          <w:sz w:val="24"/>
        </w:rPr>
        <w:t>3.1.7</w:t>
      </w:r>
      <w:r>
        <w:rPr>
          <w:rFonts w:hint="eastAsia" w:ascii="宋体" w:hAnsi="宋体"/>
          <w:b/>
          <w:sz w:val="24"/>
        </w:rPr>
        <w:t>供应商有下列情形之一的视为无效投标：</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1</w:t>
      </w:r>
      <w:r>
        <w:rPr>
          <w:rFonts w:hint="eastAsia" w:ascii="宋体" w:hAnsi="宋体"/>
          <w:bCs/>
          <w:sz w:val="24"/>
        </w:rPr>
        <w:t>）参加开标会议的供应商的法定代表人或其委托代理人未携带本人身份证，委托代理人未携带参加开标会议的法定代表人授权委托书，法定代表人未携带法定代表人证书，无法证明其身份的；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2</w:t>
      </w:r>
      <w:r>
        <w:rPr>
          <w:rFonts w:hint="eastAsia" w:ascii="宋体" w:hAnsi="宋体"/>
          <w:bCs/>
          <w:sz w:val="24"/>
        </w:rPr>
        <w:t>）无法定代表人（或法定代表人授权的代理人）签字（或盖章）或无单位盖章的；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3</w:t>
      </w:r>
      <w:r>
        <w:rPr>
          <w:rFonts w:hint="eastAsia" w:ascii="宋体" w:hAnsi="宋体"/>
          <w:bCs/>
          <w:sz w:val="24"/>
        </w:rPr>
        <w:t>）未按规定格式填写，内容不全或关键字迹模糊、无法辨认的；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4</w:t>
      </w:r>
      <w:r>
        <w:rPr>
          <w:rFonts w:hint="eastAsia" w:ascii="宋体" w:hAnsi="宋体"/>
          <w:bCs/>
          <w:sz w:val="24"/>
        </w:rPr>
        <w:t>）供应商递交两份或多份内容不同的响应文件，或在一份响应文件中对统一磋商项目报有两个或多个报价，且未声明哪一个有效，按响应文件规定提交备选投标方案的除外；</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5</w:t>
      </w:r>
      <w:r>
        <w:rPr>
          <w:rFonts w:hint="eastAsia" w:ascii="宋体" w:hAnsi="宋体"/>
          <w:bCs/>
          <w:sz w:val="24"/>
        </w:rPr>
        <w:t>）供应商名称或组织结构与资格预审时不一致；</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6</w:t>
      </w:r>
      <w:r>
        <w:rPr>
          <w:rFonts w:hint="eastAsia" w:ascii="宋体" w:hAnsi="宋体"/>
          <w:bCs/>
          <w:sz w:val="24"/>
        </w:rPr>
        <w:t>）供应商未按磋商文件的要求提供磋商保函或者提交磋商保证金的；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7</w:t>
      </w:r>
      <w:r>
        <w:rPr>
          <w:rFonts w:hint="eastAsia" w:ascii="宋体" w:hAnsi="宋体"/>
          <w:bCs/>
          <w:sz w:val="24"/>
        </w:rPr>
        <w:t>）联合体供应商未附联合体各方共同投标协议的；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8</w:t>
      </w:r>
      <w:r>
        <w:rPr>
          <w:rFonts w:hint="eastAsia" w:ascii="宋体" w:hAnsi="宋体"/>
          <w:bCs/>
          <w:sz w:val="24"/>
        </w:rPr>
        <w:t>）响应文件未按照磋商文件的要求予以密封的；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9</w:t>
      </w:r>
      <w:r>
        <w:rPr>
          <w:rFonts w:hint="eastAsia" w:ascii="宋体" w:hAnsi="宋体"/>
          <w:bCs/>
          <w:sz w:val="24"/>
        </w:rPr>
        <w:t>）响应文件中的投标函未加盖供应商的企业及企业法定代表人印章的，或者企业法定代表人委托代理人没有合法、有效的委托书（原件）及委托代理人印章的；</w:t>
      </w:r>
    </w:p>
    <w:p>
      <w:pPr>
        <w:spacing w:line="360" w:lineRule="auto"/>
        <w:ind w:firstLine="480" w:firstLineChars="200"/>
        <w:rPr>
          <w:rFonts w:ascii="宋体"/>
          <w:bCs/>
          <w:sz w:val="24"/>
        </w:rPr>
      </w:pPr>
      <w:r>
        <w:rPr>
          <w:rFonts w:hint="eastAsia" w:ascii="宋体" w:hAnsi="宋体"/>
          <w:bCs/>
          <w:sz w:val="24"/>
        </w:rPr>
        <w:t>（</w:t>
      </w:r>
      <w:r>
        <w:rPr>
          <w:rFonts w:ascii="宋体" w:hAnsi="宋体"/>
          <w:bCs/>
          <w:sz w:val="24"/>
        </w:rPr>
        <w:t>10</w:t>
      </w:r>
      <w:r>
        <w:rPr>
          <w:rFonts w:hint="eastAsia" w:ascii="宋体" w:hAnsi="宋体"/>
          <w:bCs/>
          <w:sz w:val="24"/>
        </w:rPr>
        <w:t>）磋商保证金未从基本账户转出的。</w:t>
      </w:r>
    </w:p>
    <w:p>
      <w:pPr>
        <w:pStyle w:val="2"/>
        <w:spacing w:beforeLines="50"/>
        <w:rPr>
          <w:rFonts w:ascii="宋体"/>
          <w:sz w:val="24"/>
          <w:szCs w:val="24"/>
        </w:rPr>
      </w:pPr>
      <w:bookmarkStart w:id="189" w:name="_Toc234382670"/>
      <w:bookmarkStart w:id="190" w:name="_Toc13290"/>
      <w:bookmarkStart w:id="191" w:name="_Toc8781"/>
      <w:bookmarkStart w:id="192" w:name="_Toc11885"/>
      <w:r>
        <w:rPr>
          <w:rFonts w:ascii="宋体" w:hAnsi="宋体"/>
          <w:sz w:val="24"/>
          <w:szCs w:val="24"/>
        </w:rPr>
        <w:t xml:space="preserve">3.2 </w:t>
      </w:r>
      <w:r>
        <w:rPr>
          <w:rFonts w:hint="eastAsia" w:ascii="宋体" w:hAnsi="宋体"/>
          <w:sz w:val="24"/>
          <w:szCs w:val="24"/>
        </w:rPr>
        <w:t>详细评审</w:t>
      </w:r>
      <w:bookmarkEnd w:id="189"/>
      <w:bookmarkEnd w:id="190"/>
      <w:bookmarkEnd w:id="191"/>
      <w:bookmarkEnd w:id="192"/>
    </w:p>
    <w:p>
      <w:pPr>
        <w:spacing w:line="360" w:lineRule="auto"/>
        <w:ind w:firstLine="480" w:firstLineChars="200"/>
        <w:rPr>
          <w:rFonts w:ascii="宋体"/>
          <w:bCs/>
          <w:sz w:val="24"/>
          <w:u w:val="wave"/>
        </w:rPr>
      </w:pPr>
      <w:r>
        <w:rPr>
          <w:rFonts w:hint="eastAsia" w:ascii="宋体" w:hAnsi="宋体"/>
          <w:sz w:val="24"/>
        </w:rPr>
        <w:t>磋商小组发现供应商的报价明显低于其他投标报价，使得其投标报价可能低于其个别成本的，应当要求该供应商作出书面说明并提供相应的证明材料。</w:t>
      </w:r>
      <w:r>
        <w:rPr>
          <w:rFonts w:hint="eastAsia" w:ascii="宋体" w:hAnsi="宋体"/>
          <w:bCs/>
          <w:sz w:val="24"/>
          <w:u w:val="wave"/>
        </w:rPr>
        <w:t>供应商不能合理说明或者不能提供相应证明材料的，由磋商小组认定该供应商以低于成本报价竞标，其投标作废标处理。</w:t>
      </w:r>
    </w:p>
    <w:p>
      <w:pPr>
        <w:pStyle w:val="2"/>
        <w:spacing w:beforeLines="50"/>
        <w:rPr>
          <w:rFonts w:ascii="宋体"/>
          <w:sz w:val="24"/>
          <w:szCs w:val="24"/>
        </w:rPr>
      </w:pPr>
      <w:bookmarkStart w:id="193" w:name="_Toc10543"/>
      <w:bookmarkStart w:id="194" w:name="_Toc350"/>
      <w:bookmarkStart w:id="195" w:name="_Toc234382671"/>
      <w:bookmarkStart w:id="196" w:name="_Toc28125"/>
      <w:r>
        <w:rPr>
          <w:rFonts w:ascii="宋体" w:hAnsi="宋体"/>
          <w:sz w:val="24"/>
          <w:szCs w:val="24"/>
        </w:rPr>
        <w:t>3.3</w:t>
      </w:r>
      <w:r>
        <w:rPr>
          <w:rFonts w:hint="eastAsia" w:ascii="宋体" w:hAnsi="宋体"/>
          <w:sz w:val="24"/>
          <w:szCs w:val="24"/>
        </w:rPr>
        <w:t>磋商文件的澄清和补正</w:t>
      </w:r>
      <w:bookmarkEnd w:id="193"/>
      <w:bookmarkEnd w:id="194"/>
      <w:bookmarkEnd w:id="195"/>
      <w:bookmarkEnd w:id="196"/>
    </w:p>
    <w:p>
      <w:pPr>
        <w:spacing w:line="360" w:lineRule="auto"/>
        <w:ind w:firstLine="480" w:firstLineChars="200"/>
        <w:rPr>
          <w:rFonts w:ascii="宋体"/>
          <w:sz w:val="24"/>
        </w:rPr>
      </w:pPr>
      <w:r>
        <w:rPr>
          <w:rFonts w:ascii="宋体" w:hAnsi="宋体"/>
          <w:sz w:val="24"/>
        </w:rPr>
        <w:t xml:space="preserve">3.3.1 </w:t>
      </w:r>
      <w:r>
        <w:rPr>
          <w:rFonts w:hint="eastAsia" w:ascii="宋体" w:hAnsi="宋体"/>
          <w:sz w:val="24"/>
        </w:rPr>
        <w:t>在评标过程中，磋商小组可以书面形式要求供应商对所提交响应文件中不明确的内容进行书面澄清或说明，或者对细微偏差进行补正。磋商小组不接受供应商主动提出的澄清、说明或补正。</w:t>
      </w:r>
    </w:p>
    <w:p>
      <w:pPr>
        <w:spacing w:line="360" w:lineRule="auto"/>
        <w:ind w:firstLine="480" w:firstLineChars="200"/>
        <w:rPr>
          <w:rFonts w:ascii="宋体"/>
          <w:sz w:val="24"/>
        </w:rPr>
      </w:pPr>
      <w:r>
        <w:rPr>
          <w:rFonts w:ascii="宋体" w:hAnsi="宋体"/>
          <w:sz w:val="24"/>
        </w:rPr>
        <w:t xml:space="preserve">3.3.2 </w:t>
      </w:r>
      <w:r>
        <w:rPr>
          <w:rFonts w:hint="eastAsia" w:ascii="宋体" w:hAnsi="宋体"/>
          <w:sz w:val="24"/>
        </w:rPr>
        <w:t>澄清、说明和补正不得改变磋商文件的实质性内容（算术性错误修正的除外）。供应商的书面澄清、说明和补正属于投标文件的组成部分。</w:t>
      </w:r>
    </w:p>
    <w:p>
      <w:pPr>
        <w:spacing w:line="360" w:lineRule="auto"/>
        <w:ind w:firstLine="480" w:firstLineChars="200"/>
        <w:rPr>
          <w:rFonts w:ascii="宋体"/>
          <w:sz w:val="24"/>
        </w:rPr>
      </w:pPr>
      <w:r>
        <w:rPr>
          <w:rFonts w:ascii="宋体" w:hAnsi="宋体"/>
          <w:sz w:val="24"/>
        </w:rPr>
        <w:t xml:space="preserve">3.3.3 </w:t>
      </w:r>
      <w:r>
        <w:rPr>
          <w:rFonts w:hint="eastAsia" w:ascii="宋体" w:hAnsi="宋体"/>
          <w:sz w:val="24"/>
        </w:rPr>
        <w:t>磋商小组对供应商提交的澄清、说明或补正有疑问的，可以要求供应商进一步澄清、说明或补正，直至满足磋商小组的要求。</w:t>
      </w:r>
    </w:p>
    <w:p>
      <w:pPr>
        <w:spacing w:line="360" w:lineRule="auto"/>
        <w:ind w:firstLine="480" w:firstLineChars="200"/>
        <w:rPr>
          <w:rFonts w:ascii="宋体"/>
          <w:sz w:val="24"/>
        </w:rPr>
      </w:pPr>
      <w:r>
        <w:rPr>
          <w:rFonts w:ascii="宋体" w:hAnsi="宋体"/>
          <w:sz w:val="24"/>
        </w:rPr>
        <w:t xml:space="preserve">3.3.4 </w:t>
      </w:r>
      <w:r>
        <w:rPr>
          <w:rFonts w:hint="eastAsia" w:ascii="宋体" w:hAnsi="宋体"/>
          <w:sz w:val="24"/>
        </w:rPr>
        <w:t>凡超出磋商文件规定的或给发包人带来未曾要求的利益的变化、偏差或其他因素在评标时不予考虑。</w:t>
      </w:r>
    </w:p>
    <w:p>
      <w:pPr>
        <w:pStyle w:val="2"/>
        <w:spacing w:beforeLines="50"/>
        <w:rPr>
          <w:rFonts w:ascii="宋体"/>
          <w:sz w:val="24"/>
          <w:szCs w:val="24"/>
        </w:rPr>
      </w:pPr>
      <w:bookmarkStart w:id="197" w:name="_Toc234382672"/>
      <w:bookmarkStart w:id="198" w:name="_Toc27161"/>
      <w:bookmarkStart w:id="199" w:name="_Toc8391"/>
      <w:bookmarkStart w:id="200" w:name="_Toc18462"/>
      <w:r>
        <w:rPr>
          <w:rFonts w:ascii="宋体" w:hAnsi="宋体"/>
          <w:sz w:val="24"/>
          <w:szCs w:val="24"/>
        </w:rPr>
        <w:t xml:space="preserve">3.4 </w:t>
      </w:r>
      <w:r>
        <w:rPr>
          <w:rFonts w:hint="eastAsia" w:ascii="宋体" w:hAnsi="宋体"/>
          <w:sz w:val="24"/>
          <w:szCs w:val="24"/>
        </w:rPr>
        <w:t>评标结果</w:t>
      </w:r>
      <w:bookmarkEnd w:id="197"/>
      <w:bookmarkEnd w:id="198"/>
      <w:bookmarkEnd w:id="199"/>
      <w:bookmarkEnd w:id="200"/>
    </w:p>
    <w:p>
      <w:pPr>
        <w:spacing w:line="500" w:lineRule="exact"/>
        <w:ind w:firstLine="480"/>
        <w:rPr>
          <w:rFonts w:ascii="宋体"/>
          <w:sz w:val="24"/>
        </w:rPr>
      </w:pPr>
      <w:r>
        <w:rPr>
          <w:rFonts w:ascii="宋体" w:hAnsi="宋体"/>
          <w:sz w:val="24"/>
        </w:rPr>
        <w:t>3.4.1</w:t>
      </w:r>
      <w:r>
        <w:rPr>
          <w:rFonts w:hint="eastAsia" w:ascii="宋体" w:hAnsi="宋体"/>
          <w:sz w:val="24"/>
        </w:rPr>
        <w:t>除第二章“供应商须知”前附表授权直接确定中标人外，磋商小组按照得分由高到低的顺序推荐中标候选人。</w:t>
      </w:r>
    </w:p>
    <w:p>
      <w:pPr>
        <w:spacing w:line="500" w:lineRule="exact"/>
        <w:ind w:firstLine="480"/>
        <w:rPr>
          <w:rFonts w:ascii="宋体"/>
          <w:sz w:val="24"/>
          <w:highlight w:val="yellow"/>
        </w:rPr>
      </w:pPr>
      <w:r>
        <w:rPr>
          <w:rFonts w:ascii="宋体" w:hAnsi="宋体"/>
          <w:sz w:val="24"/>
        </w:rPr>
        <w:t xml:space="preserve">3.4.2 </w:t>
      </w:r>
      <w:r>
        <w:rPr>
          <w:rFonts w:hint="eastAsia" w:ascii="宋体" w:hAnsi="宋体"/>
          <w:sz w:val="24"/>
        </w:rPr>
        <w:t>磋商小组完成评标后，应当向采购人提交书面评标报告。</w:t>
      </w:r>
    </w:p>
    <w:p>
      <w:pPr>
        <w:spacing w:line="500" w:lineRule="exact"/>
        <w:ind w:firstLine="480"/>
        <w:rPr>
          <w:rFonts w:ascii="宋体"/>
          <w:sz w:val="24"/>
        </w:rPr>
      </w:pPr>
      <w:r>
        <w:rPr>
          <w:rFonts w:hint="eastAsia" w:ascii="宋体" w:hAnsi="宋体"/>
          <w:b/>
          <w:sz w:val="24"/>
        </w:rPr>
        <w:t>说明</w:t>
      </w:r>
      <w:r>
        <w:rPr>
          <w:rFonts w:hint="eastAsia" w:ascii="宋体" w:hAnsi="宋体"/>
          <w:sz w:val="24"/>
        </w:rPr>
        <w:t>：</w:t>
      </w:r>
    </w:p>
    <w:p>
      <w:pPr>
        <w:spacing w:line="500" w:lineRule="exact"/>
        <w:ind w:firstLine="480"/>
        <w:rPr>
          <w:rFonts w:ascii="宋体"/>
          <w:sz w:val="24"/>
        </w:rPr>
      </w:pPr>
      <w:r>
        <w:rPr>
          <w:rFonts w:hint="eastAsia" w:ascii="宋体" w:hAnsi="宋体"/>
          <w:sz w:val="24"/>
        </w:rPr>
        <w:t>在本次工程开标、评标、定标过程中如出现异常情况时，经评标委员会或磋商领导小组（由现场监督人员、磋商单位代表人员、磋商公司代表人员组成）集体讨论决定处理意见，或重新组织磋商。</w:t>
      </w:r>
    </w:p>
    <w:p>
      <w:pPr>
        <w:pStyle w:val="3"/>
        <w:rPr>
          <w:rFonts w:ascii="宋体" w:hAnsi="宋体" w:eastAsia="宋体"/>
          <w:sz w:val="21"/>
          <w:szCs w:val="21"/>
        </w:rPr>
      </w:pPr>
      <w:bookmarkStart w:id="201" w:name="_Toc8270"/>
      <w:bookmarkStart w:id="202" w:name="_Toc3286"/>
      <w:bookmarkStart w:id="203" w:name="_Toc17291"/>
      <w:bookmarkStart w:id="204" w:name="_Toc294124218"/>
      <w:bookmarkStart w:id="205" w:name="_Toc287015617"/>
      <w:bookmarkStart w:id="206" w:name="_Toc286929509"/>
      <w:bookmarkStart w:id="207" w:name="_Toc2286"/>
      <w:r>
        <w:rPr>
          <w:rFonts w:hint="eastAsia" w:ascii="宋体" w:hAnsi="宋体" w:eastAsia="宋体"/>
          <w:sz w:val="21"/>
          <w:szCs w:val="21"/>
        </w:rPr>
        <w:t>附件：废标条件</w:t>
      </w:r>
      <w:bookmarkEnd w:id="201"/>
      <w:bookmarkEnd w:id="202"/>
      <w:bookmarkEnd w:id="203"/>
      <w:bookmarkEnd w:id="204"/>
      <w:bookmarkEnd w:id="205"/>
      <w:bookmarkEnd w:id="206"/>
      <w:bookmarkEnd w:id="207"/>
    </w:p>
    <w:p>
      <w:pPr>
        <w:spacing w:beforeLines="50" w:afterLines="50" w:line="480" w:lineRule="exact"/>
        <w:jc w:val="center"/>
        <w:rPr>
          <w:rFonts w:ascii="宋体"/>
          <w:sz w:val="28"/>
          <w:szCs w:val="28"/>
        </w:rPr>
      </w:pPr>
      <w:r>
        <w:rPr>
          <w:rFonts w:hint="eastAsia" w:ascii="宋体" w:hAnsi="宋体"/>
          <w:sz w:val="28"/>
          <w:szCs w:val="28"/>
        </w:rPr>
        <w:t>废标条件</w:t>
      </w:r>
    </w:p>
    <w:p>
      <w:pPr>
        <w:spacing w:beforeLines="50" w:afterLines="50" w:line="480" w:lineRule="exact"/>
        <w:rPr>
          <w:rFonts w:ascii="宋体"/>
          <w:b/>
          <w:sz w:val="24"/>
        </w:rPr>
      </w:pPr>
      <w:r>
        <w:rPr>
          <w:rFonts w:hint="eastAsia" w:ascii="宋体" w:hAnsi="宋体"/>
          <w:b/>
          <w:sz w:val="24"/>
        </w:rPr>
        <w:t>总则</w:t>
      </w:r>
    </w:p>
    <w:p>
      <w:pPr>
        <w:spacing w:beforeLines="50" w:afterLines="50" w:line="480" w:lineRule="exact"/>
        <w:ind w:firstLine="480" w:firstLineChars="200"/>
        <w:rPr>
          <w:rFonts w:ascii="宋体"/>
          <w:sz w:val="24"/>
        </w:rPr>
      </w:pPr>
      <w:r>
        <w:rPr>
          <w:rFonts w:hint="eastAsia" w:ascii="宋体" w:hAnsi="宋体"/>
          <w:sz w:val="24"/>
        </w:rPr>
        <w:t>本附件所集中列示的废标条件，是本章</w:t>
      </w:r>
      <w:r>
        <w:rPr>
          <w:rFonts w:hint="eastAsia" w:ascii="宋体"/>
          <w:sz w:val="24"/>
        </w:rPr>
        <w:t>“</w:t>
      </w:r>
      <w:r>
        <w:rPr>
          <w:rFonts w:hint="eastAsia" w:ascii="宋体" w:hAnsi="宋体"/>
          <w:sz w:val="24"/>
        </w:rPr>
        <w:t>评标办法</w:t>
      </w:r>
      <w:r>
        <w:rPr>
          <w:rFonts w:hint="eastAsia" w:ascii="宋体"/>
          <w:sz w:val="24"/>
        </w:rPr>
        <w:t>”</w:t>
      </w:r>
      <w:r>
        <w:rPr>
          <w:rFonts w:hint="eastAsia" w:ascii="宋体" w:hAnsi="宋体"/>
          <w:sz w:val="24"/>
        </w:rPr>
        <w:t>的组成部分，是对第二章</w:t>
      </w:r>
      <w:r>
        <w:rPr>
          <w:rFonts w:hint="eastAsia" w:ascii="宋体"/>
          <w:sz w:val="24"/>
        </w:rPr>
        <w:t>“</w:t>
      </w:r>
      <w:r>
        <w:rPr>
          <w:rFonts w:hint="eastAsia" w:ascii="宋体" w:hAnsi="宋体"/>
          <w:sz w:val="24"/>
        </w:rPr>
        <w:t>供应商须知</w:t>
      </w:r>
      <w:r>
        <w:rPr>
          <w:rFonts w:hint="eastAsia" w:ascii="宋体"/>
          <w:sz w:val="24"/>
        </w:rPr>
        <w:t>”</w:t>
      </w:r>
      <w:r>
        <w:rPr>
          <w:rFonts w:hint="eastAsia" w:ascii="宋体" w:hAnsi="宋体"/>
          <w:sz w:val="24"/>
        </w:rPr>
        <w:t>和本章正文部分所规定的废标条件的总结和补充，如果出现相互矛盾的情况，以第二章</w:t>
      </w:r>
      <w:r>
        <w:rPr>
          <w:rFonts w:hint="eastAsia" w:ascii="宋体"/>
          <w:sz w:val="24"/>
        </w:rPr>
        <w:t>“</w:t>
      </w:r>
      <w:r>
        <w:rPr>
          <w:rFonts w:hint="eastAsia" w:ascii="宋体" w:hAnsi="宋体"/>
          <w:sz w:val="24"/>
        </w:rPr>
        <w:t>供应商须知</w:t>
      </w:r>
      <w:r>
        <w:rPr>
          <w:rFonts w:hint="eastAsia" w:ascii="宋体"/>
          <w:sz w:val="24"/>
        </w:rPr>
        <w:t>”</w:t>
      </w:r>
      <w:r>
        <w:rPr>
          <w:rFonts w:hint="eastAsia" w:ascii="宋体" w:hAnsi="宋体"/>
          <w:sz w:val="24"/>
        </w:rPr>
        <w:t>和本章正文部分的规定为准。</w:t>
      </w:r>
    </w:p>
    <w:p>
      <w:pPr>
        <w:spacing w:line="480" w:lineRule="exact"/>
        <w:rPr>
          <w:rFonts w:ascii="宋体"/>
          <w:sz w:val="24"/>
        </w:rPr>
      </w:pPr>
      <w:r>
        <w:rPr>
          <w:rFonts w:ascii="宋体" w:hAnsi="宋体"/>
          <w:sz w:val="24"/>
        </w:rPr>
        <w:t xml:space="preserve">1 </w:t>
      </w:r>
      <w:r>
        <w:rPr>
          <w:rFonts w:hint="eastAsia" w:ascii="宋体" w:hAnsi="宋体"/>
          <w:sz w:val="24"/>
        </w:rPr>
        <w:t>废标条件</w:t>
      </w:r>
    </w:p>
    <w:p>
      <w:pPr>
        <w:spacing w:line="480" w:lineRule="exact"/>
        <w:rPr>
          <w:rFonts w:ascii="宋体"/>
          <w:sz w:val="24"/>
        </w:rPr>
      </w:pPr>
      <w:r>
        <w:rPr>
          <w:rFonts w:hint="eastAsia" w:ascii="宋体" w:hAnsi="宋体"/>
          <w:b/>
          <w:bCs/>
          <w:sz w:val="24"/>
        </w:rPr>
        <w:t>供应商或其投标文件有下列情形之一的，其投标作废标处理：</w:t>
      </w:r>
    </w:p>
    <w:p>
      <w:pPr>
        <w:spacing w:line="480" w:lineRule="exact"/>
        <w:ind w:firstLine="480" w:firstLineChars="200"/>
        <w:rPr>
          <w:rFonts w:ascii="宋体"/>
          <w:sz w:val="24"/>
        </w:rPr>
      </w:pPr>
      <w:r>
        <w:rPr>
          <w:rFonts w:ascii="宋体" w:hAnsi="宋体"/>
          <w:sz w:val="24"/>
        </w:rPr>
        <w:t>1.1</w:t>
      </w:r>
      <w:r>
        <w:rPr>
          <w:rFonts w:hint="eastAsia" w:ascii="宋体" w:hAnsi="宋体"/>
          <w:sz w:val="24"/>
        </w:rPr>
        <w:t>有第二章</w:t>
      </w:r>
      <w:r>
        <w:rPr>
          <w:rFonts w:hint="eastAsia" w:ascii="宋体"/>
          <w:sz w:val="24"/>
        </w:rPr>
        <w:t>“</w:t>
      </w:r>
      <w:r>
        <w:rPr>
          <w:rFonts w:hint="eastAsia" w:ascii="宋体" w:hAnsi="宋体"/>
          <w:sz w:val="24"/>
        </w:rPr>
        <w:t>供应商须知</w:t>
      </w:r>
      <w:r>
        <w:rPr>
          <w:rFonts w:hint="eastAsia" w:ascii="宋体"/>
          <w:sz w:val="24"/>
        </w:rPr>
        <w:t>”</w:t>
      </w:r>
      <w:r>
        <w:rPr>
          <w:rFonts w:hint="eastAsia" w:ascii="宋体" w:hAnsi="宋体"/>
          <w:sz w:val="24"/>
        </w:rPr>
        <w:t>第</w:t>
      </w:r>
      <w:r>
        <w:rPr>
          <w:rFonts w:ascii="宋体" w:hAnsi="宋体"/>
          <w:sz w:val="24"/>
        </w:rPr>
        <w:t>1.4.3</w:t>
      </w:r>
      <w:r>
        <w:rPr>
          <w:rFonts w:hint="eastAsia" w:ascii="宋体" w:hAnsi="宋体"/>
          <w:sz w:val="24"/>
        </w:rPr>
        <w:t>项规定的任何一种情形的。</w:t>
      </w:r>
    </w:p>
    <w:p>
      <w:pPr>
        <w:spacing w:line="480" w:lineRule="exact"/>
        <w:ind w:firstLine="480" w:firstLineChars="200"/>
        <w:rPr>
          <w:rFonts w:ascii="宋体"/>
          <w:sz w:val="24"/>
        </w:rPr>
      </w:pPr>
      <w:r>
        <w:rPr>
          <w:rFonts w:ascii="宋体" w:hAnsi="宋体"/>
          <w:sz w:val="24"/>
        </w:rPr>
        <w:t xml:space="preserve">1.2 </w:t>
      </w:r>
      <w:r>
        <w:rPr>
          <w:rFonts w:hint="eastAsia" w:ascii="宋体" w:hAnsi="宋体"/>
          <w:sz w:val="24"/>
        </w:rPr>
        <w:t>有串通投标或弄虚作假或其他违法行为的，详下：</w:t>
      </w:r>
    </w:p>
    <w:p>
      <w:pPr>
        <w:spacing w:line="480" w:lineRule="exact"/>
        <w:ind w:firstLine="480" w:firstLineChars="200"/>
        <w:rPr>
          <w:rFonts w:ascii="宋体"/>
          <w:bCs/>
          <w:kern w:val="0"/>
          <w:sz w:val="24"/>
        </w:rPr>
      </w:pPr>
      <w:r>
        <w:rPr>
          <w:rFonts w:ascii="宋体" w:hAnsi="宋体"/>
          <w:bCs/>
          <w:kern w:val="0"/>
          <w:sz w:val="24"/>
        </w:rPr>
        <w:t>1.2.1</w:t>
      </w:r>
      <w:r>
        <w:rPr>
          <w:rFonts w:hint="eastAsia" w:ascii="宋体" w:hAnsi="宋体"/>
          <w:bCs/>
          <w:kern w:val="0"/>
          <w:sz w:val="24"/>
        </w:rPr>
        <w:t>供应商之间协商投标报价等投标文件的实质性内容；</w:t>
      </w:r>
    </w:p>
    <w:p>
      <w:pPr>
        <w:spacing w:line="480" w:lineRule="exact"/>
        <w:ind w:firstLine="480" w:firstLineChars="200"/>
        <w:rPr>
          <w:rFonts w:ascii="宋体"/>
          <w:bCs/>
          <w:kern w:val="0"/>
          <w:sz w:val="24"/>
        </w:rPr>
      </w:pPr>
      <w:r>
        <w:rPr>
          <w:rFonts w:ascii="宋体" w:hAnsi="宋体"/>
          <w:bCs/>
          <w:kern w:val="0"/>
          <w:sz w:val="24"/>
        </w:rPr>
        <w:t>1.2.2</w:t>
      </w:r>
      <w:r>
        <w:rPr>
          <w:rFonts w:hint="eastAsia" w:ascii="宋体" w:hAnsi="宋体"/>
          <w:bCs/>
          <w:kern w:val="0"/>
          <w:sz w:val="24"/>
        </w:rPr>
        <w:t>供应商之间约定中标人；</w:t>
      </w:r>
    </w:p>
    <w:p>
      <w:pPr>
        <w:autoSpaceDE w:val="0"/>
        <w:autoSpaceDN w:val="0"/>
        <w:spacing w:line="500" w:lineRule="exact"/>
        <w:ind w:firstLine="480" w:firstLineChars="200"/>
        <w:rPr>
          <w:rFonts w:ascii="宋体"/>
          <w:bCs/>
          <w:kern w:val="0"/>
          <w:sz w:val="24"/>
        </w:rPr>
      </w:pPr>
      <w:r>
        <w:rPr>
          <w:rFonts w:ascii="宋体" w:hAnsi="宋体"/>
          <w:bCs/>
          <w:kern w:val="0"/>
          <w:sz w:val="24"/>
        </w:rPr>
        <w:t>1.2.3</w:t>
      </w:r>
      <w:r>
        <w:rPr>
          <w:rFonts w:hint="eastAsia" w:ascii="宋体" w:hAnsi="宋体"/>
          <w:bCs/>
          <w:kern w:val="0"/>
          <w:sz w:val="24"/>
        </w:rPr>
        <w:t>供应商之间约定部分供应商放弃投标或者中标；</w:t>
      </w:r>
    </w:p>
    <w:p>
      <w:pPr>
        <w:autoSpaceDE w:val="0"/>
        <w:autoSpaceDN w:val="0"/>
        <w:spacing w:line="500" w:lineRule="exact"/>
        <w:ind w:firstLine="480" w:firstLineChars="200"/>
        <w:rPr>
          <w:rFonts w:ascii="宋体"/>
          <w:bCs/>
          <w:kern w:val="0"/>
          <w:sz w:val="24"/>
        </w:rPr>
      </w:pPr>
      <w:r>
        <w:rPr>
          <w:rFonts w:ascii="宋体" w:hAnsi="宋体"/>
          <w:bCs/>
          <w:kern w:val="0"/>
          <w:sz w:val="24"/>
        </w:rPr>
        <w:t>1.2.4</w:t>
      </w:r>
      <w:r>
        <w:rPr>
          <w:rFonts w:hint="eastAsia" w:ascii="宋体" w:hAnsi="宋体"/>
          <w:bCs/>
          <w:kern w:val="0"/>
          <w:sz w:val="24"/>
        </w:rPr>
        <w:t>属于同一集团、协会、商会等组织成员的供应商按照该组织要求协同投标；</w:t>
      </w:r>
    </w:p>
    <w:p>
      <w:pPr>
        <w:autoSpaceDE w:val="0"/>
        <w:autoSpaceDN w:val="0"/>
        <w:spacing w:line="500" w:lineRule="exact"/>
        <w:ind w:firstLine="480" w:firstLineChars="200"/>
        <w:rPr>
          <w:rFonts w:ascii="宋体"/>
          <w:bCs/>
          <w:kern w:val="0"/>
          <w:sz w:val="24"/>
        </w:rPr>
      </w:pPr>
      <w:r>
        <w:rPr>
          <w:rFonts w:ascii="宋体" w:hAnsi="宋体"/>
          <w:bCs/>
          <w:kern w:val="0"/>
          <w:sz w:val="24"/>
        </w:rPr>
        <w:t>1.2.5</w:t>
      </w:r>
      <w:r>
        <w:rPr>
          <w:rFonts w:hint="eastAsia" w:ascii="宋体" w:hAnsi="宋体"/>
          <w:bCs/>
          <w:kern w:val="0"/>
          <w:sz w:val="24"/>
        </w:rPr>
        <w:t>供应商之间为谋取中标或者排斥特定供应商而采取的其他联合行动；</w:t>
      </w:r>
    </w:p>
    <w:p>
      <w:pPr>
        <w:autoSpaceDE w:val="0"/>
        <w:autoSpaceDN w:val="0"/>
        <w:spacing w:line="500" w:lineRule="exact"/>
        <w:ind w:firstLine="480" w:firstLineChars="200"/>
        <w:jc w:val="left"/>
        <w:rPr>
          <w:rFonts w:ascii="宋体"/>
          <w:bCs/>
          <w:kern w:val="0"/>
          <w:sz w:val="24"/>
        </w:rPr>
      </w:pPr>
      <w:r>
        <w:rPr>
          <w:rFonts w:ascii="宋体" w:hAnsi="宋体"/>
          <w:bCs/>
          <w:kern w:val="0"/>
          <w:sz w:val="24"/>
        </w:rPr>
        <w:t>1.2.6</w:t>
      </w:r>
      <w:r>
        <w:rPr>
          <w:rFonts w:hint="eastAsia" w:ascii="宋体" w:hAnsi="宋体"/>
          <w:bCs/>
          <w:kern w:val="0"/>
          <w:sz w:val="24"/>
        </w:rPr>
        <w:t>不同供应商的投标文件由同一单位或者个人编制；</w:t>
      </w:r>
    </w:p>
    <w:p>
      <w:pPr>
        <w:autoSpaceDE w:val="0"/>
        <w:autoSpaceDN w:val="0"/>
        <w:spacing w:line="500" w:lineRule="exact"/>
        <w:ind w:firstLine="480" w:firstLineChars="200"/>
        <w:rPr>
          <w:rFonts w:ascii="宋体"/>
          <w:bCs/>
          <w:kern w:val="0"/>
          <w:sz w:val="24"/>
        </w:rPr>
      </w:pPr>
      <w:r>
        <w:rPr>
          <w:rFonts w:ascii="宋体" w:hAnsi="宋体"/>
          <w:bCs/>
          <w:kern w:val="0"/>
          <w:sz w:val="24"/>
        </w:rPr>
        <w:t>1.2.7</w:t>
      </w:r>
      <w:r>
        <w:rPr>
          <w:rFonts w:hint="eastAsia" w:ascii="宋体" w:hAnsi="宋体"/>
          <w:bCs/>
          <w:kern w:val="0"/>
          <w:sz w:val="24"/>
        </w:rPr>
        <w:t>不同供应商委托同一单位或者个人办理投标事宜；</w:t>
      </w:r>
    </w:p>
    <w:p>
      <w:pPr>
        <w:autoSpaceDE w:val="0"/>
        <w:autoSpaceDN w:val="0"/>
        <w:spacing w:line="500" w:lineRule="exact"/>
        <w:ind w:firstLine="480" w:firstLineChars="200"/>
        <w:rPr>
          <w:rFonts w:ascii="宋体"/>
          <w:bCs/>
          <w:kern w:val="0"/>
          <w:sz w:val="24"/>
        </w:rPr>
      </w:pPr>
      <w:r>
        <w:rPr>
          <w:rFonts w:ascii="宋体" w:hAnsi="宋体"/>
          <w:bCs/>
          <w:kern w:val="0"/>
          <w:sz w:val="24"/>
        </w:rPr>
        <w:t>1.2.8</w:t>
      </w:r>
      <w:r>
        <w:rPr>
          <w:rFonts w:hint="eastAsia" w:ascii="宋体" w:hAnsi="宋体"/>
          <w:bCs/>
          <w:kern w:val="0"/>
          <w:sz w:val="24"/>
        </w:rPr>
        <w:t>不同供应商的投标文件载明的项目管理成员为同一人；</w:t>
      </w:r>
    </w:p>
    <w:p>
      <w:pPr>
        <w:autoSpaceDE w:val="0"/>
        <w:autoSpaceDN w:val="0"/>
        <w:spacing w:line="500" w:lineRule="exact"/>
        <w:ind w:firstLine="480" w:firstLineChars="200"/>
        <w:jc w:val="left"/>
        <w:rPr>
          <w:rFonts w:ascii="宋体"/>
          <w:bCs/>
          <w:kern w:val="0"/>
          <w:sz w:val="24"/>
        </w:rPr>
      </w:pPr>
      <w:r>
        <w:rPr>
          <w:rFonts w:ascii="宋体" w:hAnsi="宋体"/>
          <w:bCs/>
          <w:kern w:val="0"/>
          <w:sz w:val="24"/>
        </w:rPr>
        <w:t xml:space="preserve">1.2.9 </w:t>
      </w:r>
      <w:r>
        <w:rPr>
          <w:rFonts w:hint="eastAsia" w:ascii="宋体" w:hAnsi="宋体"/>
          <w:bCs/>
          <w:kern w:val="0"/>
          <w:sz w:val="24"/>
        </w:rPr>
        <w:t>不同供应商聘请同一个人为其投标提供技术或者经济咨询服务的，但磋商工程本身要求采用专有技术的除外；</w:t>
      </w:r>
    </w:p>
    <w:p>
      <w:pPr>
        <w:autoSpaceDE w:val="0"/>
        <w:autoSpaceDN w:val="0"/>
        <w:spacing w:line="500" w:lineRule="exact"/>
        <w:ind w:firstLine="480" w:firstLineChars="200"/>
        <w:rPr>
          <w:rFonts w:ascii="宋体"/>
          <w:bCs/>
          <w:kern w:val="0"/>
          <w:sz w:val="24"/>
        </w:rPr>
      </w:pPr>
      <w:r>
        <w:rPr>
          <w:rFonts w:ascii="宋体" w:hAnsi="宋体"/>
          <w:bCs/>
          <w:kern w:val="0"/>
          <w:sz w:val="24"/>
        </w:rPr>
        <w:t>1.2.10</w:t>
      </w:r>
      <w:r>
        <w:rPr>
          <w:rFonts w:hint="eastAsia" w:ascii="宋体" w:hAnsi="宋体"/>
          <w:bCs/>
          <w:kern w:val="0"/>
          <w:sz w:val="24"/>
        </w:rPr>
        <w:t>不同供应商的投标文件异常一致或者投标报价呈规律性差异；</w:t>
      </w:r>
    </w:p>
    <w:p>
      <w:pPr>
        <w:autoSpaceDE w:val="0"/>
        <w:autoSpaceDN w:val="0"/>
        <w:spacing w:line="500" w:lineRule="exact"/>
        <w:ind w:firstLine="480" w:firstLineChars="200"/>
        <w:jc w:val="left"/>
        <w:rPr>
          <w:rFonts w:ascii="宋体"/>
          <w:bCs/>
          <w:kern w:val="0"/>
          <w:sz w:val="24"/>
        </w:rPr>
      </w:pPr>
      <w:r>
        <w:rPr>
          <w:rFonts w:ascii="宋体" w:hAnsi="宋体"/>
          <w:bCs/>
          <w:kern w:val="0"/>
          <w:sz w:val="24"/>
        </w:rPr>
        <w:t>1.2.11</w:t>
      </w:r>
      <w:r>
        <w:rPr>
          <w:rFonts w:hint="eastAsia" w:ascii="宋体" w:hAnsi="宋体"/>
          <w:bCs/>
          <w:kern w:val="0"/>
          <w:sz w:val="24"/>
        </w:rPr>
        <w:t>不同供应商的投标文件错漏之处一致的；</w:t>
      </w:r>
    </w:p>
    <w:p>
      <w:pPr>
        <w:autoSpaceDE w:val="0"/>
        <w:autoSpaceDN w:val="0"/>
        <w:spacing w:line="500" w:lineRule="exact"/>
        <w:ind w:firstLine="480" w:firstLineChars="200"/>
        <w:rPr>
          <w:rFonts w:ascii="宋体"/>
          <w:bCs/>
          <w:kern w:val="0"/>
          <w:sz w:val="24"/>
        </w:rPr>
      </w:pPr>
      <w:r>
        <w:rPr>
          <w:rFonts w:ascii="宋体" w:hAnsi="宋体"/>
          <w:bCs/>
          <w:kern w:val="0"/>
          <w:sz w:val="24"/>
        </w:rPr>
        <w:t>1.2.12</w:t>
      </w:r>
      <w:r>
        <w:rPr>
          <w:rFonts w:hint="eastAsia" w:ascii="宋体" w:hAnsi="宋体"/>
          <w:bCs/>
          <w:kern w:val="0"/>
          <w:sz w:val="24"/>
        </w:rPr>
        <w:t>不同供应商的投标文件相互混装；</w:t>
      </w:r>
    </w:p>
    <w:p>
      <w:pPr>
        <w:autoSpaceDE w:val="0"/>
        <w:autoSpaceDN w:val="0"/>
        <w:spacing w:line="500" w:lineRule="exact"/>
        <w:ind w:firstLine="480" w:firstLineChars="200"/>
        <w:jc w:val="left"/>
        <w:rPr>
          <w:rFonts w:ascii="宋体"/>
          <w:bCs/>
          <w:kern w:val="0"/>
          <w:sz w:val="24"/>
        </w:rPr>
      </w:pPr>
      <w:r>
        <w:rPr>
          <w:rFonts w:ascii="宋体" w:hAnsi="宋体"/>
          <w:bCs/>
          <w:kern w:val="0"/>
          <w:sz w:val="24"/>
        </w:rPr>
        <w:t>1.2.13</w:t>
      </w:r>
      <w:r>
        <w:rPr>
          <w:rFonts w:hint="eastAsia" w:ascii="宋体" w:hAnsi="宋体"/>
          <w:bCs/>
          <w:kern w:val="0"/>
          <w:sz w:val="24"/>
        </w:rPr>
        <w:t>不同供应商的投标文件由同一台电脑编制或者同一台附属设备打印；</w:t>
      </w:r>
    </w:p>
    <w:p>
      <w:pPr>
        <w:autoSpaceDE w:val="0"/>
        <w:autoSpaceDN w:val="0"/>
        <w:spacing w:line="500" w:lineRule="exact"/>
        <w:ind w:firstLine="480" w:firstLineChars="200"/>
        <w:rPr>
          <w:rFonts w:ascii="宋体"/>
          <w:bCs/>
          <w:kern w:val="0"/>
          <w:sz w:val="24"/>
        </w:rPr>
      </w:pPr>
      <w:r>
        <w:rPr>
          <w:rFonts w:ascii="宋体" w:hAnsi="宋体"/>
          <w:bCs/>
          <w:kern w:val="0"/>
          <w:sz w:val="24"/>
        </w:rPr>
        <w:t>1.2.14</w:t>
      </w:r>
      <w:r>
        <w:rPr>
          <w:rFonts w:hint="eastAsia" w:ascii="宋体" w:hAnsi="宋体"/>
          <w:bCs/>
          <w:kern w:val="0"/>
          <w:sz w:val="24"/>
        </w:rPr>
        <w:t>不同供应商的投标保证金从同一单位或者个人的账户转出；</w:t>
      </w:r>
    </w:p>
    <w:p>
      <w:pPr>
        <w:autoSpaceDE w:val="0"/>
        <w:autoSpaceDN w:val="0"/>
        <w:spacing w:line="500" w:lineRule="exact"/>
        <w:ind w:firstLine="480" w:firstLineChars="200"/>
        <w:jc w:val="left"/>
        <w:rPr>
          <w:rFonts w:ascii="宋体"/>
          <w:bCs/>
          <w:kern w:val="0"/>
          <w:sz w:val="24"/>
        </w:rPr>
      </w:pPr>
      <w:r>
        <w:rPr>
          <w:rFonts w:ascii="宋体" w:hAnsi="宋体"/>
          <w:bCs/>
          <w:kern w:val="0"/>
          <w:sz w:val="24"/>
        </w:rPr>
        <w:t>1.2.15</w:t>
      </w:r>
      <w:r>
        <w:rPr>
          <w:rFonts w:hint="eastAsia" w:ascii="宋体" w:hAnsi="宋体"/>
          <w:bCs/>
          <w:kern w:val="0"/>
          <w:sz w:val="24"/>
        </w:rPr>
        <w:t>不同供应商使用同一个人或者企业资金交纳投标保证金或者投标保函的反担保的；</w:t>
      </w:r>
    </w:p>
    <w:p>
      <w:pPr>
        <w:autoSpaceDE w:val="0"/>
        <w:autoSpaceDN w:val="0"/>
        <w:spacing w:line="500" w:lineRule="exact"/>
        <w:ind w:firstLine="480" w:firstLineChars="200"/>
        <w:rPr>
          <w:rFonts w:ascii="宋体"/>
          <w:bCs/>
          <w:kern w:val="0"/>
          <w:sz w:val="24"/>
        </w:rPr>
      </w:pPr>
      <w:r>
        <w:rPr>
          <w:rFonts w:ascii="宋体" w:hAnsi="宋体"/>
          <w:bCs/>
          <w:kern w:val="0"/>
          <w:sz w:val="24"/>
        </w:rPr>
        <w:t>1.2.16</w:t>
      </w:r>
      <w:r>
        <w:rPr>
          <w:rFonts w:hint="eastAsia" w:ascii="宋体" w:hAnsi="宋体"/>
          <w:bCs/>
          <w:kern w:val="0"/>
          <w:sz w:val="24"/>
        </w:rPr>
        <w:t>使用伪造、变造的许可证件；</w:t>
      </w:r>
    </w:p>
    <w:p>
      <w:pPr>
        <w:autoSpaceDE w:val="0"/>
        <w:autoSpaceDN w:val="0"/>
        <w:spacing w:line="500" w:lineRule="exact"/>
        <w:ind w:firstLine="480" w:firstLineChars="200"/>
        <w:rPr>
          <w:rFonts w:ascii="宋体"/>
          <w:bCs/>
          <w:kern w:val="0"/>
          <w:sz w:val="24"/>
        </w:rPr>
      </w:pPr>
      <w:r>
        <w:rPr>
          <w:rFonts w:ascii="宋体" w:hAnsi="宋体"/>
          <w:bCs/>
          <w:kern w:val="0"/>
          <w:sz w:val="24"/>
        </w:rPr>
        <w:t>1.2.17</w:t>
      </w:r>
      <w:r>
        <w:rPr>
          <w:rFonts w:hint="eastAsia" w:ascii="宋体" w:hAnsi="宋体"/>
          <w:bCs/>
          <w:kern w:val="0"/>
          <w:sz w:val="24"/>
        </w:rPr>
        <w:t>提供虚假的财务状况或者业绩；</w:t>
      </w:r>
    </w:p>
    <w:p>
      <w:pPr>
        <w:autoSpaceDE w:val="0"/>
        <w:autoSpaceDN w:val="0"/>
        <w:spacing w:line="500" w:lineRule="exact"/>
        <w:ind w:firstLine="480" w:firstLineChars="200"/>
        <w:rPr>
          <w:rFonts w:ascii="宋体"/>
          <w:bCs/>
          <w:kern w:val="0"/>
          <w:sz w:val="24"/>
        </w:rPr>
      </w:pPr>
      <w:r>
        <w:rPr>
          <w:rFonts w:ascii="宋体" w:hAnsi="宋体"/>
          <w:bCs/>
          <w:kern w:val="0"/>
          <w:sz w:val="24"/>
        </w:rPr>
        <w:t>1.2.18</w:t>
      </w:r>
      <w:r>
        <w:rPr>
          <w:rFonts w:hint="eastAsia" w:ascii="宋体" w:hAnsi="宋体"/>
          <w:bCs/>
          <w:kern w:val="0"/>
          <w:sz w:val="24"/>
        </w:rPr>
        <w:t>提供虚假的项目负责人或者主要技术人员简历、劳动关系证明；</w:t>
      </w:r>
    </w:p>
    <w:p>
      <w:pPr>
        <w:autoSpaceDE w:val="0"/>
        <w:autoSpaceDN w:val="0"/>
        <w:spacing w:line="500" w:lineRule="exact"/>
        <w:ind w:firstLine="480" w:firstLineChars="200"/>
        <w:rPr>
          <w:rFonts w:ascii="宋体"/>
          <w:bCs/>
          <w:kern w:val="0"/>
          <w:sz w:val="24"/>
        </w:rPr>
      </w:pPr>
      <w:r>
        <w:rPr>
          <w:rFonts w:ascii="宋体" w:hAnsi="宋体"/>
          <w:bCs/>
          <w:kern w:val="0"/>
          <w:sz w:val="24"/>
        </w:rPr>
        <w:t>1.2.19</w:t>
      </w:r>
      <w:r>
        <w:rPr>
          <w:rFonts w:hint="eastAsia" w:ascii="宋体" w:hAnsi="宋体"/>
          <w:bCs/>
          <w:kern w:val="0"/>
          <w:sz w:val="24"/>
        </w:rPr>
        <w:t>提供虚假的信用状况；</w:t>
      </w:r>
    </w:p>
    <w:p>
      <w:pPr>
        <w:autoSpaceDE w:val="0"/>
        <w:autoSpaceDN w:val="0"/>
        <w:spacing w:line="500" w:lineRule="exact"/>
        <w:ind w:firstLine="480" w:firstLineChars="200"/>
        <w:rPr>
          <w:rFonts w:ascii="宋体"/>
          <w:bCs/>
          <w:kern w:val="0"/>
          <w:sz w:val="24"/>
        </w:rPr>
      </w:pPr>
      <w:r>
        <w:rPr>
          <w:rFonts w:ascii="宋体" w:hAnsi="宋体"/>
          <w:bCs/>
          <w:kern w:val="0"/>
          <w:sz w:val="24"/>
        </w:rPr>
        <w:t>1.2.20</w:t>
      </w:r>
      <w:r>
        <w:rPr>
          <w:rFonts w:hint="eastAsia" w:ascii="宋体" w:hAnsi="宋体"/>
          <w:bCs/>
          <w:kern w:val="0"/>
          <w:sz w:val="24"/>
        </w:rPr>
        <w:t>其他弄虚作假的行为；</w:t>
      </w:r>
    </w:p>
    <w:p>
      <w:pPr>
        <w:autoSpaceDE w:val="0"/>
        <w:autoSpaceDN w:val="0"/>
        <w:spacing w:line="500" w:lineRule="exact"/>
        <w:ind w:firstLine="480" w:firstLineChars="200"/>
        <w:rPr>
          <w:rFonts w:ascii="宋体"/>
          <w:bCs/>
          <w:kern w:val="0"/>
          <w:sz w:val="24"/>
        </w:rPr>
      </w:pPr>
      <w:r>
        <w:rPr>
          <w:rFonts w:ascii="宋体" w:hAnsi="宋体"/>
          <w:bCs/>
          <w:kern w:val="0"/>
          <w:sz w:val="24"/>
        </w:rPr>
        <w:t>1.2.21</w:t>
      </w:r>
      <w:r>
        <w:rPr>
          <w:rFonts w:hint="eastAsia" w:ascii="宋体" w:hAnsi="宋体"/>
          <w:bCs/>
          <w:kern w:val="0"/>
          <w:sz w:val="24"/>
        </w:rPr>
        <w:t>采购人在开标前开启响应文件并将有关信息泄露给其他供应商；</w:t>
      </w:r>
    </w:p>
    <w:p>
      <w:pPr>
        <w:autoSpaceDE w:val="0"/>
        <w:autoSpaceDN w:val="0"/>
        <w:spacing w:line="500" w:lineRule="exact"/>
        <w:ind w:firstLine="480" w:firstLineChars="200"/>
        <w:rPr>
          <w:rFonts w:ascii="宋体"/>
          <w:bCs/>
          <w:kern w:val="0"/>
          <w:sz w:val="24"/>
        </w:rPr>
      </w:pPr>
      <w:r>
        <w:rPr>
          <w:rFonts w:ascii="宋体" w:hAnsi="宋体"/>
          <w:bCs/>
          <w:kern w:val="0"/>
          <w:sz w:val="24"/>
        </w:rPr>
        <w:t>1.2.22</w:t>
      </w:r>
      <w:r>
        <w:rPr>
          <w:rFonts w:hint="eastAsia" w:ascii="宋体" w:hAnsi="宋体"/>
          <w:bCs/>
          <w:kern w:val="0"/>
          <w:sz w:val="24"/>
        </w:rPr>
        <w:t>采购人直接或者间接向供应商泄露标底、磋商小组成员等信息；</w:t>
      </w:r>
    </w:p>
    <w:p>
      <w:pPr>
        <w:autoSpaceDE w:val="0"/>
        <w:autoSpaceDN w:val="0"/>
        <w:spacing w:line="500" w:lineRule="exact"/>
        <w:ind w:firstLine="480" w:firstLineChars="200"/>
        <w:rPr>
          <w:rFonts w:ascii="宋体"/>
          <w:bCs/>
          <w:kern w:val="0"/>
          <w:sz w:val="24"/>
        </w:rPr>
      </w:pPr>
      <w:r>
        <w:rPr>
          <w:rFonts w:ascii="宋体" w:hAnsi="宋体"/>
          <w:bCs/>
          <w:kern w:val="0"/>
          <w:sz w:val="24"/>
        </w:rPr>
        <w:t>1.2.23</w:t>
      </w:r>
      <w:r>
        <w:rPr>
          <w:rFonts w:hint="eastAsia" w:ascii="宋体" w:hAnsi="宋体"/>
          <w:bCs/>
          <w:kern w:val="0"/>
          <w:sz w:val="24"/>
        </w:rPr>
        <w:t>采购人明示或者暗示供应商压低或者抬高投标报价；</w:t>
      </w:r>
    </w:p>
    <w:p>
      <w:pPr>
        <w:autoSpaceDE w:val="0"/>
        <w:autoSpaceDN w:val="0"/>
        <w:spacing w:line="500" w:lineRule="exact"/>
        <w:ind w:firstLine="480" w:firstLineChars="200"/>
        <w:rPr>
          <w:rFonts w:ascii="宋体"/>
          <w:bCs/>
          <w:kern w:val="0"/>
          <w:sz w:val="24"/>
        </w:rPr>
      </w:pPr>
      <w:r>
        <w:rPr>
          <w:rFonts w:ascii="宋体" w:hAnsi="宋体"/>
          <w:bCs/>
          <w:kern w:val="0"/>
          <w:sz w:val="24"/>
        </w:rPr>
        <w:t>1.2.24</w:t>
      </w:r>
      <w:r>
        <w:rPr>
          <w:rFonts w:hint="eastAsia" w:ascii="宋体" w:hAnsi="宋体"/>
          <w:bCs/>
          <w:kern w:val="0"/>
          <w:sz w:val="24"/>
        </w:rPr>
        <w:t>采购人授意供应商撤换、修改投标文件；</w:t>
      </w:r>
    </w:p>
    <w:p>
      <w:pPr>
        <w:autoSpaceDE w:val="0"/>
        <w:autoSpaceDN w:val="0"/>
        <w:spacing w:line="500" w:lineRule="exact"/>
        <w:ind w:firstLine="480" w:firstLineChars="200"/>
        <w:rPr>
          <w:rFonts w:ascii="宋体"/>
          <w:bCs/>
          <w:kern w:val="0"/>
          <w:sz w:val="24"/>
        </w:rPr>
      </w:pPr>
      <w:r>
        <w:rPr>
          <w:rFonts w:ascii="宋体" w:hAnsi="宋体"/>
          <w:bCs/>
          <w:kern w:val="0"/>
          <w:sz w:val="24"/>
        </w:rPr>
        <w:t>1.2.25</w:t>
      </w:r>
      <w:r>
        <w:rPr>
          <w:rFonts w:hint="eastAsia" w:ascii="宋体" w:hAnsi="宋体"/>
          <w:bCs/>
          <w:kern w:val="0"/>
          <w:sz w:val="24"/>
        </w:rPr>
        <w:t>采购人明示或者暗示供应商为特定供应商中标提供方便；</w:t>
      </w:r>
    </w:p>
    <w:p>
      <w:pPr>
        <w:autoSpaceDE w:val="0"/>
        <w:autoSpaceDN w:val="0"/>
        <w:spacing w:line="500" w:lineRule="exact"/>
        <w:ind w:firstLine="480" w:firstLineChars="200"/>
        <w:rPr>
          <w:rFonts w:ascii="宋体"/>
          <w:bCs/>
          <w:kern w:val="0"/>
          <w:sz w:val="24"/>
        </w:rPr>
      </w:pPr>
      <w:r>
        <w:rPr>
          <w:rFonts w:ascii="宋体" w:hAnsi="宋体"/>
          <w:bCs/>
          <w:kern w:val="0"/>
          <w:sz w:val="24"/>
        </w:rPr>
        <w:t>1.2.26</w:t>
      </w:r>
      <w:r>
        <w:rPr>
          <w:rFonts w:hint="eastAsia" w:ascii="宋体" w:hAnsi="宋体"/>
          <w:bCs/>
          <w:kern w:val="0"/>
          <w:sz w:val="24"/>
        </w:rPr>
        <w:t>采购人与供应商为谋求特定供应商中标而采取的其他串通行为；</w:t>
      </w:r>
    </w:p>
    <w:p>
      <w:pPr>
        <w:autoSpaceDE w:val="0"/>
        <w:autoSpaceDN w:val="0"/>
        <w:spacing w:line="500" w:lineRule="exact"/>
        <w:ind w:firstLine="360" w:firstLineChars="150"/>
        <w:jc w:val="left"/>
        <w:rPr>
          <w:rFonts w:ascii="宋体"/>
          <w:bCs/>
          <w:kern w:val="0"/>
          <w:sz w:val="24"/>
        </w:rPr>
      </w:pPr>
      <w:r>
        <w:rPr>
          <w:rFonts w:ascii="宋体" w:hAnsi="宋体"/>
          <w:bCs/>
          <w:kern w:val="0"/>
          <w:sz w:val="24"/>
        </w:rPr>
        <w:t xml:space="preserve"> 1.2.27</w:t>
      </w:r>
      <w:r>
        <w:rPr>
          <w:rFonts w:hint="eastAsia" w:ascii="宋体" w:hAnsi="宋体"/>
          <w:bCs/>
          <w:kern w:val="0"/>
          <w:sz w:val="24"/>
        </w:rPr>
        <w:t>评标委员会认定的其他串通投标情形；</w:t>
      </w:r>
    </w:p>
    <w:p>
      <w:pPr>
        <w:spacing w:line="480" w:lineRule="exact"/>
        <w:ind w:firstLine="480" w:firstLineChars="200"/>
        <w:rPr>
          <w:rFonts w:ascii="宋体"/>
          <w:sz w:val="24"/>
        </w:rPr>
      </w:pPr>
      <w:r>
        <w:rPr>
          <w:rFonts w:ascii="宋体" w:hAnsi="宋体"/>
          <w:sz w:val="24"/>
        </w:rPr>
        <w:t>1.3</w:t>
      </w:r>
      <w:r>
        <w:rPr>
          <w:rFonts w:hint="eastAsia" w:ascii="宋体" w:hAnsi="宋体"/>
          <w:sz w:val="24"/>
        </w:rPr>
        <w:t>不按评标委员会要求澄清、说明或补正的。</w:t>
      </w:r>
    </w:p>
    <w:p>
      <w:pPr>
        <w:spacing w:beforeLines="50" w:afterLines="50" w:line="480" w:lineRule="exact"/>
        <w:ind w:firstLine="480" w:firstLineChars="200"/>
        <w:rPr>
          <w:rFonts w:ascii="宋体"/>
          <w:sz w:val="24"/>
        </w:rPr>
      </w:pPr>
      <w:r>
        <w:rPr>
          <w:rFonts w:ascii="宋体" w:hAnsi="宋体"/>
          <w:sz w:val="24"/>
        </w:rPr>
        <w:t>1.4</w:t>
      </w:r>
      <w:r>
        <w:rPr>
          <w:rFonts w:hint="eastAsia" w:ascii="宋体" w:hAnsi="宋体"/>
          <w:sz w:val="24"/>
        </w:rPr>
        <w:t>在形式评审、资格评审（适用于未进行资格预审的）、响应性评审中，磋商小组认定供应商的投标文件不符合评标办法前附表中规定的任何一项评审标准的。</w:t>
      </w:r>
    </w:p>
    <w:p>
      <w:pPr>
        <w:spacing w:beforeLines="50" w:afterLines="50" w:line="480" w:lineRule="exact"/>
        <w:ind w:firstLine="480" w:firstLineChars="200"/>
        <w:rPr>
          <w:rFonts w:ascii="宋体"/>
          <w:sz w:val="24"/>
        </w:rPr>
      </w:pPr>
      <w:r>
        <w:rPr>
          <w:rFonts w:ascii="宋体" w:hAnsi="宋体"/>
          <w:sz w:val="24"/>
        </w:rPr>
        <w:t>1.5</w:t>
      </w:r>
      <w:r>
        <w:rPr>
          <w:rFonts w:hint="eastAsia" w:ascii="宋体" w:hAnsi="宋体"/>
          <w:sz w:val="24"/>
        </w:rPr>
        <w:t>当供应商资格预审申请文件的内容发生重大变化时，其在响应文件中更新的资料，未能通过资格评审的（适用于已进行资格预审的）。</w:t>
      </w:r>
    </w:p>
    <w:p>
      <w:pPr>
        <w:spacing w:beforeLines="50" w:afterLines="50" w:line="480" w:lineRule="exact"/>
        <w:ind w:firstLine="482" w:firstLineChars="200"/>
        <w:rPr>
          <w:rFonts w:ascii="宋体"/>
          <w:b/>
          <w:bCs/>
          <w:sz w:val="24"/>
        </w:rPr>
      </w:pPr>
      <w:r>
        <w:rPr>
          <w:rFonts w:ascii="宋体" w:hAnsi="宋体"/>
          <w:b/>
          <w:bCs/>
          <w:sz w:val="24"/>
        </w:rPr>
        <w:t>1.6</w:t>
      </w:r>
      <w:r>
        <w:rPr>
          <w:rFonts w:hint="eastAsia" w:ascii="宋体" w:hAnsi="宋体"/>
          <w:b/>
          <w:bCs/>
          <w:sz w:val="24"/>
        </w:rPr>
        <w:t>投标报价文件（投标函除外）未经有资格的注册造价工程师签字并加盖其执业专用章的。</w:t>
      </w:r>
    </w:p>
    <w:p>
      <w:pPr>
        <w:spacing w:beforeLines="50" w:afterLines="50" w:line="480" w:lineRule="exact"/>
        <w:ind w:firstLine="480" w:firstLineChars="200"/>
        <w:rPr>
          <w:rFonts w:ascii="宋体"/>
          <w:sz w:val="24"/>
        </w:rPr>
      </w:pPr>
      <w:r>
        <w:rPr>
          <w:rFonts w:ascii="宋体" w:hAnsi="宋体"/>
          <w:sz w:val="24"/>
        </w:rPr>
        <w:t>1.7</w:t>
      </w:r>
      <w:r>
        <w:rPr>
          <w:rFonts w:hint="eastAsia" w:ascii="宋体" w:hAnsi="宋体"/>
          <w:sz w:val="24"/>
        </w:rPr>
        <w:t>在施工组织设计和项目管理机构评审中，磋商小组认定供应商的投标未能通过此项评审的。</w:t>
      </w:r>
    </w:p>
    <w:p>
      <w:pPr>
        <w:spacing w:line="480" w:lineRule="exact"/>
        <w:ind w:firstLine="480" w:firstLineChars="200"/>
        <w:rPr>
          <w:rFonts w:ascii="宋体"/>
          <w:sz w:val="24"/>
        </w:rPr>
      </w:pPr>
      <w:r>
        <w:rPr>
          <w:rFonts w:ascii="宋体" w:hAnsi="宋体"/>
          <w:sz w:val="24"/>
        </w:rPr>
        <w:t>1.8</w:t>
      </w:r>
      <w:r>
        <w:rPr>
          <w:rFonts w:hint="eastAsia" w:ascii="宋体" w:hAnsi="宋体"/>
          <w:sz w:val="24"/>
        </w:rPr>
        <w:t>评标委员会认定供应商以低于成本报价竞标的。</w:t>
      </w:r>
    </w:p>
    <w:p>
      <w:pPr>
        <w:spacing w:line="500" w:lineRule="exact"/>
        <w:ind w:firstLine="480"/>
        <w:rPr>
          <w:rFonts w:ascii="宋体"/>
          <w:sz w:val="24"/>
        </w:rPr>
      </w:pPr>
      <w:r>
        <w:rPr>
          <w:rFonts w:ascii="宋体" w:hAnsi="宋体"/>
          <w:sz w:val="24"/>
        </w:rPr>
        <w:t>1.9</w:t>
      </w:r>
      <w:r>
        <w:rPr>
          <w:rFonts w:hint="eastAsia" w:ascii="宋体" w:hAnsi="宋体"/>
          <w:sz w:val="24"/>
        </w:rPr>
        <w:t>供应商未按第二章</w:t>
      </w:r>
      <w:r>
        <w:rPr>
          <w:rFonts w:hint="eastAsia" w:ascii="宋体"/>
          <w:sz w:val="24"/>
        </w:rPr>
        <w:t>“</w:t>
      </w:r>
      <w:r>
        <w:rPr>
          <w:rFonts w:hint="eastAsia" w:ascii="宋体" w:hAnsi="宋体"/>
          <w:sz w:val="24"/>
        </w:rPr>
        <w:t>供应商须知</w:t>
      </w:r>
      <w:r>
        <w:rPr>
          <w:rFonts w:hint="eastAsia" w:ascii="宋体"/>
          <w:sz w:val="24"/>
        </w:rPr>
        <w:t>”</w:t>
      </w:r>
      <w:r>
        <w:rPr>
          <w:rFonts w:hint="eastAsia" w:ascii="宋体" w:hAnsi="宋体"/>
          <w:sz w:val="24"/>
        </w:rPr>
        <w:t>规定出席开标会的。</w:t>
      </w:r>
    </w:p>
    <w:p>
      <w:pPr>
        <w:spacing w:line="500" w:lineRule="exact"/>
        <w:ind w:firstLine="480"/>
        <w:rPr>
          <w:rFonts w:ascii="宋体"/>
          <w:sz w:val="28"/>
          <w:szCs w:val="28"/>
        </w:rPr>
      </w:pPr>
    </w:p>
    <w:p>
      <w:pPr>
        <w:pStyle w:val="2"/>
        <w:spacing w:line="500" w:lineRule="exact"/>
        <w:jc w:val="center"/>
        <w:rPr>
          <w:rFonts w:hint="eastAsia" w:ascii="宋体" w:hAnsi="宋体"/>
        </w:rPr>
      </w:pPr>
      <w:bookmarkStart w:id="208" w:name="_Toc23880"/>
      <w:bookmarkStart w:id="209" w:name="_Toc26430"/>
    </w:p>
    <w:p>
      <w:pPr>
        <w:pStyle w:val="2"/>
        <w:spacing w:line="500" w:lineRule="exact"/>
        <w:jc w:val="center"/>
        <w:rPr>
          <w:rFonts w:hint="eastAsia" w:ascii="宋体" w:hAnsi="宋体"/>
        </w:rPr>
      </w:pPr>
    </w:p>
    <w:p>
      <w:pPr>
        <w:pStyle w:val="2"/>
        <w:spacing w:line="500" w:lineRule="exact"/>
        <w:jc w:val="center"/>
        <w:rPr>
          <w:rFonts w:ascii="宋体"/>
          <w:sz w:val="28"/>
          <w:szCs w:val="28"/>
        </w:rPr>
      </w:pPr>
      <w:r>
        <w:rPr>
          <w:rFonts w:hint="eastAsia" w:ascii="宋体" w:hAnsi="宋体"/>
        </w:rPr>
        <w:t>第四章合同条款及格式</w:t>
      </w:r>
      <w:bookmarkEnd w:id="208"/>
      <w:bookmarkEnd w:id="209"/>
      <w:bookmarkStart w:id="210" w:name="_Toc294124223"/>
      <w:bookmarkStart w:id="211" w:name="_Toc10344"/>
      <w:bookmarkStart w:id="212" w:name="_Toc287015632"/>
      <w:bookmarkStart w:id="213" w:name="_Toc286929527"/>
    </w:p>
    <w:p>
      <w:pPr>
        <w:pStyle w:val="3"/>
        <w:rPr>
          <w:rFonts w:ascii="宋体" w:hAnsi="宋体" w:eastAsia="宋体"/>
          <w:sz w:val="28"/>
          <w:szCs w:val="28"/>
        </w:rPr>
      </w:pPr>
      <w:bookmarkStart w:id="214" w:name="_Toc8727"/>
      <w:bookmarkStart w:id="215" w:name="_Toc5031"/>
      <w:bookmarkStart w:id="216" w:name="_Toc24197"/>
      <w:r>
        <w:rPr>
          <w:rFonts w:hint="eastAsia" w:ascii="宋体" w:hAnsi="宋体" w:eastAsia="宋体"/>
          <w:sz w:val="28"/>
          <w:szCs w:val="28"/>
        </w:rPr>
        <w:t>附件一：合同协议书</w:t>
      </w:r>
      <w:bookmarkEnd w:id="210"/>
      <w:bookmarkEnd w:id="211"/>
      <w:bookmarkEnd w:id="212"/>
      <w:bookmarkEnd w:id="213"/>
      <w:bookmarkEnd w:id="214"/>
      <w:bookmarkEnd w:id="215"/>
      <w:bookmarkEnd w:id="216"/>
    </w:p>
    <w:p>
      <w:pPr>
        <w:spacing w:beforeLines="50" w:afterLines="50" w:line="480" w:lineRule="exact"/>
        <w:jc w:val="center"/>
        <w:rPr>
          <w:rFonts w:ascii="宋体"/>
          <w:sz w:val="28"/>
          <w:szCs w:val="28"/>
        </w:rPr>
      </w:pPr>
      <w:r>
        <w:rPr>
          <w:rFonts w:hint="eastAsia" w:ascii="宋体" w:hAnsi="宋体"/>
          <w:sz w:val="28"/>
          <w:szCs w:val="28"/>
        </w:rPr>
        <w:t>合同协议书</w:t>
      </w:r>
    </w:p>
    <w:p>
      <w:pPr>
        <w:spacing w:beforeLines="50" w:afterLines="50" w:line="480" w:lineRule="exact"/>
        <w:ind w:firstLine="5250" w:firstLineChars="2500"/>
        <w:rPr>
          <w:rFonts w:ascii="宋体"/>
          <w:szCs w:val="21"/>
        </w:rPr>
      </w:pPr>
      <w:r>
        <w:rPr>
          <w:rFonts w:hint="eastAsia" w:ascii="宋体" w:hAnsi="宋体"/>
          <w:szCs w:val="21"/>
        </w:rPr>
        <w:t>编号：</w:t>
      </w:r>
    </w:p>
    <w:p>
      <w:pPr>
        <w:spacing w:line="480" w:lineRule="exact"/>
        <w:rPr>
          <w:rFonts w:ascii="宋体"/>
          <w:sz w:val="24"/>
        </w:rPr>
      </w:pPr>
      <w:r>
        <w:rPr>
          <w:rFonts w:hint="eastAsia" w:ascii="宋体" w:hAnsi="宋体"/>
          <w:sz w:val="24"/>
        </w:rPr>
        <w:t>发包人（全称）：</w:t>
      </w:r>
    </w:p>
    <w:p>
      <w:pPr>
        <w:spacing w:line="480" w:lineRule="exact"/>
        <w:rPr>
          <w:rFonts w:ascii="宋体"/>
          <w:sz w:val="24"/>
        </w:rPr>
      </w:pPr>
      <w:r>
        <w:rPr>
          <w:rFonts w:hint="eastAsia" w:ascii="宋体" w:hAnsi="宋体"/>
          <w:sz w:val="24"/>
        </w:rPr>
        <w:t>法定代表人：</w:t>
      </w:r>
    </w:p>
    <w:p>
      <w:pPr>
        <w:spacing w:line="480" w:lineRule="exact"/>
        <w:rPr>
          <w:rFonts w:ascii="宋体"/>
          <w:sz w:val="24"/>
        </w:rPr>
      </w:pPr>
      <w:r>
        <w:rPr>
          <w:rFonts w:hint="eastAsia" w:ascii="宋体" w:hAnsi="宋体"/>
          <w:sz w:val="24"/>
        </w:rPr>
        <w:t>法定注册地址：</w:t>
      </w:r>
    </w:p>
    <w:p>
      <w:pPr>
        <w:spacing w:line="480" w:lineRule="exact"/>
        <w:rPr>
          <w:rFonts w:ascii="宋体"/>
          <w:sz w:val="24"/>
        </w:rPr>
      </w:pPr>
    </w:p>
    <w:p>
      <w:pPr>
        <w:spacing w:line="480" w:lineRule="exact"/>
        <w:rPr>
          <w:rFonts w:ascii="宋体"/>
          <w:sz w:val="24"/>
        </w:rPr>
      </w:pPr>
      <w:r>
        <w:rPr>
          <w:rFonts w:hint="eastAsia" w:ascii="宋体" w:hAnsi="宋体"/>
          <w:sz w:val="24"/>
        </w:rPr>
        <w:t>承包人（全称）：</w:t>
      </w:r>
    </w:p>
    <w:p>
      <w:pPr>
        <w:spacing w:line="480" w:lineRule="exact"/>
        <w:rPr>
          <w:rFonts w:ascii="宋体"/>
          <w:sz w:val="24"/>
        </w:rPr>
      </w:pPr>
      <w:r>
        <w:rPr>
          <w:rFonts w:hint="eastAsia" w:ascii="宋体" w:hAnsi="宋体"/>
          <w:sz w:val="24"/>
        </w:rPr>
        <w:t>法定代表人：</w:t>
      </w:r>
    </w:p>
    <w:p>
      <w:pPr>
        <w:spacing w:line="480" w:lineRule="exact"/>
        <w:rPr>
          <w:rFonts w:ascii="宋体"/>
          <w:sz w:val="24"/>
        </w:rPr>
      </w:pPr>
      <w:r>
        <w:rPr>
          <w:rFonts w:hint="eastAsia" w:ascii="宋体" w:hAnsi="宋体"/>
          <w:sz w:val="24"/>
        </w:rPr>
        <w:t>法定注册地址：</w:t>
      </w:r>
    </w:p>
    <w:p>
      <w:pPr>
        <w:spacing w:beforeLines="50" w:afterLines="50" w:line="480" w:lineRule="exact"/>
        <w:ind w:firstLine="480" w:firstLineChars="200"/>
        <w:rPr>
          <w:rFonts w:ascii="宋体"/>
          <w:sz w:val="24"/>
        </w:rPr>
      </w:pPr>
      <w:r>
        <w:rPr>
          <w:rFonts w:hint="eastAsia" w:ascii="宋体" w:hAnsi="宋体"/>
          <w:sz w:val="24"/>
        </w:rPr>
        <w:t>发包人为建设（以下简称</w:t>
      </w:r>
      <w:r>
        <w:rPr>
          <w:rFonts w:hint="eastAsia" w:ascii="宋体"/>
          <w:sz w:val="24"/>
        </w:rPr>
        <w:t>“</w:t>
      </w:r>
      <w:r>
        <w:rPr>
          <w:rFonts w:hint="eastAsia" w:ascii="宋体" w:hAnsi="宋体"/>
          <w:sz w:val="24"/>
        </w:rPr>
        <w:t>本工程</w:t>
      </w:r>
      <w:r>
        <w:rPr>
          <w:rFonts w:hint="eastAsia" w:ascii="宋体"/>
          <w:sz w:val="24"/>
        </w:rPr>
        <w:t>”</w:t>
      </w:r>
      <w:r>
        <w:rPr>
          <w:rFonts w:hint="eastAsia" w:ascii="宋体" w:hAnsi="宋体"/>
          <w:sz w:val="24"/>
        </w:rPr>
        <w:t>），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pPr>
        <w:spacing w:line="480" w:lineRule="exact"/>
        <w:ind w:firstLine="480" w:firstLineChars="200"/>
        <w:rPr>
          <w:rFonts w:ascii="宋体"/>
          <w:sz w:val="24"/>
        </w:rPr>
      </w:pPr>
      <w:r>
        <w:rPr>
          <w:rFonts w:hint="eastAsia" w:ascii="宋体" w:hAnsi="宋体"/>
          <w:sz w:val="24"/>
        </w:rPr>
        <w:t>一、工程概况</w:t>
      </w:r>
    </w:p>
    <w:p>
      <w:pPr>
        <w:spacing w:line="480" w:lineRule="exact"/>
        <w:ind w:firstLine="480" w:firstLineChars="200"/>
        <w:rPr>
          <w:rFonts w:ascii="宋体"/>
          <w:sz w:val="24"/>
        </w:rPr>
      </w:pPr>
      <w:r>
        <w:rPr>
          <w:rFonts w:hint="eastAsia" w:ascii="宋体" w:hAnsi="宋体"/>
          <w:sz w:val="24"/>
        </w:rPr>
        <w:t>工程名称：（项目名称）标段</w:t>
      </w:r>
    </w:p>
    <w:p>
      <w:pPr>
        <w:spacing w:line="480" w:lineRule="exact"/>
        <w:ind w:firstLine="480" w:firstLineChars="200"/>
        <w:rPr>
          <w:rFonts w:ascii="宋体"/>
          <w:sz w:val="24"/>
        </w:rPr>
      </w:pPr>
      <w:r>
        <w:rPr>
          <w:rFonts w:hint="eastAsia" w:ascii="宋体" w:hAnsi="宋体"/>
          <w:sz w:val="24"/>
        </w:rPr>
        <w:t>工程地点：</w:t>
      </w:r>
    </w:p>
    <w:p>
      <w:pPr>
        <w:spacing w:line="480" w:lineRule="exact"/>
        <w:ind w:firstLine="480" w:firstLineChars="200"/>
        <w:rPr>
          <w:rFonts w:ascii="宋体"/>
          <w:sz w:val="24"/>
        </w:rPr>
      </w:pPr>
      <w:r>
        <w:rPr>
          <w:rFonts w:hint="eastAsia" w:ascii="宋体" w:hAnsi="宋体"/>
          <w:sz w:val="24"/>
        </w:rPr>
        <w:t>工程内容：</w:t>
      </w:r>
    </w:p>
    <w:p>
      <w:pPr>
        <w:spacing w:line="480" w:lineRule="exact"/>
        <w:ind w:firstLine="480" w:firstLineChars="200"/>
        <w:rPr>
          <w:rFonts w:ascii="宋体"/>
          <w:sz w:val="24"/>
        </w:rPr>
      </w:pPr>
      <w:r>
        <w:rPr>
          <w:rFonts w:hint="eastAsia" w:ascii="宋体" w:hAnsi="宋体"/>
          <w:sz w:val="24"/>
        </w:rPr>
        <w:t>群体工程应附</w:t>
      </w:r>
      <w:r>
        <w:rPr>
          <w:rFonts w:hint="eastAsia" w:ascii="宋体"/>
          <w:sz w:val="24"/>
        </w:rPr>
        <w:t>“</w:t>
      </w:r>
      <w:r>
        <w:rPr>
          <w:rFonts w:hint="eastAsia" w:ascii="宋体" w:hAnsi="宋体"/>
          <w:sz w:val="24"/>
        </w:rPr>
        <w:t>承包人承揽工程项目一览表</w:t>
      </w:r>
      <w:r>
        <w:rPr>
          <w:rFonts w:hint="eastAsia" w:ascii="宋体"/>
          <w:sz w:val="24"/>
        </w:rPr>
        <w:t>”</w:t>
      </w:r>
      <w:r>
        <w:rPr>
          <w:rFonts w:hint="eastAsia" w:ascii="宋体" w:hAnsi="宋体"/>
          <w:sz w:val="24"/>
        </w:rPr>
        <w:t>（附件</w:t>
      </w:r>
      <w:r>
        <w:rPr>
          <w:rFonts w:ascii="宋体" w:hAnsi="宋体"/>
          <w:sz w:val="24"/>
        </w:rPr>
        <w:t>1</w:t>
      </w:r>
      <w:r>
        <w:rPr>
          <w:rFonts w:hint="eastAsia" w:ascii="宋体" w:hAnsi="宋体"/>
          <w:sz w:val="24"/>
        </w:rPr>
        <w:t>）</w:t>
      </w:r>
    </w:p>
    <w:p>
      <w:pPr>
        <w:spacing w:line="480" w:lineRule="exact"/>
        <w:ind w:firstLine="480" w:firstLineChars="200"/>
        <w:rPr>
          <w:rFonts w:ascii="宋体"/>
          <w:sz w:val="24"/>
        </w:rPr>
      </w:pPr>
      <w:r>
        <w:rPr>
          <w:rFonts w:hint="eastAsia" w:ascii="宋体" w:hAnsi="宋体"/>
          <w:sz w:val="24"/>
        </w:rPr>
        <w:t>工程立项批准文号：</w:t>
      </w:r>
    </w:p>
    <w:p>
      <w:pPr>
        <w:spacing w:line="480" w:lineRule="exact"/>
        <w:ind w:firstLine="480" w:firstLineChars="200"/>
        <w:rPr>
          <w:rFonts w:ascii="宋体"/>
          <w:sz w:val="24"/>
        </w:rPr>
      </w:pPr>
      <w:r>
        <w:rPr>
          <w:rFonts w:hint="eastAsia" w:ascii="宋体" w:hAnsi="宋体"/>
          <w:sz w:val="24"/>
        </w:rPr>
        <w:t>资金来源：</w:t>
      </w:r>
    </w:p>
    <w:p>
      <w:pPr>
        <w:spacing w:line="480" w:lineRule="exact"/>
        <w:ind w:firstLine="480" w:firstLineChars="200"/>
        <w:rPr>
          <w:rFonts w:ascii="宋体"/>
          <w:sz w:val="24"/>
        </w:rPr>
      </w:pPr>
      <w:r>
        <w:rPr>
          <w:rFonts w:hint="eastAsia" w:ascii="宋体" w:hAnsi="宋体"/>
          <w:sz w:val="24"/>
        </w:rPr>
        <w:t>二、工程承包范围</w:t>
      </w:r>
    </w:p>
    <w:p>
      <w:pPr>
        <w:spacing w:line="480" w:lineRule="exact"/>
        <w:ind w:firstLine="480" w:firstLineChars="200"/>
        <w:rPr>
          <w:rFonts w:ascii="宋体"/>
          <w:sz w:val="24"/>
        </w:rPr>
      </w:pPr>
      <w:r>
        <w:rPr>
          <w:rFonts w:hint="eastAsia" w:ascii="宋体" w:hAnsi="宋体"/>
          <w:sz w:val="24"/>
        </w:rPr>
        <w:t>承包范围：</w:t>
      </w:r>
    </w:p>
    <w:p>
      <w:pPr>
        <w:spacing w:line="480" w:lineRule="exact"/>
        <w:ind w:firstLine="480" w:firstLineChars="200"/>
        <w:rPr>
          <w:rFonts w:ascii="宋体"/>
          <w:sz w:val="24"/>
        </w:rPr>
      </w:pPr>
      <w:r>
        <w:rPr>
          <w:rFonts w:hint="eastAsia" w:ascii="宋体" w:hAnsi="宋体"/>
          <w:sz w:val="24"/>
        </w:rPr>
        <w:t>详细承包范围见第七章</w:t>
      </w:r>
      <w:r>
        <w:rPr>
          <w:rFonts w:hint="eastAsia" w:ascii="宋体"/>
          <w:sz w:val="24"/>
        </w:rPr>
        <w:t>“</w:t>
      </w:r>
      <w:r>
        <w:rPr>
          <w:rFonts w:hint="eastAsia" w:ascii="宋体" w:hAnsi="宋体"/>
          <w:sz w:val="24"/>
        </w:rPr>
        <w:t>技术标准和要求</w:t>
      </w:r>
      <w:r>
        <w:rPr>
          <w:rFonts w:hint="eastAsia" w:ascii="宋体"/>
          <w:sz w:val="24"/>
        </w:rPr>
        <w:t>”</w:t>
      </w:r>
      <w:r>
        <w:rPr>
          <w:rFonts w:hint="eastAsia" w:ascii="宋体" w:hAnsi="宋体"/>
          <w:sz w:val="24"/>
        </w:rPr>
        <w:t>。</w:t>
      </w:r>
    </w:p>
    <w:p>
      <w:pPr>
        <w:spacing w:line="480" w:lineRule="exact"/>
        <w:ind w:firstLine="480" w:firstLineChars="200"/>
        <w:rPr>
          <w:rFonts w:ascii="宋体"/>
          <w:sz w:val="24"/>
        </w:rPr>
      </w:pPr>
      <w:r>
        <w:rPr>
          <w:rFonts w:hint="eastAsia" w:ascii="宋体" w:hAnsi="宋体"/>
          <w:sz w:val="24"/>
        </w:rPr>
        <w:t>三、合同工期</w:t>
      </w:r>
    </w:p>
    <w:p>
      <w:pPr>
        <w:spacing w:line="480" w:lineRule="exact"/>
        <w:ind w:firstLine="480" w:firstLineChars="200"/>
        <w:rPr>
          <w:rFonts w:ascii="宋体"/>
          <w:sz w:val="24"/>
        </w:rPr>
      </w:pPr>
      <w:r>
        <w:rPr>
          <w:rFonts w:hint="eastAsia" w:ascii="宋体" w:hAnsi="宋体"/>
          <w:sz w:val="24"/>
        </w:rPr>
        <w:t>计划开工日期：年月日</w:t>
      </w:r>
    </w:p>
    <w:p>
      <w:pPr>
        <w:spacing w:line="480" w:lineRule="exact"/>
        <w:ind w:firstLine="480" w:firstLineChars="200"/>
        <w:rPr>
          <w:rFonts w:ascii="宋体"/>
          <w:sz w:val="24"/>
        </w:rPr>
      </w:pPr>
      <w:r>
        <w:rPr>
          <w:rFonts w:hint="eastAsia" w:ascii="宋体" w:hAnsi="宋体"/>
          <w:sz w:val="24"/>
        </w:rPr>
        <w:t>计划竣工日期：年月日</w:t>
      </w:r>
    </w:p>
    <w:p>
      <w:pPr>
        <w:spacing w:line="480" w:lineRule="exact"/>
        <w:ind w:firstLine="480" w:firstLineChars="200"/>
        <w:rPr>
          <w:rFonts w:ascii="宋体"/>
          <w:sz w:val="24"/>
        </w:rPr>
      </w:pPr>
      <w:r>
        <w:rPr>
          <w:rFonts w:hint="eastAsia" w:ascii="宋体" w:hAnsi="宋体"/>
          <w:sz w:val="24"/>
        </w:rPr>
        <w:t>工期总日历天数天，自监理人发出的开工通知中载明的开工日期起算。</w:t>
      </w:r>
    </w:p>
    <w:p>
      <w:pPr>
        <w:spacing w:line="480" w:lineRule="exact"/>
        <w:ind w:firstLine="480" w:firstLineChars="200"/>
        <w:rPr>
          <w:rFonts w:ascii="宋体"/>
          <w:sz w:val="24"/>
        </w:rPr>
      </w:pPr>
      <w:r>
        <w:rPr>
          <w:rFonts w:hint="eastAsia" w:ascii="宋体" w:hAnsi="宋体"/>
          <w:sz w:val="24"/>
        </w:rPr>
        <w:t>四、质量标准</w:t>
      </w:r>
    </w:p>
    <w:p>
      <w:pPr>
        <w:spacing w:line="480" w:lineRule="exact"/>
        <w:ind w:firstLine="480" w:firstLineChars="200"/>
        <w:rPr>
          <w:rFonts w:ascii="宋体"/>
          <w:sz w:val="24"/>
        </w:rPr>
      </w:pPr>
      <w:r>
        <w:rPr>
          <w:rFonts w:hint="eastAsia" w:ascii="宋体" w:hAnsi="宋体"/>
          <w:sz w:val="24"/>
        </w:rPr>
        <w:t>工程质量标准：</w:t>
      </w:r>
    </w:p>
    <w:p>
      <w:pPr>
        <w:spacing w:line="480" w:lineRule="exact"/>
        <w:ind w:firstLine="480" w:firstLineChars="200"/>
        <w:rPr>
          <w:rFonts w:ascii="宋体"/>
          <w:sz w:val="24"/>
        </w:rPr>
      </w:pPr>
      <w:r>
        <w:rPr>
          <w:rFonts w:hint="eastAsia" w:ascii="宋体" w:hAnsi="宋体"/>
          <w:sz w:val="24"/>
        </w:rPr>
        <w:t>五、合同形式</w:t>
      </w:r>
    </w:p>
    <w:p>
      <w:pPr>
        <w:spacing w:line="480" w:lineRule="exact"/>
        <w:ind w:firstLine="480" w:firstLineChars="200"/>
        <w:rPr>
          <w:rFonts w:ascii="宋体"/>
          <w:sz w:val="24"/>
        </w:rPr>
      </w:pPr>
      <w:r>
        <w:rPr>
          <w:rFonts w:hint="eastAsia" w:ascii="宋体" w:hAnsi="宋体"/>
          <w:sz w:val="24"/>
        </w:rPr>
        <w:t>本合同采用合同形式。</w:t>
      </w:r>
    </w:p>
    <w:p>
      <w:pPr>
        <w:spacing w:line="480" w:lineRule="exact"/>
        <w:ind w:firstLine="480" w:firstLineChars="200"/>
        <w:rPr>
          <w:rFonts w:ascii="宋体"/>
          <w:sz w:val="24"/>
        </w:rPr>
      </w:pPr>
      <w:r>
        <w:rPr>
          <w:rFonts w:hint="eastAsia" w:ascii="宋体" w:hAnsi="宋体"/>
          <w:sz w:val="24"/>
        </w:rPr>
        <w:t>六、签约合同价</w:t>
      </w:r>
    </w:p>
    <w:p>
      <w:pPr>
        <w:spacing w:line="480" w:lineRule="exact"/>
        <w:ind w:firstLine="480" w:firstLineChars="200"/>
        <w:rPr>
          <w:rFonts w:ascii="宋体"/>
          <w:sz w:val="24"/>
        </w:rPr>
      </w:pPr>
      <w:r>
        <w:rPr>
          <w:rFonts w:hint="eastAsia" w:ascii="宋体" w:hAnsi="宋体"/>
          <w:sz w:val="24"/>
        </w:rPr>
        <w:t>金额（大写）：（人民币）</w:t>
      </w:r>
    </w:p>
    <w:p>
      <w:pPr>
        <w:spacing w:line="480" w:lineRule="exact"/>
        <w:ind w:firstLine="480" w:firstLineChars="200"/>
        <w:rPr>
          <w:rFonts w:ascii="宋体"/>
          <w:sz w:val="24"/>
        </w:rPr>
      </w:pPr>
      <w:r>
        <w:rPr>
          <w:rFonts w:hint="eastAsia" w:ascii="宋体" w:hAnsi="宋体"/>
          <w:sz w:val="24"/>
        </w:rPr>
        <w:t>（小写）￥：元</w:t>
      </w:r>
    </w:p>
    <w:p>
      <w:pPr>
        <w:spacing w:line="480" w:lineRule="exact"/>
        <w:ind w:firstLine="480" w:firstLineChars="200"/>
        <w:rPr>
          <w:rFonts w:ascii="宋体"/>
          <w:sz w:val="24"/>
        </w:rPr>
      </w:pPr>
      <w:r>
        <w:rPr>
          <w:rFonts w:hint="eastAsia" w:ascii="宋体" w:hAnsi="宋体"/>
          <w:sz w:val="24"/>
        </w:rPr>
        <w:t>预付款：元；</w:t>
      </w:r>
    </w:p>
    <w:p>
      <w:pPr>
        <w:spacing w:line="480" w:lineRule="exact"/>
        <w:ind w:firstLine="480" w:firstLineChars="200"/>
        <w:rPr>
          <w:rFonts w:ascii="宋体"/>
          <w:sz w:val="24"/>
          <w:u w:val="single"/>
        </w:rPr>
      </w:pPr>
      <w:r>
        <w:rPr>
          <w:rFonts w:hint="eastAsia" w:ascii="宋体" w:hAnsi="宋体"/>
          <w:sz w:val="24"/>
        </w:rPr>
        <w:t>进度款：元；</w:t>
      </w:r>
    </w:p>
    <w:p>
      <w:pPr>
        <w:spacing w:line="480" w:lineRule="exact"/>
        <w:ind w:left="1081" w:leftChars="229" w:hanging="600" w:hangingChars="250"/>
        <w:rPr>
          <w:rFonts w:ascii="宋体"/>
          <w:sz w:val="24"/>
        </w:rPr>
      </w:pPr>
      <w:r>
        <w:rPr>
          <w:rFonts w:hint="eastAsia" w:ascii="宋体" w:hAnsi="宋体"/>
          <w:sz w:val="24"/>
        </w:rPr>
        <w:t>其中：安全文明施工费：元</w:t>
      </w:r>
    </w:p>
    <w:p>
      <w:pPr>
        <w:spacing w:line="480" w:lineRule="exact"/>
        <w:ind w:left="1081" w:leftChars="229" w:hanging="600" w:hangingChars="250"/>
        <w:rPr>
          <w:rFonts w:ascii="宋体"/>
          <w:sz w:val="24"/>
        </w:rPr>
      </w:pPr>
      <w:r>
        <w:rPr>
          <w:rFonts w:hint="eastAsia" w:ascii="宋体" w:hAnsi="宋体"/>
          <w:sz w:val="24"/>
        </w:rPr>
        <w:t>暂列金额：元（其中计日工金额元）</w:t>
      </w:r>
    </w:p>
    <w:p>
      <w:pPr>
        <w:spacing w:line="480" w:lineRule="exact"/>
        <w:ind w:firstLine="480" w:firstLineChars="200"/>
        <w:rPr>
          <w:rFonts w:ascii="宋体"/>
          <w:sz w:val="24"/>
        </w:rPr>
      </w:pPr>
      <w:r>
        <w:rPr>
          <w:rFonts w:hint="eastAsia" w:ascii="宋体" w:hAnsi="宋体"/>
          <w:sz w:val="24"/>
        </w:rPr>
        <w:t>材料和工程设备暂估价：元</w:t>
      </w:r>
    </w:p>
    <w:p>
      <w:pPr>
        <w:spacing w:line="480" w:lineRule="exact"/>
        <w:ind w:firstLine="480" w:firstLineChars="200"/>
        <w:rPr>
          <w:rFonts w:ascii="宋体"/>
          <w:sz w:val="24"/>
        </w:rPr>
      </w:pPr>
      <w:r>
        <w:rPr>
          <w:rFonts w:hint="eastAsia" w:ascii="宋体" w:hAnsi="宋体"/>
          <w:sz w:val="24"/>
        </w:rPr>
        <w:t>专业工程暂估价：元</w:t>
      </w:r>
    </w:p>
    <w:p>
      <w:pPr>
        <w:spacing w:line="480" w:lineRule="exact"/>
        <w:ind w:firstLine="480" w:firstLineChars="200"/>
        <w:rPr>
          <w:rFonts w:ascii="宋体"/>
          <w:sz w:val="24"/>
        </w:rPr>
      </w:pPr>
      <w:r>
        <w:rPr>
          <w:rFonts w:hint="eastAsia" w:ascii="宋体" w:hAnsi="宋体"/>
          <w:sz w:val="24"/>
        </w:rPr>
        <w:t>七、承包人项目经理</w:t>
      </w:r>
    </w:p>
    <w:p>
      <w:pPr>
        <w:spacing w:line="480" w:lineRule="exact"/>
        <w:ind w:firstLine="480" w:firstLineChars="200"/>
        <w:rPr>
          <w:rFonts w:ascii="宋体"/>
          <w:sz w:val="24"/>
        </w:rPr>
      </w:pPr>
      <w:r>
        <w:rPr>
          <w:rFonts w:hint="eastAsia" w:ascii="宋体" w:hAnsi="宋体"/>
          <w:sz w:val="24"/>
        </w:rPr>
        <w:t>姓名：；职称：；</w:t>
      </w:r>
    </w:p>
    <w:p>
      <w:pPr>
        <w:spacing w:line="480" w:lineRule="exact"/>
        <w:ind w:firstLine="480" w:firstLineChars="200"/>
        <w:rPr>
          <w:rFonts w:ascii="宋体"/>
          <w:sz w:val="24"/>
        </w:rPr>
      </w:pPr>
      <w:r>
        <w:rPr>
          <w:rFonts w:hint="eastAsia" w:ascii="宋体" w:hAnsi="宋体"/>
          <w:sz w:val="24"/>
        </w:rPr>
        <w:t>身份证号：；建造师执业资格证书号：；</w:t>
      </w:r>
    </w:p>
    <w:p>
      <w:pPr>
        <w:spacing w:line="480" w:lineRule="exact"/>
        <w:ind w:firstLine="360" w:firstLineChars="150"/>
        <w:rPr>
          <w:rFonts w:ascii="宋体"/>
          <w:sz w:val="24"/>
        </w:rPr>
      </w:pPr>
      <w:r>
        <w:rPr>
          <w:rFonts w:hint="eastAsia" w:ascii="宋体" w:hAnsi="宋体"/>
          <w:sz w:val="24"/>
        </w:rPr>
        <w:t>建造师注册证书号：。</w:t>
      </w:r>
    </w:p>
    <w:p>
      <w:pPr>
        <w:spacing w:line="480" w:lineRule="exact"/>
        <w:ind w:firstLine="480" w:firstLineChars="200"/>
        <w:rPr>
          <w:rFonts w:ascii="宋体"/>
          <w:sz w:val="24"/>
        </w:rPr>
      </w:pPr>
      <w:r>
        <w:rPr>
          <w:rFonts w:hint="eastAsia" w:ascii="宋体" w:hAnsi="宋体"/>
          <w:sz w:val="24"/>
        </w:rPr>
        <w:t>造师执业印章号：。</w:t>
      </w:r>
    </w:p>
    <w:p>
      <w:pPr>
        <w:spacing w:line="480" w:lineRule="exact"/>
        <w:ind w:firstLine="480" w:firstLineChars="200"/>
        <w:rPr>
          <w:rFonts w:ascii="宋体"/>
          <w:sz w:val="24"/>
        </w:rPr>
      </w:pPr>
      <w:r>
        <w:rPr>
          <w:rFonts w:hint="eastAsia" w:ascii="宋体" w:hAnsi="宋体"/>
          <w:sz w:val="24"/>
        </w:rPr>
        <w:t>安全生产考核合格证书号：。</w:t>
      </w:r>
    </w:p>
    <w:p>
      <w:pPr>
        <w:spacing w:line="480" w:lineRule="exact"/>
        <w:ind w:firstLine="480" w:firstLineChars="200"/>
        <w:rPr>
          <w:rFonts w:ascii="宋体"/>
          <w:sz w:val="24"/>
        </w:rPr>
      </w:pPr>
      <w:r>
        <w:rPr>
          <w:rFonts w:hint="eastAsia" w:ascii="宋体" w:hAnsi="宋体"/>
          <w:sz w:val="24"/>
        </w:rPr>
        <w:t>八、合同文件的组成</w:t>
      </w:r>
    </w:p>
    <w:p>
      <w:pPr>
        <w:spacing w:line="480" w:lineRule="exact"/>
        <w:ind w:firstLine="480" w:firstLineChars="200"/>
        <w:rPr>
          <w:rFonts w:ascii="宋体"/>
          <w:sz w:val="24"/>
        </w:rPr>
      </w:pPr>
      <w:r>
        <w:rPr>
          <w:rFonts w:hint="eastAsia" w:ascii="宋体" w:hAnsi="宋体"/>
          <w:sz w:val="24"/>
        </w:rPr>
        <w:t>下列文件共同构成合同文件：</w:t>
      </w:r>
    </w:p>
    <w:p>
      <w:pPr>
        <w:spacing w:line="480" w:lineRule="exact"/>
        <w:ind w:firstLine="480" w:firstLineChars="200"/>
        <w:rPr>
          <w:rFonts w:ascii="宋体"/>
          <w:sz w:val="24"/>
        </w:rPr>
      </w:pPr>
      <w:r>
        <w:rPr>
          <w:rFonts w:ascii="宋体" w:hAnsi="宋体"/>
          <w:sz w:val="24"/>
        </w:rPr>
        <w:t>1</w:t>
      </w:r>
      <w:r>
        <w:rPr>
          <w:rFonts w:hint="eastAsia" w:ascii="宋体" w:hAnsi="宋体"/>
          <w:sz w:val="24"/>
        </w:rPr>
        <w:t>、本协议书；</w:t>
      </w:r>
    </w:p>
    <w:p>
      <w:pPr>
        <w:spacing w:line="480" w:lineRule="exact"/>
        <w:ind w:firstLine="480" w:firstLineChars="200"/>
        <w:rPr>
          <w:rFonts w:ascii="宋体"/>
          <w:sz w:val="24"/>
        </w:rPr>
      </w:pPr>
      <w:r>
        <w:rPr>
          <w:rFonts w:ascii="宋体" w:hAnsi="宋体"/>
          <w:sz w:val="24"/>
        </w:rPr>
        <w:t>2</w:t>
      </w:r>
      <w:r>
        <w:rPr>
          <w:rFonts w:hint="eastAsia" w:ascii="宋体" w:hAnsi="宋体"/>
          <w:sz w:val="24"/>
        </w:rPr>
        <w:t>、中标通知书；</w:t>
      </w:r>
    </w:p>
    <w:p>
      <w:pPr>
        <w:spacing w:line="480" w:lineRule="exact"/>
        <w:ind w:firstLine="480" w:firstLineChars="200"/>
        <w:rPr>
          <w:rFonts w:ascii="宋体"/>
          <w:sz w:val="24"/>
        </w:rPr>
      </w:pPr>
      <w:r>
        <w:rPr>
          <w:rFonts w:ascii="宋体" w:hAnsi="宋体"/>
          <w:sz w:val="24"/>
        </w:rPr>
        <w:t>3</w:t>
      </w:r>
      <w:r>
        <w:rPr>
          <w:rFonts w:hint="eastAsia" w:ascii="宋体" w:hAnsi="宋体"/>
          <w:sz w:val="24"/>
        </w:rPr>
        <w:t>、投标函及投标函附录；</w:t>
      </w:r>
    </w:p>
    <w:p>
      <w:pPr>
        <w:spacing w:line="480" w:lineRule="exact"/>
        <w:ind w:firstLine="480" w:firstLineChars="200"/>
        <w:rPr>
          <w:rFonts w:ascii="宋体"/>
          <w:sz w:val="24"/>
        </w:rPr>
      </w:pPr>
      <w:r>
        <w:rPr>
          <w:rFonts w:ascii="宋体" w:hAnsi="宋体"/>
          <w:sz w:val="24"/>
        </w:rPr>
        <w:t>4</w:t>
      </w:r>
      <w:r>
        <w:rPr>
          <w:rFonts w:hint="eastAsia" w:ascii="宋体" w:hAnsi="宋体"/>
          <w:sz w:val="24"/>
        </w:rPr>
        <w:t>、专用合同条款；</w:t>
      </w:r>
    </w:p>
    <w:p>
      <w:pPr>
        <w:spacing w:line="480" w:lineRule="exact"/>
        <w:ind w:firstLine="480" w:firstLineChars="200"/>
        <w:rPr>
          <w:rFonts w:ascii="宋体"/>
          <w:sz w:val="24"/>
        </w:rPr>
      </w:pPr>
      <w:r>
        <w:rPr>
          <w:rFonts w:ascii="宋体" w:hAnsi="宋体"/>
          <w:sz w:val="24"/>
        </w:rPr>
        <w:t>5</w:t>
      </w:r>
      <w:r>
        <w:rPr>
          <w:rFonts w:hint="eastAsia" w:ascii="宋体" w:hAnsi="宋体"/>
          <w:sz w:val="24"/>
        </w:rPr>
        <w:t>、通用合同条款；</w:t>
      </w:r>
    </w:p>
    <w:p>
      <w:pPr>
        <w:spacing w:line="480" w:lineRule="exact"/>
        <w:ind w:firstLine="480" w:firstLineChars="200"/>
        <w:rPr>
          <w:rFonts w:ascii="宋体"/>
          <w:sz w:val="24"/>
        </w:rPr>
      </w:pPr>
      <w:r>
        <w:rPr>
          <w:rFonts w:ascii="宋体" w:hAnsi="宋体"/>
          <w:sz w:val="24"/>
        </w:rPr>
        <w:t>6</w:t>
      </w:r>
      <w:r>
        <w:rPr>
          <w:rFonts w:hint="eastAsia" w:ascii="宋体" w:hAnsi="宋体"/>
          <w:sz w:val="24"/>
        </w:rPr>
        <w:t>、技术标准和要求；</w:t>
      </w:r>
    </w:p>
    <w:p>
      <w:pPr>
        <w:spacing w:line="480" w:lineRule="exact"/>
        <w:ind w:firstLine="480" w:firstLineChars="200"/>
        <w:rPr>
          <w:rFonts w:ascii="宋体"/>
          <w:sz w:val="24"/>
        </w:rPr>
      </w:pPr>
      <w:r>
        <w:rPr>
          <w:rFonts w:ascii="宋体" w:hAnsi="宋体"/>
          <w:sz w:val="24"/>
        </w:rPr>
        <w:t>7</w:t>
      </w:r>
      <w:r>
        <w:rPr>
          <w:rFonts w:hint="eastAsia" w:ascii="宋体" w:hAnsi="宋体"/>
          <w:sz w:val="24"/>
        </w:rPr>
        <w:t>、图纸；</w:t>
      </w:r>
    </w:p>
    <w:p>
      <w:pPr>
        <w:spacing w:line="480" w:lineRule="exact"/>
        <w:ind w:firstLine="480" w:firstLineChars="200"/>
        <w:rPr>
          <w:rFonts w:ascii="宋体"/>
          <w:sz w:val="24"/>
        </w:rPr>
      </w:pPr>
      <w:r>
        <w:rPr>
          <w:rFonts w:ascii="宋体" w:hAnsi="宋体"/>
          <w:sz w:val="24"/>
        </w:rPr>
        <w:t>8</w:t>
      </w:r>
      <w:r>
        <w:rPr>
          <w:rFonts w:hint="eastAsia" w:ascii="宋体" w:hAnsi="宋体"/>
          <w:sz w:val="24"/>
        </w:rPr>
        <w:t>、已标价工程量清单；</w:t>
      </w:r>
    </w:p>
    <w:p>
      <w:pPr>
        <w:spacing w:line="480" w:lineRule="exact"/>
        <w:ind w:firstLine="480" w:firstLineChars="200"/>
        <w:rPr>
          <w:rFonts w:ascii="宋体"/>
          <w:sz w:val="24"/>
        </w:rPr>
      </w:pPr>
      <w:r>
        <w:rPr>
          <w:rFonts w:ascii="宋体" w:hAnsi="宋体"/>
          <w:sz w:val="24"/>
        </w:rPr>
        <w:t>9</w:t>
      </w:r>
      <w:r>
        <w:rPr>
          <w:rFonts w:hint="eastAsia" w:ascii="宋体" w:hAnsi="宋体"/>
          <w:sz w:val="24"/>
        </w:rPr>
        <w:t>、其他合同文件。</w:t>
      </w:r>
    </w:p>
    <w:p>
      <w:pPr>
        <w:spacing w:line="480" w:lineRule="exact"/>
        <w:ind w:firstLine="480" w:firstLineChars="200"/>
        <w:rPr>
          <w:rFonts w:ascii="宋体"/>
          <w:sz w:val="24"/>
        </w:rPr>
      </w:pPr>
      <w:r>
        <w:rPr>
          <w:rFonts w:hint="eastAsia" w:ascii="宋体" w:hAnsi="宋体"/>
          <w:sz w:val="24"/>
        </w:rPr>
        <w:t>上述文件互相补充和解释，如有不明确或不一致之处，以合同约定次序在先者为准。</w:t>
      </w:r>
    </w:p>
    <w:p>
      <w:pPr>
        <w:spacing w:line="480" w:lineRule="exact"/>
        <w:ind w:firstLine="480" w:firstLineChars="200"/>
        <w:rPr>
          <w:rFonts w:ascii="宋体"/>
          <w:sz w:val="24"/>
        </w:rPr>
      </w:pPr>
      <w:r>
        <w:rPr>
          <w:rFonts w:hint="eastAsia" w:ascii="宋体" w:hAnsi="宋体"/>
          <w:sz w:val="24"/>
        </w:rPr>
        <w:t>九、本协议书中有关词语定义与合同条款中的定义相同。</w:t>
      </w:r>
    </w:p>
    <w:p>
      <w:pPr>
        <w:spacing w:line="480" w:lineRule="exact"/>
        <w:ind w:firstLine="480" w:firstLineChars="200"/>
        <w:rPr>
          <w:rFonts w:ascii="宋体"/>
          <w:sz w:val="24"/>
        </w:rPr>
      </w:pPr>
      <w:r>
        <w:rPr>
          <w:rFonts w:hint="eastAsia" w:ascii="宋体" w:hAnsi="宋体"/>
          <w:sz w:val="24"/>
        </w:rPr>
        <w:t>十、承包人承诺按照合同约定进行施工、竣工、交付并在缺陷责任期内对工程缺陷承担维修责任。</w:t>
      </w:r>
    </w:p>
    <w:p>
      <w:pPr>
        <w:spacing w:line="480" w:lineRule="exact"/>
        <w:ind w:firstLine="480" w:firstLineChars="200"/>
        <w:rPr>
          <w:rFonts w:ascii="宋体"/>
          <w:sz w:val="24"/>
        </w:rPr>
      </w:pPr>
      <w:r>
        <w:rPr>
          <w:rFonts w:hint="eastAsia" w:ascii="宋体" w:hAnsi="宋体"/>
          <w:sz w:val="24"/>
        </w:rPr>
        <w:t>十一、发包人承诺按照合同约定的条件、期限和方式向承包人支付合同价款。</w:t>
      </w:r>
    </w:p>
    <w:p>
      <w:pPr>
        <w:spacing w:line="480" w:lineRule="exact"/>
        <w:ind w:firstLine="480" w:firstLineChars="200"/>
        <w:rPr>
          <w:rFonts w:ascii="宋体"/>
          <w:sz w:val="24"/>
        </w:rPr>
      </w:pPr>
      <w:r>
        <w:rPr>
          <w:rFonts w:hint="eastAsia" w:ascii="宋体" w:hAnsi="宋体"/>
          <w:sz w:val="24"/>
        </w:rPr>
        <w:t>十二、本协议书连同其他合同文件正本一式两份，合同双方各执一份；副本一式份，其中一份在合同报送建设行政主管部门备案时留存。</w:t>
      </w:r>
    </w:p>
    <w:p>
      <w:pPr>
        <w:spacing w:line="480" w:lineRule="exact"/>
        <w:ind w:firstLine="480" w:firstLineChars="200"/>
        <w:rPr>
          <w:rFonts w:ascii="宋体"/>
          <w:sz w:val="24"/>
        </w:rPr>
      </w:pPr>
      <w:r>
        <w:rPr>
          <w:rFonts w:hint="eastAsia" w:ascii="宋体" w:hAnsi="宋体"/>
          <w:sz w:val="24"/>
        </w:rPr>
        <w:t>十三、合同未尽事宜，双方另行签订补充协议，但不得背离本协议第八条所约定的合同文件的实质性内容。补充协议是合同文件的组成部分。</w:t>
      </w:r>
    </w:p>
    <w:p>
      <w:pPr>
        <w:spacing w:line="480" w:lineRule="exact"/>
        <w:rPr>
          <w:rFonts w:ascii="宋体"/>
          <w:sz w:val="24"/>
        </w:rPr>
      </w:pPr>
    </w:p>
    <w:p>
      <w:pPr>
        <w:spacing w:line="480" w:lineRule="exact"/>
        <w:rPr>
          <w:rFonts w:ascii="宋体"/>
          <w:sz w:val="24"/>
        </w:rPr>
      </w:pPr>
      <w:r>
        <w:rPr>
          <w:rFonts w:hint="eastAsia" w:ascii="宋体" w:hAnsi="宋体"/>
          <w:sz w:val="24"/>
        </w:rPr>
        <w:t>发包人</w:t>
      </w:r>
      <w:r>
        <w:rPr>
          <w:rFonts w:ascii="宋体" w:hAnsi="宋体"/>
          <w:sz w:val="24"/>
        </w:rPr>
        <w:t>:</w:t>
      </w:r>
      <w:r>
        <w:rPr>
          <w:rFonts w:hint="eastAsia" w:ascii="宋体" w:hAnsi="宋体"/>
          <w:sz w:val="24"/>
        </w:rPr>
        <w:t>（盖单位章）承包人：（盖单位章）</w:t>
      </w:r>
    </w:p>
    <w:p>
      <w:pPr>
        <w:spacing w:line="480" w:lineRule="exact"/>
        <w:rPr>
          <w:rFonts w:ascii="宋体"/>
          <w:sz w:val="24"/>
        </w:rPr>
      </w:pPr>
    </w:p>
    <w:p>
      <w:pPr>
        <w:spacing w:line="480" w:lineRule="exact"/>
        <w:rPr>
          <w:rFonts w:ascii="宋体"/>
          <w:sz w:val="24"/>
        </w:rPr>
      </w:pPr>
      <w:r>
        <w:rPr>
          <w:rFonts w:hint="eastAsia" w:ascii="宋体" w:hAnsi="宋体"/>
          <w:sz w:val="24"/>
        </w:rPr>
        <w:t>法定代表人或其法定代表人或其</w:t>
      </w:r>
    </w:p>
    <w:p>
      <w:pPr>
        <w:spacing w:line="480" w:lineRule="exact"/>
        <w:rPr>
          <w:rFonts w:ascii="宋体"/>
          <w:sz w:val="24"/>
        </w:rPr>
      </w:pPr>
      <w:r>
        <w:rPr>
          <w:rFonts w:hint="eastAsia" w:ascii="宋体" w:hAnsi="宋体"/>
          <w:sz w:val="24"/>
        </w:rPr>
        <w:t>委托代理人：（签字）委托代理人：（签字）</w:t>
      </w:r>
    </w:p>
    <w:p>
      <w:pPr>
        <w:spacing w:line="480" w:lineRule="exact"/>
        <w:rPr>
          <w:rFonts w:ascii="宋体"/>
          <w:sz w:val="24"/>
        </w:rPr>
      </w:pPr>
    </w:p>
    <w:p>
      <w:pPr>
        <w:spacing w:line="480" w:lineRule="exact"/>
        <w:rPr>
          <w:rFonts w:ascii="宋体"/>
          <w:sz w:val="24"/>
        </w:rPr>
      </w:pPr>
      <w:r>
        <w:rPr>
          <w:rFonts w:hint="eastAsia" w:ascii="宋体" w:hAnsi="宋体"/>
          <w:sz w:val="24"/>
        </w:rPr>
        <w:t>年月日年月日</w:t>
      </w:r>
    </w:p>
    <w:p>
      <w:pPr>
        <w:spacing w:line="480" w:lineRule="exact"/>
        <w:rPr>
          <w:rFonts w:ascii="宋体"/>
          <w:sz w:val="24"/>
        </w:rPr>
      </w:pPr>
    </w:p>
    <w:p>
      <w:pPr>
        <w:spacing w:line="480" w:lineRule="exact"/>
        <w:rPr>
          <w:rFonts w:ascii="宋体"/>
          <w:szCs w:val="21"/>
        </w:rPr>
      </w:pPr>
      <w:r>
        <w:rPr>
          <w:rFonts w:hint="eastAsia" w:ascii="宋体" w:hAnsi="宋体"/>
          <w:sz w:val="24"/>
        </w:rPr>
        <w:t>签约地点：</w:t>
      </w:r>
    </w:p>
    <w:p>
      <w:pPr>
        <w:spacing w:beforeLines="50" w:afterLines="50" w:line="480" w:lineRule="exact"/>
        <w:ind w:firstLine="420" w:firstLineChars="200"/>
        <w:rPr>
          <w:rFonts w:ascii="宋体"/>
          <w:szCs w:val="21"/>
        </w:rPr>
      </w:pPr>
    </w:p>
    <w:p>
      <w:pPr>
        <w:spacing w:beforeLines="50" w:afterLines="50" w:line="480" w:lineRule="exact"/>
        <w:rPr>
          <w:rFonts w:ascii="宋体"/>
          <w:szCs w:val="21"/>
        </w:rPr>
      </w:pPr>
    </w:p>
    <w:p>
      <w:pPr>
        <w:rPr>
          <w:b/>
          <w:bCs/>
          <w:sz w:val="32"/>
          <w:szCs w:val="32"/>
        </w:rPr>
      </w:pPr>
      <w:bookmarkStart w:id="217" w:name="_Toc19918"/>
      <w:r>
        <w:rPr>
          <w:rFonts w:hint="eastAsia"/>
          <w:b/>
          <w:bCs/>
          <w:sz w:val="32"/>
          <w:szCs w:val="32"/>
        </w:rPr>
        <w:t>附件二：主要合同条款</w:t>
      </w:r>
      <w:bookmarkEnd w:id="217"/>
    </w:p>
    <w:p>
      <w:pPr>
        <w:spacing w:line="360" w:lineRule="auto"/>
        <w:rPr>
          <w:rFonts w:ascii="宋体"/>
          <w:sz w:val="24"/>
        </w:rPr>
      </w:pPr>
      <w:r>
        <w:rPr>
          <w:rFonts w:hint="eastAsia" w:ascii="宋体" w:hAnsi="宋体"/>
          <w:sz w:val="24"/>
        </w:rPr>
        <w:t>采购人、中标人同意以下内容列入建设工程施工合同</w:t>
      </w:r>
    </w:p>
    <w:p>
      <w:pPr>
        <w:spacing w:line="360" w:lineRule="auto"/>
        <w:ind w:firstLine="480" w:firstLineChars="200"/>
        <w:rPr>
          <w:rFonts w:ascii="宋体"/>
          <w:sz w:val="24"/>
        </w:rPr>
      </w:pPr>
      <w:r>
        <w:rPr>
          <w:rFonts w:ascii="宋体" w:hAnsi="宋体"/>
          <w:sz w:val="24"/>
        </w:rPr>
        <w:t>1</w:t>
      </w:r>
      <w:r>
        <w:rPr>
          <w:rFonts w:hint="eastAsia" w:ascii="宋体" w:hAnsi="宋体"/>
          <w:sz w:val="24"/>
        </w:rPr>
        <w:t>、在施工合同中，采购人称为“发包人”，中标人称为“承包人”；</w:t>
      </w:r>
    </w:p>
    <w:p>
      <w:pPr>
        <w:spacing w:line="360" w:lineRule="auto"/>
        <w:ind w:firstLine="472" w:firstLineChars="197"/>
        <w:rPr>
          <w:rFonts w:ascii="仿宋" w:hAnsi="仿宋" w:eastAsia="仿宋" w:cs="仿宋"/>
          <w:bCs/>
          <w:color w:val="FF0000"/>
          <w:sz w:val="28"/>
          <w:szCs w:val="28"/>
        </w:rPr>
      </w:pPr>
      <w:bookmarkStart w:id="218" w:name="_Toc477272448"/>
      <w:bookmarkStart w:id="219" w:name="_Toc482086871"/>
      <w:r>
        <w:rPr>
          <w:rFonts w:ascii="宋体" w:hAnsi="宋体"/>
          <w:sz w:val="24"/>
        </w:rPr>
        <w:t>2</w:t>
      </w:r>
      <w:r>
        <w:rPr>
          <w:rFonts w:hint="eastAsia" w:ascii="宋体" w:hAnsi="宋体"/>
          <w:sz w:val="24"/>
        </w:rPr>
        <w:t>、付款方式</w:t>
      </w:r>
      <w:bookmarkEnd w:id="218"/>
      <w:bookmarkEnd w:id="219"/>
      <w:r>
        <w:rPr>
          <w:rFonts w:hint="eastAsia" w:ascii="宋体" w:hAnsi="宋体"/>
          <w:sz w:val="24"/>
        </w:rPr>
        <w:t>：</w:t>
      </w:r>
      <w:r>
        <w:rPr>
          <w:rFonts w:hint="eastAsia" w:ascii="仿宋" w:hAnsi="仿宋" w:eastAsia="仿宋" w:cs="仿宋"/>
          <w:bCs/>
          <w:sz w:val="28"/>
          <w:szCs w:val="28"/>
        </w:rPr>
        <w:t>每月按审计后的工程进度金额的</w:t>
      </w:r>
      <w:r>
        <w:rPr>
          <w:rFonts w:ascii="仿宋" w:hAnsi="仿宋" w:eastAsia="仿宋" w:cs="仿宋"/>
          <w:bCs/>
          <w:sz w:val="28"/>
          <w:szCs w:val="28"/>
        </w:rPr>
        <w:t>70%</w:t>
      </w:r>
      <w:r>
        <w:rPr>
          <w:rFonts w:hint="eastAsia" w:ascii="仿宋" w:hAnsi="仿宋" w:eastAsia="仿宋" w:cs="仿宋"/>
          <w:bCs/>
          <w:sz w:val="28"/>
          <w:szCs w:val="28"/>
        </w:rPr>
        <w:t>支付工程形象进度款，工程竣工审计完成付至审计结算金额的</w:t>
      </w:r>
      <w:r>
        <w:rPr>
          <w:rFonts w:ascii="仿宋" w:hAnsi="仿宋" w:eastAsia="仿宋" w:cs="仿宋"/>
          <w:bCs/>
          <w:sz w:val="28"/>
          <w:szCs w:val="28"/>
        </w:rPr>
        <w:t>90%</w:t>
      </w:r>
      <w:r>
        <w:rPr>
          <w:rFonts w:hint="eastAsia" w:ascii="仿宋" w:hAnsi="仿宋" w:eastAsia="仿宋" w:cs="仿宋"/>
          <w:bCs/>
          <w:sz w:val="28"/>
          <w:szCs w:val="28"/>
        </w:rPr>
        <w:t>，余</w:t>
      </w:r>
      <w:r>
        <w:rPr>
          <w:rFonts w:ascii="仿宋" w:hAnsi="仿宋" w:eastAsia="仿宋" w:cs="仿宋"/>
          <w:bCs/>
          <w:sz w:val="28"/>
          <w:szCs w:val="28"/>
        </w:rPr>
        <w:t>5%</w:t>
      </w:r>
      <w:r>
        <w:rPr>
          <w:rFonts w:hint="eastAsia" w:ascii="仿宋" w:hAnsi="仿宋" w:eastAsia="仿宋" w:cs="仿宋"/>
          <w:bCs/>
          <w:sz w:val="28"/>
          <w:szCs w:val="28"/>
        </w:rPr>
        <w:t>档案保证金，档案移交合格后支付，余</w:t>
      </w:r>
      <w:r>
        <w:rPr>
          <w:rFonts w:ascii="仿宋" w:hAnsi="仿宋" w:eastAsia="仿宋" w:cs="仿宋"/>
          <w:bCs/>
          <w:sz w:val="28"/>
          <w:szCs w:val="28"/>
        </w:rPr>
        <w:t>5%</w:t>
      </w:r>
      <w:r>
        <w:rPr>
          <w:rFonts w:hint="eastAsia" w:ascii="仿宋" w:hAnsi="仿宋" w:eastAsia="仿宋" w:cs="仿宋"/>
          <w:bCs/>
          <w:sz w:val="28"/>
          <w:szCs w:val="28"/>
        </w:rPr>
        <w:t>质保金，质保期满无质量问题无息支付。</w:t>
      </w:r>
    </w:p>
    <w:p>
      <w:pPr>
        <w:adjustRightInd w:val="0"/>
        <w:snapToGrid w:val="0"/>
        <w:spacing w:line="360" w:lineRule="auto"/>
        <w:ind w:firstLine="480" w:firstLineChars="200"/>
        <w:rPr>
          <w:rFonts w:ascii="宋体"/>
          <w:bCs/>
          <w:color w:val="000000"/>
          <w:sz w:val="24"/>
        </w:rPr>
      </w:pPr>
      <w:r>
        <w:rPr>
          <w:rFonts w:ascii="宋体" w:hAnsi="宋体" w:cs="宋体"/>
          <w:color w:val="000000"/>
          <w:sz w:val="24"/>
        </w:rPr>
        <w:t>3</w:t>
      </w:r>
      <w:r>
        <w:rPr>
          <w:rFonts w:hint="eastAsia" w:ascii="宋体" w:hAnsi="宋体" w:cs="宋体"/>
          <w:color w:val="000000"/>
          <w:sz w:val="24"/>
        </w:rPr>
        <w:t>、</w:t>
      </w:r>
      <w:r>
        <w:rPr>
          <w:rFonts w:hint="eastAsia" w:ascii="宋体" w:hAnsi="宋体" w:cs="宋体"/>
          <w:bCs/>
          <w:color w:val="000000"/>
          <w:sz w:val="24"/>
        </w:rPr>
        <w:t>供应商投标文件中承诺的项目经理，工程开工后，必须常驻现场进行管理，否则，采购人有权利追究成交人违约责任。</w:t>
      </w:r>
    </w:p>
    <w:p>
      <w:pPr>
        <w:adjustRightInd w:val="0"/>
        <w:snapToGrid w:val="0"/>
        <w:spacing w:line="360" w:lineRule="auto"/>
        <w:ind w:firstLine="480" w:firstLineChars="200"/>
        <w:rPr>
          <w:rFonts w:ascii="宋体"/>
          <w:bCs/>
          <w:color w:val="000000"/>
          <w:sz w:val="24"/>
        </w:rPr>
      </w:pPr>
      <w:r>
        <w:rPr>
          <w:rFonts w:ascii="宋体" w:hAnsi="宋体" w:cs="宋体"/>
          <w:bCs/>
          <w:color w:val="000000"/>
          <w:sz w:val="24"/>
        </w:rPr>
        <w:t>4</w:t>
      </w:r>
      <w:r>
        <w:rPr>
          <w:rFonts w:hint="eastAsia" w:ascii="宋体" w:hAnsi="宋体" w:cs="宋体"/>
          <w:bCs/>
          <w:color w:val="000000"/>
          <w:sz w:val="24"/>
        </w:rPr>
        <w:t>、工程竣工后，采购人将邀请相关专家按照国家有关标准对工程进行验收。</w:t>
      </w:r>
    </w:p>
    <w:p>
      <w:pPr>
        <w:spacing w:line="360" w:lineRule="auto"/>
        <w:ind w:firstLine="480"/>
        <w:rPr>
          <w:rFonts w:ascii="宋体" w:cs="宋体"/>
          <w:bCs/>
          <w:color w:val="000000"/>
          <w:sz w:val="24"/>
        </w:rPr>
      </w:pPr>
      <w:r>
        <w:rPr>
          <w:rFonts w:ascii="宋体" w:hAnsi="宋体" w:cs="宋体"/>
          <w:bCs/>
          <w:color w:val="000000"/>
          <w:sz w:val="24"/>
        </w:rPr>
        <w:t>5</w:t>
      </w:r>
      <w:r>
        <w:rPr>
          <w:rFonts w:hint="eastAsia" w:ascii="宋体" w:hAnsi="宋体" w:cs="宋体"/>
          <w:bCs/>
          <w:color w:val="000000"/>
          <w:sz w:val="24"/>
        </w:rPr>
        <w:t>、如采购人委托造价咨询单位对本项目结算造价进行审计，其核减金额超过</w:t>
      </w:r>
      <w:r>
        <w:rPr>
          <w:rFonts w:ascii="宋体" w:hAnsi="宋体" w:cs="宋体"/>
          <w:bCs/>
          <w:color w:val="000000"/>
          <w:sz w:val="24"/>
        </w:rPr>
        <w:t>5%</w:t>
      </w:r>
      <w:r>
        <w:rPr>
          <w:rFonts w:hint="eastAsia" w:ascii="宋体" w:hAnsi="宋体" w:cs="宋体"/>
          <w:bCs/>
          <w:color w:val="000000"/>
          <w:sz w:val="24"/>
        </w:rPr>
        <w:t>的，依据山东省物价局、山东省建设厅《关于继续执行新增建设工程造价咨询服务收费标准的通知》（鲁价费发［</w:t>
      </w:r>
      <w:r>
        <w:rPr>
          <w:rFonts w:ascii="宋体" w:hAnsi="宋体" w:cs="宋体"/>
          <w:bCs/>
          <w:color w:val="000000"/>
          <w:sz w:val="24"/>
        </w:rPr>
        <w:t>2007</w:t>
      </w:r>
      <w:r>
        <w:rPr>
          <w:rFonts w:hint="eastAsia" w:ascii="宋体" w:hAnsi="宋体" w:cs="宋体"/>
          <w:bCs/>
          <w:color w:val="000000"/>
          <w:sz w:val="24"/>
        </w:rPr>
        <w:t>］</w:t>
      </w:r>
      <w:r>
        <w:rPr>
          <w:rFonts w:ascii="宋体" w:hAnsi="宋体" w:cs="宋体"/>
          <w:bCs/>
          <w:color w:val="000000"/>
          <w:sz w:val="24"/>
        </w:rPr>
        <w:t>205</w:t>
      </w:r>
      <w:r>
        <w:rPr>
          <w:rFonts w:hint="eastAsia" w:ascii="宋体" w:hAnsi="宋体" w:cs="宋体"/>
          <w:bCs/>
          <w:color w:val="000000"/>
          <w:sz w:val="24"/>
        </w:rPr>
        <w:t>号）文件规定，核减金额超过</w:t>
      </w:r>
      <w:r>
        <w:rPr>
          <w:rFonts w:ascii="宋体" w:hAnsi="宋体" w:cs="宋体"/>
          <w:bCs/>
          <w:color w:val="000000"/>
          <w:sz w:val="24"/>
        </w:rPr>
        <w:t>5%</w:t>
      </w:r>
      <w:r>
        <w:rPr>
          <w:rFonts w:hint="eastAsia" w:ascii="宋体" w:hAnsi="宋体" w:cs="宋体"/>
          <w:bCs/>
          <w:color w:val="000000"/>
          <w:sz w:val="24"/>
        </w:rPr>
        <w:t>部分的咨询服务费由中标人支付，在出具审计报告前支付给造价咨询单位。</w:t>
      </w:r>
    </w:p>
    <w:p>
      <w:pPr>
        <w:spacing w:line="360" w:lineRule="auto"/>
        <w:ind w:firstLine="472" w:firstLineChars="197"/>
        <w:rPr>
          <w:rFonts w:ascii="宋体"/>
          <w:sz w:val="24"/>
        </w:rPr>
      </w:pPr>
      <w:r>
        <w:rPr>
          <w:rFonts w:ascii="宋体" w:hAnsi="宋体"/>
          <w:sz w:val="24"/>
        </w:rPr>
        <w:t>6</w:t>
      </w:r>
      <w:r>
        <w:rPr>
          <w:rFonts w:hint="eastAsia" w:ascii="宋体" w:hAnsi="宋体"/>
          <w:sz w:val="24"/>
        </w:rPr>
        <w:t>、因承包人原因未按合同工期竣工的，每延迟一天按合同价款的万分之一向发包人支付违约金，工程延期的违约金总额不超过合同价款的</w:t>
      </w:r>
      <w:r>
        <w:rPr>
          <w:rFonts w:ascii="宋体" w:hAnsi="宋体"/>
          <w:sz w:val="24"/>
        </w:rPr>
        <w:t>3%</w:t>
      </w:r>
      <w:r>
        <w:rPr>
          <w:rFonts w:hint="eastAsia" w:ascii="宋体" w:hAnsi="宋体"/>
          <w:sz w:val="24"/>
        </w:rPr>
        <w:t>，并赔偿因此给发包人造成的实际损失。</w:t>
      </w:r>
    </w:p>
    <w:p>
      <w:pPr>
        <w:overflowPunct w:val="0"/>
        <w:autoSpaceDE w:val="0"/>
        <w:autoSpaceDN w:val="0"/>
        <w:adjustRightInd w:val="0"/>
        <w:spacing w:line="360" w:lineRule="auto"/>
        <w:ind w:firstLine="480" w:firstLineChars="200"/>
        <w:jc w:val="left"/>
        <w:rPr>
          <w:rFonts w:ascii="宋体"/>
          <w:kern w:val="0"/>
          <w:sz w:val="24"/>
        </w:rPr>
      </w:pPr>
      <w:r>
        <w:rPr>
          <w:rFonts w:ascii="宋体" w:hAnsi="宋体"/>
          <w:kern w:val="0"/>
          <w:sz w:val="24"/>
        </w:rPr>
        <w:t>7</w:t>
      </w:r>
      <w:r>
        <w:rPr>
          <w:rFonts w:hint="eastAsia" w:ascii="宋体" w:hAnsi="宋体"/>
          <w:kern w:val="0"/>
          <w:sz w:val="24"/>
        </w:rPr>
        <w:t>、合同在履行过程中发生的争议，由双方当事人协商解决，协商不成的，按下列第（二）种方式解决：</w:t>
      </w:r>
    </w:p>
    <w:p>
      <w:pPr>
        <w:overflowPunct w:val="0"/>
        <w:autoSpaceDE w:val="0"/>
        <w:autoSpaceDN w:val="0"/>
        <w:adjustRightInd w:val="0"/>
        <w:spacing w:line="360" w:lineRule="auto"/>
        <w:ind w:firstLine="240" w:firstLineChars="100"/>
        <w:jc w:val="left"/>
        <w:rPr>
          <w:rFonts w:ascii="宋体"/>
          <w:kern w:val="0"/>
          <w:sz w:val="24"/>
        </w:rPr>
      </w:pPr>
      <w:r>
        <w:rPr>
          <w:rFonts w:hint="eastAsia" w:ascii="宋体" w:hAnsi="宋体"/>
          <w:kern w:val="0"/>
          <w:sz w:val="24"/>
        </w:rPr>
        <w:t>（一）提交济南仲裁委员会仲裁；</w:t>
      </w:r>
    </w:p>
    <w:p>
      <w:pPr>
        <w:overflowPunct w:val="0"/>
        <w:autoSpaceDE w:val="0"/>
        <w:autoSpaceDN w:val="0"/>
        <w:adjustRightInd w:val="0"/>
        <w:spacing w:line="360" w:lineRule="auto"/>
        <w:ind w:firstLine="240" w:firstLineChars="100"/>
        <w:jc w:val="left"/>
        <w:rPr>
          <w:rFonts w:ascii="宋体"/>
          <w:sz w:val="52"/>
          <w:szCs w:val="52"/>
        </w:rPr>
      </w:pPr>
      <w:r>
        <w:rPr>
          <w:rFonts w:hint="eastAsia" w:ascii="宋体" w:hAnsi="宋体"/>
          <w:kern w:val="0"/>
          <w:sz w:val="24"/>
        </w:rPr>
        <w:t>（二）依法向人民法院起诉。</w:t>
      </w:r>
    </w:p>
    <w:p>
      <w:pPr>
        <w:rPr>
          <w:rFonts w:ascii="宋体"/>
          <w:sz w:val="52"/>
          <w:szCs w:val="52"/>
        </w:rPr>
      </w:pPr>
    </w:p>
    <w:p>
      <w:pPr>
        <w:rPr>
          <w:rFonts w:ascii="宋体"/>
          <w:sz w:val="52"/>
          <w:szCs w:val="52"/>
        </w:rPr>
      </w:pPr>
    </w:p>
    <w:p>
      <w:pPr>
        <w:pStyle w:val="2"/>
        <w:spacing w:line="500" w:lineRule="exact"/>
        <w:jc w:val="center"/>
        <w:rPr>
          <w:rFonts w:hint="eastAsia" w:ascii="宋体" w:hAnsi="宋体"/>
        </w:rPr>
      </w:pPr>
      <w:bookmarkStart w:id="220" w:name="_Toc26346"/>
      <w:bookmarkStart w:id="221" w:name="_Toc17494"/>
    </w:p>
    <w:p>
      <w:pPr>
        <w:pStyle w:val="2"/>
        <w:spacing w:line="500" w:lineRule="exact"/>
        <w:jc w:val="center"/>
        <w:rPr>
          <w:rFonts w:hint="eastAsia" w:ascii="宋体" w:hAnsi="宋体"/>
        </w:rPr>
      </w:pPr>
    </w:p>
    <w:p>
      <w:pPr>
        <w:pStyle w:val="2"/>
        <w:spacing w:line="500" w:lineRule="exact"/>
        <w:jc w:val="both"/>
        <w:rPr>
          <w:rFonts w:hint="eastAsia" w:ascii="宋体" w:hAnsi="宋体"/>
        </w:rPr>
      </w:pPr>
    </w:p>
    <w:p>
      <w:pPr>
        <w:pStyle w:val="2"/>
        <w:spacing w:line="500" w:lineRule="exact"/>
        <w:ind w:firstLine="2891" w:firstLineChars="900"/>
        <w:jc w:val="both"/>
        <w:rPr>
          <w:rFonts w:ascii="宋体"/>
        </w:rPr>
      </w:pPr>
      <w:r>
        <w:rPr>
          <w:rFonts w:hint="eastAsia" w:ascii="宋体" w:hAnsi="宋体"/>
        </w:rPr>
        <w:t>第五章工程量清单</w:t>
      </w:r>
      <w:bookmarkEnd w:id="220"/>
      <w:bookmarkEnd w:id="221"/>
    </w:p>
    <w:p>
      <w:pPr>
        <w:rPr>
          <w:rFonts w:ascii="宋体"/>
        </w:rPr>
      </w:pPr>
      <w:bookmarkStart w:id="222" w:name="_Toc234382954"/>
    </w:p>
    <w:p>
      <w:pPr>
        <w:spacing w:line="360" w:lineRule="auto"/>
        <w:rPr>
          <w:rStyle w:val="15"/>
          <w:rFonts w:ascii="宋体" w:cs="宋体"/>
          <w:color w:val="000000"/>
          <w:sz w:val="24"/>
        </w:rPr>
      </w:pPr>
      <w:r>
        <w:rPr>
          <w:rStyle w:val="15"/>
          <w:rFonts w:hint="eastAsia" w:ascii="宋体" w:hAnsi="宋体" w:cs="宋体"/>
          <w:color w:val="000000"/>
          <w:sz w:val="24"/>
        </w:rPr>
        <w:t>装饰部分：</w:t>
      </w:r>
    </w:p>
    <w:tbl>
      <w:tblPr>
        <w:tblStyle w:val="16"/>
        <w:tblW w:w="10065" w:type="dxa"/>
        <w:jc w:val="center"/>
        <w:tblInd w:w="0" w:type="dxa"/>
        <w:tblLayout w:type="fixed"/>
        <w:tblCellMar>
          <w:top w:w="15" w:type="dxa"/>
          <w:left w:w="15" w:type="dxa"/>
          <w:bottom w:w="15" w:type="dxa"/>
          <w:right w:w="15" w:type="dxa"/>
        </w:tblCellMar>
      </w:tblPr>
      <w:tblGrid>
        <w:gridCol w:w="600"/>
        <w:gridCol w:w="1245"/>
        <w:gridCol w:w="1380"/>
        <w:gridCol w:w="2085"/>
        <w:gridCol w:w="570"/>
        <w:gridCol w:w="855"/>
        <w:gridCol w:w="1080"/>
        <w:gridCol w:w="960"/>
        <w:gridCol w:w="1290"/>
      </w:tblGrid>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整个项目</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011601001001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砖砌体拆除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011605002001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立面块料拆除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饰面材料种类</w:t>
            </w:r>
            <w:r>
              <w:rPr>
                <w:rFonts w:ascii="宋体" w:hAnsi="宋体" w:cs="宋体"/>
                <w:color w:val="000000"/>
                <w:kern w:val="0"/>
                <w:sz w:val="18"/>
                <w:szCs w:val="18"/>
              </w:rPr>
              <w:t>:</w:t>
            </w:r>
            <w:r>
              <w:rPr>
                <w:rFonts w:hint="eastAsia" w:ascii="宋体" w:hAnsi="宋体" w:cs="宋体"/>
                <w:color w:val="000000"/>
                <w:kern w:val="0"/>
                <w:sz w:val="18"/>
                <w:szCs w:val="18"/>
              </w:rPr>
              <w:t>拆除墙面面砖，含基层</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38</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011605001001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平面块料拆除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饰面材料种类</w:t>
            </w:r>
            <w:r>
              <w:rPr>
                <w:rFonts w:ascii="宋体" w:hAnsi="宋体" w:cs="宋体"/>
                <w:color w:val="000000"/>
                <w:kern w:val="0"/>
                <w:sz w:val="18"/>
                <w:szCs w:val="18"/>
              </w:rPr>
              <w:t>:</w:t>
            </w:r>
            <w:r>
              <w:rPr>
                <w:rFonts w:hint="eastAsia" w:ascii="宋体" w:hAnsi="宋体" w:cs="宋体"/>
                <w:color w:val="000000"/>
                <w:kern w:val="0"/>
                <w:sz w:val="18"/>
                <w:szCs w:val="18"/>
              </w:rPr>
              <w:t>拆除地面面砖，含基层</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011606002001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墙柱面龙骨及饰面拆除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龙骨及饰面种类</w:t>
            </w:r>
            <w:r>
              <w:rPr>
                <w:rFonts w:ascii="宋体" w:hAnsi="宋体" w:cs="宋体"/>
                <w:color w:val="000000"/>
                <w:kern w:val="0"/>
                <w:sz w:val="18"/>
                <w:szCs w:val="18"/>
              </w:rPr>
              <w:t>:</w:t>
            </w:r>
            <w:r>
              <w:rPr>
                <w:rFonts w:hint="eastAsia" w:ascii="宋体" w:hAnsi="宋体" w:cs="宋体"/>
                <w:color w:val="000000"/>
                <w:kern w:val="0"/>
                <w:sz w:val="18"/>
                <w:szCs w:val="18"/>
              </w:rPr>
              <w:t>拆除墙面木饰面，含龙骨</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15.3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011606003001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天棚面龙骨及饰面拆除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龙骨及饰面种类</w:t>
            </w:r>
            <w:r>
              <w:rPr>
                <w:rFonts w:ascii="宋体" w:hAnsi="宋体" w:cs="宋体"/>
                <w:color w:val="000000"/>
                <w:kern w:val="0"/>
                <w:sz w:val="18"/>
                <w:szCs w:val="18"/>
              </w:rPr>
              <w:t>:</w:t>
            </w:r>
            <w:r>
              <w:rPr>
                <w:rFonts w:hint="eastAsia" w:ascii="宋体" w:hAnsi="宋体" w:cs="宋体"/>
                <w:color w:val="000000"/>
                <w:kern w:val="0"/>
                <w:sz w:val="18"/>
                <w:szCs w:val="18"/>
              </w:rPr>
              <w:t>拆除天棚吊顶及龙骨</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011604002001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立面抹灰层拆除</w:t>
            </w:r>
            <w:r>
              <w:rPr>
                <w:rFonts w:ascii="宋体" w:hAnsi="宋体" w:cs="宋体"/>
                <w:color w:val="000000"/>
                <w:kern w:val="0"/>
                <w:sz w:val="18"/>
                <w:szCs w:val="18"/>
              </w:rPr>
              <w:t>,</w:t>
            </w:r>
            <w:r>
              <w:rPr>
                <w:rFonts w:hint="eastAsia" w:ascii="宋体" w:hAnsi="宋体" w:cs="宋体"/>
                <w:color w:val="000000"/>
                <w:kern w:val="0"/>
                <w:sz w:val="18"/>
                <w:szCs w:val="18"/>
              </w:rPr>
              <w:t>铲除涂料</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011612001001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安装拆除</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各种管道、电线、灯具、洁具、暖气片等安装内容的拆除综合考虑</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011612001002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移除及安装</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屋内原有设备的移除及安装（移净水器等）</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010103002001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所有拆除垃圾外运综合考虑</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23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011210002001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防护隔断墙</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骨架、边框材料种类、规格</w:t>
            </w:r>
            <w:r>
              <w:rPr>
                <w:rFonts w:ascii="宋体" w:hAnsi="宋体" w:cs="宋体"/>
                <w:color w:val="000000"/>
                <w:kern w:val="0"/>
                <w:sz w:val="18"/>
                <w:szCs w:val="18"/>
              </w:rPr>
              <w:t>:</w:t>
            </w:r>
            <w:r>
              <w:rPr>
                <w:rFonts w:hint="eastAsia" w:ascii="宋体" w:hAnsi="宋体" w:cs="宋体"/>
                <w:color w:val="000000"/>
                <w:kern w:val="0"/>
                <w:sz w:val="18"/>
                <w:szCs w:val="18"/>
              </w:rPr>
              <w:t>隔墙体采用</w:t>
            </w:r>
            <w:r>
              <w:rPr>
                <w:rFonts w:ascii="宋体" w:hAnsi="宋体" w:cs="宋体"/>
                <w:color w:val="000000"/>
                <w:kern w:val="0"/>
                <w:sz w:val="18"/>
                <w:szCs w:val="18"/>
              </w:rPr>
              <w:t>40*60*2.5</w:t>
            </w:r>
            <w:r>
              <w:rPr>
                <w:rFonts w:hint="eastAsia" w:ascii="宋体" w:hAnsi="宋体" w:cs="宋体"/>
                <w:color w:val="000000"/>
                <w:kern w:val="0"/>
                <w:sz w:val="18"/>
                <w:szCs w:val="18"/>
              </w:rPr>
              <w:t>方管焊接而成，竖梁间距</w:t>
            </w:r>
            <w:r>
              <w:rPr>
                <w:rFonts w:ascii="宋体" w:hAnsi="宋体" w:cs="宋体"/>
                <w:color w:val="000000"/>
                <w:kern w:val="0"/>
                <w:sz w:val="18"/>
                <w:szCs w:val="18"/>
              </w:rPr>
              <w:t>600mm</w:t>
            </w:r>
            <w:r>
              <w:rPr>
                <w:rFonts w:hint="eastAsia" w:ascii="宋体" w:hAnsi="宋体" w:cs="宋体"/>
                <w:color w:val="000000"/>
                <w:kern w:val="0"/>
                <w:sz w:val="18"/>
                <w:szCs w:val="18"/>
              </w:rPr>
              <w:t>，横梁间距</w:t>
            </w:r>
            <w:r>
              <w:rPr>
                <w:rFonts w:ascii="宋体" w:hAnsi="宋体" w:cs="宋体"/>
                <w:color w:val="000000"/>
                <w:kern w:val="0"/>
                <w:sz w:val="18"/>
                <w:szCs w:val="18"/>
              </w:rPr>
              <w:t>1200mm</w:t>
            </w:r>
            <w:r>
              <w:rPr>
                <w:rFonts w:hint="eastAsia" w:ascii="宋体" w:hAnsi="宋体" w:cs="宋体"/>
                <w:color w:val="000000"/>
                <w:kern w:val="0"/>
                <w:sz w:val="18"/>
                <w:szCs w:val="18"/>
              </w:rPr>
              <w:t>，电动推拉门处横梁采用</w:t>
            </w:r>
            <w:r>
              <w:rPr>
                <w:rFonts w:ascii="宋体" w:hAnsi="宋体" w:cs="宋体"/>
                <w:color w:val="000000"/>
                <w:kern w:val="0"/>
                <w:sz w:val="18"/>
                <w:szCs w:val="18"/>
              </w:rPr>
              <w:t>12#</w:t>
            </w:r>
            <w:r>
              <w:rPr>
                <w:rFonts w:hint="eastAsia" w:ascii="宋体" w:hAnsi="宋体" w:cs="宋体"/>
                <w:color w:val="000000"/>
                <w:kern w:val="0"/>
                <w:sz w:val="18"/>
                <w:szCs w:val="18"/>
              </w:rPr>
              <w:t>槽钢</w:t>
            </w:r>
            <w:r>
              <w:rPr>
                <w:rFonts w:ascii="宋体" w:hAnsi="宋体" w:cs="宋体"/>
                <w:color w:val="000000"/>
                <w:kern w:val="0"/>
                <w:sz w:val="18"/>
                <w:szCs w:val="18"/>
              </w:rPr>
              <w:t xml:space="preserve">4400mm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隔板材料品种、规格、颜色</w:t>
            </w:r>
            <w:r>
              <w:rPr>
                <w:rFonts w:ascii="宋体" w:hAnsi="宋体" w:cs="宋体"/>
                <w:color w:val="000000"/>
                <w:kern w:val="0"/>
                <w:sz w:val="18"/>
                <w:szCs w:val="18"/>
              </w:rPr>
              <w:t>:</w:t>
            </w:r>
            <w:r>
              <w:rPr>
                <w:rFonts w:hint="eastAsia" w:ascii="宋体" w:hAnsi="宋体" w:cs="宋体"/>
                <w:color w:val="000000"/>
                <w:kern w:val="0"/>
                <w:sz w:val="18"/>
                <w:szCs w:val="18"/>
              </w:rPr>
              <w:t>铅钡复合保护板，中间是隔音棉</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50.46</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011207001001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墙面装饰板</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细木工板加石膏板</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50.46</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011407001001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墙面喷刷涂料</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刮腻子要求</w:t>
            </w:r>
            <w:r>
              <w:rPr>
                <w:rFonts w:ascii="宋体" w:hAnsi="宋体" w:cs="宋体"/>
                <w:color w:val="000000"/>
                <w:kern w:val="0"/>
                <w:sz w:val="18"/>
                <w:szCs w:val="18"/>
              </w:rPr>
              <w:t>:</w:t>
            </w:r>
            <w:r>
              <w:rPr>
                <w:rFonts w:hint="eastAsia" w:ascii="宋体" w:hAnsi="宋体" w:cs="宋体"/>
                <w:color w:val="000000"/>
                <w:kern w:val="0"/>
                <w:sz w:val="18"/>
                <w:szCs w:val="18"/>
              </w:rPr>
              <w:t>三遍</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涂料品种、喷刷遍数</w:t>
            </w:r>
            <w:r>
              <w:rPr>
                <w:rFonts w:ascii="宋体" w:hAnsi="宋体" w:cs="宋体"/>
                <w:color w:val="000000"/>
                <w:kern w:val="0"/>
                <w:sz w:val="18"/>
                <w:szCs w:val="18"/>
              </w:rPr>
              <w:t>:</w:t>
            </w:r>
            <w:r>
              <w:rPr>
                <w:rFonts w:hint="eastAsia" w:ascii="宋体" w:hAnsi="宋体" w:cs="宋体"/>
                <w:color w:val="000000"/>
                <w:kern w:val="0"/>
                <w:sz w:val="18"/>
                <w:szCs w:val="18"/>
              </w:rPr>
              <w:t>乳胶漆三遍</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67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011201004001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砖墙面抹硫酸钡保护砂浆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72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011302001002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吊顶天棚</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面层材料品种、规格</w:t>
            </w:r>
            <w:r>
              <w:rPr>
                <w:rFonts w:ascii="宋体" w:hAnsi="宋体" w:cs="宋体"/>
                <w:color w:val="000000"/>
                <w:kern w:val="0"/>
                <w:sz w:val="18"/>
                <w:szCs w:val="18"/>
              </w:rPr>
              <w:t>:</w:t>
            </w:r>
            <w:r>
              <w:rPr>
                <w:rFonts w:hint="eastAsia" w:ascii="宋体" w:hAnsi="宋体" w:cs="宋体"/>
                <w:color w:val="000000"/>
                <w:kern w:val="0"/>
                <w:sz w:val="18"/>
                <w:szCs w:val="18"/>
              </w:rPr>
              <w:t>硅钙板吊顶</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011103002001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PVC</w:t>
            </w:r>
            <w:r>
              <w:rPr>
                <w:rFonts w:hint="eastAsia" w:ascii="宋体" w:hAnsi="宋体" w:cs="宋体"/>
                <w:color w:val="000000"/>
                <w:kern w:val="0"/>
                <w:sz w:val="18"/>
                <w:szCs w:val="18"/>
              </w:rPr>
              <w:t>楼地面</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做法</w:t>
            </w:r>
            <w:r>
              <w:rPr>
                <w:rFonts w:ascii="宋体" w:hAnsi="宋体" w:cs="宋体"/>
                <w:color w:val="000000"/>
                <w:kern w:val="0"/>
                <w:sz w:val="18"/>
                <w:szCs w:val="18"/>
              </w:rPr>
              <w:t>:3mm</w:t>
            </w:r>
            <w:r>
              <w:rPr>
                <w:rFonts w:hint="eastAsia" w:ascii="宋体" w:hAnsi="宋体" w:cs="宋体"/>
                <w:color w:val="000000"/>
                <w:kern w:val="0"/>
                <w:sz w:val="18"/>
                <w:szCs w:val="18"/>
              </w:rPr>
              <w:t>自流平</w:t>
            </w:r>
            <w:r>
              <w:rPr>
                <w:rFonts w:ascii="宋体" w:hAnsi="宋体" w:cs="宋体"/>
                <w:color w:val="000000"/>
                <w:kern w:val="0"/>
                <w:sz w:val="18"/>
                <w:szCs w:val="18"/>
              </w:rPr>
              <w:t>+2mmPVC</w:t>
            </w:r>
            <w:r>
              <w:rPr>
                <w:rFonts w:hint="eastAsia" w:ascii="宋体" w:hAnsi="宋体" w:cs="宋体"/>
                <w:color w:val="000000"/>
                <w:kern w:val="0"/>
                <w:sz w:val="18"/>
                <w:szCs w:val="18"/>
              </w:rPr>
              <w:t>地面</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面层材料品种、规格、颜色</w:t>
            </w:r>
            <w:r>
              <w:rPr>
                <w:rFonts w:ascii="宋体" w:hAnsi="宋体" w:cs="宋体"/>
                <w:color w:val="000000"/>
                <w:kern w:val="0"/>
                <w:sz w:val="18"/>
                <w:szCs w:val="18"/>
              </w:rPr>
              <w:t>:2mm</w:t>
            </w:r>
            <w:r>
              <w:rPr>
                <w:rFonts w:hint="eastAsia" w:ascii="宋体" w:hAnsi="宋体" w:cs="宋体"/>
                <w:kern w:val="0"/>
                <w:sz w:val="18"/>
                <w:szCs w:val="18"/>
              </w:rPr>
              <w:t>同质透心</w:t>
            </w:r>
            <w:r>
              <w:rPr>
                <w:rFonts w:ascii="宋体" w:hAnsi="宋体" w:cs="宋体"/>
                <w:kern w:val="0"/>
                <w:sz w:val="18"/>
                <w:szCs w:val="18"/>
              </w:rPr>
              <w:t>T</w:t>
            </w:r>
            <w:r>
              <w:rPr>
                <w:rFonts w:hint="eastAsia" w:ascii="宋体" w:hAnsi="宋体" w:cs="宋体"/>
                <w:kern w:val="0"/>
                <w:sz w:val="18"/>
                <w:szCs w:val="18"/>
              </w:rPr>
              <w:t>级</w:t>
            </w:r>
            <w:r>
              <w:rPr>
                <w:rFonts w:ascii="宋体" w:hAnsi="宋体" w:cs="宋体"/>
                <w:kern w:val="0"/>
                <w:sz w:val="18"/>
                <w:szCs w:val="18"/>
              </w:rPr>
              <w:t>PVC</w:t>
            </w:r>
            <w:r>
              <w:rPr>
                <w:rFonts w:hint="eastAsia" w:ascii="宋体" w:hAnsi="宋体" w:cs="宋体"/>
                <w:kern w:val="0"/>
                <w:sz w:val="18"/>
                <w:szCs w:val="18"/>
              </w:rPr>
              <w:t>材地面</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011101003001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硫酸钡保护层地面</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23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010805001001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电子感应门</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门代号及洞口尺寸</w:t>
            </w:r>
            <w:r>
              <w:rPr>
                <w:rFonts w:ascii="宋体" w:hAnsi="宋体" w:cs="宋体"/>
                <w:color w:val="000000"/>
                <w:kern w:val="0"/>
                <w:sz w:val="18"/>
                <w:szCs w:val="18"/>
              </w:rPr>
              <w:t>:</w:t>
            </w:r>
            <w:r>
              <w:rPr>
                <w:rFonts w:hint="eastAsia" w:ascii="宋体" w:hAnsi="宋体" w:cs="宋体"/>
                <w:color w:val="000000"/>
                <w:kern w:val="0"/>
                <w:sz w:val="18"/>
                <w:szCs w:val="18"/>
              </w:rPr>
              <w:t>推拉电动门</w:t>
            </w:r>
            <w:r>
              <w:rPr>
                <w:rFonts w:ascii="宋体" w:hAnsi="宋体" w:cs="宋体"/>
                <w:color w:val="000000"/>
                <w:kern w:val="0"/>
                <w:sz w:val="18"/>
                <w:szCs w:val="18"/>
              </w:rPr>
              <w:t>1800*2150*3mmpb</w:t>
            </w:r>
            <w:r>
              <w:rPr>
                <w:rFonts w:hint="eastAsia" w:ascii="宋体" w:hAnsi="宋体" w:cs="宋体"/>
                <w:color w:val="000000"/>
                <w:kern w:val="0"/>
                <w:sz w:val="18"/>
                <w:szCs w:val="18"/>
              </w:rPr>
              <w:t>，洞口尺寸</w:t>
            </w:r>
            <w:r>
              <w:rPr>
                <w:rFonts w:ascii="宋体" w:hAnsi="宋体" w:cs="宋体"/>
                <w:color w:val="000000"/>
                <w:kern w:val="0"/>
                <w:sz w:val="18"/>
                <w:szCs w:val="18"/>
              </w:rPr>
              <w:t xml:space="preserve">1500*2100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门框、扇材质</w:t>
            </w:r>
            <w:r>
              <w:rPr>
                <w:rFonts w:ascii="宋体" w:hAnsi="宋体" w:cs="宋体"/>
                <w:color w:val="000000"/>
                <w:kern w:val="0"/>
                <w:sz w:val="18"/>
                <w:szCs w:val="18"/>
              </w:rPr>
              <w:t>:</w:t>
            </w:r>
            <w:r>
              <w:rPr>
                <w:rFonts w:hint="eastAsia" w:ascii="宋体" w:hAnsi="宋体" w:cs="宋体"/>
                <w:color w:val="000000"/>
                <w:kern w:val="0"/>
                <w:sz w:val="18"/>
                <w:szCs w:val="18"/>
              </w:rPr>
              <w:t>上轨道悬吊，门机控制系统，欧尼克或多玛</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电子配件品种、规格</w:t>
            </w:r>
            <w:r>
              <w:rPr>
                <w:rFonts w:ascii="宋体" w:hAnsi="宋体" w:cs="宋体"/>
                <w:color w:val="000000"/>
                <w:kern w:val="0"/>
                <w:sz w:val="18"/>
                <w:szCs w:val="18"/>
              </w:rPr>
              <w:t>:</w:t>
            </w:r>
            <w:r>
              <w:rPr>
                <w:rFonts w:hint="eastAsia" w:ascii="宋体" w:hAnsi="宋体" w:cs="宋体"/>
                <w:color w:val="000000"/>
                <w:kern w:val="0"/>
                <w:sz w:val="18"/>
                <w:szCs w:val="18"/>
              </w:rPr>
              <w:t>开门方式有光控脚感应、电动和门把手三种模式；</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樘</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25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010802001001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金属</w:t>
            </w:r>
            <w:r>
              <w:rPr>
                <w:rFonts w:ascii="宋体" w:hAnsi="宋体" w:cs="宋体"/>
                <w:color w:val="000000"/>
                <w:kern w:val="0"/>
                <w:sz w:val="18"/>
                <w:szCs w:val="18"/>
              </w:rPr>
              <w:t>(</w:t>
            </w:r>
            <w:r>
              <w:rPr>
                <w:rFonts w:hint="eastAsia" w:ascii="宋体" w:hAnsi="宋体" w:cs="宋体"/>
                <w:color w:val="000000"/>
                <w:kern w:val="0"/>
                <w:sz w:val="18"/>
                <w:szCs w:val="18"/>
              </w:rPr>
              <w:t>塑钢）门</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门代号及洞口尺寸</w:t>
            </w:r>
            <w:r>
              <w:rPr>
                <w:rFonts w:ascii="宋体" w:hAnsi="宋体" w:cs="宋体"/>
                <w:color w:val="000000"/>
                <w:kern w:val="0"/>
                <w:sz w:val="18"/>
                <w:szCs w:val="18"/>
              </w:rPr>
              <w:t>:</w:t>
            </w:r>
            <w:r>
              <w:rPr>
                <w:rFonts w:hint="eastAsia" w:ascii="宋体" w:hAnsi="宋体" w:cs="宋体"/>
                <w:color w:val="000000"/>
                <w:kern w:val="0"/>
                <w:sz w:val="18"/>
                <w:szCs w:val="18"/>
              </w:rPr>
              <w:t>单扇手动平开防护门</w:t>
            </w:r>
            <w:r>
              <w:rPr>
                <w:rFonts w:ascii="宋体" w:hAnsi="宋体" w:cs="宋体"/>
                <w:color w:val="000000"/>
                <w:kern w:val="0"/>
                <w:sz w:val="18"/>
                <w:szCs w:val="18"/>
              </w:rPr>
              <w:t xml:space="preserve">900*2000*3mmpb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含配套精品合页，专用锁具，密封件，五金配件等</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门框、扇材质</w:t>
            </w:r>
            <w:r>
              <w:rPr>
                <w:rFonts w:ascii="宋体" w:hAnsi="宋体" w:cs="宋体"/>
                <w:color w:val="000000"/>
                <w:kern w:val="0"/>
                <w:sz w:val="18"/>
                <w:szCs w:val="18"/>
              </w:rPr>
              <w:t>:</w:t>
            </w:r>
            <w:r>
              <w:rPr>
                <w:rFonts w:hint="eastAsia" w:ascii="宋体" w:hAnsi="宋体" w:cs="宋体"/>
                <w:color w:val="000000"/>
                <w:kern w:val="0"/>
                <w:sz w:val="18"/>
                <w:szCs w:val="18"/>
              </w:rPr>
              <w:t>钢制门体，新型铝合金密封门框，带密封条且可自动升降，门关严后密封条自动下压，无缝隙。</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樘</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010807006001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铅玻璃观察窗</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1.:1500*900*3mmpb</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樘</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011505001001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洗漱台</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011501011001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洗漱台下箱柜</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011207001002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防护溅板</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面层材料品种、规格、颜色</w:t>
            </w:r>
            <w:r>
              <w:rPr>
                <w:rFonts w:ascii="宋体" w:hAnsi="宋体" w:cs="宋体"/>
                <w:color w:val="000000"/>
                <w:kern w:val="0"/>
                <w:sz w:val="18"/>
                <w:szCs w:val="18"/>
              </w:rPr>
              <w:t>:</w:t>
            </w:r>
            <w:r>
              <w:rPr>
                <w:rFonts w:hint="eastAsia" w:ascii="宋体" w:hAnsi="宋体" w:cs="宋体"/>
                <w:color w:val="000000"/>
                <w:kern w:val="0"/>
                <w:sz w:val="18"/>
                <w:szCs w:val="18"/>
              </w:rPr>
              <w:t>铝塑板防护板墙面</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措施项目</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011701006001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满堂脚手架</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011707002001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夜间施工增加费</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011703001001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垂直运输</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bl>
    <w:p>
      <w:pPr>
        <w:spacing w:line="360" w:lineRule="auto"/>
        <w:rPr>
          <w:rStyle w:val="15"/>
          <w:rFonts w:ascii="宋体" w:cs="宋体"/>
          <w:color w:val="000000"/>
          <w:sz w:val="24"/>
        </w:rPr>
      </w:pPr>
    </w:p>
    <w:p>
      <w:pPr>
        <w:spacing w:line="360" w:lineRule="auto"/>
        <w:rPr>
          <w:rStyle w:val="15"/>
          <w:rFonts w:ascii="宋体" w:cs="宋体"/>
          <w:color w:val="000000"/>
          <w:sz w:val="24"/>
        </w:rPr>
      </w:pPr>
      <w:r>
        <w:rPr>
          <w:rStyle w:val="15"/>
          <w:rFonts w:hint="eastAsia" w:ascii="宋体" w:hAnsi="宋体" w:cs="宋体"/>
          <w:color w:val="000000"/>
          <w:sz w:val="24"/>
        </w:rPr>
        <w:t>安装部分：</w:t>
      </w:r>
    </w:p>
    <w:tbl>
      <w:tblPr>
        <w:tblStyle w:val="16"/>
        <w:tblW w:w="10065" w:type="dxa"/>
        <w:jc w:val="center"/>
        <w:tblInd w:w="0" w:type="dxa"/>
        <w:tblLayout w:type="fixed"/>
        <w:tblCellMar>
          <w:top w:w="15" w:type="dxa"/>
          <w:left w:w="15" w:type="dxa"/>
          <w:bottom w:w="15" w:type="dxa"/>
          <w:right w:w="15" w:type="dxa"/>
        </w:tblCellMar>
      </w:tblPr>
      <w:tblGrid>
        <w:gridCol w:w="600"/>
        <w:gridCol w:w="1245"/>
        <w:gridCol w:w="1380"/>
        <w:gridCol w:w="2085"/>
        <w:gridCol w:w="570"/>
        <w:gridCol w:w="855"/>
        <w:gridCol w:w="1080"/>
        <w:gridCol w:w="960"/>
        <w:gridCol w:w="1290"/>
      </w:tblGrid>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电气工程</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030404017001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配电箱</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配电箱</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安装方式</w:t>
            </w:r>
            <w:r>
              <w:rPr>
                <w:rFonts w:ascii="宋体" w:hAnsi="宋体" w:cs="宋体"/>
                <w:color w:val="000000"/>
                <w:kern w:val="0"/>
                <w:sz w:val="18"/>
                <w:szCs w:val="18"/>
              </w:rPr>
              <w:t>:</w:t>
            </w:r>
            <w:r>
              <w:rPr>
                <w:rFonts w:hint="eastAsia" w:ascii="宋体" w:hAnsi="宋体" w:cs="宋体"/>
                <w:color w:val="000000"/>
                <w:kern w:val="0"/>
                <w:sz w:val="18"/>
                <w:szCs w:val="18"/>
              </w:rPr>
              <w:t>悬挂式安装</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安装位置：牙片机室</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030404017002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配电箱</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配电箱</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安装方式</w:t>
            </w:r>
            <w:r>
              <w:rPr>
                <w:rFonts w:ascii="宋体" w:hAnsi="宋体" w:cs="宋体"/>
                <w:color w:val="000000"/>
                <w:kern w:val="0"/>
                <w:sz w:val="18"/>
                <w:szCs w:val="18"/>
              </w:rPr>
              <w:t>:</w:t>
            </w:r>
            <w:r>
              <w:rPr>
                <w:rFonts w:hint="eastAsia" w:ascii="宋体" w:hAnsi="宋体" w:cs="宋体"/>
                <w:color w:val="000000"/>
                <w:kern w:val="0"/>
                <w:sz w:val="18"/>
                <w:szCs w:val="18"/>
              </w:rPr>
              <w:t>悬挂式安装</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安装位置：</w:t>
            </w:r>
            <w:r>
              <w:rPr>
                <w:rFonts w:ascii="宋体" w:hAnsi="宋体" w:cs="宋体"/>
                <w:color w:val="000000"/>
                <w:kern w:val="0"/>
                <w:sz w:val="18"/>
                <w:szCs w:val="18"/>
              </w:rPr>
              <w:t>CT</w:t>
            </w:r>
            <w:r>
              <w:rPr>
                <w:rFonts w:hint="eastAsia" w:ascii="宋体" w:hAnsi="宋体" w:cs="宋体"/>
                <w:color w:val="000000"/>
                <w:kern w:val="0"/>
                <w:sz w:val="18"/>
                <w:szCs w:val="18"/>
              </w:rPr>
              <w:t>室</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030404034001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照明开关</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单联开关</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030404035001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插座</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五孔插座</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030404035002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插座</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空调插座</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030404035003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插座</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三孔插座</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6</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030408001001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电力电缆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备注：电动门独立电源</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镀锌铁管</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 xml:space="preserve">:20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配置形式</w:t>
            </w:r>
            <w:r>
              <w:rPr>
                <w:rFonts w:ascii="宋体" w:hAnsi="宋体" w:cs="宋体"/>
                <w:color w:val="000000"/>
                <w:kern w:val="0"/>
                <w:sz w:val="18"/>
                <w:szCs w:val="18"/>
              </w:rPr>
              <w:t>:</w:t>
            </w:r>
            <w:r>
              <w:rPr>
                <w:rFonts w:hint="eastAsia" w:ascii="宋体" w:hAnsi="宋体" w:cs="宋体"/>
                <w:color w:val="000000"/>
                <w:kern w:val="0"/>
                <w:sz w:val="18"/>
                <w:szCs w:val="18"/>
              </w:rPr>
              <w:t>吊顶内</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236.32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030411001002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镀锌铁管</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 xml:space="preserve">:20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配置形式</w:t>
            </w:r>
            <w:r>
              <w:rPr>
                <w:rFonts w:ascii="宋体" w:hAnsi="宋体" w:cs="宋体"/>
                <w:color w:val="000000"/>
                <w:kern w:val="0"/>
                <w:sz w:val="18"/>
                <w:szCs w:val="18"/>
              </w:rPr>
              <w:t>:</w:t>
            </w:r>
            <w:r>
              <w:rPr>
                <w:rFonts w:hint="eastAsia" w:ascii="宋体" w:hAnsi="宋体" w:cs="宋体"/>
                <w:color w:val="000000"/>
                <w:kern w:val="0"/>
                <w:sz w:val="18"/>
                <w:szCs w:val="18"/>
              </w:rPr>
              <w:t>暗配</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107.8</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030411001003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金属软管</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w:t>
            </w:r>
            <w:r>
              <w:rPr>
                <w:rFonts w:hint="eastAsia" w:ascii="宋体" w:hAnsi="宋体" w:cs="宋体"/>
                <w:color w:val="000000"/>
                <w:kern w:val="0"/>
                <w:sz w:val="18"/>
                <w:szCs w:val="18"/>
              </w:rPr>
              <w:t>Φ</w:t>
            </w:r>
            <w:r>
              <w:rPr>
                <w:rFonts w:ascii="宋体" w:hAnsi="宋体" w:cs="宋体"/>
                <w:color w:val="000000"/>
                <w:kern w:val="0"/>
                <w:sz w:val="18"/>
                <w:szCs w:val="18"/>
              </w:rPr>
              <w:t xml:space="preserve">20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配置形式</w:t>
            </w:r>
            <w:r>
              <w:rPr>
                <w:rFonts w:ascii="宋体" w:hAnsi="宋体" w:cs="宋体"/>
                <w:color w:val="000000"/>
                <w:kern w:val="0"/>
                <w:sz w:val="18"/>
                <w:szCs w:val="18"/>
              </w:rPr>
              <w:t>:</w:t>
            </w:r>
            <w:r>
              <w:rPr>
                <w:rFonts w:hint="eastAsia" w:ascii="宋体" w:hAnsi="宋体" w:cs="宋体"/>
                <w:color w:val="000000"/>
                <w:kern w:val="0"/>
                <w:sz w:val="18"/>
                <w:szCs w:val="18"/>
              </w:rPr>
              <w:t>吊顶内</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桥架</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材质：钢制</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规格、型号：</w:t>
            </w:r>
            <w:r>
              <w:rPr>
                <w:rFonts w:ascii="宋体" w:hAnsi="宋体" w:cs="宋体"/>
                <w:color w:val="000000"/>
                <w:kern w:val="0"/>
                <w:sz w:val="18"/>
                <w:szCs w:val="18"/>
              </w:rPr>
              <w:t xml:space="preserve">100*100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其他：含桥架支撑架、防火封堵</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20</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030411004001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配线</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规格、型号：</w:t>
            </w:r>
            <w:r>
              <w:rPr>
                <w:rFonts w:ascii="宋体" w:hAnsi="宋体" w:cs="宋体"/>
                <w:color w:val="000000"/>
                <w:kern w:val="0"/>
                <w:sz w:val="18"/>
                <w:szCs w:val="18"/>
              </w:rPr>
              <w:t xml:space="preserve">BV2.5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配置形式：管内穿线</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138.69</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030411004002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配线</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规格、型号：</w:t>
            </w:r>
            <w:r>
              <w:rPr>
                <w:rFonts w:ascii="宋体" w:hAnsi="宋体" w:cs="宋体"/>
                <w:color w:val="000000"/>
                <w:kern w:val="0"/>
                <w:sz w:val="18"/>
                <w:szCs w:val="18"/>
              </w:rPr>
              <w:t xml:space="preserve">BV4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配置形式：管内穿线</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641.67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030411006001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接线盒</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接线盒、开关盒</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钢制</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规格</w:t>
            </w:r>
            <w:r>
              <w:rPr>
                <w:rFonts w:ascii="宋体" w:hAnsi="宋体" w:cs="宋体"/>
                <w:color w:val="000000"/>
                <w:kern w:val="0"/>
                <w:sz w:val="18"/>
                <w:szCs w:val="18"/>
              </w:rPr>
              <w:t>:86</w:t>
            </w:r>
            <w:r>
              <w:rPr>
                <w:rFonts w:hint="eastAsia" w:ascii="宋体" w:hAnsi="宋体" w:cs="宋体"/>
                <w:color w:val="000000"/>
                <w:kern w:val="0"/>
                <w:sz w:val="18"/>
                <w:szCs w:val="18"/>
              </w:rPr>
              <w:t>型</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030411006002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接线盒</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接线盒盖</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钢制</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规格</w:t>
            </w:r>
            <w:r>
              <w:rPr>
                <w:rFonts w:ascii="宋体" w:hAnsi="宋体" w:cs="宋体"/>
                <w:color w:val="000000"/>
                <w:kern w:val="0"/>
                <w:sz w:val="18"/>
                <w:szCs w:val="18"/>
              </w:rPr>
              <w:t>:86</w:t>
            </w:r>
            <w:r>
              <w:rPr>
                <w:rFonts w:hint="eastAsia" w:ascii="宋体" w:hAnsi="宋体" w:cs="宋体"/>
                <w:color w:val="000000"/>
                <w:kern w:val="0"/>
                <w:sz w:val="18"/>
                <w:szCs w:val="18"/>
              </w:rPr>
              <w:t>型</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030412005001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平板灯</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:LED</w:t>
            </w:r>
            <w:r>
              <w:rPr>
                <w:rFonts w:hint="eastAsia" w:ascii="宋体" w:hAnsi="宋体" w:cs="宋体"/>
                <w:color w:val="000000"/>
                <w:kern w:val="0"/>
                <w:sz w:val="18"/>
                <w:szCs w:val="18"/>
              </w:rPr>
              <w:t>灯</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安装形式</w:t>
            </w:r>
            <w:r>
              <w:rPr>
                <w:rFonts w:ascii="宋体" w:hAnsi="宋体" w:cs="宋体"/>
                <w:color w:val="000000"/>
                <w:kern w:val="0"/>
                <w:sz w:val="18"/>
                <w:szCs w:val="18"/>
              </w:rPr>
              <w:t>:</w:t>
            </w:r>
            <w:r>
              <w:rPr>
                <w:rFonts w:hint="eastAsia" w:ascii="宋体" w:hAnsi="宋体" w:cs="宋体"/>
                <w:color w:val="000000"/>
                <w:kern w:val="0"/>
                <w:sz w:val="18"/>
                <w:szCs w:val="18"/>
              </w:rPr>
              <w:t>嵌入式安装</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套</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030413002001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凿（压</w:t>
            </w:r>
            <w:r>
              <w:rPr>
                <w:rFonts w:ascii="宋体" w:hAnsi="宋体" w:cs="宋体"/>
                <w:color w:val="000000"/>
                <w:kern w:val="0"/>
                <w:sz w:val="18"/>
                <w:szCs w:val="18"/>
              </w:rPr>
              <w:t>)</w:t>
            </w:r>
            <w:r>
              <w:rPr>
                <w:rFonts w:hint="eastAsia" w:ascii="宋体" w:hAnsi="宋体" w:cs="宋体"/>
                <w:color w:val="000000"/>
                <w:kern w:val="0"/>
                <w:sz w:val="18"/>
                <w:szCs w:val="18"/>
              </w:rPr>
              <w:t>槽</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类型</w:t>
            </w:r>
            <w:r>
              <w:rPr>
                <w:rFonts w:ascii="宋体" w:hAnsi="宋体" w:cs="宋体"/>
                <w:color w:val="000000"/>
                <w:kern w:val="0"/>
                <w:sz w:val="18"/>
                <w:szCs w:val="18"/>
              </w:rPr>
              <w:t xml:space="preserve">:DN20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填充</w:t>
            </w:r>
            <w:r>
              <w:rPr>
                <w:rFonts w:ascii="宋体" w:hAnsi="宋体" w:cs="宋体"/>
                <w:color w:val="000000"/>
                <w:kern w:val="0"/>
                <w:sz w:val="18"/>
                <w:szCs w:val="18"/>
              </w:rPr>
              <w:t>(</w:t>
            </w:r>
            <w:r>
              <w:rPr>
                <w:rFonts w:hint="eastAsia" w:ascii="宋体" w:hAnsi="宋体" w:cs="宋体"/>
                <w:color w:val="000000"/>
                <w:kern w:val="0"/>
                <w:sz w:val="18"/>
                <w:szCs w:val="18"/>
              </w:rPr>
              <w:t>恢复</w:t>
            </w:r>
            <w:r>
              <w:rPr>
                <w:rFonts w:ascii="宋体" w:hAnsi="宋体" w:cs="宋体"/>
                <w:color w:val="000000"/>
                <w:kern w:val="0"/>
                <w:sz w:val="18"/>
                <w:szCs w:val="18"/>
              </w:rPr>
              <w:t>)</w:t>
            </w:r>
            <w:r>
              <w:rPr>
                <w:rFonts w:hint="eastAsia" w:ascii="宋体" w:hAnsi="宋体" w:cs="宋体"/>
                <w:color w:val="000000"/>
                <w:kern w:val="0"/>
                <w:sz w:val="18"/>
                <w:szCs w:val="18"/>
              </w:rPr>
              <w:t>以内方式</w:t>
            </w:r>
            <w:r>
              <w:rPr>
                <w:rFonts w:ascii="宋体" w:hAnsi="宋体" w:cs="宋体"/>
                <w:color w:val="000000"/>
                <w:kern w:val="0"/>
                <w:sz w:val="18"/>
                <w:szCs w:val="18"/>
              </w:rPr>
              <w:t>:</w:t>
            </w:r>
            <w:r>
              <w:rPr>
                <w:rFonts w:hint="eastAsia" w:ascii="宋体" w:hAnsi="宋体" w:cs="宋体"/>
                <w:color w:val="000000"/>
                <w:kern w:val="0"/>
                <w:sz w:val="18"/>
                <w:szCs w:val="18"/>
              </w:rPr>
              <w:t>相关要求（含挂网）</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030413003001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打洞（孔）</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名称：楼板、墙体开洞堵洞</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030502005001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双绞线缆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0"/>
                <w:numId w:val="5"/>
              </w:numPr>
              <w:jc w:val="left"/>
              <w:textAlignment w:val="center"/>
              <w:rPr>
                <w:rFonts w:ascii="宋体" w:cs="宋体"/>
                <w:color w:val="000000"/>
                <w:kern w:val="0"/>
                <w:sz w:val="18"/>
                <w:szCs w:val="18"/>
              </w:rPr>
            </w:pPr>
            <w:r>
              <w:rPr>
                <w:rFonts w:hint="eastAsia" w:ascii="宋体" w:hAnsi="宋体" w:cs="宋体"/>
                <w:color w:val="000000"/>
                <w:kern w:val="0"/>
                <w:sz w:val="18"/>
                <w:szCs w:val="18"/>
              </w:rPr>
              <w:t>名称：网线</w:t>
            </w:r>
          </w:p>
          <w:p>
            <w:pPr>
              <w:widowControl/>
              <w:numPr>
                <w:ilvl w:val="0"/>
                <w:numId w:val="5"/>
              </w:numPr>
              <w:jc w:val="left"/>
              <w:textAlignment w:val="center"/>
              <w:rPr>
                <w:rFonts w:ascii="宋体" w:cs="宋体"/>
                <w:color w:val="000000"/>
                <w:kern w:val="0"/>
                <w:sz w:val="18"/>
                <w:szCs w:val="18"/>
              </w:rPr>
            </w:pPr>
            <w:r>
              <w:rPr>
                <w:rFonts w:hint="eastAsia" w:ascii="宋体" w:hAnsi="宋体" w:cs="宋体"/>
                <w:kern w:val="0"/>
                <w:sz w:val="18"/>
                <w:szCs w:val="18"/>
              </w:rPr>
              <w:t>六类线</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200</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030502012001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信息插座</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名称：双口信息插座</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通风</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030108003001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通风机</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型号</w:t>
            </w:r>
            <w:r>
              <w:rPr>
                <w:rFonts w:ascii="宋体" w:hAnsi="宋体" w:cs="宋体"/>
                <w:color w:val="000000"/>
                <w:kern w:val="0"/>
                <w:sz w:val="18"/>
                <w:szCs w:val="18"/>
              </w:rPr>
              <w:t>:</w:t>
            </w:r>
            <w:r>
              <w:rPr>
                <w:rFonts w:hint="eastAsia" w:ascii="宋体" w:hAnsi="宋体" w:cs="宋体"/>
                <w:color w:val="000000"/>
                <w:kern w:val="0"/>
                <w:sz w:val="18"/>
                <w:szCs w:val="18"/>
              </w:rPr>
              <w:t>排风量为</w:t>
            </w:r>
            <w:r>
              <w:rPr>
                <w:rFonts w:ascii="宋体" w:hAnsi="宋体" w:cs="宋体"/>
                <w:color w:val="000000"/>
                <w:kern w:val="0"/>
                <w:sz w:val="18"/>
                <w:szCs w:val="18"/>
              </w:rPr>
              <w:t xml:space="preserve">3360m3/h </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其他：含支架，详见图纸</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030413003002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打洞（孔）</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名称：楼板、墙体开洞堵洞</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210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030702001001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碳钢通风管道</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镀锌钢板</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形状</w:t>
            </w:r>
            <w:r>
              <w:rPr>
                <w:rFonts w:ascii="宋体" w:hAnsi="宋体" w:cs="宋体"/>
                <w:color w:val="000000"/>
                <w:kern w:val="0"/>
                <w:sz w:val="18"/>
                <w:szCs w:val="18"/>
              </w:rPr>
              <w:t>:</w:t>
            </w:r>
            <w:r>
              <w:rPr>
                <w:rFonts w:hint="eastAsia" w:ascii="宋体" w:hAnsi="宋体" w:cs="宋体"/>
                <w:color w:val="000000"/>
                <w:kern w:val="0"/>
                <w:sz w:val="18"/>
                <w:szCs w:val="18"/>
              </w:rPr>
              <w:t>矩形</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规格</w:t>
            </w:r>
            <w:r>
              <w:rPr>
                <w:rFonts w:ascii="宋体" w:hAnsi="宋体" w:cs="宋体"/>
                <w:color w:val="000000"/>
                <w:kern w:val="0"/>
                <w:sz w:val="18"/>
                <w:szCs w:val="18"/>
              </w:rPr>
              <w:t xml:space="preserve">:250*160 </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接口形式</w:t>
            </w:r>
            <w:r>
              <w:rPr>
                <w:rFonts w:ascii="宋体" w:hAnsi="宋体" w:cs="宋体"/>
                <w:color w:val="000000"/>
                <w:kern w:val="0"/>
                <w:sz w:val="18"/>
                <w:szCs w:val="18"/>
              </w:rPr>
              <w:t>:</w:t>
            </w:r>
            <w:r>
              <w:rPr>
                <w:rFonts w:hint="eastAsia" w:ascii="宋体" w:hAnsi="宋体" w:cs="宋体"/>
                <w:color w:val="000000"/>
                <w:kern w:val="0"/>
                <w:sz w:val="18"/>
                <w:szCs w:val="18"/>
              </w:rPr>
              <w:t>法兰连接</w:t>
            </w:r>
            <w:r>
              <w:rPr>
                <w:rFonts w:ascii="宋体" w:hAnsi="宋体" w:cs="宋体"/>
                <w:color w:val="000000"/>
                <w:kern w:val="0"/>
                <w:sz w:val="18"/>
                <w:szCs w:val="18"/>
              </w:rPr>
              <w:br w:type="textWrapping"/>
            </w:r>
            <w:r>
              <w:rPr>
                <w:rFonts w:ascii="宋体" w:hAnsi="宋体" w:cs="宋体"/>
                <w:color w:val="000000"/>
                <w:kern w:val="0"/>
                <w:sz w:val="18"/>
                <w:szCs w:val="18"/>
              </w:rPr>
              <w:t>5.</w:t>
            </w:r>
            <w:r>
              <w:rPr>
                <w:rFonts w:hint="eastAsia" w:ascii="宋体" w:hAnsi="宋体" w:cs="宋体"/>
                <w:color w:val="000000"/>
                <w:kern w:val="0"/>
                <w:sz w:val="18"/>
                <w:szCs w:val="18"/>
              </w:rPr>
              <w:t>备注：穿墙处含铅板防护，一般风管的法兰之间可采用</w:t>
            </w:r>
            <w:r>
              <w:rPr>
                <w:rFonts w:ascii="宋体" w:hAnsi="宋体" w:cs="宋体"/>
                <w:color w:val="000000"/>
                <w:kern w:val="0"/>
                <w:sz w:val="18"/>
                <w:szCs w:val="18"/>
              </w:rPr>
              <w:t>3-5mm</w:t>
            </w:r>
            <w:r>
              <w:rPr>
                <w:rFonts w:hint="eastAsia" w:ascii="宋体" w:hAnsi="宋体" w:cs="宋体"/>
                <w:color w:val="000000"/>
                <w:kern w:val="0"/>
                <w:sz w:val="18"/>
                <w:szCs w:val="18"/>
              </w:rPr>
              <w:t>厚的闭孔海绵板做密封垫，其他详见图纸</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1.18</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120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030702005001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塑料通风管道</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形状</w:t>
            </w:r>
            <w:r>
              <w:rPr>
                <w:rFonts w:ascii="宋体" w:hAnsi="宋体" w:cs="宋体"/>
                <w:color w:val="000000"/>
                <w:kern w:val="0"/>
                <w:sz w:val="18"/>
                <w:szCs w:val="18"/>
              </w:rPr>
              <w:t>:</w:t>
            </w:r>
            <w:r>
              <w:rPr>
                <w:rFonts w:hint="eastAsia" w:ascii="宋体" w:hAnsi="宋体" w:cs="宋体"/>
                <w:color w:val="000000"/>
                <w:kern w:val="0"/>
                <w:sz w:val="18"/>
                <w:szCs w:val="18"/>
              </w:rPr>
              <w:t>圆形</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w:t>
            </w:r>
            <w:r>
              <w:rPr>
                <w:rFonts w:hint="eastAsia" w:ascii="宋体" w:hAnsi="宋体" w:cs="宋体"/>
                <w:color w:val="000000"/>
                <w:kern w:val="0"/>
                <w:sz w:val="18"/>
                <w:szCs w:val="18"/>
              </w:rPr>
              <w:t>Φ</w:t>
            </w:r>
            <w:r>
              <w:rPr>
                <w:rFonts w:ascii="宋体" w:hAnsi="宋体" w:cs="宋体"/>
                <w:color w:val="000000"/>
                <w:kern w:val="0"/>
                <w:sz w:val="18"/>
                <w:szCs w:val="18"/>
              </w:rPr>
              <w:t xml:space="preserve">200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材质：</w:t>
            </w:r>
            <w:r>
              <w:rPr>
                <w:rFonts w:ascii="宋体" w:hAnsi="宋体" w:cs="宋体"/>
                <w:color w:val="000000"/>
                <w:kern w:val="0"/>
                <w:sz w:val="18"/>
                <w:szCs w:val="18"/>
              </w:rPr>
              <w:t xml:space="preserve">PVC </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其他：含铅板防护、支撑架</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23.5</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030703001001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碳钢阀门</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防火阀</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其他：防火阀采用</w:t>
            </w:r>
            <w:r>
              <w:rPr>
                <w:rFonts w:ascii="宋体" w:hAnsi="宋体" w:cs="宋体"/>
                <w:color w:val="000000"/>
                <w:kern w:val="0"/>
                <w:sz w:val="18"/>
                <w:szCs w:val="18"/>
              </w:rPr>
              <w:t>3-5mm</w:t>
            </w:r>
            <w:r>
              <w:rPr>
                <w:rFonts w:hint="eastAsia" w:ascii="宋体" w:hAnsi="宋体" w:cs="宋体"/>
                <w:color w:val="000000"/>
                <w:kern w:val="0"/>
                <w:sz w:val="18"/>
                <w:szCs w:val="18"/>
              </w:rPr>
              <w:t>厚的石棉橡胶板做密封垫。详见图纸</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030703007001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碳钢风口、散流器、百叶窗</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百叶风口</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型号</w:t>
            </w:r>
            <w:r>
              <w:rPr>
                <w:rFonts w:ascii="宋体" w:hAnsi="宋体" w:cs="宋体"/>
                <w:color w:val="000000"/>
                <w:kern w:val="0"/>
                <w:sz w:val="18"/>
                <w:szCs w:val="18"/>
              </w:rPr>
              <w:t>:200*400</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030703024001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人防其他部件</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名称：铅板排气罩</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其他：用于风口</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040502008001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套管制作、安装</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空调通屋面套管，防水处理</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给排水</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5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030413003003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打洞（孔）</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名称：楼板、墙体开洞堵洞</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031001006001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塑料管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安装部位</w:t>
            </w:r>
            <w:r>
              <w:rPr>
                <w:rFonts w:ascii="宋体" w:hAnsi="宋体" w:cs="宋体"/>
                <w:color w:val="000000"/>
                <w:kern w:val="0"/>
                <w:sz w:val="18"/>
                <w:szCs w:val="18"/>
              </w:rPr>
              <w:t>:</w:t>
            </w:r>
            <w:r>
              <w:rPr>
                <w:rFonts w:hint="eastAsia" w:ascii="宋体" w:hAnsi="宋体" w:cs="宋体"/>
                <w:color w:val="000000"/>
                <w:kern w:val="0"/>
                <w:sz w:val="18"/>
                <w:szCs w:val="18"/>
              </w:rPr>
              <w:t>室内</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介质</w:t>
            </w:r>
            <w:r>
              <w:rPr>
                <w:rFonts w:ascii="宋体" w:hAnsi="宋体" w:cs="宋体"/>
                <w:color w:val="000000"/>
                <w:kern w:val="0"/>
                <w:sz w:val="18"/>
                <w:szCs w:val="18"/>
              </w:rPr>
              <w:t>:</w:t>
            </w:r>
            <w:r>
              <w:rPr>
                <w:rFonts w:hint="eastAsia" w:ascii="宋体" w:hAnsi="宋体" w:cs="宋体"/>
                <w:color w:val="000000"/>
                <w:kern w:val="0"/>
                <w:sz w:val="18"/>
                <w:szCs w:val="18"/>
              </w:rPr>
              <w:t>自来水</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材质、规格</w:t>
            </w:r>
            <w:r>
              <w:rPr>
                <w:rFonts w:ascii="宋体" w:hAnsi="宋体" w:cs="宋体"/>
                <w:color w:val="000000"/>
                <w:kern w:val="0"/>
                <w:sz w:val="18"/>
                <w:szCs w:val="18"/>
              </w:rPr>
              <w:t xml:space="preserve">:PP-R20 </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连接形式</w:t>
            </w:r>
            <w:r>
              <w:rPr>
                <w:rFonts w:ascii="宋体" w:hAnsi="宋体" w:cs="宋体"/>
                <w:color w:val="000000"/>
                <w:kern w:val="0"/>
                <w:sz w:val="18"/>
                <w:szCs w:val="18"/>
              </w:rPr>
              <w:t>:</w:t>
            </w:r>
            <w:r>
              <w:rPr>
                <w:rFonts w:hint="eastAsia" w:ascii="宋体" w:hAnsi="宋体" w:cs="宋体"/>
                <w:color w:val="000000"/>
                <w:kern w:val="0"/>
                <w:sz w:val="18"/>
                <w:szCs w:val="18"/>
              </w:rPr>
              <w:t>热熔</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19.08</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031001006002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塑料管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安装部位</w:t>
            </w:r>
            <w:r>
              <w:rPr>
                <w:rFonts w:ascii="宋体" w:hAnsi="宋体" w:cs="宋体"/>
                <w:color w:val="000000"/>
                <w:kern w:val="0"/>
                <w:sz w:val="18"/>
                <w:szCs w:val="18"/>
              </w:rPr>
              <w:t>:</w:t>
            </w:r>
            <w:r>
              <w:rPr>
                <w:rFonts w:hint="eastAsia" w:ascii="宋体" w:hAnsi="宋体" w:cs="宋体"/>
                <w:color w:val="000000"/>
                <w:kern w:val="0"/>
                <w:sz w:val="18"/>
                <w:szCs w:val="18"/>
              </w:rPr>
              <w:t>室内</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介质</w:t>
            </w:r>
            <w:r>
              <w:rPr>
                <w:rFonts w:ascii="宋体" w:hAnsi="宋体" w:cs="宋体"/>
                <w:color w:val="000000"/>
                <w:kern w:val="0"/>
                <w:sz w:val="18"/>
                <w:szCs w:val="18"/>
              </w:rPr>
              <w:t>:</w:t>
            </w:r>
            <w:r>
              <w:rPr>
                <w:rFonts w:hint="eastAsia" w:ascii="宋体" w:hAnsi="宋体" w:cs="宋体"/>
                <w:color w:val="000000"/>
                <w:kern w:val="0"/>
                <w:sz w:val="18"/>
                <w:szCs w:val="18"/>
              </w:rPr>
              <w:t>污水</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材质、规格</w:t>
            </w:r>
            <w:r>
              <w:rPr>
                <w:rFonts w:ascii="宋体" w:hAnsi="宋体" w:cs="宋体"/>
                <w:color w:val="000000"/>
                <w:kern w:val="0"/>
                <w:sz w:val="18"/>
                <w:szCs w:val="18"/>
              </w:rPr>
              <w:t xml:space="preserve">:PVC50 </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连接形式</w:t>
            </w:r>
            <w:r>
              <w:rPr>
                <w:rFonts w:ascii="宋体" w:hAnsi="宋体" w:cs="宋体"/>
                <w:color w:val="000000"/>
                <w:kern w:val="0"/>
                <w:sz w:val="18"/>
                <w:szCs w:val="18"/>
              </w:rPr>
              <w:t>:</w:t>
            </w:r>
            <w:r>
              <w:rPr>
                <w:rFonts w:hint="eastAsia" w:ascii="宋体" w:hAnsi="宋体" w:cs="宋体"/>
                <w:color w:val="000000"/>
                <w:kern w:val="0"/>
                <w:sz w:val="18"/>
                <w:szCs w:val="18"/>
              </w:rPr>
              <w:t>承插粘接</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7.68</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031001006003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塑料管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安装部位</w:t>
            </w:r>
            <w:r>
              <w:rPr>
                <w:rFonts w:ascii="宋体" w:hAnsi="宋体" w:cs="宋体"/>
                <w:color w:val="000000"/>
                <w:kern w:val="0"/>
                <w:sz w:val="18"/>
                <w:szCs w:val="18"/>
              </w:rPr>
              <w:t>:</w:t>
            </w:r>
            <w:r>
              <w:rPr>
                <w:rFonts w:hint="eastAsia" w:ascii="宋体" w:hAnsi="宋体" w:cs="宋体"/>
                <w:color w:val="000000"/>
                <w:kern w:val="0"/>
                <w:sz w:val="18"/>
                <w:szCs w:val="18"/>
              </w:rPr>
              <w:t>室内</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介质</w:t>
            </w:r>
            <w:r>
              <w:rPr>
                <w:rFonts w:ascii="宋体" w:hAnsi="宋体" w:cs="宋体"/>
                <w:color w:val="000000"/>
                <w:kern w:val="0"/>
                <w:sz w:val="18"/>
                <w:szCs w:val="18"/>
              </w:rPr>
              <w:t>:</w:t>
            </w:r>
            <w:r>
              <w:rPr>
                <w:rFonts w:hint="eastAsia" w:ascii="宋体" w:hAnsi="宋体" w:cs="宋体"/>
                <w:color w:val="000000"/>
                <w:kern w:val="0"/>
                <w:sz w:val="18"/>
                <w:szCs w:val="18"/>
              </w:rPr>
              <w:t>污水</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材质、规格</w:t>
            </w:r>
            <w:r>
              <w:rPr>
                <w:rFonts w:ascii="宋体" w:hAnsi="宋体" w:cs="宋体"/>
                <w:color w:val="000000"/>
                <w:kern w:val="0"/>
                <w:sz w:val="18"/>
                <w:szCs w:val="18"/>
              </w:rPr>
              <w:t xml:space="preserve">:PVC110 </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连接形式</w:t>
            </w:r>
            <w:r>
              <w:rPr>
                <w:rFonts w:ascii="宋体" w:hAnsi="宋体" w:cs="宋体"/>
                <w:color w:val="000000"/>
                <w:kern w:val="0"/>
                <w:sz w:val="18"/>
                <w:szCs w:val="18"/>
              </w:rPr>
              <w:t>:</w:t>
            </w:r>
            <w:r>
              <w:rPr>
                <w:rFonts w:hint="eastAsia" w:ascii="宋体" w:hAnsi="宋体" w:cs="宋体"/>
                <w:color w:val="000000"/>
                <w:kern w:val="0"/>
                <w:sz w:val="18"/>
                <w:szCs w:val="18"/>
              </w:rPr>
              <w:t>承插粘接</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18.93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16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33</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031004003001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洗脸盆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类型</w:t>
            </w:r>
            <w:r>
              <w:rPr>
                <w:rFonts w:ascii="宋体" w:hAnsi="宋体" w:cs="宋体"/>
                <w:color w:val="000000"/>
                <w:kern w:val="0"/>
                <w:sz w:val="18"/>
                <w:szCs w:val="18"/>
              </w:rPr>
              <w:t>.</w:t>
            </w:r>
            <w:r>
              <w:rPr>
                <w:rFonts w:hint="eastAsia" w:ascii="宋体" w:hAnsi="宋体" w:cs="宋体"/>
                <w:color w:val="000000"/>
                <w:kern w:val="0"/>
                <w:sz w:val="18"/>
                <w:szCs w:val="18"/>
              </w:rPr>
              <w:t>型号</w:t>
            </w:r>
            <w:r>
              <w:rPr>
                <w:rFonts w:ascii="宋体" w:hAnsi="宋体" w:cs="宋体"/>
                <w:color w:val="000000"/>
                <w:kern w:val="0"/>
                <w:sz w:val="18"/>
                <w:szCs w:val="18"/>
              </w:rPr>
              <w:t>:</w:t>
            </w:r>
            <w:r>
              <w:rPr>
                <w:rFonts w:hint="eastAsia" w:ascii="宋体" w:hAnsi="宋体" w:cs="宋体"/>
                <w:color w:val="000000"/>
                <w:kern w:val="0"/>
                <w:sz w:val="18"/>
                <w:szCs w:val="18"/>
              </w:rPr>
              <w:t>台式洗脸盆</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 xml:space="preserve">:DN15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成套安装，含水龙头，角阀，软管</w:t>
            </w:r>
            <w:r>
              <w:rPr>
                <w:rFonts w:ascii="宋体" w:hAnsi="宋体" w:cs="宋体"/>
                <w:color w:val="000000"/>
                <w:kern w:val="0"/>
                <w:sz w:val="18"/>
                <w:szCs w:val="18"/>
              </w:rPr>
              <w:br w:type="textWrapping"/>
            </w:r>
            <w:r>
              <w:rPr>
                <w:rFonts w:ascii="宋体" w:hAnsi="宋体" w:cs="宋体"/>
                <w:color w:val="000000"/>
                <w:kern w:val="0"/>
                <w:sz w:val="18"/>
                <w:szCs w:val="18"/>
              </w:rPr>
              <w:t>4.</w:t>
            </w:r>
            <w:r>
              <w:rPr>
                <w:rFonts w:hint="eastAsia" w:ascii="宋体" w:hAnsi="宋体" w:cs="宋体"/>
                <w:color w:val="000000"/>
                <w:kern w:val="0"/>
                <w:sz w:val="18"/>
                <w:szCs w:val="18"/>
              </w:rPr>
              <w:t>其他：儿童洗手专用</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组</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142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34</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031004003002</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洗脸盆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类型</w:t>
            </w:r>
            <w:r>
              <w:rPr>
                <w:rFonts w:ascii="宋体" w:hAnsi="宋体" w:cs="宋体"/>
                <w:color w:val="000000"/>
                <w:kern w:val="0"/>
                <w:sz w:val="18"/>
                <w:szCs w:val="18"/>
              </w:rPr>
              <w:t>.</w:t>
            </w:r>
            <w:r>
              <w:rPr>
                <w:rFonts w:hint="eastAsia" w:ascii="宋体" w:hAnsi="宋体" w:cs="宋体"/>
                <w:color w:val="000000"/>
                <w:kern w:val="0"/>
                <w:sz w:val="18"/>
                <w:szCs w:val="18"/>
              </w:rPr>
              <w:t>型号</w:t>
            </w:r>
            <w:r>
              <w:rPr>
                <w:rFonts w:ascii="宋体" w:hAnsi="宋体" w:cs="宋体"/>
                <w:color w:val="000000"/>
                <w:kern w:val="0"/>
                <w:sz w:val="18"/>
                <w:szCs w:val="18"/>
              </w:rPr>
              <w:t>:</w:t>
            </w:r>
            <w:r>
              <w:rPr>
                <w:rFonts w:hint="eastAsia" w:ascii="宋体" w:hAnsi="宋体" w:cs="宋体"/>
                <w:color w:val="000000"/>
                <w:kern w:val="0"/>
                <w:sz w:val="18"/>
                <w:szCs w:val="18"/>
              </w:rPr>
              <w:t>台式洗脸盆</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 xml:space="preserve">:DN15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成套安装，含水龙头，角阀，软管</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组</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采暖</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35</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031005002001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钢制散热器</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型号、规格</w:t>
            </w:r>
            <w:r>
              <w:rPr>
                <w:rFonts w:ascii="宋体" w:hAnsi="宋体" w:cs="宋体"/>
                <w:color w:val="000000"/>
                <w:kern w:val="0"/>
                <w:sz w:val="18"/>
                <w:szCs w:val="18"/>
              </w:rPr>
              <w:t>:</w:t>
            </w:r>
            <w:r>
              <w:rPr>
                <w:rFonts w:hint="eastAsia" w:ascii="宋体" w:hAnsi="宋体" w:cs="宋体"/>
                <w:color w:val="000000"/>
                <w:kern w:val="0"/>
                <w:sz w:val="18"/>
                <w:szCs w:val="18"/>
              </w:rPr>
              <w:t>≤</w:t>
            </w:r>
            <w:r>
              <w:rPr>
                <w:rFonts w:ascii="宋体" w:hAnsi="宋体" w:cs="宋体"/>
                <w:color w:val="000000"/>
                <w:kern w:val="0"/>
                <w:sz w:val="18"/>
                <w:szCs w:val="18"/>
              </w:rPr>
              <w:t>25</w:t>
            </w:r>
            <w:r>
              <w:rPr>
                <w:rFonts w:hint="eastAsia" w:ascii="宋体" w:hAnsi="宋体" w:cs="宋体"/>
                <w:color w:val="000000"/>
                <w:kern w:val="0"/>
                <w:sz w:val="18"/>
                <w:szCs w:val="18"/>
              </w:rPr>
              <w:t>片</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其他：含拆除及安装费，暖气片利用原有的</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组</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03B001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暖气打压试验</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系统</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消防</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37</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030411001004</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镀锌铁管</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 xml:space="preserve">:20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配置形式</w:t>
            </w:r>
            <w:r>
              <w:rPr>
                <w:rFonts w:ascii="宋体" w:hAnsi="宋体" w:cs="宋体"/>
                <w:color w:val="000000"/>
                <w:kern w:val="0"/>
                <w:sz w:val="18"/>
                <w:szCs w:val="18"/>
              </w:rPr>
              <w:t>:</w:t>
            </w:r>
            <w:r>
              <w:rPr>
                <w:rFonts w:hint="eastAsia" w:ascii="宋体" w:hAnsi="宋体" w:cs="宋体"/>
                <w:color w:val="000000"/>
                <w:kern w:val="0"/>
                <w:sz w:val="18"/>
                <w:szCs w:val="18"/>
              </w:rPr>
              <w:t>吊顶内</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47</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vMerge w:val="restart"/>
            <w:tcBorders>
              <w:top w:val="single" w:color="000000" w:sz="12"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序号</w:t>
            </w:r>
          </w:p>
        </w:tc>
        <w:tc>
          <w:tcPr>
            <w:tcW w:w="124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项目编码</w:t>
            </w:r>
          </w:p>
        </w:tc>
        <w:tc>
          <w:tcPr>
            <w:tcW w:w="138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项目名称</w:t>
            </w:r>
          </w:p>
        </w:tc>
        <w:tc>
          <w:tcPr>
            <w:tcW w:w="208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项目特征描述</w:t>
            </w:r>
          </w:p>
        </w:tc>
        <w:tc>
          <w:tcPr>
            <w:tcW w:w="570"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计量单位</w:t>
            </w:r>
          </w:p>
        </w:tc>
        <w:tc>
          <w:tcPr>
            <w:tcW w:w="855" w:type="dxa"/>
            <w:vMerge w:val="restart"/>
            <w:tcBorders>
              <w:top w:val="single" w:color="000000" w:sz="12"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工程量</w:t>
            </w:r>
          </w:p>
        </w:tc>
        <w:tc>
          <w:tcPr>
            <w:tcW w:w="3330" w:type="dxa"/>
            <w:gridSpan w:val="3"/>
            <w:tcBorders>
              <w:top w:val="single" w:color="000000" w:sz="12"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金额（元）</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合价</w:t>
            </w: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其中</w:t>
            </w:r>
          </w:p>
        </w:tc>
      </w:tr>
      <w:tr>
        <w:tblPrEx>
          <w:tblLayout w:type="fixed"/>
          <w:tblCellMar>
            <w:top w:w="15" w:type="dxa"/>
            <w:left w:w="15" w:type="dxa"/>
            <w:bottom w:w="15" w:type="dxa"/>
            <w:right w:w="15" w:type="dxa"/>
          </w:tblCellMar>
        </w:tblPrEx>
        <w:trPr>
          <w:trHeight w:val="375" w:hRule="atLeast"/>
          <w:jc w:val="center"/>
        </w:trPr>
        <w:tc>
          <w:tcPr>
            <w:tcW w:w="600" w:type="dxa"/>
            <w:vMerge w:val="continue"/>
            <w:tcBorders>
              <w:top w:val="single" w:color="000000" w:sz="12" w:space="0"/>
              <w:left w:val="single" w:color="000000" w:sz="12"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4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38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208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570"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855" w:type="dxa"/>
            <w:vMerge w:val="continue"/>
            <w:tcBorders>
              <w:top w:val="single" w:color="000000" w:sz="12"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暂估价</w:t>
            </w: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38</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030411001005</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金属软管</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w:t>
            </w:r>
            <w:r>
              <w:rPr>
                <w:rFonts w:ascii="宋体" w:hAnsi="宋体" w:cs="宋体"/>
                <w:color w:val="000000"/>
                <w:kern w:val="0"/>
                <w:sz w:val="18"/>
                <w:szCs w:val="18"/>
              </w:rPr>
              <w:t>:</w:t>
            </w:r>
            <w:r>
              <w:rPr>
                <w:rFonts w:hint="eastAsia" w:ascii="宋体" w:hAnsi="宋体" w:cs="宋体"/>
                <w:color w:val="000000"/>
                <w:kern w:val="0"/>
                <w:sz w:val="18"/>
                <w:szCs w:val="18"/>
              </w:rPr>
              <w:t>Φ</w:t>
            </w:r>
            <w:r>
              <w:rPr>
                <w:rFonts w:ascii="宋体" w:hAnsi="宋体" w:cs="宋体"/>
                <w:color w:val="000000"/>
                <w:kern w:val="0"/>
                <w:sz w:val="18"/>
                <w:szCs w:val="18"/>
              </w:rPr>
              <w:t xml:space="preserve">20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配置形式</w:t>
            </w:r>
            <w:r>
              <w:rPr>
                <w:rFonts w:ascii="宋体" w:hAnsi="宋体" w:cs="宋体"/>
                <w:color w:val="000000"/>
                <w:kern w:val="0"/>
                <w:sz w:val="18"/>
                <w:szCs w:val="18"/>
              </w:rPr>
              <w:t>:</w:t>
            </w:r>
            <w:r>
              <w:rPr>
                <w:rFonts w:hint="eastAsia" w:ascii="宋体" w:hAnsi="宋体" w:cs="宋体"/>
                <w:color w:val="000000"/>
                <w:kern w:val="0"/>
                <w:sz w:val="18"/>
                <w:szCs w:val="18"/>
              </w:rPr>
              <w:t>吊顶内</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9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39</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030411004003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配线</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名称：信号线</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规格、型号：</w:t>
            </w:r>
            <w:r>
              <w:rPr>
                <w:rFonts w:ascii="宋体" w:hAnsi="宋体" w:cs="宋体"/>
                <w:color w:val="000000"/>
                <w:kern w:val="0"/>
                <w:sz w:val="18"/>
                <w:szCs w:val="18"/>
              </w:rPr>
              <w:t xml:space="preserve">ZR-RVS2*1.5 </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敷设方式：管内穿线</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50</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750"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40</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030411006003</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接线盒</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w:t>
            </w:r>
            <w:r>
              <w:rPr>
                <w:rFonts w:ascii="宋体" w:hAnsi="宋体" w:cs="宋体"/>
                <w:color w:val="000000"/>
                <w:kern w:val="0"/>
                <w:sz w:val="18"/>
                <w:szCs w:val="18"/>
              </w:rPr>
              <w:t>:</w:t>
            </w:r>
            <w:r>
              <w:rPr>
                <w:rFonts w:hint="eastAsia" w:ascii="宋体" w:hAnsi="宋体" w:cs="宋体"/>
                <w:color w:val="000000"/>
                <w:kern w:val="0"/>
                <w:sz w:val="18"/>
                <w:szCs w:val="18"/>
              </w:rPr>
              <w:t>接线盒</w:t>
            </w:r>
            <w:r>
              <w:rPr>
                <w:rFonts w:ascii="宋体" w:hAnsi="宋体" w:cs="宋体"/>
                <w:color w:val="000000"/>
                <w:kern w:val="0"/>
                <w:sz w:val="18"/>
                <w:szCs w:val="18"/>
              </w:rPr>
              <w:br w:type="textWrapping"/>
            </w:r>
            <w:r>
              <w:rPr>
                <w:rFonts w:ascii="宋体" w:hAnsi="宋体" w:cs="宋体"/>
                <w:color w:val="000000"/>
                <w:kern w:val="0"/>
                <w:sz w:val="18"/>
                <w:szCs w:val="18"/>
              </w:rPr>
              <w:t>2.</w:t>
            </w:r>
            <w:r>
              <w:rPr>
                <w:rFonts w:hint="eastAsia" w:ascii="宋体" w:hAnsi="宋体" w:cs="宋体"/>
                <w:color w:val="000000"/>
                <w:kern w:val="0"/>
                <w:sz w:val="18"/>
                <w:szCs w:val="18"/>
              </w:rPr>
              <w:t>材质</w:t>
            </w:r>
            <w:r>
              <w:rPr>
                <w:rFonts w:ascii="宋体" w:hAnsi="宋体" w:cs="宋体"/>
                <w:color w:val="000000"/>
                <w:kern w:val="0"/>
                <w:sz w:val="18"/>
                <w:szCs w:val="18"/>
              </w:rPr>
              <w:t>:</w:t>
            </w:r>
            <w:r>
              <w:rPr>
                <w:rFonts w:hint="eastAsia" w:ascii="宋体" w:hAnsi="宋体" w:cs="宋体"/>
                <w:color w:val="000000"/>
                <w:kern w:val="0"/>
                <w:sz w:val="18"/>
                <w:szCs w:val="18"/>
              </w:rPr>
              <w:t>钢制</w:t>
            </w:r>
            <w:r>
              <w:rPr>
                <w:rFonts w:ascii="宋体" w:hAnsi="宋体" w:cs="宋体"/>
                <w:color w:val="000000"/>
                <w:kern w:val="0"/>
                <w:sz w:val="18"/>
                <w:szCs w:val="18"/>
              </w:rPr>
              <w:br w:type="textWrapping"/>
            </w:r>
            <w:r>
              <w:rPr>
                <w:rFonts w:ascii="宋体" w:hAnsi="宋体" w:cs="宋体"/>
                <w:color w:val="000000"/>
                <w:kern w:val="0"/>
                <w:sz w:val="18"/>
                <w:szCs w:val="18"/>
              </w:rPr>
              <w:t>3.</w:t>
            </w:r>
            <w:r>
              <w:rPr>
                <w:rFonts w:hint="eastAsia" w:ascii="宋体" w:hAnsi="宋体" w:cs="宋体"/>
                <w:color w:val="000000"/>
                <w:kern w:val="0"/>
                <w:sz w:val="18"/>
                <w:szCs w:val="18"/>
              </w:rPr>
              <w:t>规格</w:t>
            </w:r>
            <w:r>
              <w:rPr>
                <w:rFonts w:ascii="宋体" w:hAnsi="宋体" w:cs="宋体"/>
                <w:color w:val="000000"/>
                <w:kern w:val="0"/>
                <w:sz w:val="18"/>
                <w:szCs w:val="18"/>
              </w:rPr>
              <w:t>:86</w:t>
            </w:r>
            <w:r>
              <w:rPr>
                <w:rFonts w:hint="eastAsia" w:ascii="宋体" w:hAnsi="宋体" w:cs="宋体"/>
                <w:color w:val="000000"/>
                <w:kern w:val="0"/>
                <w:sz w:val="18"/>
                <w:szCs w:val="18"/>
              </w:rPr>
              <w:t>型</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41</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030904001001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点型探测器</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1.</w:t>
            </w:r>
            <w:r>
              <w:rPr>
                <w:rFonts w:hint="eastAsia" w:ascii="宋体" w:hAnsi="宋体" w:cs="宋体"/>
                <w:color w:val="000000"/>
                <w:kern w:val="0"/>
                <w:sz w:val="18"/>
                <w:szCs w:val="18"/>
              </w:rPr>
              <w:t>名称：感烟探测器</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措施项目</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42</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ascii="宋体" w:hAnsi="宋体" w:cs="宋体"/>
                <w:color w:val="000000"/>
                <w:kern w:val="0"/>
                <w:sz w:val="18"/>
                <w:szCs w:val="18"/>
              </w:rPr>
              <w:t>031301017001</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脚手架搭拆</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600" w:type="dxa"/>
            <w:tcBorders>
              <w:top w:val="single" w:color="000000" w:sz="4" w:space="0"/>
              <w:left w:val="single" w:color="000000" w:sz="12"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cs="宋体"/>
                <w:color w:val="000000"/>
                <w:sz w:val="18"/>
                <w:szCs w:val="18"/>
              </w:rPr>
            </w:pPr>
            <w:r>
              <w:rPr>
                <w:rFonts w:hint="eastAsia" w:ascii="宋体" w:hAnsi="宋体" w:cs="宋体"/>
                <w:color w:val="000000"/>
                <w:kern w:val="0"/>
                <w:sz w:val="18"/>
                <w:szCs w:val="18"/>
              </w:rPr>
              <w:t>分部小计</w:t>
            </w:r>
          </w:p>
        </w:tc>
        <w:tc>
          <w:tcPr>
            <w:tcW w:w="20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4"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12" w:space="0"/>
            </w:tcBorders>
            <w:shd w:val="clear" w:color="FFFFFF" w:fill="FFFFFF"/>
            <w:vAlign w:val="center"/>
          </w:tcPr>
          <w:p>
            <w:pPr>
              <w:jc w:val="right"/>
              <w:rPr>
                <w:rFonts w:ascii="宋体" w:cs="宋体"/>
                <w:color w:val="000000"/>
                <w:sz w:val="18"/>
                <w:szCs w:val="18"/>
              </w:rPr>
            </w:pPr>
          </w:p>
        </w:tc>
      </w:tr>
      <w:tr>
        <w:tblPrEx>
          <w:tblLayout w:type="fixed"/>
          <w:tblCellMar>
            <w:top w:w="15" w:type="dxa"/>
            <w:left w:w="15" w:type="dxa"/>
            <w:bottom w:w="15" w:type="dxa"/>
            <w:right w:w="15" w:type="dxa"/>
          </w:tblCellMar>
        </w:tblPrEx>
        <w:trPr>
          <w:trHeight w:val="375" w:hRule="atLeast"/>
          <w:jc w:val="center"/>
        </w:trPr>
        <w:tc>
          <w:tcPr>
            <w:tcW w:w="7815" w:type="dxa"/>
            <w:gridSpan w:val="7"/>
            <w:tcBorders>
              <w:top w:val="single" w:color="000000" w:sz="4" w:space="0"/>
              <w:left w:val="single" w:color="000000" w:sz="12" w:space="0"/>
              <w:bottom w:val="single" w:color="000000" w:sz="12" w:space="0"/>
              <w:right w:val="single" w:color="000000" w:sz="4" w:space="0"/>
            </w:tcBorders>
            <w:shd w:val="clear" w:color="FFFFFF" w:fill="FFFFFF"/>
            <w:vAlign w:val="center"/>
          </w:tcPr>
          <w:p>
            <w:pPr>
              <w:widowControl/>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60" w:type="dxa"/>
            <w:tcBorders>
              <w:top w:val="single" w:color="000000" w:sz="4" w:space="0"/>
              <w:left w:val="single" w:color="000000" w:sz="4" w:space="0"/>
              <w:bottom w:val="single" w:color="000000" w:sz="12" w:space="0"/>
              <w:right w:val="single" w:color="000000" w:sz="4" w:space="0"/>
            </w:tcBorders>
            <w:shd w:val="clear" w:color="FFFFFF" w:fill="FFFFFF"/>
            <w:vAlign w:val="center"/>
          </w:tcPr>
          <w:p>
            <w:pPr>
              <w:jc w:val="right"/>
              <w:rPr>
                <w:rFonts w:ascii="宋体" w:cs="宋体"/>
                <w:color w:val="000000"/>
                <w:sz w:val="18"/>
                <w:szCs w:val="18"/>
              </w:rPr>
            </w:pPr>
          </w:p>
        </w:tc>
        <w:tc>
          <w:tcPr>
            <w:tcW w:w="1290" w:type="dxa"/>
            <w:tcBorders>
              <w:top w:val="single" w:color="000000" w:sz="4" w:space="0"/>
              <w:left w:val="single" w:color="000000" w:sz="4" w:space="0"/>
              <w:bottom w:val="single" w:color="000000" w:sz="12" w:space="0"/>
              <w:right w:val="single" w:color="000000" w:sz="12" w:space="0"/>
            </w:tcBorders>
            <w:shd w:val="clear" w:color="FFFFFF" w:fill="FFFFFF"/>
            <w:vAlign w:val="center"/>
          </w:tcPr>
          <w:p>
            <w:pPr>
              <w:jc w:val="right"/>
              <w:rPr>
                <w:rFonts w:ascii="宋体" w:cs="宋体"/>
                <w:color w:val="000000"/>
                <w:sz w:val="18"/>
                <w:szCs w:val="18"/>
              </w:rPr>
            </w:pPr>
          </w:p>
        </w:tc>
      </w:tr>
    </w:tbl>
    <w:p>
      <w:pPr>
        <w:spacing w:line="360" w:lineRule="auto"/>
        <w:rPr>
          <w:rStyle w:val="15"/>
          <w:rFonts w:ascii="宋体" w:cs="宋体"/>
          <w:color w:val="000000"/>
          <w:sz w:val="24"/>
        </w:rPr>
      </w:pPr>
    </w:p>
    <w:p>
      <w:pPr>
        <w:spacing w:line="360" w:lineRule="auto"/>
        <w:rPr>
          <w:rStyle w:val="15"/>
          <w:rFonts w:ascii="宋体" w:cs="宋体"/>
          <w:color w:val="000000"/>
          <w:sz w:val="24"/>
        </w:rPr>
      </w:pPr>
      <w:r>
        <w:rPr>
          <w:rStyle w:val="15"/>
          <w:rFonts w:hint="eastAsia" w:ascii="宋体" w:hAnsi="宋体" w:cs="宋体"/>
          <w:color w:val="000000"/>
          <w:sz w:val="24"/>
        </w:rPr>
        <w:t>关于工程量清单的说明</w:t>
      </w:r>
      <w:r>
        <w:rPr>
          <w:rStyle w:val="15"/>
          <w:rFonts w:ascii="宋体" w:hAnsi="宋体" w:cs="宋体"/>
          <w:color w:val="000000"/>
          <w:sz w:val="24"/>
        </w:rPr>
        <w:t>:</w:t>
      </w:r>
    </w:p>
    <w:p>
      <w:pPr>
        <w:spacing w:line="360" w:lineRule="auto"/>
        <w:ind w:firstLine="470" w:firstLineChars="196"/>
        <w:rPr>
          <w:rStyle w:val="15"/>
          <w:rFonts w:ascii="宋体"/>
          <w:b w:val="0"/>
          <w:bCs w:val="0"/>
          <w:color w:val="000000"/>
          <w:sz w:val="24"/>
        </w:rPr>
      </w:pPr>
      <w:r>
        <w:rPr>
          <w:rStyle w:val="15"/>
          <w:rFonts w:hint="eastAsia" w:ascii="宋体" w:hAnsi="宋体" w:cs="宋体"/>
          <w:b w:val="0"/>
          <w:bCs w:val="0"/>
          <w:color w:val="000000"/>
          <w:sz w:val="24"/>
        </w:rPr>
        <w:t>本清单项数以及工程数量请各供应商根据踏勘现场自行测量核对，工程量误差在±</w:t>
      </w:r>
      <w:r>
        <w:rPr>
          <w:rStyle w:val="15"/>
          <w:rFonts w:ascii="宋体" w:hAnsi="宋体" w:cs="宋体"/>
          <w:b w:val="0"/>
          <w:bCs w:val="0"/>
          <w:color w:val="000000"/>
          <w:sz w:val="24"/>
        </w:rPr>
        <w:t>5%</w:t>
      </w:r>
      <w:r>
        <w:rPr>
          <w:rStyle w:val="15"/>
          <w:rFonts w:hint="eastAsia" w:ascii="宋体" w:hAnsi="宋体" w:cs="宋体"/>
          <w:b w:val="0"/>
          <w:bCs w:val="0"/>
          <w:color w:val="000000"/>
          <w:sz w:val="24"/>
        </w:rPr>
        <w:t>以内的一律不再调整；工程量误差在±</w:t>
      </w:r>
      <w:r>
        <w:rPr>
          <w:rStyle w:val="15"/>
          <w:rFonts w:ascii="宋体" w:hAnsi="宋体" w:cs="宋体"/>
          <w:b w:val="0"/>
          <w:bCs w:val="0"/>
          <w:color w:val="000000"/>
          <w:sz w:val="24"/>
        </w:rPr>
        <w:t>5%</w:t>
      </w:r>
      <w:r>
        <w:rPr>
          <w:rStyle w:val="15"/>
          <w:rFonts w:hint="eastAsia" w:ascii="宋体" w:hAnsi="宋体" w:cs="宋体"/>
          <w:b w:val="0"/>
          <w:bCs w:val="0"/>
          <w:color w:val="000000"/>
          <w:sz w:val="24"/>
        </w:rPr>
        <w:t>以外的以及本清单中未包含确实需要发生增加的工程项目</w:t>
      </w:r>
      <w:r>
        <w:rPr>
          <w:rStyle w:val="15"/>
          <w:rFonts w:ascii="宋体" w:cs="宋体"/>
          <w:b w:val="0"/>
          <w:bCs w:val="0"/>
          <w:color w:val="000000"/>
          <w:sz w:val="24"/>
        </w:rPr>
        <w:t>,</w:t>
      </w:r>
      <w:r>
        <w:rPr>
          <w:rStyle w:val="15"/>
          <w:rFonts w:hint="eastAsia" w:ascii="宋体" w:hAnsi="宋体" w:cs="宋体"/>
          <w:b w:val="0"/>
          <w:bCs w:val="0"/>
          <w:color w:val="000000"/>
          <w:sz w:val="24"/>
        </w:rPr>
        <w:t>供应商应于规定时间内提出书面异议并提交至指定邮箱，采购人及招标代理在磋商答疑时统一给予答复。</w:t>
      </w:r>
    </w:p>
    <w:p>
      <w:pPr>
        <w:spacing w:line="360" w:lineRule="auto"/>
        <w:ind w:firstLine="470" w:firstLineChars="196"/>
        <w:rPr>
          <w:rStyle w:val="15"/>
          <w:rFonts w:ascii="宋体" w:cs="宋体"/>
          <w:b w:val="0"/>
          <w:bCs w:val="0"/>
          <w:sz w:val="24"/>
        </w:rPr>
      </w:pPr>
      <w:r>
        <w:rPr>
          <w:rStyle w:val="15"/>
          <w:rFonts w:hint="eastAsia" w:ascii="宋体" w:hAnsi="宋体" w:cs="宋体"/>
          <w:b w:val="0"/>
          <w:bCs w:val="0"/>
          <w:sz w:val="24"/>
        </w:rPr>
        <w:t>至提出疑问截止时间之前如未收到任何异议，将认为所有供应商已经认可该工程量清单，结算时工程量误差在</w:t>
      </w:r>
      <w:r>
        <w:rPr>
          <w:rStyle w:val="15"/>
          <w:rFonts w:ascii="宋体" w:hAnsi="宋体" w:cs="宋体"/>
          <w:b w:val="0"/>
          <w:bCs w:val="0"/>
          <w:sz w:val="24"/>
        </w:rPr>
        <w:t>5%</w:t>
      </w:r>
      <w:r>
        <w:rPr>
          <w:rStyle w:val="15"/>
          <w:rFonts w:hint="eastAsia" w:ascii="宋体" w:hAnsi="宋体" w:cs="宋体"/>
          <w:b w:val="0"/>
          <w:bCs w:val="0"/>
          <w:sz w:val="24"/>
        </w:rPr>
        <w:t>以内的项目不再调整，超过的部分予以调整，综合单价不变。措施项目费参考商务表措施项目表格竞报。本次磋商的工程量清单措施费为总价一次性包死费用，结算时不再调整。</w:t>
      </w:r>
      <w:bookmarkEnd w:id="222"/>
    </w:p>
    <w:p>
      <w:pPr>
        <w:spacing w:line="360" w:lineRule="auto"/>
        <w:ind w:firstLine="472" w:firstLineChars="196"/>
        <w:rPr>
          <w:rStyle w:val="15"/>
          <w:rFonts w:ascii="宋体" w:cs="宋体"/>
          <w:sz w:val="24"/>
        </w:rPr>
      </w:pPr>
      <w:r>
        <w:rPr>
          <w:rStyle w:val="15"/>
          <w:rFonts w:hint="eastAsia" w:ascii="宋体" w:hAnsi="宋体" w:cs="宋体"/>
          <w:sz w:val="24"/>
          <w:szCs w:val="22"/>
        </w:rPr>
        <w:t>本工程给排水接入口腔科地下管沟，强弱电需与医院大系统对接，报价中包含对接时管沟的打开与恢复、对接等费用。</w:t>
      </w:r>
    </w:p>
    <w:p>
      <w:pPr>
        <w:pStyle w:val="2"/>
        <w:spacing w:line="500" w:lineRule="exact"/>
        <w:jc w:val="center"/>
        <w:rPr>
          <w:rFonts w:ascii="宋体"/>
          <w:color w:val="FF0000"/>
        </w:rPr>
      </w:pPr>
    </w:p>
    <w:p>
      <w:pPr>
        <w:pStyle w:val="2"/>
        <w:spacing w:line="500" w:lineRule="exact"/>
        <w:jc w:val="center"/>
        <w:rPr>
          <w:rFonts w:ascii="宋体"/>
        </w:rPr>
      </w:pPr>
    </w:p>
    <w:p>
      <w:pPr>
        <w:pStyle w:val="2"/>
        <w:spacing w:line="500" w:lineRule="exact"/>
        <w:jc w:val="cente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pStyle w:val="2"/>
        <w:spacing w:line="500" w:lineRule="exact"/>
        <w:rPr>
          <w:rFonts w:ascii="宋体"/>
        </w:rPr>
      </w:pPr>
      <w:bookmarkStart w:id="223" w:name="_Toc5647"/>
      <w:r>
        <w:rPr>
          <w:rFonts w:hint="eastAsia" w:ascii="宋体" w:hAnsi="宋体"/>
        </w:rPr>
        <w:t>第六章图纸</w:t>
      </w:r>
      <w:bookmarkEnd w:id="223"/>
    </w:p>
    <w:p>
      <w:pPr>
        <w:rPr>
          <w:rFonts w:ascii="宋体"/>
          <w:sz w:val="28"/>
          <w:szCs w:val="28"/>
        </w:rPr>
      </w:pPr>
    </w:p>
    <w:p>
      <w:pPr>
        <w:rPr>
          <w:rFonts w:ascii="宋体"/>
        </w:rPr>
      </w:pPr>
      <w:r>
        <w:rPr>
          <w:rFonts w:ascii="宋体"/>
          <w:sz w:val="24"/>
        </w:rPr>
        <w:pict>
          <v:shape id="_x0000_i1025" o:spt="75" alt="数学楼停车位示意图" type="#_x0000_t75" style="height:6.75pt;width:9.75pt;" filled="f" o:preferrelative="t" stroked="f" coordsize="21600,21600">
            <v:path/>
            <v:fill on="f" focussize="0,0"/>
            <v:stroke on="f" joinstyle="miter"/>
            <v:imagedata r:id="rId6" o:title=""/>
            <o:lock v:ext="edit" aspectratio="t"/>
            <w10:wrap type="none"/>
            <w10:anchorlock/>
          </v:shape>
        </w:pict>
      </w:r>
    </w:p>
    <w:p>
      <w:pPr>
        <w:jc w:val="center"/>
        <w:rPr>
          <w:rFonts w:ascii="宋体"/>
          <w:color w:val="FF0000"/>
          <w:sz w:val="24"/>
        </w:rPr>
      </w:pPr>
      <w:r>
        <w:rPr>
          <w:rFonts w:hint="eastAsia" w:ascii="宋体" w:hAnsi="宋体"/>
          <w:sz w:val="36"/>
          <w:szCs w:val="44"/>
        </w:rPr>
        <w:t>另附</w:t>
      </w:r>
      <w:r>
        <w:rPr>
          <w:rFonts w:ascii="宋体"/>
          <w:color w:val="FF0000"/>
        </w:rPr>
        <w:br w:type="page"/>
      </w:r>
    </w:p>
    <w:p>
      <w:pPr>
        <w:pStyle w:val="2"/>
        <w:spacing w:line="500" w:lineRule="exact"/>
        <w:jc w:val="center"/>
        <w:rPr>
          <w:rFonts w:ascii="宋体"/>
          <w:sz w:val="48"/>
          <w:szCs w:val="48"/>
        </w:rPr>
      </w:pPr>
      <w:bookmarkStart w:id="224" w:name="_Toc14858"/>
      <w:bookmarkStart w:id="225" w:name="_Toc6148"/>
      <w:r>
        <w:rPr>
          <w:rFonts w:hint="eastAsia" w:ascii="宋体" w:hAnsi="宋体"/>
        </w:rPr>
        <w:t>第七章</w:t>
      </w:r>
      <w:bookmarkEnd w:id="224"/>
      <w:r>
        <w:rPr>
          <w:rFonts w:hint="eastAsia" w:ascii="宋体" w:hAnsi="宋体"/>
        </w:rPr>
        <w:t>技术标准和要求</w:t>
      </w:r>
      <w:bookmarkEnd w:id="225"/>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一、工程概况</w:t>
      </w:r>
    </w:p>
    <w:p>
      <w:pPr>
        <w:spacing w:line="360" w:lineRule="auto"/>
        <w:ind w:firstLine="470" w:firstLineChars="196"/>
        <w:rPr>
          <w:rStyle w:val="15"/>
          <w:rFonts w:ascii="宋体" w:cs="宋体"/>
          <w:b w:val="0"/>
          <w:bCs w:val="0"/>
          <w:color w:val="000000"/>
          <w:sz w:val="24"/>
          <w:szCs w:val="22"/>
        </w:rPr>
      </w:pPr>
      <w:r>
        <w:rPr>
          <w:rStyle w:val="15"/>
          <w:rFonts w:hint="eastAsia" w:ascii="宋体" w:hAnsi="宋体" w:cs="宋体"/>
          <w:b w:val="0"/>
          <w:bCs w:val="0"/>
          <w:color w:val="000000"/>
          <w:sz w:val="24"/>
          <w:szCs w:val="22"/>
        </w:rPr>
        <w:t>山东大学第二医院口腔科</w:t>
      </w:r>
      <w:r>
        <w:rPr>
          <w:rStyle w:val="15"/>
          <w:rFonts w:ascii="宋体" w:hAnsi="宋体" w:cs="宋体"/>
          <w:b w:val="0"/>
          <w:bCs w:val="0"/>
          <w:color w:val="000000"/>
          <w:sz w:val="24"/>
          <w:szCs w:val="22"/>
        </w:rPr>
        <w:t>CT</w:t>
      </w:r>
      <w:r>
        <w:rPr>
          <w:rStyle w:val="15"/>
          <w:rFonts w:hint="eastAsia" w:ascii="宋体" w:hAnsi="宋体" w:cs="宋体"/>
          <w:b w:val="0"/>
          <w:bCs w:val="0"/>
          <w:color w:val="000000"/>
          <w:sz w:val="24"/>
          <w:szCs w:val="22"/>
        </w:rPr>
        <w:t>、牙片机房配套改造工程，位于济南市天桥区北园大街</w:t>
      </w:r>
      <w:r>
        <w:rPr>
          <w:rStyle w:val="15"/>
          <w:rFonts w:ascii="宋体" w:hAnsi="宋体" w:cs="宋体"/>
          <w:b w:val="0"/>
          <w:bCs w:val="0"/>
          <w:color w:val="000000"/>
          <w:sz w:val="24"/>
          <w:szCs w:val="22"/>
        </w:rPr>
        <w:t>247</w:t>
      </w:r>
      <w:r>
        <w:rPr>
          <w:rStyle w:val="15"/>
          <w:rFonts w:hint="eastAsia" w:ascii="宋体" w:hAnsi="宋体" w:cs="宋体"/>
          <w:b w:val="0"/>
          <w:bCs w:val="0"/>
          <w:color w:val="000000"/>
          <w:sz w:val="24"/>
          <w:szCs w:val="22"/>
        </w:rPr>
        <w:t>号山东大学第二医院院内，为门诊楼五层</w:t>
      </w:r>
      <w:r>
        <w:rPr>
          <w:rStyle w:val="15"/>
          <w:rFonts w:ascii="宋体" w:hAnsi="宋体" w:cs="宋体"/>
          <w:b w:val="0"/>
          <w:bCs w:val="0"/>
          <w:color w:val="000000"/>
          <w:sz w:val="24"/>
          <w:szCs w:val="22"/>
        </w:rPr>
        <w:t>CT</w:t>
      </w:r>
      <w:r>
        <w:rPr>
          <w:rStyle w:val="15"/>
          <w:rFonts w:hint="eastAsia" w:ascii="宋体" w:hAnsi="宋体" w:cs="宋体"/>
          <w:b w:val="0"/>
          <w:bCs w:val="0"/>
          <w:color w:val="000000"/>
          <w:sz w:val="24"/>
          <w:szCs w:val="22"/>
        </w:rPr>
        <w:t>、牙片机房配套改造工程，面积约</w:t>
      </w:r>
      <w:r>
        <w:rPr>
          <w:rStyle w:val="15"/>
          <w:rFonts w:ascii="宋体" w:hAnsi="宋体" w:cs="宋体"/>
          <w:b w:val="0"/>
          <w:bCs w:val="0"/>
          <w:color w:val="000000"/>
          <w:sz w:val="24"/>
          <w:szCs w:val="22"/>
        </w:rPr>
        <w:t>50</w:t>
      </w:r>
      <w:r>
        <w:rPr>
          <w:rStyle w:val="15"/>
          <w:rFonts w:hint="eastAsia" w:ascii="宋体" w:hAnsi="宋体" w:cs="宋体"/>
          <w:b w:val="0"/>
          <w:bCs w:val="0"/>
          <w:color w:val="000000"/>
          <w:sz w:val="24"/>
          <w:szCs w:val="22"/>
        </w:rPr>
        <w:t>平米，工程主要内容有：拆除</w:t>
      </w:r>
      <w:r>
        <w:rPr>
          <w:rStyle w:val="15"/>
          <w:rFonts w:hint="eastAsia" w:ascii="宋体" w:hAnsi="宋体" w:cs="宋体"/>
          <w:b w:val="0"/>
          <w:bCs w:val="0"/>
          <w:sz w:val="24"/>
          <w:szCs w:val="22"/>
        </w:rPr>
        <w:t>及垃圾外运</w:t>
      </w:r>
      <w:r>
        <w:rPr>
          <w:rStyle w:val="15"/>
          <w:rFonts w:hint="eastAsia" w:ascii="宋体" w:hAnsi="宋体" w:cs="宋体"/>
          <w:b w:val="0"/>
          <w:bCs w:val="0"/>
          <w:color w:val="000000"/>
          <w:sz w:val="24"/>
          <w:szCs w:val="22"/>
        </w:rPr>
        <w:t>，装饰工程，安装工程，防护工程等。</w:t>
      </w:r>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二、技术要求</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w:t>
      </w:r>
      <w:r>
        <w:rPr>
          <w:rStyle w:val="15"/>
          <w:rFonts w:hint="eastAsia" w:ascii="宋体" w:hAnsi="宋体" w:cs="宋体"/>
          <w:b w:val="0"/>
          <w:bCs w:val="0"/>
          <w:color w:val="000000"/>
          <w:sz w:val="24"/>
          <w:szCs w:val="22"/>
        </w:rPr>
        <w:t>、拆除施工区域墙面瓷砖、装饰板、吊顶、暖气片、灯具，水处理设备位置移动到隔壁指定房间，考虑拆装费。</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2</w:t>
      </w:r>
      <w:r>
        <w:rPr>
          <w:rStyle w:val="15"/>
          <w:rFonts w:hint="eastAsia" w:ascii="宋体" w:hAnsi="宋体" w:cs="宋体"/>
          <w:b w:val="0"/>
          <w:bCs w:val="0"/>
          <w:color w:val="000000"/>
          <w:sz w:val="24"/>
          <w:szCs w:val="22"/>
        </w:rPr>
        <w:t>、拆除墙体一道，新建轻质隔墙三道，机房采用钡板防护，无防护要求的另一侧采用双层石膏板。</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3</w:t>
      </w:r>
      <w:r>
        <w:rPr>
          <w:rStyle w:val="15"/>
          <w:rFonts w:hint="eastAsia" w:ascii="宋体" w:hAnsi="宋体" w:cs="宋体"/>
          <w:b w:val="0"/>
          <w:bCs w:val="0"/>
          <w:color w:val="000000"/>
          <w:sz w:val="24"/>
          <w:szCs w:val="22"/>
        </w:rPr>
        <w:t>、走廊一侧设置三个洗手盆，其中一个为儿童用</w:t>
      </w:r>
      <w:r>
        <w:rPr>
          <w:rStyle w:val="15"/>
          <w:rFonts w:ascii="宋体" w:hAnsi="宋体" w:cs="宋体"/>
          <w:b w:val="0"/>
          <w:bCs w:val="0"/>
          <w:color w:val="000000"/>
          <w:sz w:val="24"/>
          <w:szCs w:val="22"/>
        </w:rPr>
        <w:t>;</w:t>
      </w:r>
      <w:r>
        <w:rPr>
          <w:rStyle w:val="15"/>
          <w:rFonts w:hint="eastAsia" w:ascii="宋体" w:hAnsi="宋体" w:cs="宋体"/>
          <w:b w:val="0"/>
          <w:bCs w:val="0"/>
          <w:color w:val="000000"/>
          <w:sz w:val="24"/>
          <w:szCs w:val="22"/>
        </w:rPr>
        <w:t>控制室设置洗手盆一个，洗手盆后设置防溅板。</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4</w:t>
      </w:r>
      <w:r>
        <w:rPr>
          <w:rStyle w:val="15"/>
          <w:rFonts w:hint="eastAsia" w:ascii="宋体" w:hAnsi="宋体" w:cs="宋体"/>
          <w:b w:val="0"/>
          <w:bCs w:val="0"/>
          <w:color w:val="000000"/>
          <w:sz w:val="24"/>
          <w:szCs w:val="22"/>
        </w:rPr>
        <w:t>、</w:t>
      </w:r>
      <w:r>
        <w:rPr>
          <w:rStyle w:val="15"/>
          <w:rFonts w:ascii="宋体" w:hAnsi="宋体" w:cs="宋体"/>
          <w:b w:val="0"/>
          <w:bCs w:val="0"/>
          <w:color w:val="000000"/>
          <w:sz w:val="24"/>
          <w:szCs w:val="22"/>
        </w:rPr>
        <w:t>CT</w:t>
      </w:r>
      <w:r>
        <w:rPr>
          <w:rStyle w:val="15"/>
          <w:rFonts w:hint="eastAsia" w:ascii="宋体" w:hAnsi="宋体" w:cs="宋体"/>
          <w:b w:val="0"/>
          <w:bCs w:val="0"/>
          <w:color w:val="000000"/>
          <w:sz w:val="24"/>
          <w:szCs w:val="22"/>
        </w:rPr>
        <w:t>机房、牙片机房地面采用</w:t>
      </w:r>
      <w:r>
        <w:rPr>
          <w:rStyle w:val="15"/>
          <w:rFonts w:ascii="宋体" w:hAnsi="宋体" w:cs="宋体"/>
          <w:b w:val="0"/>
          <w:bCs w:val="0"/>
          <w:color w:val="000000"/>
          <w:sz w:val="24"/>
          <w:szCs w:val="22"/>
        </w:rPr>
        <w:t>2mmpb</w:t>
      </w:r>
      <w:r>
        <w:rPr>
          <w:rStyle w:val="15"/>
          <w:rFonts w:hint="eastAsia" w:ascii="宋体" w:hAnsi="宋体" w:cs="宋体"/>
          <w:b w:val="0"/>
          <w:bCs w:val="0"/>
          <w:color w:val="000000"/>
          <w:sz w:val="24"/>
          <w:szCs w:val="22"/>
        </w:rPr>
        <w:t>硫酸钡砂防护。</w:t>
      </w:r>
      <w:r>
        <w:rPr>
          <w:rStyle w:val="15"/>
          <w:rFonts w:ascii="宋体" w:hAnsi="宋体" w:cs="宋体"/>
          <w:b w:val="0"/>
          <w:bCs w:val="0"/>
          <w:color w:val="000000"/>
          <w:sz w:val="24"/>
          <w:szCs w:val="22"/>
        </w:rPr>
        <w:t>CT</w:t>
      </w:r>
      <w:r>
        <w:rPr>
          <w:rStyle w:val="15"/>
          <w:rFonts w:hint="eastAsia" w:ascii="宋体" w:hAnsi="宋体" w:cs="宋体"/>
          <w:b w:val="0"/>
          <w:bCs w:val="0"/>
          <w:color w:val="000000"/>
          <w:sz w:val="24"/>
          <w:szCs w:val="22"/>
        </w:rPr>
        <w:t>机房内墙面砖墙部位采用</w:t>
      </w:r>
      <w:r>
        <w:rPr>
          <w:rStyle w:val="15"/>
          <w:rFonts w:ascii="宋体" w:hAnsi="宋体" w:cs="宋体"/>
          <w:b w:val="0"/>
          <w:bCs w:val="0"/>
          <w:color w:val="000000"/>
          <w:sz w:val="24"/>
          <w:szCs w:val="22"/>
        </w:rPr>
        <w:t>2mmpb</w:t>
      </w:r>
      <w:r>
        <w:rPr>
          <w:rStyle w:val="15"/>
          <w:rFonts w:hint="eastAsia" w:ascii="宋体" w:hAnsi="宋体" w:cs="宋体"/>
          <w:b w:val="0"/>
          <w:bCs w:val="0"/>
          <w:color w:val="000000"/>
          <w:sz w:val="24"/>
          <w:szCs w:val="22"/>
        </w:rPr>
        <w:t>硫酸钡砂防护，隔断内墙面采用</w:t>
      </w:r>
      <w:r>
        <w:rPr>
          <w:rStyle w:val="15"/>
          <w:rFonts w:ascii="宋体" w:hAnsi="宋体" w:cs="宋体"/>
          <w:b w:val="0"/>
          <w:bCs w:val="0"/>
          <w:color w:val="000000"/>
          <w:sz w:val="24"/>
          <w:szCs w:val="22"/>
        </w:rPr>
        <w:t>2mmpb</w:t>
      </w:r>
      <w:r>
        <w:rPr>
          <w:rStyle w:val="15"/>
          <w:rFonts w:hint="eastAsia" w:ascii="宋体" w:hAnsi="宋体" w:cs="宋体"/>
          <w:b w:val="0"/>
          <w:bCs w:val="0"/>
          <w:color w:val="000000"/>
          <w:sz w:val="24"/>
          <w:szCs w:val="22"/>
        </w:rPr>
        <w:t>硫酸钡板防护，硫酸钡板缝隙处贴同铅当量铅条。自动防护门、手动防护门和防护窗都为</w:t>
      </w:r>
      <w:r>
        <w:rPr>
          <w:rStyle w:val="15"/>
          <w:rFonts w:ascii="宋体" w:hAnsi="宋体" w:cs="宋体"/>
          <w:b w:val="0"/>
          <w:bCs w:val="0"/>
          <w:color w:val="000000"/>
          <w:sz w:val="24"/>
          <w:szCs w:val="22"/>
        </w:rPr>
        <w:t>3mmpb</w:t>
      </w:r>
      <w:r>
        <w:rPr>
          <w:rStyle w:val="15"/>
          <w:rFonts w:hint="eastAsia" w:ascii="宋体" w:hAnsi="宋体" w:cs="宋体"/>
          <w:b w:val="0"/>
          <w:bCs w:val="0"/>
          <w:color w:val="000000"/>
          <w:sz w:val="24"/>
          <w:szCs w:val="22"/>
        </w:rPr>
        <w:t>防护，尺寸及位置详见图纸，自动门门机品牌不低于欧尼克，要求控制室增加控制自动门开关装置。</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5</w:t>
      </w:r>
      <w:r>
        <w:rPr>
          <w:rStyle w:val="15"/>
          <w:rFonts w:hint="eastAsia" w:ascii="宋体" w:hAnsi="宋体" w:cs="宋体"/>
          <w:b w:val="0"/>
          <w:bCs w:val="0"/>
          <w:color w:val="000000"/>
          <w:sz w:val="24"/>
          <w:szCs w:val="22"/>
        </w:rPr>
        <w:t>、墙体为乳胶漆饰面，吊顶采用轻钢龙骨</w:t>
      </w:r>
      <w:r>
        <w:rPr>
          <w:rStyle w:val="15"/>
          <w:rFonts w:ascii="宋体" w:hAnsi="宋体" w:cs="宋体"/>
          <w:b w:val="0"/>
          <w:bCs w:val="0"/>
          <w:color w:val="000000"/>
          <w:sz w:val="24"/>
          <w:szCs w:val="22"/>
        </w:rPr>
        <w:t>+</w:t>
      </w:r>
      <w:r>
        <w:rPr>
          <w:rStyle w:val="15"/>
          <w:rFonts w:hint="eastAsia" w:ascii="宋体" w:hAnsi="宋体" w:cs="宋体"/>
          <w:b w:val="0"/>
          <w:bCs w:val="0"/>
          <w:color w:val="000000"/>
          <w:sz w:val="24"/>
          <w:szCs w:val="22"/>
        </w:rPr>
        <w:t>硅钙板</w:t>
      </w:r>
      <w:r>
        <w:rPr>
          <w:rStyle w:val="15"/>
          <w:rFonts w:ascii="宋体" w:cs="宋体"/>
          <w:b w:val="0"/>
          <w:bCs w:val="0"/>
          <w:color w:val="000000"/>
          <w:sz w:val="24"/>
          <w:szCs w:val="22"/>
        </w:rPr>
        <w:t>,</w:t>
      </w:r>
      <w:r>
        <w:rPr>
          <w:rStyle w:val="15"/>
          <w:rFonts w:hint="eastAsia" w:ascii="宋体" w:hAnsi="宋体" w:cs="宋体"/>
          <w:b w:val="0"/>
          <w:bCs w:val="0"/>
          <w:color w:val="000000"/>
          <w:sz w:val="24"/>
          <w:szCs w:val="22"/>
        </w:rPr>
        <w:t>地面采用同质透心</w:t>
      </w:r>
      <w:r>
        <w:rPr>
          <w:rStyle w:val="15"/>
          <w:rFonts w:ascii="宋体" w:hAnsi="宋体" w:cs="宋体"/>
          <w:b w:val="0"/>
          <w:bCs w:val="0"/>
          <w:color w:val="000000"/>
          <w:sz w:val="24"/>
          <w:szCs w:val="22"/>
        </w:rPr>
        <w:t>T</w:t>
      </w:r>
      <w:r>
        <w:rPr>
          <w:rStyle w:val="15"/>
          <w:rFonts w:hint="eastAsia" w:ascii="宋体" w:hAnsi="宋体" w:cs="宋体"/>
          <w:b w:val="0"/>
          <w:bCs w:val="0"/>
          <w:color w:val="000000"/>
          <w:sz w:val="24"/>
          <w:szCs w:val="22"/>
        </w:rPr>
        <w:t>级</w:t>
      </w:r>
      <w:r>
        <w:rPr>
          <w:rStyle w:val="15"/>
          <w:rFonts w:ascii="宋体" w:hAnsi="宋体" w:cs="宋体"/>
          <w:b w:val="0"/>
          <w:bCs w:val="0"/>
          <w:color w:val="000000"/>
          <w:sz w:val="24"/>
          <w:szCs w:val="22"/>
        </w:rPr>
        <w:t>PVC</w:t>
      </w:r>
      <w:r>
        <w:rPr>
          <w:rStyle w:val="15"/>
          <w:rFonts w:hint="eastAsia" w:ascii="宋体" w:hAnsi="宋体" w:cs="宋体"/>
          <w:b w:val="0"/>
          <w:bCs w:val="0"/>
          <w:color w:val="000000"/>
          <w:sz w:val="24"/>
          <w:szCs w:val="22"/>
        </w:rPr>
        <w:t>地面。</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6</w:t>
      </w:r>
      <w:r>
        <w:rPr>
          <w:rStyle w:val="15"/>
          <w:rFonts w:hint="eastAsia" w:ascii="宋体" w:hAnsi="宋体" w:cs="宋体"/>
          <w:b w:val="0"/>
          <w:bCs w:val="0"/>
          <w:color w:val="000000"/>
          <w:sz w:val="24"/>
          <w:szCs w:val="22"/>
        </w:rPr>
        <w:t>、电线电缆规格以清单为准，采用国内知名品牌；开关插座采用国内外知名品牌。</w:t>
      </w:r>
    </w:p>
    <w:p>
      <w:pPr>
        <w:spacing w:line="360" w:lineRule="auto"/>
        <w:ind w:firstLine="470" w:firstLineChars="196"/>
        <w:rPr>
          <w:rStyle w:val="15"/>
          <w:rFonts w:ascii="宋体" w:cs="宋体"/>
          <w:b w:val="0"/>
          <w:bCs w:val="0"/>
          <w:sz w:val="24"/>
          <w:szCs w:val="22"/>
        </w:rPr>
      </w:pPr>
      <w:r>
        <w:rPr>
          <w:rStyle w:val="15"/>
          <w:rFonts w:ascii="宋体" w:hAnsi="宋体" w:cs="宋体"/>
          <w:b w:val="0"/>
          <w:bCs w:val="0"/>
          <w:color w:val="000000"/>
          <w:sz w:val="24"/>
          <w:szCs w:val="22"/>
        </w:rPr>
        <w:t>7</w:t>
      </w:r>
      <w:r>
        <w:rPr>
          <w:rStyle w:val="15"/>
          <w:rFonts w:hint="eastAsia" w:ascii="宋体" w:hAnsi="宋体" w:cs="宋体"/>
          <w:b w:val="0"/>
          <w:bCs w:val="0"/>
          <w:color w:val="000000"/>
          <w:sz w:val="24"/>
          <w:szCs w:val="22"/>
        </w:rPr>
        <w:t>、给排水接入口腔科地下管沟，强弱电需与医院大系统对接，</w:t>
      </w:r>
      <w:r>
        <w:rPr>
          <w:rStyle w:val="15"/>
          <w:rFonts w:hint="eastAsia" w:ascii="宋体" w:hAnsi="宋体" w:cs="宋体"/>
          <w:b w:val="0"/>
          <w:bCs w:val="0"/>
          <w:sz w:val="24"/>
          <w:szCs w:val="22"/>
        </w:rPr>
        <w:t>报价中包含对接时管沟的打开与恢复、对接等费用。</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8</w:t>
      </w:r>
      <w:r>
        <w:rPr>
          <w:rStyle w:val="15"/>
          <w:rFonts w:hint="eastAsia" w:ascii="宋体" w:hAnsi="宋体" w:cs="宋体"/>
          <w:b w:val="0"/>
          <w:bCs w:val="0"/>
          <w:color w:val="000000"/>
          <w:sz w:val="24"/>
          <w:szCs w:val="22"/>
        </w:rPr>
        <w:t>、投标单位应列出各种材料设备的品牌。</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9</w:t>
      </w:r>
      <w:r>
        <w:rPr>
          <w:rStyle w:val="15"/>
          <w:rFonts w:hint="eastAsia" w:ascii="宋体" w:hAnsi="宋体" w:cs="宋体"/>
          <w:b w:val="0"/>
          <w:bCs w:val="0"/>
          <w:color w:val="000000"/>
          <w:sz w:val="24"/>
          <w:szCs w:val="22"/>
        </w:rPr>
        <w:t>、机房及控制室按规范要求设置烟感报警，但不设置喷淋系统。</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10</w:t>
      </w:r>
      <w:r>
        <w:rPr>
          <w:rStyle w:val="15"/>
          <w:rFonts w:hint="eastAsia" w:ascii="宋体" w:hAnsi="宋体" w:cs="宋体"/>
          <w:b w:val="0"/>
          <w:bCs w:val="0"/>
          <w:color w:val="000000"/>
          <w:sz w:val="24"/>
          <w:szCs w:val="22"/>
        </w:rPr>
        <w:t>、施工作业人员施工前，必须充分了解周围环境、施工图纸和设计说明以及有关资料，做好安全施工、文明施工。</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11</w:t>
      </w:r>
      <w:r>
        <w:rPr>
          <w:rStyle w:val="15"/>
          <w:rFonts w:hint="eastAsia" w:ascii="宋体" w:hAnsi="宋体" w:cs="宋体"/>
          <w:b w:val="0"/>
          <w:bCs w:val="0"/>
          <w:color w:val="000000"/>
          <w:sz w:val="24"/>
          <w:szCs w:val="22"/>
        </w:rPr>
        <w:t>、因施工场地位于门诊楼，为不影响科室正常运行，以夜间施工为主；施工单位应自行踏勘现场，报价中充分考虑周边条件的制约，采取必要的施工措施产生的费用。</w:t>
      </w:r>
    </w:p>
    <w:p>
      <w:pPr>
        <w:spacing w:line="360" w:lineRule="auto"/>
        <w:ind w:firstLine="470" w:firstLineChars="196"/>
        <w:rPr>
          <w:rStyle w:val="15"/>
          <w:rFonts w:ascii="宋体" w:cs="宋体"/>
          <w:b w:val="0"/>
          <w:bCs w:val="0"/>
          <w:color w:val="000000" w:themeColor="text1"/>
          <w:sz w:val="24"/>
          <w:szCs w:val="22"/>
        </w:rPr>
      </w:pPr>
      <w:r>
        <w:rPr>
          <w:rStyle w:val="15"/>
          <w:rFonts w:ascii="宋体" w:hAnsi="宋体" w:cs="宋体"/>
          <w:b w:val="0"/>
          <w:bCs w:val="0"/>
          <w:color w:val="000000" w:themeColor="text1"/>
          <w:sz w:val="24"/>
          <w:szCs w:val="22"/>
        </w:rPr>
        <w:t>12</w:t>
      </w:r>
      <w:r>
        <w:rPr>
          <w:rStyle w:val="15"/>
          <w:rFonts w:hint="eastAsia" w:ascii="宋体" w:hAnsi="宋体" w:cs="宋体"/>
          <w:b w:val="0"/>
          <w:bCs w:val="0"/>
          <w:color w:val="000000" w:themeColor="text1"/>
          <w:sz w:val="24"/>
          <w:szCs w:val="22"/>
        </w:rPr>
        <w:t>、本工程磋商控制价为</w:t>
      </w:r>
      <w:r>
        <w:rPr>
          <w:rStyle w:val="15"/>
          <w:rFonts w:ascii="宋体" w:hAnsi="宋体" w:cs="宋体"/>
          <w:b w:val="0"/>
          <w:bCs w:val="0"/>
          <w:color w:val="000000" w:themeColor="text1"/>
          <w:sz w:val="24"/>
          <w:szCs w:val="22"/>
        </w:rPr>
        <w:t>27.078908</w:t>
      </w:r>
      <w:r>
        <w:rPr>
          <w:rStyle w:val="15"/>
          <w:rFonts w:hint="eastAsia" w:ascii="宋体" w:hAnsi="宋体" w:cs="宋体"/>
          <w:b w:val="0"/>
          <w:bCs w:val="0"/>
          <w:color w:val="000000" w:themeColor="text1"/>
          <w:sz w:val="24"/>
          <w:szCs w:val="22"/>
        </w:rPr>
        <w:t>万元。</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13</w:t>
      </w:r>
      <w:r>
        <w:rPr>
          <w:rStyle w:val="15"/>
          <w:rFonts w:hint="eastAsia" w:ascii="宋体" w:hAnsi="宋体" w:cs="宋体"/>
          <w:b w:val="0"/>
          <w:bCs w:val="0"/>
          <w:color w:val="000000"/>
          <w:sz w:val="24"/>
          <w:szCs w:val="22"/>
        </w:rPr>
        <w:t>、施工时产生的垃圾及时清运，避免影响科室正常工作。</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14</w:t>
      </w:r>
      <w:r>
        <w:rPr>
          <w:rStyle w:val="15"/>
          <w:rFonts w:hint="eastAsia" w:ascii="宋体" w:hAnsi="宋体" w:cs="宋体"/>
          <w:b w:val="0"/>
          <w:bCs w:val="0"/>
          <w:color w:val="000000"/>
          <w:sz w:val="24"/>
          <w:szCs w:val="22"/>
        </w:rPr>
        <w:t>、未尽事宜执行现行的国家标准，规范，操作规程。</w:t>
      </w:r>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三、资质要求</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1</w:t>
      </w:r>
      <w:r>
        <w:rPr>
          <w:rStyle w:val="15"/>
          <w:rFonts w:hint="eastAsia" w:ascii="宋体" w:hAnsi="宋体" w:cs="宋体"/>
          <w:b w:val="0"/>
          <w:bCs w:val="0"/>
          <w:color w:val="000000"/>
          <w:sz w:val="24"/>
          <w:szCs w:val="22"/>
        </w:rPr>
        <w:t>、在中华人民共和国境内注册，具有独立法人资格；</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2</w:t>
      </w:r>
      <w:r>
        <w:rPr>
          <w:rStyle w:val="15"/>
          <w:rFonts w:hint="eastAsia" w:ascii="宋体" w:hAnsi="宋体" w:cs="宋体"/>
          <w:b w:val="0"/>
          <w:bCs w:val="0"/>
          <w:color w:val="000000"/>
          <w:sz w:val="24"/>
          <w:szCs w:val="22"/>
        </w:rPr>
        <w:t>、具有机电设备安装叁级及以上资质、装饰装修专业叁级及以上资质；经营范围内包含放射防护工程施工等类似内容；提供建设行政主管部分颁发的安全生产许可证；</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3</w:t>
      </w:r>
      <w:r>
        <w:rPr>
          <w:rStyle w:val="15"/>
          <w:rFonts w:hint="eastAsia" w:ascii="宋体" w:hAnsi="宋体" w:cs="宋体"/>
          <w:b w:val="0"/>
          <w:bCs w:val="0"/>
          <w:color w:val="000000"/>
          <w:sz w:val="24"/>
          <w:szCs w:val="22"/>
        </w:rPr>
        <w:t>、具有中国疾病预防控制中心辐射防护与核安全医学所出具的铅板、铅玻璃板、防护涂料板合格检测报告。</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4</w:t>
      </w:r>
      <w:r>
        <w:rPr>
          <w:rStyle w:val="15"/>
          <w:rFonts w:hint="eastAsia" w:ascii="宋体" w:hAnsi="宋体" w:cs="宋体"/>
          <w:b w:val="0"/>
          <w:bCs w:val="0"/>
          <w:color w:val="000000"/>
          <w:sz w:val="24"/>
          <w:szCs w:val="22"/>
        </w:rPr>
        <w:t>、拟派本项目的项目经理需在本单位注册具有贰级及以上建筑工程或机电安装专业建造师资格；</w:t>
      </w:r>
      <w:r>
        <w:rPr>
          <w:rStyle w:val="15"/>
          <w:rFonts w:ascii="宋体" w:cs="宋体"/>
          <w:b w:val="0"/>
          <w:bCs w:val="0"/>
          <w:color w:val="000000"/>
          <w:sz w:val="24"/>
          <w:szCs w:val="22"/>
        </w:rPr>
        <w:t> </w:t>
      </w:r>
      <w:r>
        <w:rPr>
          <w:rStyle w:val="15"/>
          <w:rFonts w:hint="eastAsia" w:ascii="宋体" w:hAnsi="宋体" w:cs="宋体"/>
          <w:b w:val="0"/>
          <w:bCs w:val="0"/>
          <w:color w:val="000000"/>
          <w:sz w:val="24"/>
          <w:szCs w:val="22"/>
        </w:rPr>
        <w:t>（提供经人社部门认定盖章的劳动合同或社会养老保险证明）</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5</w:t>
      </w:r>
      <w:r>
        <w:rPr>
          <w:rStyle w:val="15"/>
          <w:rFonts w:hint="eastAsia" w:ascii="宋体" w:hAnsi="宋体" w:cs="宋体"/>
          <w:b w:val="0"/>
          <w:bCs w:val="0"/>
          <w:color w:val="000000"/>
          <w:sz w:val="24"/>
          <w:szCs w:val="22"/>
        </w:rPr>
        <w:t>、本项目接受联合体投标</w:t>
      </w:r>
      <w:r>
        <w:rPr>
          <w:rStyle w:val="15"/>
          <w:rFonts w:ascii="宋体" w:cs="宋体"/>
          <w:b w:val="0"/>
          <w:bCs w:val="0"/>
          <w:color w:val="000000"/>
          <w:sz w:val="24"/>
          <w:szCs w:val="22"/>
        </w:rPr>
        <w:t>.</w:t>
      </w:r>
    </w:p>
    <w:p>
      <w:pPr>
        <w:spacing w:line="360" w:lineRule="auto"/>
        <w:ind w:firstLine="480" w:firstLineChars="200"/>
        <w:rPr>
          <w:rStyle w:val="15"/>
          <w:rFonts w:ascii="宋体" w:cs="宋体"/>
          <w:b w:val="0"/>
          <w:bCs w:val="0"/>
          <w:color w:val="000000"/>
          <w:sz w:val="24"/>
          <w:szCs w:val="22"/>
        </w:rPr>
      </w:pPr>
      <w:r>
        <w:rPr>
          <w:rStyle w:val="15"/>
          <w:rFonts w:ascii="宋体" w:hAnsi="宋体" w:cs="宋体"/>
          <w:b w:val="0"/>
          <w:bCs w:val="0"/>
          <w:color w:val="000000"/>
          <w:sz w:val="24"/>
          <w:szCs w:val="22"/>
        </w:rPr>
        <w:t>6</w:t>
      </w:r>
      <w:r>
        <w:rPr>
          <w:rStyle w:val="15"/>
          <w:rFonts w:hint="eastAsia" w:ascii="宋体" w:hAnsi="宋体" w:cs="宋体"/>
          <w:b w:val="0"/>
          <w:bCs w:val="0"/>
          <w:color w:val="000000"/>
          <w:sz w:val="24"/>
          <w:szCs w:val="22"/>
        </w:rPr>
        <w:t>、近</w:t>
      </w:r>
      <w:r>
        <w:rPr>
          <w:rStyle w:val="15"/>
          <w:rFonts w:ascii="宋体" w:hAnsi="宋体" w:cs="宋体"/>
          <w:b w:val="0"/>
          <w:bCs w:val="0"/>
          <w:color w:val="000000"/>
          <w:sz w:val="24"/>
          <w:szCs w:val="22"/>
        </w:rPr>
        <w:t>3</w:t>
      </w:r>
      <w:r>
        <w:rPr>
          <w:rStyle w:val="15"/>
          <w:rFonts w:hint="eastAsia" w:ascii="宋体" w:hAnsi="宋体" w:cs="宋体"/>
          <w:b w:val="0"/>
          <w:bCs w:val="0"/>
          <w:color w:val="000000"/>
          <w:sz w:val="24"/>
          <w:szCs w:val="22"/>
        </w:rPr>
        <w:t>年内完成及正在履行的同类项目公司业绩。</w:t>
      </w:r>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四、工期要求</w:t>
      </w:r>
    </w:p>
    <w:p>
      <w:pPr>
        <w:spacing w:line="360" w:lineRule="auto"/>
        <w:ind w:firstLine="470" w:firstLineChars="196"/>
        <w:rPr>
          <w:rStyle w:val="15"/>
          <w:rFonts w:ascii="宋体" w:cs="宋体"/>
          <w:b w:val="0"/>
          <w:bCs w:val="0"/>
          <w:color w:val="000000"/>
          <w:sz w:val="24"/>
          <w:szCs w:val="22"/>
        </w:rPr>
      </w:pPr>
      <w:r>
        <w:rPr>
          <w:rStyle w:val="15"/>
          <w:rFonts w:ascii="宋体" w:hAnsi="宋体" w:cs="宋体"/>
          <w:b w:val="0"/>
          <w:bCs w:val="0"/>
          <w:color w:val="000000"/>
          <w:sz w:val="24"/>
          <w:szCs w:val="22"/>
        </w:rPr>
        <w:t xml:space="preserve">    50</w:t>
      </w:r>
      <w:r>
        <w:rPr>
          <w:rStyle w:val="15"/>
          <w:rFonts w:hint="eastAsia" w:ascii="宋体" w:hAnsi="宋体" w:cs="宋体"/>
          <w:b w:val="0"/>
          <w:bCs w:val="0"/>
          <w:color w:val="000000"/>
          <w:sz w:val="24"/>
          <w:szCs w:val="22"/>
        </w:rPr>
        <w:t>天（供应商可竞报）</w:t>
      </w:r>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五、质量要求</w:t>
      </w:r>
    </w:p>
    <w:p>
      <w:pPr>
        <w:spacing w:line="360" w:lineRule="auto"/>
        <w:ind w:firstLine="470" w:firstLineChars="196"/>
        <w:rPr>
          <w:rStyle w:val="15"/>
          <w:rFonts w:ascii="宋体" w:cs="宋体"/>
          <w:b w:val="0"/>
          <w:bCs w:val="0"/>
          <w:color w:val="000000"/>
          <w:sz w:val="24"/>
          <w:szCs w:val="22"/>
        </w:rPr>
      </w:pPr>
      <w:r>
        <w:rPr>
          <w:rStyle w:val="15"/>
          <w:rFonts w:hint="eastAsia" w:ascii="宋体" w:hAnsi="宋体" w:cs="宋体"/>
          <w:b w:val="0"/>
          <w:bCs w:val="0"/>
          <w:color w:val="000000"/>
          <w:sz w:val="24"/>
          <w:szCs w:val="22"/>
        </w:rPr>
        <w:t>合格，通过有关部门验收。</w:t>
      </w:r>
    </w:p>
    <w:p>
      <w:pPr>
        <w:spacing w:line="360" w:lineRule="auto"/>
        <w:ind w:firstLine="472" w:firstLineChars="196"/>
        <w:rPr>
          <w:rStyle w:val="15"/>
          <w:rFonts w:ascii="宋体" w:cs="宋体"/>
          <w:color w:val="000000"/>
          <w:sz w:val="24"/>
          <w:szCs w:val="22"/>
        </w:rPr>
      </w:pPr>
      <w:r>
        <w:rPr>
          <w:rStyle w:val="15"/>
          <w:rFonts w:hint="eastAsia" w:ascii="宋体" w:hAnsi="宋体" w:cs="宋体"/>
          <w:color w:val="000000"/>
          <w:sz w:val="24"/>
          <w:szCs w:val="22"/>
        </w:rPr>
        <w:t>六、付款方式</w:t>
      </w:r>
    </w:p>
    <w:p>
      <w:pPr>
        <w:spacing w:line="360" w:lineRule="auto"/>
        <w:ind w:firstLine="413" w:firstLineChars="147"/>
        <w:rPr>
          <w:rFonts w:ascii="仿宋" w:hAnsi="仿宋" w:eastAsia="仿宋" w:cs="仿宋"/>
          <w:b/>
          <w:sz w:val="28"/>
          <w:szCs w:val="28"/>
        </w:rPr>
      </w:pPr>
      <w:r>
        <w:rPr>
          <w:rFonts w:hint="eastAsia" w:ascii="仿宋" w:hAnsi="仿宋" w:eastAsia="仿宋" w:cs="仿宋"/>
          <w:b/>
          <w:sz w:val="28"/>
          <w:szCs w:val="28"/>
        </w:rPr>
        <w:t>每月按审计后的工程进度金额的</w:t>
      </w:r>
      <w:r>
        <w:rPr>
          <w:rFonts w:ascii="仿宋" w:hAnsi="仿宋" w:eastAsia="仿宋" w:cs="仿宋"/>
          <w:b/>
          <w:sz w:val="28"/>
          <w:szCs w:val="28"/>
        </w:rPr>
        <w:t>70%</w:t>
      </w:r>
      <w:r>
        <w:rPr>
          <w:rFonts w:hint="eastAsia" w:ascii="仿宋" w:hAnsi="仿宋" w:eastAsia="仿宋" w:cs="仿宋"/>
          <w:b/>
          <w:sz w:val="28"/>
          <w:szCs w:val="28"/>
        </w:rPr>
        <w:t>支付工程形象进度款，工程竣工审计完成付至审计结算金额的</w:t>
      </w:r>
      <w:r>
        <w:rPr>
          <w:rFonts w:ascii="仿宋" w:hAnsi="仿宋" w:eastAsia="仿宋" w:cs="仿宋"/>
          <w:b/>
          <w:sz w:val="28"/>
          <w:szCs w:val="28"/>
        </w:rPr>
        <w:t>90%</w:t>
      </w:r>
      <w:r>
        <w:rPr>
          <w:rFonts w:hint="eastAsia" w:ascii="仿宋" w:hAnsi="仿宋" w:eastAsia="仿宋" w:cs="仿宋"/>
          <w:b/>
          <w:sz w:val="28"/>
          <w:szCs w:val="28"/>
        </w:rPr>
        <w:t>，余</w:t>
      </w:r>
      <w:r>
        <w:rPr>
          <w:rFonts w:ascii="仿宋" w:hAnsi="仿宋" w:eastAsia="仿宋" w:cs="仿宋"/>
          <w:b/>
          <w:sz w:val="28"/>
          <w:szCs w:val="28"/>
        </w:rPr>
        <w:t>5%</w:t>
      </w:r>
      <w:r>
        <w:rPr>
          <w:rFonts w:hint="eastAsia" w:ascii="仿宋" w:hAnsi="仿宋" w:eastAsia="仿宋" w:cs="仿宋"/>
          <w:b/>
          <w:sz w:val="28"/>
          <w:szCs w:val="28"/>
        </w:rPr>
        <w:t>档案保证金，档案移交合格后支付，余</w:t>
      </w:r>
      <w:r>
        <w:rPr>
          <w:rFonts w:ascii="仿宋" w:hAnsi="仿宋" w:eastAsia="仿宋" w:cs="仿宋"/>
          <w:b/>
          <w:sz w:val="28"/>
          <w:szCs w:val="28"/>
        </w:rPr>
        <w:t>5%</w:t>
      </w:r>
      <w:r>
        <w:rPr>
          <w:rFonts w:hint="eastAsia" w:ascii="仿宋" w:hAnsi="仿宋" w:eastAsia="仿宋" w:cs="仿宋"/>
          <w:b/>
          <w:sz w:val="28"/>
          <w:szCs w:val="28"/>
        </w:rPr>
        <w:t>质保金，质保期满无质量问题无息支付。</w:t>
      </w:r>
    </w:p>
    <w:p>
      <w:pPr>
        <w:spacing w:line="360" w:lineRule="auto"/>
        <w:ind w:firstLine="470" w:firstLineChars="196"/>
        <w:rPr>
          <w:rStyle w:val="15"/>
          <w:rFonts w:ascii="宋体" w:cs="宋体"/>
          <w:b w:val="0"/>
          <w:bCs w:val="0"/>
          <w:sz w:val="24"/>
          <w:szCs w:val="22"/>
        </w:rPr>
      </w:pPr>
    </w:p>
    <w:p>
      <w:pPr>
        <w:adjustRightInd w:val="0"/>
        <w:spacing w:line="360" w:lineRule="auto"/>
        <w:rPr>
          <w:rFonts w:ascii="宋体"/>
          <w:sz w:val="24"/>
        </w:rPr>
      </w:pPr>
    </w:p>
    <w:p>
      <w:pPr>
        <w:rPr>
          <w:rFonts w:ascii="宋体"/>
          <w:sz w:val="24"/>
          <w:highlight w:val="red"/>
        </w:rPr>
      </w:pPr>
      <w:r>
        <w:rPr>
          <w:rFonts w:ascii="宋体"/>
          <w:sz w:val="24"/>
          <w:highlight w:val="red"/>
        </w:rPr>
        <w:br w:type="page"/>
      </w:r>
    </w:p>
    <w:p>
      <w:pPr>
        <w:pStyle w:val="2"/>
        <w:spacing w:line="500" w:lineRule="exact"/>
        <w:jc w:val="center"/>
        <w:rPr>
          <w:rFonts w:ascii="宋体"/>
        </w:rPr>
      </w:pPr>
      <w:bookmarkStart w:id="226" w:name="_Toc16285"/>
      <w:bookmarkStart w:id="227" w:name="_Toc1402"/>
      <w:r>
        <w:rPr>
          <w:rFonts w:hint="eastAsia" w:ascii="宋体" w:hAnsi="宋体"/>
        </w:rPr>
        <w:t>第八章</w:t>
      </w:r>
      <w:r>
        <w:rPr>
          <w:rFonts w:ascii="宋体"/>
        </w:rPr>
        <w:tab/>
      </w:r>
      <w:r>
        <w:rPr>
          <w:rFonts w:hint="eastAsia" w:ascii="宋体" w:hAnsi="宋体"/>
        </w:rPr>
        <w:t>响应文件格式</w:t>
      </w:r>
      <w:bookmarkEnd w:id="226"/>
      <w:bookmarkEnd w:id="227"/>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spacing w:line="360" w:lineRule="auto"/>
        <w:jc w:val="center"/>
        <w:rPr>
          <w:rFonts w:ascii="宋体"/>
          <w:b/>
          <w:color w:val="FF0000"/>
          <w:sz w:val="32"/>
          <w:szCs w:val="32"/>
        </w:rPr>
      </w:pPr>
      <w:r>
        <w:rPr>
          <w:rFonts w:hint="eastAsia" w:ascii="宋体" w:hAnsi="宋体"/>
          <w:b/>
          <w:sz w:val="32"/>
          <w:szCs w:val="32"/>
        </w:rPr>
        <w:t>（项目名称）</w:t>
      </w:r>
    </w:p>
    <w:p>
      <w:pPr>
        <w:spacing w:line="360" w:lineRule="auto"/>
        <w:ind w:firstLine="420" w:firstLineChars="200"/>
        <w:rPr>
          <w:rFonts w:ascii="宋体"/>
          <w:szCs w:val="21"/>
        </w:rPr>
      </w:pPr>
    </w:p>
    <w:p>
      <w:pPr>
        <w:spacing w:line="360" w:lineRule="auto"/>
        <w:ind w:firstLine="420" w:firstLineChars="200"/>
        <w:rPr>
          <w:rFonts w:ascii="宋体"/>
          <w:szCs w:val="21"/>
        </w:rPr>
      </w:pPr>
    </w:p>
    <w:p>
      <w:pPr>
        <w:spacing w:line="360" w:lineRule="auto"/>
        <w:rPr>
          <w:rFonts w:ascii="宋体"/>
          <w:b/>
          <w:sz w:val="52"/>
          <w:szCs w:val="52"/>
        </w:rPr>
      </w:pPr>
    </w:p>
    <w:p>
      <w:pPr>
        <w:spacing w:line="360" w:lineRule="auto"/>
        <w:jc w:val="center"/>
        <w:rPr>
          <w:rFonts w:ascii="宋体"/>
          <w:b/>
          <w:sz w:val="72"/>
          <w:szCs w:val="72"/>
        </w:rPr>
      </w:pPr>
      <w:r>
        <w:rPr>
          <w:rFonts w:hint="eastAsia" w:ascii="宋体" w:hAnsi="宋体"/>
          <w:b/>
          <w:sz w:val="72"/>
          <w:szCs w:val="72"/>
        </w:rPr>
        <w:t>响应文件</w:t>
      </w: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p>
    <w:p>
      <w:pPr>
        <w:spacing w:line="360" w:lineRule="auto"/>
        <w:ind w:firstLine="2409" w:firstLineChars="750"/>
        <w:rPr>
          <w:rFonts w:ascii="宋体"/>
          <w:b/>
          <w:sz w:val="32"/>
          <w:szCs w:val="32"/>
        </w:rPr>
      </w:pPr>
      <w:r>
        <w:rPr>
          <w:rFonts w:hint="eastAsia" w:ascii="宋体" w:hAnsi="宋体"/>
          <w:b/>
          <w:sz w:val="32"/>
          <w:szCs w:val="32"/>
        </w:rPr>
        <w:t>供应商：（盖单位章）</w:t>
      </w:r>
    </w:p>
    <w:p>
      <w:pPr>
        <w:spacing w:line="360" w:lineRule="auto"/>
        <w:ind w:firstLine="2570" w:firstLineChars="800"/>
        <w:rPr>
          <w:rFonts w:ascii="宋体"/>
          <w:b/>
          <w:sz w:val="32"/>
          <w:szCs w:val="32"/>
        </w:rPr>
      </w:pPr>
      <w:r>
        <w:rPr>
          <w:rFonts w:hint="eastAsia" w:ascii="宋体" w:hAnsi="宋体"/>
          <w:b/>
          <w:sz w:val="32"/>
          <w:szCs w:val="32"/>
        </w:rPr>
        <w:t>年月日</w:t>
      </w:r>
    </w:p>
    <w:p>
      <w:pPr>
        <w:rPr>
          <w:rFonts w:ascii="宋体"/>
          <w:b/>
          <w:sz w:val="44"/>
          <w:szCs w:val="44"/>
        </w:rPr>
      </w:pPr>
    </w:p>
    <w:p>
      <w:pPr>
        <w:jc w:val="center"/>
        <w:rPr>
          <w:rFonts w:ascii="宋体"/>
          <w:b/>
          <w:sz w:val="44"/>
          <w:szCs w:val="44"/>
        </w:rPr>
      </w:pPr>
    </w:p>
    <w:p>
      <w:pPr>
        <w:jc w:val="center"/>
        <w:rPr>
          <w:rFonts w:ascii="宋体"/>
          <w:b/>
          <w:sz w:val="44"/>
          <w:szCs w:val="44"/>
        </w:rPr>
      </w:pPr>
    </w:p>
    <w:p>
      <w:pPr>
        <w:jc w:val="center"/>
        <w:rPr>
          <w:rFonts w:ascii="宋体"/>
          <w:b/>
          <w:sz w:val="44"/>
          <w:szCs w:val="44"/>
        </w:rPr>
      </w:pPr>
    </w:p>
    <w:p>
      <w:pPr>
        <w:jc w:val="center"/>
        <w:rPr>
          <w:rFonts w:ascii="宋体"/>
          <w:b/>
          <w:sz w:val="28"/>
          <w:szCs w:val="28"/>
        </w:rPr>
      </w:pPr>
      <w:r>
        <w:rPr>
          <w:rFonts w:hint="eastAsia" w:ascii="宋体" w:hAnsi="宋体"/>
          <w:b/>
          <w:sz w:val="28"/>
          <w:szCs w:val="28"/>
        </w:rPr>
        <w:t>目</w:t>
      </w:r>
      <w:r>
        <w:rPr>
          <w:rFonts w:ascii="宋体"/>
          <w:b/>
          <w:sz w:val="28"/>
          <w:szCs w:val="28"/>
        </w:rPr>
        <w:tab/>
      </w:r>
      <w:r>
        <w:rPr>
          <w:rFonts w:hint="eastAsia" w:ascii="宋体" w:hAnsi="宋体"/>
          <w:b/>
          <w:sz w:val="28"/>
          <w:szCs w:val="28"/>
        </w:rPr>
        <w:t>录</w:t>
      </w:r>
    </w:p>
    <w:p>
      <w:pPr>
        <w:rPr>
          <w:rFonts w:ascii="宋体"/>
          <w:sz w:val="24"/>
        </w:rPr>
      </w:pPr>
    </w:p>
    <w:p>
      <w:pPr>
        <w:numPr>
          <w:ilvl w:val="0"/>
          <w:numId w:val="6"/>
        </w:numPr>
        <w:spacing w:line="440" w:lineRule="exact"/>
        <w:rPr>
          <w:rFonts w:ascii="宋体"/>
          <w:sz w:val="24"/>
        </w:rPr>
      </w:pPr>
      <w:r>
        <w:rPr>
          <w:rFonts w:hint="eastAsia" w:ascii="宋体" w:hAnsi="宋体"/>
          <w:sz w:val="24"/>
        </w:rPr>
        <w:t>投标函、投标函附录</w:t>
      </w:r>
    </w:p>
    <w:p>
      <w:pPr>
        <w:numPr>
          <w:ilvl w:val="0"/>
          <w:numId w:val="6"/>
        </w:numPr>
        <w:spacing w:line="440" w:lineRule="exact"/>
        <w:rPr>
          <w:rFonts w:ascii="宋体"/>
          <w:sz w:val="24"/>
        </w:rPr>
      </w:pPr>
      <w:r>
        <w:rPr>
          <w:rFonts w:hint="eastAsia" w:ascii="宋体" w:hAnsi="宋体"/>
          <w:sz w:val="24"/>
        </w:rPr>
        <w:t>投标报价一览表</w:t>
      </w:r>
    </w:p>
    <w:p>
      <w:pPr>
        <w:numPr>
          <w:ilvl w:val="0"/>
          <w:numId w:val="7"/>
        </w:numPr>
        <w:spacing w:line="440" w:lineRule="exact"/>
        <w:rPr>
          <w:rFonts w:ascii="宋体"/>
          <w:sz w:val="24"/>
        </w:rPr>
      </w:pPr>
      <w:r>
        <w:rPr>
          <w:rFonts w:hint="eastAsia" w:ascii="宋体" w:hAnsi="宋体"/>
          <w:sz w:val="24"/>
        </w:rPr>
        <w:t>法定代表人身份证明</w:t>
      </w:r>
    </w:p>
    <w:p>
      <w:pPr>
        <w:numPr>
          <w:ilvl w:val="0"/>
          <w:numId w:val="7"/>
        </w:numPr>
        <w:spacing w:line="440" w:lineRule="exact"/>
        <w:rPr>
          <w:rFonts w:ascii="宋体"/>
          <w:sz w:val="24"/>
        </w:rPr>
      </w:pPr>
      <w:r>
        <w:rPr>
          <w:rFonts w:hint="eastAsia" w:ascii="宋体" w:hAnsi="宋体"/>
          <w:sz w:val="24"/>
        </w:rPr>
        <w:t>授权委托书</w:t>
      </w:r>
    </w:p>
    <w:p>
      <w:pPr>
        <w:spacing w:line="440" w:lineRule="exact"/>
        <w:rPr>
          <w:rFonts w:ascii="宋体"/>
          <w:sz w:val="24"/>
        </w:rPr>
      </w:pPr>
      <w:r>
        <w:rPr>
          <w:rFonts w:hint="eastAsia" w:ascii="宋体" w:hAnsi="宋体"/>
          <w:sz w:val="24"/>
        </w:rPr>
        <w:t>五、磋商保证金</w:t>
      </w:r>
    </w:p>
    <w:p>
      <w:pPr>
        <w:spacing w:line="440" w:lineRule="exact"/>
        <w:rPr>
          <w:rFonts w:ascii="宋体"/>
          <w:sz w:val="24"/>
        </w:rPr>
      </w:pPr>
      <w:r>
        <w:rPr>
          <w:rFonts w:hint="eastAsia" w:ascii="宋体" w:hAnsi="宋体"/>
          <w:sz w:val="24"/>
        </w:rPr>
        <w:t>六、已标价工程量清单</w:t>
      </w:r>
    </w:p>
    <w:p>
      <w:pPr>
        <w:spacing w:line="440" w:lineRule="exact"/>
        <w:rPr>
          <w:rFonts w:ascii="宋体"/>
          <w:sz w:val="24"/>
        </w:rPr>
      </w:pPr>
      <w:r>
        <w:rPr>
          <w:rFonts w:hint="eastAsia" w:ascii="宋体" w:hAnsi="宋体"/>
          <w:sz w:val="24"/>
        </w:rPr>
        <w:t>七、项目管理机构</w:t>
      </w:r>
    </w:p>
    <w:p>
      <w:pPr>
        <w:spacing w:line="440" w:lineRule="exact"/>
        <w:rPr>
          <w:rFonts w:ascii="宋体"/>
          <w:sz w:val="24"/>
        </w:rPr>
      </w:pPr>
      <w:r>
        <w:rPr>
          <w:rFonts w:hint="eastAsia" w:ascii="宋体" w:hAnsi="宋体"/>
          <w:sz w:val="24"/>
        </w:rPr>
        <w:t>八、施工组织设计</w:t>
      </w:r>
    </w:p>
    <w:p>
      <w:pPr>
        <w:spacing w:line="440" w:lineRule="exact"/>
        <w:rPr>
          <w:rFonts w:ascii="宋体"/>
          <w:sz w:val="24"/>
        </w:rPr>
      </w:pPr>
      <w:r>
        <w:rPr>
          <w:rFonts w:hint="eastAsia" w:ascii="宋体" w:hAnsi="宋体"/>
          <w:sz w:val="24"/>
        </w:rPr>
        <w:t>九、资格审查资料</w:t>
      </w:r>
    </w:p>
    <w:p>
      <w:pPr>
        <w:spacing w:line="440" w:lineRule="exact"/>
        <w:rPr>
          <w:rFonts w:ascii="宋体"/>
          <w:sz w:val="24"/>
        </w:rPr>
      </w:pPr>
      <w:r>
        <w:rPr>
          <w:rFonts w:hint="eastAsia" w:ascii="宋体" w:hAnsi="宋体"/>
          <w:sz w:val="24"/>
        </w:rPr>
        <w:t>十、承诺函</w:t>
      </w:r>
    </w:p>
    <w:p>
      <w:pPr>
        <w:spacing w:line="440" w:lineRule="exact"/>
        <w:rPr>
          <w:rFonts w:ascii="宋体"/>
          <w:sz w:val="24"/>
        </w:rPr>
      </w:pPr>
      <w:r>
        <w:rPr>
          <w:rFonts w:hint="eastAsia" w:ascii="宋体" w:hAnsi="宋体"/>
          <w:sz w:val="24"/>
        </w:rPr>
        <w:t>十一、其他材料</w:t>
      </w:r>
    </w:p>
    <w:p>
      <w:pPr>
        <w:rPr>
          <w:rFonts w:ascii="宋体"/>
          <w:sz w:val="24"/>
        </w:rPr>
      </w:pPr>
    </w:p>
    <w:p>
      <w:pPr>
        <w:rPr>
          <w:rFonts w:ascii="宋体"/>
          <w:sz w:val="24"/>
        </w:rPr>
      </w:pPr>
    </w:p>
    <w:p>
      <w:pPr>
        <w:rPr>
          <w:rFonts w:ascii="宋体"/>
          <w:sz w:val="24"/>
        </w:rPr>
      </w:pPr>
    </w:p>
    <w:p>
      <w:pPr>
        <w:pStyle w:val="2"/>
        <w:spacing w:beforeLines="50" w:line="360" w:lineRule="exact"/>
        <w:jc w:val="center"/>
        <w:rPr>
          <w:rFonts w:ascii="宋体"/>
          <w:sz w:val="28"/>
          <w:szCs w:val="28"/>
        </w:rPr>
      </w:pPr>
      <w:r>
        <w:rPr>
          <w:rFonts w:ascii="宋体"/>
          <w:sz w:val="24"/>
        </w:rPr>
        <w:br w:type="page"/>
      </w:r>
      <w:bookmarkStart w:id="228" w:name="_Toc234382957"/>
      <w:bookmarkStart w:id="229" w:name="_Toc2324"/>
      <w:bookmarkStart w:id="230" w:name="_Toc6410"/>
      <w:r>
        <w:rPr>
          <w:rFonts w:hint="eastAsia" w:ascii="宋体" w:hAnsi="宋体"/>
          <w:sz w:val="28"/>
          <w:szCs w:val="28"/>
        </w:rPr>
        <w:t>一、投标函、投标函附录</w:t>
      </w:r>
      <w:bookmarkEnd w:id="228"/>
      <w:bookmarkEnd w:id="229"/>
      <w:bookmarkEnd w:id="230"/>
      <w:bookmarkStart w:id="231" w:name="_Toc16"/>
      <w:bookmarkStart w:id="232" w:name="_Toc234382958"/>
    </w:p>
    <w:p>
      <w:pPr>
        <w:pStyle w:val="2"/>
        <w:spacing w:beforeLines="50" w:line="360" w:lineRule="exact"/>
        <w:jc w:val="center"/>
        <w:rPr>
          <w:rFonts w:ascii="宋体"/>
          <w:sz w:val="28"/>
          <w:szCs w:val="28"/>
        </w:rPr>
      </w:pPr>
      <w:bookmarkStart w:id="233" w:name="_Toc4524"/>
      <w:bookmarkStart w:id="234" w:name="_Toc26804"/>
      <w:bookmarkStart w:id="235" w:name="_Toc23613"/>
      <w:r>
        <w:rPr>
          <w:rFonts w:hint="eastAsia" w:ascii="宋体" w:hAnsi="宋体"/>
          <w:sz w:val="28"/>
          <w:szCs w:val="28"/>
        </w:rPr>
        <w:t>（一）投标函</w:t>
      </w:r>
      <w:bookmarkEnd w:id="231"/>
      <w:bookmarkEnd w:id="232"/>
      <w:bookmarkEnd w:id="233"/>
      <w:bookmarkEnd w:id="234"/>
      <w:bookmarkEnd w:id="235"/>
    </w:p>
    <w:p>
      <w:pPr>
        <w:spacing w:line="360" w:lineRule="exact"/>
        <w:rPr>
          <w:rFonts w:ascii="宋体"/>
          <w:sz w:val="24"/>
        </w:rPr>
      </w:pPr>
    </w:p>
    <w:p>
      <w:pPr>
        <w:spacing w:line="360" w:lineRule="exact"/>
        <w:rPr>
          <w:rFonts w:ascii="宋体"/>
          <w:sz w:val="24"/>
        </w:rPr>
      </w:pPr>
      <w:r>
        <w:rPr>
          <w:rFonts w:hint="eastAsia" w:ascii="宋体" w:hAnsi="宋体"/>
          <w:sz w:val="24"/>
        </w:rPr>
        <w:t>（采购人名称）：</w:t>
      </w:r>
    </w:p>
    <w:p>
      <w:pPr>
        <w:spacing w:line="360" w:lineRule="exact"/>
        <w:rPr>
          <w:rFonts w:ascii="宋体"/>
          <w:sz w:val="24"/>
        </w:rPr>
      </w:pPr>
    </w:p>
    <w:p>
      <w:pPr>
        <w:autoSpaceDE w:val="0"/>
        <w:autoSpaceDN w:val="0"/>
        <w:adjustRightInd w:val="0"/>
        <w:spacing w:line="360" w:lineRule="auto"/>
        <w:ind w:firstLine="567"/>
        <w:jc w:val="left"/>
        <w:rPr>
          <w:rFonts w:ascii="宋体"/>
          <w:sz w:val="24"/>
        </w:rPr>
      </w:pPr>
      <w:r>
        <w:rPr>
          <w:rFonts w:ascii="宋体" w:hAnsi="宋体"/>
          <w:sz w:val="24"/>
        </w:rPr>
        <w:t>1</w:t>
      </w:r>
      <w:r>
        <w:rPr>
          <w:rFonts w:hint="eastAsia" w:ascii="宋体" w:hAnsi="宋体"/>
          <w:sz w:val="24"/>
        </w:rPr>
        <w:t>、根据已收到贵方的项目编号为的工程的磋商文件，遵照《中华人民共和国招标投标法》等有关规定，我方经考察现场和研究上述响应文件的投标须知、合同条款、技术规范、图纸和工程量清单及其他有关文件后，我方愿以人民币（大写）（人民币：￥元）的投标报价，并按上述图纸、合同条款、技术规范和工程量清单的条件要求承包上述工程的施工、竣工并承担任何质量缺陷保修责任，并保证质量达到标准。</w:t>
      </w:r>
    </w:p>
    <w:p>
      <w:pPr>
        <w:spacing w:line="360" w:lineRule="auto"/>
        <w:ind w:firstLine="480" w:firstLineChars="200"/>
        <w:rPr>
          <w:rFonts w:ascii="宋体"/>
          <w:sz w:val="24"/>
        </w:rPr>
      </w:pPr>
      <w:r>
        <w:rPr>
          <w:rFonts w:hint="eastAsia" w:ascii="宋体" w:hAnsi="宋体"/>
          <w:sz w:val="24"/>
        </w:rPr>
        <w:t>如果我方中标，我方保证在年月日或按照合同约定的开工日期开始本工程的施工，天（日历日）内竣工，并确保工程质量达到标准。我方同意本投标函在响应文件规定的提交磋商文件截止时间后，在响应文件规定的投标有效期期满前对我方具有约束力，且随时准备接受你方发出的中标通知书。</w:t>
      </w:r>
    </w:p>
    <w:p>
      <w:pPr>
        <w:spacing w:line="360" w:lineRule="auto"/>
        <w:ind w:firstLine="480" w:firstLineChars="200"/>
        <w:rPr>
          <w:rFonts w:ascii="宋体"/>
          <w:sz w:val="24"/>
        </w:rPr>
      </w:pPr>
      <w:r>
        <w:rPr>
          <w:rFonts w:hint="eastAsia" w:ascii="宋体" w:hAnsi="宋体"/>
          <w:sz w:val="24"/>
        </w:rPr>
        <w:t>随本投标函递交的投标函附录是本投标函的组成部分，对我方构成约束力。</w:t>
      </w:r>
    </w:p>
    <w:p>
      <w:pPr>
        <w:spacing w:line="360" w:lineRule="auto"/>
        <w:ind w:firstLine="480" w:firstLineChars="200"/>
        <w:rPr>
          <w:rFonts w:ascii="宋体"/>
          <w:sz w:val="24"/>
        </w:rPr>
      </w:pPr>
      <w:r>
        <w:rPr>
          <w:rFonts w:hint="eastAsia" w:ascii="宋体" w:hAnsi="宋体"/>
          <w:sz w:val="24"/>
        </w:rPr>
        <w:t>随同本投标函递交投标保证金一份，金额为人民币（大写）：（￥：元）。</w:t>
      </w:r>
    </w:p>
    <w:p>
      <w:pPr>
        <w:spacing w:line="360" w:lineRule="auto"/>
        <w:ind w:firstLine="480" w:firstLineChars="200"/>
        <w:rPr>
          <w:rFonts w:ascii="宋体"/>
          <w:sz w:val="24"/>
        </w:rPr>
      </w:pPr>
      <w:r>
        <w:rPr>
          <w:rFonts w:hint="eastAsia" w:ascii="宋体" w:hAnsi="宋体"/>
          <w:sz w:val="24"/>
        </w:rPr>
        <w:t>在签署协议书之前，你方的中标通知书连同本投标函，包括投标函附录，对双方具有约束力。</w:t>
      </w:r>
    </w:p>
    <w:p>
      <w:pPr>
        <w:spacing w:line="360" w:lineRule="auto"/>
        <w:ind w:firstLine="480" w:firstLineChars="200"/>
        <w:rPr>
          <w:rFonts w:ascii="宋体"/>
          <w:sz w:val="24"/>
        </w:rPr>
      </w:pPr>
    </w:p>
    <w:p>
      <w:pPr>
        <w:spacing w:line="360" w:lineRule="auto"/>
        <w:ind w:firstLine="480" w:firstLineChars="200"/>
        <w:rPr>
          <w:rFonts w:ascii="宋体"/>
          <w:sz w:val="24"/>
        </w:rPr>
      </w:pPr>
    </w:p>
    <w:p>
      <w:pPr>
        <w:spacing w:line="360" w:lineRule="auto"/>
        <w:ind w:firstLine="480" w:firstLineChars="200"/>
        <w:rPr>
          <w:rFonts w:ascii="宋体"/>
          <w:sz w:val="24"/>
        </w:rPr>
      </w:pPr>
      <w:r>
        <w:rPr>
          <w:rFonts w:hint="eastAsia" w:ascii="宋体" w:hAnsi="宋体"/>
          <w:sz w:val="24"/>
        </w:rPr>
        <w:t>供应商（盖章）：</w:t>
      </w:r>
    </w:p>
    <w:p>
      <w:pPr>
        <w:spacing w:line="360" w:lineRule="auto"/>
        <w:ind w:firstLine="480" w:firstLineChars="200"/>
        <w:rPr>
          <w:rFonts w:ascii="宋体"/>
          <w:sz w:val="24"/>
        </w:rPr>
      </w:pPr>
    </w:p>
    <w:p>
      <w:pPr>
        <w:spacing w:line="360" w:lineRule="auto"/>
        <w:ind w:firstLine="480" w:firstLineChars="200"/>
        <w:rPr>
          <w:rFonts w:ascii="宋体"/>
          <w:sz w:val="24"/>
        </w:rPr>
      </w:pPr>
      <w:r>
        <w:rPr>
          <w:rFonts w:hint="eastAsia" w:ascii="宋体" w:hAnsi="宋体"/>
          <w:sz w:val="24"/>
        </w:rPr>
        <w:t>法人代表或委托代理人（签字或盖章）：</w:t>
      </w:r>
    </w:p>
    <w:p>
      <w:pPr>
        <w:spacing w:line="360" w:lineRule="auto"/>
        <w:ind w:firstLine="480" w:firstLineChars="200"/>
        <w:rPr>
          <w:rFonts w:ascii="宋体"/>
          <w:sz w:val="24"/>
        </w:rPr>
      </w:pPr>
    </w:p>
    <w:p>
      <w:pPr>
        <w:spacing w:line="360" w:lineRule="auto"/>
        <w:ind w:firstLine="480" w:firstLineChars="200"/>
        <w:rPr>
          <w:rFonts w:ascii="宋体"/>
          <w:szCs w:val="21"/>
        </w:rPr>
      </w:pPr>
      <w:r>
        <w:rPr>
          <w:rFonts w:hint="eastAsia" w:ascii="宋体" w:hAnsi="宋体"/>
          <w:sz w:val="24"/>
        </w:rPr>
        <w:t>日期：年月日</w:t>
      </w:r>
    </w:p>
    <w:p>
      <w:pPr>
        <w:spacing w:line="360" w:lineRule="auto"/>
        <w:ind w:firstLine="420" w:firstLineChars="200"/>
        <w:rPr>
          <w:rFonts w:ascii="宋体"/>
          <w:szCs w:val="21"/>
        </w:rPr>
      </w:pPr>
    </w:p>
    <w:p>
      <w:pPr>
        <w:rPr>
          <w:rFonts w:ascii="宋体"/>
          <w:sz w:val="24"/>
        </w:rPr>
      </w:pPr>
    </w:p>
    <w:p>
      <w:pPr>
        <w:spacing w:beforeLines="100" w:afterLines="50" w:line="510" w:lineRule="exact"/>
        <w:jc w:val="center"/>
        <w:rPr>
          <w:rFonts w:ascii="宋体"/>
          <w:sz w:val="28"/>
          <w:szCs w:val="28"/>
        </w:rPr>
      </w:pPr>
      <w:bookmarkStart w:id="236" w:name="_Toc234382959"/>
      <w:bookmarkStart w:id="237" w:name="_Toc15145"/>
    </w:p>
    <w:p>
      <w:pPr>
        <w:pStyle w:val="2"/>
        <w:spacing w:beforeLines="50" w:line="360" w:lineRule="exact"/>
        <w:jc w:val="center"/>
        <w:rPr>
          <w:rFonts w:ascii="宋体"/>
          <w:sz w:val="28"/>
          <w:szCs w:val="28"/>
        </w:rPr>
      </w:pPr>
      <w:bookmarkStart w:id="238" w:name="_Toc16406"/>
      <w:bookmarkStart w:id="239" w:name="_Toc12820"/>
      <w:bookmarkStart w:id="240" w:name="_Toc9933"/>
      <w:r>
        <w:rPr>
          <w:rFonts w:hint="eastAsia" w:ascii="宋体" w:hAnsi="宋体"/>
          <w:sz w:val="28"/>
          <w:szCs w:val="28"/>
        </w:rPr>
        <w:t>（二）投标函附录</w:t>
      </w:r>
      <w:bookmarkEnd w:id="238"/>
      <w:bookmarkEnd w:id="239"/>
      <w:bookmarkEnd w:id="240"/>
    </w:p>
    <w:p>
      <w:pPr>
        <w:pStyle w:val="2"/>
        <w:spacing w:beforeLines="50" w:line="360" w:lineRule="exact"/>
        <w:jc w:val="center"/>
        <w:rPr>
          <w:rFonts w:ascii="宋体"/>
          <w:sz w:val="28"/>
          <w:szCs w:val="28"/>
        </w:rPr>
      </w:pPr>
      <w:bookmarkStart w:id="241" w:name="_Toc5973"/>
      <w:bookmarkStart w:id="242" w:name="_Toc30334"/>
      <w:bookmarkStart w:id="243" w:name="_Toc30469"/>
      <w:r>
        <w:rPr>
          <w:rFonts w:hint="eastAsia" w:ascii="宋体" w:hAnsi="宋体"/>
          <w:sz w:val="28"/>
          <w:szCs w:val="28"/>
        </w:rPr>
        <w:t>投标函附录</w:t>
      </w:r>
      <w:bookmarkEnd w:id="236"/>
      <w:bookmarkEnd w:id="237"/>
      <w:r>
        <w:rPr>
          <w:rFonts w:ascii="宋体" w:hAnsi="宋体"/>
          <w:sz w:val="28"/>
          <w:szCs w:val="28"/>
        </w:rPr>
        <w:t>-1</w:t>
      </w:r>
      <w:bookmarkEnd w:id="241"/>
      <w:bookmarkEnd w:id="242"/>
      <w:bookmarkEnd w:id="243"/>
    </w:p>
    <w:p>
      <w:pPr>
        <w:rPr>
          <w:rFonts w:ascii="宋体"/>
          <w:b/>
          <w:sz w:val="18"/>
          <w:szCs w:val="18"/>
        </w:rPr>
      </w:pPr>
    </w:p>
    <w:p>
      <w:pPr>
        <w:rPr>
          <w:rFonts w:ascii="宋体"/>
          <w:sz w:val="18"/>
          <w:szCs w:val="18"/>
        </w:rPr>
      </w:pPr>
      <w:r>
        <w:rPr>
          <w:rFonts w:hint="eastAsia" w:ascii="宋体" w:hAnsi="宋体"/>
          <w:b/>
          <w:sz w:val="18"/>
          <w:szCs w:val="18"/>
        </w:rPr>
        <w:t>工程名称：</w:t>
      </w:r>
      <w:r>
        <w:rPr>
          <w:rFonts w:hint="eastAsia" w:ascii="宋体" w:hAnsi="宋体"/>
          <w:sz w:val="18"/>
          <w:szCs w:val="18"/>
        </w:rPr>
        <w:t>（项目名称）</w:t>
      </w:r>
    </w:p>
    <w:tbl>
      <w:tblPr>
        <w:tblStyle w:val="1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693"/>
        <w:gridCol w:w="1418"/>
        <w:gridCol w:w="1906"/>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szCs w:val="21"/>
              </w:rPr>
            </w:pPr>
            <w:r>
              <w:rPr>
                <w:rFonts w:hint="eastAsia" w:ascii="宋体" w:hAnsi="宋体"/>
                <w:szCs w:val="21"/>
              </w:rPr>
              <w:t>序号</w:t>
            </w:r>
          </w:p>
        </w:tc>
        <w:tc>
          <w:tcPr>
            <w:tcW w:w="2693" w:type="dxa"/>
            <w:vAlign w:val="center"/>
          </w:tcPr>
          <w:p>
            <w:pPr>
              <w:jc w:val="center"/>
              <w:rPr>
                <w:rFonts w:ascii="宋体"/>
                <w:szCs w:val="21"/>
              </w:rPr>
            </w:pPr>
            <w:r>
              <w:rPr>
                <w:rFonts w:hint="eastAsia" w:ascii="宋体" w:hAnsi="宋体"/>
                <w:szCs w:val="21"/>
              </w:rPr>
              <w:t>条款内容</w:t>
            </w:r>
          </w:p>
        </w:tc>
        <w:tc>
          <w:tcPr>
            <w:tcW w:w="1418" w:type="dxa"/>
            <w:vAlign w:val="center"/>
          </w:tcPr>
          <w:p>
            <w:pPr>
              <w:jc w:val="center"/>
              <w:rPr>
                <w:rFonts w:ascii="宋体"/>
                <w:szCs w:val="21"/>
              </w:rPr>
            </w:pPr>
            <w:r>
              <w:rPr>
                <w:rFonts w:hint="eastAsia" w:ascii="宋体" w:hAnsi="宋体"/>
                <w:szCs w:val="21"/>
              </w:rPr>
              <w:t>合同条款号</w:t>
            </w:r>
          </w:p>
        </w:tc>
        <w:tc>
          <w:tcPr>
            <w:tcW w:w="1906" w:type="dxa"/>
            <w:vAlign w:val="center"/>
          </w:tcPr>
          <w:p>
            <w:pPr>
              <w:jc w:val="center"/>
              <w:rPr>
                <w:rFonts w:ascii="宋体"/>
                <w:szCs w:val="21"/>
              </w:rPr>
            </w:pPr>
            <w:r>
              <w:rPr>
                <w:rFonts w:hint="eastAsia" w:ascii="宋体" w:hAnsi="宋体"/>
                <w:szCs w:val="21"/>
              </w:rPr>
              <w:t>约定内容</w:t>
            </w:r>
          </w:p>
        </w:tc>
        <w:tc>
          <w:tcPr>
            <w:tcW w:w="1637" w:type="dxa"/>
            <w:vAlign w:val="center"/>
          </w:tcPr>
          <w:p>
            <w:pPr>
              <w:jc w:val="center"/>
              <w:rPr>
                <w:rFonts w:asci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1</w:t>
            </w:r>
          </w:p>
        </w:tc>
        <w:tc>
          <w:tcPr>
            <w:tcW w:w="2693" w:type="dxa"/>
            <w:vAlign w:val="center"/>
          </w:tcPr>
          <w:p>
            <w:pPr>
              <w:rPr>
                <w:rFonts w:ascii="宋体"/>
                <w:szCs w:val="21"/>
              </w:rPr>
            </w:pPr>
            <w:r>
              <w:rPr>
                <w:rFonts w:hint="eastAsia" w:ascii="宋体" w:hAnsi="宋体"/>
                <w:szCs w:val="21"/>
              </w:rPr>
              <w:t>项目经理</w:t>
            </w:r>
          </w:p>
        </w:tc>
        <w:tc>
          <w:tcPr>
            <w:tcW w:w="1418" w:type="dxa"/>
            <w:tcMar>
              <w:left w:w="170" w:type="dxa"/>
            </w:tcMar>
            <w:vAlign w:val="center"/>
          </w:tcPr>
          <w:p>
            <w:pPr>
              <w:rPr>
                <w:rFonts w:ascii="宋体"/>
                <w:szCs w:val="21"/>
              </w:rPr>
            </w:pPr>
          </w:p>
        </w:tc>
        <w:tc>
          <w:tcPr>
            <w:tcW w:w="1906" w:type="dxa"/>
            <w:vAlign w:val="center"/>
          </w:tcPr>
          <w:p>
            <w:pPr>
              <w:rPr>
                <w:rFonts w:ascii="宋体"/>
                <w:szCs w:val="21"/>
              </w:rPr>
            </w:pPr>
            <w:r>
              <w:rPr>
                <w:rFonts w:hint="eastAsia" w:ascii="宋体" w:hAnsi="宋体"/>
                <w:szCs w:val="21"/>
              </w:rPr>
              <w:t>姓名：</w:t>
            </w: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2</w:t>
            </w:r>
          </w:p>
        </w:tc>
        <w:tc>
          <w:tcPr>
            <w:tcW w:w="2693" w:type="dxa"/>
            <w:vAlign w:val="center"/>
          </w:tcPr>
          <w:p>
            <w:pPr>
              <w:rPr>
                <w:rFonts w:ascii="宋体"/>
                <w:szCs w:val="21"/>
              </w:rPr>
            </w:pPr>
            <w:r>
              <w:rPr>
                <w:rFonts w:hint="eastAsia" w:ascii="宋体" w:hAnsi="宋体"/>
                <w:szCs w:val="21"/>
              </w:rPr>
              <w:t>工期</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r>
              <w:rPr>
                <w:rFonts w:hint="eastAsia" w:ascii="宋体" w:hAnsi="宋体"/>
                <w:szCs w:val="21"/>
              </w:rPr>
              <w:t>日历天</w:t>
            </w: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3</w:t>
            </w:r>
          </w:p>
        </w:tc>
        <w:tc>
          <w:tcPr>
            <w:tcW w:w="2693" w:type="dxa"/>
            <w:vAlign w:val="center"/>
          </w:tcPr>
          <w:p>
            <w:pPr>
              <w:rPr>
                <w:rFonts w:ascii="宋体"/>
                <w:szCs w:val="21"/>
              </w:rPr>
            </w:pPr>
            <w:r>
              <w:rPr>
                <w:rFonts w:hint="eastAsia" w:ascii="宋体" w:hAnsi="宋体"/>
                <w:szCs w:val="21"/>
              </w:rPr>
              <w:t>缺陷责任期</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4</w:t>
            </w:r>
          </w:p>
        </w:tc>
        <w:tc>
          <w:tcPr>
            <w:tcW w:w="2693" w:type="dxa"/>
            <w:vAlign w:val="center"/>
          </w:tcPr>
          <w:p>
            <w:pPr>
              <w:rPr>
                <w:rFonts w:ascii="宋体"/>
                <w:szCs w:val="21"/>
              </w:rPr>
            </w:pPr>
            <w:r>
              <w:rPr>
                <w:rFonts w:hint="eastAsia" w:ascii="宋体" w:hAnsi="宋体"/>
                <w:szCs w:val="21"/>
              </w:rPr>
              <w:t>承包人履约担保金额</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5</w:t>
            </w:r>
          </w:p>
        </w:tc>
        <w:tc>
          <w:tcPr>
            <w:tcW w:w="2693" w:type="dxa"/>
            <w:vAlign w:val="center"/>
          </w:tcPr>
          <w:p>
            <w:pPr>
              <w:rPr>
                <w:rFonts w:ascii="宋体"/>
                <w:szCs w:val="21"/>
              </w:rPr>
            </w:pPr>
            <w:r>
              <w:rPr>
                <w:rFonts w:hint="eastAsia" w:ascii="宋体" w:hAnsi="宋体"/>
                <w:szCs w:val="21"/>
              </w:rPr>
              <w:t>分包</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r>
              <w:rPr>
                <w:rFonts w:hint="eastAsia" w:ascii="宋体" w:hAnsi="宋体"/>
                <w:szCs w:val="21"/>
              </w:rPr>
              <w:t>见分包项目情况表</w:t>
            </w: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6</w:t>
            </w:r>
          </w:p>
        </w:tc>
        <w:tc>
          <w:tcPr>
            <w:tcW w:w="2693" w:type="dxa"/>
            <w:vAlign w:val="center"/>
          </w:tcPr>
          <w:p>
            <w:pPr>
              <w:rPr>
                <w:rFonts w:ascii="宋体"/>
                <w:szCs w:val="21"/>
              </w:rPr>
            </w:pPr>
            <w:r>
              <w:rPr>
                <w:rFonts w:hint="eastAsia" w:ascii="宋体" w:hAnsi="宋体"/>
                <w:szCs w:val="21"/>
              </w:rPr>
              <w:t>逾期竣工违约金</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r>
              <w:rPr>
                <w:rFonts w:hint="eastAsia" w:ascii="宋体" w:hAnsi="宋体"/>
                <w:szCs w:val="21"/>
              </w:rPr>
              <w:t>元</w:t>
            </w:r>
            <w:r>
              <w:rPr>
                <w:rFonts w:ascii="宋体" w:hAnsi="宋体"/>
                <w:szCs w:val="21"/>
              </w:rPr>
              <w:t>/</w:t>
            </w:r>
            <w:r>
              <w:rPr>
                <w:rFonts w:hint="eastAsia" w:ascii="宋体" w:hAnsi="宋体"/>
                <w:szCs w:val="21"/>
              </w:rPr>
              <w:t>天</w:t>
            </w: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7</w:t>
            </w:r>
          </w:p>
        </w:tc>
        <w:tc>
          <w:tcPr>
            <w:tcW w:w="2693" w:type="dxa"/>
            <w:vAlign w:val="center"/>
          </w:tcPr>
          <w:p>
            <w:pPr>
              <w:rPr>
                <w:rFonts w:ascii="宋体"/>
                <w:szCs w:val="21"/>
              </w:rPr>
            </w:pPr>
            <w:r>
              <w:rPr>
                <w:rFonts w:hint="eastAsia" w:ascii="宋体" w:hAnsi="宋体"/>
                <w:szCs w:val="21"/>
              </w:rPr>
              <w:t>逾期竣工违约金最高限额</w:t>
            </w:r>
          </w:p>
        </w:tc>
        <w:tc>
          <w:tcPr>
            <w:tcW w:w="1418" w:type="dxa"/>
            <w:tcMar>
              <w:left w:w="170" w:type="dxa"/>
            </w:tcMar>
            <w:vAlign w:val="center"/>
          </w:tcPr>
          <w:p>
            <w:pPr>
              <w:rPr>
                <w:rFonts w:ascii="宋体"/>
                <w:szCs w:val="21"/>
              </w:rPr>
            </w:pPr>
          </w:p>
        </w:tc>
        <w:tc>
          <w:tcPr>
            <w:tcW w:w="1906" w:type="dxa"/>
            <w:vAlign w:val="center"/>
          </w:tcPr>
          <w:p>
            <w:pP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8</w:t>
            </w:r>
          </w:p>
        </w:tc>
        <w:tc>
          <w:tcPr>
            <w:tcW w:w="2693" w:type="dxa"/>
            <w:vAlign w:val="center"/>
          </w:tcPr>
          <w:p>
            <w:pPr>
              <w:rPr>
                <w:rFonts w:ascii="宋体"/>
                <w:szCs w:val="21"/>
              </w:rPr>
            </w:pPr>
            <w:r>
              <w:rPr>
                <w:rFonts w:hint="eastAsia" w:ascii="宋体" w:hAnsi="宋体"/>
                <w:szCs w:val="21"/>
              </w:rPr>
              <w:t>质量标准</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shd w:val="pct10" w:color="auto" w:fill="FFFFFF"/>
              </w:rPr>
            </w:pPr>
            <w:r>
              <w:rPr>
                <w:rFonts w:ascii="宋体" w:hAnsi="宋体"/>
                <w:szCs w:val="21"/>
                <w:shd w:val="pct10" w:color="auto" w:fill="FFFFFF"/>
              </w:rPr>
              <w:t>9</w:t>
            </w:r>
          </w:p>
        </w:tc>
        <w:tc>
          <w:tcPr>
            <w:tcW w:w="2693" w:type="dxa"/>
            <w:vAlign w:val="center"/>
          </w:tcPr>
          <w:p>
            <w:pPr>
              <w:rPr>
                <w:rFonts w:ascii="宋体"/>
                <w:szCs w:val="21"/>
                <w:shd w:val="pct10" w:color="auto" w:fill="FFFFFF"/>
              </w:rPr>
            </w:pPr>
            <w:r>
              <w:rPr>
                <w:rFonts w:hint="eastAsia" w:ascii="宋体" w:hAnsi="宋体"/>
                <w:szCs w:val="21"/>
              </w:rPr>
              <w:t>预付款额度</w:t>
            </w:r>
          </w:p>
        </w:tc>
        <w:tc>
          <w:tcPr>
            <w:tcW w:w="1418" w:type="dxa"/>
            <w:tcMar>
              <w:left w:w="170" w:type="dxa"/>
            </w:tcMar>
            <w:vAlign w:val="center"/>
          </w:tcPr>
          <w:p>
            <w:pPr>
              <w:rPr>
                <w:rFonts w:ascii="宋体"/>
                <w:szCs w:val="21"/>
                <w:shd w:val="pct10" w:color="auto" w:fill="FFFFFF"/>
              </w:rPr>
            </w:pPr>
          </w:p>
        </w:tc>
        <w:tc>
          <w:tcPr>
            <w:tcW w:w="1906" w:type="dxa"/>
            <w:vAlign w:val="center"/>
          </w:tcPr>
          <w:p>
            <w:pPr>
              <w:jc w:val="center"/>
              <w:rPr>
                <w:rFonts w:ascii="宋体"/>
                <w:szCs w:val="21"/>
                <w:shd w:val="pct10" w:color="auto" w:fill="FFFFFF"/>
              </w:rPr>
            </w:pPr>
          </w:p>
        </w:tc>
        <w:tc>
          <w:tcPr>
            <w:tcW w:w="1637" w:type="dxa"/>
            <w:vAlign w:val="center"/>
          </w:tcPr>
          <w:p>
            <w:pPr>
              <w:jc w:val="center"/>
              <w:rPr>
                <w:rFonts w:ascii="宋体"/>
                <w:szCs w:val="21"/>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10</w:t>
            </w:r>
          </w:p>
        </w:tc>
        <w:tc>
          <w:tcPr>
            <w:tcW w:w="2693" w:type="dxa"/>
            <w:vAlign w:val="center"/>
          </w:tcPr>
          <w:p>
            <w:pPr>
              <w:rPr>
                <w:rFonts w:ascii="宋体"/>
                <w:szCs w:val="21"/>
              </w:rPr>
            </w:pPr>
            <w:r>
              <w:rPr>
                <w:rFonts w:hint="eastAsia" w:ascii="宋体" w:hAnsi="宋体"/>
                <w:szCs w:val="21"/>
              </w:rPr>
              <w:t>预付款保函金额</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11</w:t>
            </w:r>
          </w:p>
        </w:tc>
        <w:tc>
          <w:tcPr>
            <w:tcW w:w="2693" w:type="dxa"/>
            <w:vAlign w:val="center"/>
          </w:tcPr>
          <w:p>
            <w:pPr>
              <w:rPr>
                <w:rFonts w:ascii="宋体"/>
                <w:szCs w:val="21"/>
              </w:rPr>
            </w:pPr>
            <w:r>
              <w:rPr>
                <w:rFonts w:hint="eastAsia" w:ascii="宋体" w:hAnsi="宋体"/>
                <w:szCs w:val="21"/>
              </w:rPr>
              <w:t>质量保证金扣留百分比</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hAnsi="宋体"/>
                <w:szCs w:val="21"/>
              </w:rPr>
            </w:pPr>
            <w:r>
              <w:rPr>
                <w:rFonts w:ascii="宋体" w:hAnsi="宋体"/>
                <w:szCs w:val="21"/>
              </w:rPr>
              <w:t>12</w:t>
            </w:r>
          </w:p>
        </w:tc>
        <w:tc>
          <w:tcPr>
            <w:tcW w:w="2693" w:type="dxa"/>
            <w:vAlign w:val="center"/>
          </w:tcPr>
          <w:p>
            <w:pPr>
              <w:rPr>
                <w:rFonts w:ascii="宋体"/>
                <w:szCs w:val="21"/>
              </w:rPr>
            </w:pPr>
            <w:r>
              <w:rPr>
                <w:rFonts w:hint="eastAsia" w:ascii="宋体" w:hAnsi="宋体"/>
                <w:szCs w:val="21"/>
              </w:rPr>
              <w:t>质量保证金额度</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1" w:type="dxa"/>
            <w:vAlign w:val="center"/>
          </w:tcPr>
          <w:p>
            <w:pPr>
              <w:jc w:val="center"/>
              <w:rPr>
                <w:rFonts w:ascii="宋体"/>
                <w:szCs w:val="21"/>
              </w:rPr>
            </w:pPr>
          </w:p>
        </w:tc>
        <w:tc>
          <w:tcPr>
            <w:tcW w:w="2693" w:type="dxa"/>
            <w:vAlign w:val="center"/>
          </w:tcPr>
          <w:p>
            <w:pPr>
              <w:overflowPunct w:val="0"/>
              <w:autoSpaceDE w:val="0"/>
              <w:autoSpaceDN w:val="0"/>
              <w:adjustRightInd w:val="0"/>
              <w:spacing w:line="440" w:lineRule="exact"/>
              <w:rPr>
                <w:rFonts w:ascii="宋体" w:hAnsi="宋体"/>
                <w:szCs w:val="21"/>
              </w:rPr>
            </w:pPr>
            <w:r>
              <w:rPr>
                <w:rFonts w:ascii="宋体" w:hAnsi="宋体"/>
                <w:szCs w:val="21"/>
              </w:rPr>
              <w:t>?-?-</w:t>
            </w:r>
          </w:p>
        </w:tc>
        <w:tc>
          <w:tcPr>
            <w:tcW w:w="1418" w:type="dxa"/>
            <w:tcMar>
              <w:left w:w="170" w:type="dxa"/>
            </w:tcMar>
            <w:vAlign w:val="center"/>
          </w:tcPr>
          <w:p>
            <w:pPr>
              <w:rPr>
                <w:rFonts w:ascii="宋体"/>
                <w:szCs w:val="21"/>
              </w:rPr>
            </w:pPr>
          </w:p>
        </w:tc>
        <w:tc>
          <w:tcPr>
            <w:tcW w:w="1906" w:type="dxa"/>
            <w:vAlign w:val="center"/>
          </w:tcPr>
          <w:p>
            <w:pPr>
              <w:jc w:val="center"/>
              <w:rPr>
                <w:rFonts w:ascii="宋体"/>
                <w:szCs w:val="21"/>
              </w:rPr>
            </w:pPr>
          </w:p>
        </w:tc>
        <w:tc>
          <w:tcPr>
            <w:tcW w:w="1637"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8505" w:type="dxa"/>
            <w:gridSpan w:val="5"/>
            <w:vAlign w:val="center"/>
          </w:tcPr>
          <w:p>
            <w:pPr>
              <w:rPr>
                <w:rFonts w:ascii="宋体"/>
                <w:szCs w:val="21"/>
              </w:rPr>
            </w:pPr>
            <w:r>
              <w:rPr>
                <w:rFonts w:hint="eastAsia" w:ascii="宋体" w:hAnsi="宋体"/>
                <w:szCs w:val="21"/>
              </w:rPr>
              <w:t>备注：供应商在响应响应文件中规定的实质性要求和条件的基础上，可做出其他有利于采购人的承诺。此类承诺可在本表中予以补充填写。</w:t>
            </w:r>
          </w:p>
        </w:tc>
      </w:tr>
    </w:tbl>
    <w:p>
      <w:pPr>
        <w:spacing w:line="480" w:lineRule="exact"/>
        <w:ind w:firstLine="422" w:firstLineChars="200"/>
        <w:rPr>
          <w:rFonts w:ascii="宋体"/>
          <w:szCs w:val="21"/>
        </w:rPr>
      </w:pPr>
      <w:r>
        <w:rPr>
          <w:rFonts w:hint="eastAsia" w:ascii="宋体" w:hAnsi="宋体"/>
          <w:b/>
          <w:szCs w:val="21"/>
        </w:rPr>
        <w:t>供应商</w:t>
      </w:r>
      <w:r>
        <w:rPr>
          <w:rFonts w:hint="eastAsia" w:ascii="宋体" w:hAnsi="宋体"/>
          <w:szCs w:val="21"/>
        </w:rPr>
        <w:t>（盖章）：</w:t>
      </w:r>
    </w:p>
    <w:p>
      <w:pPr>
        <w:spacing w:line="480" w:lineRule="exact"/>
        <w:ind w:firstLine="422" w:firstLineChars="200"/>
        <w:rPr>
          <w:rFonts w:ascii="宋体"/>
          <w:szCs w:val="21"/>
        </w:rPr>
      </w:pPr>
      <w:r>
        <w:rPr>
          <w:rFonts w:hint="eastAsia" w:ascii="宋体" w:hAnsi="宋体"/>
          <w:b/>
          <w:szCs w:val="21"/>
        </w:rPr>
        <w:t>法人代表或委托代理人</w:t>
      </w:r>
      <w:r>
        <w:rPr>
          <w:rFonts w:hint="eastAsia" w:ascii="宋体" w:hAnsi="宋体"/>
          <w:szCs w:val="21"/>
        </w:rPr>
        <w:t>（签字或盖章）：</w:t>
      </w:r>
    </w:p>
    <w:p>
      <w:pPr>
        <w:spacing w:line="480" w:lineRule="exact"/>
        <w:ind w:firstLine="422" w:firstLineChars="200"/>
        <w:rPr>
          <w:rFonts w:ascii="宋体"/>
          <w:b/>
          <w:szCs w:val="21"/>
        </w:rPr>
      </w:pPr>
      <w:r>
        <w:rPr>
          <w:rFonts w:hint="eastAsia" w:ascii="宋体" w:hAnsi="宋体"/>
          <w:b/>
          <w:szCs w:val="21"/>
        </w:rPr>
        <w:t>日期：年月日</w:t>
      </w:r>
    </w:p>
    <w:p>
      <w:pPr>
        <w:spacing w:beforeLines="50"/>
        <w:jc w:val="center"/>
        <w:rPr>
          <w:rFonts w:ascii="宋体"/>
          <w:b/>
          <w:bCs/>
          <w:kern w:val="44"/>
          <w:sz w:val="28"/>
          <w:szCs w:val="28"/>
        </w:rPr>
      </w:pPr>
      <w:r>
        <w:rPr>
          <w:rFonts w:ascii="宋体"/>
          <w:b/>
          <w:szCs w:val="21"/>
        </w:rPr>
        <w:br w:type="page"/>
      </w:r>
      <w:r>
        <w:rPr>
          <w:rFonts w:hint="eastAsia" w:ascii="宋体" w:hAnsi="宋体"/>
          <w:b/>
          <w:bCs/>
          <w:kern w:val="44"/>
          <w:sz w:val="28"/>
          <w:szCs w:val="28"/>
        </w:rPr>
        <w:t>投标函附录</w:t>
      </w:r>
      <w:r>
        <w:rPr>
          <w:rFonts w:ascii="宋体" w:hAnsi="宋体"/>
          <w:b/>
          <w:bCs/>
          <w:kern w:val="44"/>
          <w:sz w:val="28"/>
          <w:szCs w:val="28"/>
        </w:rPr>
        <w:t>-2</w:t>
      </w:r>
    </w:p>
    <w:p>
      <w:pPr>
        <w:ind w:firstLine="248" w:firstLineChars="99"/>
        <w:jc w:val="center"/>
        <w:rPr>
          <w:rFonts w:ascii="宋体"/>
          <w:b/>
          <w:bCs/>
          <w:sz w:val="25"/>
          <w:szCs w:val="25"/>
        </w:rPr>
      </w:pPr>
      <w:bookmarkStart w:id="244" w:name="_Toc82500137"/>
      <w:r>
        <w:rPr>
          <w:rFonts w:hint="eastAsia" w:ascii="宋体" w:hAnsi="宋体"/>
          <w:b/>
          <w:bCs/>
          <w:sz w:val="25"/>
          <w:szCs w:val="25"/>
        </w:rPr>
        <w:t>工程唱标单（格式）</w:t>
      </w:r>
      <w:bookmarkEnd w:id="244"/>
    </w:p>
    <w:tbl>
      <w:tblPr>
        <w:tblStyle w:val="16"/>
        <w:tblW w:w="87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488"/>
        <w:gridCol w:w="28"/>
        <w:gridCol w:w="1082"/>
        <w:gridCol w:w="840"/>
        <w:gridCol w:w="840"/>
        <w:gridCol w:w="840"/>
        <w:gridCol w:w="1050"/>
        <w:gridCol w:w="1353"/>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atLeast"/>
          <w:jc w:val="center"/>
        </w:trPr>
        <w:tc>
          <w:tcPr>
            <w:tcW w:w="8701" w:type="dxa"/>
            <w:gridSpan w:val="10"/>
            <w:vAlign w:val="center"/>
          </w:tcPr>
          <w:p>
            <w:pPr>
              <w:spacing w:line="320" w:lineRule="exact"/>
              <w:rPr>
                <w:rFonts w:ascii="宋体"/>
                <w:bCs/>
                <w:szCs w:val="21"/>
              </w:rPr>
            </w:pPr>
            <w:r>
              <w:rPr>
                <w:rFonts w:hint="eastAsia" w:ascii="宋体" w:hAnsi="宋体"/>
                <w:bCs/>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8701" w:type="dxa"/>
            <w:gridSpan w:val="10"/>
            <w:vAlign w:val="center"/>
          </w:tcPr>
          <w:p>
            <w:pPr>
              <w:spacing w:line="320" w:lineRule="exact"/>
              <w:rPr>
                <w:rFonts w:ascii="宋体" w:hAnsi="宋体"/>
                <w:bCs/>
                <w:szCs w:val="21"/>
              </w:rPr>
            </w:pPr>
            <w:r>
              <w:rPr>
                <w:rFonts w:hint="eastAsia" w:ascii="宋体" w:hAnsi="宋体"/>
                <w:bCs/>
                <w:szCs w:val="21"/>
              </w:rPr>
              <w:t>工程名称：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7" w:hRule="atLeast"/>
          <w:jc w:val="center"/>
        </w:trPr>
        <w:tc>
          <w:tcPr>
            <w:tcW w:w="8701" w:type="dxa"/>
            <w:gridSpan w:val="10"/>
            <w:vAlign w:val="center"/>
          </w:tcPr>
          <w:p>
            <w:pPr>
              <w:spacing w:line="320" w:lineRule="exact"/>
              <w:rPr>
                <w:rFonts w:ascii="宋体"/>
                <w:bCs/>
                <w:szCs w:val="21"/>
                <w:u w:val="single"/>
              </w:rPr>
            </w:pPr>
            <w:r>
              <w:rPr>
                <w:rFonts w:hint="eastAsia" w:ascii="宋体" w:hAnsi="宋体"/>
                <w:bCs/>
                <w:szCs w:val="21"/>
                <w:u w:val="single"/>
              </w:rPr>
              <w:t>投标报价：大写：；（小写：元）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5" w:hRule="exact"/>
          <w:jc w:val="center"/>
        </w:trPr>
        <w:tc>
          <w:tcPr>
            <w:tcW w:w="1549" w:type="dxa"/>
            <w:gridSpan w:val="2"/>
            <w:vAlign w:val="center"/>
          </w:tcPr>
          <w:p>
            <w:pPr>
              <w:spacing w:line="320" w:lineRule="exact"/>
              <w:jc w:val="center"/>
              <w:rPr>
                <w:rFonts w:ascii="宋体"/>
                <w:bCs/>
                <w:szCs w:val="21"/>
              </w:rPr>
            </w:pPr>
            <w:r>
              <w:rPr>
                <w:rFonts w:hint="eastAsia" w:ascii="宋体" w:hAnsi="宋体"/>
                <w:bCs/>
                <w:szCs w:val="21"/>
              </w:rPr>
              <w:t>清单外项目</w:t>
            </w:r>
          </w:p>
          <w:p>
            <w:pPr>
              <w:spacing w:line="320" w:lineRule="exact"/>
              <w:jc w:val="center"/>
              <w:rPr>
                <w:rFonts w:ascii="宋体"/>
                <w:bCs/>
                <w:szCs w:val="21"/>
              </w:rPr>
            </w:pPr>
            <w:r>
              <w:rPr>
                <w:rFonts w:hint="eastAsia" w:ascii="宋体" w:hAnsi="宋体"/>
                <w:bCs/>
                <w:szCs w:val="21"/>
              </w:rPr>
              <w:t>人工单价</w:t>
            </w:r>
          </w:p>
          <w:p>
            <w:pPr>
              <w:spacing w:line="320" w:lineRule="exact"/>
              <w:jc w:val="center"/>
              <w:rPr>
                <w:rFonts w:ascii="宋体"/>
                <w:bCs/>
                <w:szCs w:val="21"/>
              </w:rPr>
            </w:pPr>
            <w:r>
              <w:rPr>
                <w:rFonts w:hint="eastAsia" w:ascii="宋体" w:hAnsi="宋体"/>
                <w:bCs/>
                <w:szCs w:val="21"/>
              </w:rPr>
              <w:t>（元</w:t>
            </w:r>
            <w:r>
              <w:rPr>
                <w:rFonts w:ascii="宋体" w:hAnsi="宋体"/>
                <w:bCs/>
                <w:szCs w:val="21"/>
              </w:rPr>
              <w:t>/</w:t>
            </w:r>
            <w:r>
              <w:rPr>
                <w:rFonts w:hint="eastAsia" w:ascii="宋体" w:hAnsi="宋体"/>
                <w:bCs/>
                <w:szCs w:val="21"/>
              </w:rPr>
              <w:t>工日）</w:t>
            </w:r>
          </w:p>
        </w:tc>
        <w:tc>
          <w:tcPr>
            <w:tcW w:w="7152" w:type="dxa"/>
            <w:gridSpan w:val="8"/>
            <w:vAlign w:val="center"/>
          </w:tcPr>
          <w:p>
            <w:pPr>
              <w:spacing w:line="320" w:lineRule="exact"/>
              <w:rPr>
                <w:rFonts w:ascii="宋体" w:hAnsi="宋体"/>
                <w:bCs/>
                <w:szCs w:val="21"/>
              </w:rPr>
            </w:pPr>
            <w:r>
              <w:rPr>
                <w:rFonts w:hint="eastAsia" w:ascii="宋体" w:hAnsi="宋体"/>
                <w:bCs/>
                <w:szCs w:val="21"/>
              </w:rPr>
              <w:t>建筑</w:t>
            </w:r>
            <w:r>
              <w:rPr>
                <w:rFonts w:ascii="宋体" w:hAnsi="宋体"/>
                <w:bCs/>
                <w:szCs w:val="21"/>
              </w:rPr>
              <w:t>:</w:t>
            </w:r>
          </w:p>
          <w:p>
            <w:pPr>
              <w:spacing w:line="320" w:lineRule="exact"/>
              <w:rPr>
                <w:rFonts w:ascii="宋体" w:hAnsi="宋体"/>
                <w:bCs/>
                <w:szCs w:val="21"/>
              </w:rPr>
            </w:pPr>
            <w:r>
              <w:rPr>
                <w:rFonts w:hint="eastAsia" w:ascii="宋体" w:hAnsi="宋体"/>
                <w:bCs/>
                <w:szCs w:val="21"/>
              </w:rPr>
              <w:t>装饰</w:t>
            </w:r>
            <w:r>
              <w:rPr>
                <w:rFonts w:ascii="宋体" w:hAnsi="宋体"/>
                <w:bCs/>
                <w:szCs w:val="21"/>
              </w:rPr>
              <w:t>:</w:t>
            </w:r>
          </w:p>
          <w:p>
            <w:pPr>
              <w:spacing w:line="320" w:lineRule="exact"/>
              <w:rPr>
                <w:rFonts w:ascii="宋体" w:hAnsi="宋体"/>
                <w:bCs/>
                <w:szCs w:val="21"/>
              </w:rPr>
            </w:pPr>
            <w:r>
              <w:rPr>
                <w:rFonts w:hint="eastAsia" w:ascii="宋体" w:hAnsi="宋体"/>
                <w:bCs/>
                <w:szCs w:val="21"/>
              </w:rPr>
              <w:t>安装</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61" w:type="dxa"/>
            <w:vAlign w:val="center"/>
          </w:tcPr>
          <w:p>
            <w:pPr>
              <w:spacing w:line="320" w:lineRule="exact"/>
              <w:jc w:val="center"/>
              <w:rPr>
                <w:rFonts w:ascii="宋体"/>
                <w:bCs/>
                <w:szCs w:val="21"/>
              </w:rPr>
            </w:pPr>
            <w:r>
              <w:rPr>
                <w:rFonts w:hint="eastAsia" w:ascii="宋体" w:hAnsi="宋体"/>
                <w:bCs/>
                <w:szCs w:val="21"/>
              </w:rPr>
              <w:t>工期</w:t>
            </w:r>
          </w:p>
          <w:p>
            <w:pPr>
              <w:spacing w:line="320" w:lineRule="exact"/>
              <w:jc w:val="center"/>
              <w:rPr>
                <w:rFonts w:ascii="宋体"/>
                <w:bCs/>
                <w:szCs w:val="21"/>
              </w:rPr>
            </w:pPr>
            <w:r>
              <w:rPr>
                <w:rFonts w:hint="eastAsia" w:ascii="宋体" w:hAnsi="宋体"/>
                <w:bCs/>
                <w:szCs w:val="21"/>
              </w:rPr>
              <w:t>要求</w:t>
            </w:r>
          </w:p>
        </w:tc>
        <w:tc>
          <w:tcPr>
            <w:tcW w:w="7640" w:type="dxa"/>
            <w:gridSpan w:val="9"/>
            <w:vAlign w:val="bottom"/>
          </w:tcPr>
          <w:p>
            <w:pPr>
              <w:spacing w:line="320" w:lineRule="exact"/>
              <w:rPr>
                <w:rFonts w:ascii="宋体"/>
                <w:bCs/>
                <w:szCs w:val="21"/>
              </w:rPr>
            </w:pPr>
            <w:r>
              <w:rPr>
                <w:rFonts w:hint="eastAsia" w:ascii="宋体" w:hAnsi="宋体"/>
                <w:bCs/>
                <w:szCs w:val="21"/>
              </w:rPr>
              <w:t>开工时间：</w:t>
            </w:r>
          </w:p>
          <w:p>
            <w:pPr>
              <w:spacing w:line="320" w:lineRule="exact"/>
              <w:rPr>
                <w:rFonts w:ascii="宋体"/>
                <w:bCs/>
                <w:szCs w:val="21"/>
              </w:rPr>
            </w:pPr>
            <w:r>
              <w:rPr>
                <w:rFonts w:hint="eastAsia" w:ascii="宋体" w:hAnsi="宋体"/>
                <w:bCs/>
                <w:szCs w:val="21"/>
              </w:rPr>
              <w:t>竣工时间：</w:t>
            </w:r>
          </w:p>
          <w:p>
            <w:pPr>
              <w:spacing w:line="320" w:lineRule="exact"/>
              <w:rPr>
                <w:rFonts w:ascii="宋体"/>
                <w:bCs/>
                <w:szCs w:val="21"/>
              </w:rPr>
            </w:pPr>
            <w:r>
              <w:rPr>
                <w:rFonts w:hint="eastAsia" w:ascii="宋体" w:hAnsi="宋体"/>
                <w:bCs/>
                <w:szCs w:val="21"/>
              </w:rPr>
              <w:t>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jc w:val="center"/>
        </w:trPr>
        <w:tc>
          <w:tcPr>
            <w:tcW w:w="1577" w:type="dxa"/>
            <w:gridSpan w:val="3"/>
            <w:vAlign w:val="center"/>
          </w:tcPr>
          <w:p>
            <w:pPr>
              <w:spacing w:line="320" w:lineRule="exact"/>
              <w:jc w:val="center"/>
              <w:rPr>
                <w:rFonts w:ascii="宋体"/>
                <w:bCs/>
                <w:szCs w:val="21"/>
              </w:rPr>
            </w:pPr>
            <w:r>
              <w:rPr>
                <w:rFonts w:hint="eastAsia" w:ascii="宋体" w:hAnsi="宋体"/>
                <w:bCs/>
                <w:szCs w:val="21"/>
              </w:rPr>
              <w:t>项目经理</w:t>
            </w:r>
          </w:p>
        </w:tc>
        <w:tc>
          <w:tcPr>
            <w:tcW w:w="1082" w:type="dxa"/>
            <w:vAlign w:val="center"/>
          </w:tcPr>
          <w:p>
            <w:pPr>
              <w:spacing w:line="320" w:lineRule="exact"/>
              <w:jc w:val="center"/>
              <w:rPr>
                <w:rFonts w:ascii="宋体"/>
                <w:bCs/>
                <w:szCs w:val="21"/>
              </w:rPr>
            </w:pPr>
          </w:p>
        </w:tc>
        <w:tc>
          <w:tcPr>
            <w:tcW w:w="840" w:type="dxa"/>
            <w:vAlign w:val="center"/>
          </w:tcPr>
          <w:p>
            <w:pPr>
              <w:spacing w:line="320" w:lineRule="exact"/>
              <w:jc w:val="center"/>
              <w:rPr>
                <w:rFonts w:ascii="宋体"/>
                <w:bCs/>
                <w:szCs w:val="21"/>
              </w:rPr>
            </w:pPr>
            <w:r>
              <w:rPr>
                <w:rFonts w:hint="eastAsia" w:ascii="宋体" w:hAnsi="宋体"/>
                <w:bCs/>
                <w:szCs w:val="21"/>
              </w:rPr>
              <w:t>级别</w:t>
            </w:r>
          </w:p>
        </w:tc>
        <w:tc>
          <w:tcPr>
            <w:tcW w:w="840" w:type="dxa"/>
            <w:vAlign w:val="center"/>
          </w:tcPr>
          <w:p>
            <w:pPr>
              <w:spacing w:line="320" w:lineRule="exact"/>
              <w:jc w:val="center"/>
              <w:rPr>
                <w:rFonts w:ascii="宋体"/>
                <w:bCs/>
                <w:szCs w:val="21"/>
              </w:rPr>
            </w:pPr>
          </w:p>
        </w:tc>
        <w:tc>
          <w:tcPr>
            <w:tcW w:w="840" w:type="dxa"/>
            <w:vAlign w:val="center"/>
          </w:tcPr>
          <w:p>
            <w:pPr>
              <w:spacing w:line="320" w:lineRule="exact"/>
              <w:jc w:val="center"/>
              <w:rPr>
                <w:rFonts w:ascii="宋体"/>
                <w:bCs/>
                <w:szCs w:val="21"/>
              </w:rPr>
            </w:pPr>
            <w:r>
              <w:rPr>
                <w:rFonts w:hint="eastAsia" w:ascii="宋体" w:hAnsi="宋体"/>
                <w:bCs/>
                <w:szCs w:val="21"/>
              </w:rPr>
              <w:t>编号</w:t>
            </w:r>
          </w:p>
        </w:tc>
        <w:tc>
          <w:tcPr>
            <w:tcW w:w="1050" w:type="dxa"/>
            <w:vAlign w:val="center"/>
          </w:tcPr>
          <w:p>
            <w:pPr>
              <w:spacing w:line="320" w:lineRule="exact"/>
              <w:jc w:val="center"/>
              <w:rPr>
                <w:rFonts w:ascii="宋体"/>
                <w:bCs/>
                <w:szCs w:val="21"/>
              </w:rPr>
            </w:pPr>
          </w:p>
        </w:tc>
        <w:tc>
          <w:tcPr>
            <w:tcW w:w="1353" w:type="dxa"/>
            <w:vAlign w:val="center"/>
          </w:tcPr>
          <w:p>
            <w:pPr>
              <w:spacing w:line="320" w:lineRule="exact"/>
              <w:jc w:val="center"/>
              <w:rPr>
                <w:rFonts w:ascii="宋体"/>
                <w:bCs/>
                <w:color w:val="FF0000"/>
                <w:szCs w:val="21"/>
              </w:rPr>
            </w:pPr>
            <w:r>
              <w:rPr>
                <w:rFonts w:hint="eastAsia" w:ascii="宋体" w:hAnsi="宋体"/>
                <w:bCs/>
                <w:szCs w:val="21"/>
              </w:rPr>
              <w:t>技术负责人</w:t>
            </w:r>
          </w:p>
        </w:tc>
        <w:tc>
          <w:tcPr>
            <w:tcW w:w="1119" w:type="dxa"/>
            <w:vAlign w:val="center"/>
          </w:tcPr>
          <w:p>
            <w:pPr>
              <w:spacing w:line="320" w:lineRule="exact"/>
              <w:jc w:val="center"/>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5" w:hRule="atLeast"/>
          <w:jc w:val="center"/>
        </w:trPr>
        <w:tc>
          <w:tcPr>
            <w:tcW w:w="8701" w:type="dxa"/>
            <w:gridSpan w:val="10"/>
            <w:vAlign w:val="center"/>
          </w:tcPr>
          <w:p>
            <w:pPr>
              <w:spacing w:line="320" w:lineRule="exact"/>
              <w:rPr>
                <w:rFonts w:ascii="宋体"/>
                <w:bCs/>
                <w:szCs w:val="21"/>
              </w:rPr>
            </w:pPr>
            <w:r>
              <w:rPr>
                <w:rFonts w:hint="eastAsia" w:ascii="宋体" w:hAnsi="宋体"/>
                <w:bCs/>
                <w:szCs w:val="21"/>
              </w:rPr>
              <w:t>承诺项目经理及项目技术负责人不兼职其他工程项目，如确有原因须更换，须事先征得业主同意。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jc w:val="center"/>
        </w:trPr>
        <w:tc>
          <w:tcPr>
            <w:tcW w:w="8701" w:type="dxa"/>
            <w:gridSpan w:val="10"/>
            <w:vAlign w:val="center"/>
          </w:tcPr>
          <w:p>
            <w:pPr>
              <w:spacing w:line="320" w:lineRule="exact"/>
              <w:rPr>
                <w:rFonts w:ascii="宋体"/>
                <w:bCs/>
                <w:szCs w:val="21"/>
              </w:rPr>
            </w:pPr>
            <w:r>
              <w:rPr>
                <w:rFonts w:hint="eastAsia" w:ascii="宋体" w:hAnsi="宋体"/>
                <w:bCs/>
                <w:szCs w:val="21"/>
              </w:rPr>
              <w:t>本供应商完全认同响应文件的各项条款要求。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jc w:val="center"/>
        </w:trPr>
        <w:tc>
          <w:tcPr>
            <w:tcW w:w="8701" w:type="dxa"/>
            <w:gridSpan w:val="10"/>
            <w:vAlign w:val="center"/>
          </w:tcPr>
          <w:p>
            <w:pPr>
              <w:spacing w:line="320" w:lineRule="exact"/>
              <w:rPr>
                <w:rFonts w:ascii="宋体"/>
                <w:bCs/>
                <w:szCs w:val="21"/>
              </w:rPr>
            </w:pPr>
            <w:r>
              <w:rPr>
                <w:rFonts w:hint="eastAsia" w:ascii="宋体" w:hAnsi="宋体"/>
                <w:bCs/>
                <w:szCs w:val="21"/>
              </w:rPr>
              <w:t>供应商现场确认（签字）：</w:t>
            </w:r>
          </w:p>
        </w:tc>
      </w:tr>
    </w:tbl>
    <w:p>
      <w:pPr>
        <w:ind w:firstLine="209" w:firstLineChars="99"/>
        <w:rPr>
          <w:rFonts w:ascii="宋体"/>
          <w:b/>
          <w:bCs/>
          <w:szCs w:val="21"/>
        </w:rPr>
      </w:pPr>
    </w:p>
    <w:p>
      <w:pPr>
        <w:ind w:firstLine="209" w:firstLineChars="99"/>
        <w:rPr>
          <w:rFonts w:ascii="宋体"/>
          <w:b/>
          <w:bCs/>
          <w:szCs w:val="21"/>
        </w:rPr>
      </w:pPr>
      <w:r>
        <w:rPr>
          <w:rFonts w:hint="eastAsia" w:ascii="宋体" w:hAnsi="宋体"/>
          <w:b/>
          <w:bCs/>
          <w:szCs w:val="21"/>
        </w:rPr>
        <w:t>供应商（盖章）</w:t>
      </w:r>
    </w:p>
    <w:p>
      <w:pPr>
        <w:ind w:firstLine="209" w:firstLineChars="99"/>
        <w:rPr>
          <w:rFonts w:ascii="宋体"/>
          <w:b/>
          <w:bCs/>
          <w:szCs w:val="21"/>
          <w:u w:val="single"/>
        </w:rPr>
      </w:pPr>
      <w:r>
        <w:rPr>
          <w:rFonts w:hint="eastAsia" w:ascii="宋体" w:hAnsi="宋体"/>
          <w:b/>
          <w:bCs/>
          <w:szCs w:val="21"/>
        </w:rPr>
        <w:t>法定代表人：（签字或盖章）年月日</w:t>
      </w:r>
    </w:p>
    <w:p>
      <w:pPr>
        <w:ind w:left="630" w:hanging="630" w:hangingChars="299"/>
        <w:rPr>
          <w:rFonts w:ascii="宋体"/>
          <w:b/>
          <w:bCs/>
          <w:szCs w:val="21"/>
        </w:rPr>
      </w:pPr>
    </w:p>
    <w:p>
      <w:pPr>
        <w:ind w:left="630" w:hanging="630" w:hangingChars="299"/>
        <w:rPr>
          <w:rFonts w:ascii="宋体"/>
          <w:b/>
          <w:bCs/>
          <w:szCs w:val="21"/>
        </w:rPr>
      </w:pPr>
      <w:r>
        <w:rPr>
          <w:rFonts w:hint="eastAsia" w:ascii="宋体" w:hAnsi="宋体"/>
          <w:b/>
          <w:bCs/>
          <w:szCs w:val="21"/>
        </w:rPr>
        <w:t>注：</w:t>
      </w:r>
      <w:r>
        <w:rPr>
          <w:rFonts w:ascii="宋体" w:hAnsi="宋体"/>
          <w:b/>
          <w:bCs/>
          <w:szCs w:val="21"/>
        </w:rPr>
        <w:t xml:space="preserve"> 1</w:t>
      </w:r>
      <w:r>
        <w:rPr>
          <w:rFonts w:hint="eastAsia" w:ascii="宋体" w:hAnsi="宋体"/>
          <w:b/>
          <w:bCs/>
          <w:szCs w:val="21"/>
        </w:rPr>
        <w:t>、本唱标单一式两份单独密封，各项内容务必填写详细，可以填满，但不允许添加附页。</w:t>
      </w:r>
    </w:p>
    <w:p>
      <w:pPr>
        <w:overflowPunct w:val="0"/>
        <w:autoSpaceDE w:val="0"/>
        <w:autoSpaceDN w:val="0"/>
        <w:adjustRightInd w:val="0"/>
        <w:ind w:firstLine="632" w:firstLineChars="300"/>
        <w:jc w:val="left"/>
        <w:rPr>
          <w:rFonts w:ascii="宋体"/>
          <w:b/>
          <w:bCs/>
          <w:szCs w:val="21"/>
        </w:rPr>
      </w:pPr>
      <w:r>
        <w:rPr>
          <w:rFonts w:ascii="宋体" w:hAnsi="宋体"/>
          <w:b/>
          <w:bCs/>
          <w:szCs w:val="21"/>
        </w:rPr>
        <w:t>2</w:t>
      </w:r>
      <w:r>
        <w:rPr>
          <w:rFonts w:hint="eastAsia" w:ascii="宋体" w:hAnsi="宋体"/>
          <w:b/>
          <w:bCs/>
          <w:szCs w:val="21"/>
        </w:rPr>
        <w:t>、响应文件要求竞报费率的，不填按</w:t>
      </w:r>
      <w:r>
        <w:rPr>
          <w:rFonts w:ascii="宋体"/>
          <w:b/>
          <w:bCs/>
          <w:szCs w:val="21"/>
        </w:rPr>
        <w:t>0</w:t>
      </w:r>
      <w:r>
        <w:rPr>
          <w:rFonts w:hint="eastAsia" w:ascii="宋体" w:hAnsi="宋体"/>
          <w:b/>
          <w:bCs/>
          <w:szCs w:val="21"/>
        </w:rPr>
        <w:t>计。</w:t>
      </w:r>
    </w:p>
    <w:p>
      <w:pPr>
        <w:overflowPunct w:val="0"/>
        <w:autoSpaceDE w:val="0"/>
        <w:autoSpaceDN w:val="0"/>
        <w:adjustRightInd w:val="0"/>
        <w:ind w:firstLine="654" w:firstLineChars="310"/>
        <w:jc w:val="left"/>
        <w:rPr>
          <w:rFonts w:ascii="宋体"/>
          <w:b/>
          <w:bCs/>
          <w:szCs w:val="21"/>
        </w:rPr>
      </w:pPr>
      <w:r>
        <w:rPr>
          <w:rFonts w:ascii="宋体" w:hAnsi="宋体"/>
          <w:b/>
          <w:bCs/>
          <w:szCs w:val="21"/>
        </w:rPr>
        <w:t>3</w:t>
      </w:r>
      <w:r>
        <w:rPr>
          <w:rFonts w:hint="eastAsia" w:ascii="宋体" w:hAnsi="宋体"/>
          <w:b/>
          <w:bCs/>
          <w:szCs w:val="21"/>
        </w:rPr>
        <w:t>、在评标过程中，评定内容的具体数据以此表为准。</w:t>
      </w:r>
    </w:p>
    <w:p>
      <w:pPr>
        <w:spacing w:line="500" w:lineRule="exact"/>
        <w:ind w:right="480" w:firstLine="3480" w:firstLineChars="1450"/>
        <w:rPr>
          <w:rFonts w:ascii="宋体"/>
          <w:sz w:val="24"/>
        </w:rPr>
      </w:pPr>
    </w:p>
    <w:p>
      <w:pPr>
        <w:spacing w:line="500" w:lineRule="exact"/>
        <w:ind w:right="480" w:firstLine="3480" w:firstLineChars="1450"/>
        <w:rPr>
          <w:rFonts w:ascii="宋体"/>
          <w:sz w:val="24"/>
        </w:rPr>
      </w:pPr>
    </w:p>
    <w:p>
      <w:pPr>
        <w:pStyle w:val="2"/>
        <w:spacing w:beforeLines="50" w:line="360" w:lineRule="exact"/>
        <w:jc w:val="center"/>
        <w:rPr>
          <w:rFonts w:ascii="宋体"/>
          <w:sz w:val="28"/>
          <w:szCs w:val="28"/>
        </w:rPr>
      </w:pPr>
      <w:bookmarkStart w:id="245" w:name="_Toc234382961"/>
    </w:p>
    <w:p>
      <w:pPr>
        <w:rPr>
          <w:rFonts w:ascii="宋体"/>
          <w:sz w:val="28"/>
          <w:szCs w:val="28"/>
        </w:rPr>
      </w:pPr>
      <w:r>
        <w:rPr>
          <w:rFonts w:ascii="宋体"/>
          <w:sz w:val="28"/>
          <w:szCs w:val="28"/>
        </w:rPr>
        <w:br w:type="textWrapping"/>
      </w:r>
    </w:p>
    <w:p>
      <w:pPr>
        <w:rPr>
          <w:rFonts w:ascii="宋体"/>
          <w:sz w:val="28"/>
          <w:szCs w:val="28"/>
        </w:rPr>
      </w:pPr>
    </w:p>
    <w:p>
      <w:pPr>
        <w:pStyle w:val="2"/>
        <w:spacing w:beforeLines="100" w:afterLines="150" w:line="360" w:lineRule="exact"/>
        <w:jc w:val="center"/>
        <w:rPr>
          <w:rFonts w:ascii="宋体"/>
          <w:sz w:val="28"/>
          <w:szCs w:val="28"/>
        </w:rPr>
      </w:pPr>
      <w:bookmarkStart w:id="246" w:name="_Toc13070"/>
      <w:bookmarkStart w:id="247" w:name="_Toc11912"/>
      <w:r>
        <w:rPr>
          <w:rFonts w:hint="eastAsia" w:ascii="宋体" w:hAnsi="宋体"/>
          <w:sz w:val="28"/>
          <w:szCs w:val="28"/>
        </w:rPr>
        <w:t>二、</w:t>
      </w:r>
      <w:bookmarkEnd w:id="245"/>
      <w:bookmarkEnd w:id="246"/>
      <w:bookmarkStart w:id="248" w:name="_Toc234382962"/>
      <w:bookmarkStart w:id="249" w:name="_Toc16561"/>
      <w:r>
        <w:rPr>
          <w:rFonts w:hint="eastAsia" w:ascii="宋体" w:hAnsi="宋体"/>
          <w:sz w:val="28"/>
          <w:szCs w:val="28"/>
        </w:rPr>
        <w:t>法定代表人身份证明</w:t>
      </w:r>
      <w:bookmarkEnd w:id="247"/>
      <w:bookmarkEnd w:id="248"/>
      <w:bookmarkEnd w:id="249"/>
    </w:p>
    <w:p>
      <w:pPr>
        <w:rPr>
          <w:rFonts w:ascii="宋体"/>
          <w:sz w:val="24"/>
        </w:rPr>
      </w:pPr>
    </w:p>
    <w:p>
      <w:pPr>
        <w:rPr>
          <w:rFonts w:ascii="宋体"/>
          <w:sz w:val="24"/>
        </w:rPr>
      </w:pPr>
    </w:p>
    <w:p>
      <w:pPr>
        <w:spacing w:line="500" w:lineRule="exact"/>
        <w:rPr>
          <w:rFonts w:ascii="宋体"/>
          <w:sz w:val="24"/>
        </w:rPr>
      </w:pPr>
      <w:r>
        <w:rPr>
          <w:rFonts w:hint="eastAsia" w:ascii="宋体" w:hAnsi="宋体"/>
          <w:sz w:val="24"/>
        </w:rPr>
        <w:t>供应商名称：</w:t>
      </w:r>
    </w:p>
    <w:p>
      <w:pPr>
        <w:spacing w:line="500" w:lineRule="exact"/>
        <w:rPr>
          <w:rFonts w:ascii="宋体"/>
          <w:sz w:val="24"/>
          <w:u w:val="single"/>
        </w:rPr>
      </w:pPr>
      <w:r>
        <w:rPr>
          <w:rFonts w:hint="eastAsia" w:ascii="宋体" w:hAnsi="宋体"/>
          <w:spacing w:val="40"/>
          <w:kern w:val="0"/>
          <w:sz w:val="24"/>
        </w:rPr>
        <w:t>单位性</w:t>
      </w:r>
      <w:r>
        <w:rPr>
          <w:rFonts w:hint="eastAsia" w:ascii="宋体" w:hAnsi="宋体"/>
          <w:kern w:val="0"/>
          <w:sz w:val="24"/>
        </w:rPr>
        <w:t>质</w:t>
      </w:r>
      <w:r>
        <w:rPr>
          <w:rFonts w:hint="eastAsia" w:ascii="宋体" w:hAnsi="宋体"/>
          <w:sz w:val="24"/>
        </w:rPr>
        <w:t>：</w:t>
      </w:r>
    </w:p>
    <w:p>
      <w:pPr>
        <w:spacing w:line="500" w:lineRule="exact"/>
        <w:rPr>
          <w:rFonts w:ascii="宋体"/>
          <w:sz w:val="24"/>
        </w:rPr>
      </w:pPr>
      <w:r>
        <w:rPr>
          <w:rFonts w:hint="eastAsia" w:ascii="宋体" w:hAnsi="宋体"/>
          <w:spacing w:val="360"/>
          <w:kern w:val="0"/>
          <w:sz w:val="24"/>
        </w:rPr>
        <w:t>地</w:t>
      </w:r>
      <w:r>
        <w:rPr>
          <w:rFonts w:hint="eastAsia" w:ascii="宋体" w:hAnsi="宋体"/>
          <w:kern w:val="0"/>
          <w:sz w:val="24"/>
        </w:rPr>
        <w:t>址</w:t>
      </w:r>
      <w:r>
        <w:rPr>
          <w:rFonts w:hint="eastAsia" w:ascii="宋体" w:hAnsi="宋体"/>
          <w:sz w:val="24"/>
        </w:rPr>
        <w:t>：</w:t>
      </w:r>
    </w:p>
    <w:p>
      <w:pPr>
        <w:spacing w:line="500" w:lineRule="exact"/>
        <w:rPr>
          <w:rFonts w:ascii="宋体"/>
          <w:sz w:val="24"/>
        </w:rPr>
      </w:pPr>
      <w:r>
        <w:rPr>
          <w:rFonts w:hint="eastAsia" w:ascii="宋体" w:hAnsi="宋体"/>
          <w:sz w:val="24"/>
        </w:rPr>
        <w:t>成立时间：年月日</w:t>
      </w:r>
    </w:p>
    <w:p>
      <w:pPr>
        <w:spacing w:line="500" w:lineRule="exact"/>
        <w:rPr>
          <w:rFonts w:ascii="宋体"/>
          <w:sz w:val="24"/>
        </w:rPr>
      </w:pPr>
      <w:r>
        <w:rPr>
          <w:rFonts w:hint="eastAsia" w:ascii="宋体" w:hAnsi="宋体"/>
          <w:sz w:val="24"/>
        </w:rPr>
        <w:t>经营期限：</w:t>
      </w:r>
    </w:p>
    <w:p>
      <w:pPr>
        <w:spacing w:line="500" w:lineRule="exact"/>
        <w:rPr>
          <w:rFonts w:ascii="宋体"/>
          <w:sz w:val="24"/>
        </w:rPr>
      </w:pPr>
      <w:r>
        <w:rPr>
          <w:rFonts w:hint="eastAsia" w:ascii="宋体" w:hAnsi="宋体"/>
          <w:sz w:val="24"/>
        </w:rPr>
        <w:t>姓名：性别：年龄：职务：</w:t>
      </w:r>
    </w:p>
    <w:p>
      <w:pPr>
        <w:spacing w:line="500" w:lineRule="exact"/>
        <w:rPr>
          <w:rFonts w:ascii="宋体"/>
          <w:sz w:val="24"/>
        </w:rPr>
      </w:pPr>
      <w:r>
        <w:rPr>
          <w:rFonts w:hint="eastAsia" w:ascii="宋体" w:hAnsi="宋体"/>
          <w:sz w:val="24"/>
        </w:rPr>
        <w:t>系（供应商名称）的法定代表人。</w:t>
      </w:r>
    </w:p>
    <w:p>
      <w:pPr>
        <w:spacing w:line="500" w:lineRule="exact"/>
        <w:ind w:firstLine="480" w:firstLineChars="200"/>
        <w:rPr>
          <w:rFonts w:ascii="宋体"/>
          <w:sz w:val="24"/>
        </w:rPr>
      </w:pPr>
    </w:p>
    <w:p>
      <w:pPr>
        <w:spacing w:line="500" w:lineRule="exact"/>
        <w:ind w:firstLine="480" w:firstLineChars="200"/>
        <w:rPr>
          <w:rFonts w:ascii="宋体"/>
          <w:sz w:val="24"/>
        </w:rPr>
      </w:pPr>
      <w:r>
        <w:rPr>
          <w:rFonts w:hint="eastAsia" w:ascii="宋体" w:hAnsi="宋体"/>
          <w:sz w:val="24"/>
        </w:rPr>
        <w:t>特此证明。</w:t>
      </w:r>
    </w:p>
    <w:p>
      <w:pPr>
        <w:spacing w:line="500" w:lineRule="exact"/>
        <w:rPr>
          <w:rFonts w:ascii="宋体"/>
          <w:sz w:val="24"/>
        </w:rPr>
      </w:pPr>
    </w:p>
    <w:p>
      <w:pPr>
        <w:spacing w:line="500" w:lineRule="exact"/>
        <w:rPr>
          <w:rFonts w:ascii="宋体"/>
          <w:sz w:val="24"/>
        </w:rPr>
      </w:pPr>
    </w:p>
    <w:p>
      <w:pPr>
        <w:spacing w:line="500" w:lineRule="exact"/>
        <w:rPr>
          <w:rFonts w:ascii="宋体"/>
          <w:sz w:val="24"/>
        </w:rPr>
      </w:pPr>
      <w:r>
        <w:rPr>
          <w:rFonts w:hint="eastAsia" w:ascii="宋体" w:hAnsi="宋体"/>
          <w:sz w:val="24"/>
        </w:rPr>
        <w:t>供应商：（盖单位章）</w:t>
      </w:r>
    </w:p>
    <w:p>
      <w:pPr>
        <w:spacing w:line="500" w:lineRule="exact"/>
        <w:rPr>
          <w:rFonts w:ascii="宋体"/>
          <w:sz w:val="24"/>
        </w:rPr>
      </w:pPr>
    </w:p>
    <w:p>
      <w:pPr>
        <w:spacing w:line="400" w:lineRule="exact"/>
        <w:rPr>
          <w:rFonts w:ascii="宋体"/>
          <w:sz w:val="24"/>
        </w:rPr>
      </w:pPr>
      <w:r>
        <w:rPr>
          <w:rFonts w:hint="eastAsia" w:ascii="宋体" w:hAnsi="宋体"/>
          <w:sz w:val="24"/>
        </w:rPr>
        <w:t>年月日</w:t>
      </w:r>
    </w:p>
    <w:p>
      <w:pPr>
        <w:spacing w:line="400" w:lineRule="exact"/>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pStyle w:val="2"/>
        <w:spacing w:beforeLines="100" w:afterLines="150" w:line="360" w:lineRule="exact"/>
        <w:jc w:val="center"/>
        <w:rPr>
          <w:rFonts w:ascii="宋体"/>
          <w:sz w:val="28"/>
          <w:szCs w:val="28"/>
        </w:rPr>
      </w:pPr>
      <w:r>
        <w:rPr>
          <w:rFonts w:ascii="宋体"/>
          <w:sz w:val="24"/>
        </w:rPr>
        <w:br w:type="page"/>
      </w:r>
      <w:bookmarkStart w:id="250" w:name="_Toc470"/>
      <w:bookmarkStart w:id="251" w:name="_Toc24791"/>
      <w:r>
        <w:rPr>
          <w:rFonts w:hint="eastAsia" w:ascii="宋体" w:hAnsi="宋体"/>
          <w:sz w:val="28"/>
          <w:szCs w:val="28"/>
        </w:rPr>
        <w:t>三、授权委托书</w:t>
      </w:r>
      <w:bookmarkEnd w:id="250"/>
      <w:bookmarkEnd w:id="251"/>
    </w:p>
    <w:p>
      <w:pPr>
        <w:spacing w:line="500" w:lineRule="exact"/>
        <w:rPr>
          <w:rFonts w:ascii="宋体"/>
          <w:sz w:val="24"/>
        </w:rPr>
      </w:pPr>
    </w:p>
    <w:p>
      <w:pPr>
        <w:spacing w:line="500" w:lineRule="exact"/>
        <w:ind w:firstLine="480" w:firstLineChars="200"/>
        <w:rPr>
          <w:rFonts w:ascii="宋体"/>
          <w:sz w:val="24"/>
        </w:rPr>
      </w:pPr>
      <w:r>
        <w:rPr>
          <w:rFonts w:hint="eastAsia" w:ascii="宋体" w:hAnsi="宋体"/>
          <w:sz w:val="24"/>
        </w:rPr>
        <w:t>本人（姓名）系（供应商名称）的法定代表人，现委托（姓名）为我方代理人。代理人根据授权，以我方名义签署、澄清、递交、撤回、修改（项目名称）施工投标文件、签订合同和处理有关事宜，其法律后果由我方承担。</w:t>
      </w:r>
    </w:p>
    <w:p>
      <w:pPr>
        <w:spacing w:line="500" w:lineRule="exact"/>
        <w:ind w:firstLine="480" w:firstLineChars="200"/>
        <w:rPr>
          <w:rFonts w:ascii="宋体"/>
          <w:sz w:val="24"/>
        </w:rPr>
      </w:pPr>
      <w:r>
        <w:rPr>
          <w:rFonts w:hint="eastAsia" w:ascii="宋体" w:hAnsi="宋体"/>
          <w:sz w:val="24"/>
        </w:rPr>
        <w:t>委托期限：。</w:t>
      </w:r>
    </w:p>
    <w:p>
      <w:pPr>
        <w:spacing w:line="500" w:lineRule="exact"/>
        <w:ind w:firstLine="480" w:firstLineChars="200"/>
        <w:rPr>
          <w:rFonts w:ascii="宋体"/>
          <w:sz w:val="24"/>
        </w:rPr>
      </w:pPr>
      <w:r>
        <w:rPr>
          <w:rFonts w:hint="eastAsia" w:ascii="宋体" w:hAnsi="宋体"/>
          <w:sz w:val="24"/>
        </w:rPr>
        <w:t>代理人无转委托权。</w:t>
      </w:r>
    </w:p>
    <w:p>
      <w:pPr>
        <w:spacing w:line="500" w:lineRule="exact"/>
        <w:ind w:firstLine="480" w:firstLineChars="200"/>
        <w:rPr>
          <w:rFonts w:ascii="宋体"/>
          <w:sz w:val="24"/>
        </w:rPr>
      </w:pPr>
      <w:r>
        <w:rPr>
          <w:rFonts w:hint="eastAsia" w:ascii="宋体" w:hAnsi="宋体"/>
          <w:sz w:val="24"/>
        </w:rPr>
        <w:t>附：法定代表人身份证明</w:t>
      </w:r>
    </w:p>
    <w:p>
      <w:pPr>
        <w:spacing w:line="500" w:lineRule="exact"/>
        <w:rPr>
          <w:rFonts w:ascii="宋体"/>
          <w:sz w:val="24"/>
        </w:rPr>
      </w:pPr>
    </w:p>
    <w:p>
      <w:pPr>
        <w:spacing w:line="500" w:lineRule="exact"/>
        <w:rPr>
          <w:rFonts w:ascii="宋体"/>
          <w:sz w:val="24"/>
        </w:rPr>
      </w:pPr>
    </w:p>
    <w:p>
      <w:pPr>
        <w:spacing w:line="500" w:lineRule="exact"/>
        <w:rPr>
          <w:rFonts w:ascii="宋体"/>
          <w:sz w:val="24"/>
        </w:rPr>
      </w:pPr>
      <w:r>
        <w:rPr>
          <w:rFonts w:hint="eastAsia" w:ascii="宋体" w:hAnsi="宋体"/>
          <w:spacing w:val="121"/>
          <w:kern w:val="0"/>
          <w:sz w:val="24"/>
        </w:rPr>
        <w:t>申请</w:t>
      </w:r>
      <w:r>
        <w:rPr>
          <w:rFonts w:hint="eastAsia" w:ascii="宋体" w:hAnsi="宋体"/>
          <w:spacing w:val="-1"/>
          <w:kern w:val="0"/>
          <w:sz w:val="24"/>
        </w:rPr>
        <w:t>人</w:t>
      </w:r>
      <w:r>
        <w:rPr>
          <w:rFonts w:hint="eastAsia" w:ascii="宋体" w:hAnsi="宋体"/>
          <w:sz w:val="24"/>
        </w:rPr>
        <w:t>：（盖单位章）</w:t>
      </w:r>
    </w:p>
    <w:p>
      <w:pPr>
        <w:spacing w:line="500" w:lineRule="exact"/>
        <w:rPr>
          <w:rFonts w:ascii="宋体"/>
          <w:sz w:val="24"/>
        </w:rPr>
      </w:pPr>
      <w:r>
        <w:rPr>
          <w:rFonts w:hint="eastAsia" w:ascii="宋体" w:hAnsi="宋体"/>
          <w:sz w:val="24"/>
        </w:rPr>
        <w:t>法定代表人：（签字）</w:t>
      </w:r>
    </w:p>
    <w:p>
      <w:pPr>
        <w:spacing w:line="500" w:lineRule="exact"/>
        <w:rPr>
          <w:rFonts w:ascii="宋体"/>
          <w:sz w:val="24"/>
        </w:rPr>
      </w:pPr>
      <w:r>
        <w:rPr>
          <w:rFonts w:hint="eastAsia" w:ascii="宋体" w:hAnsi="宋体"/>
          <w:sz w:val="24"/>
        </w:rPr>
        <w:t>身份证号码：</w:t>
      </w:r>
    </w:p>
    <w:p>
      <w:pPr>
        <w:spacing w:line="500" w:lineRule="exact"/>
        <w:rPr>
          <w:rFonts w:ascii="宋体"/>
          <w:sz w:val="24"/>
        </w:rPr>
      </w:pPr>
      <w:r>
        <w:rPr>
          <w:rFonts w:hint="eastAsia" w:ascii="宋体" w:hAnsi="宋体"/>
          <w:sz w:val="24"/>
        </w:rPr>
        <w:t>委托代理人：（签字）</w:t>
      </w:r>
    </w:p>
    <w:p>
      <w:pPr>
        <w:spacing w:line="500" w:lineRule="exact"/>
        <w:rPr>
          <w:rFonts w:ascii="宋体"/>
          <w:sz w:val="24"/>
        </w:rPr>
      </w:pPr>
      <w:r>
        <w:rPr>
          <w:rFonts w:hint="eastAsia" w:ascii="宋体" w:hAnsi="宋体"/>
          <w:sz w:val="24"/>
        </w:rPr>
        <w:t>身份证号码：</w:t>
      </w:r>
    </w:p>
    <w:p>
      <w:pPr>
        <w:spacing w:line="500" w:lineRule="exact"/>
        <w:rPr>
          <w:rFonts w:ascii="宋体"/>
          <w:sz w:val="24"/>
        </w:rPr>
      </w:pPr>
    </w:p>
    <w:p>
      <w:pPr>
        <w:spacing w:line="500" w:lineRule="exact"/>
        <w:rPr>
          <w:rFonts w:ascii="宋体"/>
          <w:sz w:val="24"/>
        </w:rPr>
      </w:pPr>
      <w:r>
        <w:rPr>
          <w:rFonts w:hint="eastAsia" w:ascii="宋体" w:hAnsi="宋体"/>
          <w:sz w:val="24"/>
        </w:rPr>
        <w:t>年月日</w:t>
      </w:r>
    </w:p>
    <w:p>
      <w:pPr>
        <w:spacing w:line="500" w:lineRule="exact"/>
        <w:rPr>
          <w:rFonts w:ascii="宋体"/>
          <w:sz w:val="24"/>
        </w:rPr>
      </w:pPr>
    </w:p>
    <w:p>
      <w:pPr>
        <w:rPr>
          <w:rFonts w:ascii="宋体"/>
          <w:sz w:val="24"/>
        </w:rPr>
      </w:pPr>
    </w:p>
    <w:p>
      <w:pPr>
        <w:pStyle w:val="2"/>
        <w:spacing w:beforeLines="100" w:afterLines="150" w:line="360" w:lineRule="exact"/>
        <w:jc w:val="center"/>
        <w:rPr>
          <w:rFonts w:ascii="宋体"/>
          <w:sz w:val="28"/>
          <w:szCs w:val="28"/>
        </w:rPr>
      </w:pPr>
      <w:bookmarkStart w:id="252" w:name="_Toc234382964"/>
    </w:p>
    <w:p>
      <w:pPr>
        <w:rPr>
          <w:rFonts w:ascii="宋体"/>
        </w:rPr>
      </w:pPr>
    </w:p>
    <w:p>
      <w:pPr>
        <w:rPr>
          <w:rFonts w:ascii="宋体"/>
        </w:rPr>
      </w:pPr>
    </w:p>
    <w:p>
      <w:pPr>
        <w:rPr>
          <w:rFonts w:ascii="宋体"/>
        </w:rPr>
      </w:pPr>
    </w:p>
    <w:p>
      <w:pPr>
        <w:rPr>
          <w:rFonts w:ascii="宋体"/>
        </w:rPr>
      </w:pPr>
    </w:p>
    <w:p>
      <w:pPr>
        <w:rPr>
          <w:rFonts w:ascii="宋体"/>
        </w:rPr>
      </w:pPr>
    </w:p>
    <w:bookmarkEnd w:id="252"/>
    <w:p>
      <w:pPr>
        <w:pStyle w:val="2"/>
        <w:spacing w:beforeLines="100" w:afterLines="150" w:line="360" w:lineRule="exact"/>
        <w:jc w:val="center"/>
        <w:rPr>
          <w:rFonts w:ascii="宋体"/>
          <w:sz w:val="28"/>
          <w:szCs w:val="28"/>
        </w:rPr>
      </w:pPr>
      <w:bookmarkStart w:id="253" w:name="_Toc11802"/>
      <w:bookmarkStart w:id="254" w:name="_Toc2474"/>
      <w:bookmarkStart w:id="255" w:name="_Toc224617195"/>
      <w:bookmarkStart w:id="256" w:name="_Toc231543522"/>
      <w:bookmarkStart w:id="257" w:name="_Toc231353151"/>
      <w:bookmarkStart w:id="258" w:name="_Toc203898181"/>
      <w:bookmarkStart w:id="259" w:name="_Toc231441825"/>
      <w:bookmarkStart w:id="260" w:name="_Toc234382965"/>
      <w:r>
        <w:rPr>
          <w:rFonts w:hint="eastAsia" w:ascii="宋体" w:hAnsi="宋体"/>
          <w:sz w:val="28"/>
          <w:szCs w:val="28"/>
        </w:rPr>
        <w:t>四、磋商保证金</w:t>
      </w:r>
      <w:bookmarkEnd w:id="253"/>
      <w:bookmarkEnd w:id="254"/>
    </w:p>
    <w:p>
      <w:pPr>
        <w:spacing w:line="460" w:lineRule="exact"/>
        <w:ind w:firstLine="482" w:firstLineChars="200"/>
        <w:rPr>
          <w:rFonts w:ascii="宋体"/>
          <w:b/>
          <w:sz w:val="24"/>
          <w:shd w:val="pct10" w:color="auto" w:fill="FFFFFF"/>
        </w:rPr>
      </w:pPr>
      <w:r>
        <w:rPr>
          <w:rFonts w:hint="eastAsia" w:ascii="宋体" w:hAnsi="宋体"/>
          <w:b/>
          <w:sz w:val="24"/>
        </w:rPr>
        <w:t>附：磋商保证金的银行回单复印件。</w:t>
      </w:r>
    </w:p>
    <w:p>
      <w:pPr>
        <w:pStyle w:val="4"/>
        <w:spacing w:line="440" w:lineRule="exact"/>
        <w:rPr>
          <w:rFonts w:ascii="宋体"/>
          <w:b w:val="0"/>
          <w:bCs w:val="0"/>
          <w:sz w:val="28"/>
          <w:szCs w:val="24"/>
        </w:rPr>
      </w:pPr>
    </w:p>
    <w:p>
      <w:pPr>
        <w:pStyle w:val="4"/>
        <w:spacing w:line="440" w:lineRule="exact"/>
        <w:jc w:val="center"/>
        <w:rPr>
          <w:rFonts w:ascii="宋体"/>
          <w:b w:val="0"/>
          <w:bCs w:val="0"/>
          <w:sz w:val="28"/>
          <w:szCs w:val="24"/>
        </w:rPr>
      </w:pPr>
    </w:p>
    <w:bookmarkEnd w:id="255"/>
    <w:bookmarkEnd w:id="256"/>
    <w:bookmarkEnd w:id="257"/>
    <w:bookmarkEnd w:id="258"/>
    <w:bookmarkEnd w:id="259"/>
    <w:p>
      <w:pPr>
        <w:pStyle w:val="2"/>
        <w:spacing w:beforeLines="100" w:afterLines="150" w:line="360" w:lineRule="exact"/>
        <w:jc w:val="center"/>
        <w:rPr>
          <w:rFonts w:ascii="宋体"/>
          <w:sz w:val="28"/>
          <w:szCs w:val="28"/>
        </w:rPr>
      </w:pPr>
    </w:p>
    <w:p>
      <w:pPr>
        <w:pStyle w:val="2"/>
        <w:spacing w:beforeLines="100" w:afterLines="150" w:line="360" w:lineRule="exact"/>
        <w:jc w:val="center"/>
        <w:rPr>
          <w:rFonts w:ascii="宋体"/>
          <w:sz w:val="28"/>
          <w:szCs w:val="28"/>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8"/>
        <w:ind w:left="0" w:leftChars="0"/>
        <w:rPr>
          <w:rFonts w:ascii="宋体"/>
          <w:b/>
          <w:sz w:val="36"/>
        </w:rPr>
      </w:pPr>
    </w:p>
    <w:p>
      <w:pPr>
        <w:pStyle w:val="2"/>
        <w:spacing w:beforeLines="100" w:afterLines="150" w:line="360" w:lineRule="exact"/>
        <w:jc w:val="center"/>
        <w:rPr>
          <w:rFonts w:ascii="宋体"/>
          <w:sz w:val="28"/>
          <w:szCs w:val="28"/>
        </w:rPr>
      </w:pPr>
      <w:bookmarkStart w:id="261" w:name="_Toc11636"/>
      <w:r>
        <w:rPr>
          <w:rFonts w:hint="eastAsia" w:ascii="宋体" w:hAnsi="宋体" w:cs="黑体"/>
          <w:bCs w:val="0"/>
          <w:sz w:val="28"/>
          <w:szCs w:val="28"/>
        </w:rPr>
        <w:t>五</w:t>
      </w:r>
      <w:r>
        <w:rPr>
          <w:rFonts w:hint="eastAsia" w:ascii="宋体" w:hAnsi="宋体"/>
          <w:sz w:val="28"/>
          <w:szCs w:val="28"/>
        </w:rPr>
        <w:t>、已标价工程量清单</w:t>
      </w:r>
      <w:bookmarkEnd w:id="261"/>
    </w:p>
    <w:p>
      <w:pPr>
        <w:spacing w:line="400" w:lineRule="exact"/>
        <w:ind w:firstLine="560" w:firstLineChars="200"/>
        <w:rPr>
          <w:rFonts w:ascii="宋体"/>
          <w:sz w:val="28"/>
        </w:rPr>
      </w:pPr>
      <w:r>
        <w:rPr>
          <w:rFonts w:hint="eastAsia" w:ascii="宋体" w:hAnsi="宋体"/>
          <w:sz w:val="28"/>
        </w:rPr>
        <w:t>供应商应该按照第五章“工程量清单”的要求逐项填报工程量清单，包括工程量清单说明、投标报价说明、计日工说明、其他说明及工程量清单各项表格。</w:t>
      </w:r>
    </w:p>
    <w:p>
      <w:pPr>
        <w:pStyle w:val="2"/>
        <w:spacing w:beforeLines="100" w:afterLines="150" w:line="360" w:lineRule="exact"/>
        <w:rPr>
          <w:rFonts w:ascii="宋体"/>
          <w:sz w:val="28"/>
          <w:szCs w:val="28"/>
        </w:rPr>
      </w:pPr>
      <w:bookmarkStart w:id="262" w:name="_Toc13352"/>
      <w:bookmarkStart w:id="263" w:name="_Toc234382974"/>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bookmarkEnd w:id="262"/>
    <w:bookmarkEnd w:id="263"/>
    <w:p>
      <w:pPr>
        <w:pStyle w:val="2"/>
        <w:jc w:val="center"/>
        <w:rPr>
          <w:sz w:val="28"/>
          <w:szCs w:val="28"/>
        </w:rPr>
      </w:pPr>
      <w:bookmarkStart w:id="264" w:name="_Toc32483"/>
      <w:r>
        <w:rPr>
          <w:rFonts w:hint="eastAsia"/>
          <w:sz w:val="28"/>
          <w:szCs w:val="28"/>
        </w:rPr>
        <w:t>六、项目管理机构</w:t>
      </w:r>
      <w:bookmarkEnd w:id="264"/>
    </w:p>
    <w:p>
      <w:pPr>
        <w:pStyle w:val="8"/>
        <w:ind w:left="0" w:leftChars="0"/>
        <w:jc w:val="center"/>
        <w:rPr>
          <w:rFonts w:ascii="宋体"/>
          <w:b/>
          <w:sz w:val="24"/>
        </w:rPr>
      </w:pPr>
      <w:r>
        <w:rPr>
          <w:rFonts w:hint="eastAsia" w:ascii="宋体" w:hAnsi="宋体"/>
          <w:b/>
          <w:sz w:val="24"/>
        </w:rPr>
        <w:t>（一）项目经理、技术负责人、专职安全员简历表</w:t>
      </w:r>
    </w:p>
    <w:tbl>
      <w:tblPr>
        <w:tblStyle w:val="16"/>
        <w:tblpPr w:leftFromText="180" w:rightFromText="180" w:vertAnchor="text" w:horzAnchor="page" w:tblpX="1364" w:tblpY="210"/>
        <w:tblOverlap w:val="never"/>
        <w:tblW w:w="9270"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92"/>
        <w:gridCol w:w="658"/>
        <w:gridCol w:w="630"/>
        <w:gridCol w:w="130"/>
        <w:gridCol w:w="695"/>
        <w:gridCol w:w="1431"/>
        <w:gridCol w:w="24"/>
        <w:gridCol w:w="1650"/>
        <w:gridCol w:w="27"/>
        <w:gridCol w:w="1276"/>
        <w:gridCol w:w="17"/>
        <w:gridCol w:w="330"/>
        <w:gridCol w:w="1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5" w:hRule="atLeast"/>
        </w:trPr>
        <w:tc>
          <w:tcPr>
            <w:tcW w:w="165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姓名</w:t>
            </w:r>
          </w:p>
        </w:tc>
        <w:tc>
          <w:tcPr>
            <w:tcW w:w="1455"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455"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性别</w:t>
            </w:r>
          </w:p>
        </w:tc>
        <w:tc>
          <w:tcPr>
            <w:tcW w:w="1650" w:type="dxa"/>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650"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年龄</w:t>
            </w:r>
          </w:p>
        </w:tc>
        <w:tc>
          <w:tcPr>
            <w:tcW w:w="1410" w:type="dxa"/>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165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职务</w:t>
            </w:r>
          </w:p>
        </w:tc>
        <w:tc>
          <w:tcPr>
            <w:tcW w:w="1455"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455"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职称</w:t>
            </w:r>
          </w:p>
        </w:tc>
        <w:tc>
          <w:tcPr>
            <w:tcW w:w="1650" w:type="dxa"/>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650"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学历</w:t>
            </w:r>
          </w:p>
        </w:tc>
        <w:tc>
          <w:tcPr>
            <w:tcW w:w="1410" w:type="dxa"/>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228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参加工作时间</w:t>
            </w:r>
          </w:p>
        </w:tc>
        <w:tc>
          <w:tcPr>
            <w:tcW w:w="2280" w:type="dxa"/>
            <w:gridSpan w:val="4"/>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2953"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从事工程项目年限</w:t>
            </w:r>
          </w:p>
        </w:tc>
        <w:tc>
          <w:tcPr>
            <w:tcW w:w="1757"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5" w:hRule="atLeast"/>
        </w:trPr>
        <w:tc>
          <w:tcPr>
            <w:tcW w:w="9270" w:type="dxa"/>
            <w:gridSpan w:val="1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已完工程项目情况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r>
              <w:rPr>
                <w:rFonts w:hint="eastAsia" w:ascii="宋体" w:hAnsi="宋体"/>
                <w:sz w:val="24"/>
              </w:rPr>
              <w:t>序号</w:t>
            </w: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r>
              <w:rPr>
                <w:rFonts w:hint="eastAsia" w:ascii="宋体" w:hAnsi="宋体"/>
                <w:sz w:val="24"/>
              </w:rPr>
              <w:t>建设单位</w:t>
            </w: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项目名称</w:t>
            </w: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建筑面积（</w:t>
            </w:r>
            <w:r>
              <w:rPr>
                <w:rFonts w:ascii="宋体" w:hAnsi="宋体"/>
                <w:sz w:val="24"/>
              </w:rPr>
              <w:t>m</w:t>
            </w:r>
            <w:r>
              <w:rPr>
                <w:rFonts w:ascii="宋体" w:hAnsi="宋体"/>
                <w:sz w:val="24"/>
                <w:vertAlign w:val="superscript"/>
              </w:rPr>
              <w:t>2</w:t>
            </w:r>
            <w:r>
              <w:rPr>
                <w:rFonts w:hint="eastAsia" w:ascii="宋体" w:hAnsi="宋体"/>
                <w:sz w:val="24"/>
              </w:rPr>
              <w:t>）或工程规模</w:t>
            </w: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开、竣工日期</w:t>
            </w: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r>
              <w:rPr>
                <w:rFonts w:hint="eastAsia" w:ascii="宋体" w:hAnsi="宋体"/>
                <w:sz w:val="24"/>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5"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5"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86" w:hRule="atLeast"/>
        </w:trPr>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ascii="宋体"/>
                <w:sz w:val="24"/>
              </w:rPr>
            </w:pPr>
          </w:p>
        </w:tc>
        <w:tc>
          <w:tcPr>
            <w:tcW w:w="1418" w:type="dxa"/>
            <w:gridSpan w:val="3"/>
            <w:tcBorders>
              <w:top w:val="single" w:color="auto" w:sz="6" w:space="0"/>
              <w:left w:val="single" w:color="auto" w:sz="4" w:space="0"/>
              <w:bottom w:val="single" w:color="auto" w:sz="6" w:space="0"/>
              <w:right w:val="single" w:color="auto" w:sz="6" w:space="0"/>
            </w:tcBorders>
            <w:vAlign w:val="center"/>
          </w:tcPr>
          <w:p>
            <w:pPr>
              <w:jc w:val="center"/>
              <w:rPr>
                <w:rFonts w:ascii="宋体"/>
                <w:sz w:val="24"/>
              </w:rPr>
            </w:pPr>
          </w:p>
        </w:tc>
        <w:tc>
          <w:tcPr>
            <w:tcW w:w="212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01"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293"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c>
          <w:tcPr>
            <w:tcW w:w="17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sz w:val="24"/>
              </w:rPr>
            </w:pPr>
          </w:p>
        </w:tc>
      </w:tr>
    </w:tbl>
    <w:p>
      <w:pPr>
        <w:jc w:val="center"/>
        <w:rPr>
          <w:rFonts w:ascii="宋体"/>
          <w:b/>
          <w:sz w:val="24"/>
        </w:rPr>
      </w:pPr>
    </w:p>
    <w:p>
      <w:pPr>
        <w:ind w:firstLine="570"/>
        <w:rPr>
          <w:rFonts w:ascii="宋体"/>
          <w:sz w:val="24"/>
        </w:rPr>
      </w:pPr>
    </w:p>
    <w:p>
      <w:pPr>
        <w:pStyle w:val="8"/>
        <w:ind w:left="0" w:leftChars="0"/>
        <w:jc w:val="center"/>
        <w:rPr>
          <w:rFonts w:ascii="宋体"/>
          <w:b/>
          <w:sz w:val="24"/>
        </w:rPr>
      </w:pPr>
      <w:r>
        <w:rPr>
          <w:rFonts w:ascii="宋体"/>
          <w:sz w:val="24"/>
          <w:szCs w:val="24"/>
        </w:rPr>
        <w:br w:type="page"/>
      </w:r>
      <w:bookmarkStart w:id="265" w:name="_Toc143916738"/>
      <w:r>
        <w:rPr>
          <w:rFonts w:hint="eastAsia" w:ascii="宋体" w:hAnsi="宋体"/>
          <w:sz w:val="24"/>
          <w:szCs w:val="24"/>
        </w:rPr>
        <w:t>（二）</w:t>
      </w:r>
      <w:r>
        <w:rPr>
          <w:rFonts w:hint="eastAsia" w:ascii="宋体" w:hAnsi="宋体"/>
          <w:b/>
          <w:sz w:val="24"/>
        </w:rPr>
        <w:t>主要施工管理人员表</w:t>
      </w:r>
      <w:bookmarkEnd w:id="265"/>
    </w:p>
    <w:p>
      <w:pPr>
        <w:pStyle w:val="5"/>
        <w:adjustRightInd w:val="0"/>
        <w:snapToGrid w:val="0"/>
        <w:spacing w:line="600" w:lineRule="exact"/>
        <w:ind w:firstLine="120" w:firstLineChars="50"/>
        <w:rPr>
          <w:rFonts w:ascii="宋体"/>
          <w:color w:val="000000"/>
          <w:sz w:val="24"/>
        </w:rPr>
      </w:pPr>
      <w:bookmarkStart w:id="266" w:name="_Toc1553"/>
      <w:r>
        <w:rPr>
          <w:rFonts w:ascii="宋体" w:hAnsi="宋体"/>
          <w:color w:val="000000"/>
          <w:sz w:val="24"/>
          <w:u w:val="single"/>
        </w:rPr>
        <w:t xml:space="preserve">        {</w:t>
      </w:r>
      <w:r>
        <w:rPr>
          <w:rFonts w:hint="eastAsia" w:ascii="宋体" w:hAnsi="宋体"/>
          <w:color w:val="000000"/>
          <w:sz w:val="24"/>
          <w:u w:val="single"/>
        </w:rPr>
        <w:t>项目名称</w:t>
      </w:r>
      <w:r>
        <w:rPr>
          <w:rFonts w:ascii="宋体"/>
          <w:color w:val="000000"/>
          <w:sz w:val="24"/>
          <w:u w:val="single"/>
        </w:rPr>
        <w:t>}</w:t>
      </w:r>
      <w:r>
        <w:rPr>
          <w:rFonts w:hint="eastAsia" w:ascii="宋体" w:hAnsi="宋体"/>
          <w:color w:val="000000"/>
          <w:sz w:val="24"/>
        </w:rPr>
        <w:t>工程</w:t>
      </w:r>
    </w:p>
    <w:tbl>
      <w:tblPr>
        <w:tblStyle w:val="16"/>
        <w:tblW w:w="91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900"/>
        <w:gridCol w:w="757"/>
        <w:gridCol w:w="1207"/>
        <w:gridCol w:w="871"/>
        <w:gridCol w:w="860"/>
        <w:gridCol w:w="773"/>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51" w:type="dxa"/>
            <w:vMerge w:val="restart"/>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职务</w:t>
            </w:r>
          </w:p>
        </w:tc>
        <w:tc>
          <w:tcPr>
            <w:tcW w:w="900" w:type="dxa"/>
            <w:vMerge w:val="restart"/>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姓名</w:t>
            </w:r>
          </w:p>
        </w:tc>
        <w:tc>
          <w:tcPr>
            <w:tcW w:w="757" w:type="dxa"/>
            <w:vMerge w:val="restart"/>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职称</w:t>
            </w:r>
          </w:p>
        </w:tc>
        <w:tc>
          <w:tcPr>
            <w:tcW w:w="3711" w:type="dxa"/>
            <w:gridSpan w:val="4"/>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执业或职业资格证明</w:t>
            </w:r>
          </w:p>
        </w:tc>
        <w:tc>
          <w:tcPr>
            <w:tcW w:w="2800" w:type="dxa"/>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主要承担过的项目名称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51" w:type="dxa"/>
            <w:vMerge w:val="continue"/>
            <w:vAlign w:val="center"/>
          </w:tcPr>
          <w:p>
            <w:pPr>
              <w:pStyle w:val="5"/>
              <w:adjustRightInd w:val="0"/>
              <w:snapToGrid w:val="0"/>
              <w:spacing w:line="600" w:lineRule="exact"/>
              <w:jc w:val="center"/>
              <w:rPr>
                <w:rFonts w:ascii="宋体"/>
                <w:color w:val="000000"/>
                <w:sz w:val="24"/>
              </w:rPr>
            </w:pPr>
          </w:p>
        </w:tc>
        <w:tc>
          <w:tcPr>
            <w:tcW w:w="900" w:type="dxa"/>
            <w:vMerge w:val="continue"/>
            <w:vAlign w:val="center"/>
          </w:tcPr>
          <w:p>
            <w:pPr>
              <w:pStyle w:val="5"/>
              <w:adjustRightInd w:val="0"/>
              <w:snapToGrid w:val="0"/>
              <w:spacing w:line="600" w:lineRule="exact"/>
              <w:jc w:val="center"/>
              <w:rPr>
                <w:rFonts w:ascii="宋体"/>
                <w:color w:val="000000"/>
                <w:sz w:val="24"/>
              </w:rPr>
            </w:pPr>
          </w:p>
        </w:tc>
        <w:tc>
          <w:tcPr>
            <w:tcW w:w="757" w:type="dxa"/>
            <w:vMerge w:val="continue"/>
            <w:vAlign w:val="center"/>
          </w:tcPr>
          <w:p>
            <w:pPr>
              <w:pStyle w:val="5"/>
              <w:adjustRightInd w:val="0"/>
              <w:snapToGrid w:val="0"/>
              <w:spacing w:line="600" w:lineRule="exact"/>
              <w:jc w:val="center"/>
              <w:rPr>
                <w:rFonts w:ascii="宋体"/>
                <w:color w:val="000000"/>
                <w:sz w:val="24"/>
              </w:rPr>
            </w:pPr>
          </w:p>
        </w:tc>
        <w:tc>
          <w:tcPr>
            <w:tcW w:w="1207" w:type="dxa"/>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证书名称</w:t>
            </w:r>
          </w:p>
        </w:tc>
        <w:tc>
          <w:tcPr>
            <w:tcW w:w="871" w:type="dxa"/>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级别</w:t>
            </w:r>
          </w:p>
        </w:tc>
        <w:tc>
          <w:tcPr>
            <w:tcW w:w="860" w:type="dxa"/>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证号</w:t>
            </w:r>
          </w:p>
        </w:tc>
        <w:tc>
          <w:tcPr>
            <w:tcW w:w="773" w:type="dxa"/>
            <w:vAlign w:val="center"/>
          </w:tcPr>
          <w:p>
            <w:pPr>
              <w:pStyle w:val="5"/>
              <w:adjustRightInd w:val="0"/>
              <w:snapToGrid w:val="0"/>
              <w:spacing w:line="600" w:lineRule="exact"/>
              <w:jc w:val="center"/>
              <w:rPr>
                <w:rFonts w:ascii="宋体"/>
                <w:color w:val="000000"/>
                <w:sz w:val="24"/>
              </w:rPr>
            </w:pPr>
            <w:r>
              <w:rPr>
                <w:rFonts w:hint="eastAsia" w:ascii="宋体" w:hAnsi="宋体"/>
                <w:color w:val="000000"/>
                <w:sz w:val="24"/>
              </w:rPr>
              <w:t>专业</w:t>
            </w:r>
          </w:p>
        </w:tc>
        <w:tc>
          <w:tcPr>
            <w:tcW w:w="2800" w:type="dxa"/>
            <w:vAlign w:val="center"/>
          </w:tcPr>
          <w:p>
            <w:pPr>
              <w:pStyle w:val="5"/>
              <w:adjustRightInd w:val="0"/>
              <w:snapToGrid w:val="0"/>
              <w:spacing w:line="6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951" w:type="dxa"/>
          </w:tcPr>
          <w:p>
            <w:pPr>
              <w:pStyle w:val="5"/>
              <w:adjustRightInd w:val="0"/>
              <w:snapToGrid w:val="0"/>
              <w:spacing w:line="600" w:lineRule="exact"/>
              <w:rPr>
                <w:rFonts w:ascii="宋体"/>
                <w:color w:val="000000"/>
                <w:sz w:val="24"/>
              </w:rPr>
            </w:pPr>
          </w:p>
        </w:tc>
        <w:tc>
          <w:tcPr>
            <w:tcW w:w="900" w:type="dxa"/>
          </w:tcPr>
          <w:p>
            <w:pPr>
              <w:pStyle w:val="5"/>
              <w:adjustRightInd w:val="0"/>
              <w:snapToGrid w:val="0"/>
              <w:spacing w:line="600" w:lineRule="exact"/>
              <w:rPr>
                <w:rFonts w:ascii="宋体"/>
                <w:color w:val="000000"/>
                <w:sz w:val="24"/>
              </w:rPr>
            </w:pPr>
          </w:p>
        </w:tc>
        <w:tc>
          <w:tcPr>
            <w:tcW w:w="757" w:type="dxa"/>
          </w:tcPr>
          <w:p>
            <w:pPr>
              <w:pStyle w:val="5"/>
              <w:adjustRightInd w:val="0"/>
              <w:snapToGrid w:val="0"/>
              <w:spacing w:line="600" w:lineRule="exact"/>
              <w:rPr>
                <w:rFonts w:ascii="宋体"/>
                <w:color w:val="000000"/>
                <w:sz w:val="24"/>
              </w:rPr>
            </w:pPr>
          </w:p>
        </w:tc>
        <w:tc>
          <w:tcPr>
            <w:tcW w:w="1207" w:type="dxa"/>
          </w:tcPr>
          <w:p>
            <w:pPr>
              <w:pStyle w:val="5"/>
              <w:adjustRightInd w:val="0"/>
              <w:snapToGrid w:val="0"/>
              <w:spacing w:line="600" w:lineRule="exact"/>
              <w:rPr>
                <w:rFonts w:ascii="宋体"/>
                <w:color w:val="000000"/>
                <w:sz w:val="24"/>
              </w:rPr>
            </w:pPr>
          </w:p>
        </w:tc>
        <w:tc>
          <w:tcPr>
            <w:tcW w:w="871" w:type="dxa"/>
          </w:tcPr>
          <w:p>
            <w:pPr>
              <w:pStyle w:val="5"/>
              <w:adjustRightInd w:val="0"/>
              <w:snapToGrid w:val="0"/>
              <w:spacing w:line="600" w:lineRule="exact"/>
              <w:rPr>
                <w:rFonts w:ascii="宋体"/>
                <w:color w:val="000000"/>
                <w:sz w:val="24"/>
              </w:rPr>
            </w:pPr>
          </w:p>
        </w:tc>
        <w:tc>
          <w:tcPr>
            <w:tcW w:w="860" w:type="dxa"/>
          </w:tcPr>
          <w:p>
            <w:pPr>
              <w:pStyle w:val="5"/>
              <w:adjustRightInd w:val="0"/>
              <w:snapToGrid w:val="0"/>
              <w:spacing w:line="600" w:lineRule="exact"/>
              <w:rPr>
                <w:rFonts w:ascii="宋体"/>
                <w:color w:val="000000"/>
                <w:sz w:val="24"/>
              </w:rPr>
            </w:pPr>
          </w:p>
        </w:tc>
        <w:tc>
          <w:tcPr>
            <w:tcW w:w="773" w:type="dxa"/>
          </w:tcPr>
          <w:p>
            <w:pPr>
              <w:pStyle w:val="5"/>
              <w:adjustRightInd w:val="0"/>
              <w:snapToGrid w:val="0"/>
              <w:spacing w:line="600" w:lineRule="exact"/>
              <w:rPr>
                <w:rFonts w:ascii="宋体"/>
                <w:color w:val="000000"/>
                <w:sz w:val="24"/>
              </w:rPr>
            </w:pPr>
          </w:p>
        </w:tc>
        <w:tc>
          <w:tcPr>
            <w:tcW w:w="2800" w:type="dxa"/>
          </w:tcPr>
          <w:p>
            <w:pPr>
              <w:pStyle w:val="5"/>
              <w:adjustRightInd w:val="0"/>
              <w:snapToGrid w:val="0"/>
              <w:spacing w:line="600" w:lineRule="exact"/>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9" w:hRule="atLeast"/>
          <w:jc w:val="center"/>
        </w:trPr>
        <w:tc>
          <w:tcPr>
            <w:tcW w:w="9119" w:type="dxa"/>
            <w:gridSpan w:val="8"/>
          </w:tcPr>
          <w:p>
            <w:pPr>
              <w:pStyle w:val="5"/>
              <w:adjustRightInd w:val="0"/>
              <w:snapToGrid w:val="0"/>
              <w:spacing w:line="600" w:lineRule="exact"/>
              <w:rPr>
                <w:rFonts w:ascii="宋体" w:hAnsi="宋体"/>
                <w:b/>
                <w:color w:val="000000"/>
                <w:sz w:val="24"/>
              </w:rPr>
            </w:pPr>
            <w:r>
              <w:rPr>
                <w:rFonts w:hint="eastAsia" w:ascii="宋体" w:hAnsi="宋体"/>
                <w:b/>
                <w:color w:val="000000"/>
                <w:sz w:val="24"/>
              </w:rPr>
              <w:t>一旦我单位中标，将实行项目经理负责制，我方保证并配备上述项目管理机构。上述填报内容真实，若不真实，愿按有关规定接受处理。项目管理班子机构设置、职责分工等情况另附资料说明。</w:t>
            </w:r>
          </w:p>
        </w:tc>
      </w:tr>
    </w:tbl>
    <w:p>
      <w:pPr>
        <w:pStyle w:val="5"/>
        <w:adjustRightInd w:val="0"/>
        <w:snapToGrid w:val="0"/>
        <w:spacing w:line="600" w:lineRule="exact"/>
        <w:rPr>
          <w:rFonts w:ascii="宋体"/>
          <w:b/>
          <w:bCs/>
          <w:color w:val="000000"/>
          <w:sz w:val="24"/>
        </w:rPr>
      </w:pPr>
    </w:p>
    <w:p>
      <w:pPr>
        <w:spacing w:line="420" w:lineRule="exact"/>
        <w:rPr>
          <w:rFonts w:ascii="宋体"/>
          <w:szCs w:val="21"/>
        </w:rPr>
      </w:pPr>
    </w:p>
    <w:p>
      <w:pPr>
        <w:spacing w:line="420" w:lineRule="exact"/>
        <w:rPr>
          <w:rFonts w:ascii="宋体"/>
          <w:szCs w:val="21"/>
        </w:rPr>
      </w:pPr>
    </w:p>
    <w:p>
      <w:pPr>
        <w:spacing w:line="420" w:lineRule="exact"/>
        <w:rPr>
          <w:rFonts w:ascii="宋体"/>
          <w:szCs w:val="21"/>
        </w:rPr>
      </w:pPr>
    </w:p>
    <w:p>
      <w:pPr>
        <w:rPr>
          <w:rFonts w:ascii="宋体"/>
          <w:sz w:val="24"/>
        </w:rPr>
      </w:pPr>
    </w:p>
    <w:bookmarkEnd w:id="260"/>
    <w:bookmarkEnd w:id="266"/>
    <w:p>
      <w:pPr>
        <w:pStyle w:val="2"/>
        <w:spacing w:beforeLines="100" w:afterLines="150" w:line="360" w:lineRule="exact"/>
        <w:jc w:val="center"/>
        <w:rPr>
          <w:rFonts w:ascii="宋体"/>
        </w:rPr>
      </w:pPr>
      <w:bookmarkStart w:id="267" w:name="_Toc26669"/>
      <w:bookmarkStart w:id="268" w:name="_Toc234382966"/>
      <w:bookmarkStart w:id="269" w:name="_Toc18512"/>
      <w:r>
        <w:rPr>
          <w:rFonts w:hint="eastAsia" w:ascii="宋体" w:hAnsi="宋体"/>
          <w:sz w:val="28"/>
          <w:szCs w:val="28"/>
        </w:rPr>
        <w:t>七、施工组织设计</w:t>
      </w:r>
      <w:bookmarkEnd w:id="267"/>
      <w:bookmarkEnd w:id="268"/>
      <w:bookmarkEnd w:id="269"/>
    </w:p>
    <w:p>
      <w:pPr>
        <w:spacing w:line="360" w:lineRule="auto"/>
        <w:ind w:firstLine="480" w:firstLineChars="200"/>
        <w:rPr>
          <w:rFonts w:ascii="宋体"/>
          <w:sz w:val="24"/>
        </w:rPr>
      </w:pPr>
      <w:r>
        <w:rPr>
          <w:rFonts w:ascii="宋体" w:hAnsi="宋体"/>
          <w:sz w:val="24"/>
        </w:rPr>
        <w:t>1</w:t>
      </w:r>
      <w:r>
        <w:rPr>
          <w:rFonts w:hint="eastAsia" w:ascii="宋体" w:hAnsi="宋体"/>
          <w:sz w:val="24"/>
        </w:rPr>
        <w:t>、供应商应包括但不限于以下要点编制施工组织设计（文字宜精炼、内容具有针对性）；</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）总体施工组织布置及规划</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）主要工程项目的施工方案、方法与技术措施（尤其对重点、关键和难点工程的施工方案、方法及其措施）</w:t>
      </w:r>
    </w:p>
    <w:p>
      <w:pPr>
        <w:spacing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）工期的保证体系及保证措施</w:t>
      </w:r>
    </w:p>
    <w:p>
      <w:pPr>
        <w:spacing w:line="360" w:lineRule="auto"/>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）工程质量管理体系及保证措施</w:t>
      </w:r>
    </w:p>
    <w:p>
      <w:pPr>
        <w:spacing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）安全文明施工体系及保证措施</w:t>
      </w:r>
    </w:p>
    <w:p>
      <w:pPr>
        <w:spacing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）施工环保措施</w:t>
      </w:r>
    </w:p>
    <w:p>
      <w:pPr>
        <w:spacing w:line="360" w:lineRule="auto"/>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）项目风险预测与防范，事故应急预案</w:t>
      </w:r>
    </w:p>
    <w:p>
      <w:pPr>
        <w:spacing w:line="360" w:lineRule="auto"/>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）其他应说明的事项</w:t>
      </w:r>
    </w:p>
    <w:p>
      <w:pPr>
        <w:spacing w:line="360" w:lineRule="auto"/>
        <w:ind w:firstLine="480" w:firstLineChars="200"/>
        <w:rPr>
          <w:rFonts w:ascii="宋体"/>
          <w:color w:val="FF0000"/>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rPr>
          <w:rFonts w:ascii="宋体"/>
          <w:sz w:val="28"/>
        </w:rPr>
      </w:pPr>
    </w:p>
    <w:p>
      <w:pPr>
        <w:rPr>
          <w:rFonts w:ascii="宋体"/>
          <w:sz w:val="28"/>
        </w:rPr>
      </w:pPr>
    </w:p>
    <w:p>
      <w:pPr>
        <w:spacing w:beforeLines="50" w:afterLines="50" w:line="420" w:lineRule="exact"/>
        <w:rPr>
          <w:rFonts w:ascii="宋体"/>
          <w:sz w:val="28"/>
        </w:rPr>
      </w:pPr>
    </w:p>
    <w:p>
      <w:pPr>
        <w:spacing w:beforeLines="50" w:afterLines="50" w:line="420" w:lineRule="exact"/>
        <w:rPr>
          <w:rFonts w:ascii="宋体"/>
          <w:sz w:val="28"/>
        </w:rPr>
      </w:pPr>
    </w:p>
    <w:p>
      <w:pPr>
        <w:spacing w:beforeLines="50" w:afterLines="50" w:line="420" w:lineRule="exact"/>
        <w:rPr>
          <w:rFonts w:ascii="宋体"/>
          <w:sz w:val="28"/>
        </w:rPr>
      </w:pPr>
    </w:p>
    <w:p>
      <w:pPr>
        <w:spacing w:beforeLines="50" w:afterLines="50" w:line="420" w:lineRule="exact"/>
        <w:rPr>
          <w:rFonts w:ascii="宋体"/>
          <w:sz w:val="28"/>
        </w:rPr>
      </w:pPr>
    </w:p>
    <w:bookmarkEnd w:id="7"/>
    <w:p>
      <w:pPr>
        <w:pStyle w:val="2"/>
        <w:spacing w:line="500" w:lineRule="exact"/>
        <w:ind w:firstLine="2249" w:firstLineChars="700"/>
        <w:jc w:val="both"/>
        <w:rPr>
          <w:rFonts w:ascii="宋体"/>
        </w:rPr>
      </w:pPr>
      <w:bookmarkStart w:id="270" w:name="_Toc294124251"/>
      <w:bookmarkStart w:id="271" w:name="_Toc28241"/>
      <w:bookmarkStart w:id="272" w:name="_Toc9423"/>
      <w:r>
        <w:rPr>
          <w:rFonts w:hint="eastAsia" w:ascii="宋体" w:hAnsi="宋体"/>
        </w:rPr>
        <w:t>第九章资格后审</w:t>
      </w:r>
      <w:bookmarkEnd w:id="270"/>
      <w:r>
        <w:rPr>
          <w:rFonts w:hint="eastAsia" w:ascii="宋体" w:hAnsi="宋体"/>
        </w:rPr>
        <w:t>文件</w:t>
      </w:r>
      <w:bookmarkEnd w:id="271"/>
      <w:bookmarkEnd w:id="272"/>
    </w:p>
    <w:p>
      <w:pPr>
        <w:spacing w:beforeLines="50" w:afterLines="100" w:line="440" w:lineRule="exact"/>
        <w:rPr>
          <w:rFonts w:ascii="宋体"/>
          <w:szCs w:val="21"/>
        </w:rPr>
      </w:pPr>
      <w:r>
        <w:rPr>
          <w:rFonts w:hint="eastAsia" w:ascii="宋体" w:hAnsi="宋体"/>
          <w:szCs w:val="21"/>
        </w:rPr>
        <w:t>（一）供应商基本情况表</w:t>
      </w:r>
    </w:p>
    <w:tbl>
      <w:tblPr>
        <w:tblStyle w:val="16"/>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供应商名称</w:t>
            </w:r>
          </w:p>
        </w:tc>
        <w:tc>
          <w:tcPr>
            <w:tcW w:w="7020" w:type="dxa"/>
            <w:gridSpan w:val="9"/>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注册地址</w:t>
            </w:r>
          </w:p>
        </w:tc>
        <w:tc>
          <w:tcPr>
            <w:tcW w:w="3389" w:type="dxa"/>
            <w:gridSpan w:val="5"/>
            <w:vAlign w:val="center"/>
          </w:tcPr>
          <w:p>
            <w:pPr>
              <w:tabs>
                <w:tab w:val="left" w:pos="432"/>
              </w:tabs>
              <w:spacing w:beforeLines="50" w:afterLines="50"/>
              <w:ind w:left="432" w:hanging="432"/>
              <w:jc w:val="center"/>
              <w:rPr>
                <w:rFonts w:ascii="宋体"/>
                <w:szCs w:val="21"/>
              </w:rPr>
            </w:pPr>
          </w:p>
        </w:tc>
        <w:tc>
          <w:tcPr>
            <w:tcW w:w="1246"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邮政编码</w:t>
            </w:r>
          </w:p>
        </w:tc>
        <w:tc>
          <w:tcPr>
            <w:tcW w:w="2385" w:type="dxa"/>
            <w:gridSpan w:val="3"/>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Merge w:val="restart"/>
            <w:vAlign w:val="center"/>
          </w:tcPr>
          <w:p>
            <w:pPr>
              <w:tabs>
                <w:tab w:val="left" w:pos="432"/>
              </w:tabs>
              <w:spacing w:beforeLines="50" w:afterLines="50"/>
              <w:ind w:left="432" w:hanging="432"/>
              <w:jc w:val="center"/>
              <w:rPr>
                <w:rFonts w:ascii="宋体"/>
                <w:szCs w:val="21"/>
              </w:rPr>
            </w:pPr>
            <w:r>
              <w:rPr>
                <w:rFonts w:hint="eastAsia" w:ascii="宋体" w:hAnsi="宋体"/>
                <w:szCs w:val="21"/>
              </w:rPr>
              <w:t>联系方式</w:t>
            </w:r>
          </w:p>
        </w:tc>
        <w:tc>
          <w:tcPr>
            <w:tcW w:w="897"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联系人</w:t>
            </w:r>
          </w:p>
        </w:tc>
        <w:tc>
          <w:tcPr>
            <w:tcW w:w="2492" w:type="dxa"/>
            <w:gridSpan w:val="4"/>
            <w:vAlign w:val="center"/>
          </w:tcPr>
          <w:p>
            <w:pPr>
              <w:tabs>
                <w:tab w:val="left" w:pos="432"/>
              </w:tabs>
              <w:spacing w:beforeLines="50" w:afterLines="50"/>
              <w:ind w:left="432" w:hanging="432"/>
              <w:jc w:val="center"/>
              <w:rPr>
                <w:rFonts w:ascii="宋体"/>
                <w:szCs w:val="21"/>
              </w:rPr>
            </w:pPr>
          </w:p>
        </w:tc>
        <w:tc>
          <w:tcPr>
            <w:tcW w:w="1246"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电话</w:t>
            </w:r>
          </w:p>
        </w:tc>
        <w:tc>
          <w:tcPr>
            <w:tcW w:w="2385" w:type="dxa"/>
            <w:gridSpan w:val="3"/>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Merge w:val="continue"/>
            <w:vAlign w:val="center"/>
          </w:tcPr>
          <w:p>
            <w:pPr>
              <w:tabs>
                <w:tab w:val="left" w:pos="432"/>
              </w:tabs>
              <w:spacing w:beforeLines="50" w:afterLines="50"/>
              <w:ind w:left="432" w:hanging="432"/>
              <w:jc w:val="center"/>
              <w:rPr>
                <w:rFonts w:ascii="宋体"/>
                <w:szCs w:val="21"/>
              </w:rPr>
            </w:pPr>
          </w:p>
        </w:tc>
        <w:tc>
          <w:tcPr>
            <w:tcW w:w="897"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传真</w:t>
            </w:r>
          </w:p>
        </w:tc>
        <w:tc>
          <w:tcPr>
            <w:tcW w:w="2492" w:type="dxa"/>
            <w:gridSpan w:val="4"/>
            <w:vAlign w:val="center"/>
          </w:tcPr>
          <w:p>
            <w:pPr>
              <w:tabs>
                <w:tab w:val="left" w:pos="432"/>
              </w:tabs>
              <w:spacing w:beforeLines="50" w:afterLines="50"/>
              <w:ind w:left="432" w:hanging="432"/>
              <w:jc w:val="center"/>
              <w:rPr>
                <w:rFonts w:ascii="宋体"/>
                <w:szCs w:val="21"/>
              </w:rPr>
            </w:pPr>
          </w:p>
        </w:tc>
        <w:tc>
          <w:tcPr>
            <w:tcW w:w="1246"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网址</w:t>
            </w:r>
          </w:p>
        </w:tc>
        <w:tc>
          <w:tcPr>
            <w:tcW w:w="2385" w:type="dxa"/>
            <w:gridSpan w:val="3"/>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组织结构</w:t>
            </w:r>
          </w:p>
        </w:tc>
        <w:tc>
          <w:tcPr>
            <w:tcW w:w="7020" w:type="dxa"/>
            <w:gridSpan w:val="9"/>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法定代表人</w:t>
            </w:r>
          </w:p>
        </w:tc>
        <w:tc>
          <w:tcPr>
            <w:tcW w:w="897"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姓名</w:t>
            </w:r>
          </w:p>
        </w:tc>
        <w:tc>
          <w:tcPr>
            <w:tcW w:w="1021" w:type="dxa"/>
            <w:vAlign w:val="center"/>
          </w:tcPr>
          <w:p>
            <w:pPr>
              <w:tabs>
                <w:tab w:val="left" w:pos="432"/>
              </w:tabs>
              <w:spacing w:beforeLines="50" w:afterLines="50"/>
              <w:ind w:left="432" w:hanging="432"/>
              <w:jc w:val="center"/>
              <w:rPr>
                <w:rFonts w:ascii="宋体"/>
                <w:szCs w:val="21"/>
              </w:rPr>
            </w:pPr>
          </w:p>
        </w:tc>
        <w:tc>
          <w:tcPr>
            <w:tcW w:w="1276" w:type="dxa"/>
            <w:gridSpan w:val="2"/>
            <w:vAlign w:val="center"/>
          </w:tcPr>
          <w:p>
            <w:pPr>
              <w:tabs>
                <w:tab w:val="left" w:pos="432"/>
              </w:tabs>
              <w:spacing w:beforeLines="50" w:afterLines="50"/>
              <w:ind w:left="432" w:hanging="432"/>
              <w:jc w:val="center"/>
              <w:rPr>
                <w:rFonts w:ascii="宋体"/>
                <w:szCs w:val="21"/>
              </w:rPr>
            </w:pPr>
            <w:r>
              <w:rPr>
                <w:rFonts w:hint="eastAsia" w:ascii="宋体" w:hAnsi="宋体"/>
                <w:szCs w:val="21"/>
              </w:rPr>
              <w:t>技术职称</w:t>
            </w:r>
          </w:p>
        </w:tc>
        <w:tc>
          <w:tcPr>
            <w:tcW w:w="1701" w:type="dxa"/>
            <w:gridSpan w:val="3"/>
            <w:vAlign w:val="center"/>
          </w:tcPr>
          <w:p>
            <w:pPr>
              <w:tabs>
                <w:tab w:val="left" w:pos="432"/>
              </w:tabs>
              <w:spacing w:beforeLines="50" w:afterLines="50"/>
              <w:ind w:left="432" w:hanging="432"/>
              <w:jc w:val="center"/>
              <w:rPr>
                <w:rFonts w:ascii="宋体"/>
                <w:szCs w:val="21"/>
              </w:rPr>
            </w:pPr>
          </w:p>
        </w:tc>
        <w:tc>
          <w:tcPr>
            <w:tcW w:w="709"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电话</w:t>
            </w:r>
          </w:p>
        </w:tc>
        <w:tc>
          <w:tcPr>
            <w:tcW w:w="1416" w:type="dxa"/>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技术负责人</w:t>
            </w:r>
          </w:p>
        </w:tc>
        <w:tc>
          <w:tcPr>
            <w:tcW w:w="897"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姓名</w:t>
            </w:r>
          </w:p>
        </w:tc>
        <w:tc>
          <w:tcPr>
            <w:tcW w:w="1021" w:type="dxa"/>
            <w:vAlign w:val="center"/>
          </w:tcPr>
          <w:p>
            <w:pPr>
              <w:tabs>
                <w:tab w:val="left" w:pos="432"/>
              </w:tabs>
              <w:spacing w:beforeLines="50" w:afterLines="50"/>
              <w:ind w:left="432" w:hanging="432"/>
              <w:jc w:val="center"/>
              <w:rPr>
                <w:rFonts w:ascii="宋体"/>
                <w:szCs w:val="21"/>
              </w:rPr>
            </w:pPr>
          </w:p>
        </w:tc>
        <w:tc>
          <w:tcPr>
            <w:tcW w:w="1276" w:type="dxa"/>
            <w:gridSpan w:val="2"/>
            <w:vAlign w:val="center"/>
          </w:tcPr>
          <w:p>
            <w:pPr>
              <w:tabs>
                <w:tab w:val="left" w:pos="432"/>
              </w:tabs>
              <w:spacing w:beforeLines="50" w:afterLines="50"/>
              <w:ind w:left="432" w:hanging="432"/>
              <w:jc w:val="center"/>
              <w:rPr>
                <w:rFonts w:ascii="宋体"/>
                <w:szCs w:val="21"/>
              </w:rPr>
            </w:pPr>
            <w:r>
              <w:rPr>
                <w:rFonts w:hint="eastAsia" w:ascii="宋体" w:hAnsi="宋体"/>
                <w:szCs w:val="21"/>
              </w:rPr>
              <w:t>技术职称</w:t>
            </w:r>
          </w:p>
        </w:tc>
        <w:tc>
          <w:tcPr>
            <w:tcW w:w="1701" w:type="dxa"/>
            <w:gridSpan w:val="3"/>
            <w:vAlign w:val="center"/>
          </w:tcPr>
          <w:p>
            <w:pPr>
              <w:tabs>
                <w:tab w:val="left" w:pos="432"/>
              </w:tabs>
              <w:spacing w:beforeLines="50" w:afterLines="50"/>
              <w:ind w:left="432" w:hanging="432"/>
              <w:jc w:val="center"/>
              <w:rPr>
                <w:rFonts w:ascii="宋体"/>
                <w:szCs w:val="21"/>
              </w:rPr>
            </w:pPr>
          </w:p>
        </w:tc>
        <w:tc>
          <w:tcPr>
            <w:tcW w:w="709"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电话</w:t>
            </w:r>
          </w:p>
        </w:tc>
        <w:tc>
          <w:tcPr>
            <w:tcW w:w="1416" w:type="dxa"/>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成立时间</w:t>
            </w:r>
          </w:p>
        </w:tc>
        <w:tc>
          <w:tcPr>
            <w:tcW w:w="1918" w:type="dxa"/>
            <w:gridSpan w:val="2"/>
            <w:vAlign w:val="center"/>
          </w:tcPr>
          <w:p>
            <w:pPr>
              <w:tabs>
                <w:tab w:val="left" w:pos="432"/>
              </w:tabs>
              <w:spacing w:beforeLines="50" w:afterLines="50"/>
              <w:ind w:left="432" w:hanging="432"/>
              <w:jc w:val="center"/>
              <w:rPr>
                <w:rFonts w:ascii="宋体"/>
                <w:szCs w:val="21"/>
              </w:rPr>
            </w:pPr>
          </w:p>
        </w:tc>
        <w:tc>
          <w:tcPr>
            <w:tcW w:w="5102" w:type="dxa"/>
            <w:gridSpan w:val="7"/>
            <w:vAlign w:val="center"/>
          </w:tcPr>
          <w:p>
            <w:pPr>
              <w:tabs>
                <w:tab w:val="left" w:pos="432"/>
              </w:tabs>
              <w:spacing w:beforeLines="50" w:afterLines="50"/>
              <w:ind w:left="432" w:hanging="432"/>
              <w:jc w:val="center"/>
              <w:rPr>
                <w:rFonts w:asci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企业资质等级</w:t>
            </w:r>
          </w:p>
        </w:tc>
        <w:tc>
          <w:tcPr>
            <w:tcW w:w="1918" w:type="dxa"/>
            <w:gridSpan w:val="2"/>
            <w:vAlign w:val="center"/>
          </w:tcPr>
          <w:p>
            <w:pPr>
              <w:tabs>
                <w:tab w:val="left" w:pos="432"/>
              </w:tabs>
              <w:spacing w:beforeLines="50" w:afterLines="50"/>
              <w:ind w:left="432" w:hanging="432"/>
              <w:jc w:val="center"/>
              <w:rPr>
                <w:rFonts w:ascii="宋体"/>
                <w:szCs w:val="21"/>
              </w:rPr>
            </w:pPr>
          </w:p>
        </w:tc>
        <w:tc>
          <w:tcPr>
            <w:tcW w:w="993" w:type="dxa"/>
            <w:vMerge w:val="restart"/>
            <w:vAlign w:val="center"/>
          </w:tcPr>
          <w:p>
            <w:pPr>
              <w:tabs>
                <w:tab w:val="left" w:pos="432"/>
              </w:tabs>
              <w:spacing w:beforeLines="50" w:afterLines="50"/>
              <w:ind w:left="432" w:hanging="432"/>
              <w:jc w:val="center"/>
              <w:rPr>
                <w:rFonts w:ascii="宋体"/>
                <w:szCs w:val="21"/>
              </w:rPr>
            </w:pPr>
            <w:r>
              <w:rPr>
                <w:rFonts w:hint="eastAsia" w:ascii="宋体" w:hAnsi="宋体"/>
                <w:szCs w:val="21"/>
              </w:rPr>
              <w:t>其中</w:t>
            </w:r>
          </w:p>
        </w:tc>
        <w:tc>
          <w:tcPr>
            <w:tcW w:w="1984" w:type="dxa"/>
            <w:gridSpan w:val="4"/>
            <w:vAlign w:val="center"/>
          </w:tcPr>
          <w:p>
            <w:pPr>
              <w:tabs>
                <w:tab w:val="left" w:pos="432"/>
              </w:tabs>
              <w:spacing w:beforeLines="50" w:afterLines="50"/>
              <w:ind w:left="432" w:hanging="432"/>
              <w:jc w:val="center"/>
              <w:rPr>
                <w:rFonts w:ascii="宋体"/>
                <w:szCs w:val="21"/>
              </w:rPr>
            </w:pPr>
            <w:r>
              <w:rPr>
                <w:rFonts w:hint="eastAsia" w:ascii="宋体" w:hAnsi="宋体"/>
                <w:szCs w:val="21"/>
              </w:rPr>
              <w:t>项目经理</w:t>
            </w:r>
          </w:p>
        </w:tc>
        <w:tc>
          <w:tcPr>
            <w:tcW w:w="2125" w:type="dxa"/>
            <w:gridSpan w:val="2"/>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营业执照号</w:t>
            </w:r>
          </w:p>
        </w:tc>
        <w:tc>
          <w:tcPr>
            <w:tcW w:w="1918" w:type="dxa"/>
            <w:gridSpan w:val="2"/>
            <w:vAlign w:val="center"/>
          </w:tcPr>
          <w:p>
            <w:pPr>
              <w:tabs>
                <w:tab w:val="left" w:pos="432"/>
              </w:tabs>
              <w:spacing w:beforeLines="50" w:afterLines="50"/>
              <w:ind w:left="432" w:hanging="432"/>
              <w:jc w:val="center"/>
              <w:rPr>
                <w:rFonts w:ascii="宋体"/>
                <w:szCs w:val="21"/>
              </w:rPr>
            </w:pPr>
          </w:p>
        </w:tc>
        <w:tc>
          <w:tcPr>
            <w:tcW w:w="993" w:type="dxa"/>
            <w:vMerge w:val="continue"/>
            <w:vAlign w:val="center"/>
          </w:tcPr>
          <w:p>
            <w:pPr>
              <w:tabs>
                <w:tab w:val="left" w:pos="432"/>
              </w:tabs>
              <w:spacing w:beforeLines="50" w:afterLines="50"/>
              <w:ind w:left="432" w:hanging="432"/>
              <w:jc w:val="center"/>
              <w:rPr>
                <w:rFonts w:ascii="宋体"/>
                <w:szCs w:val="21"/>
              </w:rPr>
            </w:pPr>
          </w:p>
        </w:tc>
        <w:tc>
          <w:tcPr>
            <w:tcW w:w="1984" w:type="dxa"/>
            <w:gridSpan w:val="4"/>
            <w:vAlign w:val="center"/>
          </w:tcPr>
          <w:p>
            <w:pPr>
              <w:tabs>
                <w:tab w:val="left" w:pos="432"/>
              </w:tabs>
              <w:spacing w:beforeLines="50" w:afterLines="50"/>
              <w:ind w:left="432" w:hanging="432"/>
              <w:jc w:val="center"/>
              <w:rPr>
                <w:rFonts w:ascii="宋体"/>
                <w:szCs w:val="21"/>
              </w:rPr>
            </w:pPr>
            <w:r>
              <w:rPr>
                <w:rFonts w:hint="eastAsia" w:ascii="宋体" w:hAnsi="宋体"/>
                <w:szCs w:val="21"/>
              </w:rPr>
              <w:t>高级职称人员</w:t>
            </w:r>
          </w:p>
        </w:tc>
        <w:tc>
          <w:tcPr>
            <w:tcW w:w="2125" w:type="dxa"/>
            <w:gridSpan w:val="2"/>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注册资金</w:t>
            </w:r>
          </w:p>
        </w:tc>
        <w:tc>
          <w:tcPr>
            <w:tcW w:w="1918" w:type="dxa"/>
            <w:gridSpan w:val="2"/>
            <w:vAlign w:val="center"/>
          </w:tcPr>
          <w:p>
            <w:pPr>
              <w:tabs>
                <w:tab w:val="left" w:pos="432"/>
              </w:tabs>
              <w:spacing w:beforeLines="50" w:afterLines="50"/>
              <w:ind w:left="432" w:hanging="432"/>
              <w:jc w:val="center"/>
              <w:rPr>
                <w:rFonts w:ascii="宋体"/>
                <w:szCs w:val="21"/>
              </w:rPr>
            </w:pPr>
          </w:p>
        </w:tc>
        <w:tc>
          <w:tcPr>
            <w:tcW w:w="993" w:type="dxa"/>
            <w:vMerge w:val="continue"/>
            <w:vAlign w:val="center"/>
          </w:tcPr>
          <w:p>
            <w:pPr>
              <w:tabs>
                <w:tab w:val="left" w:pos="432"/>
              </w:tabs>
              <w:spacing w:beforeLines="50" w:afterLines="50"/>
              <w:ind w:left="432" w:hanging="432"/>
              <w:jc w:val="center"/>
              <w:rPr>
                <w:rFonts w:ascii="宋体"/>
                <w:szCs w:val="21"/>
              </w:rPr>
            </w:pPr>
          </w:p>
        </w:tc>
        <w:tc>
          <w:tcPr>
            <w:tcW w:w="1984" w:type="dxa"/>
            <w:gridSpan w:val="4"/>
            <w:vAlign w:val="center"/>
          </w:tcPr>
          <w:p>
            <w:pPr>
              <w:tabs>
                <w:tab w:val="left" w:pos="432"/>
              </w:tabs>
              <w:spacing w:beforeLines="50" w:afterLines="50"/>
              <w:ind w:left="432" w:hanging="432"/>
              <w:jc w:val="center"/>
              <w:rPr>
                <w:rFonts w:ascii="宋体"/>
                <w:szCs w:val="21"/>
              </w:rPr>
            </w:pPr>
            <w:r>
              <w:rPr>
                <w:rFonts w:hint="eastAsia" w:ascii="宋体" w:hAnsi="宋体"/>
                <w:szCs w:val="21"/>
              </w:rPr>
              <w:t>中级职称人员</w:t>
            </w:r>
          </w:p>
        </w:tc>
        <w:tc>
          <w:tcPr>
            <w:tcW w:w="2125" w:type="dxa"/>
            <w:gridSpan w:val="2"/>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开户银行</w:t>
            </w:r>
          </w:p>
        </w:tc>
        <w:tc>
          <w:tcPr>
            <w:tcW w:w="1918" w:type="dxa"/>
            <w:gridSpan w:val="2"/>
            <w:vAlign w:val="center"/>
          </w:tcPr>
          <w:p>
            <w:pPr>
              <w:tabs>
                <w:tab w:val="left" w:pos="432"/>
              </w:tabs>
              <w:spacing w:beforeLines="50" w:afterLines="50"/>
              <w:ind w:left="432" w:hanging="432"/>
              <w:jc w:val="center"/>
              <w:rPr>
                <w:rFonts w:ascii="宋体"/>
                <w:szCs w:val="21"/>
              </w:rPr>
            </w:pPr>
          </w:p>
        </w:tc>
        <w:tc>
          <w:tcPr>
            <w:tcW w:w="993" w:type="dxa"/>
            <w:vMerge w:val="continue"/>
            <w:vAlign w:val="center"/>
          </w:tcPr>
          <w:p>
            <w:pPr>
              <w:tabs>
                <w:tab w:val="left" w:pos="432"/>
              </w:tabs>
              <w:spacing w:beforeLines="50" w:afterLines="50"/>
              <w:ind w:left="432" w:hanging="432"/>
              <w:jc w:val="center"/>
              <w:rPr>
                <w:rFonts w:ascii="宋体"/>
                <w:szCs w:val="21"/>
              </w:rPr>
            </w:pPr>
          </w:p>
        </w:tc>
        <w:tc>
          <w:tcPr>
            <w:tcW w:w="1984" w:type="dxa"/>
            <w:gridSpan w:val="4"/>
            <w:vAlign w:val="center"/>
          </w:tcPr>
          <w:p>
            <w:pPr>
              <w:tabs>
                <w:tab w:val="left" w:pos="432"/>
              </w:tabs>
              <w:spacing w:beforeLines="50" w:afterLines="50"/>
              <w:ind w:left="432" w:hanging="432"/>
              <w:jc w:val="center"/>
              <w:rPr>
                <w:rFonts w:ascii="宋体"/>
                <w:szCs w:val="21"/>
              </w:rPr>
            </w:pPr>
            <w:r>
              <w:rPr>
                <w:rFonts w:hint="eastAsia" w:ascii="宋体" w:hAnsi="宋体"/>
                <w:szCs w:val="21"/>
              </w:rPr>
              <w:t>初级职称人员</w:t>
            </w:r>
          </w:p>
        </w:tc>
        <w:tc>
          <w:tcPr>
            <w:tcW w:w="2125" w:type="dxa"/>
            <w:gridSpan w:val="2"/>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账号</w:t>
            </w:r>
          </w:p>
        </w:tc>
        <w:tc>
          <w:tcPr>
            <w:tcW w:w="1918" w:type="dxa"/>
            <w:gridSpan w:val="2"/>
            <w:vAlign w:val="center"/>
          </w:tcPr>
          <w:p>
            <w:pPr>
              <w:tabs>
                <w:tab w:val="left" w:pos="432"/>
              </w:tabs>
              <w:spacing w:beforeLines="50" w:afterLines="50"/>
              <w:ind w:left="432" w:hanging="432"/>
              <w:jc w:val="center"/>
              <w:rPr>
                <w:rFonts w:ascii="宋体"/>
                <w:szCs w:val="21"/>
              </w:rPr>
            </w:pPr>
          </w:p>
        </w:tc>
        <w:tc>
          <w:tcPr>
            <w:tcW w:w="993" w:type="dxa"/>
            <w:vMerge w:val="continue"/>
            <w:vAlign w:val="center"/>
          </w:tcPr>
          <w:p>
            <w:pPr>
              <w:tabs>
                <w:tab w:val="left" w:pos="432"/>
              </w:tabs>
              <w:spacing w:beforeLines="50" w:afterLines="50"/>
              <w:ind w:left="432" w:hanging="432"/>
              <w:jc w:val="center"/>
              <w:rPr>
                <w:rFonts w:ascii="宋体"/>
                <w:szCs w:val="21"/>
              </w:rPr>
            </w:pPr>
          </w:p>
        </w:tc>
        <w:tc>
          <w:tcPr>
            <w:tcW w:w="1984" w:type="dxa"/>
            <w:gridSpan w:val="4"/>
            <w:vAlign w:val="center"/>
          </w:tcPr>
          <w:p>
            <w:pPr>
              <w:tabs>
                <w:tab w:val="left" w:pos="432"/>
              </w:tabs>
              <w:spacing w:beforeLines="50" w:afterLines="50"/>
              <w:ind w:left="432" w:hanging="432"/>
              <w:jc w:val="center"/>
              <w:rPr>
                <w:rFonts w:ascii="宋体"/>
                <w:szCs w:val="21"/>
              </w:rPr>
            </w:pPr>
            <w:r>
              <w:rPr>
                <w:rFonts w:hint="eastAsia" w:ascii="宋体" w:hAnsi="宋体"/>
                <w:szCs w:val="21"/>
              </w:rPr>
              <w:t>技工</w:t>
            </w:r>
          </w:p>
        </w:tc>
        <w:tc>
          <w:tcPr>
            <w:tcW w:w="2125" w:type="dxa"/>
            <w:gridSpan w:val="2"/>
            <w:vAlign w:val="center"/>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经营范围</w:t>
            </w:r>
          </w:p>
        </w:tc>
        <w:tc>
          <w:tcPr>
            <w:tcW w:w="7020" w:type="dxa"/>
            <w:gridSpan w:val="9"/>
            <w:vAlign w:val="center"/>
          </w:tcPr>
          <w:p>
            <w:pPr>
              <w:tabs>
                <w:tab w:val="left" w:pos="432"/>
              </w:tabs>
              <w:spacing w:beforeLines="50" w:afterLines="50"/>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85"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备注</w:t>
            </w:r>
          </w:p>
        </w:tc>
        <w:tc>
          <w:tcPr>
            <w:tcW w:w="7020" w:type="dxa"/>
            <w:gridSpan w:val="9"/>
            <w:vAlign w:val="center"/>
          </w:tcPr>
          <w:p>
            <w:pPr>
              <w:tabs>
                <w:tab w:val="left" w:pos="432"/>
              </w:tabs>
              <w:spacing w:beforeLines="50" w:afterLines="50"/>
              <w:ind w:left="432" w:hanging="432"/>
              <w:jc w:val="center"/>
              <w:rPr>
                <w:rFonts w:ascii="宋体"/>
                <w:szCs w:val="21"/>
              </w:rPr>
            </w:pPr>
          </w:p>
        </w:tc>
      </w:tr>
    </w:tbl>
    <w:p>
      <w:pPr>
        <w:spacing w:line="440" w:lineRule="exact"/>
        <w:rPr>
          <w:rFonts w:ascii="宋体"/>
          <w:szCs w:val="21"/>
        </w:rPr>
      </w:pPr>
      <w:r>
        <w:rPr>
          <w:rFonts w:hint="eastAsia" w:ascii="宋体" w:hAnsi="宋体"/>
          <w:szCs w:val="21"/>
        </w:rPr>
        <w:t>备注：本表后应附企业法人营业执照、企业资质证书副本、安全生产许可证、联合体协议书（如果需要）等材料的复印件。（具有机电设备安装叁级及以上资质、装饰装修专业叁级及以上资质；经营范围内包含放射防护工程施工等类似内容；提供建设行政主管部分颁发的安全生产许可证；）</w:t>
      </w:r>
    </w:p>
    <w:p>
      <w:pPr>
        <w:spacing w:line="440" w:lineRule="exact"/>
        <w:rPr>
          <w:rFonts w:ascii="宋体"/>
          <w:kern w:val="0"/>
          <w:szCs w:val="21"/>
        </w:rPr>
      </w:pPr>
      <w:r>
        <w:rPr>
          <w:rFonts w:hint="eastAsia" w:ascii="宋体" w:hAnsi="宋体"/>
          <w:szCs w:val="21"/>
        </w:rPr>
        <w:t>（二）</w:t>
      </w:r>
      <w:r>
        <w:rPr>
          <w:rFonts w:hint="eastAsia" w:ascii="宋体" w:hAnsi="宋体"/>
          <w:kern w:val="0"/>
          <w:szCs w:val="21"/>
        </w:rPr>
        <w:t>近三年（</w:t>
      </w:r>
      <w:r>
        <w:rPr>
          <w:rFonts w:ascii="宋体" w:hAnsi="宋体"/>
          <w:kern w:val="0"/>
          <w:szCs w:val="21"/>
        </w:rPr>
        <w:t>2014-2016</w:t>
      </w:r>
      <w:r>
        <w:rPr>
          <w:rFonts w:hint="eastAsia" w:ascii="宋体" w:hAnsi="宋体"/>
          <w:kern w:val="0"/>
          <w:szCs w:val="21"/>
        </w:rPr>
        <w:t>年度）财务状况（应附财务会计报表，包括资产负债表、现金流量表、利润表等材料的复印件），具体年份要求见第二章“供应商须知”前附表的规定。</w:t>
      </w:r>
    </w:p>
    <w:p>
      <w:pPr>
        <w:spacing w:line="420" w:lineRule="exact"/>
        <w:rPr>
          <w:rFonts w:ascii="宋体"/>
          <w:szCs w:val="21"/>
        </w:rPr>
      </w:pPr>
      <w:r>
        <w:rPr>
          <w:rFonts w:hint="eastAsia" w:ascii="宋体" w:hAnsi="宋体"/>
          <w:szCs w:val="21"/>
        </w:rPr>
        <w:t>（三）</w:t>
      </w:r>
      <w:r>
        <w:rPr>
          <w:rFonts w:hint="eastAsia" w:ascii="宋体" w:hAnsi="宋体"/>
          <w:kern w:val="0"/>
          <w:szCs w:val="21"/>
        </w:rPr>
        <w:t>拟派项目经理工作履历（附建造师注册证书复印件及安全生产考核合格证复印件）</w:t>
      </w:r>
      <w:r>
        <w:rPr>
          <w:rFonts w:hint="eastAsia" w:ascii="宋体" w:hAnsi="宋体"/>
          <w:szCs w:val="21"/>
        </w:rPr>
        <w:t>。注：</w:t>
      </w:r>
      <w:r>
        <w:rPr>
          <w:rFonts w:hint="eastAsia" w:ascii="宋体" w:hAnsi="宋体" w:cs="宋体"/>
          <w:b/>
          <w:bCs/>
          <w:kern w:val="0"/>
          <w:szCs w:val="21"/>
          <w:u w:val="single"/>
        </w:rPr>
        <w:t>拟派本项目的项目经理需在本单位注册具有贰级及以上建筑工程或机电安装专业建造师资格</w:t>
      </w:r>
    </w:p>
    <w:p>
      <w:pPr>
        <w:spacing w:line="420" w:lineRule="exact"/>
        <w:rPr>
          <w:rFonts w:ascii="宋体"/>
          <w:szCs w:val="21"/>
        </w:rPr>
      </w:pPr>
      <w:r>
        <w:rPr>
          <w:rFonts w:ascii="宋体"/>
          <w:sz w:val="18"/>
          <w:szCs w:val="18"/>
          <w:shd w:val="pct10" w:color="auto" w:fill="FFFFFF"/>
        </w:rPr>
        <w:br w:type="page"/>
      </w:r>
    </w:p>
    <w:p>
      <w:pPr>
        <w:numPr>
          <w:ilvl w:val="0"/>
          <w:numId w:val="8"/>
        </w:numPr>
        <w:rPr>
          <w:rFonts w:ascii="宋体" w:cs="宋体"/>
          <w:kern w:val="0"/>
          <w:sz w:val="24"/>
        </w:rPr>
      </w:pPr>
      <w:r>
        <w:rPr>
          <w:rFonts w:hint="eastAsia" w:ascii="宋体" w:hAnsi="宋体" w:cs="宋体"/>
          <w:kern w:val="0"/>
          <w:sz w:val="24"/>
        </w:rPr>
        <w:t>近年完成的类似项目情况表</w:t>
      </w:r>
    </w:p>
    <w:p>
      <w:pPr>
        <w:rPr>
          <w:rFonts w:ascii="宋体" w:cs="宋体"/>
          <w:kern w:val="0"/>
          <w:sz w:val="24"/>
        </w:rPr>
      </w:pPr>
    </w:p>
    <w:tbl>
      <w:tblPr>
        <w:tblStyle w:val="16"/>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0"/>
        <w:gridCol w:w="850"/>
        <w:gridCol w:w="850"/>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序号</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项目</w:t>
            </w:r>
          </w:p>
          <w:p>
            <w:pPr>
              <w:tabs>
                <w:tab w:val="left" w:pos="432"/>
              </w:tabs>
              <w:spacing w:beforeLines="50" w:afterLines="50"/>
              <w:ind w:left="432" w:hanging="432"/>
              <w:jc w:val="center"/>
              <w:rPr>
                <w:rFonts w:ascii="宋体"/>
                <w:szCs w:val="21"/>
              </w:rPr>
            </w:pPr>
            <w:r>
              <w:rPr>
                <w:rFonts w:hint="eastAsia" w:ascii="宋体" w:hAnsi="宋体"/>
                <w:szCs w:val="21"/>
              </w:rPr>
              <w:t>名称</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项目</w:t>
            </w:r>
          </w:p>
          <w:p>
            <w:pPr>
              <w:tabs>
                <w:tab w:val="left" w:pos="432"/>
              </w:tabs>
              <w:spacing w:beforeLines="50" w:afterLines="50"/>
              <w:ind w:left="432" w:hanging="432"/>
              <w:jc w:val="center"/>
              <w:rPr>
                <w:rFonts w:ascii="宋体"/>
                <w:szCs w:val="21"/>
              </w:rPr>
            </w:pPr>
            <w:r>
              <w:rPr>
                <w:rFonts w:hint="eastAsia" w:ascii="宋体" w:hAnsi="宋体"/>
                <w:szCs w:val="21"/>
              </w:rPr>
              <w:t>规模</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发包人</w:t>
            </w:r>
          </w:p>
          <w:p>
            <w:pPr>
              <w:tabs>
                <w:tab w:val="left" w:pos="432"/>
              </w:tabs>
              <w:spacing w:beforeLines="50" w:afterLines="50"/>
              <w:ind w:left="432" w:hanging="432"/>
              <w:jc w:val="center"/>
              <w:rPr>
                <w:rFonts w:ascii="宋体"/>
                <w:szCs w:val="21"/>
              </w:rPr>
            </w:pPr>
            <w:r>
              <w:rPr>
                <w:rFonts w:hint="eastAsia" w:ascii="宋体" w:hAnsi="宋体"/>
                <w:szCs w:val="21"/>
              </w:rPr>
              <w:t>名称</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发包人</w:t>
            </w:r>
          </w:p>
          <w:p>
            <w:pPr>
              <w:tabs>
                <w:tab w:val="left" w:pos="432"/>
              </w:tabs>
              <w:spacing w:beforeLines="50" w:afterLines="50"/>
              <w:ind w:left="432" w:hanging="432"/>
              <w:jc w:val="center"/>
              <w:rPr>
                <w:rFonts w:ascii="宋体"/>
                <w:szCs w:val="21"/>
              </w:rPr>
            </w:pPr>
            <w:r>
              <w:rPr>
                <w:rFonts w:hint="eastAsia" w:ascii="宋体" w:hAnsi="宋体"/>
                <w:szCs w:val="21"/>
              </w:rPr>
              <w:t>联系人</w:t>
            </w:r>
          </w:p>
          <w:p>
            <w:pPr>
              <w:tabs>
                <w:tab w:val="left" w:pos="432"/>
              </w:tabs>
              <w:spacing w:beforeLines="50" w:afterLines="50"/>
              <w:ind w:left="432" w:hanging="432"/>
              <w:jc w:val="center"/>
              <w:rPr>
                <w:rFonts w:ascii="宋体"/>
                <w:szCs w:val="21"/>
              </w:rPr>
            </w:pPr>
            <w:r>
              <w:rPr>
                <w:rFonts w:hint="eastAsia" w:ascii="宋体" w:hAnsi="宋体"/>
                <w:szCs w:val="21"/>
              </w:rPr>
              <w:t>及电话</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合同</w:t>
            </w:r>
          </w:p>
          <w:p>
            <w:pPr>
              <w:tabs>
                <w:tab w:val="left" w:pos="432"/>
              </w:tabs>
              <w:spacing w:beforeLines="50" w:afterLines="50"/>
              <w:ind w:left="432" w:hanging="432"/>
              <w:jc w:val="center"/>
              <w:rPr>
                <w:rFonts w:ascii="宋体"/>
                <w:szCs w:val="21"/>
              </w:rPr>
            </w:pPr>
            <w:r>
              <w:rPr>
                <w:rFonts w:hint="eastAsia" w:ascii="宋体" w:hAnsi="宋体"/>
                <w:szCs w:val="21"/>
              </w:rPr>
              <w:t>价格</w:t>
            </w:r>
          </w:p>
        </w:tc>
        <w:tc>
          <w:tcPr>
            <w:tcW w:w="850" w:type="dxa"/>
            <w:vAlign w:val="center"/>
          </w:tcPr>
          <w:p>
            <w:pPr>
              <w:tabs>
                <w:tab w:val="left" w:pos="432"/>
              </w:tabs>
              <w:spacing w:beforeLines="50" w:afterLines="50"/>
              <w:rPr>
                <w:rFonts w:ascii="宋体"/>
                <w:szCs w:val="21"/>
              </w:rPr>
            </w:pPr>
            <w:r>
              <w:rPr>
                <w:rFonts w:hint="eastAsia" w:ascii="宋体" w:hAnsi="宋体"/>
                <w:szCs w:val="21"/>
              </w:rPr>
              <w:t>开、竣工日期</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工程</w:t>
            </w:r>
          </w:p>
          <w:p>
            <w:pPr>
              <w:tabs>
                <w:tab w:val="left" w:pos="432"/>
              </w:tabs>
              <w:spacing w:beforeLines="50" w:afterLines="50"/>
              <w:ind w:left="432" w:hanging="432"/>
              <w:jc w:val="center"/>
              <w:rPr>
                <w:rFonts w:ascii="宋体"/>
                <w:szCs w:val="21"/>
              </w:rPr>
            </w:pPr>
            <w:r>
              <w:rPr>
                <w:rFonts w:hint="eastAsia" w:ascii="宋体" w:hAnsi="宋体"/>
                <w:szCs w:val="21"/>
              </w:rPr>
              <w:t>质量</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项目</w:t>
            </w:r>
          </w:p>
          <w:p>
            <w:pPr>
              <w:tabs>
                <w:tab w:val="left" w:pos="432"/>
              </w:tabs>
              <w:spacing w:beforeLines="50" w:afterLines="50"/>
              <w:ind w:left="432" w:hanging="432"/>
              <w:jc w:val="center"/>
              <w:rPr>
                <w:rFonts w:ascii="宋体"/>
                <w:szCs w:val="21"/>
              </w:rPr>
            </w:pPr>
            <w:r>
              <w:rPr>
                <w:rFonts w:hint="eastAsia" w:ascii="宋体" w:hAnsi="宋体"/>
                <w:szCs w:val="21"/>
              </w:rPr>
              <w:t>经理</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技术</w:t>
            </w:r>
          </w:p>
          <w:p>
            <w:pPr>
              <w:tabs>
                <w:tab w:val="left" w:pos="432"/>
              </w:tabs>
              <w:spacing w:beforeLines="50" w:afterLines="50"/>
              <w:ind w:left="432" w:hanging="432"/>
              <w:jc w:val="center"/>
              <w:rPr>
                <w:rFonts w:ascii="宋体"/>
                <w:szCs w:val="21"/>
              </w:rPr>
            </w:pPr>
            <w:r>
              <w:rPr>
                <w:rFonts w:hint="eastAsia" w:ascii="宋体" w:hAnsi="宋体"/>
                <w:szCs w:val="21"/>
              </w:rPr>
              <w:t>负责人</w:t>
            </w:r>
          </w:p>
        </w:tc>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总监理</w:t>
            </w:r>
          </w:p>
          <w:p>
            <w:pPr>
              <w:tabs>
                <w:tab w:val="left" w:pos="432"/>
              </w:tabs>
              <w:spacing w:beforeLines="50" w:afterLines="50"/>
              <w:ind w:left="432" w:hanging="432"/>
              <w:jc w:val="center"/>
              <w:rPr>
                <w:rFonts w:ascii="宋体"/>
                <w:szCs w:val="21"/>
              </w:rPr>
            </w:pPr>
            <w:r>
              <w:rPr>
                <w:rFonts w:hint="eastAsia" w:ascii="宋体" w:hAnsi="宋体"/>
                <w:szCs w:val="21"/>
              </w:rPr>
              <w:t>工程师</w:t>
            </w:r>
          </w:p>
          <w:p>
            <w:pPr>
              <w:tabs>
                <w:tab w:val="left" w:pos="432"/>
              </w:tabs>
              <w:spacing w:beforeLines="50" w:afterLines="50"/>
              <w:ind w:left="432" w:hanging="432"/>
              <w:jc w:val="center"/>
              <w:rPr>
                <w:rFonts w:ascii="宋体"/>
                <w:szCs w:val="21"/>
              </w:rPr>
            </w:pPr>
            <w:r>
              <w:rPr>
                <w:rFonts w:hint="eastAsia" w:ascii="宋体" w:hAnsi="宋体"/>
                <w:szCs w:val="21"/>
              </w:rPr>
              <w:t>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numPr>
                <w:ilvl w:val="0"/>
                <w:numId w:val="9"/>
              </w:numPr>
              <w:spacing w:beforeLines="50" w:afterLines="50"/>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tabs>
                <w:tab w:val="left" w:pos="432"/>
              </w:tabs>
              <w:spacing w:beforeLines="50" w:afterLines="50"/>
              <w:ind w:left="432" w:hanging="432"/>
              <w:jc w:val="center"/>
              <w:rPr>
                <w:rFonts w:ascii="宋体"/>
                <w:szCs w:val="21"/>
              </w:rPr>
            </w:pPr>
            <w:r>
              <w:rPr>
                <w:rFonts w:hint="eastAsia" w:ascii="宋体" w:hAnsi="宋体"/>
                <w:szCs w:val="21"/>
              </w:rPr>
              <w:t>……</w:t>
            </w: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vAlign w:val="center"/>
          </w:tcPr>
          <w:p>
            <w:pPr>
              <w:tabs>
                <w:tab w:val="left" w:pos="432"/>
              </w:tabs>
              <w:spacing w:beforeLines="50" w:afterLines="50"/>
              <w:ind w:left="432" w:hanging="432"/>
              <w:jc w:val="center"/>
              <w:rPr>
                <w:rFonts w:ascii="宋体"/>
                <w:szCs w:val="21"/>
              </w:rPr>
            </w:pPr>
          </w:p>
        </w:tc>
        <w:tc>
          <w:tcPr>
            <w:tcW w:w="850" w:type="dxa"/>
          </w:tcPr>
          <w:p>
            <w:pPr>
              <w:tabs>
                <w:tab w:val="left" w:pos="432"/>
              </w:tabs>
              <w:spacing w:beforeLines="50" w:afterLines="50"/>
              <w:ind w:left="432" w:hanging="432"/>
              <w:jc w:val="center"/>
              <w:rPr>
                <w:rFonts w:ascii="宋体"/>
                <w:szCs w:val="21"/>
              </w:rPr>
            </w:pPr>
          </w:p>
        </w:tc>
      </w:tr>
    </w:tbl>
    <w:p>
      <w:pPr>
        <w:spacing w:line="440" w:lineRule="exact"/>
        <w:ind w:left="630" w:hanging="630" w:hangingChars="300"/>
        <w:rPr>
          <w:rFonts w:ascii="宋体"/>
          <w:szCs w:val="21"/>
        </w:rPr>
      </w:pPr>
      <w:r>
        <w:rPr>
          <w:rFonts w:hint="eastAsia" w:ascii="宋体" w:hAnsi="宋体"/>
          <w:szCs w:val="21"/>
        </w:rPr>
        <w:t>备注：</w:t>
      </w:r>
      <w:r>
        <w:rPr>
          <w:rFonts w:ascii="宋体" w:hAnsi="宋体"/>
          <w:szCs w:val="21"/>
        </w:rPr>
        <w:t>1</w:t>
      </w:r>
      <w:r>
        <w:rPr>
          <w:rFonts w:hint="eastAsia" w:ascii="宋体" w:hAnsi="宋体"/>
          <w:szCs w:val="21"/>
        </w:rPr>
        <w:t>、类似项目：类似项目是指合同额为</w:t>
      </w:r>
      <w:r>
        <w:rPr>
          <w:rFonts w:ascii="宋体" w:hAnsi="宋体"/>
          <w:szCs w:val="21"/>
        </w:rPr>
        <w:t>20</w:t>
      </w:r>
      <w:r>
        <w:rPr>
          <w:rFonts w:hint="eastAsia" w:ascii="宋体" w:hAnsi="宋体"/>
          <w:szCs w:val="21"/>
        </w:rPr>
        <w:t>万元及以上的机房改造工程。</w:t>
      </w:r>
    </w:p>
    <w:p>
      <w:pPr>
        <w:spacing w:line="440" w:lineRule="exact"/>
        <w:rPr>
          <w:rFonts w:ascii="宋体"/>
          <w:szCs w:val="21"/>
        </w:rPr>
      </w:pPr>
      <w:r>
        <w:rPr>
          <w:rFonts w:ascii="宋体" w:hAnsi="宋体"/>
          <w:szCs w:val="21"/>
        </w:rPr>
        <w:t>2</w:t>
      </w:r>
      <w:r>
        <w:rPr>
          <w:rFonts w:hint="eastAsia" w:ascii="宋体" w:hAnsi="宋体"/>
          <w:szCs w:val="21"/>
        </w:rPr>
        <w:t>、本表后附中标通知书或合同协议书、工程接收证书或工程质量竣工验收记录或竣工验收证明等足以证明要求资格条件的复印件</w:t>
      </w:r>
      <w:r>
        <w:rPr>
          <w:rFonts w:ascii="宋体"/>
          <w:szCs w:val="21"/>
        </w:rPr>
        <w:t>,</w:t>
      </w:r>
      <w:r>
        <w:rPr>
          <w:rFonts w:hint="eastAsia" w:ascii="宋体" w:hAnsi="宋体"/>
          <w:szCs w:val="21"/>
        </w:rPr>
        <w:t>并标明序号。</w:t>
      </w:r>
    </w:p>
    <w:p>
      <w:pPr>
        <w:spacing w:line="440" w:lineRule="exact"/>
        <w:ind w:left="630" w:hanging="630" w:hangingChars="300"/>
        <w:rPr>
          <w:rFonts w:ascii="宋体"/>
          <w:szCs w:val="21"/>
        </w:rPr>
      </w:pPr>
      <w:r>
        <w:rPr>
          <w:rFonts w:ascii="宋体" w:hAnsi="宋体"/>
          <w:szCs w:val="21"/>
        </w:rPr>
        <w:t>3</w:t>
      </w:r>
      <w:r>
        <w:rPr>
          <w:rFonts w:hint="eastAsia" w:ascii="宋体" w:hAnsi="宋体"/>
          <w:szCs w:val="21"/>
        </w:rPr>
        <w:t>、具体年份要求见第二章“供应商须知”前附表的规定。</w:t>
      </w: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beforeLines="50" w:afterLines="50" w:line="440" w:lineRule="exact"/>
        <w:rPr>
          <w:rFonts w:ascii="宋体"/>
          <w:sz w:val="18"/>
          <w:szCs w:val="18"/>
        </w:rPr>
      </w:pPr>
    </w:p>
    <w:p>
      <w:pPr>
        <w:spacing w:beforeLines="50" w:afterLines="50" w:line="440" w:lineRule="exact"/>
        <w:rPr>
          <w:rFonts w:ascii="宋体"/>
          <w:szCs w:val="21"/>
        </w:rPr>
      </w:pPr>
      <w:r>
        <w:rPr>
          <w:rFonts w:hint="eastAsia" w:ascii="宋体" w:hAnsi="宋体"/>
          <w:szCs w:val="21"/>
        </w:rPr>
        <w:t>（五）</w:t>
      </w:r>
      <w:r>
        <w:rPr>
          <w:rFonts w:hint="eastAsia" w:ascii="宋体" w:hAnsi="宋体"/>
          <w:kern w:val="0"/>
          <w:szCs w:val="21"/>
        </w:rPr>
        <w:t>近年发生的诉讼及仲裁情况（应说明相关情况并附法院或仲裁机构作出的判决、仲裁等有关法律文书的复印件，具体年份要求见第二章“供应商须知”的规定。）</w:t>
      </w:r>
    </w:p>
    <w:p>
      <w:pPr>
        <w:spacing w:beforeLines="50" w:afterLines="50" w:line="440" w:lineRule="exact"/>
        <w:ind w:left="630" w:hanging="630" w:hangingChars="300"/>
        <w:rPr>
          <w:rFonts w:ascii="宋体"/>
          <w:szCs w:val="21"/>
        </w:rPr>
      </w:pPr>
      <w:r>
        <w:rPr>
          <w:rFonts w:hint="eastAsia" w:ascii="宋体" w:hAnsi="宋体"/>
          <w:szCs w:val="21"/>
        </w:rPr>
        <w:t>（六）企业其他信誉情况表（年份要求同诉讼及仲裁情况年份要求）</w:t>
      </w:r>
    </w:p>
    <w:p>
      <w:pPr>
        <w:spacing w:line="440" w:lineRule="exact"/>
        <w:ind w:left="630" w:hanging="630" w:hangingChars="300"/>
        <w:rPr>
          <w:rFonts w:ascii="宋体"/>
          <w:szCs w:val="21"/>
        </w:rPr>
      </w:pPr>
      <w:r>
        <w:rPr>
          <w:rFonts w:ascii="宋体" w:hAnsi="宋体"/>
          <w:szCs w:val="21"/>
        </w:rPr>
        <w:t>1</w:t>
      </w:r>
      <w:r>
        <w:rPr>
          <w:rFonts w:hint="eastAsia" w:ascii="宋体" w:hAnsi="宋体"/>
          <w:szCs w:val="21"/>
        </w:rPr>
        <w:t>、近年企业不良行为记录情况</w:t>
      </w: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630" w:hanging="630" w:hangingChars="300"/>
        <w:rPr>
          <w:rFonts w:ascii="宋体"/>
          <w:szCs w:val="21"/>
        </w:rPr>
      </w:pPr>
      <w:r>
        <w:rPr>
          <w:rFonts w:ascii="宋体" w:hAnsi="宋体"/>
          <w:szCs w:val="21"/>
        </w:rPr>
        <w:t>2</w:t>
      </w:r>
      <w:r>
        <w:rPr>
          <w:rFonts w:hint="eastAsia" w:ascii="宋体" w:hAnsi="宋体"/>
          <w:szCs w:val="21"/>
        </w:rPr>
        <w:t>、在施工程以及近年已竣工工程合同履行情况</w:t>
      </w: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630" w:hanging="630" w:hangingChars="300"/>
        <w:rPr>
          <w:rFonts w:ascii="宋体"/>
          <w:szCs w:val="21"/>
        </w:rPr>
      </w:pPr>
      <w:r>
        <w:rPr>
          <w:rFonts w:ascii="宋体" w:hAnsi="宋体"/>
          <w:szCs w:val="21"/>
        </w:rPr>
        <w:t>3</w:t>
      </w:r>
      <w:r>
        <w:rPr>
          <w:rFonts w:hint="eastAsia" w:ascii="宋体" w:hAnsi="宋体"/>
          <w:szCs w:val="21"/>
        </w:rPr>
        <w:t>、其他</w:t>
      </w: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540" w:hanging="540" w:hangingChars="300"/>
        <w:rPr>
          <w:rFonts w:ascii="宋体"/>
          <w:sz w:val="18"/>
          <w:szCs w:val="18"/>
        </w:rPr>
      </w:pPr>
    </w:p>
    <w:p>
      <w:pPr>
        <w:spacing w:line="440" w:lineRule="exact"/>
        <w:ind w:left="945" w:hanging="945" w:hangingChars="450"/>
        <w:rPr>
          <w:rFonts w:ascii="宋体"/>
          <w:szCs w:val="21"/>
        </w:rPr>
      </w:pPr>
      <w:r>
        <w:rPr>
          <w:rFonts w:hint="eastAsia" w:ascii="宋体" w:hAnsi="宋体"/>
          <w:szCs w:val="21"/>
        </w:rPr>
        <w:t>备注：</w:t>
      </w:r>
      <w:r>
        <w:rPr>
          <w:rFonts w:ascii="宋体" w:hAnsi="宋体"/>
          <w:szCs w:val="21"/>
        </w:rPr>
        <w:t>1</w:t>
      </w:r>
      <w:r>
        <w:rPr>
          <w:rFonts w:hint="eastAsia" w:ascii="宋体" w:hAnsi="宋体"/>
          <w:szCs w:val="21"/>
        </w:rPr>
        <w:t>、企业不良行为记录：详见供应商须知前附表规定。</w:t>
      </w:r>
    </w:p>
    <w:p>
      <w:pPr>
        <w:spacing w:line="440" w:lineRule="exact"/>
        <w:rPr>
          <w:rFonts w:ascii="宋体"/>
          <w:szCs w:val="21"/>
        </w:rPr>
      </w:pPr>
      <w:r>
        <w:rPr>
          <w:rFonts w:ascii="宋体" w:hAnsi="宋体"/>
          <w:szCs w:val="21"/>
        </w:rPr>
        <w:t xml:space="preserve">      2</w:t>
      </w:r>
      <w:r>
        <w:rPr>
          <w:rFonts w:hint="eastAsia" w:ascii="宋体" w:hAnsi="宋体"/>
          <w:szCs w:val="21"/>
        </w:rPr>
        <w:t>、合同履行情况主要是供应商近年所承接工程和已竣工工程是否按合同约定的工期、质量、安全等履行合同义务，对未竣工工程合同履行情况还应重点说明非不可抗力解除合同（如果有</w:t>
      </w:r>
      <w:r>
        <w:rPr>
          <w:rFonts w:ascii="宋体" w:hAnsi="宋体"/>
          <w:szCs w:val="21"/>
        </w:rPr>
        <w:t>)</w:t>
      </w:r>
      <w:r>
        <w:rPr>
          <w:rFonts w:hint="eastAsia" w:ascii="宋体" w:hAnsi="宋体"/>
          <w:szCs w:val="21"/>
        </w:rPr>
        <w:t>的原因等具体情况，等等。</w:t>
      </w:r>
    </w:p>
    <w:p>
      <w:pPr>
        <w:spacing w:beforeLines="50" w:afterLines="50" w:line="440" w:lineRule="exact"/>
        <w:ind w:left="540" w:hanging="540" w:hangingChars="300"/>
        <w:rPr>
          <w:rFonts w:ascii="宋体"/>
          <w:sz w:val="18"/>
          <w:szCs w:val="18"/>
        </w:rPr>
      </w:pPr>
    </w:p>
    <w:p>
      <w:pPr>
        <w:spacing w:beforeLines="50" w:afterLines="50" w:line="440" w:lineRule="exact"/>
        <w:ind w:left="540" w:hanging="540" w:hangingChars="300"/>
        <w:rPr>
          <w:rFonts w:ascii="宋体"/>
          <w:sz w:val="18"/>
          <w:szCs w:val="18"/>
        </w:rPr>
      </w:pPr>
    </w:p>
    <w:p>
      <w:pPr>
        <w:spacing w:line="440" w:lineRule="exact"/>
        <w:rPr>
          <w:rFonts w:ascii="宋体"/>
          <w:szCs w:val="21"/>
        </w:rPr>
      </w:pPr>
    </w:p>
    <w:p>
      <w:pPr>
        <w:spacing w:line="440" w:lineRule="exact"/>
        <w:rPr>
          <w:rFonts w:ascii="宋体"/>
          <w:szCs w:val="21"/>
        </w:rPr>
      </w:pPr>
    </w:p>
    <w:p>
      <w:pPr>
        <w:spacing w:line="440" w:lineRule="exact"/>
        <w:rPr>
          <w:rFonts w:ascii="宋体"/>
          <w:kern w:val="0"/>
          <w:szCs w:val="21"/>
        </w:rPr>
      </w:pPr>
      <w:r>
        <w:rPr>
          <w:rFonts w:hint="eastAsia" w:ascii="宋体" w:hAnsi="宋体"/>
          <w:szCs w:val="21"/>
        </w:rPr>
        <w:t>（七</w:t>
      </w:r>
      <w:r>
        <w:rPr>
          <w:rFonts w:ascii="宋体" w:hAnsi="宋体"/>
          <w:szCs w:val="21"/>
        </w:rPr>
        <w:t>)</w:t>
      </w:r>
      <w:r>
        <w:rPr>
          <w:rFonts w:hint="eastAsia" w:ascii="宋体" w:hAnsi="宋体"/>
          <w:szCs w:val="21"/>
        </w:rPr>
        <w:t>项目班子成员社保证明</w:t>
      </w:r>
      <w:r>
        <w:rPr>
          <w:rFonts w:hint="eastAsia" w:ascii="宋体" w:hAnsi="宋体" w:cs="宋体"/>
        </w:rPr>
        <w:t>（班子成员须单独列示或在缴存明细表中单独标示，以便查找。）</w:t>
      </w:r>
    </w:p>
    <w:p>
      <w:pPr>
        <w:spacing w:line="440" w:lineRule="exact"/>
        <w:rPr>
          <w:rFonts w:ascii="宋体" w:cs="宋体"/>
        </w:rPr>
      </w:pPr>
      <w:r>
        <w:rPr>
          <w:rFonts w:hint="eastAsia" w:ascii="宋体" w:hAnsi="宋体" w:cs="宋体"/>
        </w:rPr>
        <w:t>（八）提供有中国疾病预防控制中心辐射防护与核安全医学所出具的铅板、铅玻璃板、防护涂料板合格检测报告复印件。</w:t>
      </w:r>
    </w:p>
    <w:p>
      <w:pPr>
        <w:spacing w:line="440" w:lineRule="exact"/>
        <w:rPr>
          <w:rFonts w:ascii="宋体" w:cs="宋体"/>
        </w:rPr>
      </w:pPr>
    </w:p>
    <w:p>
      <w:pPr>
        <w:spacing w:line="440" w:lineRule="exact"/>
        <w:ind w:firstLine="413" w:firstLineChars="196"/>
        <w:rPr>
          <w:rFonts w:ascii="宋体"/>
          <w:b/>
          <w:kern w:val="0"/>
          <w:szCs w:val="21"/>
        </w:rPr>
      </w:pPr>
      <w:r>
        <w:rPr>
          <w:rFonts w:hint="eastAsia" w:ascii="宋体" w:hAnsi="宋体"/>
          <w:b/>
          <w:kern w:val="0"/>
          <w:szCs w:val="21"/>
        </w:rPr>
        <w:t>供应商对提供的以上资料的真实性负责，评标过程中磋商小组若对以上供应商提供的资料有异议，可要求供应商提供原件进行复核，若发现有不实之处，按废标处理。</w:t>
      </w:r>
    </w:p>
    <w:p>
      <w:pPr>
        <w:spacing w:line="440" w:lineRule="exact"/>
        <w:ind w:firstLine="413" w:firstLineChars="196"/>
        <w:rPr>
          <w:rFonts w:ascii="宋体"/>
          <w:b/>
          <w:kern w:val="0"/>
          <w:szCs w:val="21"/>
        </w:rPr>
      </w:pPr>
      <w:r>
        <w:rPr>
          <w:rFonts w:hint="eastAsia" w:ascii="宋体" w:hAnsi="宋体"/>
          <w:b/>
          <w:kern w:val="0"/>
          <w:szCs w:val="21"/>
        </w:rPr>
        <w:t>其中：</w:t>
      </w:r>
    </w:p>
    <w:p>
      <w:pPr>
        <w:spacing w:line="440" w:lineRule="exact"/>
        <w:ind w:firstLine="472" w:firstLineChars="196"/>
        <w:rPr>
          <w:rFonts w:ascii="宋体"/>
          <w:b/>
          <w:kern w:val="0"/>
          <w:sz w:val="24"/>
        </w:rPr>
      </w:pPr>
      <w:r>
        <w:rPr>
          <w:rFonts w:ascii="宋体" w:hAnsi="宋体"/>
          <w:b/>
          <w:kern w:val="0"/>
          <w:sz w:val="24"/>
        </w:rPr>
        <w:t>1</w:t>
      </w:r>
      <w:r>
        <w:rPr>
          <w:rFonts w:hint="eastAsia" w:ascii="宋体" w:hAnsi="宋体"/>
          <w:b/>
          <w:kern w:val="0"/>
          <w:sz w:val="24"/>
        </w:rPr>
        <w:t>、第（一）、（二）、（三）、（七）、（八）条为必备条件，若无或不符合供应商须知前附表要求的资格条件，则资格后审不合格；</w:t>
      </w:r>
    </w:p>
    <w:p>
      <w:pPr>
        <w:spacing w:line="440" w:lineRule="exact"/>
        <w:ind w:firstLine="472" w:firstLineChars="196"/>
        <w:rPr>
          <w:rFonts w:ascii="宋体"/>
          <w:b/>
          <w:kern w:val="0"/>
          <w:sz w:val="24"/>
        </w:rPr>
      </w:pPr>
      <w:r>
        <w:rPr>
          <w:rFonts w:ascii="宋体" w:hAnsi="宋体"/>
          <w:b/>
          <w:kern w:val="0"/>
          <w:sz w:val="24"/>
        </w:rPr>
        <w:t>2</w:t>
      </w:r>
      <w:r>
        <w:rPr>
          <w:rFonts w:hint="eastAsia" w:ascii="宋体" w:hAnsi="宋体"/>
          <w:b/>
          <w:kern w:val="0"/>
          <w:sz w:val="24"/>
        </w:rPr>
        <w:t>、（四）、（五）、（六）条内容，若无，应注明情况，若资格后审文件中无（四）、（五）、（六）内容，且未在资格后审文件中注明</w:t>
      </w:r>
      <w:r>
        <w:rPr>
          <w:rFonts w:ascii="宋体"/>
          <w:b/>
          <w:kern w:val="0"/>
          <w:sz w:val="24"/>
        </w:rPr>
        <w:t>,</w:t>
      </w:r>
      <w:r>
        <w:rPr>
          <w:rFonts w:hint="eastAsia" w:ascii="宋体" w:hAnsi="宋体"/>
          <w:b/>
          <w:kern w:val="0"/>
          <w:sz w:val="24"/>
        </w:rPr>
        <w:t>则视为资格后审不合格。</w:t>
      </w:r>
    </w:p>
    <w:p>
      <w:pPr>
        <w:spacing w:line="440" w:lineRule="exact"/>
        <w:ind w:firstLine="472" w:firstLineChars="196"/>
        <w:rPr>
          <w:rFonts w:ascii="宋体" w:cs="宋体"/>
          <w:b/>
          <w:kern w:val="0"/>
          <w:sz w:val="24"/>
        </w:rPr>
      </w:pPr>
      <w:r>
        <w:rPr>
          <w:rFonts w:ascii="宋体" w:hAnsi="宋体"/>
          <w:b/>
          <w:kern w:val="0"/>
          <w:sz w:val="24"/>
        </w:rPr>
        <w:t>3</w:t>
      </w:r>
      <w:r>
        <w:rPr>
          <w:rFonts w:hint="eastAsia" w:ascii="宋体" w:hAnsi="宋体"/>
          <w:b/>
          <w:kern w:val="0"/>
          <w:sz w:val="24"/>
        </w:rPr>
        <w:t>、</w:t>
      </w:r>
      <w:r>
        <w:rPr>
          <w:rFonts w:hint="eastAsia" w:ascii="宋体" w:hAnsi="宋体" w:cs="宋体"/>
          <w:b/>
          <w:sz w:val="24"/>
        </w:rPr>
        <w:t>企业法人营业执照、企业资质证书副本、安全生产许可证、联合体协议书（如果需要），</w:t>
      </w:r>
      <w:r>
        <w:rPr>
          <w:rFonts w:hint="eastAsia" w:ascii="宋体" w:hAnsi="宋体" w:cs="宋体"/>
          <w:b/>
          <w:kern w:val="0"/>
          <w:sz w:val="24"/>
        </w:rPr>
        <w:t>建造师注册证书及安全生产考核合格证提供原件。</w:t>
      </w:r>
    </w:p>
    <w:p>
      <w:pPr>
        <w:spacing w:line="440" w:lineRule="exact"/>
        <w:ind w:firstLine="472" w:firstLineChars="196"/>
        <w:rPr>
          <w:rFonts w:ascii="宋体"/>
          <w:b/>
          <w:sz w:val="24"/>
        </w:rPr>
      </w:pPr>
      <w:r>
        <w:rPr>
          <w:rFonts w:ascii="宋体" w:hAnsi="宋体" w:cs="宋体"/>
          <w:b/>
          <w:sz w:val="24"/>
        </w:rPr>
        <w:t>4</w:t>
      </w:r>
      <w:r>
        <w:rPr>
          <w:rFonts w:hint="eastAsia" w:ascii="宋体" w:hAnsi="宋体" w:cs="宋体"/>
          <w:b/>
          <w:sz w:val="24"/>
        </w:rPr>
        <w:t>、资格后审文件应按供应商须知前附表要求独立</w:t>
      </w:r>
      <w:r>
        <w:rPr>
          <w:rFonts w:hint="eastAsia" w:ascii="宋体" w:hAnsi="宋体"/>
          <w:b/>
          <w:sz w:val="24"/>
        </w:rPr>
        <w:t>成册</w:t>
      </w:r>
    </w:p>
    <w:p>
      <w:pPr>
        <w:rPr>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840" w:hanging="420"/>
      <w:jc w:val="center"/>
      <w:rPr>
        <w:rFonts w:ascii="仿宋_GB2312" w:hAnsi="仿宋_GB2312" w:eastAsia="仿宋_GB2312"/>
        <w:sz w:val="21"/>
        <w:szCs w:val="21"/>
      </w:rPr>
    </w:pPr>
    <w:r>
      <w:rPr>
        <w:rFonts w:ascii="仿宋_GB2312" w:hAnsi="仿宋_GB2312" w:eastAsia="仿宋_GB2312"/>
        <w:sz w:val="21"/>
        <w:szCs w:val="21"/>
      </w:rPr>
      <w:fldChar w:fldCharType="begin"/>
    </w:r>
    <w:r>
      <w:rPr>
        <w:rFonts w:ascii="仿宋_GB2312" w:hAnsi="仿宋_GB2312" w:eastAsia="仿宋_GB2312"/>
        <w:sz w:val="21"/>
        <w:szCs w:val="21"/>
      </w:rPr>
      <w:instrText xml:space="preserve"> PAGE \* Arabic </w:instrText>
    </w:r>
    <w:r>
      <w:rPr>
        <w:rFonts w:ascii="仿宋_GB2312" w:hAnsi="仿宋_GB2312" w:eastAsia="仿宋_GB2312"/>
        <w:sz w:val="21"/>
        <w:szCs w:val="21"/>
      </w:rPr>
      <w:fldChar w:fldCharType="separate"/>
    </w:r>
    <w:r>
      <w:rPr>
        <w:rFonts w:ascii="仿宋_GB2312" w:hAnsi="仿宋_GB2312" w:eastAsia="仿宋_GB2312"/>
        <w:sz w:val="21"/>
        <w:szCs w:val="21"/>
      </w:rPr>
      <w:t>3</w:t>
    </w:r>
    <w:r>
      <w:rPr>
        <w:rFonts w:ascii="仿宋_GB2312" w:hAnsi="仿宋_GB2312" w:eastAsia="仿宋_GB2312"/>
        <w:sz w:val="21"/>
        <w:szCs w:val="21"/>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4"/>
      <w:numFmt w:val="decimal"/>
      <w:suff w:val="space"/>
      <w:lvlText w:val="%1."/>
      <w:lvlJc w:val="left"/>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000000F"/>
    <w:multiLevelType w:val="singleLevel"/>
    <w:tmpl w:val="0000000F"/>
    <w:lvl w:ilvl="0" w:tentative="0">
      <w:start w:val="3"/>
      <w:numFmt w:val="chineseCounting"/>
      <w:suff w:val="nothing"/>
      <w:lvlText w:val="%1、"/>
      <w:lvlJc w:val="left"/>
      <w:rPr>
        <w:rFonts w:cs="Times New Roman"/>
      </w:rPr>
    </w:lvl>
  </w:abstractNum>
  <w:abstractNum w:abstractNumId="2">
    <w:nsid w:val="00000011"/>
    <w:multiLevelType w:val="singleLevel"/>
    <w:tmpl w:val="00000011"/>
    <w:lvl w:ilvl="0" w:tentative="0">
      <w:start w:val="1"/>
      <w:numFmt w:val="chineseCounting"/>
      <w:suff w:val="space"/>
      <w:lvlText w:val="第%1章"/>
      <w:lvlJc w:val="left"/>
      <w:rPr>
        <w:rFonts w:cs="Times New Roman"/>
      </w:rPr>
    </w:lvl>
  </w:abstractNum>
  <w:abstractNum w:abstractNumId="3">
    <w:nsid w:val="00000012"/>
    <w:multiLevelType w:val="singleLevel"/>
    <w:tmpl w:val="00000012"/>
    <w:lvl w:ilvl="0" w:tentative="0">
      <w:start w:val="1"/>
      <w:numFmt w:val="chineseCounting"/>
      <w:suff w:val="nothing"/>
      <w:lvlText w:val="%1、"/>
      <w:lvlJc w:val="left"/>
      <w:rPr>
        <w:rFonts w:cs="Times New Roman"/>
      </w:rPr>
    </w:lvl>
  </w:abstractNum>
  <w:abstractNum w:abstractNumId="4">
    <w:nsid w:val="58F03EBF"/>
    <w:multiLevelType w:val="singleLevel"/>
    <w:tmpl w:val="58F03EBF"/>
    <w:lvl w:ilvl="0" w:tentative="0">
      <w:start w:val="3"/>
      <w:numFmt w:val="chineseCounting"/>
      <w:suff w:val="space"/>
      <w:lvlText w:val="第%1章"/>
      <w:lvlJc w:val="left"/>
      <w:rPr>
        <w:rFonts w:cs="Times New Roman"/>
      </w:rPr>
    </w:lvl>
  </w:abstractNum>
  <w:abstractNum w:abstractNumId="5">
    <w:nsid w:val="58F06BE0"/>
    <w:multiLevelType w:val="singleLevel"/>
    <w:tmpl w:val="58F06BE0"/>
    <w:lvl w:ilvl="0" w:tentative="0">
      <w:start w:val="1"/>
      <w:numFmt w:val="decimal"/>
      <w:suff w:val="nothing"/>
      <w:lvlText w:val="（%1）"/>
      <w:lvlJc w:val="left"/>
      <w:rPr>
        <w:rFonts w:cs="Times New Roman"/>
      </w:rPr>
    </w:lvl>
  </w:abstractNum>
  <w:abstractNum w:abstractNumId="6">
    <w:nsid w:val="58F42E63"/>
    <w:multiLevelType w:val="singleLevel"/>
    <w:tmpl w:val="58F42E63"/>
    <w:lvl w:ilvl="0" w:tentative="0">
      <w:start w:val="4"/>
      <w:numFmt w:val="chineseCounting"/>
      <w:suff w:val="nothing"/>
      <w:lvlText w:val="（%1）"/>
      <w:lvlJc w:val="left"/>
      <w:rPr>
        <w:rFonts w:cs="Times New Roman"/>
      </w:rPr>
    </w:lvl>
  </w:abstractNum>
  <w:abstractNum w:abstractNumId="7">
    <w:nsid w:val="59E70DB7"/>
    <w:multiLevelType w:val="singleLevel"/>
    <w:tmpl w:val="59E70DB7"/>
    <w:lvl w:ilvl="0" w:tentative="0">
      <w:start w:val="1"/>
      <w:numFmt w:val="decimal"/>
      <w:suff w:val="nothing"/>
      <w:lvlText w:val="（%1）"/>
      <w:lvlJc w:val="left"/>
      <w:rPr>
        <w:rFonts w:cs="Times New Roman"/>
      </w:rPr>
    </w:lvl>
  </w:abstractNum>
  <w:abstractNum w:abstractNumId="8">
    <w:nsid w:val="59E9534D"/>
    <w:multiLevelType w:val="singleLevel"/>
    <w:tmpl w:val="59E9534D"/>
    <w:lvl w:ilvl="0" w:tentative="0">
      <w:start w:val="1"/>
      <w:numFmt w:val="decimal"/>
      <w:lvlText w:val="%1."/>
      <w:lvlJc w:val="left"/>
      <w:pPr>
        <w:tabs>
          <w:tab w:val="left" w:pos="312"/>
        </w:tabs>
      </w:pPr>
      <w:rPr>
        <w:rFonts w:cs="Times New Roman"/>
      </w:rPr>
    </w:lvl>
  </w:abstractNum>
  <w:num w:numId="1">
    <w:abstractNumId w:val="2"/>
  </w:num>
  <w:num w:numId="2">
    <w:abstractNumId w:val="7"/>
  </w:num>
  <w:num w:numId="3">
    <w:abstractNumId w:val="4"/>
  </w:num>
  <w:num w:numId="4">
    <w:abstractNumId w:val="5"/>
  </w:num>
  <w:num w:numId="5">
    <w:abstractNumId w:val="8"/>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6BE1"/>
    <w:rsid w:val="00032440"/>
    <w:rsid w:val="0009691E"/>
    <w:rsid w:val="000A6C38"/>
    <w:rsid w:val="000B603A"/>
    <w:rsid w:val="000E223C"/>
    <w:rsid w:val="000F3255"/>
    <w:rsid w:val="00164F09"/>
    <w:rsid w:val="001A6E01"/>
    <w:rsid w:val="001E31DD"/>
    <w:rsid w:val="0024339F"/>
    <w:rsid w:val="00244AD3"/>
    <w:rsid w:val="00255261"/>
    <w:rsid w:val="0028412E"/>
    <w:rsid w:val="002D6F8B"/>
    <w:rsid w:val="002E6BE1"/>
    <w:rsid w:val="002F11A6"/>
    <w:rsid w:val="00336115"/>
    <w:rsid w:val="0035551C"/>
    <w:rsid w:val="003B7048"/>
    <w:rsid w:val="003F5E3B"/>
    <w:rsid w:val="00521DAF"/>
    <w:rsid w:val="006D0BA3"/>
    <w:rsid w:val="006D5022"/>
    <w:rsid w:val="00723842"/>
    <w:rsid w:val="00726479"/>
    <w:rsid w:val="00736BA8"/>
    <w:rsid w:val="00775530"/>
    <w:rsid w:val="00787B7C"/>
    <w:rsid w:val="007C4100"/>
    <w:rsid w:val="008812D9"/>
    <w:rsid w:val="008D6B8D"/>
    <w:rsid w:val="00901ACE"/>
    <w:rsid w:val="00993397"/>
    <w:rsid w:val="009B773C"/>
    <w:rsid w:val="009D369E"/>
    <w:rsid w:val="009E7914"/>
    <w:rsid w:val="00A82A82"/>
    <w:rsid w:val="00AB55FB"/>
    <w:rsid w:val="00B04E05"/>
    <w:rsid w:val="00B62FCF"/>
    <w:rsid w:val="00B931D8"/>
    <w:rsid w:val="00C3022C"/>
    <w:rsid w:val="00CC6864"/>
    <w:rsid w:val="00D14FA0"/>
    <w:rsid w:val="00D67DB9"/>
    <w:rsid w:val="00D92DB0"/>
    <w:rsid w:val="00DA0DE2"/>
    <w:rsid w:val="00DF25CF"/>
    <w:rsid w:val="00F00C59"/>
    <w:rsid w:val="00F05E1E"/>
    <w:rsid w:val="00F902FB"/>
    <w:rsid w:val="00FB4ECC"/>
    <w:rsid w:val="00FB7CDE"/>
    <w:rsid w:val="00FC6E7F"/>
    <w:rsid w:val="01927731"/>
    <w:rsid w:val="01B07EF3"/>
    <w:rsid w:val="04105823"/>
    <w:rsid w:val="04C138BF"/>
    <w:rsid w:val="059951B7"/>
    <w:rsid w:val="07FC031F"/>
    <w:rsid w:val="0ADA04BA"/>
    <w:rsid w:val="0B1425D8"/>
    <w:rsid w:val="0DE82343"/>
    <w:rsid w:val="0E326858"/>
    <w:rsid w:val="14BE51BC"/>
    <w:rsid w:val="16B9647A"/>
    <w:rsid w:val="18FC6275"/>
    <w:rsid w:val="1920084D"/>
    <w:rsid w:val="1B252289"/>
    <w:rsid w:val="245E30BB"/>
    <w:rsid w:val="26214D5D"/>
    <w:rsid w:val="265C5EC8"/>
    <w:rsid w:val="26B675A8"/>
    <w:rsid w:val="26FE3FD9"/>
    <w:rsid w:val="2B7C7B9D"/>
    <w:rsid w:val="2C176430"/>
    <w:rsid w:val="2C690333"/>
    <w:rsid w:val="2C962C53"/>
    <w:rsid w:val="31362677"/>
    <w:rsid w:val="335E4C30"/>
    <w:rsid w:val="33F16BFD"/>
    <w:rsid w:val="3A6357F1"/>
    <w:rsid w:val="3B091B72"/>
    <w:rsid w:val="3B2742EE"/>
    <w:rsid w:val="3B382ACB"/>
    <w:rsid w:val="3B3C3D10"/>
    <w:rsid w:val="3EC61235"/>
    <w:rsid w:val="3F6925A7"/>
    <w:rsid w:val="403A25CB"/>
    <w:rsid w:val="41B2011D"/>
    <w:rsid w:val="48C81B03"/>
    <w:rsid w:val="493C7CF2"/>
    <w:rsid w:val="4989275D"/>
    <w:rsid w:val="4A787A97"/>
    <w:rsid w:val="4F9E4D2E"/>
    <w:rsid w:val="529A11A9"/>
    <w:rsid w:val="541C75E1"/>
    <w:rsid w:val="543B18DD"/>
    <w:rsid w:val="568671B3"/>
    <w:rsid w:val="576F51AD"/>
    <w:rsid w:val="580B12A8"/>
    <w:rsid w:val="58464901"/>
    <w:rsid w:val="59A81AE0"/>
    <w:rsid w:val="5E644FB2"/>
    <w:rsid w:val="60414D33"/>
    <w:rsid w:val="63AC7EC6"/>
    <w:rsid w:val="66A226B9"/>
    <w:rsid w:val="6D994A59"/>
    <w:rsid w:val="6F744BF0"/>
    <w:rsid w:val="73944D1F"/>
    <w:rsid w:val="73CA76ED"/>
    <w:rsid w:val="74E16A4B"/>
    <w:rsid w:val="77005E71"/>
    <w:rsid w:val="7B14141B"/>
    <w:rsid w:val="7CB27B7E"/>
    <w:rsid w:val="7D390558"/>
    <w:rsid w:val="7F2025FA"/>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6"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99"/>
    <w:pPr>
      <w:keepNext/>
      <w:keepLines/>
      <w:spacing w:line="360" w:lineRule="auto"/>
      <w:outlineLvl w:val="0"/>
    </w:pPr>
    <w:rPr>
      <w:b/>
      <w:bCs/>
      <w:kern w:val="44"/>
      <w:sz w:val="32"/>
      <w:szCs w:val="44"/>
    </w:rPr>
  </w:style>
  <w:style w:type="paragraph" w:styleId="3">
    <w:name w:val="heading 2"/>
    <w:basedOn w:val="1"/>
    <w:next w:val="1"/>
    <w:link w:val="18"/>
    <w:qFormat/>
    <w:uiPriority w:val="99"/>
    <w:pPr>
      <w:keepNext/>
      <w:keepLines/>
      <w:spacing w:line="413"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spacing w:line="360" w:lineRule="auto"/>
      <w:outlineLvl w:val="2"/>
    </w:pPr>
    <w:rPr>
      <w:b/>
      <w:bCs/>
      <w:sz w:val="24"/>
      <w:szCs w:val="32"/>
    </w:rPr>
  </w:style>
  <w:style w:type="character" w:default="1" w:styleId="14">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link w:val="20"/>
    <w:qFormat/>
    <w:uiPriority w:val="99"/>
    <w:rPr>
      <w:szCs w:val="20"/>
    </w:rPr>
  </w:style>
  <w:style w:type="paragraph" w:styleId="6">
    <w:name w:val="List 2"/>
    <w:basedOn w:val="1"/>
    <w:qFormat/>
    <w:uiPriority w:val="99"/>
    <w:pPr>
      <w:ind w:left="100" w:leftChars="200" w:hanging="200" w:hangingChars="200"/>
    </w:pPr>
    <w:rPr>
      <w:rFonts w:ascii="Times New Roman" w:hAnsi="Times New Roman"/>
      <w:szCs w:val="21"/>
    </w:rPr>
  </w:style>
  <w:style w:type="paragraph" w:styleId="7">
    <w:name w:val="Plain Text"/>
    <w:basedOn w:val="1"/>
    <w:link w:val="21"/>
    <w:uiPriority w:val="99"/>
    <w:rPr>
      <w:rFonts w:ascii="宋体" w:hAnsi="Courier New"/>
    </w:rPr>
  </w:style>
  <w:style w:type="paragraph" w:styleId="8">
    <w:name w:val="Body Text Indent 2"/>
    <w:basedOn w:val="1"/>
    <w:link w:val="22"/>
    <w:qFormat/>
    <w:uiPriority w:val="99"/>
    <w:pPr>
      <w:spacing w:line="480" w:lineRule="auto"/>
      <w:ind w:left="420" w:leftChars="200"/>
    </w:pPr>
    <w:rPr>
      <w:szCs w:val="20"/>
    </w:rPr>
  </w:style>
  <w:style w:type="paragraph" w:styleId="9">
    <w:name w:val="footer"/>
    <w:basedOn w:val="1"/>
    <w:link w:val="28"/>
    <w:unhideWhenUsed/>
    <w:qFormat/>
    <w:uiPriority w:val="6"/>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tabs>
        <w:tab w:val="right" w:leader="dot" w:pos="9628"/>
      </w:tabs>
      <w:spacing w:line="360" w:lineRule="auto"/>
    </w:pPr>
    <w:rPr>
      <w:rFonts w:ascii="宋体" w:hAnsi="宋体"/>
      <w:b/>
      <w:color w:val="000000"/>
      <w:sz w:val="24"/>
    </w:rPr>
  </w:style>
  <w:style w:type="paragraph" w:styleId="12">
    <w:name w:val="toc 2"/>
    <w:basedOn w:val="1"/>
    <w:next w:val="1"/>
    <w:qFormat/>
    <w:uiPriority w:val="99"/>
    <w:pPr>
      <w:ind w:left="420" w:leftChars="200"/>
    </w:pPr>
  </w:style>
  <w:style w:type="paragraph" w:styleId="13">
    <w:name w:val="Normal (Web)"/>
    <w:basedOn w:val="1"/>
    <w:qFormat/>
    <w:uiPriority w:val="99"/>
    <w:pPr>
      <w:widowControl/>
      <w:spacing w:beforeAutospacing="1" w:afterAutospacing="1"/>
      <w:jc w:val="left"/>
    </w:pPr>
    <w:rPr>
      <w:rFonts w:ascii="宋体" w:hAnsi="宋体" w:cs="宋体"/>
      <w:kern w:val="0"/>
      <w:sz w:val="24"/>
    </w:rPr>
  </w:style>
  <w:style w:type="character" w:styleId="15">
    <w:name w:val="Strong"/>
    <w:basedOn w:val="14"/>
    <w:qFormat/>
    <w:uiPriority w:val="99"/>
    <w:rPr>
      <w:rFonts w:cs="Times New Roman"/>
      <w:b/>
      <w:bCs/>
    </w:rPr>
  </w:style>
  <w:style w:type="character" w:customStyle="1" w:styleId="17">
    <w:name w:val="标题 1 Char"/>
    <w:basedOn w:val="14"/>
    <w:link w:val="2"/>
    <w:qFormat/>
    <w:uiPriority w:val="9"/>
    <w:rPr>
      <w:b/>
      <w:bCs/>
      <w:kern w:val="44"/>
      <w:sz w:val="44"/>
      <w:szCs w:val="44"/>
    </w:rPr>
  </w:style>
  <w:style w:type="character" w:customStyle="1" w:styleId="18">
    <w:name w:val="标题 2 Char"/>
    <w:basedOn w:val="14"/>
    <w:link w:val="3"/>
    <w:semiHidden/>
    <w:qFormat/>
    <w:uiPriority w:val="9"/>
    <w:rPr>
      <w:rFonts w:ascii="Cambria" w:hAnsi="Cambria" w:eastAsia="宋体" w:cs="Times New Roman"/>
      <w:b/>
      <w:bCs/>
      <w:sz w:val="32"/>
      <w:szCs w:val="32"/>
    </w:rPr>
  </w:style>
  <w:style w:type="character" w:customStyle="1" w:styleId="19">
    <w:name w:val="标题 3 Char"/>
    <w:basedOn w:val="14"/>
    <w:link w:val="4"/>
    <w:semiHidden/>
    <w:qFormat/>
    <w:uiPriority w:val="9"/>
    <w:rPr>
      <w:b/>
      <w:bCs/>
      <w:sz w:val="32"/>
      <w:szCs w:val="32"/>
    </w:rPr>
  </w:style>
  <w:style w:type="character" w:customStyle="1" w:styleId="20">
    <w:name w:val="正文文本 Char"/>
    <w:basedOn w:val="14"/>
    <w:link w:val="5"/>
    <w:semiHidden/>
    <w:qFormat/>
    <w:uiPriority w:val="99"/>
    <w:rPr>
      <w:szCs w:val="24"/>
    </w:rPr>
  </w:style>
  <w:style w:type="character" w:customStyle="1" w:styleId="21">
    <w:name w:val="纯文本 Char"/>
    <w:basedOn w:val="14"/>
    <w:link w:val="7"/>
    <w:semiHidden/>
    <w:qFormat/>
    <w:uiPriority w:val="99"/>
    <w:rPr>
      <w:rFonts w:ascii="宋体" w:hAnsi="Courier New" w:cs="Courier New"/>
      <w:szCs w:val="21"/>
    </w:rPr>
  </w:style>
  <w:style w:type="character" w:customStyle="1" w:styleId="22">
    <w:name w:val="正文文本缩进 2 Char"/>
    <w:basedOn w:val="14"/>
    <w:link w:val="8"/>
    <w:semiHidden/>
    <w:qFormat/>
    <w:uiPriority w:val="99"/>
    <w:rPr>
      <w:szCs w:val="24"/>
    </w:rPr>
  </w:style>
  <w:style w:type="paragraph" w:customStyle="1" w:styleId="23">
    <w:name w:val="标书正文1"/>
    <w:basedOn w:val="1"/>
    <w:uiPriority w:val="99"/>
    <w:pPr>
      <w:spacing w:line="440" w:lineRule="exact"/>
      <w:ind w:firstLine="480"/>
    </w:pPr>
    <w:rPr>
      <w:rFonts w:ascii="宋体" w:hAnsi="宋体"/>
      <w:szCs w:val="20"/>
    </w:rPr>
  </w:style>
  <w:style w:type="paragraph" w:customStyle="1" w:styleId="24">
    <w:name w:val="列出段落1"/>
    <w:basedOn w:val="1"/>
    <w:uiPriority w:val="99"/>
    <w:pPr>
      <w:ind w:firstLine="420" w:firstLineChars="200"/>
    </w:pPr>
  </w:style>
  <w:style w:type="character" w:customStyle="1" w:styleId="25">
    <w:name w:val="apple-converted-space"/>
    <w:basedOn w:val="14"/>
    <w:qFormat/>
    <w:uiPriority w:val="99"/>
    <w:rPr>
      <w:rFonts w:cs="Times New Roman"/>
    </w:rPr>
  </w:style>
  <w:style w:type="paragraph" w:customStyle="1" w:styleId="26">
    <w:name w:val="List Paragraph1"/>
    <w:basedOn w:val="1"/>
    <w:qFormat/>
    <w:uiPriority w:val="99"/>
    <w:pPr>
      <w:ind w:firstLine="420" w:firstLineChars="200"/>
    </w:pPr>
  </w:style>
  <w:style w:type="character" w:customStyle="1" w:styleId="27">
    <w:name w:val="页眉 Char"/>
    <w:basedOn w:val="14"/>
    <w:link w:val="10"/>
    <w:semiHidden/>
    <w:qFormat/>
    <w:uiPriority w:val="99"/>
    <w:rPr>
      <w:sz w:val="18"/>
      <w:szCs w:val="18"/>
    </w:rPr>
  </w:style>
  <w:style w:type="character" w:customStyle="1" w:styleId="28">
    <w:name w:val="页脚 Char"/>
    <w:basedOn w:val="14"/>
    <w:link w:val="9"/>
    <w:qFormat/>
    <w:uiPriority w:val="6"/>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7E3E8F-E7DC-4EB9-B538-77DB01D52DF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63</Pages>
  <Words>5180</Words>
  <Characters>29532</Characters>
  <Lines>246</Lines>
  <Paragraphs>69</Paragraphs>
  <TotalTime>0</TotalTime>
  <ScaleCrop>false</ScaleCrop>
  <LinksUpToDate>false</LinksUpToDate>
  <CharactersWithSpaces>34643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1</dc:creator>
  <cp:lastModifiedBy>忧桑桑女神</cp:lastModifiedBy>
  <cp:lastPrinted>2017-10-23T01:07:00Z</cp:lastPrinted>
  <dcterms:modified xsi:type="dcterms:W3CDTF">2017-11-22T02:23:48Z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