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rPr>
          <w:rFonts w:ascii="宋体" w:hAnsi="宋体" w:eastAsia="宋体" w:cs="Times New Roman"/>
          <w:b/>
          <w:kern w:val="2"/>
          <w:sz w:val="24"/>
          <w:szCs w:val="18"/>
          <w:lang w:eastAsia="zh-CN"/>
        </w:rPr>
      </w:pPr>
      <w:r>
        <w:rPr>
          <w:rFonts w:hint="eastAsia" w:ascii="宋体" w:hAnsi="宋体" w:eastAsia="宋体" w:cs="Times New Roman"/>
          <w:b/>
          <w:kern w:val="2"/>
          <w:sz w:val="24"/>
          <w:szCs w:val="18"/>
          <w:lang w:eastAsia="zh-CN"/>
        </w:rPr>
        <w:t>项目编号：QX-zb-19030001327</w:t>
      </w:r>
    </w:p>
    <w:p>
      <w:pPr>
        <w:tabs>
          <w:tab w:val="left" w:pos="1134"/>
          <w:tab w:val="left" w:pos="5481"/>
          <w:tab w:val="left" w:pos="5859"/>
        </w:tabs>
        <w:jc w:val="center"/>
        <w:rPr>
          <w:rFonts w:ascii="宋体" w:hAnsi="宋体" w:eastAsia="宋体" w:cs="Times New Roman"/>
          <w:b/>
          <w:kern w:val="2"/>
          <w:sz w:val="18"/>
          <w:szCs w:val="18"/>
          <w:lang w:eastAsia="zh-CN"/>
        </w:rPr>
      </w:pPr>
    </w:p>
    <w:p>
      <w:pPr>
        <w:tabs>
          <w:tab w:val="left" w:pos="1134"/>
          <w:tab w:val="left" w:pos="5481"/>
          <w:tab w:val="left" w:pos="5859"/>
        </w:tabs>
        <w:jc w:val="center"/>
        <w:rPr>
          <w:rFonts w:ascii="宋体" w:hAnsi="宋体" w:eastAsia="宋体" w:cs="Times New Roman"/>
          <w:b/>
          <w:kern w:val="2"/>
          <w:sz w:val="18"/>
          <w:szCs w:val="18"/>
          <w:lang w:eastAsia="zh-CN"/>
        </w:rPr>
      </w:pPr>
    </w:p>
    <w:p>
      <w:pPr>
        <w:spacing w:beforeLines="50" w:afterLines="100"/>
        <w:jc w:val="center"/>
        <w:rPr>
          <w:rFonts w:ascii="宋体" w:hAnsi="宋体" w:eastAsia="宋体" w:cs="Times New Roman"/>
          <w:b/>
          <w:spacing w:val="30"/>
          <w:kern w:val="2"/>
          <w:sz w:val="48"/>
          <w:szCs w:val="36"/>
          <w:lang w:eastAsia="zh-CN"/>
        </w:rPr>
      </w:pPr>
      <w:r>
        <w:rPr>
          <w:rFonts w:hint="eastAsia" w:ascii="宋体" w:hAnsi="宋体" w:eastAsia="宋体" w:cs="Times New Roman"/>
          <w:b/>
          <w:spacing w:val="30"/>
          <w:kern w:val="2"/>
          <w:sz w:val="48"/>
          <w:szCs w:val="36"/>
          <w:lang w:eastAsia="zh-CN"/>
        </w:rPr>
        <w:t>山东大学第二医院楼体发光宣传字深化设计、报批、制作安装项目</w:t>
      </w:r>
    </w:p>
    <w:p>
      <w:pPr>
        <w:spacing w:beforeLines="50" w:afterLines="100"/>
        <w:jc w:val="center"/>
        <w:rPr>
          <w:rFonts w:ascii="宋体" w:hAnsi="宋体" w:eastAsia="宋体" w:cs="Times New Roman"/>
          <w:spacing w:val="30"/>
          <w:kern w:val="2"/>
          <w:sz w:val="36"/>
          <w:szCs w:val="36"/>
          <w:lang w:eastAsia="zh-CN"/>
        </w:rPr>
      </w:pPr>
    </w:p>
    <w:p>
      <w:pPr>
        <w:spacing w:beforeLines="100" w:afterLines="100"/>
        <w:jc w:val="center"/>
        <w:rPr>
          <w:rFonts w:ascii="宋体" w:hAnsi="宋体" w:eastAsia="宋体" w:cs="Times New Roman"/>
          <w:b/>
          <w:kern w:val="2"/>
          <w:sz w:val="72"/>
          <w:szCs w:val="96"/>
          <w:lang w:eastAsia="zh-CN"/>
        </w:rPr>
      </w:pPr>
      <w:r>
        <w:rPr>
          <w:rFonts w:hint="eastAsia" w:ascii="宋体" w:hAnsi="宋体" w:eastAsia="宋体" w:cs="Times New Roman"/>
          <w:b/>
          <w:kern w:val="2"/>
          <w:sz w:val="72"/>
          <w:szCs w:val="96"/>
          <w:lang w:eastAsia="zh-CN"/>
        </w:rPr>
        <w:t>竞争性磋商</w:t>
      </w:r>
    </w:p>
    <w:p>
      <w:pPr>
        <w:spacing w:beforeLines="100" w:afterLines="100"/>
        <w:jc w:val="center"/>
        <w:rPr>
          <w:rFonts w:ascii="宋体" w:hAnsi="宋体" w:eastAsia="宋体" w:cs="Times New Roman"/>
          <w:b/>
          <w:kern w:val="2"/>
          <w:sz w:val="96"/>
          <w:szCs w:val="104"/>
          <w:lang w:eastAsia="zh-CN"/>
        </w:rPr>
      </w:pPr>
      <w:r>
        <w:rPr>
          <w:rFonts w:hint="eastAsia" w:ascii="宋体" w:hAnsi="宋体" w:eastAsia="宋体" w:cs="Times New Roman"/>
          <w:b/>
          <w:kern w:val="2"/>
          <w:sz w:val="72"/>
          <w:szCs w:val="96"/>
          <w:lang w:eastAsia="zh-CN"/>
        </w:rPr>
        <w:t>采购文件</w:t>
      </w:r>
    </w:p>
    <w:p>
      <w:pPr>
        <w:snapToGrid w:val="0"/>
        <w:spacing w:line="300" w:lineRule="auto"/>
        <w:jc w:val="center"/>
        <w:rPr>
          <w:rFonts w:ascii="宋体" w:hAnsi="宋体" w:eastAsia="宋体" w:cs="Times New Roman"/>
          <w:kern w:val="2"/>
          <w:sz w:val="18"/>
          <w:szCs w:val="18"/>
          <w:lang w:eastAsia="zh-CN"/>
        </w:rPr>
      </w:pPr>
      <w:r>
        <w:rPr>
          <w:rFonts w:ascii="宋体" w:hAnsi="宋体" w:eastAsia="宋体" w:cs="Times New Roman"/>
          <w:b/>
          <w:kern w:val="2"/>
          <w:sz w:val="28"/>
          <w:szCs w:val="24"/>
          <w:lang w:eastAsia="zh-CN"/>
        </w:rPr>
        <w:drawing>
          <wp:anchor distT="0" distB="0" distL="114300" distR="114300" simplePos="0" relativeHeight="251659264" behindDoc="0" locked="0" layoutInCell="1" allowOverlap="1">
            <wp:simplePos x="0" y="0"/>
            <wp:positionH relativeFrom="margin">
              <wp:posOffset>1511300</wp:posOffset>
            </wp:positionH>
            <wp:positionV relativeFrom="paragraph">
              <wp:posOffset>387985</wp:posOffset>
            </wp:positionV>
            <wp:extent cx="2741930" cy="2542540"/>
            <wp:effectExtent l="0" t="0" r="0" b="0"/>
            <wp:wrapSquare wrapText="bothSides"/>
            <wp:docPr id="98" name="图片 3"/>
            <wp:cNvGraphicFramePr/>
            <a:graphic xmlns:a="http://schemas.openxmlformats.org/drawingml/2006/main">
              <a:graphicData uri="http://schemas.openxmlformats.org/drawingml/2006/picture">
                <pic:pic xmlns:pic="http://schemas.openxmlformats.org/drawingml/2006/picture">
                  <pic:nvPicPr>
                    <pic:cNvPr id="98" name="图片 3"/>
                    <pic:cNvPicPr/>
                  </pic:nvPicPr>
                  <pic:blipFill>
                    <a:blip r:embed="rId15" cstate="print"/>
                    <a:srcRect/>
                    <a:stretch>
                      <a:fillRect/>
                    </a:stretch>
                  </pic:blipFill>
                  <pic:spPr>
                    <a:xfrm>
                      <a:off x="0" y="0"/>
                      <a:ext cx="2741930" cy="2542540"/>
                    </a:xfrm>
                    <a:prstGeom prst="rect">
                      <a:avLst/>
                    </a:prstGeom>
                    <a:ln>
                      <a:noFill/>
                    </a:ln>
                  </pic:spPr>
                </pic:pic>
              </a:graphicData>
            </a:graphic>
          </wp:anchor>
        </w:drawing>
      </w:r>
    </w:p>
    <w:p>
      <w:pPr>
        <w:spacing w:line="600" w:lineRule="exact"/>
        <w:jc w:val="center"/>
        <w:rPr>
          <w:rFonts w:ascii="宋体" w:hAnsi="宋体" w:eastAsia="宋体" w:cs="Times New Roman"/>
          <w:kern w:val="2"/>
          <w:sz w:val="30"/>
          <w:szCs w:val="30"/>
          <w:lang w:eastAsia="zh-CN"/>
        </w:rPr>
      </w:pPr>
    </w:p>
    <w:p>
      <w:pPr>
        <w:spacing w:line="600" w:lineRule="exact"/>
        <w:jc w:val="center"/>
        <w:rPr>
          <w:rFonts w:ascii="宋体" w:hAnsi="宋体" w:eastAsia="宋体" w:cs="Times New Roman"/>
          <w:kern w:val="2"/>
          <w:sz w:val="30"/>
          <w:szCs w:val="30"/>
          <w:lang w:eastAsia="zh-CN"/>
        </w:rPr>
      </w:pPr>
    </w:p>
    <w:p>
      <w:pPr>
        <w:spacing w:line="600" w:lineRule="exact"/>
        <w:jc w:val="center"/>
        <w:rPr>
          <w:rFonts w:ascii="宋体" w:hAnsi="宋体" w:eastAsia="宋体" w:cs="Times New Roman"/>
          <w:kern w:val="2"/>
          <w:sz w:val="30"/>
          <w:szCs w:val="30"/>
          <w:lang w:eastAsia="zh-CN"/>
        </w:rPr>
      </w:pPr>
    </w:p>
    <w:p>
      <w:pPr>
        <w:spacing w:line="600" w:lineRule="exact"/>
        <w:jc w:val="center"/>
        <w:rPr>
          <w:rFonts w:ascii="宋体" w:hAnsi="宋体" w:eastAsia="宋体" w:cs="Times New Roman"/>
          <w:kern w:val="2"/>
          <w:sz w:val="30"/>
          <w:szCs w:val="30"/>
          <w:lang w:eastAsia="zh-CN"/>
        </w:rPr>
      </w:pPr>
    </w:p>
    <w:p>
      <w:pPr>
        <w:spacing w:line="600" w:lineRule="exact"/>
        <w:jc w:val="center"/>
        <w:rPr>
          <w:rFonts w:ascii="宋体" w:hAnsi="宋体" w:eastAsia="宋体" w:cs="Times New Roman"/>
          <w:kern w:val="2"/>
          <w:sz w:val="30"/>
          <w:szCs w:val="30"/>
          <w:lang w:eastAsia="zh-CN"/>
        </w:rPr>
      </w:pPr>
    </w:p>
    <w:p>
      <w:pPr>
        <w:spacing w:line="600" w:lineRule="exact"/>
        <w:jc w:val="center"/>
        <w:rPr>
          <w:rFonts w:ascii="宋体" w:hAnsi="宋体" w:eastAsia="宋体" w:cs="Times New Roman"/>
          <w:kern w:val="2"/>
          <w:sz w:val="30"/>
          <w:szCs w:val="30"/>
          <w:lang w:eastAsia="zh-CN"/>
        </w:rPr>
      </w:pPr>
    </w:p>
    <w:p>
      <w:pPr>
        <w:spacing w:line="600" w:lineRule="exact"/>
        <w:jc w:val="center"/>
        <w:rPr>
          <w:rFonts w:ascii="宋体" w:hAnsi="宋体" w:eastAsia="宋体" w:cs="Times New Roman"/>
          <w:kern w:val="2"/>
          <w:sz w:val="30"/>
          <w:szCs w:val="30"/>
          <w:lang w:eastAsia="zh-CN"/>
        </w:rPr>
      </w:pPr>
    </w:p>
    <w:p>
      <w:pPr>
        <w:spacing w:line="600" w:lineRule="exact"/>
        <w:jc w:val="center"/>
        <w:rPr>
          <w:rFonts w:ascii="宋体" w:hAnsi="宋体" w:eastAsia="宋体" w:cs="Times New Roman"/>
          <w:kern w:val="2"/>
          <w:sz w:val="30"/>
          <w:szCs w:val="30"/>
          <w:lang w:eastAsia="zh-CN"/>
        </w:rPr>
      </w:pPr>
    </w:p>
    <w:p>
      <w:pPr>
        <w:spacing w:line="600" w:lineRule="exact"/>
        <w:jc w:val="center"/>
        <w:rPr>
          <w:rFonts w:ascii="宋体" w:hAnsi="宋体" w:eastAsia="宋体" w:cs="Times New Roman"/>
          <w:kern w:val="2"/>
          <w:sz w:val="30"/>
          <w:szCs w:val="30"/>
          <w:lang w:eastAsia="zh-CN"/>
        </w:rPr>
      </w:pPr>
    </w:p>
    <w:p>
      <w:pPr>
        <w:spacing w:line="600" w:lineRule="exact"/>
        <w:jc w:val="both"/>
        <w:rPr>
          <w:rFonts w:ascii="宋体" w:hAnsi="宋体" w:eastAsia="宋体" w:cs="Times New Roman"/>
          <w:kern w:val="2"/>
          <w:sz w:val="30"/>
          <w:szCs w:val="30"/>
          <w:lang w:eastAsia="zh-CN"/>
        </w:rPr>
      </w:pPr>
    </w:p>
    <w:p>
      <w:pPr>
        <w:spacing w:line="600" w:lineRule="exact"/>
        <w:ind w:left="1507" w:leftChars="685" w:firstLine="279" w:firstLineChars="93"/>
        <w:jc w:val="both"/>
        <w:rPr>
          <w:rFonts w:ascii="宋体" w:hAnsi="宋体" w:eastAsia="宋体" w:cs="Times New Roman"/>
          <w:kern w:val="2"/>
          <w:sz w:val="30"/>
          <w:szCs w:val="30"/>
          <w:lang w:eastAsia="zh-CN"/>
        </w:rPr>
      </w:pPr>
      <w:r>
        <w:rPr>
          <w:rFonts w:hint="eastAsia" w:ascii="宋体" w:hAnsi="宋体" w:eastAsia="宋体" w:cs="Times New Roman"/>
          <w:kern w:val="2"/>
          <w:sz w:val="30"/>
          <w:szCs w:val="30"/>
          <w:lang w:eastAsia="zh-CN"/>
        </w:rPr>
        <w:t>采 购 人：山东大学第二医院</w:t>
      </w:r>
    </w:p>
    <w:p>
      <w:pPr>
        <w:spacing w:line="600" w:lineRule="exact"/>
        <w:ind w:left="1507" w:leftChars="685" w:firstLine="279" w:firstLineChars="93"/>
        <w:jc w:val="both"/>
        <w:rPr>
          <w:rFonts w:ascii="宋体" w:hAnsi="宋体" w:eastAsia="宋体" w:cs="Times New Roman"/>
          <w:kern w:val="2"/>
          <w:sz w:val="30"/>
          <w:szCs w:val="30"/>
          <w:lang w:eastAsia="zh-CN"/>
        </w:rPr>
      </w:pPr>
      <w:r>
        <w:rPr>
          <w:rFonts w:hint="eastAsia" w:ascii="宋体" w:hAnsi="宋体" w:eastAsia="宋体" w:cs="Times New Roman"/>
          <w:kern w:val="2"/>
          <w:sz w:val="30"/>
          <w:szCs w:val="30"/>
          <w:lang w:eastAsia="zh-CN"/>
        </w:rPr>
        <w:t>代理机构：山东齐信招标有限公司</w:t>
      </w:r>
    </w:p>
    <w:p>
      <w:pPr>
        <w:spacing w:line="600" w:lineRule="exact"/>
        <w:ind w:left="1507" w:leftChars="685" w:firstLine="279" w:firstLineChars="93"/>
        <w:jc w:val="both"/>
        <w:rPr>
          <w:rFonts w:ascii="宋体" w:hAnsi="宋体" w:eastAsia="宋体" w:cs="Times New Roman"/>
          <w:kern w:val="2"/>
          <w:sz w:val="30"/>
          <w:szCs w:val="30"/>
          <w:lang w:eastAsia="zh-CN"/>
        </w:rPr>
      </w:pPr>
      <w:r>
        <w:rPr>
          <w:rFonts w:hint="eastAsia" w:ascii="宋体" w:hAnsi="宋体" w:eastAsia="宋体" w:cs="Times New Roman"/>
          <w:kern w:val="2"/>
          <w:sz w:val="30"/>
          <w:szCs w:val="30"/>
          <w:lang w:eastAsia="zh-CN"/>
        </w:rPr>
        <w:t>日    期：二零一九年三月</w:t>
      </w:r>
    </w:p>
    <w:p>
      <w:pPr>
        <w:rPr>
          <w:rFonts w:ascii="Times New Roman" w:hAnsi="Times New Roman" w:cs="Times New Roman"/>
          <w:sz w:val="20"/>
          <w:szCs w:val="20"/>
          <w:lang w:eastAsia="zh-CN"/>
        </w:rPr>
        <w:sectPr>
          <w:headerReference r:id="rId3" w:type="default"/>
          <w:type w:val="continuous"/>
          <w:pgSz w:w="11910" w:h="16840"/>
          <w:pgMar w:top="1580" w:right="1680" w:bottom="280" w:left="1680" w:header="720" w:footer="720" w:gutter="0"/>
          <w:cols w:space="720" w:num="1"/>
        </w:sectPr>
      </w:pPr>
      <w:r>
        <w:rPr>
          <w:rFonts w:ascii="Times New Roman" w:hAnsi="Times New Roman" w:eastAsia="宋体" w:cs="Times New Roman"/>
          <w:kern w:val="2"/>
          <w:sz w:val="30"/>
          <w:szCs w:val="30"/>
          <w:lang w:eastAsia="zh-CN"/>
        </w:rPr>
        <w:br w:type="page"/>
      </w:r>
    </w:p>
    <w:p>
      <w:pPr>
        <w:tabs>
          <w:tab w:val="left" w:pos="2550"/>
        </w:tabs>
        <w:spacing w:line="529" w:lineRule="exact"/>
        <w:jc w:val="center"/>
        <w:rPr>
          <w:rFonts w:ascii="宋体" w:hAnsi="宋体" w:eastAsia="宋体" w:cs="宋体"/>
          <w:sz w:val="44"/>
          <w:szCs w:val="44"/>
          <w:lang w:eastAsia="zh-CN"/>
        </w:rPr>
      </w:pPr>
      <w:r>
        <w:rPr>
          <w:rFonts w:ascii="宋体" w:hAnsi="宋体" w:eastAsia="宋体" w:cs="宋体"/>
          <w:b/>
          <w:bCs/>
          <w:w w:val="95"/>
          <w:sz w:val="44"/>
          <w:szCs w:val="44"/>
          <w:lang w:eastAsia="zh-CN"/>
        </w:rPr>
        <w:t>目</w:t>
      </w:r>
      <w:r>
        <w:rPr>
          <w:rFonts w:ascii="宋体" w:hAnsi="宋体" w:eastAsia="宋体" w:cs="宋体"/>
          <w:b/>
          <w:bCs/>
          <w:w w:val="95"/>
          <w:sz w:val="44"/>
          <w:szCs w:val="44"/>
          <w:lang w:eastAsia="zh-CN"/>
        </w:rPr>
        <w:tab/>
      </w:r>
      <w:r>
        <w:rPr>
          <w:rFonts w:ascii="宋体" w:hAnsi="宋体" w:eastAsia="宋体" w:cs="宋体"/>
          <w:b/>
          <w:bCs/>
          <w:sz w:val="44"/>
          <w:szCs w:val="44"/>
          <w:lang w:eastAsia="zh-CN"/>
        </w:rPr>
        <w:t>录</w:t>
      </w:r>
    </w:p>
    <w:sdt>
      <w:sdtPr>
        <w:id w:val="-71978950"/>
        <w:docPartObj>
          <w:docPartGallery w:val="Table of Contents"/>
          <w:docPartUnique/>
        </w:docPartObj>
      </w:sdtPr>
      <w:sdtContent>
        <w:p>
          <w:pPr>
            <w:pStyle w:val="15"/>
            <w:tabs>
              <w:tab w:val="right" w:leader="dot" w:pos="9231"/>
            </w:tabs>
            <w:spacing w:before="632"/>
            <w:rPr>
              <w:rFonts w:ascii="宋体" w:hAnsi="宋体" w:eastAsia="宋体" w:cs="宋体"/>
              <w:lang w:eastAsia="zh-CN"/>
            </w:rPr>
          </w:pPr>
          <w:r>
            <w:fldChar w:fldCharType="begin"/>
          </w:r>
          <w:r>
            <w:instrText xml:space="preserve"> HYPERLINK \l "_bookmark0" </w:instrText>
          </w:r>
          <w:r>
            <w:fldChar w:fldCharType="separate"/>
          </w:r>
          <w:r>
            <w:rPr>
              <w:lang w:eastAsia="zh-CN"/>
            </w:rPr>
            <w:t>第一章</w:t>
          </w:r>
          <w:r>
            <w:rPr>
              <w:spacing w:val="61"/>
              <w:lang w:eastAsia="zh-CN"/>
            </w:rPr>
            <w:t xml:space="preserve"> </w:t>
          </w:r>
          <w:r>
            <w:rPr>
              <w:lang w:eastAsia="zh-CN"/>
            </w:rPr>
            <w:t>竞争性磋商公告</w:t>
          </w:r>
          <w:r>
            <w:rPr>
              <w:rFonts w:ascii="Times New Roman" w:hAnsi="Times New Roman" w:eastAsia="Times New Roman" w:cs="Times New Roman"/>
              <w:b/>
              <w:bCs/>
              <w:lang w:eastAsia="zh-CN"/>
            </w:rPr>
            <w:tab/>
          </w:r>
          <w:r>
            <w:rPr>
              <w:rFonts w:ascii="宋体" w:hAnsi="宋体" w:eastAsia="宋体" w:cs="宋体"/>
              <w:lang w:eastAsia="zh-CN"/>
            </w:rPr>
            <w:t>2</w:t>
          </w:r>
          <w:r>
            <w:rPr>
              <w:rFonts w:ascii="宋体" w:hAnsi="宋体" w:eastAsia="宋体" w:cs="宋体"/>
              <w:lang w:eastAsia="zh-CN"/>
            </w:rPr>
            <w:fldChar w:fldCharType="end"/>
          </w:r>
        </w:p>
        <w:p>
          <w:pPr>
            <w:pStyle w:val="15"/>
            <w:tabs>
              <w:tab w:val="right" w:leader="dot" w:pos="9231"/>
            </w:tabs>
            <w:rPr>
              <w:rFonts w:ascii="宋体" w:hAnsi="宋体" w:eastAsia="宋体" w:cs="宋体"/>
              <w:lang w:eastAsia="zh-CN"/>
            </w:rPr>
          </w:pPr>
          <w:r>
            <w:fldChar w:fldCharType="begin"/>
          </w:r>
          <w:r>
            <w:instrText xml:space="preserve"> HYPERLINK \l "_bookmark1" </w:instrText>
          </w:r>
          <w:r>
            <w:fldChar w:fldCharType="separate"/>
          </w:r>
          <w:r>
            <w:rPr>
              <w:lang w:eastAsia="zh-CN"/>
            </w:rPr>
            <w:t>第二章</w:t>
          </w:r>
          <w:r>
            <w:rPr>
              <w:spacing w:val="61"/>
              <w:lang w:eastAsia="zh-CN"/>
            </w:rPr>
            <w:t xml:space="preserve"> </w:t>
          </w:r>
          <w:r>
            <w:rPr>
              <w:lang w:eastAsia="zh-CN"/>
            </w:rPr>
            <w:t>供应商须知</w:t>
          </w:r>
          <w:r>
            <w:rPr>
              <w:rFonts w:ascii="Times New Roman" w:hAnsi="Times New Roman" w:eastAsia="Times New Roman" w:cs="Times New Roman"/>
              <w:b/>
              <w:bCs/>
              <w:lang w:eastAsia="zh-CN"/>
            </w:rPr>
            <w:tab/>
          </w:r>
          <w:r>
            <w:rPr>
              <w:rFonts w:ascii="宋体" w:hAnsi="宋体" w:eastAsia="宋体" w:cs="宋体"/>
              <w:lang w:eastAsia="zh-CN"/>
            </w:rPr>
            <w:t>4</w:t>
          </w:r>
          <w:r>
            <w:rPr>
              <w:rFonts w:ascii="宋体" w:hAnsi="宋体" w:eastAsia="宋体" w:cs="宋体"/>
              <w:lang w:eastAsia="zh-CN"/>
            </w:rPr>
            <w:fldChar w:fldCharType="end"/>
          </w:r>
        </w:p>
        <w:p>
          <w:pPr>
            <w:pStyle w:val="15"/>
            <w:tabs>
              <w:tab w:val="right" w:leader="dot" w:pos="9233"/>
            </w:tabs>
            <w:spacing w:before="480"/>
            <w:rPr>
              <w:rFonts w:ascii="宋体" w:hAnsi="宋体" w:eastAsia="宋体" w:cs="宋体"/>
              <w:lang w:eastAsia="zh-CN"/>
            </w:rPr>
          </w:pPr>
          <w:r>
            <w:fldChar w:fldCharType="begin"/>
          </w:r>
          <w:r>
            <w:instrText xml:space="preserve"> HYPERLINK \l "_bookmark2" </w:instrText>
          </w:r>
          <w:r>
            <w:fldChar w:fldCharType="separate"/>
          </w:r>
          <w:r>
            <w:rPr>
              <w:lang w:eastAsia="zh-CN"/>
            </w:rPr>
            <w:t>第三章</w:t>
          </w:r>
          <w:r>
            <w:rPr>
              <w:spacing w:val="-29"/>
              <w:lang w:eastAsia="zh-CN"/>
            </w:rPr>
            <w:t xml:space="preserve"> </w:t>
          </w:r>
          <w:r>
            <w:rPr>
              <w:lang w:eastAsia="zh-CN"/>
            </w:rPr>
            <w:t>技术标准和要求</w:t>
          </w:r>
          <w:r>
            <w:rPr>
              <w:rFonts w:ascii="Times New Roman" w:hAnsi="Times New Roman" w:eastAsia="Times New Roman" w:cs="Times New Roman"/>
              <w:b/>
              <w:bCs/>
              <w:lang w:eastAsia="zh-CN"/>
            </w:rPr>
            <w:tab/>
          </w:r>
          <w:r>
            <w:rPr>
              <w:rFonts w:ascii="宋体" w:hAnsi="宋体" w:eastAsia="宋体" w:cs="宋体"/>
              <w:lang w:eastAsia="zh-CN"/>
            </w:rPr>
            <w:t>24</w:t>
          </w:r>
          <w:r>
            <w:rPr>
              <w:rFonts w:ascii="宋体" w:hAnsi="宋体" w:eastAsia="宋体" w:cs="宋体"/>
              <w:lang w:eastAsia="zh-CN"/>
            </w:rPr>
            <w:fldChar w:fldCharType="end"/>
          </w:r>
        </w:p>
        <w:p>
          <w:pPr>
            <w:pStyle w:val="15"/>
            <w:tabs>
              <w:tab w:val="right" w:leader="dot" w:pos="9233"/>
            </w:tabs>
            <w:rPr>
              <w:rFonts w:ascii="宋体" w:hAnsi="宋体" w:eastAsia="宋体" w:cs="宋体"/>
              <w:lang w:eastAsia="zh-CN"/>
            </w:rPr>
          </w:pPr>
          <w:r>
            <w:fldChar w:fldCharType="begin"/>
          </w:r>
          <w:r>
            <w:instrText xml:space="preserve"> HYPERLINK \l "_bookmark3" </w:instrText>
          </w:r>
          <w:r>
            <w:fldChar w:fldCharType="separate"/>
          </w:r>
          <w:r>
            <w:rPr>
              <w:lang w:eastAsia="zh-CN"/>
            </w:rPr>
            <w:t>第四章</w:t>
          </w:r>
          <w:r>
            <w:rPr>
              <w:spacing w:val="61"/>
              <w:lang w:eastAsia="zh-CN"/>
            </w:rPr>
            <w:t xml:space="preserve"> </w:t>
          </w:r>
          <w:r>
            <w:rPr>
              <w:lang w:eastAsia="zh-CN"/>
            </w:rPr>
            <w:t>合同条款及格式</w:t>
          </w:r>
          <w:r>
            <w:rPr>
              <w:rFonts w:ascii="Times New Roman" w:hAnsi="Times New Roman" w:eastAsia="Times New Roman" w:cs="Times New Roman"/>
              <w:b/>
              <w:bCs/>
              <w:lang w:eastAsia="zh-CN"/>
            </w:rPr>
            <w:tab/>
          </w:r>
          <w:r>
            <w:rPr>
              <w:rFonts w:ascii="宋体" w:hAnsi="宋体" w:eastAsia="宋体" w:cs="宋体"/>
              <w:lang w:eastAsia="zh-CN"/>
            </w:rPr>
            <w:t>30</w:t>
          </w:r>
          <w:r>
            <w:rPr>
              <w:rFonts w:ascii="宋体" w:hAnsi="宋体" w:eastAsia="宋体" w:cs="宋体"/>
              <w:lang w:eastAsia="zh-CN"/>
            </w:rPr>
            <w:fldChar w:fldCharType="end"/>
          </w:r>
        </w:p>
        <w:p>
          <w:pPr>
            <w:pStyle w:val="15"/>
            <w:tabs>
              <w:tab w:val="right" w:leader="dot" w:pos="9233"/>
            </w:tabs>
            <w:rPr>
              <w:rFonts w:ascii="宋体" w:hAnsi="宋体" w:eastAsia="宋体" w:cs="宋体"/>
              <w:lang w:eastAsia="zh-CN"/>
            </w:rPr>
          </w:pPr>
          <w:r>
            <w:fldChar w:fldCharType="begin"/>
          </w:r>
          <w:r>
            <w:instrText xml:space="preserve"> HYPERLINK \l "_bookmark4" </w:instrText>
          </w:r>
          <w:r>
            <w:fldChar w:fldCharType="separate"/>
          </w:r>
          <w:r>
            <w:rPr>
              <w:lang w:eastAsia="zh-CN"/>
            </w:rPr>
            <w:t>第五章</w:t>
          </w:r>
          <w:r>
            <w:rPr>
              <w:spacing w:val="61"/>
              <w:lang w:eastAsia="zh-CN"/>
            </w:rPr>
            <w:t xml:space="preserve"> </w:t>
          </w:r>
          <w:r>
            <w:rPr>
              <w:lang w:eastAsia="zh-CN"/>
            </w:rPr>
            <w:t>响应文件格式</w:t>
          </w:r>
          <w:r>
            <w:rPr>
              <w:lang w:eastAsia="zh-CN"/>
            </w:rPr>
            <w:fldChar w:fldCharType="end"/>
          </w:r>
          <w:r>
            <w:rPr>
              <w:rFonts w:ascii="Times New Roman" w:hAnsi="Times New Roman" w:eastAsia="Times New Roman" w:cs="Times New Roman"/>
              <w:b/>
              <w:bCs/>
              <w:lang w:eastAsia="zh-CN"/>
            </w:rPr>
            <w:tab/>
          </w:r>
          <w:r>
            <w:rPr>
              <w:rFonts w:ascii="宋体" w:hAnsi="宋体" w:eastAsia="宋体" w:cs="宋体"/>
              <w:lang w:eastAsia="zh-CN"/>
            </w:rPr>
            <w:t>39</w:t>
          </w:r>
        </w:p>
        <w:p>
          <w:pPr>
            <w:pStyle w:val="15"/>
            <w:tabs>
              <w:tab w:val="right" w:leader="dot" w:pos="9233"/>
            </w:tabs>
            <w:spacing w:before="480"/>
            <w:rPr>
              <w:rFonts w:ascii="宋体" w:hAnsi="宋体" w:eastAsia="宋体" w:cs="宋体"/>
              <w:lang w:eastAsia="zh-CN"/>
            </w:rPr>
          </w:pPr>
          <w:r>
            <w:fldChar w:fldCharType="begin"/>
          </w:r>
          <w:r>
            <w:instrText xml:space="preserve"> HYPERLINK \l "_bookmark4" </w:instrText>
          </w:r>
          <w:r>
            <w:fldChar w:fldCharType="separate"/>
          </w:r>
          <w:r>
            <w:rPr>
              <w:lang w:eastAsia="zh-CN"/>
            </w:rPr>
            <w:t>第六章</w:t>
          </w:r>
          <w:r>
            <w:rPr>
              <w:spacing w:val="61"/>
              <w:lang w:eastAsia="zh-CN"/>
            </w:rPr>
            <w:t xml:space="preserve"> </w:t>
          </w:r>
          <w:r>
            <w:rPr>
              <w:lang w:eastAsia="zh-CN"/>
            </w:rPr>
            <w:t>磋商评审办法</w:t>
          </w:r>
          <w:r>
            <w:rPr>
              <w:lang w:eastAsia="zh-CN"/>
            </w:rPr>
            <w:fldChar w:fldCharType="end"/>
          </w:r>
          <w:r>
            <w:rPr>
              <w:rFonts w:ascii="Times New Roman" w:hAnsi="Times New Roman" w:eastAsia="Times New Roman" w:cs="Times New Roman"/>
              <w:b/>
              <w:bCs/>
              <w:lang w:eastAsia="zh-CN"/>
            </w:rPr>
            <w:tab/>
          </w:r>
          <w:r>
            <w:rPr>
              <w:rFonts w:ascii="宋体" w:hAnsi="宋体" w:eastAsia="宋体" w:cs="宋体"/>
              <w:lang w:eastAsia="zh-CN"/>
            </w:rPr>
            <w:t>63</w:t>
          </w:r>
        </w:p>
      </w:sdtContent>
    </w:sdt>
    <w:p>
      <w:pPr>
        <w:rPr>
          <w:rFonts w:ascii="宋体" w:hAnsi="宋体" w:eastAsia="宋体" w:cs="宋体"/>
          <w:lang w:eastAsia="zh-CN"/>
        </w:rPr>
        <w:sectPr>
          <w:footerReference r:id="rId4" w:type="default"/>
          <w:pgSz w:w="11910" w:h="16840"/>
          <w:pgMar w:top="1580" w:right="1540" w:bottom="940" w:left="1020" w:header="0" w:footer="751" w:gutter="0"/>
          <w:pgNumType w:start="1"/>
          <w:cols w:space="720" w:num="1"/>
        </w:sectPr>
      </w:pPr>
    </w:p>
    <w:p>
      <w:pPr>
        <w:tabs>
          <w:tab w:val="left" w:pos="0"/>
        </w:tabs>
        <w:spacing w:line="440" w:lineRule="exact"/>
        <w:jc w:val="center"/>
        <w:rPr>
          <w:rFonts w:ascii="Times New Roman" w:hAnsi="Times New Roman" w:eastAsia="宋体" w:cs="Times New Roman"/>
          <w:kern w:val="2"/>
          <w:sz w:val="24"/>
          <w:szCs w:val="24"/>
          <w:lang w:eastAsia="zh-CN"/>
        </w:rPr>
      </w:pPr>
      <w:bookmarkStart w:id="0" w:name="第一章____竞争性磋商公告"/>
      <w:bookmarkEnd w:id="0"/>
      <w:r>
        <w:rPr>
          <w:rFonts w:hint="eastAsia" w:ascii="宋体" w:hAnsi="宋体" w:eastAsia="宋体" w:cs="Times New Roman"/>
          <w:b/>
          <w:kern w:val="2"/>
          <w:sz w:val="36"/>
          <w:szCs w:val="24"/>
          <w:lang w:eastAsia="zh-CN"/>
        </w:rPr>
        <w:t>第一部分   竞争性磋商公告</w:t>
      </w:r>
    </w:p>
    <w:p>
      <w:pPr>
        <w:tabs>
          <w:tab w:val="left" w:pos="0"/>
        </w:tabs>
        <w:spacing w:line="440" w:lineRule="exact"/>
        <w:jc w:val="center"/>
        <w:rPr>
          <w:rFonts w:ascii="宋体" w:hAnsi="宋体" w:eastAsia="宋体" w:cs="Times New Roman"/>
          <w:b/>
          <w:kern w:val="2"/>
          <w:sz w:val="36"/>
          <w:szCs w:val="24"/>
          <w:lang w:eastAsia="zh-CN"/>
        </w:rPr>
      </w:pPr>
    </w:p>
    <w:p>
      <w:pPr>
        <w:tabs>
          <w:tab w:val="left" w:pos="0"/>
        </w:tabs>
        <w:spacing w:line="500" w:lineRule="exact"/>
        <w:ind w:firstLine="551" w:firstLineChars="196"/>
        <w:jc w:val="center"/>
        <w:rPr>
          <w:rFonts w:ascii="宋体" w:hAnsi="宋体" w:eastAsia="宋体" w:cs="Times New Roman"/>
          <w:b/>
          <w:kern w:val="2"/>
          <w:sz w:val="28"/>
          <w:szCs w:val="28"/>
          <w:lang w:eastAsia="zh-CN"/>
        </w:rPr>
      </w:pPr>
      <w:r>
        <w:rPr>
          <w:rFonts w:hint="eastAsia" w:ascii="宋体" w:hAnsi="宋体" w:eastAsia="宋体" w:cs="Times New Roman"/>
          <w:b/>
          <w:kern w:val="2"/>
          <w:sz w:val="28"/>
          <w:szCs w:val="28"/>
          <w:lang w:eastAsia="zh-CN"/>
        </w:rPr>
        <w:t>山东大学第二医院楼体发光宣传字深化设计、报批、制作安装项目</w:t>
      </w:r>
    </w:p>
    <w:p>
      <w:pPr>
        <w:tabs>
          <w:tab w:val="left" w:pos="0"/>
        </w:tabs>
        <w:spacing w:line="500" w:lineRule="exact"/>
        <w:ind w:firstLine="551" w:firstLineChars="196"/>
        <w:jc w:val="center"/>
        <w:rPr>
          <w:rFonts w:ascii="宋体" w:hAnsi="Times New Roman" w:eastAsia="宋体" w:cs="Times New Roman"/>
          <w:b/>
          <w:kern w:val="2"/>
          <w:sz w:val="28"/>
          <w:szCs w:val="28"/>
          <w:lang w:eastAsia="zh-CN"/>
        </w:rPr>
      </w:pPr>
      <w:r>
        <w:rPr>
          <w:rFonts w:hint="eastAsia" w:ascii="宋体" w:hAnsi="宋体" w:eastAsia="宋体" w:cs="Times New Roman"/>
          <w:b/>
          <w:kern w:val="2"/>
          <w:sz w:val="28"/>
          <w:szCs w:val="28"/>
          <w:lang w:eastAsia="zh-CN"/>
        </w:rPr>
        <w:t>磋商公告</w:t>
      </w:r>
    </w:p>
    <w:p>
      <w:pPr>
        <w:numPr>
          <w:ilvl w:val="0"/>
          <w:numId w:val="1"/>
        </w:numPr>
        <w:spacing w:line="440" w:lineRule="exact"/>
        <w:jc w:val="both"/>
        <w:rPr>
          <w:rFonts w:ascii="宋体" w:hAnsi="Times New Roman" w:eastAsia="宋体" w:cs="宋体"/>
          <w:kern w:val="2"/>
          <w:sz w:val="24"/>
          <w:szCs w:val="24"/>
          <w:lang w:eastAsia="zh-CN"/>
        </w:rPr>
      </w:pPr>
      <w:r>
        <w:rPr>
          <w:rFonts w:hint="eastAsia" w:ascii="宋体" w:hAnsi="宋体" w:eastAsia="宋体" w:cs="宋体"/>
          <w:b/>
          <w:kern w:val="2"/>
          <w:sz w:val="24"/>
          <w:szCs w:val="24"/>
          <w:lang w:eastAsia="zh-CN"/>
        </w:rPr>
        <w:t>采购人名称</w:t>
      </w:r>
      <w:r>
        <w:rPr>
          <w:rFonts w:hint="eastAsia" w:ascii="宋体" w:hAnsi="宋体" w:eastAsia="宋体" w:cs="宋体"/>
          <w:kern w:val="2"/>
          <w:sz w:val="24"/>
          <w:szCs w:val="24"/>
          <w:lang w:eastAsia="zh-CN"/>
        </w:rPr>
        <w:t>：山东大学第二医院</w:t>
      </w:r>
    </w:p>
    <w:p>
      <w:pPr>
        <w:spacing w:line="520" w:lineRule="exact"/>
        <w:ind w:firstLine="360" w:firstLineChars="150"/>
        <w:jc w:val="both"/>
        <w:textAlignment w:val="center"/>
        <w:rPr>
          <w:rFonts w:ascii="宋体" w:hAnsi="宋体" w:eastAsia="宋体" w:cs="宋体"/>
          <w:kern w:val="2"/>
          <w:sz w:val="24"/>
          <w:szCs w:val="24"/>
          <w:lang w:eastAsia="zh-CN"/>
        </w:rPr>
      </w:pPr>
      <w:r>
        <w:rPr>
          <w:rFonts w:hint="eastAsia" w:ascii="宋体" w:hAnsi="Times New Roman" w:eastAsia="宋体" w:cs="宋体"/>
          <w:kern w:val="2"/>
          <w:sz w:val="24"/>
          <w:szCs w:val="24"/>
          <w:lang w:eastAsia="zh-CN"/>
        </w:rPr>
        <w:t>采购人地址：</w:t>
      </w:r>
      <w:r>
        <w:rPr>
          <w:rFonts w:hint="eastAsia" w:ascii="宋体" w:hAnsi="宋体" w:eastAsia="宋体" w:cs="宋体"/>
          <w:kern w:val="2"/>
          <w:sz w:val="24"/>
          <w:szCs w:val="24"/>
          <w:lang w:eastAsia="zh-CN"/>
        </w:rPr>
        <w:t>济南市北园大街247号</w:t>
      </w:r>
    </w:p>
    <w:p>
      <w:pPr>
        <w:spacing w:line="520" w:lineRule="exact"/>
        <w:ind w:firstLine="360" w:firstLineChars="150"/>
        <w:jc w:val="both"/>
        <w:textAlignment w:val="center"/>
        <w:rPr>
          <w:rFonts w:ascii="宋体" w:hAnsi="宋体" w:eastAsia="宋体" w:cs="宋体"/>
          <w:b/>
          <w:bCs/>
          <w:kern w:val="2"/>
          <w:sz w:val="24"/>
          <w:szCs w:val="24"/>
          <w:lang w:eastAsia="zh-CN"/>
        </w:rPr>
      </w:pPr>
      <w:r>
        <w:rPr>
          <w:rFonts w:hint="eastAsia" w:ascii="宋体" w:hAnsi="宋体" w:eastAsia="宋体" w:cs="宋体"/>
          <w:kern w:val="2"/>
          <w:sz w:val="24"/>
          <w:szCs w:val="24"/>
          <w:lang w:eastAsia="zh-CN"/>
        </w:rPr>
        <w:t xml:space="preserve">联 系 电话：0531-85875076 </w:t>
      </w:r>
    </w:p>
    <w:p>
      <w:pPr>
        <w:numPr>
          <w:ilvl w:val="0"/>
          <w:numId w:val="1"/>
        </w:numPr>
        <w:spacing w:line="440" w:lineRule="exact"/>
        <w:jc w:val="both"/>
        <w:rPr>
          <w:rFonts w:ascii="宋体" w:hAnsi="Times New Roman" w:eastAsia="宋体" w:cs="宋体"/>
          <w:kern w:val="2"/>
          <w:sz w:val="24"/>
          <w:szCs w:val="24"/>
          <w:lang w:eastAsia="zh-CN"/>
        </w:rPr>
      </w:pPr>
      <w:r>
        <w:rPr>
          <w:rFonts w:hint="eastAsia" w:ascii="宋体" w:hAnsi="宋体" w:eastAsia="宋体" w:cs="宋体"/>
          <w:b/>
          <w:kern w:val="2"/>
          <w:sz w:val="24"/>
          <w:szCs w:val="24"/>
          <w:lang w:eastAsia="zh-CN"/>
        </w:rPr>
        <w:t>采购代理机构名称：</w:t>
      </w:r>
      <w:r>
        <w:rPr>
          <w:rFonts w:hint="eastAsia" w:ascii="宋体" w:hAnsi="宋体" w:eastAsia="宋体" w:cs="宋体"/>
          <w:kern w:val="2"/>
          <w:sz w:val="24"/>
          <w:szCs w:val="24"/>
          <w:lang w:eastAsia="zh-CN"/>
        </w:rPr>
        <w:t>山东齐信招标有限公司</w:t>
      </w:r>
    </w:p>
    <w:p>
      <w:pPr>
        <w:spacing w:line="440" w:lineRule="exact"/>
        <w:ind w:firstLine="360" w:firstLineChars="150"/>
        <w:jc w:val="both"/>
        <w:rPr>
          <w:rFonts w:ascii="宋体" w:hAnsi="Times New Roman" w:eastAsia="宋体" w:cs="宋体"/>
          <w:kern w:val="2"/>
          <w:sz w:val="24"/>
          <w:szCs w:val="24"/>
          <w:lang w:eastAsia="zh-CN"/>
        </w:rPr>
      </w:pPr>
      <w:r>
        <w:rPr>
          <w:rFonts w:hint="eastAsia" w:ascii="宋体" w:hAnsi="Times New Roman" w:eastAsia="宋体" w:cs="宋体"/>
          <w:kern w:val="2"/>
          <w:sz w:val="24"/>
          <w:szCs w:val="24"/>
          <w:lang w:eastAsia="zh-CN"/>
        </w:rPr>
        <w:t>采购代理机构地址：济南市市中区二环南路6636号中海广场6楼603室。</w:t>
      </w:r>
    </w:p>
    <w:p>
      <w:pPr>
        <w:spacing w:line="440" w:lineRule="exact"/>
        <w:ind w:firstLine="360" w:firstLineChars="150"/>
        <w:jc w:val="both"/>
        <w:rPr>
          <w:rFonts w:ascii="宋体" w:hAnsi="Times New Roman" w:eastAsia="宋体" w:cs="宋体"/>
          <w:kern w:val="2"/>
          <w:sz w:val="24"/>
          <w:szCs w:val="24"/>
          <w:lang w:eastAsia="zh-CN"/>
        </w:rPr>
      </w:pPr>
      <w:r>
        <w:rPr>
          <w:rFonts w:hint="eastAsia" w:ascii="宋体" w:hAnsi="Times New Roman" w:eastAsia="宋体" w:cs="宋体"/>
          <w:kern w:val="2"/>
          <w:sz w:val="24"/>
          <w:szCs w:val="24"/>
          <w:lang w:eastAsia="zh-CN"/>
        </w:rPr>
        <w:t xml:space="preserve">联系人：杨工     </w:t>
      </w:r>
    </w:p>
    <w:p>
      <w:pPr>
        <w:spacing w:line="440" w:lineRule="exact"/>
        <w:ind w:firstLine="360" w:firstLineChars="150"/>
        <w:jc w:val="both"/>
        <w:rPr>
          <w:rFonts w:ascii="宋体" w:hAnsi="Times New Roman" w:eastAsia="宋体" w:cs="宋体"/>
          <w:kern w:val="2"/>
          <w:sz w:val="24"/>
          <w:szCs w:val="24"/>
          <w:lang w:eastAsia="zh-CN"/>
        </w:rPr>
      </w:pPr>
      <w:r>
        <w:rPr>
          <w:rFonts w:hint="eastAsia" w:ascii="宋体" w:hAnsi="Times New Roman" w:eastAsia="宋体" w:cs="宋体"/>
          <w:kern w:val="2"/>
          <w:sz w:val="24"/>
          <w:szCs w:val="24"/>
          <w:lang w:eastAsia="zh-CN"/>
        </w:rPr>
        <w:t>联系电话：0531-88259318</w:t>
      </w:r>
    </w:p>
    <w:p>
      <w:pPr>
        <w:spacing w:line="440" w:lineRule="exact"/>
        <w:jc w:val="both"/>
        <w:rPr>
          <w:rFonts w:ascii="宋体" w:hAnsi="Times New Roman" w:eastAsia="宋体" w:cs="宋体"/>
          <w:kern w:val="2"/>
          <w:sz w:val="24"/>
          <w:szCs w:val="24"/>
          <w:lang w:eastAsia="zh-CN"/>
        </w:rPr>
      </w:pPr>
      <w:r>
        <w:rPr>
          <w:rFonts w:hint="eastAsia" w:ascii="宋体" w:hAnsi="Times New Roman" w:eastAsia="宋体" w:cs="宋体"/>
          <w:kern w:val="2"/>
          <w:sz w:val="24"/>
          <w:szCs w:val="24"/>
          <w:lang w:eastAsia="zh-CN"/>
        </w:rPr>
        <w:t xml:space="preserve">   邮  箱：</w:t>
      </w:r>
      <w:r>
        <w:fldChar w:fldCharType="begin"/>
      </w:r>
      <w:r>
        <w:instrText xml:space="preserve"> HYPERLINK "mailto:qxjnfgs@163.com" </w:instrText>
      </w:r>
      <w:r>
        <w:fldChar w:fldCharType="separate"/>
      </w:r>
      <w:r>
        <w:rPr>
          <w:rFonts w:hint="eastAsia" w:ascii="宋体" w:hAnsi="Times New Roman" w:eastAsia="宋体" w:cs="宋体"/>
          <w:kern w:val="2"/>
          <w:sz w:val="24"/>
          <w:szCs w:val="24"/>
          <w:lang w:eastAsia="zh-CN"/>
        </w:rPr>
        <w:t>qxjnfgs@163.com</w:t>
      </w:r>
      <w:r>
        <w:rPr>
          <w:rFonts w:hint="eastAsia" w:ascii="宋体" w:hAnsi="Times New Roman" w:eastAsia="宋体" w:cs="宋体"/>
          <w:kern w:val="2"/>
          <w:sz w:val="24"/>
          <w:szCs w:val="24"/>
          <w:lang w:eastAsia="zh-CN"/>
        </w:rPr>
        <w:fldChar w:fldCharType="end"/>
      </w:r>
    </w:p>
    <w:p>
      <w:pPr>
        <w:spacing w:line="440" w:lineRule="exact"/>
        <w:jc w:val="both"/>
        <w:rPr>
          <w:rFonts w:ascii="宋体" w:hAnsi="Times New Roman" w:eastAsia="宋体" w:cs="宋体"/>
          <w:b/>
          <w:kern w:val="2"/>
          <w:sz w:val="24"/>
          <w:szCs w:val="24"/>
          <w:lang w:eastAsia="zh-CN"/>
        </w:rPr>
      </w:pPr>
      <w:r>
        <w:rPr>
          <w:rFonts w:ascii="宋体" w:hAnsi="宋体" w:eastAsia="宋体" w:cs="宋体"/>
          <w:b/>
          <w:kern w:val="2"/>
          <w:sz w:val="24"/>
          <w:szCs w:val="24"/>
          <w:lang w:eastAsia="zh-CN"/>
        </w:rPr>
        <w:t>3</w:t>
      </w:r>
      <w:r>
        <w:rPr>
          <w:rFonts w:hint="eastAsia" w:ascii="宋体" w:hAnsi="宋体" w:eastAsia="宋体" w:cs="宋体"/>
          <w:b/>
          <w:kern w:val="2"/>
          <w:sz w:val="24"/>
          <w:szCs w:val="24"/>
          <w:lang w:eastAsia="zh-CN"/>
        </w:rPr>
        <w:t>、项目名称：</w:t>
      </w:r>
      <w:r>
        <w:rPr>
          <w:rFonts w:hint="eastAsia" w:ascii="宋体" w:hAnsi="宋体" w:eastAsia="宋体" w:cs="宋体"/>
          <w:kern w:val="2"/>
          <w:sz w:val="24"/>
          <w:szCs w:val="24"/>
          <w:lang w:eastAsia="zh-CN"/>
        </w:rPr>
        <w:t>山东大学第二医院楼体发光宣传字深化设计、报批、制作安装项目</w:t>
      </w:r>
    </w:p>
    <w:p>
      <w:pPr>
        <w:spacing w:line="440" w:lineRule="exact"/>
        <w:jc w:val="both"/>
        <w:rPr>
          <w:rFonts w:ascii="宋体" w:hAnsi="Times New Roman" w:eastAsia="宋体" w:cs="宋体"/>
          <w:kern w:val="2"/>
          <w:sz w:val="24"/>
          <w:szCs w:val="24"/>
          <w:lang w:eastAsia="zh-CN"/>
        </w:rPr>
      </w:pPr>
      <w:r>
        <w:rPr>
          <w:rFonts w:ascii="宋体" w:hAnsi="宋体" w:eastAsia="宋体" w:cs="宋体"/>
          <w:b/>
          <w:kern w:val="2"/>
          <w:sz w:val="24"/>
          <w:szCs w:val="24"/>
          <w:lang w:eastAsia="zh-CN"/>
        </w:rPr>
        <w:t>4</w:t>
      </w:r>
      <w:r>
        <w:rPr>
          <w:rFonts w:hint="eastAsia" w:ascii="宋体" w:hAnsi="宋体" w:eastAsia="宋体" w:cs="宋体"/>
          <w:b/>
          <w:kern w:val="2"/>
          <w:sz w:val="24"/>
          <w:szCs w:val="24"/>
          <w:lang w:eastAsia="zh-CN"/>
        </w:rPr>
        <w:t>、项目编号：</w:t>
      </w:r>
      <w:r>
        <w:rPr>
          <w:rFonts w:ascii="宋体" w:hAnsi="宋体" w:eastAsia="宋体" w:cs="宋体"/>
          <w:kern w:val="2"/>
          <w:sz w:val="24"/>
          <w:szCs w:val="24"/>
          <w:lang w:eastAsia="zh-CN"/>
        </w:rPr>
        <w:t>QX-zb-19030001327</w:t>
      </w:r>
    </w:p>
    <w:p>
      <w:pPr>
        <w:spacing w:line="440" w:lineRule="exact"/>
        <w:jc w:val="both"/>
        <w:rPr>
          <w:rFonts w:ascii="宋体" w:hAnsi="Times New Roman" w:eastAsia="宋体" w:cs="宋体"/>
          <w:b/>
          <w:kern w:val="2"/>
          <w:sz w:val="24"/>
          <w:szCs w:val="24"/>
          <w:lang w:eastAsia="zh-CN"/>
        </w:rPr>
      </w:pPr>
      <w:r>
        <w:rPr>
          <w:rFonts w:ascii="宋体" w:hAnsi="宋体" w:eastAsia="宋体" w:cs="宋体"/>
          <w:b/>
          <w:kern w:val="2"/>
          <w:sz w:val="24"/>
          <w:szCs w:val="24"/>
          <w:lang w:eastAsia="zh-CN"/>
        </w:rPr>
        <w:t>5</w:t>
      </w:r>
      <w:r>
        <w:rPr>
          <w:rFonts w:hint="eastAsia" w:ascii="宋体" w:hAnsi="宋体" w:eastAsia="宋体" w:cs="宋体"/>
          <w:b/>
          <w:kern w:val="2"/>
          <w:sz w:val="24"/>
          <w:szCs w:val="24"/>
          <w:lang w:eastAsia="zh-CN"/>
        </w:rPr>
        <w:t>、项目概况与采购范围：</w:t>
      </w:r>
    </w:p>
    <w:p>
      <w:pPr>
        <w:widowControl/>
        <w:spacing w:line="300" w:lineRule="auto"/>
        <w:ind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5.1山东大学第二医院内主体楼宇安装发光宣传字，项目包含对院方提供的效果方案按济南市专项规划要求进行深化规范设计；达到审批要求并负责报送，办理审批手续；根据审批后的要求，制作并安装调试发光宣传字。具体技术要求详见竞争性磋商文件。</w:t>
      </w:r>
    </w:p>
    <w:p>
      <w:pPr>
        <w:widowControl/>
        <w:spacing w:line="300" w:lineRule="auto"/>
        <w:ind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5.2预算金额： 76万元人民币。</w:t>
      </w:r>
    </w:p>
    <w:p>
      <w:pPr>
        <w:widowControl/>
        <w:spacing w:line="300" w:lineRule="auto"/>
        <w:ind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5.3质量要求：合格</w:t>
      </w:r>
    </w:p>
    <w:p>
      <w:pPr>
        <w:widowControl/>
        <w:spacing w:line="300" w:lineRule="auto"/>
        <w:ind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5.4工期要求：签订合同后，接招标方通知施工。工期 30日历天。（投标单位可竞报）</w:t>
      </w:r>
    </w:p>
    <w:p>
      <w:pPr>
        <w:widowControl/>
        <w:spacing w:line="300" w:lineRule="auto"/>
        <w:rPr>
          <w:rFonts w:ascii="宋体" w:hAnsi="Times New Roman" w:eastAsia="宋体" w:cs="宋体"/>
          <w:b/>
          <w:kern w:val="2"/>
          <w:sz w:val="24"/>
          <w:szCs w:val="24"/>
          <w:lang w:eastAsia="zh-CN"/>
        </w:rPr>
      </w:pPr>
      <w:r>
        <w:rPr>
          <w:rFonts w:ascii="宋体" w:hAnsi="宋体" w:eastAsia="宋体" w:cs="宋体"/>
          <w:b/>
          <w:kern w:val="2"/>
          <w:sz w:val="24"/>
          <w:szCs w:val="24"/>
          <w:lang w:eastAsia="zh-CN"/>
        </w:rPr>
        <w:t>6</w:t>
      </w:r>
      <w:r>
        <w:rPr>
          <w:rFonts w:hint="eastAsia" w:ascii="宋体" w:hAnsi="宋体" w:eastAsia="宋体" w:cs="宋体"/>
          <w:b/>
          <w:kern w:val="2"/>
          <w:sz w:val="24"/>
          <w:szCs w:val="24"/>
          <w:lang w:eastAsia="zh-CN"/>
        </w:rPr>
        <w:t>、供应商资格要求：</w:t>
      </w:r>
    </w:p>
    <w:p>
      <w:pPr>
        <w:spacing w:line="440" w:lineRule="exact"/>
        <w:ind w:firstLine="360" w:firstLineChars="150"/>
        <w:jc w:val="both"/>
        <w:rPr>
          <w:rFonts w:ascii="宋体" w:hAnsi="Times New Roman" w:eastAsia="宋体" w:cs="仿宋"/>
          <w:kern w:val="2"/>
          <w:sz w:val="24"/>
          <w:szCs w:val="24"/>
          <w:lang w:eastAsia="zh-CN"/>
        </w:rPr>
      </w:pPr>
      <w:r>
        <w:rPr>
          <w:rFonts w:hint="eastAsia" w:ascii="宋体" w:hAnsi="Times New Roman" w:eastAsia="宋体" w:cs="仿宋"/>
          <w:kern w:val="2"/>
          <w:sz w:val="24"/>
          <w:szCs w:val="24"/>
          <w:lang w:eastAsia="zh-CN"/>
        </w:rPr>
        <w:t>6.1、供应商必须是在中华人民共和国注册的具有独立承担民事责任能力的法人或其他组织，并取得合法企业工商营业执照，并在人员、设备、资金等方面具有相应的施工能力。</w:t>
      </w:r>
    </w:p>
    <w:p>
      <w:pPr>
        <w:spacing w:line="440" w:lineRule="exact"/>
        <w:ind w:firstLine="360" w:firstLineChars="150"/>
        <w:jc w:val="both"/>
        <w:rPr>
          <w:rFonts w:ascii="宋体" w:hAnsi="Times New Roman" w:eastAsia="宋体" w:cs="仿宋"/>
          <w:kern w:val="2"/>
          <w:sz w:val="24"/>
          <w:szCs w:val="24"/>
          <w:lang w:eastAsia="zh-CN"/>
        </w:rPr>
      </w:pPr>
      <w:r>
        <w:rPr>
          <w:rFonts w:hint="eastAsia" w:ascii="宋体" w:hAnsi="Times New Roman" w:eastAsia="宋体" w:cs="仿宋"/>
          <w:kern w:val="2"/>
          <w:sz w:val="24"/>
          <w:szCs w:val="24"/>
          <w:lang w:eastAsia="zh-CN"/>
        </w:rPr>
        <w:t>6.2、本次采购要求供应商需具备:机电设备安装工程专业承包叁级及以上资质，或城市及道路照明工程专业承包叁级及以上资质。具有亚克力发光字设计、制作、安装能力，具有办理【户外广告设置许可证】的能力。</w:t>
      </w:r>
    </w:p>
    <w:p>
      <w:pPr>
        <w:spacing w:line="440" w:lineRule="exact"/>
        <w:ind w:firstLine="360" w:firstLineChars="150"/>
        <w:jc w:val="both"/>
        <w:rPr>
          <w:rFonts w:ascii="宋体" w:hAnsi="Times New Roman" w:eastAsia="宋体" w:cs="仿宋"/>
          <w:kern w:val="2"/>
          <w:sz w:val="24"/>
          <w:szCs w:val="24"/>
          <w:lang w:eastAsia="zh-CN"/>
        </w:rPr>
      </w:pPr>
      <w:r>
        <w:rPr>
          <w:rFonts w:hint="eastAsia" w:ascii="宋体" w:hAnsi="Times New Roman" w:eastAsia="宋体" w:cs="仿宋"/>
          <w:kern w:val="2"/>
          <w:sz w:val="24"/>
          <w:szCs w:val="24"/>
          <w:lang w:eastAsia="zh-CN"/>
        </w:rPr>
        <w:t>6.3、项目经理要求：①具备有效的国家贰级及以上注册建造师资格（机电或市政工程专业）；②具备有效的安全生产考核合格证书（B类）；拟为本项目所配备的项目班子成员不得兼职其他工程项目。</w:t>
      </w:r>
    </w:p>
    <w:p>
      <w:pPr>
        <w:spacing w:line="440" w:lineRule="exact"/>
        <w:ind w:firstLine="360" w:firstLineChars="150"/>
        <w:jc w:val="both"/>
        <w:rPr>
          <w:rFonts w:ascii="宋体" w:hAnsi="Times New Roman" w:eastAsia="宋体" w:cs="仿宋"/>
          <w:kern w:val="2"/>
          <w:sz w:val="24"/>
          <w:szCs w:val="24"/>
          <w:lang w:eastAsia="zh-CN"/>
        </w:rPr>
      </w:pPr>
      <w:r>
        <w:rPr>
          <w:rFonts w:hint="eastAsia" w:ascii="宋体" w:hAnsi="Times New Roman" w:eastAsia="宋体" w:cs="仿宋"/>
          <w:kern w:val="2"/>
          <w:sz w:val="24"/>
          <w:szCs w:val="24"/>
          <w:lang w:eastAsia="zh-CN"/>
        </w:rPr>
        <w:t>施工人员要求：具有安装资质的专业人员，投标时须出具相关的资质证件原件及复印件、安装工人意外保险单据原件及复印件。</w:t>
      </w:r>
    </w:p>
    <w:p>
      <w:pPr>
        <w:spacing w:line="440" w:lineRule="exact"/>
        <w:ind w:firstLine="360" w:firstLineChars="150"/>
        <w:jc w:val="both"/>
        <w:rPr>
          <w:rFonts w:ascii="宋体" w:hAnsi="Times New Roman" w:eastAsia="宋体" w:cs="仿宋"/>
          <w:kern w:val="2"/>
          <w:sz w:val="24"/>
          <w:szCs w:val="24"/>
          <w:lang w:eastAsia="zh-CN"/>
        </w:rPr>
      </w:pPr>
      <w:r>
        <w:rPr>
          <w:rFonts w:hint="eastAsia" w:ascii="宋体" w:hAnsi="Times New Roman" w:eastAsia="宋体" w:cs="仿宋"/>
          <w:kern w:val="2"/>
          <w:sz w:val="24"/>
          <w:szCs w:val="24"/>
          <w:lang w:eastAsia="zh-CN"/>
        </w:rPr>
        <w:t xml:space="preserve">6.4、拒绝列入政府取消投标资格记录期间的企业或个人投标。 </w:t>
      </w:r>
    </w:p>
    <w:p>
      <w:pPr>
        <w:spacing w:line="440" w:lineRule="exact"/>
        <w:ind w:firstLine="360" w:firstLineChars="150"/>
        <w:jc w:val="both"/>
        <w:rPr>
          <w:rFonts w:ascii="宋体" w:hAnsi="Times New Roman" w:eastAsia="宋体" w:cs="仿宋"/>
          <w:kern w:val="2"/>
          <w:sz w:val="24"/>
          <w:szCs w:val="24"/>
          <w:lang w:eastAsia="zh-CN"/>
        </w:rPr>
      </w:pPr>
      <w:r>
        <w:rPr>
          <w:rFonts w:hint="eastAsia" w:ascii="宋体" w:hAnsi="Times New Roman" w:eastAsia="宋体" w:cs="仿宋"/>
          <w:kern w:val="2"/>
          <w:sz w:val="24"/>
          <w:szCs w:val="24"/>
          <w:lang w:eastAsia="zh-CN"/>
        </w:rPr>
        <w:t>6.5、本次招标不接受联合体投标（专业深化设计除外）。投标所有深化设计产生的费用，采购人不予承担。</w:t>
      </w:r>
    </w:p>
    <w:p>
      <w:pPr>
        <w:spacing w:line="440" w:lineRule="exact"/>
        <w:ind w:firstLine="472" w:firstLineChars="196"/>
        <w:jc w:val="both"/>
        <w:rPr>
          <w:rFonts w:ascii="宋体" w:hAnsi="Times New Roman" w:eastAsia="宋体" w:cs="宋体"/>
          <w:b/>
          <w:kern w:val="2"/>
          <w:sz w:val="24"/>
          <w:szCs w:val="24"/>
          <w:lang w:eastAsia="zh-CN"/>
        </w:rPr>
      </w:pPr>
      <w:r>
        <w:rPr>
          <w:rFonts w:ascii="宋体" w:hAnsi="宋体" w:eastAsia="宋体" w:cs="宋体"/>
          <w:b/>
          <w:kern w:val="2"/>
          <w:sz w:val="24"/>
          <w:szCs w:val="24"/>
          <w:lang w:eastAsia="zh-CN"/>
        </w:rPr>
        <w:t>7</w:t>
      </w:r>
      <w:r>
        <w:rPr>
          <w:rFonts w:hint="eastAsia" w:ascii="宋体" w:hAnsi="宋体" w:eastAsia="宋体" w:cs="宋体"/>
          <w:b/>
          <w:kern w:val="2"/>
          <w:sz w:val="24"/>
          <w:szCs w:val="24"/>
          <w:lang w:eastAsia="zh-CN"/>
        </w:rPr>
        <w:t>、报名时间及地点：</w:t>
      </w:r>
    </w:p>
    <w:p>
      <w:pPr>
        <w:spacing w:line="440" w:lineRule="exact"/>
        <w:ind w:firstLine="480" w:firstLineChars="200"/>
        <w:jc w:val="both"/>
        <w:rPr>
          <w:rFonts w:ascii="宋体" w:hAnsi="宋体" w:eastAsia="宋体" w:cs="Times New Roman"/>
          <w:kern w:val="2"/>
          <w:sz w:val="24"/>
          <w:szCs w:val="24"/>
          <w:lang w:eastAsia="zh-CN"/>
        </w:rPr>
      </w:pPr>
      <w:r>
        <w:rPr>
          <w:rFonts w:ascii="宋体" w:hAnsi="宋体" w:eastAsia="宋体" w:cs="Times New Roman"/>
          <w:kern w:val="2"/>
          <w:sz w:val="24"/>
          <w:szCs w:val="24"/>
          <w:lang w:eastAsia="zh-CN"/>
        </w:rPr>
        <w:t>7.1</w:t>
      </w:r>
      <w:r>
        <w:rPr>
          <w:rFonts w:hint="eastAsia" w:ascii="宋体" w:hAnsi="宋体" w:eastAsia="宋体" w:cs="Times New Roman"/>
          <w:kern w:val="2"/>
          <w:sz w:val="24"/>
          <w:szCs w:val="24"/>
          <w:lang w:eastAsia="zh-CN"/>
        </w:rPr>
        <w:t>凡有意参加投标者，请于</w:t>
      </w:r>
      <w:r>
        <w:rPr>
          <w:rFonts w:ascii="宋体" w:hAnsi="宋体" w:eastAsia="宋体" w:cs="Times New Roman"/>
          <w:kern w:val="2"/>
          <w:sz w:val="24"/>
          <w:szCs w:val="24"/>
          <w:lang w:eastAsia="zh-CN"/>
        </w:rPr>
        <w:t>201</w:t>
      </w:r>
      <w:r>
        <w:rPr>
          <w:rFonts w:hint="eastAsia" w:ascii="宋体" w:hAnsi="宋体" w:eastAsia="宋体" w:cs="Times New Roman"/>
          <w:kern w:val="2"/>
          <w:sz w:val="24"/>
          <w:szCs w:val="24"/>
          <w:lang w:eastAsia="zh-CN"/>
        </w:rPr>
        <w:t>9年4月8日至</w:t>
      </w:r>
      <w:r>
        <w:rPr>
          <w:rFonts w:ascii="宋体" w:hAnsi="宋体" w:eastAsia="宋体" w:cs="Times New Roman"/>
          <w:kern w:val="2"/>
          <w:sz w:val="24"/>
          <w:szCs w:val="24"/>
          <w:lang w:eastAsia="zh-CN"/>
        </w:rPr>
        <w:t>201</w:t>
      </w:r>
      <w:r>
        <w:rPr>
          <w:rFonts w:hint="eastAsia" w:ascii="宋体" w:hAnsi="宋体" w:eastAsia="宋体" w:cs="Times New Roman"/>
          <w:kern w:val="2"/>
          <w:sz w:val="24"/>
          <w:szCs w:val="24"/>
          <w:lang w:eastAsia="zh-CN"/>
        </w:rPr>
        <w:t>9年4月15日（不含节假日）每日上午</w:t>
      </w:r>
      <w:r>
        <w:rPr>
          <w:rFonts w:ascii="宋体" w:hAnsi="宋体" w:eastAsia="宋体" w:cs="Times New Roman"/>
          <w:kern w:val="2"/>
          <w:sz w:val="24"/>
          <w:szCs w:val="24"/>
          <w:lang w:eastAsia="zh-CN"/>
        </w:rPr>
        <w:t>9</w:t>
      </w:r>
      <w:r>
        <w:rPr>
          <w:rFonts w:hint="eastAsia" w:ascii="宋体" w:hAnsi="宋体" w:eastAsia="宋体" w:cs="Times New Roman"/>
          <w:kern w:val="2"/>
          <w:sz w:val="24"/>
          <w:szCs w:val="24"/>
          <w:lang w:eastAsia="zh-CN"/>
        </w:rPr>
        <w:t>：</w:t>
      </w:r>
      <w:r>
        <w:rPr>
          <w:rFonts w:hint="eastAsia" w:ascii="宋体" w:hAnsi="Times New Roman" w:eastAsia="宋体" w:cs="Times New Roman"/>
          <w:kern w:val="2"/>
          <w:sz w:val="24"/>
          <w:szCs w:val="24"/>
          <w:lang w:eastAsia="zh-CN"/>
        </w:rPr>
        <w:t>3</w:t>
      </w:r>
      <w:r>
        <w:rPr>
          <w:rFonts w:ascii="宋体" w:hAnsi="Times New Roman" w:eastAsia="宋体" w:cs="Times New Roman"/>
          <w:kern w:val="2"/>
          <w:sz w:val="24"/>
          <w:szCs w:val="24"/>
          <w:lang w:eastAsia="zh-CN"/>
        </w:rPr>
        <w:t>0</w:t>
      </w:r>
      <w:r>
        <w:rPr>
          <w:rFonts w:hint="eastAsia" w:ascii="宋体" w:hAnsi="宋体" w:eastAsia="宋体" w:cs="Times New Roman"/>
          <w:kern w:val="2"/>
          <w:sz w:val="24"/>
          <w:szCs w:val="24"/>
          <w:lang w:eastAsia="zh-CN"/>
        </w:rPr>
        <w:t>至</w:t>
      </w:r>
      <w:r>
        <w:rPr>
          <w:rFonts w:ascii="宋体" w:hAnsi="宋体" w:eastAsia="宋体" w:cs="Times New Roman"/>
          <w:kern w:val="2"/>
          <w:sz w:val="24"/>
          <w:szCs w:val="24"/>
          <w:lang w:eastAsia="zh-CN"/>
        </w:rPr>
        <w:t>11</w:t>
      </w:r>
      <w:r>
        <w:rPr>
          <w:rFonts w:hint="eastAsia" w:ascii="宋体" w:hAnsi="宋体" w:eastAsia="宋体" w:cs="Times New Roman"/>
          <w:kern w:val="2"/>
          <w:sz w:val="24"/>
          <w:szCs w:val="24"/>
          <w:lang w:eastAsia="zh-CN"/>
        </w:rPr>
        <w:t>：</w:t>
      </w:r>
      <w:r>
        <w:rPr>
          <w:rFonts w:ascii="宋体" w:hAnsi="宋体" w:eastAsia="宋体" w:cs="Times New Roman"/>
          <w:kern w:val="2"/>
          <w:sz w:val="24"/>
          <w:szCs w:val="24"/>
          <w:lang w:eastAsia="zh-CN"/>
        </w:rPr>
        <w:t>30</w:t>
      </w:r>
      <w:r>
        <w:rPr>
          <w:rFonts w:hint="eastAsia" w:ascii="宋体" w:hAnsi="宋体" w:eastAsia="宋体" w:cs="Times New Roman"/>
          <w:kern w:val="2"/>
          <w:sz w:val="24"/>
          <w:szCs w:val="24"/>
          <w:lang w:eastAsia="zh-CN"/>
        </w:rPr>
        <w:t>，下午</w:t>
      </w:r>
      <w:r>
        <w:rPr>
          <w:rFonts w:ascii="宋体" w:hAnsi="宋体" w:eastAsia="宋体" w:cs="Times New Roman"/>
          <w:kern w:val="2"/>
          <w:sz w:val="24"/>
          <w:szCs w:val="24"/>
          <w:lang w:eastAsia="zh-CN"/>
        </w:rPr>
        <w:t>13</w:t>
      </w:r>
      <w:r>
        <w:rPr>
          <w:rFonts w:hint="eastAsia" w:ascii="宋体" w:hAnsi="宋体" w:eastAsia="宋体" w:cs="Times New Roman"/>
          <w:kern w:val="2"/>
          <w:sz w:val="24"/>
          <w:szCs w:val="24"/>
          <w:lang w:eastAsia="zh-CN"/>
        </w:rPr>
        <w:t>：</w:t>
      </w:r>
      <w:r>
        <w:rPr>
          <w:rFonts w:ascii="宋体" w:hAnsi="宋体" w:eastAsia="宋体" w:cs="Times New Roman"/>
          <w:kern w:val="2"/>
          <w:sz w:val="24"/>
          <w:szCs w:val="24"/>
          <w:lang w:eastAsia="zh-CN"/>
        </w:rPr>
        <w:t>30</w:t>
      </w:r>
      <w:r>
        <w:rPr>
          <w:rFonts w:hint="eastAsia" w:ascii="宋体" w:hAnsi="宋体" w:eastAsia="宋体" w:cs="Times New Roman"/>
          <w:kern w:val="2"/>
          <w:sz w:val="24"/>
          <w:szCs w:val="24"/>
          <w:lang w:eastAsia="zh-CN"/>
        </w:rPr>
        <w:t>至</w:t>
      </w:r>
      <w:r>
        <w:rPr>
          <w:rFonts w:ascii="宋体" w:hAnsi="宋体" w:eastAsia="宋体" w:cs="Times New Roman"/>
          <w:kern w:val="2"/>
          <w:sz w:val="24"/>
          <w:szCs w:val="24"/>
          <w:lang w:eastAsia="zh-CN"/>
        </w:rPr>
        <w:t>16</w:t>
      </w:r>
      <w:r>
        <w:rPr>
          <w:rFonts w:hint="eastAsia" w:ascii="宋体" w:hAnsi="宋体" w:eastAsia="宋体" w:cs="Times New Roman"/>
          <w:kern w:val="2"/>
          <w:sz w:val="24"/>
          <w:szCs w:val="24"/>
          <w:lang w:eastAsia="zh-CN"/>
        </w:rPr>
        <w:t>：</w:t>
      </w:r>
      <w:r>
        <w:rPr>
          <w:rFonts w:ascii="宋体" w:hAnsi="宋体" w:eastAsia="宋体" w:cs="Times New Roman"/>
          <w:kern w:val="2"/>
          <w:sz w:val="24"/>
          <w:szCs w:val="24"/>
          <w:lang w:eastAsia="zh-CN"/>
        </w:rPr>
        <w:t>30</w:t>
      </w:r>
      <w:r>
        <w:rPr>
          <w:rFonts w:hint="eastAsia" w:ascii="宋体" w:hAnsi="宋体" w:eastAsia="宋体" w:cs="Times New Roman"/>
          <w:kern w:val="2"/>
          <w:sz w:val="24"/>
          <w:szCs w:val="24"/>
          <w:lang w:eastAsia="zh-CN"/>
        </w:rPr>
        <w:t>时，到山东齐信招标有限公司（地址：济南市市中区二环南路6636号中海广场6楼603室）持下列资料报名并购买竞争性磋商文件：（</w:t>
      </w:r>
      <w:r>
        <w:rPr>
          <w:rFonts w:ascii="宋体" w:hAnsi="宋体" w:eastAsia="宋体" w:cs="Times New Roman"/>
          <w:kern w:val="2"/>
          <w:sz w:val="24"/>
          <w:szCs w:val="24"/>
          <w:lang w:eastAsia="zh-CN"/>
        </w:rPr>
        <w:t>1</w:t>
      </w:r>
      <w:r>
        <w:rPr>
          <w:rFonts w:hint="eastAsia" w:ascii="宋体" w:hAnsi="宋体" w:eastAsia="宋体" w:cs="Times New Roman"/>
          <w:kern w:val="2"/>
          <w:sz w:val="24"/>
          <w:szCs w:val="24"/>
          <w:lang w:eastAsia="zh-CN"/>
        </w:rPr>
        <w:t>）营业执照副本；（</w:t>
      </w:r>
      <w:r>
        <w:rPr>
          <w:rFonts w:ascii="宋体" w:hAnsi="宋体" w:eastAsia="宋体" w:cs="Times New Roman"/>
          <w:kern w:val="2"/>
          <w:sz w:val="24"/>
          <w:szCs w:val="24"/>
          <w:lang w:eastAsia="zh-CN"/>
        </w:rPr>
        <w:t>2</w:t>
      </w:r>
      <w:r>
        <w:rPr>
          <w:rFonts w:hint="eastAsia" w:ascii="宋体" w:hAnsi="宋体" w:eastAsia="宋体" w:cs="Times New Roman"/>
          <w:kern w:val="2"/>
          <w:sz w:val="24"/>
          <w:szCs w:val="24"/>
          <w:lang w:eastAsia="zh-CN"/>
        </w:rPr>
        <w:t>）法定代表人证书或法人授权委托书</w:t>
      </w:r>
      <w:r>
        <w:rPr>
          <w:rFonts w:ascii="宋体" w:hAnsi="宋体" w:eastAsia="宋体" w:cs="Times New Roman"/>
          <w:kern w:val="2"/>
          <w:sz w:val="24"/>
          <w:szCs w:val="24"/>
          <w:lang w:eastAsia="zh-CN"/>
        </w:rPr>
        <w:t>(</w:t>
      </w:r>
      <w:r>
        <w:rPr>
          <w:rFonts w:hint="eastAsia" w:ascii="宋体" w:hAnsi="宋体" w:eastAsia="宋体" w:cs="Times New Roman"/>
          <w:kern w:val="2"/>
          <w:sz w:val="24"/>
          <w:szCs w:val="24"/>
          <w:lang w:eastAsia="zh-CN"/>
        </w:rPr>
        <w:t>原件</w:t>
      </w:r>
      <w:r>
        <w:rPr>
          <w:rFonts w:ascii="宋体" w:hAnsi="宋体" w:eastAsia="宋体" w:cs="Times New Roman"/>
          <w:kern w:val="2"/>
          <w:sz w:val="24"/>
          <w:szCs w:val="24"/>
          <w:lang w:eastAsia="zh-CN"/>
        </w:rPr>
        <w:t>)</w:t>
      </w:r>
      <w:r>
        <w:rPr>
          <w:rFonts w:hint="eastAsia" w:ascii="宋体" w:hAnsi="宋体" w:eastAsia="宋体" w:cs="Times New Roman"/>
          <w:kern w:val="2"/>
          <w:sz w:val="24"/>
          <w:szCs w:val="24"/>
          <w:lang w:eastAsia="zh-CN"/>
        </w:rPr>
        <w:t>、法定代表人或授权代表身份证；（</w:t>
      </w:r>
      <w:r>
        <w:rPr>
          <w:rFonts w:ascii="宋体" w:hAnsi="宋体" w:eastAsia="宋体" w:cs="Times New Roman"/>
          <w:kern w:val="2"/>
          <w:sz w:val="24"/>
          <w:szCs w:val="24"/>
          <w:lang w:eastAsia="zh-CN"/>
        </w:rPr>
        <w:t>3</w:t>
      </w:r>
      <w:r>
        <w:rPr>
          <w:rFonts w:hint="eastAsia" w:ascii="宋体" w:hAnsi="宋体" w:eastAsia="宋体" w:cs="Times New Roman"/>
          <w:kern w:val="2"/>
          <w:sz w:val="24"/>
          <w:szCs w:val="24"/>
          <w:lang w:eastAsia="zh-CN"/>
        </w:rPr>
        <w:t>）资质证书；（</w:t>
      </w:r>
      <w:r>
        <w:rPr>
          <w:rFonts w:ascii="宋体" w:hAnsi="宋体" w:eastAsia="宋体" w:cs="Times New Roman"/>
          <w:kern w:val="2"/>
          <w:sz w:val="24"/>
          <w:szCs w:val="24"/>
          <w:lang w:eastAsia="zh-CN"/>
        </w:rPr>
        <w:t>4</w:t>
      </w:r>
      <w:r>
        <w:rPr>
          <w:rFonts w:hint="eastAsia" w:ascii="宋体" w:hAnsi="宋体" w:eastAsia="宋体" w:cs="Times New Roman"/>
          <w:kern w:val="2"/>
          <w:sz w:val="24"/>
          <w:szCs w:val="24"/>
          <w:lang w:eastAsia="zh-CN"/>
        </w:rPr>
        <w:t>）供应商须提供“信用中国”网站、“中国政府采购网”网站未被列入失信被执行人、重大税收违法案件当事人名单、政府采购严重违法失信行为记录名单的记录及承诺书原件（提供网站查询记录并加盖本单位公章）。</w:t>
      </w:r>
    </w:p>
    <w:p>
      <w:pPr>
        <w:spacing w:line="440" w:lineRule="exact"/>
        <w:ind w:firstLine="482" w:firstLineChars="200"/>
        <w:jc w:val="both"/>
        <w:rPr>
          <w:rFonts w:ascii="宋体" w:hAnsi="Times New Roman" w:eastAsia="宋体" w:cs="Times New Roman"/>
          <w:b/>
          <w:kern w:val="2"/>
          <w:sz w:val="24"/>
          <w:szCs w:val="24"/>
          <w:lang w:eastAsia="zh-CN"/>
        </w:rPr>
      </w:pPr>
      <w:r>
        <w:rPr>
          <w:rFonts w:hint="eastAsia" w:ascii="宋体" w:hAnsi="宋体" w:eastAsia="宋体" w:cs="Times New Roman"/>
          <w:b/>
          <w:kern w:val="2"/>
          <w:sz w:val="24"/>
          <w:szCs w:val="24"/>
          <w:lang w:eastAsia="zh-CN"/>
        </w:rPr>
        <w:t>上述资料需加盖公章复印件</w:t>
      </w:r>
      <w:r>
        <w:rPr>
          <w:rFonts w:ascii="宋体" w:hAnsi="宋体" w:eastAsia="宋体" w:cs="Times New Roman"/>
          <w:b/>
          <w:kern w:val="2"/>
          <w:sz w:val="24"/>
          <w:szCs w:val="24"/>
          <w:lang w:eastAsia="zh-CN"/>
        </w:rPr>
        <w:t>1</w:t>
      </w:r>
      <w:r>
        <w:rPr>
          <w:rFonts w:hint="eastAsia" w:ascii="宋体" w:hAnsi="宋体" w:eastAsia="宋体" w:cs="Times New Roman"/>
          <w:b/>
          <w:kern w:val="2"/>
          <w:sz w:val="24"/>
          <w:szCs w:val="24"/>
          <w:lang w:eastAsia="zh-CN"/>
        </w:rPr>
        <w:t>套，简单装订。</w:t>
      </w:r>
    </w:p>
    <w:p>
      <w:pPr>
        <w:widowControl/>
        <w:spacing w:line="440" w:lineRule="exact"/>
        <w:ind w:firstLine="480" w:firstLineChars="200"/>
        <w:rPr>
          <w:rFonts w:ascii="宋体" w:hAnsi="宋体" w:eastAsia="宋体" w:cs="宋体"/>
          <w:bCs/>
          <w:sz w:val="24"/>
          <w:szCs w:val="24"/>
          <w:lang w:eastAsia="zh-CN"/>
        </w:rPr>
      </w:pPr>
      <w:r>
        <w:rPr>
          <w:rFonts w:ascii="宋体" w:hAnsi="宋体" w:eastAsia="宋体" w:cs="宋体"/>
          <w:bCs/>
          <w:sz w:val="24"/>
          <w:szCs w:val="24"/>
          <w:lang w:eastAsia="zh-CN"/>
        </w:rPr>
        <w:t>7.2</w:t>
      </w:r>
      <w:r>
        <w:rPr>
          <w:rFonts w:hint="eastAsia" w:ascii="宋体" w:hAnsi="宋体" w:eastAsia="宋体" w:cs="宋体"/>
          <w:kern w:val="2"/>
          <w:sz w:val="24"/>
          <w:szCs w:val="24"/>
          <w:lang w:eastAsia="zh-CN"/>
        </w:rPr>
        <w:t>竞争性磋商文件</w:t>
      </w:r>
      <w:r>
        <w:rPr>
          <w:rFonts w:hint="eastAsia" w:ascii="宋体" w:hAnsi="宋体" w:eastAsia="宋体" w:cs="宋体"/>
          <w:bCs/>
          <w:sz w:val="24"/>
          <w:szCs w:val="24"/>
          <w:lang w:eastAsia="zh-CN"/>
        </w:rPr>
        <w:t>工本费：3</w:t>
      </w:r>
      <w:r>
        <w:rPr>
          <w:rFonts w:ascii="宋体" w:hAnsi="宋体" w:eastAsia="宋体" w:cs="宋体"/>
          <w:bCs/>
          <w:sz w:val="24"/>
          <w:szCs w:val="24"/>
          <w:lang w:eastAsia="zh-CN"/>
        </w:rPr>
        <w:t xml:space="preserve">00 </w:t>
      </w:r>
      <w:r>
        <w:rPr>
          <w:rFonts w:hint="eastAsia" w:ascii="宋体" w:hAnsi="宋体" w:eastAsia="宋体" w:cs="宋体"/>
          <w:bCs/>
          <w:sz w:val="24"/>
          <w:szCs w:val="24"/>
          <w:lang w:eastAsia="zh-CN"/>
        </w:rPr>
        <w:t>元，</w:t>
      </w:r>
      <w:r>
        <w:rPr>
          <w:rFonts w:hint="eastAsia" w:ascii="宋体" w:hAnsi="宋体" w:eastAsia="宋体" w:cs="宋体"/>
          <w:kern w:val="2"/>
          <w:sz w:val="24"/>
          <w:szCs w:val="24"/>
          <w:lang w:eastAsia="zh-CN"/>
        </w:rPr>
        <w:t>竞争性磋商文件</w:t>
      </w:r>
      <w:r>
        <w:rPr>
          <w:rFonts w:hint="eastAsia" w:ascii="宋体" w:hAnsi="宋体" w:eastAsia="宋体" w:cs="宋体"/>
          <w:bCs/>
          <w:sz w:val="24"/>
          <w:szCs w:val="24"/>
          <w:lang w:eastAsia="zh-CN"/>
        </w:rPr>
        <w:t>售后不退。</w:t>
      </w:r>
    </w:p>
    <w:p>
      <w:pPr>
        <w:widowControl/>
        <w:spacing w:line="440" w:lineRule="exact"/>
        <w:ind w:firstLine="241" w:firstLineChars="100"/>
        <w:rPr>
          <w:rFonts w:ascii="宋体" w:hAnsi="Times New Roman" w:eastAsia="宋体" w:cs="宋体"/>
          <w:bCs/>
          <w:sz w:val="24"/>
          <w:szCs w:val="24"/>
          <w:lang w:eastAsia="zh-CN"/>
        </w:rPr>
      </w:pPr>
      <w:r>
        <w:rPr>
          <w:rFonts w:hint="eastAsia" w:ascii="宋体" w:hAnsi="宋体" w:eastAsia="宋体" w:cs="宋体"/>
          <w:b/>
          <w:bCs/>
          <w:sz w:val="24"/>
          <w:szCs w:val="24"/>
          <w:lang w:eastAsia="zh-CN"/>
        </w:rPr>
        <w:t>8、</w:t>
      </w:r>
      <w:r>
        <w:rPr>
          <w:rFonts w:hint="eastAsia" w:ascii="宋体" w:hAnsi="宋体" w:eastAsia="宋体" w:cs="宋体"/>
          <w:bCs/>
          <w:sz w:val="24"/>
          <w:szCs w:val="24"/>
          <w:lang w:eastAsia="zh-CN"/>
        </w:rPr>
        <w:t>公告期限：2019年4月8日至2019年4月15日（不含节假日）</w:t>
      </w:r>
    </w:p>
    <w:p>
      <w:pPr>
        <w:spacing w:line="440" w:lineRule="exact"/>
        <w:ind w:firstLine="241" w:firstLineChars="100"/>
        <w:jc w:val="both"/>
        <w:rPr>
          <w:rFonts w:ascii="宋体" w:hAnsi="Times New Roman" w:eastAsia="宋体" w:cs="宋体"/>
          <w:b/>
          <w:kern w:val="2"/>
          <w:sz w:val="24"/>
          <w:szCs w:val="24"/>
          <w:lang w:eastAsia="zh-CN"/>
        </w:rPr>
      </w:pPr>
      <w:r>
        <w:rPr>
          <w:rFonts w:hint="eastAsia" w:ascii="宋体" w:hAnsi="宋体" w:eastAsia="宋体" w:cs="宋体"/>
          <w:b/>
          <w:kern w:val="2"/>
          <w:sz w:val="24"/>
          <w:szCs w:val="24"/>
          <w:lang w:eastAsia="zh-CN"/>
        </w:rPr>
        <w:t>9、响应文件递交截止时间及磋商时间：</w:t>
      </w:r>
    </w:p>
    <w:p>
      <w:pPr>
        <w:spacing w:beforeLines="50" w:line="440" w:lineRule="exact"/>
        <w:ind w:firstLine="480" w:firstLineChars="200"/>
        <w:jc w:val="both"/>
        <w:rPr>
          <w:rFonts w:ascii="宋体" w:hAnsi="宋体" w:eastAsia="宋体" w:cs="Times New Roman"/>
          <w:kern w:val="2"/>
          <w:sz w:val="24"/>
          <w:szCs w:val="24"/>
          <w:lang w:eastAsia="zh-CN"/>
        </w:rPr>
      </w:pPr>
      <w:r>
        <w:rPr>
          <w:rFonts w:hint="eastAsia" w:ascii="宋体" w:hAnsi="宋体" w:eastAsia="宋体" w:cs="宋体"/>
          <w:sz w:val="24"/>
          <w:szCs w:val="24"/>
          <w:lang w:eastAsia="zh-CN"/>
        </w:rPr>
        <w:t>9</w:t>
      </w:r>
      <w:r>
        <w:rPr>
          <w:rFonts w:ascii="宋体" w:hAnsi="宋体" w:eastAsia="宋体" w:cs="宋体"/>
          <w:sz w:val="24"/>
          <w:szCs w:val="24"/>
          <w:lang w:eastAsia="zh-CN"/>
        </w:rPr>
        <w:t>.1</w:t>
      </w:r>
      <w:r>
        <w:rPr>
          <w:rFonts w:hint="eastAsia" w:ascii="宋体" w:hAnsi="宋体" w:eastAsia="宋体" w:cs="宋体"/>
          <w:sz w:val="24"/>
          <w:szCs w:val="24"/>
          <w:lang w:eastAsia="zh-CN"/>
        </w:rPr>
        <w:t>响应文件递交截止时间及磋商时间：</w:t>
      </w:r>
      <w:r>
        <w:rPr>
          <w:rFonts w:hint="eastAsia" w:ascii="宋体" w:hAnsi="宋体" w:eastAsia="宋体" w:cs="Times New Roman"/>
          <w:kern w:val="2"/>
          <w:sz w:val="24"/>
          <w:szCs w:val="24"/>
          <w:lang w:eastAsia="zh-CN"/>
        </w:rPr>
        <w:t xml:space="preserve"> 2019年4月23日上午9:00（北京时间）</w:t>
      </w:r>
    </w:p>
    <w:p>
      <w:pPr>
        <w:widowControl/>
        <w:spacing w:line="440" w:lineRule="exact"/>
        <w:ind w:firstLine="480" w:firstLineChars="200"/>
        <w:rPr>
          <w:rFonts w:ascii="宋体" w:hAnsi="Times New Roman" w:eastAsia="宋体" w:cs="宋体"/>
          <w:sz w:val="24"/>
          <w:szCs w:val="24"/>
          <w:lang w:eastAsia="zh-CN"/>
        </w:rPr>
      </w:pPr>
      <w:r>
        <w:rPr>
          <w:rFonts w:hint="eastAsia" w:ascii="宋体" w:hAnsi="宋体" w:eastAsia="宋体" w:cs="宋体"/>
          <w:sz w:val="24"/>
          <w:szCs w:val="24"/>
          <w:lang w:eastAsia="zh-CN"/>
        </w:rPr>
        <w:t>响应文件递交地点及磋商地点：</w:t>
      </w:r>
      <w:r>
        <w:rPr>
          <w:rFonts w:hint="eastAsia" w:ascii="宋体" w:hAnsi="宋体" w:eastAsia="宋体" w:cs="Times New Roman"/>
          <w:kern w:val="2"/>
          <w:sz w:val="21"/>
          <w:szCs w:val="24"/>
          <w:lang w:eastAsia="zh-CN"/>
        </w:rPr>
        <w:t>山东大学第二医院办公楼五楼会议室（地址：济南市天桥区北园大街247号）（如有更换临时通知）</w:t>
      </w:r>
    </w:p>
    <w:p>
      <w:pPr>
        <w:widowControl/>
        <w:spacing w:line="440" w:lineRule="exact"/>
        <w:rPr>
          <w:rFonts w:ascii="宋体" w:hAnsi="Times New Roman" w:eastAsia="宋体" w:cs="宋体"/>
          <w:sz w:val="24"/>
          <w:szCs w:val="24"/>
          <w:lang w:eastAsia="zh-CN"/>
        </w:rPr>
      </w:pPr>
      <w:r>
        <w:rPr>
          <w:rFonts w:hint="eastAsia" w:ascii="宋体" w:hAnsi="宋体" w:eastAsia="宋体" w:cs="宋体"/>
          <w:sz w:val="24"/>
          <w:szCs w:val="24"/>
          <w:lang w:eastAsia="zh-CN"/>
        </w:rPr>
        <w:t>9</w:t>
      </w:r>
      <w:r>
        <w:rPr>
          <w:rFonts w:ascii="宋体" w:hAnsi="宋体" w:eastAsia="宋体" w:cs="宋体"/>
          <w:sz w:val="24"/>
          <w:szCs w:val="24"/>
          <w:lang w:eastAsia="zh-CN"/>
        </w:rPr>
        <w:t>.2</w:t>
      </w:r>
      <w:r>
        <w:rPr>
          <w:rFonts w:hint="eastAsia" w:ascii="宋体" w:hAnsi="宋体" w:eastAsia="宋体" w:cs="宋体"/>
          <w:sz w:val="24"/>
          <w:szCs w:val="24"/>
          <w:lang w:eastAsia="zh-CN"/>
        </w:rPr>
        <w:t>逾期送达的或者未送达指定地点的响应文件，采购人不予受理。</w:t>
      </w:r>
    </w:p>
    <w:p>
      <w:pPr>
        <w:widowControl/>
        <w:spacing w:line="440" w:lineRule="exact"/>
        <w:rPr>
          <w:rFonts w:ascii="宋体" w:hAnsi="Times New Roman" w:eastAsia="宋体" w:cs="宋体"/>
          <w:sz w:val="18"/>
          <w:szCs w:val="18"/>
          <w:lang w:eastAsia="zh-CN"/>
        </w:rPr>
      </w:pPr>
      <w:r>
        <w:rPr>
          <w:rFonts w:hint="eastAsia" w:ascii="宋体" w:hAnsi="宋体" w:eastAsia="宋体" w:cs="宋体"/>
          <w:b/>
          <w:kern w:val="2"/>
          <w:sz w:val="24"/>
          <w:szCs w:val="24"/>
          <w:lang w:eastAsia="zh-CN"/>
        </w:rPr>
        <w:t>10、</w:t>
      </w:r>
      <w:r>
        <w:rPr>
          <w:rFonts w:hint="eastAsia" w:ascii="宋体" w:hAnsi="宋体" w:eastAsia="宋体" w:cs="宋体"/>
          <w:b/>
          <w:bCs/>
          <w:sz w:val="24"/>
          <w:szCs w:val="24"/>
          <w:lang w:eastAsia="zh-CN"/>
        </w:rPr>
        <w:t>发布公告的媒介</w:t>
      </w:r>
    </w:p>
    <w:p>
      <w:pPr>
        <w:widowControl/>
        <w:spacing w:line="480" w:lineRule="exact"/>
        <w:ind w:firstLine="410"/>
        <w:rPr>
          <w:rFonts w:ascii="宋体" w:hAnsi="Times New Roman" w:eastAsia="宋体" w:cs="宋体"/>
          <w:sz w:val="24"/>
          <w:szCs w:val="24"/>
          <w:lang w:eastAsia="zh-CN"/>
        </w:rPr>
      </w:pPr>
      <w:r>
        <w:rPr>
          <w:rFonts w:hint="eastAsia" w:ascii="宋体" w:hAnsi="宋体" w:eastAsia="宋体" w:cs="宋体"/>
          <w:sz w:val="24"/>
          <w:szCs w:val="24"/>
          <w:lang w:eastAsia="zh-CN"/>
        </w:rPr>
        <w:t>本次磋商公告在中国政府采购网、中国招标投标公共服务平台、山东大学第二医院网站同时发布。</w:t>
      </w:r>
    </w:p>
    <w:p>
      <w:pPr>
        <w:widowControl/>
        <w:spacing w:line="440" w:lineRule="exact"/>
        <w:rPr>
          <w:rFonts w:ascii="宋体" w:hAnsi="Times New Roman" w:eastAsia="宋体" w:cs="宋体"/>
          <w:sz w:val="18"/>
          <w:szCs w:val="18"/>
          <w:lang w:eastAsia="zh-CN"/>
        </w:rPr>
      </w:pPr>
      <w:r>
        <w:rPr>
          <w:rFonts w:ascii="宋体" w:hAnsi="宋体" w:eastAsia="宋体" w:cs="宋体"/>
          <w:b/>
          <w:bCs/>
          <w:sz w:val="24"/>
          <w:szCs w:val="24"/>
          <w:lang w:eastAsia="zh-CN"/>
        </w:rPr>
        <w:t>1</w:t>
      </w:r>
      <w:r>
        <w:rPr>
          <w:rFonts w:hint="eastAsia" w:ascii="宋体" w:hAnsi="宋体" w:eastAsia="宋体" w:cs="宋体"/>
          <w:b/>
          <w:bCs/>
          <w:sz w:val="24"/>
          <w:szCs w:val="24"/>
          <w:lang w:eastAsia="zh-CN"/>
        </w:rPr>
        <w:t>1、联系方式</w:t>
      </w:r>
    </w:p>
    <w:p>
      <w:pPr>
        <w:widowControl/>
        <w:spacing w:line="440" w:lineRule="exact"/>
        <w:rPr>
          <w:rFonts w:ascii="宋体" w:hAnsi="Times New Roman" w:eastAsia="宋体" w:cs="宋体"/>
          <w:sz w:val="24"/>
          <w:szCs w:val="24"/>
          <w:lang w:eastAsia="zh-CN"/>
        </w:rPr>
      </w:pPr>
      <w:r>
        <w:rPr>
          <w:rFonts w:hint="eastAsia" w:ascii="宋体" w:hAnsi="宋体" w:eastAsia="宋体" w:cs="宋体"/>
          <w:sz w:val="24"/>
          <w:szCs w:val="24"/>
          <w:lang w:eastAsia="zh-CN"/>
        </w:rPr>
        <w:t>采购人：山东大学第二医院</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代理机构：山东齐信招标有限公司</w:t>
      </w:r>
    </w:p>
    <w:p>
      <w:pPr>
        <w:widowControl/>
        <w:spacing w:line="440" w:lineRule="exact"/>
        <w:rPr>
          <w:rFonts w:ascii="宋体" w:hAnsi="Times New Roman" w:eastAsia="宋体" w:cs="宋体"/>
          <w:sz w:val="24"/>
          <w:szCs w:val="24"/>
          <w:lang w:eastAsia="zh-CN"/>
        </w:rPr>
      </w:pPr>
      <w:r>
        <w:rPr>
          <w:rFonts w:hint="eastAsia" w:ascii="宋体" w:hAnsi="宋体" w:eastAsia="宋体" w:cs="宋体"/>
          <w:sz w:val="24"/>
          <w:szCs w:val="24"/>
          <w:lang w:eastAsia="zh-CN"/>
        </w:rPr>
        <w:t>地址：济南市北园大街247号</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 xml:space="preserve">    地址：济南市市中区二环南路6636号中海广场603室</w:t>
      </w:r>
    </w:p>
    <w:p>
      <w:pPr>
        <w:widowControl/>
        <w:spacing w:line="440" w:lineRule="exact"/>
        <w:rPr>
          <w:rFonts w:ascii="宋体" w:hAnsi="Times New Roman" w:eastAsia="宋体" w:cs="宋体"/>
          <w:sz w:val="24"/>
          <w:szCs w:val="24"/>
          <w:lang w:eastAsia="zh-CN"/>
        </w:rPr>
      </w:pPr>
      <w:r>
        <w:rPr>
          <w:rFonts w:hint="eastAsia" w:ascii="宋体" w:hAnsi="宋体" w:eastAsia="宋体" w:cs="宋体"/>
          <w:sz w:val="24"/>
          <w:szCs w:val="24"/>
          <w:lang w:eastAsia="zh-CN"/>
        </w:rPr>
        <w:t>邮编：</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 xml:space="preserve">  邮编：</w:t>
      </w:r>
      <w:r>
        <w:rPr>
          <w:rFonts w:ascii="宋体" w:hAnsi="宋体" w:eastAsia="宋体" w:cs="宋体"/>
          <w:sz w:val="24"/>
          <w:szCs w:val="24"/>
          <w:lang w:eastAsia="zh-CN"/>
        </w:rPr>
        <w:t>2500</w:t>
      </w:r>
      <w:r>
        <w:rPr>
          <w:rFonts w:hint="eastAsia" w:ascii="宋体" w:hAnsi="宋体" w:eastAsia="宋体" w:cs="宋体"/>
          <w:sz w:val="24"/>
          <w:szCs w:val="24"/>
          <w:lang w:eastAsia="zh-CN"/>
        </w:rPr>
        <w:t>01</w:t>
      </w:r>
    </w:p>
    <w:p>
      <w:pPr>
        <w:widowControl/>
        <w:spacing w:line="440" w:lineRule="exact"/>
        <w:rPr>
          <w:rFonts w:ascii="宋体" w:hAnsi="Times New Roman" w:eastAsia="宋体" w:cs="宋体"/>
          <w:sz w:val="24"/>
          <w:szCs w:val="24"/>
          <w:lang w:eastAsia="zh-CN"/>
        </w:rPr>
      </w:pPr>
      <w:r>
        <w:rPr>
          <w:rFonts w:hint="eastAsia" w:ascii="宋体" w:hAnsi="宋体" w:eastAsia="宋体" w:cs="宋体"/>
          <w:sz w:val="24"/>
          <w:szCs w:val="24"/>
          <w:lang w:eastAsia="zh-CN"/>
        </w:rPr>
        <w:t>联系人：李工</w:t>
      </w:r>
      <w:r>
        <w:rPr>
          <w:rFonts w:ascii="宋体" w:hAnsi="宋体" w:eastAsia="宋体" w:cs="宋体"/>
          <w:sz w:val="24"/>
          <w:szCs w:val="24"/>
          <w:lang w:eastAsia="zh-CN"/>
        </w:rPr>
        <w:t xml:space="preserve"> </w:t>
      </w:r>
      <w:r>
        <w:rPr>
          <w:rFonts w:ascii="宋体" w:hAnsi="Times New Roman" w:eastAsia="宋体" w:cs="宋体"/>
          <w:sz w:val="24"/>
          <w:szCs w:val="24"/>
          <w:lang w:eastAsia="zh-CN"/>
        </w:rPr>
        <w:t>  </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 xml:space="preserve">  联系人：杨工</w:t>
      </w:r>
    </w:p>
    <w:p>
      <w:pPr>
        <w:widowControl/>
        <w:spacing w:line="440" w:lineRule="exact"/>
        <w:rPr>
          <w:rFonts w:ascii="宋体" w:hAnsi="Times New Roman" w:eastAsia="宋体" w:cs="宋体"/>
          <w:sz w:val="24"/>
          <w:szCs w:val="24"/>
          <w:lang w:eastAsia="zh-CN"/>
        </w:rPr>
      </w:pPr>
      <w:r>
        <w:rPr>
          <w:rFonts w:hint="eastAsia" w:ascii="宋体" w:hAnsi="宋体" w:eastAsia="宋体" w:cs="宋体"/>
          <w:sz w:val="24"/>
          <w:szCs w:val="24"/>
          <w:lang w:eastAsia="zh-CN"/>
        </w:rPr>
        <w:t>电话：</w:t>
      </w:r>
      <w:r>
        <w:rPr>
          <w:rFonts w:ascii="宋体" w:hAnsi="宋体" w:eastAsia="宋体" w:cs="宋体"/>
          <w:sz w:val="24"/>
          <w:szCs w:val="24"/>
          <w:lang w:eastAsia="zh-CN"/>
        </w:rPr>
        <w:t>0531-85875076</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 xml:space="preserve">   电话：</w:t>
      </w:r>
      <w:r>
        <w:rPr>
          <w:rFonts w:ascii="宋体" w:hAnsi="宋体" w:eastAsia="宋体" w:cs="宋体"/>
          <w:sz w:val="24"/>
          <w:szCs w:val="24"/>
          <w:lang w:eastAsia="zh-CN"/>
        </w:rPr>
        <w:t>0531-88259318</w:t>
      </w:r>
    </w:p>
    <w:p>
      <w:pPr>
        <w:widowControl/>
        <w:spacing w:line="440" w:lineRule="exact"/>
        <w:rPr>
          <w:rFonts w:ascii="Times New Roman" w:hAnsi="Times New Roman" w:eastAsia="宋体" w:cs="Times New Roman"/>
          <w:kern w:val="2"/>
          <w:sz w:val="21"/>
          <w:szCs w:val="24"/>
          <w:lang w:eastAsia="zh-CN"/>
        </w:rPr>
      </w:pPr>
      <w:r>
        <w:rPr>
          <w:rFonts w:hint="eastAsia" w:ascii="宋体" w:hAnsi="宋体" w:eastAsia="宋体" w:cs="宋体"/>
          <w:sz w:val="24"/>
          <w:szCs w:val="24"/>
          <w:lang w:eastAsia="zh-CN"/>
        </w:rPr>
        <w:t>电子邮件：</w:t>
      </w:r>
      <w:r>
        <w:rPr>
          <w:rFonts w:ascii="宋体" w:hAnsi="Times New Roman" w:eastAsia="宋体" w:cs="宋体"/>
          <w:sz w:val="24"/>
          <w:szCs w:val="24"/>
          <w:lang w:eastAsia="zh-CN"/>
        </w:rPr>
        <w:t>         </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 xml:space="preserve">   电子邮件：</w:t>
      </w:r>
      <w:r>
        <w:fldChar w:fldCharType="begin"/>
      </w:r>
      <w:r>
        <w:instrText xml:space="preserve"> HYPERLINK "mailto:lc83191789@126.com" </w:instrText>
      </w:r>
      <w:r>
        <w:fldChar w:fldCharType="separate"/>
      </w:r>
      <w:r>
        <w:rPr>
          <w:rFonts w:ascii="宋体" w:hAnsi="宋体" w:eastAsia="宋体" w:cs="宋体"/>
          <w:sz w:val="24"/>
          <w:szCs w:val="24"/>
          <w:lang w:eastAsia="zh-CN"/>
        </w:rPr>
        <w:t>qxjnfgs@163.com</w:t>
      </w:r>
      <w:r>
        <w:rPr>
          <w:rFonts w:ascii="宋体" w:hAnsi="宋体" w:eastAsia="宋体" w:cs="宋体"/>
          <w:sz w:val="24"/>
          <w:szCs w:val="24"/>
          <w:lang w:eastAsia="zh-CN"/>
        </w:rPr>
        <w:fldChar w:fldCharType="end"/>
      </w:r>
    </w:p>
    <w:p>
      <w:pPr>
        <w:jc w:val="right"/>
        <w:rPr>
          <w:lang w:eastAsia="zh-CN"/>
        </w:rPr>
        <w:sectPr>
          <w:pgSz w:w="11910" w:h="16840"/>
          <w:pgMar w:top="900" w:right="580" w:bottom="960" w:left="1020" w:header="0" w:footer="751" w:gutter="0"/>
          <w:cols w:space="720" w:num="1"/>
        </w:sectPr>
      </w:pPr>
    </w:p>
    <w:p>
      <w:pPr>
        <w:pStyle w:val="2"/>
        <w:spacing w:line="517" w:lineRule="exact"/>
        <w:ind w:left="3421" w:right="3418"/>
        <w:jc w:val="center"/>
        <w:rPr>
          <w:b w:val="0"/>
          <w:bCs w:val="0"/>
          <w:lang w:eastAsia="zh-CN"/>
        </w:rPr>
      </w:pPr>
      <w:bookmarkStart w:id="1" w:name="第二章_供应商须知"/>
      <w:bookmarkEnd w:id="1"/>
      <w:bookmarkStart w:id="2" w:name="_bookmark1"/>
      <w:bookmarkEnd w:id="2"/>
      <w:r>
        <w:rPr>
          <w:lang w:eastAsia="zh-CN"/>
        </w:rPr>
        <w:t>第二章</w:t>
      </w:r>
      <w:r>
        <w:rPr>
          <w:spacing w:val="-10"/>
          <w:lang w:eastAsia="zh-CN"/>
        </w:rPr>
        <w:t xml:space="preserve"> </w:t>
      </w:r>
      <w:r>
        <w:rPr>
          <w:lang w:eastAsia="zh-CN"/>
        </w:rPr>
        <w:t>供应商须知</w:t>
      </w:r>
    </w:p>
    <w:p>
      <w:pPr>
        <w:widowControl/>
        <w:spacing w:before="240" w:line="480" w:lineRule="exact"/>
        <w:jc w:val="center"/>
        <w:rPr>
          <w:rFonts w:ascii="Arial" w:hAnsi="Arial" w:eastAsia="黑体" w:cs="Times New Roman"/>
          <w:spacing w:val="6"/>
          <w:sz w:val="32"/>
          <w:szCs w:val="20"/>
          <w:lang w:eastAsia="zh-CN"/>
        </w:rPr>
      </w:pPr>
      <w:bookmarkStart w:id="3" w:name="_Toc243041162"/>
      <w:r>
        <w:rPr>
          <w:rFonts w:hint="eastAsia" w:ascii="Arial" w:hAnsi="Arial" w:eastAsia="黑体" w:cs="Times New Roman"/>
          <w:spacing w:val="6"/>
          <w:sz w:val="32"/>
          <w:szCs w:val="20"/>
          <w:lang w:eastAsia="zh-CN"/>
        </w:rPr>
        <w:t>供应商须知前附表</w:t>
      </w:r>
      <w:bookmarkEnd w:id="3"/>
    </w:p>
    <w:tbl>
      <w:tblPr>
        <w:tblStyle w:val="16"/>
        <w:tblW w:w="928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3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序号</w:t>
            </w:r>
          </w:p>
        </w:tc>
        <w:tc>
          <w:tcPr>
            <w:tcW w:w="8388" w:type="dxa"/>
            <w:vAlign w:val="center"/>
          </w:tcPr>
          <w:p>
            <w:pPr>
              <w:spacing w:line="440" w:lineRule="exact"/>
              <w:jc w:val="center"/>
              <w:rPr>
                <w:rFonts w:ascii="宋体" w:hAnsi="宋体" w:eastAsia="宋体" w:cs="Times New Roman"/>
                <w:spacing w:val="100"/>
                <w:kern w:val="2"/>
                <w:sz w:val="24"/>
                <w:szCs w:val="24"/>
                <w:lang w:eastAsia="zh-CN"/>
              </w:rPr>
            </w:pPr>
            <w:r>
              <w:rPr>
                <w:rFonts w:hint="eastAsia" w:ascii="宋体" w:hAnsi="宋体" w:eastAsia="宋体" w:cs="Times New Roman"/>
                <w:spacing w:val="100"/>
                <w:kern w:val="2"/>
                <w:sz w:val="24"/>
                <w:szCs w:val="24"/>
                <w:lang w:eastAsia="zh-CN"/>
              </w:rPr>
              <w:t>内容说明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93"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w:t>
            </w:r>
          </w:p>
        </w:tc>
        <w:tc>
          <w:tcPr>
            <w:tcW w:w="8388" w:type="dxa"/>
            <w:vAlign w:val="center"/>
          </w:tcPr>
          <w:p>
            <w:pPr>
              <w:widowControl/>
              <w:spacing w:beforeLines="50" w:line="440" w:lineRule="exact"/>
              <w:rPr>
                <w:rFonts w:ascii="宋体" w:hAnsi="宋体" w:eastAsia="宋体" w:cs="Times New Roman"/>
                <w:b/>
                <w:spacing w:val="6"/>
                <w:kern w:val="2"/>
                <w:sz w:val="24"/>
                <w:szCs w:val="24"/>
                <w:lang w:eastAsia="zh-CN"/>
              </w:rPr>
            </w:pPr>
            <w:r>
              <w:rPr>
                <w:rFonts w:hint="eastAsia" w:ascii="宋体" w:hAnsi="宋体" w:eastAsia="宋体" w:cs="Times New Roman"/>
                <w:b/>
                <w:spacing w:val="6"/>
                <w:kern w:val="2"/>
                <w:sz w:val="24"/>
                <w:szCs w:val="24"/>
                <w:lang w:eastAsia="zh-CN"/>
              </w:rPr>
              <w:t>综合说明</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采 购 人：</w:t>
            </w:r>
            <w:r>
              <w:rPr>
                <w:rFonts w:hint="eastAsia" w:ascii="宋体" w:hAnsi="宋体" w:eastAsia="宋体" w:cs="Times New Roman"/>
                <w:spacing w:val="6"/>
                <w:kern w:val="2"/>
                <w:sz w:val="24"/>
                <w:szCs w:val="24"/>
                <w:lang w:eastAsia="zh-CN"/>
              </w:rPr>
              <w:t>山东大学第二医院</w:t>
            </w:r>
          </w:p>
          <w:p>
            <w:pPr>
              <w:widowControl/>
              <w:spacing w:line="440" w:lineRule="exact"/>
              <w:rPr>
                <w:rFonts w:ascii="宋体" w:hAnsi="宋体" w:eastAsia="宋体" w:cs="宋体"/>
                <w:spacing w:val="6"/>
                <w:kern w:val="2"/>
                <w:sz w:val="24"/>
                <w:szCs w:val="24"/>
                <w:lang w:eastAsia="zh-CN"/>
              </w:rPr>
            </w:pPr>
            <w:r>
              <w:rPr>
                <w:rFonts w:hint="eastAsia" w:ascii="宋体" w:hAnsi="宋体" w:eastAsia="宋体" w:cs="Times New Roman"/>
                <w:b/>
                <w:spacing w:val="6"/>
                <w:kern w:val="2"/>
                <w:sz w:val="24"/>
                <w:szCs w:val="24"/>
                <w:lang w:eastAsia="zh-CN"/>
              </w:rPr>
              <w:t>地    址：</w:t>
            </w:r>
            <w:r>
              <w:rPr>
                <w:rFonts w:hint="eastAsia" w:ascii="宋体" w:hAnsi="宋体" w:eastAsia="宋体" w:cs="Times New Roman"/>
                <w:spacing w:val="6"/>
                <w:kern w:val="2"/>
                <w:sz w:val="24"/>
                <w:szCs w:val="24"/>
                <w:lang w:eastAsia="zh-CN"/>
              </w:rPr>
              <w:t>济南市北园大街247号</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采购项目：</w:t>
            </w:r>
            <w:r>
              <w:rPr>
                <w:rFonts w:hint="eastAsia" w:ascii="宋体" w:hAnsi="宋体" w:eastAsia="宋体" w:cs="Times New Roman"/>
                <w:spacing w:val="6"/>
                <w:kern w:val="2"/>
                <w:sz w:val="24"/>
                <w:szCs w:val="24"/>
                <w:lang w:eastAsia="zh-CN"/>
              </w:rPr>
              <w:t>山东大学第二医院楼体发光宣传字深化设计、报批、制作安装项目</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供货地点：</w:t>
            </w:r>
            <w:r>
              <w:rPr>
                <w:rFonts w:hint="eastAsia" w:ascii="宋体" w:hAnsi="宋体" w:eastAsia="宋体" w:cs="Times New Roman"/>
                <w:spacing w:val="6"/>
                <w:kern w:val="2"/>
                <w:sz w:val="24"/>
                <w:szCs w:val="24"/>
                <w:lang w:eastAsia="zh-CN"/>
              </w:rPr>
              <w:t>山东大学第二医院指定地点</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采购清单</w:t>
            </w:r>
            <w:r>
              <w:rPr>
                <w:rFonts w:hint="eastAsia" w:ascii="宋体" w:hAnsi="宋体" w:eastAsia="宋体" w:cs="Times New Roman"/>
                <w:spacing w:val="6"/>
                <w:kern w:val="2"/>
                <w:sz w:val="24"/>
                <w:szCs w:val="24"/>
                <w:lang w:eastAsia="zh-CN"/>
              </w:rPr>
              <w:t>：具体要求详见竞争性磋商文件第三部分采购要求</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质量标准：</w:t>
            </w:r>
            <w:r>
              <w:rPr>
                <w:rFonts w:hint="eastAsia" w:ascii="宋体" w:hAnsi="宋体" w:eastAsia="宋体" w:cs="Times New Roman"/>
                <w:spacing w:val="6"/>
                <w:kern w:val="2"/>
                <w:sz w:val="24"/>
                <w:szCs w:val="24"/>
                <w:lang w:eastAsia="zh-CN"/>
              </w:rPr>
              <w:t>符合国家相关质量标准</w:t>
            </w:r>
          </w:p>
          <w:p>
            <w:pPr>
              <w:widowControl/>
              <w:spacing w:line="440" w:lineRule="exact"/>
              <w:rPr>
                <w:rFonts w:ascii="宋体" w:hAnsi="宋体" w:eastAsia="宋体" w:cs="Times New Roman"/>
                <w:b/>
                <w:spacing w:val="6"/>
                <w:kern w:val="2"/>
                <w:sz w:val="24"/>
                <w:szCs w:val="24"/>
                <w:lang w:eastAsia="zh-CN"/>
              </w:rPr>
            </w:pPr>
            <w:r>
              <w:rPr>
                <w:rFonts w:hint="eastAsia" w:ascii="宋体" w:hAnsi="宋体" w:eastAsia="宋体" w:cs="Times New Roman"/>
                <w:b/>
                <w:spacing w:val="6"/>
                <w:kern w:val="2"/>
                <w:sz w:val="24"/>
                <w:szCs w:val="24"/>
                <w:lang w:eastAsia="zh-CN"/>
              </w:rPr>
              <w:t>工期时间：</w:t>
            </w:r>
            <w:r>
              <w:rPr>
                <w:rFonts w:hint="eastAsia" w:ascii="宋体" w:hAnsi="宋体" w:eastAsia="宋体" w:cs="Times New Roman"/>
                <w:spacing w:val="6"/>
                <w:kern w:val="2"/>
                <w:sz w:val="24"/>
                <w:szCs w:val="24"/>
                <w:lang w:eastAsia="zh-CN"/>
              </w:rPr>
              <w:t>30日历天</w:t>
            </w:r>
            <w:r>
              <w:rPr>
                <w:rFonts w:ascii="宋体" w:hAnsi="宋体" w:eastAsia="宋体" w:cs="Times New Roman"/>
                <w:spacing w:val="6"/>
                <w:kern w:val="2"/>
                <w:sz w:val="24"/>
                <w:szCs w:val="24"/>
                <w:lang w:eastAsia="zh-CN"/>
              </w:rPr>
              <w:t>（供应商可竞报）</w:t>
            </w:r>
          </w:p>
          <w:p>
            <w:pPr>
              <w:widowControl/>
              <w:spacing w:line="440" w:lineRule="exact"/>
              <w:rPr>
                <w:rFonts w:ascii="Times New Roman" w:hAnsi="Times New Roman" w:eastAsia="宋体" w:cs="Times New Roman"/>
                <w:spacing w:val="6"/>
                <w:kern w:val="2"/>
                <w:sz w:val="28"/>
                <w:szCs w:val="28"/>
                <w:lang w:eastAsia="zh-CN"/>
              </w:rPr>
            </w:pPr>
            <w:r>
              <w:rPr>
                <w:rFonts w:hint="eastAsia" w:ascii="宋体" w:hAnsi="宋体" w:eastAsia="宋体" w:cs="Times New Roman"/>
                <w:b/>
                <w:spacing w:val="6"/>
                <w:kern w:val="2"/>
                <w:sz w:val="24"/>
                <w:szCs w:val="24"/>
                <w:lang w:eastAsia="zh-CN"/>
              </w:rPr>
              <w:t>免费质保期:</w:t>
            </w:r>
            <w:r>
              <w:rPr>
                <w:rFonts w:hint="eastAsia" w:ascii="宋体" w:hAnsi="宋体" w:eastAsia="宋体" w:cs="Times New Roman"/>
                <w:spacing w:val="6"/>
                <w:kern w:val="2"/>
                <w:sz w:val="24"/>
                <w:szCs w:val="24"/>
                <w:lang w:eastAsia="zh-CN"/>
              </w:rPr>
              <w:t xml:space="preserve"> 项目验收合格之日起≥2年、防水等工程依据国家质保规定（投标单位可竞报）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w:t>
            </w:r>
          </w:p>
        </w:tc>
        <w:tc>
          <w:tcPr>
            <w:tcW w:w="8388" w:type="dxa"/>
            <w:vAlign w:val="center"/>
          </w:tcPr>
          <w:p>
            <w:pPr>
              <w:spacing w:beforeLines="50" w:line="440" w:lineRule="exact"/>
              <w:jc w:val="both"/>
              <w:rPr>
                <w:rFonts w:ascii="宋体" w:hAnsi="宋体" w:eastAsia="宋体" w:cs="宋体"/>
                <w:kern w:val="2"/>
                <w:sz w:val="24"/>
                <w:szCs w:val="24"/>
                <w:lang w:eastAsia="zh-CN"/>
              </w:rPr>
            </w:pPr>
            <w:r>
              <w:rPr>
                <w:rFonts w:hint="eastAsia" w:ascii="宋体" w:hAnsi="宋体" w:eastAsia="宋体" w:cs="Times New Roman"/>
                <w:b/>
                <w:spacing w:val="6"/>
                <w:kern w:val="2"/>
                <w:sz w:val="24"/>
                <w:szCs w:val="24"/>
                <w:lang w:eastAsia="zh-CN"/>
              </w:rPr>
              <w:t>合同名称：</w:t>
            </w:r>
            <w:r>
              <w:rPr>
                <w:rFonts w:hint="eastAsia" w:ascii="宋体" w:hAnsi="宋体" w:eastAsia="宋体" w:cs="宋体"/>
                <w:kern w:val="2"/>
                <w:sz w:val="24"/>
                <w:szCs w:val="24"/>
                <w:lang w:eastAsia="zh-CN"/>
              </w:rPr>
              <w:t>山东大学第二医院楼体发光宣传字深化设计、报批、制作安装项目合同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w:t>
            </w:r>
          </w:p>
        </w:tc>
        <w:tc>
          <w:tcPr>
            <w:tcW w:w="8388" w:type="dxa"/>
            <w:vAlign w:val="center"/>
          </w:tcPr>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b/>
                <w:spacing w:val="6"/>
                <w:kern w:val="2"/>
                <w:sz w:val="24"/>
                <w:szCs w:val="24"/>
                <w:lang w:eastAsia="zh-CN"/>
              </w:rPr>
              <w:t>资金来源</w:t>
            </w:r>
            <w:r>
              <w:rPr>
                <w:rFonts w:hint="eastAsia" w:ascii="宋体" w:hAnsi="宋体" w:eastAsia="宋体" w:cs="Times New Roman"/>
                <w:kern w:val="2"/>
                <w:sz w:val="24"/>
                <w:szCs w:val="24"/>
                <w:lang w:eastAsia="zh-CN"/>
              </w:rPr>
              <w:t>：自筹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4</w:t>
            </w:r>
          </w:p>
        </w:tc>
        <w:tc>
          <w:tcPr>
            <w:tcW w:w="8388" w:type="dxa"/>
            <w:vAlign w:val="center"/>
          </w:tcPr>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b/>
                <w:spacing w:val="6"/>
                <w:kern w:val="2"/>
                <w:sz w:val="24"/>
                <w:szCs w:val="24"/>
                <w:lang w:eastAsia="zh-CN"/>
              </w:rPr>
              <w:t>报价有效期：</w:t>
            </w:r>
            <w:r>
              <w:rPr>
                <w:rFonts w:hint="eastAsia" w:ascii="宋体" w:hAnsi="宋体" w:eastAsia="宋体" w:cs="Times New Roman"/>
                <w:kern w:val="2"/>
                <w:sz w:val="24"/>
                <w:szCs w:val="24"/>
                <w:lang w:eastAsia="zh-CN"/>
              </w:rPr>
              <w:t xml:space="preserve"> 90日历日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42"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5</w:t>
            </w:r>
          </w:p>
        </w:tc>
        <w:tc>
          <w:tcPr>
            <w:tcW w:w="8388" w:type="dxa"/>
            <w:vAlign w:val="center"/>
          </w:tcPr>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b/>
                <w:spacing w:val="6"/>
                <w:kern w:val="2"/>
                <w:sz w:val="24"/>
                <w:szCs w:val="24"/>
                <w:lang w:eastAsia="zh-CN"/>
              </w:rPr>
              <w:t>采购方式：</w:t>
            </w:r>
            <w:r>
              <w:rPr>
                <w:rFonts w:hint="eastAsia" w:ascii="宋体" w:hAnsi="宋体" w:eastAsia="宋体" w:cs="Times New Roman"/>
                <w:kern w:val="2"/>
                <w:sz w:val="24"/>
                <w:szCs w:val="24"/>
                <w:lang w:eastAsia="zh-CN"/>
              </w:rPr>
              <w:t>竞争性磋商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6</w:t>
            </w:r>
          </w:p>
        </w:tc>
        <w:tc>
          <w:tcPr>
            <w:tcW w:w="8388" w:type="dxa"/>
            <w:vAlign w:val="center"/>
          </w:tcPr>
          <w:p>
            <w:pPr>
              <w:widowControl/>
              <w:spacing w:line="440" w:lineRule="exact"/>
              <w:rPr>
                <w:rFonts w:ascii="宋体" w:hAnsi="宋体" w:eastAsia="宋体" w:cs="Times New Roman"/>
                <w:b/>
                <w:spacing w:val="6"/>
                <w:kern w:val="2"/>
                <w:sz w:val="24"/>
                <w:szCs w:val="24"/>
                <w:lang w:eastAsia="zh-CN"/>
              </w:rPr>
            </w:pPr>
            <w:r>
              <w:rPr>
                <w:rFonts w:hint="eastAsia" w:ascii="宋体" w:hAnsi="宋体" w:eastAsia="宋体" w:cs="Times New Roman"/>
                <w:b/>
                <w:spacing w:val="6"/>
                <w:kern w:val="2"/>
                <w:sz w:val="24"/>
                <w:szCs w:val="24"/>
                <w:lang w:eastAsia="zh-CN"/>
              </w:rPr>
              <w:t>磋商答疑：</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提交质疑文件时间</w:t>
            </w:r>
            <w:r>
              <w:rPr>
                <w:rFonts w:hint="eastAsia" w:ascii="宋体" w:hAnsi="宋体" w:eastAsia="宋体" w:cs="Times New Roman"/>
                <w:spacing w:val="6"/>
                <w:kern w:val="2"/>
                <w:sz w:val="24"/>
                <w:szCs w:val="24"/>
                <w:lang w:eastAsia="zh-CN"/>
              </w:rPr>
              <w:t>：2019年4月16日11：00时前</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领取答疑文件时间</w:t>
            </w:r>
            <w:r>
              <w:rPr>
                <w:rFonts w:hint="eastAsia" w:ascii="宋体" w:hAnsi="宋体" w:eastAsia="宋体" w:cs="Times New Roman"/>
                <w:spacing w:val="6"/>
                <w:kern w:val="2"/>
                <w:sz w:val="24"/>
                <w:szCs w:val="24"/>
                <w:lang w:eastAsia="zh-CN"/>
              </w:rPr>
              <w:t>：2019年4月17日下午16：30时</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提交（领取）质疑文件地点：</w:t>
            </w:r>
            <w:r>
              <w:rPr>
                <w:rFonts w:hint="eastAsia" w:ascii="宋体" w:hAnsi="宋体" w:eastAsia="宋体" w:cs="Times New Roman"/>
                <w:spacing w:val="6"/>
                <w:kern w:val="2"/>
                <w:sz w:val="24"/>
                <w:szCs w:val="24"/>
                <w:lang w:eastAsia="zh-CN"/>
              </w:rPr>
              <w:t>山东齐信招标有限公司（济南市市中区二环南路6636号中海广场6楼603室）</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spacing w:val="6"/>
                <w:kern w:val="2"/>
                <w:sz w:val="24"/>
                <w:szCs w:val="24"/>
                <w:lang w:eastAsia="zh-CN"/>
              </w:rPr>
              <w:t>若有问题需要澄清，应于磋商答疑时间前以书面形式向招标代理和采购人提出，并将需要澄清的问题以Word版的文本，给山东齐信招标有限公司发电子邮件（qxjnfgs@163.com ），并电话通知。采购人将以磋商答疑文件的方式予以解答，书面答复由供应商按上述时间地点前去领取。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7</w:t>
            </w:r>
          </w:p>
        </w:tc>
        <w:tc>
          <w:tcPr>
            <w:tcW w:w="8388" w:type="dxa"/>
            <w:vAlign w:val="center"/>
          </w:tcPr>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b/>
                <w:spacing w:val="6"/>
                <w:kern w:val="2"/>
                <w:sz w:val="24"/>
                <w:szCs w:val="24"/>
                <w:lang w:eastAsia="zh-CN"/>
              </w:rPr>
              <w:t>响应文件份数：</w:t>
            </w:r>
            <w:r>
              <w:rPr>
                <w:rFonts w:hint="eastAsia" w:ascii="宋体" w:hAnsi="宋体" w:eastAsia="宋体" w:cs="Times New Roman"/>
                <w:kern w:val="2"/>
                <w:sz w:val="24"/>
                <w:szCs w:val="24"/>
                <w:lang w:eastAsia="zh-CN"/>
              </w:rPr>
              <w:t xml:space="preserve"> 1、正本一份，副本二份（单独装袋密封）</w:t>
            </w:r>
          </w:p>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2、唱标单2份（单独装袋密封）</w:t>
            </w:r>
          </w:p>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3、电子文档一份，采用PDF格式，内容与响应文件正本一致。（光盘，单独装袋密封）</w:t>
            </w:r>
          </w:p>
          <w:p>
            <w:pPr>
              <w:spacing w:beforeLines="50" w:line="440" w:lineRule="exact"/>
              <w:jc w:val="both"/>
              <w:rPr>
                <w:rFonts w:ascii="宋体" w:hAnsi="宋体" w:eastAsia="宋体" w:cs="Times New Roman"/>
                <w:b/>
                <w:kern w:val="2"/>
                <w:sz w:val="24"/>
                <w:szCs w:val="24"/>
                <w:lang w:eastAsia="zh-CN"/>
              </w:rPr>
            </w:pPr>
            <w:r>
              <w:rPr>
                <w:rFonts w:hint="eastAsia" w:ascii="宋体" w:hAnsi="宋体" w:eastAsia="宋体" w:cs="Times New Roman"/>
                <w:b/>
                <w:kern w:val="2"/>
                <w:sz w:val="24"/>
                <w:szCs w:val="24"/>
                <w:lang w:eastAsia="zh-CN"/>
              </w:rPr>
              <w:t>装订方式：每册采用胶装方式装订，装订应牢固、不易拆散和换页，不得采用活页装订；每册厚度不得超过4.5cm,如超过需分册装订。</w:t>
            </w:r>
          </w:p>
          <w:p>
            <w:pPr>
              <w:spacing w:beforeLines="50" w:line="440" w:lineRule="exact"/>
              <w:jc w:val="both"/>
              <w:rPr>
                <w:rFonts w:ascii="宋体" w:hAnsi="宋体" w:eastAsia="宋体" w:cs="Times New Roman"/>
                <w:b/>
                <w:kern w:val="2"/>
                <w:sz w:val="24"/>
                <w:szCs w:val="24"/>
                <w:lang w:eastAsia="zh-CN"/>
              </w:rPr>
            </w:pPr>
            <w:r>
              <w:rPr>
                <w:rFonts w:hint="eastAsia" w:ascii="宋体" w:hAnsi="宋体" w:eastAsia="宋体" w:cs="Times New Roman"/>
                <w:b/>
                <w:kern w:val="2"/>
                <w:sz w:val="24"/>
                <w:szCs w:val="24"/>
                <w:lang w:eastAsia="zh-CN"/>
              </w:rPr>
              <w:t>封套上写明</w:t>
            </w:r>
            <w:r>
              <w:rPr>
                <w:rFonts w:hint="eastAsia" w:ascii="宋体" w:hAnsi="宋体" w:eastAsia="宋体" w:cs="Times New Roman"/>
                <w:b/>
                <w:kern w:val="2"/>
                <w:sz w:val="24"/>
                <w:szCs w:val="24"/>
                <w:lang w:eastAsia="zh-CN"/>
              </w:rPr>
              <w:tab/>
            </w:r>
            <w:r>
              <w:rPr>
                <w:rFonts w:hint="eastAsia" w:ascii="宋体" w:hAnsi="宋体" w:eastAsia="宋体" w:cs="Times New Roman"/>
                <w:b/>
                <w:kern w:val="2"/>
                <w:sz w:val="24"/>
                <w:szCs w:val="24"/>
                <w:lang w:eastAsia="zh-CN"/>
              </w:rPr>
              <w:t>采购人地址：</w:t>
            </w:r>
          </w:p>
          <w:p>
            <w:pPr>
              <w:spacing w:beforeLines="50" w:line="440" w:lineRule="exact"/>
              <w:jc w:val="both"/>
              <w:rPr>
                <w:rFonts w:ascii="宋体" w:hAnsi="宋体" w:eastAsia="宋体" w:cs="Times New Roman"/>
                <w:b/>
                <w:kern w:val="2"/>
                <w:sz w:val="24"/>
                <w:szCs w:val="24"/>
                <w:lang w:eastAsia="zh-CN"/>
              </w:rPr>
            </w:pPr>
            <w:r>
              <w:rPr>
                <w:rFonts w:hint="eastAsia" w:ascii="宋体" w:hAnsi="宋体" w:eastAsia="宋体" w:cs="Times New Roman"/>
                <w:b/>
                <w:kern w:val="2"/>
                <w:sz w:val="24"/>
                <w:szCs w:val="24"/>
                <w:lang w:eastAsia="zh-CN"/>
              </w:rPr>
              <w:t>采购人名称：</w:t>
            </w:r>
          </w:p>
          <w:p>
            <w:pPr>
              <w:spacing w:beforeLines="50" w:line="440" w:lineRule="exact"/>
              <w:jc w:val="both"/>
              <w:rPr>
                <w:rFonts w:ascii="宋体" w:hAnsi="宋体" w:eastAsia="宋体" w:cs="Times New Roman"/>
                <w:b/>
                <w:kern w:val="2"/>
                <w:sz w:val="24"/>
                <w:szCs w:val="24"/>
                <w:lang w:eastAsia="zh-CN"/>
              </w:rPr>
            </w:pPr>
            <w:r>
              <w:rPr>
                <w:rFonts w:hint="eastAsia" w:ascii="宋体" w:hAnsi="宋体" w:eastAsia="宋体" w:cs="Times New Roman"/>
                <w:b/>
                <w:kern w:val="2"/>
                <w:sz w:val="24"/>
                <w:szCs w:val="24"/>
                <w:lang w:eastAsia="zh-CN"/>
              </w:rPr>
              <w:t>（项目名称）响应文件在    年    月    日    时    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8</w:t>
            </w:r>
          </w:p>
        </w:tc>
        <w:tc>
          <w:tcPr>
            <w:tcW w:w="8388" w:type="dxa"/>
            <w:vAlign w:val="center"/>
          </w:tcPr>
          <w:p>
            <w:pPr>
              <w:spacing w:beforeLines="50" w:line="440" w:lineRule="exact"/>
              <w:jc w:val="both"/>
              <w:rPr>
                <w:rFonts w:ascii="宋体" w:hAnsi="宋体" w:eastAsia="宋体" w:cs="Times New Roman"/>
                <w:b/>
                <w:kern w:val="2"/>
                <w:sz w:val="24"/>
                <w:szCs w:val="24"/>
                <w:lang w:eastAsia="zh-CN"/>
              </w:rPr>
            </w:pPr>
            <w:r>
              <w:rPr>
                <w:rFonts w:hint="eastAsia" w:ascii="宋体" w:hAnsi="宋体" w:eastAsia="宋体" w:cs="Times New Roman"/>
                <w:b/>
                <w:kern w:val="2"/>
                <w:sz w:val="24"/>
                <w:szCs w:val="24"/>
                <w:lang w:eastAsia="zh-CN"/>
              </w:rPr>
              <w:t>磋商保证金：</w:t>
            </w:r>
            <w:r>
              <w:rPr>
                <w:rFonts w:hint="eastAsia" w:ascii="宋体" w:hAnsi="宋体" w:eastAsia="宋体" w:cs="Times New Roman"/>
                <w:b/>
                <w:kern w:val="2"/>
                <w:sz w:val="24"/>
                <w:szCs w:val="24"/>
                <w:u w:val="single"/>
                <w:lang w:eastAsia="zh-CN"/>
              </w:rPr>
              <w:t xml:space="preserve"> 1.5万</w:t>
            </w:r>
            <w:r>
              <w:rPr>
                <w:rFonts w:hint="eastAsia" w:ascii="宋体" w:hAnsi="宋体" w:eastAsia="宋体" w:cs="Times New Roman"/>
                <w:b/>
                <w:kern w:val="2"/>
                <w:sz w:val="24"/>
                <w:szCs w:val="24"/>
                <w:lang w:eastAsia="zh-CN"/>
              </w:rPr>
              <w:t>元整；</w:t>
            </w:r>
          </w:p>
          <w:p>
            <w:pPr>
              <w:spacing w:beforeLines="50" w:line="440" w:lineRule="exact"/>
              <w:jc w:val="both"/>
              <w:rPr>
                <w:rFonts w:ascii="宋体" w:hAnsi="宋体" w:eastAsia="宋体" w:cs="Times New Roman"/>
                <w:b/>
                <w:kern w:val="2"/>
                <w:sz w:val="24"/>
                <w:szCs w:val="24"/>
                <w:lang w:eastAsia="zh-CN"/>
              </w:rPr>
            </w:pPr>
            <w:r>
              <w:rPr>
                <w:rFonts w:hint="eastAsia" w:ascii="宋体" w:hAnsi="宋体" w:eastAsia="宋体" w:cs="Times New Roman"/>
                <w:b/>
                <w:kern w:val="2"/>
                <w:sz w:val="24"/>
                <w:szCs w:val="24"/>
                <w:lang w:eastAsia="zh-CN"/>
              </w:rPr>
              <w:t>磋商保证金形式：电汇或网银</w:t>
            </w:r>
          </w:p>
          <w:p>
            <w:p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在2019年4月22日16：00前汇至以下账户，以到账时间为准。同时将开户许可证及投标保证金电汇凭证扫描版发送邮件至qxjnfgs@163.com，同时电话通知采购代理机构负责人。</w:t>
            </w:r>
          </w:p>
          <w:p>
            <w:p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开户单位名称：山东齐信招标有限公司</w:t>
            </w:r>
          </w:p>
          <w:p>
            <w:p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账号： 244202099787</w:t>
            </w:r>
          </w:p>
          <w:p>
            <w:p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开户银行：中国银行淄博分行</w:t>
            </w:r>
          </w:p>
          <w:p>
            <w:p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注：1、不允许供应商自行到银行直接将现金存到指定帐户，请在汇款单或网银汇款用途中写明：项目名称。</w:t>
            </w:r>
          </w:p>
          <w:p>
            <w:p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2、供应商磋商保证金在办理报批手续完毕后五日内退回，如成交人不能在指定期限内完成报批手续取消其成交资格，磋商保证金不予退还。成交资格顺延至第二成交候选人。以此类推。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9</w:t>
            </w:r>
          </w:p>
        </w:tc>
        <w:tc>
          <w:tcPr>
            <w:tcW w:w="8388" w:type="dxa"/>
            <w:vAlign w:val="center"/>
          </w:tcPr>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b/>
                <w:spacing w:val="6"/>
                <w:kern w:val="2"/>
                <w:sz w:val="24"/>
                <w:szCs w:val="24"/>
                <w:lang w:eastAsia="zh-CN"/>
              </w:rPr>
              <w:t>响应文件送达截止时间：</w:t>
            </w:r>
            <w:r>
              <w:rPr>
                <w:rFonts w:hint="eastAsia" w:ascii="宋体" w:hAnsi="宋体" w:eastAsia="宋体" w:cs="Times New Roman"/>
                <w:kern w:val="2"/>
                <w:sz w:val="24"/>
                <w:szCs w:val="24"/>
                <w:lang w:eastAsia="zh-CN"/>
              </w:rPr>
              <w:t>2019年4月23日上午9:00（逾期送达概不接受）</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响应文件递交至：</w:t>
            </w:r>
            <w:r>
              <w:rPr>
                <w:rFonts w:hint="eastAsia" w:ascii="宋体" w:hAnsi="宋体" w:eastAsia="宋体" w:cs="Times New Roman"/>
                <w:spacing w:val="6"/>
                <w:kern w:val="2"/>
                <w:sz w:val="24"/>
                <w:szCs w:val="24"/>
                <w:lang w:eastAsia="zh-CN"/>
              </w:rPr>
              <w:t>山东大学第二医院办公楼五楼会议室（地址：济南市天桥区北园大街247号）（如有更换临时通知）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10</w:t>
            </w:r>
          </w:p>
        </w:tc>
        <w:tc>
          <w:tcPr>
            <w:tcW w:w="8388" w:type="dxa"/>
            <w:vAlign w:val="center"/>
          </w:tcPr>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b/>
                <w:spacing w:val="6"/>
                <w:kern w:val="2"/>
                <w:sz w:val="24"/>
                <w:szCs w:val="24"/>
                <w:lang w:eastAsia="zh-CN"/>
              </w:rPr>
              <w:t>磋商时间</w:t>
            </w:r>
            <w:r>
              <w:rPr>
                <w:rFonts w:hint="eastAsia" w:ascii="宋体" w:hAnsi="宋体" w:eastAsia="宋体" w:cs="Times New Roman"/>
                <w:kern w:val="2"/>
                <w:sz w:val="24"/>
                <w:szCs w:val="24"/>
                <w:lang w:eastAsia="zh-CN"/>
              </w:rPr>
              <w:t>：2019年4月23日上午9:00（北京时间）</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磋商地点：</w:t>
            </w:r>
            <w:r>
              <w:rPr>
                <w:rFonts w:hint="eastAsia" w:ascii="宋体" w:hAnsi="宋体" w:eastAsia="宋体" w:cs="Times New Roman"/>
                <w:spacing w:val="6"/>
                <w:kern w:val="2"/>
                <w:sz w:val="24"/>
                <w:szCs w:val="24"/>
                <w:lang w:eastAsia="zh-CN"/>
              </w:rPr>
              <w:t>山东大学第二医院办公楼五楼会议室（地址：济南市天桥区北园大街247号）（如有更换临时通知）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11</w:t>
            </w:r>
          </w:p>
        </w:tc>
        <w:tc>
          <w:tcPr>
            <w:tcW w:w="8388" w:type="dxa"/>
            <w:vAlign w:val="center"/>
          </w:tcPr>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b/>
                <w:spacing w:val="6"/>
                <w:kern w:val="2"/>
                <w:sz w:val="24"/>
                <w:szCs w:val="24"/>
                <w:lang w:eastAsia="zh-CN"/>
              </w:rPr>
              <w:t>磋商办法：</w:t>
            </w:r>
            <w:r>
              <w:rPr>
                <w:rFonts w:hint="eastAsia" w:ascii="宋体" w:hAnsi="宋体" w:eastAsia="宋体" w:cs="Times New Roman"/>
                <w:kern w:val="2"/>
                <w:sz w:val="24"/>
                <w:szCs w:val="24"/>
                <w:lang w:eastAsia="zh-CN"/>
              </w:rPr>
              <w:t>综合评分法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12</w:t>
            </w:r>
          </w:p>
        </w:tc>
        <w:tc>
          <w:tcPr>
            <w:tcW w:w="8388" w:type="dxa"/>
            <w:vAlign w:val="center"/>
          </w:tcPr>
          <w:p>
            <w:pPr>
              <w:spacing w:beforeLines="50" w:line="440" w:lineRule="exact"/>
              <w:jc w:val="both"/>
              <w:rPr>
                <w:rFonts w:ascii="宋体" w:hAnsi="宋体" w:eastAsia="宋体" w:cs="Times New Roman"/>
                <w:b/>
                <w:spacing w:val="6"/>
                <w:kern w:val="2"/>
                <w:sz w:val="24"/>
                <w:szCs w:val="24"/>
                <w:lang w:eastAsia="zh-CN"/>
              </w:rPr>
            </w:pPr>
            <w:r>
              <w:rPr>
                <w:rFonts w:hint="eastAsia" w:ascii="宋体" w:hAnsi="宋体" w:eastAsia="宋体" w:cs="Times New Roman"/>
                <w:b/>
                <w:spacing w:val="6"/>
                <w:kern w:val="2"/>
                <w:sz w:val="24"/>
                <w:szCs w:val="24"/>
                <w:lang w:eastAsia="zh-CN"/>
              </w:rPr>
              <w:t>自行踏勘现场</w:t>
            </w:r>
            <w:r>
              <w:rPr>
                <w:rFonts w:ascii="宋体" w:hAnsi="宋体" w:eastAsia="宋体" w:cs="Times New Roman"/>
                <w:b/>
                <w:spacing w:val="6"/>
                <w:kern w:val="2"/>
                <w:sz w:val="24"/>
                <w:szCs w:val="24"/>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99" w:type="dxa"/>
          </w:tcPr>
          <w:p>
            <w:pPr>
              <w:spacing w:line="440" w:lineRule="exact"/>
              <w:jc w:val="center"/>
              <w:rPr>
                <w:lang w:eastAsia="zh-CN"/>
              </w:rPr>
            </w:pPr>
            <w:r>
              <w:rPr>
                <w:rFonts w:hint="eastAsia" w:ascii="宋体" w:hAnsi="宋体" w:eastAsia="宋体" w:cs="Times New Roman"/>
                <w:kern w:val="2"/>
                <w:sz w:val="24"/>
                <w:szCs w:val="24"/>
                <w:lang w:eastAsia="zh-CN"/>
              </w:rPr>
              <w:t>13</w:t>
            </w:r>
          </w:p>
        </w:tc>
        <w:tc>
          <w:tcPr>
            <w:tcW w:w="8388" w:type="dxa"/>
          </w:tcPr>
          <w:p>
            <w:pPr>
              <w:rPr>
                <w:lang w:eastAsia="zh-CN"/>
              </w:rPr>
            </w:pPr>
            <w:r>
              <w:rPr>
                <w:rFonts w:hint="eastAsia" w:ascii="宋体" w:hAnsi="宋体" w:eastAsia="宋体" w:cs="Times New Roman"/>
                <w:b/>
                <w:spacing w:val="6"/>
                <w:kern w:val="2"/>
                <w:sz w:val="24"/>
                <w:szCs w:val="24"/>
                <w:lang w:eastAsia="zh-CN"/>
              </w:rPr>
              <w:t>付款方式：</w:t>
            </w:r>
            <w:r>
              <w:rPr>
                <w:rFonts w:hint="eastAsia"/>
                <w:lang w:eastAsia="zh-CN"/>
              </w:rPr>
              <w:t>工程验收合格签字，通过院方工程审计后三个月内一次性支付审计结算工程款的90%，余款作为质量保证金（5%档案保证金，5%质量保证金），质保期满无质量问题无息付清余款。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14</w:t>
            </w:r>
          </w:p>
        </w:tc>
        <w:tc>
          <w:tcPr>
            <w:tcW w:w="8388" w:type="dxa"/>
            <w:vAlign w:val="center"/>
          </w:tcPr>
          <w:p>
            <w:pPr>
              <w:spacing w:beforeLines="50" w:line="440" w:lineRule="exact"/>
              <w:jc w:val="both"/>
              <w:rPr>
                <w:rFonts w:ascii="宋体" w:hAnsi="宋体" w:eastAsia="宋体" w:cs="Times New Roman"/>
                <w:b/>
                <w:spacing w:val="6"/>
                <w:kern w:val="2"/>
                <w:sz w:val="24"/>
                <w:szCs w:val="24"/>
                <w:lang w:eastAsia="zh-CN"/>
              </w:rPr>
            </w:pPr>
            <w:r>
              <w:rPr>
                <w:rFonts w:hint="eastAsia" w:ascii="宋体" w:hAnsi="宋体" w:eastAsia="宋体" w:cs="Times New Roman"/>
                <w:kern w:val="2"/>
                <w:sz w:val="24"/>
                <w:szCs w:val="24"/>
                <w:lang w:eastAsia="zh-CN"/>
              </w:rPr>
              <w:t>预算金额/最高限价：76万元人民币</w:t>
            </w:r>
            <w:r>
              <w:rPr>
                <w:rFonts w:hint="eastAsia" w:ascii="宋体" w:hAnsi="宋体" w:eastAsia="宋体" w:cs="Times New Roman"/>
                <w:b/>
                <w:kern w:val="2"/>
                <w:sz w:val="24"/>
                <w:szCs w:val="24"/>
                <w:lang w:eastAsia="zh-CN"/>
              </w:rPr>
              <w:t>。供应商的磋商报价不得高于预算金额/最高限价，供应商磋商报价高于预算金额/最高限价的，作废标处理。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15</w:t>
            </w:r>
          </w:p>
        </w:tc>
        <w:tc>
          <w:tcPr>
            <w:tcW w:w="8388" w:type="dxa"/>
            <w:vAlign w:val="center"/>
          </w:tcPr>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1、信用信息查询渠道：信用中国、信用山东、中国政府采购网;</w:t>
            </w:r>
          </w:p>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2、信用信息查询截止时间：报价截止时间及响应文件开启时间前1天;</w:t>
            </w:r>
          </w:p>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3、信用信息查询记录和证据保留方式：截屏等可实现留痕的方式；</w:t>
            </w:r>
          </w:p>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4、信用信息查询由采购人或采购代理查询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99" w:type="dxa"/>
            <w:vAlign w:val="center"/>
          </w:tcPr>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16</w:t>
            </w:r>
          </w:p>
        </w:tc>
        <w:tc>
          <w:tcPr>
            <w:tcW w:w="8388" w:type="dxa"/>
            <w:vAlign w:val="center"/>
          </w:tcPr>
          <w:p>
            <w:pPr>
              <w:spacing w:beforeLines="50" w:line="440" w:lineRule="exact"/>
              <w:jc w:val="both"/>
              <w:rPr>
                <w:rFonts w:ascii="宋体" w:hAnsi="宋体" w:eastAsia="宋体" w:cs="Times New Roman"/>
                <w:kern w:val="2"/>
                <w:sz w:val="24"/>
                <w:szCs w:val="24"/>
                <w:lang w:eastAsia="zh-CN"/>
              </w:rPr>
            </w:pPr>
            <w:r>
              <w:rPr>
                <w:rFonts w:hint="eastAsia" w:ascii="宋体" w:hAnsi="宋体" w:eastAsia="宋体" w:cs="Times New Roman"/>
                <w:b/>
                <w:spacing w:val="6"/>
                <w:kern w:val="2"/>
                <w:sz w:val="24"/>
                <w:szCs w:val="24"/>
                <w:lang w:eastAsia="zh-CN"/>
              </w:rPr>
              <w:t>采购人：</w:t>
            </w:r>
            <w:r>
              <w:rPr>
                <w:rFonts w:hint="eastAsia" w:ascii="宋体" w:hAnsi="宋体" w:eastAsia="宋体" w:cs="Times New Roman"/>
                <w:kern w:val="2"/>
                <w:sz w:val="24"/>
                <w:szCs w:val="24"/>
                <w:lang w:eastAsia="zh-CN"/>
              </w:rPr>
              <w:t>山东大学第二医院</w:t>
            </w:r>
          </w:p>
          <w:p>
            <w:pPr>
              <w:widowControl/>
              <w:spacing w:line="440" w:lineRule="exact"/>
              <w:rPr>
                <w:rFonts w:ascii="宋体" w:hAnsi="宋体" w:eastAsia="宋体" w:cs="宋体"/>
                <w:spacing w:val="6"/>
                <w:kern w:val="2"/>
                <w:sz w:val="24"/>
                <w:szCs w:val="24"/>
                <w:lang w:eastAsia="zh-CN"/>
              </w:rPr>
            </w:pPr>
            <w:r>
              <w:rPr>
                <w:rFonts w:hint="eastAsia" w:ascii="宋体" w:hAnsi="宋体" w:eastAsia="宋体" w:cs="Times New Roman"/>
                <w:b/>
                <w:spacing w:val="6"/>
                <w:kern w:val="2"/>
                <w:sz w:val="24"/>
                <w:szCs w:val="24"/>
                <w:lang w:eastAsia="zh-CN"/>
              </w:rPr>
              <w:t>地  址：</w:t>
            </w:r>
            <w:r>
              <w:rPr>
                <w:rFonts w:hint="eastAsia" w:ascii="宋体" w:hAnsi="宋体" w:eastAsia="宋体" w:cs="宋体"/>
                <w:spacing w:val="6"/>
                <w:kern w:val="2"/>
                <w:sz w:val="24"/>
                <w:szCs w:val="24"/>
                <w:lang w:eastAsia="zh-CN"/>
              </w:rPr>
              <w:t>济南市北园大街247号</w:t>
            </w:r>
          </w:p>
          <w:p>
            <w:pPr>
              <w:widowControl/>
              <w:spacing w:line="440" w:lineRule="exact"/>
              <w:rPr>
                <w:rFonts w:ascii="宋体" w:hAnsi="Times New Roman" w:eastAsia="宋体" w:cs="宋体"/>
                <w:sz w:val="24"/>
                <w:szCs w:val="24"/>
                <w:lang w:eastAsia="zh-CN"/>
              </w:rPr>
            </w:pPr>
            <w:r>
              <w:rPr>
                <w:rFonts w:hint="eastAsia" w:ascii="宋体" w:hAnsi="宋体" w:eastAsia="宋体" w:cs="Times New Roman"/>
                <w:b/>
                <w:kern w:val="2"/>
                <w:sz w:val="21"/>
                <w:szCs w:val="24"/>
                <w:lang w:eastAsia="zh-CN"/>
              </w:rPr>
              <w:t>联系人：</w:t>
            </w:r>
            <w:r>
              <w:rPr>
                <w:rFonts w:hint="eastAsia" w:ascii="宋体" w:hAnsi="宋体" w:eastAsia="宋体" w:cs="宋体"/>
                <w:sz w:val="24"/>
                <w:szCs w:val="24"/>
                <w:lang w:eastAsia="zh-CN"/>
              </w:rPr>
              <w:t>联系人：李工</w:t>
            </w:r>
            <w:r>
              <w:rPr>
                <w:rFonts w:ascii="宋体" w:hAnsi="宋体" w:eastAsia="宋体" w:cs="宋体"/>
                <w:sz w:val="24"/>
                <w:szCs w:val="24"/>
                <w:lang w:eastAsia="zh-CN"/>
              </w:rPr>
              <w:t xml:space="preserve"> </w:t>
            </w:r>
            <w:r>
              <w:rPr>
                <w:rFonts w:ascii="宋体" w:hAnsi="Times New Roman" w:eastAsia="宋体" w:cs="宋体"/>
                <w:sz w:val="24"/>
                <w:szCs w:val="24"/>
                <w:lang w:eastAsia="zh-CN"/>
              </w:rPr>
              <w:t> </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宋体"/>
                <w:spacing w:val="6"/>
                <w:sz w:val="24"/>
                <w:szCs w:val="24"/>
                <w:lang w:eastAsia="zh-CN"/>
              </w:rPr>
              <w:t>电话：</w:t>
            </w:r>
            <w:r>
              <w:rPr>
                <w:rFonts w:ascii="宋体" w:hAnsi="宋体" w:eastAsia="宋体" w:cs="宋体"/>
                <w:spacing w:val="6"/>
                <w:sz w:val="24"/>
                <w:szCs w:val="24"/>
                <w:lang w:eastAsia="zh-CN"/>
              </w:rPr>
              <w:t>0531-85875076</w:t>
            </w:r>
            <w:r>
              <w:rPr>
                <w:rFonts w:ascii="宋体" w:hAnsi="宋体" w:eastAsia="宋体" w:cs="宋体"/>
                <w:spacing w:val="6"/>
                <w:kern w:val="2"/>
                <w:sz w:val="24"/>
                <w:szCs w:val="24"/>
                <w:lang w:eastAsia="zh-CN"/>
              </w:rPr>
              <w:t> </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采购代理单位：</w:t>
            </w:r>
            <w:r>
              <w:rPr>
                <w:rFonts w:hint="eastAsia" w:ascii="宋体" w:hAnsi="宋体" w:eastAsia="宋体" w:cs="Times New Roman"/>
                <w:spacing w:val="6"/>
                <w:kern w:val="2"/>
                <w:sz w:val="24"/>
                <w:szCs w:val="24"/>
                <w:lang w:eastAsia="zh-CN"/>
              </w:rPr>
              <w:t>山东齐信招标有限公司</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地  址：</w:t>
            </w:r>
            <w:r>
              <w:rPr>
                <w:rFonts w:hint="eastAsia" w:ascii="宋体" w:hAnsi="宋体" w:eastAsia="宋体" w:cs="Times New Roman"/>
                <w:spacing w:val="6"/>
                <w:kern w:val="2"/>
                <w:sz w:val="24"/>
                <w:szCs w:val="24"/>
                <w:lang w:eastAsia="zh-CN"/>
              </w:rPr>
              <w:t>济南市市中区二环南路6636号中海广场6楼603室</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联系人：</w:t>
            </w:r>
            <w:r>
              <w:rPr>
                <w:rFonts w:hint="eastAsia" w:ascii="宋体" w:hAnsi="宋体" w:eastAsia="宋体" w:cs="Times New Roman"/>
                <w:spacing w:val="6"/>
                <w:kern w:val="2"/>
                <w:sz w:val="24"/>
                <w:szCs w:val="24"/>
                <w:lang w:eastAsia="zh-CN"/>
              </w:rPr>
              <w:t>杨工</w:t>
            </w:r>
          </w:p>
          <w:p>
            <w:pPr>
              <w:widowControl/>
              <w:spacing w:line="440" w:lineRule="exact"/>
              <w:rPr>
                <w:rFonts w:ascii="宋体" w:hAnsi="宋体" w:eastAsia="宋体" w:cs="Times New Roman"/>
                <w:spacing w:val="6"/>
                <w:kern w:val="2"/>
                <w:sz w:val="24"/>
                <w:szCs w:val="24"/>
                <w:lang w:eastAsia="zh-CN"/>
              </w:rPr>
            </w:pPr>
            <w:r>
              <w:rPr>
                <w:rFonts w:hint="eastAsia" w:ascii="宋体" w:hAnsi="宋体" w:eastAsia="宋体" w:cs="Times New Roman"/>
                <w:b/>
                <w:spacing w:val="6"/>
                <w:kern w:val="2"/>
                <w:sz w:val="24"/>
                <w:szCs w:val="24"/>
                <w:lang w:eastAsia="zh-CN"/>
              </w:rPr>
              <w:t>电  话：</w:t>
            </w:r>
            <w:r>
              <w:rPr>
                <w:rFonts w:hint="eastAsia" w:ascii="宋体" w:hAnsi="宋体" w:eastAsia="宋体" w:cs="Times New Roman"/>
                <w:spacing w:val="6"/>
                <w:kern w:val="2"/>
                <w:sz w:val="24"/>
                <w:szCs w:val="24"/>
                <w:lang w:eastAsia="zh-CN"/>
              </w:rPr>
              <w:t xml:space="preserve">0531-88259318 </w:t>
            </w:r>
          </w:p>
        </w:tc>
      </w:tr>
    </w:tbl>
    <w:p>
      <w:pPr>
        <w:spacing w:line="480" w:lineRule="exact"/>
        <w:ind w:left="84" w:hanging="84" w:hangingChars="35"/>
        <w:outlineLvl w:val="0"/>
        <w:rPr>
          <w:rFonts w:ascii="宋体" w:hAnsi="宋体" w:eastAsia="宋体" w:cs="Times New Roman"/>
          <w:kern w:val="2"/>
          <w:sz w:val="24"/>
          <w:szCs w:val="24"/>
          <w:lang w:eastAsia="zh-CN"/>
        </w:rPr>
        <w:sectPr>
          <w:pgSz w:w="11910" w:h="16840"/>
          <w:pgMar w:top="1160" w:right="500" w:bottom="960" w:left="780" w:header="0" w:footer="751" w:gutter="0"/>
          <w:cols w:space="720" w:num="1"/>
        </w:sectPr>
      </w:pPr>
    </w:p>
    <w:p>
      <w:pPr>
        <w:spacing w:before="8"/>
        <w:rPr>
          <w:rFonts w:ascii="Times New Roman" w:hAnsi="Times New Roman" w:cs="Times New Roman"/>
          <w:sz w:val="47"/>
          <w:szCs w:val="47"/>
          <w:lang w:eastAsia="zh-CN"/>
        </w:rPr>
      </w:pPr>
    </w:p>
    <w:p>
      <w:pPr>
        <w:ind w:left="112"/>
        <w:rPr>
          <w:rFonts w:ascii="宋体" w:hAnsi="宋体" w:eastAsia="宋体" w:cs="宋体"/>
          <w:sz w:val="32"/>
          <w:szCs w:val="32"/>
        </w:rPr>
      </w:pPr>
      <w:bookmarkStart w:id="4" w:name="1._总则"/>
      <w:bookmarkEnd w:id="4"/>
      <w:r>
        <w:rPr>
          <w:rFonts w:ascii="宋体" w:hAnsi="宋体" w:eastAsia="宋体" w:cs="宋体"/>
          <w:b/>
          <w:bCs/>
          <w:sz w:val="32"/>
          <w:szCs w:val="32"/>
        </w:rPr>
        <w:t>1.</w:t>
      </w:r>
      <w:r>
        <w:rPr>
          <w:rFonts w:ascii="宋体" w:hAnsi="宋体" w:eastAsia="宋体" w:cs="宋体"/>
          <w:b/>
          <w:bCs/>
          <w:spacing w:val="-4"/>
          <w:sz w:val="32"/>
          <w:szCs w:val="32"/>
        </w:rPr>
        <w:t xml:space="preserve"> </w:t>
      </w:r>
      <w:r>
        <w:rPr>
          <w:rFonts w:ascii="宋体" w:hAnsi="宋体" w:eastAsia="宋体" w:cs="宋体"/>
          <w:b/>
          <w:bCs/>
          <w:sz w:val="32"/>
          <w:szCs w:val="32"/>
        </w:rPr>
        <w:t>总则</w:t>
      </w:r>
    </w:p>
    <w:p>
      <w:pPr>
        <w:pStyle w:val="8"/>
        <w:spacing w:before="104"/>
        <w:ind w:left="530"/>
        <w:rPr>
          <w:b w:val="0"/>
          <w:bCs w:val="0"/>
        </w:rPr>
      </w:pPr>
      <w:bookmarkStart w:id="5" w:name="1.1_项目概况"/>
      <w:bookmarkEnd w:id="5"/>
      <w:r>
        <w:t>1.1</w:t>
      </w:r>
      <w:r>
        <w:rPr>
          <w:spacing w:val="-4"/>
        </w:rPr>
        <w:t xml:space="preserve"> </w:t>
      </w:r>
      <w:r>
        <w:t>项目概况</w:t>
      </w:r>
    </w:p>
    <w:p>
      <w:pPr>
        <w:spacing w:line="445" w:lineRule="exact"/>
        <w:rPr>
          <w:rFonts w:ascii="宋体" w:hAnsi="宋体" w:eastAsia="宋体" w:cs="宋体"/>
          <w:sz w:val="36"/>
          <w:szCs w:val="36"/>
        </w:rPr>
      </w:pPr>
      <w:r>
        <w:br w:type="column"/>
      </w:r>
      <w:r>
        <w:rPr>
          <w:rFonts w:ascii="宋体" w:hAnsi="宋体" w:eastAsia="宋体" w:cs="宋体"/>
          <w:b/>
          <w:bCs/>
          <w:sz w:val="36"/>
          <w:szCs w:val="36"/>
        </w:rPr>
        <w:t>供应商须知正文部分</w:t>
      </w:r>
    </w:p>
    <w:p>
      <w:pPr>
        <w:spacing w:line="445" w:lineRule="exact"/>
        <w:rPr>
          <w:rFonts w:ascii="宋体" w:hAnsi="宋体" w:eastAsia="宋体" w:cs="宋体"/>
          <w:sz w:val="36"/>
          <w:szCs w:val="36"/>
        </w:rPr>
        <w:sectPr>
          <w:pgSz w:w="11910" w:h="16840"/>
          <w:pgMar w:top="880" w:right="620" w:bottom="940" w:left="1020" w:header="0" w:footer="751" w:gutter="0"/>
          <w:cols w:equalWidth="0" w:num="2">
            <w:col w:w="1976" w:space="1360"/>
            <w:col w:w="6934"/>
          </w:cols>
        </w:sectPr>
      </w:pPr>
    </w:p>
    <w:p>
      <w:pPr>
        <w:pStyle w:val="10"/>
        <w:spacing w:before="115" w:line="328" w:lineRule="auto"/>
        <w:ind w:left="167" w:right="86" w:firstLine="362"/>
        <w:rPr>
          <w:lang w:eastAsia="zh-CN"/>
        </w:rPr>
      </w:pPr>
      <w:r>
        <w:rPr>
          <w:lang w:eastAsia="zh-CN"/>
        </w:rPr>
        <w:t>1.1.1</w:t>
      </w:r>
      <w:r>
        <w:rPr>
          <w:spacing w:val="-34"/>
          <w:lang w:eastAsia="zh-CN"/>
        </w:rPr>
        <w:t xml:space="preserve"> </w:t>
      </w:r>
      <w:r>
        <w:rPr>
          <w:spacing w:val="-5"/>
          <w:lang w:eastAsia="zh-CN"/>
        </w:rPr>
        <w:t>根据《中华人民共和国政府采购法》等有关法律、法规规定，本项目已具备采购条件，</w:t>
      </w:r>
      <w:r>
        <w:rPr>
          <w:lang w:eastAsia="zh-CN"/>
        </w:rPr>
        <w:t xml:space="preserve"> 现采用竞争性磋商方式对该项目进行采购；</w:t>
      </w:r>
    </w:p>
    <w:p>
      <w:pPr>
        <w:pStyle w:val="10"/>
        <w:spacing w:before="29"/>
        <w:ind w:left="530" w:right="86"/>
        <w:rPr>
          <w:lang w:eastAsia="zh-CN"/>
        </w:rPr>
      </w:pPr>
      <w:r>
        <w:rPr>
          <w:lang w:eastAsia="zh-CN"/>
        </w:rPr>
        <w:t>1.1.2 本项目采购人：见供应商须知前附表；</w:t>
      </w:r>
    </w:p>
    <w:p>
      <w:pPr>
        <w:pStyle w:val="10"/>
        <w:spacing w:before="115"/>
        <w:ind w:left="530" w:right="86"/>
        <w:rPr>
          <w:lang w:eastAsia="zh-CN"/>
        </w:rPr>
      </w:pPr>
      <w:r>
        <w:rPr>
          <w:lang w:eastAsia="zh-CN"/>
        </w:rPr>
        <w:t>1.1.3 本项目采购代理机构：见供应商须知前附表；</w:t>
      </w:r>
    </w:p>
    <w:p>
      <w:pPr>
        <w:pStyle w:val="10"/>
        <w:spacing w:before="115"/>
        <w:ind w:left="530" w:right="86"/>
        <w:rPr>
          <w:lang w:eastAsia="zh-CN"/>
        </w:rPr>
      </w:pPr>
      <w:r>
        <w:rPr>
          <w:lang w:eastAsia="zh-CN"/>
        </w:rPr>
        <w:t>1.1.4 本项目名称、项目编号：见供应商须知前附表；</w:t>
      </w:r>
    </w:p>
    <w:p>
      <w:pPr>
        <w:pStyle w:val="10"/>
        <w:spacing w:before="115"/>
        <w:ind w:left="530" w:right="86"/>
        <w:rPr>
          <w:lang w:eastAsia="zh-CN"/>
        </w:rPr>
      </w:pPr>
      <w:r>
        <w:rPr>
          <w:lang w:eastAsia="zh-CN"/>
        </w:rPr>
        <w:t>1.1.5 本项目采购内容：见供应商须知前附表。</w:t>
      </w:r>
    </w:p>
    <w:p>
      <w:pPr>
        <w:pStyle w:val="8"/>
        <w:ind w:left="530" w:right="86"/>
        <w:rPr>
          <w:b w:val="0"/>
          <w:bCs w:val="0"/>
          <w:lang w:eastAsia="zh-CN"/>
        </w:rPr>
      </w:pPr>
      <w:bookmarkStart w:id="6" w:name="1.2采购方式、采购预算"/>
      <w:bookmarkEnd w:id="6"/>
      <w:r>
        <w:rPr>
          <w:lang w:eastAsia="zh-CN"/>
        </w:rPr>
        <w:t>1.2</w:t>
      </w:r>
      <w:r>
        <w:rPr>
          <w:spacing w:val="-65"/>
          <w:lang w:eastAsia="zh-CN"/>
        </w:rPr>
        <w:t xml:space="preserve"> </w:t>
      </w:r>
      <w:r>
        <w:rPr>
          <w:lang w:eastAsia="zh-CN"/>
        </w:rPr>
        <w:t>采购方式、采购预算</w:t>
      </w:r>
    </w:p>
    <w:p>
      <w:pPr>
        <w:pStyle w:val="10"/>
        <w:spacing w:before="115"/>
        <w:ind w:left="530" w:right="86"/>
        <w:rPr>
          <w:lang w:eastAsia="zh-CN"/>
        </w:rPr>
      </w:pPr>
      <w:r>
        <w:rPr>
          <w:lang w:eastAsia="zh-CN"/>
        </w:rPr>
        <w:t>1.2.1</w:t>
      </w:r>
      <w:r>
        <w:rPr>
          <w:spacing w:val="-60"/>
          <w:lang w:eastAsia="zh-CN"/>
        </w:rPr>
        <w:t xml:space="preserve"> </w:t>
      </w:r>
      <w:r>
        <w:rPr>
          <w:lang w:eastAsia="zh-CN"/>
        </w:rPr>
        <w:t>本项目采购方式见供应商须知前附表；</w:t>
      </w:r>
    </w:p>
    <w:p>
      <w:pPr>
        <w:pStyle w:val="10"/>
        <w:spacing w:before="118"/>
        <w:ind w:left="530" w:right="86"/>
        <w:rPr>
          <w:lang w:eastAsia="zh-CN"/>
        </w:rPr>
      </w:pPr>
      <w:r>
        <w:rPr>
          <w:lang w:eastAsia="zh-CN"/>
        </w:rPr>
        <w:t>1.2.2</w:t>
      </w:r>
      <w:r>
        <w:rPr>
          <w:spacing w:val="-60"/>
          <w:lang w:eastAsia="zh-CN"/>
        </w:rPr>
        <w:t xml:space="preserve"> </w:t>
      </w:r>
      <w:r>
        <w:rPr>
          <w:lang w:eastAsia="zh-CN"/>
        </w:rPr>
        <w:t>本项目采购预算见供应商须知前附表。</w:t>
      </w:r>
    </w:p>
    <w:p>
      <w:pPr>
        <w:pStyle w:val="8"/>
        <w:ind w:left="530" w:right="86"/>
        <w:rPr>
          <w:b w:val="0"/>
          <w:bCs w:val="0"/>
          <w:lang w:eastAsia="zh-CN"/>
        </w:rPr>
      </w:pPr>
      <w:r>
        <w:rPr>
          <w:lang w:eastAsia="zh-CN"/>
        </w:rPr>
        <w:t>1.3</w:t>
      </w:r>
      <w:r>
        <w:rPr>
          <w:spacing w:val="-66"/>
          <w:lang w:eastAsia="zh-CN"/>
        </w:rPr>
        <w:t xml:space="preserve"> </w:t>
      </w:r>
      <w:r>
        <w:rPr>
          <w:lang w:eastAsia="zh-CN"/>
        </w:rPr>
        <w:t>供货期、质保期、质量要求</w:t>
      </w:r>
    </w:p>
    <w:p>
      <w:pPr>
        <w:pStyle w:val="10"/>
        <w:spacing w:before="115"/>
        <w:ind w:left="530" w:right="86"/>
        <w:rPr>
          <w:lang w:eastAsia="zh-CN"/>
        </w:rPr>
      </w:pPr>
      <w:r>
        <w:rPr>
          <w:lang w:eastAsia="zh-CN"/>
        </w:rPr>
        <w:t>1.3.1</w:t>
      </w:r>
      <w:r>
        <w:rPr>
          <w:spacing w:val="-60"/>
          <w:lang w:eastAsia="zh-CN"/>
        </w:rPr>
        <w:t xml:space="preserve"> </w:t>
      </w:r>
      <w:r>
        <w:rPr>
          <w:lang w:eastAsia="zh-CN"/>
        </w:rPr>
        <w:t>本项目供货期见供应商须知前附表；</w:t>
      </w:r>
    </w:p>
    <w:p>
      <w:pPr>
        <w:pStyle w:val="10"/>
        <w:spacing w:before="115"/>
        <w:ind w:left="530" w:right="86"/>
        <w:rPr>
          <w:lang w:eastAsia="zh-CN"/>
        </w:rPr>
      </w:pPr>
      <w:r>
        <w:rPr>
          <w:lang w:eastAsia="zh-CN"/>
        </w:rPr>
        <w:t>1.3.2</w:t>
      </w:r>
      <w:r>
        <w:rPr>
          <w:spacing w:val="-60"/>
          <w:lang w:eastAsia="zh-CN"/>
        </w:rPr>
        <w:t xml:space="preserve"> </w:t>
      </w:r>
      <w:r>
        <w:rPr>
          <w:lang w:eastAsia="zh-CN"/>
        </w:rPr>
        <w:t>本项目质保期见供应商须知前附表；</w:t>
      </w:r>
    </w:p>
    <w:p>
      <w:pPr>
        <w:pStyle w:val="10"/>
        <w:spacing w:before="115"/>
        <w:ind w:left="530" w:right="86"/>
        <w:rPr>
          <w:lang w:eastAsia="zh-CN"/>
        </w:rPr>
      </w:pPr>
      <w:r>
        <w:rPr>
          <w:lang w:eastAsia="zh-CN"/>
        </w:rPr>
        <w:t>1.3.3</w:t>
      </w:r>
      <w:r>
        <w:rPr>
          <w:spacing w:val="-60"/>
          <w:lang w:eastAsia="zh-CN"/>
        </w:rPr>
        <w:t xml:space="preserve"> </w:t>
      </w:r>
      <w:r>
        <w:rPr>
          <w:lang w:eastAsia="zh-CN"/>
        </w:rPr>
        <w:t>本项目质量要求见供应商须知前附表。</w:t>
      </w:r>
    </w:p>
    <w:p>
      <w:pPr>
        <w:pStyle w:val="8"/>
        <w:ind w:left="530" w:right="86"/>
        <w:rPr>
          <w:b w:val="0"/>
          <w:bCs w:val="0"/>
          <w:lang w:eastAsia="zh-CN"/>
        </w:rPr>
      </w:pPr>
      <w:bookmarkStart w:id="7" w:name="1.4供应商资格要求"/>
      <w:bookmarkEnd w:id="7"/>
      <w:r>
        <w:rPr>
          <w:lang w:eastAsia="zh-CN"/>
        </w:rPr>
        <w:t>1.4</w:t>
      </w:r>
      <w:r>
        <w:rPr>
          <w:spacing w:val="-65"/>
          <w:lang w:eastAsia="zh-CN"/>
        </w:rPr>
        <w:t xml:space="preserve"> </w:t>
      </w:r>
      <w:r>
        <w:rPr>
          <w:lang w:eastAsia="zh-CN"/>
        </w:rPr>
        <w:t>供应商资格要求</w:t>
      </w:r>
    </w:p>
    <w:p>
      <w:pPr>
        <w:pStyle w:val="10"/>
        <w:spacing w:before="118"/>
        <w:ind w:left="530" w:right="86"/>
        <w:rPr>
          <w:lang w:eastAsia="zh-CN"/>
        </w:rPr>
      </w:pPr>
      <w:r>
        <w:rPr>
          <w:lang w:eastAsia="zh-CN"/>
        </w:rPr>
        <w:t>1.4.1</w:t>
      </w:r>
      <w:r>
        <w:rPr>
          <w:spacing w:val="-60"/>
          <w:lang w:eastAsia="zh-CN"/>
        </w:rPr>
        <w:t xml:space="preserve"> </w:t>
      </w:r>
      <w:r>
        <w:rPr>
          <w:lang w:eastAsia="zh-CN"/>
        </w:rPr>
        <w:t>具体详见供应商须知前附表。</w:t>
      </w:r>
    </w:p>
    <w:p>
      <w:pPr>
        <w:pStyle w:val="8"/>
        <w:ind w:left="530" w:right="86"/>
        <w:rPr>
          <w:b w:val="0"/>
          <w:bCs w:val="0"/>
          <w:lang w:eastAsia="zh-CN"/>
        </w:rPr>
      </w:pPr>
      <w:bookmarkStart w:id="8" w:name="1.5_费用承担"/>
      <w:bookmarkEnd w:id="8"/>
      <w:r>
        <w:rPr>
          <w:lang w:eastAsia="zh-CN"/>
        </w:rPr>
        <w:t>1.5</w:t>
      </w:r>
      <w:r>
        <w:rPr>
          <w:spacing w:val="-4"/>
          <w:lang w:eastAsia="zh-CN"/>
        </w:rPr>
        <w:t xml:space="preserve"> </w:t>
      </w:r>
      <w:r>
        <w:rPr>
          <w:lang w:eastAsia="zh-CN"/>
        </w:rPr>
        <w:t>费用承担</w:t>
      </w:r>
    </w:p>
    <w:p>
      <w:pPr>
        <w:pStyle w:val="10"/>
        <w:spacing w:before="115"/>
        <w:ind w:left="530" w:right="86"/>
        <w:rPr>
          <w:lang w:eastAsia="zh-CN"/>
        </w:rPr>
      </w:pPr>
      <w:r>
        <w:rPr>
          <w:lang w:eastAsia="zh-CN"/>
        </w:rPr>
        <w:t>1.5.1</w:t>
      </w:r>
      <w:r>
        <w:rPr>
          <w:spacing w:val="-60"/>
          <w:lang w:eastAsia="zh-CN"/>
        </w:rPr>
        <w:t xml:space="preserve"> </w:t>
      </w:r>
      <w:r>
        <w:rPr>
          <w:lang w:eastAsia="zh-CN"/>
        </w:rPr>
        <w:t>供应商准备和参加磋商活动发生的费用自理。</w:t>
      </w:r>
    </w:p>
    <w:p>
      <w:pPr>
        <w:pStyle w:val="10"/>
        <w:spacing w:before="115" w:line="328" w:lineRule="auto"/>
        <w:ind w:left="167" w:right="86" w:firstLine="362"/>
        <w:rPr>
          <w:lang w:eastAsia="zh-CN"/>
        </w:rPr>
      </w:pPr>
      <w:r>
        <w:rPr>
          <w:lang w:eastAsia="zh-CN"/>
        </w:rPr>
        <w:t>1.5.2</w:t>
      </w:r>
      <w:r>
        <w:rPr>
          <w:rFonts w:hint="eastAsia"/>
          <w:lang w:eastAsia="zh-CN"/>
        </w:rPr>
        <w:t>成交人根据原国家计划委员会颁发的《招标代理服务收费管理暂行办法》（计价格[2002]1980号文件）文件规定标准下浮30%向采购代理机构交纳中标服务费。</w:t>
      </w:r>
    </w:p>
    <w:p>
      <w:pPr>
        <w:pStyle w:val="8"/>
        <w:spacing w:before="26"/>
        <w:ind w:left="530" w:right="86"/>
        <w:rPr>
          <w:b w:val="0"/>
          <w:bCs w:val="0"/>
          <w:lang w:eastAsia="zh-CN"/>
        </w:rPr>
      </w:pPr>
      <w:bookmarkStart w:id="9" w:name="1.6_保密"/>
      <w:bookmarkEnd w:id="9"/>
      <w:r>
        <w:rPr>
          <w:lang w:eastAsia="zh-CN"/>
        </w:rPr>
        <w:t>1.6</w:t>
      </w:r>
      <w:r>
        <w:rPr>
          <w:spacing w:val="-4"/>
          <w:lang w:eastAsia="zh-CN"/>
        </w:rPr>
        <w:t xml:space="preserve"> </w:t>
      </w:r>
      <w:r>
        <w:rPr>
          <w:lang w:eastAsia="zh-CN"/>
        </w:rPr>
        <w:t>保密</w:t>
      </w:r>
    </w:p>
    <w:p>
      <w:pPr>
        <w:pStyle w:val="10"/>
        <w:spacing w:before="118" w:line="328" w:lineRule="auto"/>
        <w:ind w:left="167" w:right="86" w:firstLine="362"/>
        <w:rPr>
          <w:lang w:eastAsia="zh-CN"/>
        </w:rPr>
      </w:pPr>
      <w:r>
        <w:rPr>
          <w:lang w:eastAsia="zh-CN"/>
        </w:rPr>
        <w:t>1.6.1</w:t>
      </w:r>
      <w:r>
        <w:rPr>
          <w:spacing w:val="-33"/>
          <w:lang w:eastAsia="zh-CN"/>
        </w:rPr>
        <w:t xml:space="preserve"> </w:t>
      </w:r>
      <w:r>
        <w:rPr>
          <w:spacing w:val="4"/>
          <w:lang w:eastAsia="zh-CN"/>
        </w:rPr>
        <w:t>参与采购活动的各方应对竞争性磋商采购文件和响应文件中的商业和技术等秘密保</w:t>
      </w:r>
      <w:r>
        <w:rPr>
          <w:lang w:eastAsia="zh-CN"/>
        </w:rPr>
        <w:t xml:space="preserve"> 密，违者应对由此造成的后果承担法律责任。</w:t>
      </w:r>
    </w:p>
    <w:p>
      <w:pPr>
        <w:pStyle w:val="8"/>
        <w:spacing w:before="26"/>
        <w:ind w:left="530" w:right="86"/>
        <w:rPr>
          <w:b w:val="0"/>
          <w:bCs w:val="0"/>
          <w:lang w:eastAsia="zh-CN"/>
        </w:rPr>
      </w:pPr>
      <w:bookmarkStart w:id="10" w:name="1.7_语言文字"/>
      <w:bookmarkEnd w:id="10"/>
      <w:r>
        <w:rPr>
          <w:lang w:eastAsia="zh-CN"/>
        </w:rPr>
        <w:t>1.7</w:t>
      </w:r>
      <w:r>
        <w:rPr>
          <w:spacing w:val="-4"/>
          <w:lang w:eastAsia="zh-CN"/>
        </w:rPr>
        <w:t xml:space="preserve"> </w:t>
      </w:r>
      <w:r>
        <w:rPr>
          <w:lang w:eastAsia="zh-CN"/>
        </w:rPr>
        <w:t>语言文字</w:t>
      </w:r>
    </w:p>
    <w:p>
      <w:pPr>
        <w:pStyle w:val="10"/>
        <w:spacing w:before="115" w:line="328" w:lineRule="auto"/>
        <w:ind w:left="167" w:right="86" w:firstLine="362"/>
        <w:rPr>
          <w:lang w:eastAsia="zh-CN"/>
        </w:rPr>
      </w:pPr>
      <w:r>
        <w:rPr>
          <w:lang w:eastAsia="zh-CN"/>
        </w:rPr>
        <w:t>1.7.1</w:t>
      </w:r>
      <w:r>
        <w:rPr>
          <w:spacing w:val="-93"/>
          <w:lang w:eastAsia="zh-CN"/>
        </w:rPr>
        <w:t xml:space="preserve"> </w:t>
      </w:r>
      <w:r>
        <w:rPr>
          <w:lang w:eastAsia="zh-CN"/>
        </w:rPr>
        <w:t>除专用术语外，与采购报价有关的语言均使用简体中文。必要时专用术语应附有简体 中文注释。</w:t>
      </w:r>
    </w:p>
    <w:p>
      <w:pPr>
        <w:pStyle w:val="8"/>
        <w:spacing w:before="26"/>
        <w:ind w:left="530" w:right="86"/>
        <w:rPr>
          <w:b w:val="0"/>
          <w:bCs w:val="0"/>
          <w:lang w:eastAsia="zh-CN"/>
        </w:rPr>
      </w:pPr>
      <w:bookmarkStart w:id="11" w:name="1.8计量单位"/>
      <w:bookmarkEnd w:id="11"/>
      <w:r>
        <w:rPr>
          <w:lang w:eastAsia="zh-CN"/>
        </w:rPr>
        <w:t>1.8</w:t>
      </w:r>
      <w:r>
        <w:rPr>
          <w:spacing w:val="-64"/>
          <w:lang w:eastAsia="zh-CN"/>
        </w:rPr>
        <w:t xml:space="preserve"> </w:t>
      </w:r>
      <w:r>
        <w:rPr>
          <w:lang w:eastAsia="zh-CN"/>
        </w:rPr>
        <w:t>计量单位</w:t>
      </w:r>
    </w:p>
    <w:p>
      <w:pPr>
        <w:pStyle w:val="10"/>
        <w:spacing w:before="118"/>
        <w:ind w:left="530" w:right="86"/>
        <w:rPr>
          <w:lang w:eastAsia="zh-CN"/>
        </w:rPr>
      </w:pPr>
      <w:r>
        <w:rPr>
          <w:lang w:eastAsia="zh-CN"/>
        </w:rPr>
        <w:t>1.8.1</w:t>
      </w:r>
      <w:r>
        <w:rPr>
          <w:spacing w:val="-60"/>
          <w:lang w:eastAsia="zh-CN"/>
        </w:rPr>
        <w:t xml:space="preserve"> </w:t>
      </w:r>
      <w:r>
        <w:rPr>
          <w:lang w:eastAsia="zh-CN"/>
        </w:rPr>
        <w:t>所有计量均采用中华人民共和国法定计量单位。</w:t>
      </w:r>
    </w:p>
    <w:p>
      <w:pPr>
        <w:pStyle w:val="8"/>
        <w:ind w:left="530" w:right="86"/>
        <w:rPr>
          <w:b w:val="0"/>
          <w:bCs w:val="0"/>
          <w:lang w:eastAsia="zh-CN"/>
        </w:rPr>
      </w:pPr>
      <w:bookmarkStart w:id="12" w:name="1.9_踏勘现场"/>
      <w:bookmarkEnd w:id="12"/>
      <w:r>
        <w:rPr>
          <w:lang w:eastAsia="zh-CN"/>
        </w:rPr>
        <w:t>1.9</w:t>
      </w:r>
      <w:r>
        <w:rPr>
          <w:spacing w:val="-4"/>
          <w:lang w:eastAsia="zh-CN"/>
        </w:rPr>
        <w:t xml:space="preserve"> </w:t>
      </w:r>
      <w:r>
        <w:rPr>
          <w:lang w:eastAsia="zh-CN"/>
        </w:rPr>
        <w:t>踏勘现场</w:t>
      </w:r>
    </w:p>
    <w:p>
      <w:pPr>
        <w:pStyle w:val="10"/>
        <w:spacing w:before="115"/>
        <w:ind w:left="530" w:right="86"/>
        <w:rPr>
          <w:lang w:eastAsia="zh-CN"/>
        </w:rPr>
      </w:pPr>
      <w:r>
        <w:rPr>
          <w:lang w:eastAsia="zh-CN"/>
        </w:rPr>
        <w:t>1.9.1</w:t>
      </w:r>
      <w:r>
        <w:rPr>
          <w:spacing w:val="-60"/>
          <w:lang w:eastAsia="zh-CN"/>
        </w:rPr>
        <w:t xml:space="preserve"> </w:t>
      </w:r>
      <w:r>
        <w:rPr>
          <w:lang w:eastAsia="zh-CN"/>
        </w:rPr>
        <w:t>自行踏勘现场。</w:t>
      </w:r>
    </w:p>
    <w:p>
      <w:pPr>
        <w:pStyle w:val="10"/>
        <w:spacing w:before="115"/>
        <w:ind w:left="530" w:right="86"/>
        <w:rPr>
          <w:lang w:eastAsia="zh-CN"/>
        </w:rPr>
      </w:pPr>
      <w:r>
        <w:rPr>
          <w:lang w:eastAsia="zh-CN"/>
        </w:rPr>
        <w:t>1.9.2 供应商踏勘现场发生的费用自理。</w:t>
      </w:r>
    </w:p>
    <w:p>
      <w:pPr>
        <w:pStyle w:val="10"/>
        <w:spacing w:before="115"/>
        <w:ind w:left="530" w:right="86"/>
        <w:rPr>
          <w:spacing w:val="-3"/>
          <w:lang w:eastAsia="zh-CN"/>
        </w:rPr>
        <w:sectPr>
          <w:type w:val="continuous"/>
          <w:pgSz w:w="11910" w:h="16840"/>
          <w:pgMar w:top="1580" w:right="620" w:bottom="280" w:left="1020" w:header="720" w:footer="720" w:gutter="0"/>
          <w:cols w:space="720" w:num="1"/>
        </w:sectPr>
      </w:pPr>
      <w:r>
        <w:rPr>
          <w:lang w:eastAsia="zh-CN"/>
        </w:rPr>
        <w:t>1.9.3</w:t>
      </w:r>
      <w:r>
        <w:rPr>
          <w:spacing w:val="15"/>
          <w:lang w:eastAsia="zh-CN"/>
        </w:rPr>
        <w:t xml:space="preserve"> </w:t>
      </w:r>
      <w:r>
        <w:rPr>
          <w:spacing w:val="-3"/>
          <w:lang w:eastAsia="zh-CN"/>
        </w:rPr>
        <w:t>采购人在踏勘现场中介绍的工程场地和相关的周边环境情况，供应商在编制响应文件</w:t>
      </w:r>
    </w:p>
    <w:p>
      <w:pPr>
        <w:pStyle w:val="10"/>
        <w:spacing w:before="0" w:line="312" w:lineRule="exact"/>
        <w:ind w:left="0"/>
        <w:jc w:val="both"/>
        <w:rPr>
          <w:lang w:eastAsia="zh-CN"/>
        </w:rPr>
      </w:pPr>
      <w:r>
        <w:rPr>
          <w:lang w:eastAsia="zh-CN"/>
        </w:rPr>
        <w:t>时参考，采购人不对供应商据此做出的判断和决策负责。</w:t>
      </w:r>
    </w:p>
    <w:p>
      <w:pPr>
        <w:spacing w:before="115" w:line="328" w:lineRule="auto"/>
        <w:ind w:left="530" w:right="6991"/>
        <w:rPr>
          <w:rFonts w:ascii="宋体" w:hAnsi="宋体" w:eastAsia="宋体" w:cs="宋体"/>
          <w:sz w:val="24"/>
          <w:szCs w:val="24"/>
          <w:lang w:eastAsia="zh-CN"/>
        </w:rPr>
      </w:pPr>
      <w:bookmarkStart w:id="13" w:name="1.10_偏离"/>
      <w:bookmarkEnd w:id="13"/>
      <w:r>
        <w:rPr>
          <w:rFonts w:ascii="宋体" w:hAnsi="宋体" w:eastAsia="宋体" w:cs="宋体"/>
          <w:b/>
          <w:bCs/>
          <w:sz w:val="24"/>
          <w:szCs w:val="24"/>
          <w:lang w:eastAsia="zh-CN"/>
        </w:rPr>
        <w:t>1.10</w:t>
      </w:r>
      <w:r>
        <w:rPr>
          <w:rFonts w:ascii="宋体" w:hAnsi="宋体" w:eastAsia="宋体" w:cs="宋体"/>
          <w:b/>
          <w:bCs/>
          <w:spacing w:val="-2"/>
          <w:sz w:val="24"/>
          <w:szCs w:val="24"/>
          <w:lang w:eastAsia="zh-CN"/>
        </w:rPr>
        <w:t xml:space="preserve"> </w:t>
      </w:r>
      <w:r>
        <w:rPr>
          <w:rFonts w:ascii="宋体" w:hAnsi="宋体" w:eastAsia="宋体" w:cs="宋体"/>
          <w:b/>
          <w:bCs/>
          <w:sz w:val="24"/>
          <w:szCs w:val="24"/>
          <w:lang w:eastAsia="zh-CN"/>
        </w:rPr>
        <w:t>偏离</w:t>
      </w:r>
      <w:r>
        <w:rPr>
          <w:rFonts w:ascii="宋体" w:hAnsi="宋体" w:eastAsia="宋体" w:cs="宋体"/>
          <w:b/>
          <w:bCs/>
          <w:w w:val="99"/>
          <w:sz w:val="24"/>
          <w:szCs w:val="24"/>
          <w:lang w:eastAsia="zh-CN"/>
        </w:rPr>
        <w:t xml:space="preserve"> </w:t>
      </w:r>
      <w:r>
        <w:rPr>
          <w:rFonts w:ascii="宋体" w:hAnsi="宋体" w:eastAsia="宋体" w:cs="宋体"/>
          <w:sz w:val="24"/>
          <w:szCs w:val="24"/>
          <w:lang w:eastAsia="zh-CN"/>
        </w:rPr>
        <w:t>不允许负偏离。</w:t>
      </w:r>
    </w:p>
    <w:p>
      <w:pPr>
        <w:spacing w:line="352" w:lineRule="exact"/>
        <w:ind w:left="112"/>
        <w:jc w:val="both"/>
        <w:rPr>
          <w:rFonts w:ascii="宋体" w:hAnsi="宋体" w:eastAsia="宋体" w:cs="宋体"/>
          <w:sz w:val="32"/>
          <w:szCs w:val="32"/>
          <w:lang w:eastAsia="zh-CN"/>
        </w:rPr>
      </w:pPr>
      <w:bookmarkStart w:id="14" w:name="2._竞争性磋商采购文件"/>
      <w:bookmarkEnd w:id="14"/>
      <w:r>
        <w:rPr>
          <w:rFonts w:ascii="宋体" w:hAnsi="宋体" w:eastAsia="宋体" w:cs="宋体"/>
          <w:b/>
          <w:bCs/>
          <w:sz w:val="32"/>
          <w:szCs w:val="32"/>
          <w:lang w:eastAsia="zh-CN"/>
        </w:rPr>
        <w:t>2.</w:t>
      </w:r>
      <w:r>
        <w:rPr>
          <w:rFonts w:ascii="宋体" w:hAnsi="宋体" w:eastAsia="宋体" w:cs="宋体"/>
          <w:b/>
          <w:bCs/>
          <w:spacing w:val="-8"/>
          <w:sz w:val="32"/>
          <w:szCs w:val="32"/>
          <w:lang w:eastAsia="zh-CN"/>
        </w:rPr>
        <w:t xml:space="preserve"> </w:t>
      </w:r>
      <w:r>
        <w:rPr>
          <w:rFonts w:ascii="宋体" w:hAnsi="宋体" w:eastAsia="宋体" w:cs="宋体"/>
          <w:b/>
          <w:bCs/>
          <w:sz w:val="32"/>
          <w:szCs w:val="32"/>
          <w:lang w:eastAsia="zh-CN"/>
        </w:rPr>
        <w:t>竞争性磋商采购文件</w:t>
      </w:r>
    </w:p>
    <w:p>
      <w:pPr>
        <w:spacing w:before="106" w:line="328" w:lineRule="auto"/>
        <w:ind w:left="592" w:right="798"/>
        <w:rPr>
          <w:rFonts w:ascii="宋体" w:hAnsi="宋体" w:eastAsia="宋体" w:cs="宋体"/>
          <w:sz w:val="24"/>
          <w:szCs w:val="24"/>
          <w:lang w:eastAsia="zh-CN"/>
        </w:rPr>
      </w:pPr>
      <w:bookmarkStart w:id="15" w:name="2.1_竞争性磋商采购文件的组成"/>
      <w:bookmarkEnd w:id="15"/>
      <w:r>
        <w:rPr>
          <w:rFonts w:ascii="宋体" w:hAnsi="宋体" w:eastAsia="宋体" w:cs="宋体"/>
          <w:b/>
          <w:bCs/>
          <w:sz w:val="24"/>
          <w:szCs w:val="24"/>
          <w:lang w:eastAsia="zh-CN"/>
        </w:rPr>
        <w:t>2.1 竞争性磋商采购文件的组成</w:t>
      </w:r>
      <w:r>
        <w:rPr>
          <w:rFonts w:ascii="宋体" w:hAnsi="宋体" w:eastAsia="宋体" w:cs="宋体"/>
          <w:b/>
          <w:bCs/>
          <w:w w:val="99"/>
          <w:sz w:val="24"/>
          <w:szCs w:val="24"/>
          <w:lang w:eastAsia="zh-CN"/>
        </w:rPr>
        <w:t xml:space="preserve"> </w:t>
      </w:r>
      <w:r>
        <w:rPr>
          <w:rFonts w:ascii="宋体" w:hAnsi="宋体" w:eastAsia="宋体" w:cs="宋体"/>
          <w:sz w:val="24"/>
          <w:szCs w:val="24"/>
          <w:lang w:eastAsia="zh-CN"/>
        </w:rPr>
        <w:t>本次采购项目的竞争性磋商采购文件包含以下部分：</w:t>
      </w:r>
    </w:p>
    <w:p>
      <w:pPr>
        <w:pStyle w:val="10"/>
        <w:spacing w:before="26"/>
        <w:ind w:right="86"/>
        <w:rPr>
          <w:lang w:eastAsia="zh-CN"/>
        </w:rPr>
      </w:pPr>
      <w:r>
        <w:rPr>
          <w:lang w:eastAsia="zh-CN"/>
        </w:rPr>
        <w:t>（1）竞争性磋商公告；</w:t>
      </w:r>
    </w:p>
    <w:p>
      <w:pPr>
        <w:pStyle w:val="10"/>
        <w:spacing w:before="115"/>
        <w:ind w:right="86"/>
        <w:rPr>
          <w:lang w:eastAsia="zh-CN"/>
        </w:rPr>
      </w:pPr>
      <w:r>
        <w:rPr>
          <w:lang w:eastAsia="zh-CN"/>
        </w:rPr>
        <w:t>（2）供应商须知；</w:t>
      </w:r>
    </w:p>
    <w:p>
      <w:pPr>
        <w:pStyle w:val="10"/>
        <w:spacing w:before="115"/>
        <w:ind w:right="86"/>
        <w:rPr>
          <w:lang w:eastAsia="zh-CN"/>
        </w:rPr>
      </w:pPr>
      <w:r>
        <w:rPr>
          <w:lang w:eastAsia="zh-CN"/>
        </w:rPr>
        <w:t>（3）技术标准和要求；</w:t>
      </w:r>
    </w:p>
    <w:p>
      <w:pPr>
        <w:pStyle w:val="10"/>
        <w:spacing w:before="115"/>
        <w:ind w:right="86"/>
        <w:rPr>
          <w:lang w:eastAsia="zh-CN"/>
        </w:rPr>
      </w:pPr>
      <w:r>
        <w:rPr>
          <w:lang w:eastAsia="zh-CN"/>
        </w:rPr>
        <w:t>（4）采购合同；</w:t>
      </w:r>
    </w:p>
    <w:p>
      <w:pPr>
        <w:pStyle w:val="10"/>
        <w:spacing w:before="118"/>
        <w:ind w:right="86"/>
        <w:rPr>
          <w:lang w:eastAsia="zh-CN"/>
        </w:rPr>
      </w:pPr>
      <w:r>
        <w:rPr>
          <w:lang w:eastAsia="zh-CN"/>
        </w:rPr>
        <w:t>（5）响应文件格式；</w:t>
      </w:r>
    </w:p>
    <w:p>
      <w:pPr>
        <w:pStyle w:val="10"/>
        <w:spacing w:before="115"/>
        <w:ind w:right="86"/>
        <w:rPr>
          <w:lang w:eastAsia="zh-CN"/>
        </w:rPr>
      </w:pPr>
      <w:r>
        <w:rPr>
          <w:lang w:eastAsia="zh-CN"/>
        </w:rPr>
        <w:t>（6）磋商评审办法；</w:t>
      </w:r>
    </w:p>
    <w:p>
      <w:pPr>
        <w:pStyle w:val="10"/>
        <w:spacing w:before="115" w:line="328" w:lineRule="auto"/>
        <w:ind w:right="86"/>
        <w:rPr>
          <w:lang w:eastAsia="zh-CN"/>
        </w:rPr>
      </w:pPr>
      <w:r>
        <w:rPr>
          <w:lang w:eastAsia="zh-CN"/>
        </w:rPr>
        <w:t>（</w:t>
      </w:r>
      <w:r>
        <w:rPr>
          <w:rFonts w:hint="eastAsia"/>
          <w:lang w:eastAsia="zh-CN"/>
        </w:rPr>
        <w:t>7</w:t>
      </w:r>
      <w:r>
        <w:rPr>
          <w:lang w:eastAsia="zh-CN"/>
        </w:rPr>
        <w:t xml:space="preserve">）供应商须知前附表规定的其他材料。 </w:t>
      </w:r>
      <w:r>
        <w:rPr>
          <w:spacing w:val="-2"/>
          <w:lang w:eastAsia="zh-CN"/>
        </w:rPr>
        <w:t>本竞争性磋商采购文件第四章“合同条款及格式”是竞争性磋商采购文件的重要组成部分，</w:t>
      </w:r>
      <w:r>
        <w:rPr>
          <w:spacing w:val="-4"/>
          <w:lang w:eastAsia="zh-CN"/>
        </w:rPr>
        <w:t>供应商必须仔细阅读并充分理解。供应商一旦成交，必须按照本竞争性磋商采购文件第四章“合</w:t>
      </w:r>
      <w:r>
        <w:rPr>
          <w:spacing w:val="-111"/>
          <w:lang w:eastAsia="zh-CN"/>
        </w:rPr>
        <w:t xml:space="preserve"> </w:t>
      </w:r>
      <w:r>
        <w:rPr>
          <w:lang w:eastAsia="zh-CN"/>
        </w:rPr>
        <w:t>同条款及格式”已约定的内容和格式与采购人签订合同。</w:t>
      </w:r>
    </w:p>
    <w:p>
      <w:pPr>
        <w:spacing w:before="60" w:line="328" w:lineRule="auto"/>
        <w:ind w:left="592" w:right="86"/>
        <w:rPr>
          <w:rFonts w:ascii="宋体" w:hAnsi="宋体" w:eastAsia="宋体" w:cs="宋体"/>
          <w:sz w:val="24"/>
          <w:szCs w:val="24"/>
          <w:lang w:eastAsia="zh-CN"/>
        </w:rPr>
      </w:pPr>
      <w:bookmarkStart w:id="16" w:name="2.2竞争性磋商采购文件的澄清或修改"/>
      <w:bookmarkEnd w:id="16"/>
      <w:r>
        <w:rPr>
          <w:rFonts w:ascii="宋体" w:hAnsi="宋体" w:eastAsia="宋体" w:cs="宋体"/>
          <w:b/>
          <w:bCs/>
          <w:sz w:val="24"/>
          <w:szCs w:val="24"/>
          <w:lang w:eastAsia="zh-CN"/>
        </w:rPr>
        <w:t>2.2</w:t>
      </w:r>
      <w:r>
        <w:rPr>
          <w:rFonts w:ascii="宋体" w:hAnsi="宋体" w:eastAsia="宋体" w:cs="宋体"/>
          <w:b/>
          <w:bCs/>
          <w:spacing w:val="-62"/>
          <w:sz w:val="24"/>
          <w:szCs w:val="24"/>
          <w:lang w:eastAsia="zh-CN"/>
        </w:rPr>
        <w:t xml:space="preserve"> </w:t>
      </w:r>
      <w:r>
        <w:rPr>
          <w:rFonts w:ascii="宋体" w:hAnsi="宋体" w:eastAsia="宋体" w:cs="宋体"/>
          <w:b/>
          <w:bCs/>
          <w:sz w:val="24"/>
          <w:szCs w:val="24"/>
          <w:lang w:eastAsia="zh-CN"/>
        </w:rPr>
        <w:t>竞争性磋商采购文件的澄清或修改</w:t>
      </w:r>
      <w:r>
        <w:rPr>
          <w:rFonts w:ascii="宋体" w:hAnsi="宋体" w:eastAsia="宋体" w:cs="宋体"/>
          <w:b/>
          <w:bCs/>
          <w:w w:val="99"/>
          <w:sz w:val="24"/>
          <w:szCs w:val="24"/>
          <w:lang w:eastAsia="zh-CN"/>
        </w:rPr>
        <w:t xml:space="preserve"> </w:t>
      </w:r>
      <w:r>
        <w:rPr>
          <w:rFonts w:ascii="宋体" w:hAnsi="宋体" w:eastAsia="宋体" w:cs="宋体"/>
          <w:sz w:val="24"/>
          <w:szCs w:val="24"/>
          <w:lang w:eastAsia="zh-CN"/>
        </w:rPr>
        <w:t>提交首次响应文件截止之日前，采购人、采购代理机构或者磋商小组可以对已发出的竞争</w:t>
      </w:r>
      <w:r>
        <w:rPr>
          <w:lang w:eastAsia="zh-CN"/>
        </w:rPr>
        <w:t>性磋商采购文件进行必要的澄清或者修改，澄清或者修改的内容作为竞争性磋商采购文件的组</w:t>
      </w:r>
      <w:r>
        <w:rPr>
          <w:spacing w:val="-53"/>
          <w:lang w:eastAsia="zh-CN"/>
        </w:rPr>
        <w:t xml:space="preserve"> </w:t>
      </w:r>
      <w:r>
        <w:rPr>
          <w:lang w:eastAsia="zh-CN"/>
        </w:rPr>
        <w:t>成部分。澄清或者修改的内容可能影响响应文件编制的，采购人、采购代理机构应当在提交首</w:t>
      </w:r>
      <w:r>
        <w:rPr>
          <w:spacing w:val="-53"/>
          <w:lang w:eastAsia="zh-CN"/>
        </w:rPr>
        <w:t xml:space="preserve"> </w:t>
      </w:r>
      <w:r>
        <w:rPr>
          <w:lang w:eastAsia="zh-CN"/>
        </w:rPr>
        <w:t>次响应文件截止时间至少5日前，以书面形式通知所有获取采购文件的供应商；不足5日的，采</w:t>
      </w:r>
      <w:r>
        <w:rPr>
          <w:spacing w:val="-53"/>
          <w:lang w:eastAsia="zh-CN"/>
        </w:rPr>
        <w:t xml:space="preserve"> </w:t>
      </w:r>
      <w:r>
        <w:rPr>
          <w:lang w:eastAsia="zh-CN"/>
        </w:rPr>
        <w:t>购人、采购代理机构应当顺延提交首次响应文件截止时间。</w:t>
      </w:r>
    </w:p>
    <w:p>
      <w:pPr>
        <w:spacing w:line="354" w:lineRule="exact"/>
        <w:ind w:left="112"/>
        <w:jc w:val="both"/>
        <w:rPr>
          <w:rFonts w:ascii="宋体" w:hAnsi="宋体" w:eastAsia="宋体" w:cs="宋体"/>
          <w:sz w:val="32"/>
          <w:szCs w:val="32"/>
          <w:lang w:eastAsia="zh-CN"/>
        </w:rPr>
      </w:pPr>
      <w:bookmarkStart w:id="17" w:name="3._响应文件"/>
      <w:bookmarkEnd w:id="17"/>
      <w:r>
        <w:rPr>
          <w:rFonts w:ascii="宋体" w:hAnsi="宋体" w:eastAsia="宋体" w:cs="宋体"/>
          <w:b/>
          <w:bCs/>
          <w:sz w:val="32"/>
          <w:szCs w:val="32"/>
          <w:lang w:eastAsia="zh-CN"/>
        </w:rPr>
        <w:t>3.</w:t>
      </w:r>
      <w:r>
        <w:rPr>
          <w:rFonts w:ascii="宋体" w:hAnsi="宋体" w:eastAsia="宋体" w:cs="宋体"/>
          <w:b/>
          <w:bCs/>
          <w:spacing w:val="-4"/>
          <w:sz w:val="32"/>
          <w:szCs w:val="32"/>
          <w:lang w:eastAsia="zh-CN"/>
        </w:rPr>
        <w:t xml:space="preserve"> </w:t>
      </w:r>
      <w:r>
        <w:rPr>
          <w:rFonts w:ascii="宋体" w:hAnsi="宋体" w:eastAsia="宋体" w:cs="宋体"/>
          <w:b/>
          <w:bCs/>
          <w:sz w:val="32"/>
          <w:szCs w:val="32"/>
          <w:lang w:eastAsia="zh-CN"/>
        </w:rPr>
        <w:t>响应文件</w:t>
      </w:r>
    </w:p>
    <w:p>
      <w:pPr>
        <w:pStyle w:val="8"/>
        <w:spacing w:before="104"/>
        <w:ind w:right="86"/>
        <w:rPr>
          <w:b w:val="0"/>
          <w:bCs w:val="0"/>
          <w:lang w:eastAsia="zh-CN"/>
        </w:rPr>
      </w:pPr>
      <w:bookmarkStart w:id="18" w:name="3.1_响应文件的组成（具体内容详见响应文件格式）"/>
      <w:bookmarkEnd w:id="18"/>
      <w:r>
        <w:rPr>
          <w:lang w:eastAsia="zh-CN"/>
        </w:rPr>
        <w:t>3.1</w:t>
      </w:r>
      <w:r>
        <w:rPr>
          <w:spacing w:val="-5"/>
          <w:lang w:eastAsia="zh-CN"/>
        </w:rPr>
        <w:t xml:space="preserve"> </w:t>
      </w:r>
      <w:r>
        <w:rPr>
          <w:lang w:eastAsia="zh-CN"/>
        </w:rPr>
        <w:t>响应文件的组成</w:t>
      </w:r>
    </w:p>
    <w:p>
      <w:pPr>
        <w:pStyle w:val="10"/>
        <w:spacing w:line="480" w:lineRule="exact"/>
        <w:ind w:left="1171" w:leftChars="272" w:hanging="573" w:hangingChars="239"/>
        <w:rPr>
          <w:lang w:eastAsia="zh-CN"/>
        </w:rPr>
      </w:pPr>
      <w:r>
        <w:rPr>
          <w:rFonts w:hint="eastAsia"/>
          <w:lang w:eastAsia="zh-CN"/>
        </w:rPr>
        <w:t>3.1.1  报价函（附件一）</w:t>
      </w:r>
    </w:p>
    <w:p>
      <w:pPr>
        <w:pStyle w:val="9"/>
        <w:tabs>
          <w:tab w:val="left" w:pos="382"/>
        </w:tabs>
        <w:spacing w:line="480" w:lineRule="exact"/>
        <w:ind w:left="207" w:leftChars="94" w:firstLine="360" w:firstLineChars="150"/>
        <w:rPr>
          <w:rFonts w:ascii="宋体" w:hAnsi="宋体"/>
          <w:sz w:val="24"/>
        </w:rPr>
      </w:pPr>
      <w:r>
        <w:rPr>
          <w:rFonts w:hint="eastAsia" w:ascii="宋体" w:hAnsi="宋体"/>
          <w:sz w:val="24"/>
        </w:rPr>
        <w:t xml:space="preserve">3.1.2 </w:t>
      </w:r>
      <w:r>
        <w:rPr>
          <w:rFonts w:ascii="宋体" w:hAnsi="宋体"/>
          <w:sz w:val="24"/>
        </w:rPr>
        <w:t xml:space="preserve"> </w:t>
      </w:r>
      <w:r>
        <w:rPr>
          <w:rFonts w:hint="eastAsia" w:ascii="宋体" w:hAnsi="宋体"/>
          <w:sz w:val="24"/>
        </w:rPr>
        <w:t>报价部分</w:t>
      </w:r>
    </w:p>
    <w:p>
      <w:pPr>
        <w:pStyle w:val="9"/>
        <w:spacing w:line="480" w:lineRule="exact"/>
        <w:ind w:left="207" w:leftChars="94" w:firstLine="360" w:firstLineChars="150"/>
        <w:rPr>
          <w:rFonts w:ascii="宋体" w:hAnsi="宋体"/>
          <w:sz w:val="24"/>
        </w:rPr>
      </w:pPr>
      <w:r>
        <w:rPr>
          <w:rFonts w:hint="eastAsia" w:ascii="宋体" w:hAnsi="宋体"/>
          <w:sz w:val="24"/>
        </w:rPr>
        <w:t>1）报价一览表（附件三）；</w:t>
      </w:r>
    </w:p>
    <w:p>
      <w:pPr>
        <w:pStyle w:val="9"/>
        <w:spacing w:line="480" w:lineRule="exact"/>
        <w:ind w:left="207" w:leftChars="94" w:firstLine="360" w:firstLineChars="150"/>
        <w:rPr>
          <w:rFonts w:ascii="宋体" w:hAnsi="宋体"/>
          <w:sz w:val="24"/>
        </w:rPr>
      </w:pPr>
      <w:r>
        <w:rPr>
          <w:rFonts w:hint="eastAsia" w:ascii="宋体" w:hAnsi="宋体"/>
          <w:sz w:val="24"/>
        </w:rPr>
        <w:t>2）报价明细表（附件四）；</w:t>
      </w:r>
    </w:p>
    <w:p>
      <w:pPr>
        <w:pStyle w:val="10"/>
        <w:spacing w:before="84"/>
        <w:ind w:right="86"/>
        <w:rPr>
          <w:lang w:eastAsia="zh-CN"/>
        </w:rPr>
      </w:pPr>
      <w:r>
        <w:rPr>
          <w:rFonts w:hint="eastAsia"/>
          <w:lang w:eastAsia="zh-CN"/>
        </w:rPr>
        <w:t>3）</w:t>
      </w:r>
      <w:r>
        <w:rPr>
          <w:lang w:eastAsia="zh-CN"/>
        </w:rPr>
        <w:t>节能（非强制类产品）产品加分明细表；</w:t>
      </w:r>
      <w:r>
        <w:rPr>
          <w:rFonts w:hint="eastAsia"/>
          <w:lang w:eastAsia="zh-CN"/>
        </w:rPr>
        <w:t>（附件五）</w:t>
      </w:r>
    </w:p>
    <w:p>
      <w:pPr>
        <w:pStyle w:val="10"/>
        <w:spacing w:before="84"/>
        <w:ind w:left="0" w:right="86"/>
        <w:rPr>
          <w:lang w:eastAsia="zh-CN"/>
        </w:rPr>
        <w:sectPr>
          <w:footerReference r:id="rId5" w:type="default"/>
          <w:pgSz w:w="11910" w:h="16840"/>
          <w:pgMar w:top="900" w:right="620" w:bottom="960" w:left="1020" w:header="0" w:footer="771" w:gutter="0"/>
          <w:pgNumType w:start="10"/>
          <w:cols w:space="720" w:num="1"/>
        </w:sectPr>
      </w:pPr>
      <w:r>
        <w:rPr>
          <w:rFonts w:hint="eastAsia"/>
          <w:lang w:eastAsia="zh-CN"/>
        </w:rPr>
        <w:t xml:space="preserve">     4）</w:t>
      </w:r>
      <w:r>
        <w:rPr>
          <w:lang w:eastAsia="zh-CN"/>
        </w:rPr>
        <w:t>环境标志产品加分明细表；</w:t>
      </w:r>
      <w:r>
        <w:rPr>
          <w:rFonts w:hint="eastAsia"/>
          <w:lang w:eastAsia="zh-CN"/>
        </w:rPr>
        <w:t>（附件七）</w:t>
      </w:r>
    </w:p>
    <w:p>
      <w:pPr>
        <w:pStyle w:val="9"/>
        <w:spacing w:line="480" w:lineRule="exact"/>
        <w:ind w:left="20" w:leftChars="9" w:firstLine="600" w:firstLineChars="250"/>
        <w:rPr>
          <w:rFonts w:ascii="宋体" w:hAnsi="宋体"/>
          <w:sz w:val="24"/>
        </w:rPr>
      </w:pPr>
      <w:r>
        <w:rPr>
          <w:rFonts w:hint="eastAsia" w:ascii="宋体" w:hAnsi="宋体"/>
          <w:sz w:val="24"/>
        </w:rPr>
        <w:t>3.1.3  资格证明文件</w:t>
      </w:r>
    </w:p>
    <w:p>
      <w:pPr>
        <w:pStyle w:val="10"/>
        <w:spacing w:before="84"/>
        <w:rPr>
          <w:lang w:eastAsia="zh-CN"/>
        </w:rPr>
      </w:pPr>
      <w:r>
        <w:rPr>
          <w:lang w:eastAsia="zh-CN"/>
        </w:rPr>
        <w:t>1)</w:t>
      </w:r>
      <w:r>
        <w:rPr>
          <w:spacing w:val="-15"/>
          <w:lang w:eastAsia="zh-CN"/>
        </w:rPr>
        <w:t xml:space="preserve"> </w:t>
      </w:r>
      <w:r>
        <w:rPr>
          <w:rFonts w:hint="eastAsia"/>
          <w:lang w:eastAsia="zh-CN"/>
        </w:rPr>
        <w:t>营业执照副本复印件，资质证书（如果有）、项目经理证书（如果有）；</w:t>
      </w:r>
    </w:p>
    <w:p>
      <w:pPr>
        <w:pStyle w:val="10"/>
        <w:spacing w:before="84"/>
        <w:rPr>
          <w:lang w:eastAsia="zh-CN"/>
        </w:rPr>
      </w:pPr>
      <w:r>
        <w:rPr>
          <w:rFonts w:hint="eastAsia"/>
          <w:lang w:eastAsia="zh-CN"/>
        </w:rPr>
        <w:t>2) 授权委托书原件，供应商授权代表须提供身份证复印件；</w:t>
      </w:r>
    </w:p>
    <w:p>
      <w:pPr>
        <w:pStyle w:val="10"/>
        <w:spacing w:before="84"/>
        <w:rPr>
          <w:lang w:eastAsia="zh-CN"/>
        </w:rPr>
      </w:pPr>
      <w:r>
        <w:rPr>
          <w:rFonts w:hint="eastAsia"/>
          <w:lang w:eastAsia="zh-CN"/>
        </w:rPr>
        <w:t>3）近三年无不良信誉证明（新公司成立不足三年得，提供成立之日至今的）；</w:t>
      </w:r>
    </w:p>
    <w:p>
      <w:pPr>
        <w:pStyle w:val="10"/>
        <w:spacing w:before="84"/>
        <w:rPr>
          <w:lang w:eastAsia="zh-CN"/>
        </w:rPr>
      </w:pPr>
      <w:r>
        <w:rPr>
          <w:rFonts w:hint="eastAsia"/>
          <w:lang w:eastAsia="zh-CN"/>
        </w:rPr>
        <w:t>4）供应商须提供有效的能反映其财务状况的财务状况报告。财务报表，包括资产负债表、损益表（注：须法定代表人或授权代理人签章）。及依法缴纳税收和社会保障资金的相关材料；</w:t>
      </w:r>
    </w:p>
    <w:p>
      <w:pPr>
        <w:pStyle w:val="10"/>
        <w:spacing w:before="84"/>
        <w:rPr>
          <w:lang w:eastAsia="zh-CN"/>
        </w:rPr>
      </w:pPr>
      <w:r>
        <w:rPr>
          <w:rFonts w:hint="eastAsia"/>
          <w:lang w:eastAsia="zh-CN"/>
        </w:rPr>
        <w:t>5）具备履行合同所必需的设备和专业技术能力的证明材料；</w:t>
      </w:r>
    </w:p>
    <w:p>
      <w:pPr>
        <w:pStyle w:val="10"/>
        <w:spacing w:before="84"/>
        <w:rPr>
          <w:lang w:eastAsia="zh-CN"/>
        </w:rPr>
      </w:pPr>
      <w:r>
        <w:rPr>
          <w:rFonts w:hint="eastAsia"/>
          <w:lang w:eastAsia="zh-CN"/>
        </w:rPr>
        <w:t>6）人员配置情况（姓名、岗位、技术职称、资质等）；</w:t>
      </w:r>
    </w:p>
    <w:p>
      <w:pPr>
        <w:pStyle w:val="10"/>
        <w:spacing w:before="84"/>
        <w:rPr>
          <w:lang w:eastAsia="zh-CN"/>
        </w:rPr>
      </w:pPr>
      <w:r>
        <w:rPr>
          <w:rFonts w:hint="eastAsia"/>
          <w:lang w:eastAsia="zh-CN"/>
        </w:rPr>
        <w:t>7）有关的质量体系、安全等认证证书：例如ISO、3C等（国家强制要求的设备必须提供）；</w:t>
      </w:r>
    </w:p>
    <w:p>
      <w:pPr>
        <w:pStyle w:val="10"/>
        <w:spacing w:before="84"/>
        <w:rPr>
          <w:lang w:eastAsia="zh-CN"/>
        </w:rPr>
      </w:pPr>
      <w:r>
        <w:rPr>
          <w:rFonts w:hint="eastAsia"/>
          <w:lang w:eastAsia="zh-CN"/>
        </w:rPr>
        <w:t>8）近三年所投货物的业绩一览表及合同复印件.业绩合同做在标书里加盖公章才计业绩分，原件备查；</w:t>
      </w:r>
    </w:p>
    <w:p>
      <w:pPr>
        <w:pStyle w:val="10"/>
        <w:spacing w:before="84"/>
        <w:rPr>
          <w:lang w:eastAsia="zh-CN"/>
        </w:rPr>
      </w:pPr>
      <w:r>
        <w:rPr>
          <w:rFonts w:hint="eastAsia"/>
          <w:lang w:eastAsia="zh-CN"/>
        </w:rPr>
        <w:t>9）供应商为小型和微型企业的，须提供企业所在地的县级以上中小企业主管部门出具的证明文件、《小微企业声明函》、《从业人员声明函》原件及复印件（如果有）；</w:t>
      </w:r>
    </w:p>
    <w:p>
      <w:pPr>
        <w:pStyle w:val="10"/>
        <w:spacing w:before="84"/>
        <w:rPr>
          <w:lang w:eastAsia="zh-CN"/>
        </w:rPr>
      </w:pPr>
      <w:r>
        <w:rPr>
          <w:rFonts w:hint="eastAsia"/>
          <w:lang w:eastAsia="zh-CN"/>
        </w:rPr>
        <w:t>10）供应商为监狱企业的，须提供省级以上监狱管理局、戒毒管理局（含新疆生产建设兵团）出具的属于监狱企业的证明文件原件（如果有）；</w:t>
      </w:r>
    </w:p>
    <w:p>
      <w:pPr>
        <w:pStyle w:val="10"/>
        <w:spacing w:before="84"/>
        <w:rPr>
          <w:lang w:eastAsia="zh-CN"/>
        </w:rPr>
      </w:pPr>
      <w:r>
        <w:rPr>
          <w:rFonts w:hint="eastAsia"/>
          <w:lang w:eastAsia="zh-CN"/>
        </w:rPr>
        <w:t>11）残疾人福利性单位声明函（如果有）</w:t>
      </w:r>
    </w:p>
    <w:p>
      <w:pPr>
        <w:pStyle w:val="10"/>
        <w:spacing w:before="84"/>
        <w:rPr>
          <w:lang w:eastAsia="zh-CN"/>
        </w:rPr>
      </w:pPr>
      <w:r>
        <w:rPr>
          <w:rFonts w:hint="eastAsia"/>
          <w:lang w:eastAsia="zh-CN"/>
        </w:rPr>
        <w:t>12)节能或环保产品证明（如果有）；</w:t>
      </w:r>
    </w:p>
    <w:p>
      <w:pPr>
        <w:pStyle w:val="10"/>
        <w:spacing w:before="84"/>
        <w:rPr>
          <w:lang w:eastAsia="zh-CN"/>
        </w:rPr>
      </w:pPr>
      <w:r>
        <w:rPr>
          <w:rFonts w:hint="eastAsia"/>
          <w:lang w:eastAsia="zh-CN"/>
        </w:rPr>
        <w:t>13）进口货物交货时需具备报关单、税单、原产地证明、进字号注册证（如果有）。</w:t>
      </w:r>
    </w:p>
    <w:p>
      <w:pPr>
        <w:pStyle w:val="10"/>
        <w:spacing w:before="84"/>
        <w:rPr>
          <w:lang w:eastAsia="zh-CN"/>
        </w:rPr>
      </w:pPr>
      <w:r>
        <w:rPr>
          <w:rFonts w:hint="eastAsia"/>
          <w:lang w:eastAsia="zh-CN"/>
        </w:rPr>
        <w:t>14）供应商认为需要提交的其他文件。</w:t>
      </w:r>
    </w:p>
    <w:p>
      <w:pPr>
        <w:pStyle w:val="9"/>
        <w:spacing w:line="480" w:lineRule="exact"/>
        <w:ind w:left="207" w:leftChars="94" w:firstLine="361" w:firstLineChars="150"/>
        <w:rPr>
          <w:rFonts w:ascii="宋体" w:hAnsi="宋体"/>
          <w:b/>
          <w:sz w:val="24"/>
        </w:rPr>
      </w:pPr>
      <w:r>
        <w:rPr>
          <w:rFonts w:hint="eastAsia" w:ascii="宋体" w:hAnsi="宋体"/>
          <w:b/>
          <w:sz w:val="24"/>
        </w:rPr>
        <w:t>评标委员会在需要时，可要求投标人在一定期限内提供资格证明文件的原件。</w:t>
      </w:r>
    </w:p>
    <w:p>
      <w:pPr>
        <w:pStyle w:val="9"/>
        <w:tabs>
          <w:tab w:val="left" w:pos="382"/>
        </w:tabs>
        <w:spacing w:line="480" w:lineRule="exact"/>
        <w:ind w:left="207" w:leftChars="94" w:firstLine="360" w:firstLineChars="150"/>
        <w:rPr>
          <w:rFonts w:ascii="宋体" w:hAnsi="宋体"/>
          <w:sz w:val="24"/>
        </w:rPr>
      </w:pPr>
      <w:r>
        <w:rPr>
          <w:rFonts w:hint="eastAsia" w:ascii="宋体" w:hAnsi="宋体"/>
          <w:sz w:val="24"/>
        </w:rPr>
        <w:t xml:space="preserve">3.1.4 </w:t>
      </w:r>
      <w:r>
        <w:rPr>
          <w:rFonts w:ascii="宋体" w:hAnsi="宋体"/>
          <w:sz w:val="24"/>
        </w:rPr>
        <w:t xml:space="preserve"> </w:t>
      </w:r>
      <w:r>
        <w:rPr>
          <w:rFonts w:hint="eastAsia" w:ascii="宋体" w:hAnsi="宋体"/>
          <w:sz w:val="24"/>
        </w:rPr>
        <w:t>技术文件</w:t>
      </w:r>
    </w:p>
    <w:p>
      <w:pPr>
        <w:pStyle w:val="9"/>
        <w:spacing w:line="480" w:lineRule="exact"/>
        <w:ind w:left="207" w:leftChars="94" w:firstLine="720" w:firstLineChars="3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货物主要技术指标和性能的详细说明，包括产品宣传彩页、图纸和数据等；</w:t>
      </w:r>
    </w:p>
    <w:p>
      <w:pPr>
        <w:pStyle w:val="9"/>
        <w:spacing w:line="480" w:lineRule="exact"/>
        <w:ind w:left="207" w:leftChars="94" w:firstLine="720" w:firstLineChars="3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产品质量、施工安全、文明、质量、保证措施、人员配备</w:t>
      </w:r>
    </w:p>
    <w:p>
      <w:pPr>
        <w:pStyle w:val="9"/>
        <w:spacing w:line="480" w:lineRule="exact"/>
        <w:ind w:left="207" w:leftChars="94" w:firstLine="720" w:firstLineChars="300"/>
        <w:rPr>
          <w:rFonts w:ascii="宋体" w:hAnsi="宋体"/>
          <w:spacing w:val="-4"/>
          <w:sz w:val="24"/>
        </w:rPr>
      </w:pPr>
      <w:r>
        <w:rPr>
          <w:rFonts w:hint="eastAsia" w:ascii="宋体" w:hAnsi="宋体"/>
          <w:sz w:val="24"/>
        </w:rPr>
        <w:t>3）质保期内及质保期满后维护保养方案</w:t>
      </w:r>
      <w:r>
        <w:rPr>
          <w:rFonts w:hint="eastAsia" w:ascii="宋体" w:hAnsi="宋体"/>
          <w:spacing w:val="-4"/>
          <w:sz w:val="24"/>
        </w:rPr>
        <w:t>；</w:t>
      </w:r>
    </w:p>
    <w:p>
      <w:pPr>
        <w:pStyle w:val="9"/>
        <w:spacing w:line="480" w:lineRule="exact"/>
        <w:ind w:left="207" w:leftChars="94" w:firstLine="720" w:firstLineChars="3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安装调试方案；</w:t>
      </w:r>
    </w:p>
    <w:p>
      <w:pPr>
        <w:pStyle w:val="9"/>
        <w:spacing w:line="480" w:lineRule="exact"/>
        <w:ind w:left="207" w:leftChars="94" w:firstLine="720" w:firstLineChars="3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 xml:space="preserve"> 技术规格偏离表</w:t>
      </w:r>
    </w:p>
    <w:p>
      <w:pPr>
        <w:pStyle w:val="9"/>
        <w:spacing w:line="480" w:lineRule="exact"/>
        <w:ind w:left="122" w:leftChars="11" w:hanging="98" w:hangingChars="41"/>
        <w:rPr>
          <w:rFonts w:ascii="宋体" w:hAnsi="宋体"/>
          <w:sz w:val="24"/>
        </w:rPr>
      </w:pPr>
      <w:r>
        <w:rPr>
          <w:rFonts w:hint="eastAsia" w:ascii="宋体" w:hAnsi="宋体"/>
          <w:sz w:val="24"/>
        </w:rPr>
        <w:t xml:space="preserve">        6) 投标人认为需要提交的其他文件。</w:t>
      </w:r>
    </w:p>
    <w:p>
      <w:pPr>
        <w:pStyle w:val="9"/>
        <w:spacing w:line="480" w:lineRule="exact"/>
        <w:ind w:left="99" w:leftChars="45" w:firstLine="360" w:firstLineChars="150"/>
        <w:rPr>
          <w:rFonts w:ascii="宋体" w:hAnsi="宋体"/>
          <w:sz w:val="24"/>
        </w:rPr>
      </w:pPr>
      <w:r>
        <w:rPr>
          <w:rFonts w:hint="eastAsia" w:ascii="宋体" w:hAnsi="宋体"/>
          <w:sz w:val="24"/>
        </w:rPr>
        <w:t>3.1.5商务文件</w:t>
      </w:r>
    </w:p>
    <w:p>
      <w:pPr>
        <w:pStyle w:val="9"/>
        <w:spacing w:line="480" w:lineRule="exact"/>
        <w:ind w:left="207" w:leftChars="94" w:firstLine="720" w:firstLineChars="3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为使货物正常、连续地使用，应提供采购人使用该货物所需的完整的备件和专用工具清单，包括备件和专用工具的货源及价格。</w:t>
      </w:r>
    </w:p>
    <w:p>
      <w:pPr>
        <w:pStyle w:val="9"/>
        <w:spacing w:line="480" w:lineRule="exact"/>
        <w:ind w:left="207" w:leftChars="94" w:firstLine="720" w:firstLineChars="3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售后服务条款；</w:t>
      </w:r>
    </w:p>
    <w:p>
      <w:pPr>
        <w:pStyle w:val="9"/>
        <w:spacing w:line="480" w:lineRule="exact"/>
        <w:ind w:left="196" w:leftChars="89" w:firstLine="957" w:firstLineChars="399"/>
        <w:rPr>
          <w:rFonts w:ascii="宋体" w:hAnsi="宋体"/>
          <w:sz w:val="24"/>
        </w:rPr>
      </w:pPr>
      <w:r>
        <w:rPr>
          <w:rFonts w:ascii="宋体" w:hAnsi="宋体"/>
          <w:sz w:val="24"/>
        </w:rPr>
        <w:t>a</w:t>
      </w:r>
      <w:r>
        <w:rPr>
          <w:rFonts w:hint="eastAsia" w:ascii="宋体" w:hAnsi="宋体"/>
          <w:sz w:val="24"/>
        </w:rPr>
        <w:t xml:space="preserve">  对货物负责维修、维护；</w:t>
      </w:r>
    </w:p>
    <w:p>
      <w:pPr>
        <w:pStyle w:val="9"/>
        <w:spacing w:line="480" w:lineRule="exact"/>
        <w:ind w:left="1583" w:leftChars="545" w:hanging="384" w:hangingChars="160"/>
        <w:rPr>
          <w:rFonts w:ascii="宋体" w:hAnsi="宋体"/>
          <w:sz w:val="24"/>
        </w:rPr>
      </w:pPr>
      <w:r>
        <w:rPr>
          <w:rFonts w:hint="eastAsia" w:ascii="宋体" w:hAnsi="宋体"/>
          <w:sz w:val="24"/>
        </w:rPr>
        <w:t>b  提供及时、迅速、优质服务的承诺，迅速快捷地提供货物的备品备件，保证采购人能够及时买到货物所需的备品备件和易损件；</w:t>
      </w:r>
    </w:p>
    <w:p>
      <w:pPr>
        <w:pStyle w:val="9"/>
        <w:spacing w:line="480" w:lineRule="exact"/>
        <w:ind w:left="1559" w:leftChars="545" w:hanging="360" w:hangingChars="150"/>
        <w:rPr>
          <w:rFonts w:ascii="宋体" w:hAnsi="宋体"/>
          <w:sz w:val="24"/>
        </w:rPr>
      </w:pPr>
      <w:r>
        <w:rPr>
          <w:rFonts w:hint="eastAsia" w:ascii="宋体" w:hAnsi="宋体"/>
          <w:sz w:val="24"/>
        </w:rPr>
        <w:t>c  提供成交货物齐全的资料（进口货物必须包括中文和英文的使用说明、安装手册、维修手册、专用工具和相应质检手续证明文件）；</w:t>
      </w:r>
    </w:p>
    <w:p>
      <w:pPr>
        <w:pStyle w:val="9"/>
        <w:spacing w:line="480" w:lineRule="exact"/>
        <w:ind w:left="1559" w:leftChars="545" w:hanging="360" w:hangingChars="150"/>
        <w:rPr>
          <w:rFonts w:ascii="宋体" w:hAnsi="宋体"/>
          <w:sz w:val="24"/>
        </w:rPr>
      </w:pPr>
      <w:r>
        <w:rPr>
          <w:rFonts w:hint="eastAsia" w:ascii="宋体" w:hAnsi="宋体"/>
          <w:sz w:val="24"/>
        </w:rPr>
        <w:t>d  货物出现故障后，在接到用户通知后，明确响应时间、到达现场时间、排除故障时间；</w:t>
      </w:r>
    </w:p>
    <w:p>
      <w:pPr>
        <w:pStyle w:val="9"/>
        <w:spacing w:line="480" w:lineRule="exact"/>
        <w:ind w:left="1769" w:leftChars="546" w:hanging="568" w:hangingChars="237"/>
        <w:rPr>
          <w:rFonts w:ascii="宋体" w:hAnsi="宋体"/>
          <w:sz w:val="24"/>
        </w:rPr>
      </w:pPr>
      <w:r>
        <w:rPr>
          <w:rFonts w:hint="eastAsia" w:ascii="宋体" w:hAnsi="宋体"/>
          <w:sz w:val="24"/>
        </w:rPr>
        <w:t>e  提供货物使用的指导服务（列出详细培训计划，培训时间与地点、培训人数、培训费用（包括差旅费）、培训内容、培训次数）；</w:t>
      </w:r>
    </w:p>
    <w:p>
      <w:pPr>
        <w:pStyle w:val="9"/>
        <w:spacing w:line="480" w:lineRule="exact"/>
        <w:ind w:left="1579" w:leftChars="543" w:hanging="384" w:hangingChars="160"/>
        <w:rPr>
          <w:rFonts w:ascii="宋体" w:hAnsi="宋体"/>
          <w:sz w:val="24"/>
        </w:rPr>
      </w:pPr>
      <w:r>
        <w:rPr>
          <w:rFonts w:hint="eastAsia" w:ascii="宋体" w:hAnsi="宋体"/>
          <w:sz w:val="24"/>
        </w:rPr>
        <w:t>f  供应商对提供的所有货物，明确质量保证期。质量保证期内，除人为因素损坏外，全部免费维修；</w:t>
      </w:r>
    </w:p>
    <w:p>
      <w:pPr>
        <w:pStyle w:val="9"/>
        <w:spacing w:line="480" w:lineRule="exact"/>
        <w:ind w:left="1769" w:leftChars="546" w:hanging="568" w:hangingChars="237"/>
        <w:rPr>
          <w:rFonts w:ascii="宋体" w:hAnsi="宋体"/>
          <w:sz w:val="24"/>
        </w:rPr>
      </w:pPr>
      <w:r>
        <w:rPr>
          <w:rFonts w:hint="eastAsia" w:ascii="宋体" w:hAnsi="宋体"/>
          <w:sz w:val="24"/>
        </w:rPr>
        <w:t>g  质量保证期以后的维修、维护内容及服务方式、范围和收费等情况；</w:t>
      </w:r>
    </w:p>
    <w:p>
      <w:pPr>
        <w:pStyle w:val="9"/>
        <w:spacing w:line="480" w:lineRule="exact"/>
        <w:ind w:left="1769" w:leftChars="546" w:hanging="568" w:hangingChars="237"/>
        <w:rPr>
          <w:rFonts w:ascii="宋体" w:hAnsi="宋体"/>
          <w:sz w:val="24"/>
        </w:rPr>
      </w:pPr>
      <w:r>
        <w:rPr>
          <w:rFonts w:hint="eastAsia" w:ascii="宋体" w:hAnsi="宋体"/>
          <w:sz w:val="24"/>
        </w:rPr>
        <w:t>h  质保期内及质保期外维护保修方案；</w:t>
      </w:r>
    </w:p>
    <w:p>
      <w:pPr>
        <w:pStyle w:val="9"/>
        <w:spacing w:line="480" w:lineRule="exact"/>
        <w:ind w:left="1769" w:leftChars="546" w:hanging="568" w:hangingChars="237"/>
        <w:rPr>
          <w:rFonts w:ascii="宋体" w:hAnsi="宋体"/>
          <w:sz w:val="24"/>
        </w:rPr>
      </w:pPr>
      <w:r>
        <w:rPr>
          <w:rFonts w:hint="eastAsia" w:ascii="宋体" w:hAnsi="宋体"/>
          <w:sz w:val="24"/>
        </w:rPr>
        <w:t>I  投标人应报出质保期外两年内备品备件、易损件的详细清单及分项报价(</w:t>
      </w:r>
      <w:r>
        <w:rPr>
          <w:rFonts w:hint="eastAsia" w:ascii="宋体" w:hAnsi="宋体"/>
          <w:b/>
          <w:sz w:val="24"/>
        </w:rPr>
        <w:t>不计入总报价</w:t>
      </w:r>
      <w:r>
        <w:rPr>
          <w:rFonts w:hint="eastAsia" w:ascii="宋体" w:hAnsi="宋体"/>
          <w:sz w:val="24"/>
        </w:rPr>
        <w:t>)。</w:t>
      </w:r>
      <w:r>
        <w:rPr>
          <w:rFonts w:hint="eastAsia" w:ascii="宋体" w:hAnsi="宋体" w:cs="宋体"/>
          <w:sz w:val="24"/>
        </w:rPr>
        <w:t></w:t>
      </w:r>
    </w:p>
    <w:p>
      <w:pPr>
        <w:pStyle w:val="9"/>
        <w:spacing w:line="480" w:lineRule="exact"/>
        <w:ind w:left="172" w:leftChars="78" w:firstLine="600" w:firstLineChars="250"/>
        <w:rPr>
          <w:rFonts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 xml:space="preserve"> 商务条款偏离表</w:t>
      </w:r>
    </w:p>
    <w:p>
      <w:pPr>
        <w:pStyle w:val="9"/>
        <w:tabs>
          <w:tab w:val="left" w:pos="382"/>
        </w:tabs>
        <w:spacing w:line="480" w:lineRule="exact"/>
        <w:ind w:left="207" w:leftChars="94" w:firstLine="600" w:firstLineChars="25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其他优惠条件。</w:t>
      </w:r>
    </w:p>
    <w:p>
      <w:pPr>
        <w:pStyle w:val="8"/>
        <w:spacing w:line="331" w:lineRule="auto"/>
        <w:ind w:left="112" w:firstLine="482"/>
        <w:rPr>
          <w:b w:val="0"/>
          <w:bCs w:val="0"/>
          <w:lang w:eastAsia="zh-CN"/>
        </w:rPr>
      </w:pPr>
      <w:r>
        <w:rPr>
          <w:lang w:eastAsia="zh-CN"/>
        </w:rPr>
        <w:t>3.2</w:t>
      </w:r>
      <w:r>
        <w:rPr>
          <w:spacing w:val="-62"/>
          <w:lang w:eastAsia="zh-CN"/>
        </w:rPr>
        <w:t xml:space="preserve"> </w:t>
      </w:r>
      <w:r>
        <w:rPr>
          <w:spacing w:val="3"/>
          <w:lang w:eastAsia="zh-CN"/>
        </w:rPr>
        <w:t>供应商</w:t>
      </w:r>
      <w:r>
        <w:rPr>
          <w:rFonts w:hint="eastAsia"/>
          <w:spacing w:val="3"/>
          <w:lang w:eastAsia="zh-CN"/>
        </w:rPr>
        <w:t>按要求填写报价一览表，</w:t>
      </w:r>
      <w:r>
        <w:rPr>
          <w:spacing w:val="3"/>
          <w:lang w:eastAsia="zh-CN"/>
        </w:rPr>
        <w:t>将在</w:t>
      </w:r>
      <w:r>
        <w:rPr>
          <w:lang w:eastAsia="zh-CN"/>
        </w:rPr>
        <w:t>开标仪式时公开唱价。</w:t>
      </w:r>
    </w:p>
    <w:p>
      <w:pPr>
        <w:pStyle w:val="8"/>
        <w:spacing w:before="24"/>
        <w:rPr>
          <w:b w:val="0"/>
          <w:bCs w:val="0"/>
          <w:lang w:eastAsia="zh-CN"/>
        </w:rPr>
      </w:pPr>
      <w:bookmarkStart w:id="19" w:name="3.3报价"/>
      <w:bookmarkEnd w:id="19"/>
      <w:r>
        <w:rPr>
          <w:lang w:eastAsia="zh-CN"/>
        </w:rPr>
        <w:t>3.3</w:t>
      </w:r>
      <w:r>
        <w:rPr>
          <w:spacing w:val="-64"/>
          <w:lang w:eastAsia="zh-CN"/>
        </w:rPr>
        <w:t xml:space="preserve"> </w:t>
      </w:r>
      <w:r>
        <w:rPr>
          <w:lang w:eastAsia="zh-CN"/>
        </w:rPr>
        <w:t>报价</w:t>
      </w:r>
    </w:p>
    <w:p>
      <w:pPr>
        <w:pStyle w:val="10"/>
        <w:spacing w:before="115"/>
        <w:rPr>
          <w:lang w:eastAsia="zh-CN"/>
        </w:rPr>
      </w:pPr>
      <w:r>
        <w:rPr>
          <w:lang w:eastAsia="zh-CN"/>
        </w:rPr>
        <w:t>（1）本次报价共二次报价，第二次报价为最终报价。</w:t>
      </w:r>
    </w:p>
    <w:p>
      <w:pPr>
        <w:pStyle w:val="10"/>
        <w:spacing w:before="115"/>
        <w:rPr>
          <w:lang w:eastAsia="zh-CN"/>
        </w:rPr>
      </w:pPr>
      <w:r>
        <w:rPr>
          <w:lang w:eastAsia="zh-CN"/>
        </w:rPr>
        <w:t>（2）报价币种：人民币。</w:t>
      </w:r>
    </w:p>
    <w:p>
      <w:pPr>
        <w:pStyle w:val="10"/>
        <w:spacing w:before="115"/>
        <w:rPr>
          <w:lang w:eastAsia="zh-CN"/>
        </w:rPr>
      </w:pPr>
      <w:r>
        <w:rPr>
          <w:lang w:eastAsia="zh-CN"/>
        </w:rPr>
        <w:t>（3）供应商在报价时只能提供一个方案，且此方案只允许有一个报价。</w:t>
      </w:r>
    </w:p>
    <w:p>
      <w:pPr>
        <w:spacing w:before="115" w:line="328" w:lineRule="auto"/>
        <w:ind w:left="112" w:right="113" w:firstLine="480"/>
        <w:jc w:val="both"/>
        <w:rPr>
          <w:rFonts w:ascii="宋体" w:hAnsi="宋体" w:eastAsia="宋体" w:cs="宋体"/>
          <w:sz w:val="24"/>
          <w:szCs w:val="24"/>
          <w:lang w:eastAsia="zh-CN"/>
        </w:rPr>
      </w:pPr>
      <w:r>
        <w:rPr>
          <w:rFonts w:ascii="宋体" w:hAnsi="宋体" w:eastAsia="宋体" w:cs="宋体"/>
          <w:spacing w:val="-1"/>
          <w:sz w:val="24"/>
          <w:szCs w:val="24"/>
          <w:lang w:eastAsia="zh-CN"/>
        </w:rPr>
        <w:t>（4）</w:t>
      </w:r>
      <w:r>
        <w:rPr>
          <w:rFonts w:hint="eastAsia" w:ascii="宋体" w:hAnsi="宋体" w:eastAsia="宋体" w:cs="宋体"/>
          <w:b/>
          <w:bCs/>
          <w:spacing w:val="-1"/>
          <w:sz w:val="24"/>
          <w:szCs w:val="24"/>
          <w:lang w:eastAsia="zh-CN"/>
        </w:rPr>
        <w:t>报价要求：本项目为“交钥匙”项目。投标报总价、明细报价、核算平方报价（报价含完成本项目所需的深化设计、报审费用、主件、标准附件、备品备件、专用工具、安装、调试、检验、培训、技术服务、运输、保险及人工费、调研费、项目过程中的交通食宿费、设备费、管理费、利润、税金、中标服务费等达到招标要求的全部费用）。投标所有深化设计产生的费用，采购人不予承担。供应商报价时遗漏的部分视为已包含在供应商报价中，采购人不予调整。</w:t>
      </w:r>
    </w:p>
    <w:p>
      <w:pPr>
        <w:pStyle w:val="10"/>
        <w:spacing w:before="26"/>
        <w:rPr>
          <w:lang w:eastAsia="zh-CN"/>
        </w:rPr>
      </w:pPr>
      <w:r>
        <w:rPr>
          <w:lang w:eastAsia="zh-CN"/>
        </w:rPr>
        <w:t>（5）供应商在响应文件中报出每项货物的单价和总价；供应商成交的每项货物单价按照供</w:t>
      </w:r>
    </w:p>
    <w:p>
      <w:pPr>
        <w:pStyle w:val="10"/>
        <w:spacing w:before="26"/>
        <w:ind w:left="0"/>
        <w:rPr>
          <w:lang w:eastAsia="zh-CN"/>
        </w:rPr>
      </w:pPr>
      <w:r>
        <w:rPr>
          <w:rFonts w:hint="eastAsia"/>
          <w:lang w:eastAsia="zh-CN"/>
        </w:rPr>
        <w:t>应商第二次报价与第一次报价的下浮比率计算。供应商的报价保留小数点后两位有效数字。</w:t>
      </w:r>
    </w:p>
    <w:p>
      <w:pPr>
        <w:pStyle w:val="10"/>
        <w:spacing w:before="26"/>
        <w:ind w:left="0"/>
        <w:rPr>
          <w:lang w:eastAsia="zh-CN"/>
        </w:rPr>
      </w:pPr>
      <w:r>
        <w:rPr>
          <w:rFonts w:hint="eastAsia"/>
          <w:lang w:eastAsia="zh-CN"/>
        </w:rPr>
        <w:t>供应商应报出所能承受得了的最低的合理价格。明显低于成本价要出具证明。</w:t>
      </w:r>
    </w:p>
    <w:p>
      <w:pPr>
        <w:pStyle w:val="10"/>
        <w:spacing w:before="26"/>
        <w:rPr>
          <w:lang w:eastAsia="zh-CN"/>
        </w:rPr>
      </w:pPr>
      <w:r>
        <w:rPr>
          <w:rFonts w:hint="eastAsia"/>
          <w:lang w:eastAsia="zh-CN"/>
        </w:rPr>
        <w:t>（6）报价表中填写的价格，在合同执行过程中，不得以任何理由变更。凡因供应商对磋商 文件阅读不深、理解不透、误解、疏漏、或因市场行情了解不清造成的后果和风险均由供应商自负。</w:t>
      </w:r>
    </w:p>
    <w:p>
      <w:pPr>
        <w:pStyle w:val="10"/>
        <w:spacing w:before="26"/>
        <w:rPr>
          <w:lang w:eastAsia="zh-CN"/>
        </w:rPr>
      </w:pPr>
      <w:r>
        <w:rPr>
          <w:rFonts w:hint="eastAsia"/>
          <w:lang w:eastAsia="zh-CN"/>
        </w:rPr>
        <w:t>（7） 如果大写的金额和小写的金额不一致时，以大写的金额为准。</w:t>
      </w:r>
    </w:p>
    <w:p>
      <w:pPr>
        <w:pStyle w:val="10"/>
        <w:spacing w:before="26"/>
        <w:rPr>
          <w:lang w:eastAsia="zh-CN"/>
        </w:rPr>
      </w:pPr>
      <w:r>
        <w:rPr>
          <w:rFonts w:hint="eastAsia"/>
          <w:lang w:eastAsia="zh-CN"/>
        </w:rPr>
        <w:t>（8） 供应商免费提供的项目，应先填写该项目的实际价格，并注明免费。此项不计入总 报价。</w:t>
      </w:r>
    </w:p>
    <w:p>
      <w:pPr>
        <w:pStyle w:val="10"/>
        <w:spacing w:before="26"/>
        <w:rPr>
          <w:lang w:eastAsia="zh-CN"/>
        </w:rPr>
      </w:pPr>
      <w:r>
        <w:rPr>
          <w:rFonts w:hint="eastAsia"/>
          <w:lang w:eastAsia="zh-CN"/>
        </w:rPr>
        <w:t>（9） 供应商自行承担制作响应文件等与采购活动相关的一切费用。</w:t>
      </w:r>
    </w:p>
    <w:p>
      <w:pPr>
        <w:pStyle w:val="10"/>
        <w:spacing w:before="26"/>
        <w:ind w:left="0" w:firstLine="480" w:firstLineChars="200"/>
        <w:rPr>
          <w:lang w:eastAsia="zh-CN"/>
        </w:rPr>
      </w:pPr>
      <w:r>
        <w:rPr>
          <w:rFonts w:hint="eastAsia"/>
          <w:lang w:eastAsia="zh-CN"/>
        </w:rPr>
        <w:t>（10） 本项目不允许成交人将项目分包或转包，否则采购人有权取消其成交资格。</w:t>
      </w:r>
    </w:p>
    <w:p>
      <w:pPr>
        <w:pStyle w:val="10"/>
        <w:spacing w:before="26"/>
        <w:ind w:left="0" w:firstLine="480" w:firstLineChars="200"/>
        <w:rPr>
          <w:lang w:eastAsia="zh-CN"/>
        </w:rPr>
      </w:pPr>
    </w:p>
    <w:p>
      <w:pPr>
        <w:pStyle w:val="8"/>
        <w:spacing w:line="328" w:lineRule="auto"/>
        <w:ind w:right="798"/>
        <w:rPr>
          <w:b w:val="0"/>
          <w:bCs w:val="0"/>
          <w:lang w:eastAsia="zh-CN"/>
        </w:rPr>
      </w:pPr>
      <w:r>
        <w:rPr>
          <w:lang w:eastAsia="zh-CN"/>
        </w:rPr>
        <w:t>3.4</w:t>
      </w:r>
      <w:r>
        <w:rPr>
          <w:spacing w:val="-1"/>
          <w:lang w:eastAsia="zh-CN"/>
        </w:rPr>
        <w:t xml:space="preserve"> </w:t>
      </w:r>
      <w:r>
        <w:rPr>
          <w:lang w:eastAsia="zh-CN"/>
        </w:rPr>
        <w:t>报价有效期</w:t>
      </w:r>
    </w:p>
    <w:p>
      <w:pPr>
        <w:pStyle w:val="10"/>
        <w:spacing w:before="29"/>
        <w:ind w:right="86"/>
        <w:rPr>
          <w:lang w:eastAsia="zh-CN"/>
        </w:rPr>
      </w:pPr>
      <w:r>
        <w:rPr>
          <w:lang w:eastAsia="zh-CN"/>
        </w:rPr>
        <w:t>在供应商须知前附表规定的报价有效期内，供应商不得要求撤销或修改其响应文件。</w:t>
      </w:r>
    </w:p>
    <w:p>
      <w:pPr>
        <w:spacing w:before="26" w:line="328" w:lineRule="auto"/>
        <w:ind w:left="592" w:right="6451"/>
        <w:rPr>
          <w:rFonts w:ascii="宋体" w:hAnsi="宋体" w:eastAsia="宋体" w:cs="宋体"/>
          <w:b/>
          <w:bCs/>
          <w:sz w:val="24"/>
          <w:szCs w:val="24"/>
          <w:lang w:eastAsia="zh-CN"/>
        </w:rPr>
      </w:pPr>
      <w:bookmarkStart w:id="20" w:name="3.5_磋商保证金"/>
      <w:bookmarkEnd w:id="20"/>
      <w:r>
        <w:rPr>
          <w:rFonts w:ascii="宋体" w:hAnsi="宋体" w:eastAsia="宋体" w:cs="宋体"/>
          <w:b/>
          <w:bCs/>
          <w:sz w:val="24"/>
          <w:szCs w:val="24"/>
          <w:lang w:eastAsia="zh-CN"/>
        </w:rPr>
        <w:t>3.5 磋商保证金</w:t>
      </w:r>
      <w:bookmarkStart w:id="21" w:name="3.6_资格审查资料"/>
      <w:bookmarkEnd w:id="21"/>
    </w:p>
    <w:p>
      <w:pPr>
        <w:spacing w:before="26" w:line="328" w:lineRule="auto"/>
        <w:ind w:left="592" w:right="6451"/>
        <w:rPr>
          <w:rFonts w:ascii="宋体" w:hAnsi="宋体" w:eastAsia="宋体" w:cs="宋体"/>
          <w:sz w:val="24"/>
          <w:szCs w:val="24"/>
          <w:lang w:eastAsia="zh-CN"/>
        </w:rPr>
      </w:pPr>
      <w:r>
        <w:rPr>
          <w:rFonts w:hint="eastAsia" w:ascii="宋体" w:hAnsi="宋体" w:eastAsia="宋体" w:cs="宋体"/>
          <w:bCs/>
          <w:sz w:val="24"/>
          <w:szCs w:val="24"/>
          <w:lang w:eastAsia="zh-CN"/>
        </w:rPr>
        <w:t>见供应商须知</w:t>
      </w:r>
    </w:p>
    <w:p>
      <w:pPr>
        <w:pStyle w:val="8"/>
        <w:spacing w:before="26"/>
        <w:ind w:right="86"/>
        <w:rPr>
          <w:b w:val="0"/>
          <w:bCs w:val="0"/>
          <w:lang w:eastAsia="zh-CN"/>
        </w:rPr>
      </w:pPr>
      <w:bookmarkStart w:id="22" w:name="3.4_报价有效期"/>
      <w:bookmarkEnd w:id="22"/>
      <w:bookmarkStart w:id="23" w:name="3.7响应文件的编制"/>
      <w:bookmarkEnd w:id="23"/>
      <w:r>
        <w:rPr>
          <w:lang w:eastAsia="zh-CN"/>
        </w:rPr>
        <w:t>3.7</w:t>
      </w:r>
      <w:r>
        <w:rPr>
          <w:spacing w:val="-65"/>
          <w:lang w:eastAsia="zh-CN"/>
        </w:rPr>
        <w:t xml:space="preserve"> </w:t>
      </w:r>
      <w:r>
        <w:rPr>
          <w:lang w:eastAsia="zh-CN"/>
        </w:rPr>
        <w:t>响应文件的编制</w:t>
      </w:r>
    </w:p>
    <w:p>
      <w:pPr>
        <w:adjustRightInd w:val="0"/>
        <w:spacing w:line="329" w:lineRule="auto"/>
        <w:ind w:firstLine="660" w:firstLineChars="300"/>
        <w:jc w:val="both"/>
        <w:rPr>
          <w:lang w:eastAsia="zh-CN"/>
        </w:rPr>
      </w:pPr>
      <w:r>
        <w:rPr>
          <w:rFonts w:hint="eastAsia"/>
          <w:lang w:eastAsia="zh-CN"/>
        </w:rPr>
        <w:t>1、供应商必须将响应文件中的有关文件按上述顺序排列装订成册（胶装），并在首页编制“响应文件目录”。</w:t>
      </w:r>
    </w:p>
    <w:p>
      <w:pPr>
        <w:adjustRightInd w:val="0"/>
        <w:spacing w:line="329" w:lineRule="auto"/>
        <w:ind w:firstLine="660" w:firstLineChars="300"/>
        <w:jc w:val="both"/>
        <w:rPr>
          <w:lang w:eastAsia="zh-CN"/>
        </w:rPr>
      </w:pPr>
      <w:r>
        <w:rPr>
          <w:rFonts w:hint="eastAsia"/>
          <w:lang w:eastAsia="zh-CN"/>
        </w:rPr>
        <w:t>2、 供应商应准备三份响应文件，一份正本和二份副本以及单独密封的开标一览表两份。在每一份响应文件上要注明“正本”或“副本”字样。供应商应保证响应文件正本与副本的内容严格一致，如果正本与副本不一致，以正本为准；如果单独密封的开标一览表与响应文件正本有差异，以开标一览表为准；响应文件中的开标一览表与响应文件中明细表内容不一致的，以开标一览表为准。</w:t>
      </w:r>
    </w:p>
    <w:p>
      <w:pPr>
        <w:adjustRightInd w:val="0"/>
        <w:spacing w:line="329" w:lineRule="auto"/>
        <w:ind w:firstLine="660" w:firstLineChars="300"/>
        <w:jc w:val="both"/>
        <w:rPr>
          <w:lang w:eastAsia="zh-CN"/>
        </w:rPr>
      </w:pPr>
      <w:r>
        <w:rPr>
          <w:rFonts w:hint="eastAsia"/>
          <w:lang w:eastAsia="zh-CN"/>
        </w:rPr>
        <w:t>3、 响应文件正本和副本用A4幅面的纸张打印。</w:t>
      </w:r>
    </w:p>
    <w:p>
      <w:pPr>
        <w:adjustRightInd w:val="0"/>
        <w:spacing w:line="329" w:lineRule="auto"/>
        <w:ind w:firstLine="660" w:firstLineChars="300"/>
        <w:jc w:val="both"/>
        <w:rPr>
          <w:lang w:eastAsia="zh-CN"/>
        </w:rPr>
      </w:pPr>
      <w:r>
        <w:rPr>
          <w:rFonts w:hint="eastAsia"/>
          <w:lang w:eastAsia="zh-CN"/>
        </w:rPr>
        <w:t>4 、响应文件应严格按照竞争性磋商文件的要求提交，并按规定的统一格式逐项填写，不准有空项；无相应内容可填的项应填写“无”、“没有相应指标”等明确的回答文字。响应文件未按规定提交或留有空项，将被视为不完整响应的响应文件，其投标有可能被拒绝。</w:t>
      </w:r>
    </w:p>
    <w:p>
      <w:pPr>
        <w:adjustRightInd w:val="0"/>
        <w:spacing w:line="329" w:lineRule="auto"/>
        <w:jc w:val="both"/>
        <w:rPr>
          <w:lang w:eastAsia="zh-CN"/>
        </w:rPr>
      </w:pPr>
      <w:r>
        <w:rPr>
          <w:rFonts w:hint="eastAsia"/>
          <w:lang w:eastAsia="zh-CN"/>
        </w:rPr>
        <w:t>5 因响应文件字迹潦草、模糊或表达不清所引起的不利后果由供应商承担。</w:t>
      </w:r>
    </w:p>
    <w:p>
      <w:pPr>
        <w:pStyle w:val="8"/>
        <w:spacing w:before="26"/>
        <w:ind w:right="86"/>
      </w:pPr>
      <w:r>
        <w:rPr>
          <w:rFonts w:hint="eastAsia"/>
        </w:rPr>
        <w:t>3.8.  响应文件签署</w:t>
      </w:r>
    </w:p>
    <w:p>
      <w:pPr>
        <w:spacing w:line="328" w:lineRule="auto"/>
        <w:ind w:firstLine="660" w:firstLineChars="300"/>
        <w:jc w:val="both"/>
        <w:rPr>
          <w:lang w:eastAsia="zh-CN"/>
        </w:rPr>
      </w:pPr>
      <w:r>
        <w:rPr>
          <w:rFonts w:hint="eastAsia"/>
          <w:lang w:eastAsia="zh-CN"/>
        </w:rPr>
        <w:t>1、法定代表人或授权代理人必须按竞争性磋商文件的规定在响应文件（正本、副本及各附件）、开标一览表上签字并加盖供应商单位公章，不得使用其它形式如带有“专用章”等字样的印章，否则投标将被视为无效。如供应商对响应文件进行了修改，则须由供应商的法定代表人或授权代理人在修改处签字或加盖公章。</w:t>
      </w:r>
    </w:p>
    <w:p>
      <w:pPr>
        <w:spacing w:line="328" w:lineRule="auto"/>
        <w:ind w:firstLine="660" w:firstLineChars="300"/>
        <w:jc w:val="both"/>
        <w:rPr>
          <w:lang w:eastAsia="zh-CN"/>
        </w:rPr>
      </w:pPr>
      <w:r>
        <w:rPr>
          <w:rFonts w:hint="eastAsia"/>
          <w:lang w:eastAsia="zh-CN"/>
        </w:rPr>
        <w:t>2、 任何行间插字、涂改和增删，必须由供应商的法定代表人或授权代理人签字或盖章或加盖公章后才有效，授权代理人签字或盖章的需在响应文件中提供法人授权委托书，否则签字或盖章无效。</w:t>
      </w:r>
    </w:p>
    <w:p>
      <w:pPr>
        <w:pStyle w:val="8"/>
        <w:spacing w:before="26"/>
        <w:ind w:right="86"/>
        <w:rPr>
          <w:lang w:eastAsia="zh-CN"/>
        </w:rPr>
      </w:pPr>
      <w:r>
        <w:rPr>
          <w:rFonts w:hint="eastAsia"/>
          <w:lang w:eastAsia="zh-CN"/>
        </w:rPr>
        <w:t>3.9响应文件密封和标记</w:t>
      </w:r>
    </w:p>
    <w:p>
      <w:pPr>
        <w:spacing w:line="328" w:lineRule="auto"/>
        <w:ind w:firstLine="660" w:firstLineChars="300"/>
        <w:jc w:val="both"/>
        <w:rPr>
          <w:lang w:eastAsia="zh-CN"/>
        </w:rPr>
      </w:pPr>
      <w:r>
        <w:rPr>
          <w:rFonts w:hint="eastAsia"/>
          <w:lang w:eastAsia="zh-CN"/>
        </w:rPr>
        <w:t>1、 供应商应将响应文件正、副本一同密封送达，并在封面明显处注明以下内容</w:t>
      </w:r>
    </w:p>
    <w:p>
      <w:pPr>
        <w:spacing w:line="328" w:lineRule="auto"/>
        <w:ind w:firstLine="660" w:firstLineChars="300"/>
        <w:jc w:val="both"/>
        <w:rPr>
          <w:lang w:eastAsia="zh-CN"/>
        </w:rPr>
      </w:pPr>
      <w:r>
        <w:rPr>
          <w:rFonts w:hint="eastAsia"/>
          <w:lang w:eastAsia="zh-CN"/>
        </w:rPr>
        <w:t>1) 招标编号、项目名称、包号</w:t>
      </w:r>
    </w:p>
    <w:p>
      <w:pPr>
        <w:spacing w:line="328" w:lineRule="auto"/>
        <w:ind w:firstLine="660" w:firstLineChars="300"/>
        <w:jc w:val="both"/>
        <w:rPr>
          <w:lang w:eastAsia="zh-CN"/>
        </w:rPr>
      </w:pPr>
      <w:r>
        <w:rPr>
          <w:rFonts w:hint="eastAsia"/>
          <w:lang w:eastAsia="zh-CN"/>
        </w:rPr>
        <w:t>2) 供应商名称（加盖公章）、地址、邮编、电话、传真</w:t>
      </w:r>
    </w:p>
    <w:p>
      <w:pPr>
        <w:spacing w:line="328" w:lineRule="auto"/>
        <w:ind w:firstLine="660" w:firstLineChars="300"/>
        <w:jc w:val="both"/>
        <w:rPr>
          <w:lang w:eastAsia="zh-CN"/>
        </w:rPr>
      </w:pPr>
      <w:r>
        <w:rPr>
          <w:rFonts w:hint="eastAsia"/>
          <w:lang w:eastAsia="zh-CN"/>
        </w:rPr>
        <w:t>2、 为方便公开唱标，请供应商将两份“开标一览表”单独密封，并注明开标一览表，项目名称、招标编号、供应商名称（加盖公章），与响应文件同时提交。</w:t>
      </w:r>
    </w:p>
    <w:p>
      <w:pPr>
        <w:spacing w:line="328" w:lineRule="auto"/>
        <w:ind w:firstLine="660" w:firstLineChars="300"/>
        <w:jc w:val="both"/>
        <w:rPr>
          <w:lang w:eastAsia="zh-CN"/>
        </w:rPr>
      </w:pPr>
      <w:r>
        <w:rPr>
          <w:rFonts w:hint="eastAsia"/>
          <w:lang w:eastAsia="zh-CN"/>
        </w:rPr>
        <w:t>3 、每一密封文件在封口处加盖供应商公章或授权代表签字，并注明“于 2019年  月   日9:00时之前不准启封”字样。</w:t>
      </w:r>
    </w:p>
    <w:p>
      <w:pPr>
        <w:spacing w:line="328" w:lineRule="auto"/>
        <w:ind w:firstLine="660" w:firstLineChars="300"/>
        <w:jc w:val="both"/>
        <w:rPr>
          <w:lang w:eastAsia="zh-CN"/>
        </w:rPr>
        <w:sectPr>
          <w:footerReference r:id="rId6" w:type="default"/>
          <w:pgSz w:w="11910" w:h="16840"/>
          <w:pgMar w:top="900" w:right="620" w:bottom="960" w:left="1020" w:header="0" w:footer="771" w:gutter="0"/>
          <w:cols w:space="720" w:num="1"/>
        </w:sectPr>
      </w:pPr>
      <w:r>
        <w:rPr>
          <w:rFonts w:hint="eastAsia"/>
          <w:lang w:eastAsia="zh-CN"/>
        </w:rPr>
        <w:t>4 、如果供应商未按上述要求对响应文件密封及加写标记，采购人对响应文件提前启封概不负责。对由此造成提前开封的响应文件，采购人有权予以拒绝，并退回供应商</w:t>
      </w:r>
    </w:p>
    <w:p>
      <w:pPr>
        <w:spacing w:line="403" w:lineRule="exact"/>
        <w:ind w:left="112" w:right="86"/>
        <w:rPr>
          <w:rFonts w:ascii="宋体" w:hAnsi="宋体" w:eastAsia="宋体" w:cs="宋体"/>
          <w:sz w:val="32"/>
          <w:szCs w:val="32"/>
          <w:lang w:eastAsia="zh-CN"/>
        </w:rPr>
      </w:pPr>
      <w:bookmarkStart w:id="24" w:name="4._报价"/>
      <w:bookmarkEnd w:id="24"/>
      <w:r>
        <w:rPr>
          <w:rFonts w:ascii="宋体" w:hAnsi="宋体" w:eastAsia="宋体" w:cs="宋体"/>
          <w:b/>
          <w:bCs/>
          <w:sz w:val="32"/>
          <w:szCs w:val="32"/>
          <w:lang w:eastAsia="zh-CN"/>
        </w:rPr>
        <w:t>4.</w:t>
      </w:r>
      <w:r>
        <w:rPr>
          <w:rFonts w:ascii="宋体" w:hAnsi="宋体" w:eastAsia="宋体" w:cs="宋体"/>
          <w:b/>
          <w:bCs/>
          <w:spacing w:val="-4"/>
          <w:sz w:val="32"/>
          <w:szCs w:val="32"/>
          <w:lang w:eastAsia="zh-CN"/>
        </w:rPr>
        <w:t xml:space="preserve"> </w:t>
      </w:r>
      <w:r>
        <w:rPr>
          <w:rFonts w:ascii="宋体" w:hAnsi="宋体" w:eastAsia="宋体" w:cs="宋体"/>
          <w:b/>
          <w:bCs/>
          <w:sz w:val="32"/>
          <w:szCs w:val="32"/>
          <w:lang w:eastAsia="zh-CN"/>
        </w:rPr>
        <w:t>报价</w:t>
      </w:r>
    </w:p>
    <w:p>
      <w:pPr>
        <w:pStyle w:val="8"/>
        <w:spacing w:before="104"/>
        <w:ind w:right="86"/>
        <w:rPr>
          <w:b w:val="0"/>
          <w:bCs w:val="0"/>
          <w:lang w:eastAsia="zh-CN"/>
        </w:rPr>
      </w:pPr>
      <w:bookmarkStart w:id="25" w:name="4.1_响应文件的密封和标记"/>
      <w:bookmarkEnd w:id="25"/>
      <w:r>
        <w:rPr>
          <w:lang w:eastAsia="zh-CN"/>
        </w:rPr>
        <w:t>4.1</w:t>
      </w:r>
      <w:r>
        <w:rPr>
          <w:spacing w:val="-2"/>
          <w:lang w:eastAsia="zh-CN"/>
        </w:rPr>
        <w:t xml:space="preserve"> </w:t>
      </w:r>
      <w:r>
        <w:rPr>
          <w:lang w:eastAsia="zh-CN"/>
        </w:rPr>
        <w:t>响应文件的密封和标记</w:t>
      </w:r>
    </w:p>
    <w:p>
      <w:pPr>
        <w:pStyle w:val="10"/>
        <w:spacing w:before="115"/>
        <w:ind w:right="86"/>
        <w:rPr>
          <w:lang w:eastAsia="zh-CN"/>
        </w:rPr>
      </w:pPr>
      <w:r>
        <w:rPr>
          <w:lang w:eastAsia="zh-CN"/>
        </w:rPr>
        <w:t>4.1.1</w:t>
      </w:r>
      <w:r>
        <w:rPr>
          <w:spacing w:val="-60"/>
          <w:lang w:eastAsia="zh-CN"/>
        </w:rPr>
        <w:t xml:space="preserve"> </w:t>
      </w:r>
      <w:r>
        <w:rPr>
          <w:lang w:eastAsia="zh-CN"/>
        </w:rPr>
        <w:t>响应文件的密封和标记详见供应商须知前附表规定。</w:t>
      </w:r>
    </w:p>
    <w:p>
      <w:pPr>
        <w:pStyle w:val="8"/>
        <w:ind w:right="86"/>
        <w:rPr>
          <w:b w:val="0"/>
          <w:bCs w:val="0"/>
          <w:lang w:eastAsia="zh-CN"/>
        </w:rPr>
      </w:pPr>
      <w:bookmarkStart w:id="26" w:name="4.2_响应文件的递交"/>
      <w:bookmarkEnd w:id="26"/>
      <w:r>
        <w:rPr>
          <w:lang w:eastAsia="zh-CN"/>
        </w:rPr>
        <w:t>4.2</w:t>
      </w:r>
      <w:r>
        <w:rPr>
          <w:spacing w:val="-3"/>
          <w:lang w:eastAsia="zh-CN"/>
        </w:rPr>
        <w:t xml:space="preserve"> </w:t>
      </w:r>
      <w:r>
        <w:rPr>
          <w:lang w:eastAsia="zh-CN"/>
        </w:rPr>
        <w:t>响应文件的递交</w:t>
      </w:r>
    </w:p>
    <w:p>
      <w:pPr>
        <w:pStyle w:val="10"/>
        <w:spacing w:before="118"/>
        <w:ind w:right="86"/>
        <w:rPr>
          <w:lang w:eastAsia="zh-CN"/>
        </w:rPr>
      </w:pPr>
      <w:r>
        <w:rPr>
          <w:lang w:eastAsia="zh-CN"/>
        </w:rPr>
        <w:t>4.2.1</w:t>
      </w:r>
      <w:r>
        <w:rPr>
          <w:spacing w:val="-60"/>
          <w:lang w:eastAsia="zh-CN"/>
        </w:rPr>
        <w:t xml:space="preserve"> </w:t>
      </w:r>
      <w:r>
        <w:rPr>
          <w:lang w:eastAsia="zh-CN"/>
        </w:rPr>
        <w:t>供应商应在规定的响应截止时间前递交纸质响应文件。</w:t>
      </w:r>
    </w:p>
    <w:p>
      <w:pPr>
        <w:pStyle w:val="10"/>
        <w:spacing w:before="115"/>
        <w:ind w:right="86"/>
        <w:rPr>
          <w:lang w:eastAsia="zh-CN"/>
        </w:rPr>
      </w:pPr>
      <w:r>
        <w:rPr>
          <w:lang w:eastAsia="zh-CN"/>
        </w:rPr>
        <w:t>4.2.2 供应商递交纸质响应文件的地点：见供应商须知前附表。</w:t>
      </w:r>
    </w:p>
    <w:p>
      <w:pPr>
        <w:pStyle w:val="10"/>
        <w:spacing w:before="115"/>
        <w:ind w:right="86"/>
        <w:rPr>
          <w:lang w:eastAsia="zh-CN"/>
        </w:rPr>
      </w:pPr>
      <w:r>
        <w:rPr>
          <w:lang w:eastAsia="zh-CN"/>
        </w:rPr>
        <w:t>4.2.3</w:t>
      </w:r>
      <w:r>
        <w:rPr>
          <w:spacing w:val="-40"/>
          <w:lang w:eastAsia="zh-CN"/>
        </w:rPr>
        <w:t xml:space="preserve"> </w:t>
      </w:r>
      <w:r>
        <w:rPr>
          <w:lang w:eastAsia="zh-CN"/>
        </w:rPr>
        <w:t>除供应商须知前附表另有规定外，供应商所递交的纸质和电子版响应文件不予退还。</w:t>
      </w:r>
    </w:p>
    <w:p>
      <w:pPr>
        <w:pStyle w:val="10"/>
        <w:spacing w:before="115"/>
        <w:ind w:right="86"/>
        <w:rPr>
          <w:lang w:eastAsia="zh-CN"/>
        </w:rPr>
      </w:pPr>
      <w:r>
        <w:rPr>
          <w:lang w:eastAsia="zh-CN"/>
        </w:rPr>
        <w:t>4.2.4 采购人收到纸质响应文件后，向供应商出具签收凭证。</w:t>
      </w:r>
    </w:p>
    <w:p>
      <w:pPr>
        <w:pStyle w:val="10"/>
        <w:spacing w:before="115" w:line="328" w:lineRule="auto"/>
        <w:ind w:left="112" w:right="86" w:firstLine="480"/>
        <w:rPr>
          <w:lang w:eastAsia="zh-CN"/>
        </w:rPr>
      </w:pPr>
      <w:r>
        <w:rPr>
          <w:lang w:eastAsia="zh-CN"/>
        </w:rPr>
        <w:t>4.2.5</w:t>
      </w:r>
      <w:r>
        <w:rPr>
          <w:spacing w:val="57"/>
          <w:lang w:eastAsia="zh-CN"/>
        </w:rPr>
        <w:t xml:space="preserve"> </w:t>
      </w:r>
      <w:r>
        <w:rPr>
          <w:lang w:eastAsia="zh-CN"/>
        </w:rPr>
        <w:t>逾期送达的或者未送达指定地点的纸质响应文件，采 购人不予受理。</w:t>
      </w:r>
    </w:p>
    <w:p>
      <w:pPr>
        <w:pStyle w:val="8"/>
        <w:spacing w:before="29"/>
        <w:ind w:right="86"/>
        <w:rPr>
          <w:b w:val="0"/>
          <w:bCs w:val="0"/>
          <w:lang w:eastAsia="zh-CN"/>
        </w:rPr>
      </w:pPr>
      <w:bookmarkStart w:id="27" w:name="4.3_响应文件的修改与撤回"/>
      <w:bookmarkEnd w:id="27"/>
      <w:r>
        <w:rPr>
          <w:lang w:eastAsia="zh-CN"/>
        </w:rPr>
        <w:t>4.3</w:t>
      </w:r>
      <w:r>
        <w:rPr>
          <w:spacing w:val="-2"/>
          <w:lang w:eastAsia="zh-CN"/>
        </w:rPr>
        <w:t xml:space="preserve"> </w:t>
      </w:r>
      <w:r>
        <w:rPr>
          <w:lang w:eastAsia="zh-CN"/>
        </w:rPr>
        <w:t>响应文件的修改与撤回</w:t>
      </w:r>
    </w:p>
    <w:p>
      <w:pPr>
        <w:pStyle w:val="10"/>
        <w:spacing w:before="115" w:line="328" w:lineRule="auto"/>
        <w:ind w:left="112" w:right="86" w:firstLine="480"/>
        <w:rPr>
          <w:lang w:eastAsia="zh-CN"/>
        </w:rPr>
      </w:pPr>
      <w:r>
        <w:rPr>
          <w:lang w:eastAsia="zh-CN"/>
        </w:rPr>
        <w:t>4.3.1</w:t>
      </w:r>
      <w:r>
        <w:rPr>
          <w:spacing w:val="57"/>
          <w:lang w:eastAsia="zh-CN"/>
        </w:rPr>
        <w:t xml:space="preserve"> </w:t>
      </w:r>
      <w:r>
        <w:rPr>
          <w:lang w:eastAsia="zh-CN"/>
        </w:rPr>
        <w:t>在供应商须知前附表中规定的报价截止时间前，供应商可以修改或撤回已递交的响 应文件，但应以书面形式通知采购人。</w:t>
      </w:r>
    </w:p>
    <w:p>
      <w:pPr>
        <w:pStyle w:val="10"/>
        <w:spacing w:before="26" w:line="328" w:lineRule="auto"/>
        <w:ind w:left="112" w:right="86" w:firstLine="480"/>
        <w:rPr>
          <w:lang w:eastAsia="zh-CN"/>
        </w:rPr>
      </w:pPr>
      <w:r>
        <w:rPr>
          <w:lang w:eastAsia="zh-CN"/>
        </w:rPr>
        <w:t>4.3.2</w:t>
      </w:r>
      <w:r>
        <w:rPr>
          <w:spacing w:val="57"/>
          <w:lang w:eastAsia="zh-CN"/>
        </w:rPr>
        <w:t xml:space="preserve"> </w:t>
      </w:r>
      <w:r>
        <w:rPr>
          <w:lang w:eastAsia="zh-CN"/>
        </w:rPr>
        <w:t>供应商修改或撤回已递交响应文件的书面通知应按照供应商须知前附表的要求签字 或盖章。采购人收到书面通知后，向供应商出具签收凭证。</w:t>
      </w:r>
    </w:p>
    <w:p>
      <w:pPr>
        <w:pStyle w:val="10"/>
        <w:spacing w:before="26" w:line="331" w:lineRule="auto"/>
        <w:ind w:left="112" w:right="86" w:firstLine="480"/>
        <w:rPr>
          <w:lang w:eastAsia="zh-CN"/>
        </w:rPr>
      </w:pPr>
      <w:r>
        <w:rPr>
          <w:lang w:eastAsia="zh-CN"/>
        </w:rPr>
        <w:t>4.3.3</w:t>
      </w:r>
      <w:r>
        <w:rPr>
          <w:spacing w:val="57"/>
          <w:lang w:eastAsia="zh-CN"/>
        </w:rPr>
        <w:t xml:space="preserve"> </w:t>
      </w:r>
      <w:r>
        <w:rPr>
          <w:lang w:eastAsia="zh-CN"/>
        </w:rPr>
        <w:t>修改的内容为响应文件的组成部分。修改的响应文件应按照供应商须知前附表规定 进行编制、密封、标记和递交，并标明“修改”字样。</w:t>
      </w:r>
    </w:p>
    <w:p>
      <w:pPr>
        <w:spacing w:before="22"/>
        <w:ind w:left="112" w:right="86"/>
        <w:rPr>
          <w:rFonts w:ascii="宋体" w:hAnsi="宋体" w:eastAsia="宋体" w:cs="宋体"/>
          <w:sz w:val="32"/>
          <w:szCs w:val="32"/>
          <w:lang w:eastAsia="zh-CN"/>
        </w:rPr>
      </w:pPr>
      <w:bookmarkStart w:id="28" w:name="5._开标"/>
      <w:bookmarkEnd w:id="28"/>
      <w:r>
        <w:rPr>
          <w:rFonts w:ascii="宋体" w:hAnsi="宋体" w:eastAsia="宋体" w:cs="宋体"/>
          <w:b/>
          <w:bCs/>
          <w:sz w:val="32"/>
          <w:szCs w:val="32"/>
          <w:lang w:eastAsia="zh-CN"/>
        </w:rPr>
        <w:t>5.</w:t>
      </w:r>
      <w:r>
        <w:rPr>
          <w:rFonts w:ascii="宋体" w:hAnsi="宋体" w:eastAsia="宋体" w:cs="宋体"/>
          <w:b/>
          <w:bCs/>
          <w:spacing w:val="-4"/>
          <w:sz w:val="32"/>
          <w:szCs w:val="32"/>
          <w:lang w:eastAsia="zh-CN"/>
        </w:rPr>
        <w:t xml:space="preserve"> </w:t>
      </w:r>
      <w:r>
        <w:rPr>
          <w:rFonts w:ascii="宋体" w:hAnsi="宋体" w:eastAsia="宋体" w:cs="宋体"/>
          <w:b/>
          <w:bCs/>
          <w:sz w:val="32"/>
          <w:szCs w:val="32"/>
          <w:lang w:eastAsia="zh-CN"/>
        </w:rPr>
        <w:t>开标</w:t>
      </w:r>
    </w:p>
    <w:p>
      <w:pPr>
        <w:spacing w:before="104" w:line="328" w:lineRule="auto"/>
        <w:ind w:left="110" w:leftChars="50" w:right="86" w:firstLine="361" w:firstLineChars="150"/>
        <w:rPr>
          <w:rFonts w:ascii="宋体" w:hAnsi="宋体" w:eastAsia="宋体" w:cs="宋体"/>
          <w:sz w:val="24"/>
          <w:szCs w:val="24"/>
          <w:lang w:eastAsia="zh-CN"/>
        </w:rPr>
      </w:pPr>
      <w:bookmarkStart w:id="29" w:name="5.1_开标时间和地点"/>
      <w:bookmarkEnd w:id="29"/>
      <w:r>
        <w:rPr>
          <w:rFonts w:ascii="宋体" w:hAnsi="宋体" w:eastAsia="宋体" w:cs="宋体"/>
          <w:b/>
          <w:bCs/>
          <w:sz w:val="24"/>
          <w:szCs w:val="24"/>
          <w:lang w:eastAsia="zh-CN"/>
        </w:rPr>
        <w:t>5.1 磋商时间和地点</w:t>
      </w:r>
      <w:r>
        <w:rPr>
          <w:rFonts w:ascii="宋体" w:hAnsi="宋体" w:eastAsia="宋体" w:cs="宋体"/>
          <w:b/>
          <w:bCs/>
          <w:w w:val="99"/>
          <w:sz w:val="24"/>
          <w:szCs w:val="24"/>
          <w:lang w:eastAsia="zh-CN"/>
        </w:rPr>
        <w:t xml:space="preserve"> </w:t>
      </w:r>
      <w:r>
        <w:rPr>
          <w:rFonts w:ascii="宋体" w:hAnsi="宋体" w:eastAsia="宋体" w:cs="宋体"/>
          <w:spacing w:val="-3"/>
          <w:sz w:val="24"/>
          <w:szCs w:val="24"/>
          <w:lang w:eastAsia="zh-CN"/>
        </w:rPr>
        <w:t>采购人在供应商须知前附表规定的报价截止时间（磋商时间）和地点公开开标。所有供应商</w:t>
      </w:r>
      <w:r>
        <w:rPr>
          <w:lang w:eastAsia="zh-CN"/>
        </w:rPr>
        <w:t>的法定代表人（或其委托代理人）准时参加，供应商的法定代表人（或其委托代理人）未按时</w:t>
      </w:r>
      <w:r>
        <w:rPr>
          <w:spacing w:val="-53"/>
          <w:lang w:eastAsia="zh-CN"/>
        </w:rPr>
        <w:t xml:space="preserve"> </w:t>
      </w:r>
      <w:r>
        <w:rPr>
          <w:lang w:eastAsia="zh-CN"/>
        </w:rPr>
        <w:t>参加开标会的，其响应文件将被拒绝。</w:t>
      </w:r>
    </w:p>
    <w:p>
      <w:pPr>
        <w:pStyle w:val="10"/>
        <w:spacing w:before="24" w:line="328" w:lineRule="auto"/>
        <w:ind w:left="712" w:right="86" w:hanging="240"/>
        <w:rPr>
          <w:lang w:eastAsia="zh-CN"/>
        </w:rPr>
      </w:pPr>
      <w:bookmarkStart w:id="30" w:name="5.2_开标程序"/>
      <w:bookmarkEnd w:id="30"/>
      <w:r>
        <w:rPr>
          <w:rFonts w:cs="宋体"/>
          <w:b/>
          <w:bCs/>
          <w:lang w:eastAsia="zh-CN"/>
        </w:rPr>
        <w:t>5.2 开标程序</w:t>
      </w:r>
      <w:r>
        <w:rPr>
          <w:rFonts w:cs="宋体"/>
          <w:b/>
          <w:bCs/>
          <w:w w:val="99"/>
          <w:lang w:eastAsia="zh-CN"/>
        </w:rPr>
        <w:t xml:space="preserve"> </w:t>
      </w:r>
      <w:r>
        <w:rPr>
          <w:spacing w:val="-2"/>
          <w:lang w:eastAsia="zh-CN"/>
        </w:rPr>
        <w:t>开标由采购人主持，由有关监督部门进行监督。开标时供应商需要携带的证件及业绩的提</w:t>
      </w:r>
      <w:r>
        <w:rPr>
          <w:lang w:eastAsia="zh-CN"/>
        </w:rPr>
        <w:t xml:space="preserve">交详见供应商须知前附表。 </w:t>
      </w:r>
    </w:p>
    <w:p>
      <w:pPr>
        <w:pStyle w:val="10"/>
        <w:spacing w:before="24" w:line="328" w:lineRule="auto"/>
        <w:ind w:left="712" w:right="86" w:hanging="240"/>
        <w:rPr>
          <w:lang w:eastAsia="zh-CN"/>
        </w:rPr>
      </w:pPr>
      <w:r>
        <w:rPr>
          <w:lang w:eastAsia="zh-CN"/>
        </w:rPr>
        <w:t>主持人按下列程序进行开标：</w:t>
      </w:r>
    </w:p>
    <w:p>
      <w:pPr>
        <w:pStyle w:val="10"/>
        <w:spacing w:before="2"/>
        <w:ind w:right="86"/>
        <w:rPr>
          <w:lang w:eastAsia="zh-CN"/>
        </w:rPr>
      </w:pPr>
      <w:r>
        <w:rPr>
          <w:lang w:eastAsia="zh-CN"/>
        </w:rPr>
        <w:t>（1）采购人确认供应商相关人员是否到场。</w:t>
      </w:r>
    </w:p>
    <w:p>
      <w:pPr>
        <w:pStyle w:val="10"/>
        <w:spacing w:before="86"/>
        <w:ind w:right="86"/>
        <w:rPr>
          <w:lang w:eastAsia="zh-CN"/>
        </w:rPr>
      </w:pPr>
      <w:r>
        <w:rPr>
          <w:lang w:eastAsia="zh-CN"/>
        </w:rPr>
        <w:t>（2）宣布开标纪律。</w:t>
      </w:r>
    </w:p>
    <w:p>
      <w:pPr>
        <w:pStyle w:val="10"/>
        <w:spacing w:before="86"/>
        <w:ind w:right="86"/>
        <w:rPr>
          <w:lang w:eastAsia="zh-CN"/>
        </w:rPr>
      </w:pPr>
      <w:r>
        <w:rPr>
          <w:lang w:eastAsia="zh-CN"/>
        </w:rPr>
        <w:t>（3）供应商代表相互检查纸质响应文件密封情况，并签字确认。</w:t>
      </w:r>
    </w:p>
    <w:p>
      <w:pPr>
        <w:pStyle w:val="10"/>
        <w:spacing w:before="86" w:line="304" w:lineRule="auto"/>
        <w:ind w:left="112" w:right="86" w:firstLine="480"/>
        <w:rPr>
          <w:lang w:eastAsia="zh-CN"/>
        </w:rPr>
      </w:pPr>
      <w:r>
        <w:rPr>
          <w:lang w:eastAsia="zh-CN"/>
        </w:rPr>
        <w:t>（5）唱标。代理机构工作人员在开标现场唱标。唱标的具体要求见供应商须知前附表。</w:t>
      </w:r>
    </w:p>
    <w:p>
      <w:pPr>
        <w:pStyle w:val="10"/>
        <w:spacing w:before="22"/>
        <w:ind w:right="86"/>
        <w:rPr>
          <w:lang w:eastAsia="zh-CN"/>
        </w:rPr>
      </w:pPr>
      <w:r>
        <w:rPr>
          <w:lang w:eastAsia="zh-CN"/>
        </w:rPr>
        <w:t>（6）签字确认开标记录。由采购人、供应商、监标人、记录人等相关人员在开标记录上签</w:t>
      </w:r>
    </w:p>
    <w:p>
      <w:pPr>
        <w:pStyle w:val="10"/>
        <w:spacing w:before="14"/>
        <w:ind w:left="112" w:right="86"/>
        <w:rPr>
          <w:lang w:eastAsia="zh-CN"/>
        </w:rPr>
      </w:pPr>
      <w:r>
        <w:rPr>
          <w:lang w:eastAsia="zh-CN"/>
        </w:rPr>
        <w:t>字确认。</w:t>
      </w:r>
    </w:p>
    <w:p>
      <w:pPr>
        <w:pStyle w:val="10"/>
        <w:spacing w:before="110"/>
        <w:ind w:right="86"/>
        <w:rPr>
          <w:lang w:eastAsia="zh-CN"/>
        </w:rPr>
      </w:pPr>
      <w:r>
        <w:rPr>
          <w:lang w:eastAsia="zh-CN"/>
        </w:rPr>
        <w:t>（7）开标结束。</w:t>
      </w:r>
    </w:p>
    <w:p>
      <w:pPr>
        <w:spacing w:before="91" w:line="326" w:lineRule="auto"/>
        <w:ind w:left="592" w:right="6991"/>
        <w:rPr>
          <w:rFonts w:ascii="宋体" w:hAnsi="宋体" w:eastAsia="宋体" w:cs="宋体"/>
          <w:b/>
          <w:bCs/>
          <w:w w:val="99"/>
          <w:sz w:val="24"/>
          <w:szCs w:val="24"/>
          <w:lang w:eastAsia="zh-CN"/>
        </w:rPr>
      </w:pPr>
      <w:bookmarkStart w:id="31" w:name="6._磋商"/>
      <w:bookmarkEnd w:id="31"/>
      <w:r>
        <w:rPr>
          <w:rFonts w:ascii="Calibri" w:hAnsi="Calibri" w:eastAsia="Calibri" w:cs="Calibri"/>
          <w:b/>
          <w:bCs/>
          <w:sz w:val="24"/>
          <w:szCs w:val="24"/>
          <w:lang w:eastAsia="zh-CN"/>
        </w:rPr>
        <w:t>6.</w:t>
      </w:r>
      <w:r>
        <w:rPr>
          <w:rFonts w:ascii="Calibri" w:hAnsi="Calibri" w:eastAsia="Calibri" w:cs="Calibri"/>
          <w:b/>
          <w:bCs/>
          <w:spacing w:val="11"/>
          <w:sz w:val="24"/>
          <w:szCs w:val="24"/>
          <w:lang w:eastAsia="zh-CN"/>
        </w:rPr>
        <w:t xml:space="preserve"> </w:t>
      </w:r>
      <w:r>
        <w:rPr>
          <w:rFonts w:ascii="宋体" w:hAnsi="宋体" w:eastAsia="宋体" w:cs="宋体"/>
          <w:b/>
          <w:bCs/>
          <w:sz w:val="24"/>
          <w:szCs w:val="24"/>
          <w:lang w:eastAsia="zh-CN"/>
        </w:rPr>
        <w:t>磋商</w:t>
      </w:r>
      <w:r>
        <w:rPr>
          <w:rFonts w:ascii="宋体" w:hAnsi="宋体" w:eastAsia="宋体" w:cs="宋体"/>
          <w:b/>
          <w:bCs/>
          <w:w w:val="99"/>
          <w:sz w:val="24"/>
          <w:szCs w:val="24"/>
          <w:lang w:eastAsia="zh-CN"/>
        </w:rPr>
        <w:t xml:space="preserve"> </w:t>
      </w:r>
    </w:p>
    <w:p>
      <w:pPr>
        <w:spacing w:before="91" w:line="326" w:lineRule="auto"/>
        <w:ind w:left="592" w:right="6991"/>
        <w:rPr>
          <w:rFonts w:ascii="宋体" w:hAnsi="宋体" w:eastAsia="宋体" w:cs="宋体"/>
          <w:sz w:val="24"/>
          <w:szCs w:val="24"/>
          <w:lang w:eastAsia="zh-CN"/>
        </w:rPr>
      </w:pPr>
      <w:r>
        <w:rPr>
          <w:rFonts w:ascii="宋体" w:hAnsi="宋体" w:eastAsia="宋体" w:cs="宋体"/>
          <w:sz w:val="24"/>
          <w:szCs w:val="24"/>
          <w:lang w:eastAsia="zh-CN"/>
        </w:rPr>
        <w:t>磋商按下列程序进行：</w:t>
      </w:r>
    </w:p>
    <w:p>
      <w:pPr>
        <w:pStyle w:val="10"/>
        <w:spacing w:before="67"/>
        <w:ind w:right="86"/>
        <w:rPr>
          <w:lang w:eastAsia="zh-CN"/>
        </w:rPr>
      </w:pPr>
      <w:r>
        <w:rPr>
          <w:lang w:eastAsia="zh-CN"/>
        </w:rPr>
        <w:t>（</w:t>
      </w:r>
      <w:r>
        <w:rPr>
          <w:rFonts w:ascii="Calibri" w:hAnsi="Calibri" w:eastAsia="Calibri" w:cs="Calibri"/>
          <w:lang w:eastAsia="zh-CN"/>
        </w:rPr>
        <w:t>1</w:t>
      </w:r>
      <w:r>
        <w:rPr>
          <w:lang w:eastAsia="zh-CN"/>
        </w:rPr>
        <w:t>）组建磋商小组；</w:t>
      </w:r>
    </w:p>
    <w:p>
      <w:pPr>
        <w:pStyle w:val="10"/>
        <w:spacing w:before="123"/>
        <w:ind w:right="86"/>
        <w:rPr>
          <w:lang w:eastAsia="zh-CN"/>
        </w:rPr>
      </w:pPr>
      <w:r>
        <w:rPr>
          <w:lang w:eastAsia="zh-CN"/>
        </w:rPr>
        <w:t>（</w:t>
      </w:r>
      <w:r>
        <w:rPr>
          <w:rFonts w:ascii="Calibri" w:hAnsi="Calibri" w:eastAsia="Calibri" w:cs="Calibri"/>
          <w:lang w:eastAsia="zh-CN"/>
        </w:rPr>
        <w:t>2</w:t>
      </w:r>
      <w:r>
        <w:rPr>
          <w:lang w:eastAsia="zh-CN"/>
        </w:rPr>
        <w:t>）磋商准备工作。磋商小组成员熟悉采购文件等相关文件资料；</w:t>
      </w:r>
    </w:p>
    <w:p>
      <w:pPr>
        <w:pStyle w:val="10"/>
        <w:spacing w:before="123"/>
        <w:ind w:right="86"/>
        <w:rPr>
          <w:lang w:eastAsia="zh-CN"/>
        </w:rPr>
      </w:pPr>
      <w:r>
        <w:rPr>
          <w:lang w:eastAsia="zh-CN"/>
        </w:rPr>
        <w:t>（</w:t>
      </w:r>
      <w:r>
        <w:rPr>
          <w:rFonts w:ascii="Calibri" w:hAnsi="Calibri" w:eastAsia="Calibri" w:cs="Calibri"/>
          <w:lang w:eastAsia="zh-CN"/>
        </w:rPr>
        <w:t>3</w:t>
      </w:r>
      <w:r>
        <w:rPr>
          <w:lang w:eastAsia="zh-CN"/>
        </w:rPr>
        <w:t>）评审原则和评审方法；</w:t>
      </w:r>
    </w:p>
    <w:p>
      <w:pPr>
        <w:pStyle w:val="10"/>
        <w:spacing w:before="123"/>
        <w:ind w:right="86"/>
        <w:rPr>
          <w:lang w:eastAsia="zh-CN"/>
        </w:rPr>
      </w:pPr>
      <w:r>
        <w:rPr>
          <w:lang w:eastAsia="zh-CN"/>
        </w:rPr>
        <w:t>（</w:t>
      </w:r>
      <w:r>
        <w:rPr>
          <w:rFonts w:ascii="Calibri" w:hAnsi="Calibri" w:eastAsia="Calibri" w:cs="Calibri"/>
          <w:lang w:eastAsia="zh-CN"/>
        </w:rPr>
        <w:t>4</w:t>
      </w:r>
      <w:r>
        <w:rPr>
          <w:lang w:eastAsia="zh-CN"/>
        </w:rPr>
        <w:t>）向采购人提交书面评审报告；</w:t>
      </w:r>
    </w:p>
    <w:p>
      <w:pPr>
        <w:pStyle w:val="10"/>
        <w:spacing w:before="123"/>
        <w:ind w:right="86"/>
        <w:rPr>
          <w:lang w:eastAsia="zh-CN"/>
        </w:rPr>
      </w:pPr>
      <w:r>
        <w:rPr>
          <w:lang w:eastAsia="zh-CN"/>
        </w:rPr>
        <w:t>（</w:t>
      </w:r>
      <w:r>
        <w:rPr>
          <w:rFonts w:ascii="Calibri" w:hAnsi="Calibri" w:eastAsia="Calibri" w:cs="Calibri"/>
          <w:lang w:eastAsia="zh-CN"/>
        </w:rPr>
        <w:t>5</w:t>
      </w:r>
      <w:r>
        <w:rPr>
          <w:lang w:eastAsia="zh-CN"/>
        </w:rPr>
        <w:t>）磋商小组解散。</w:t>
      </w:r>
    </w:p>
    <w:p>
      <w:pPr>
        <w:pStyle w:val="8"/>
        <w:spacing w:before="123"/>
        <w:ind w:right="86"/>
        <w:rPr>
          <w:b w:val="0"/>
          <w:bCs w:val="0"/>
          <w:lang w:eastAsia="zh-CN"/>
        </w:rPr>
      </w:pPr>
      <w:bookmarkStart w:id="32" w:name="6.1_组建磋商小组"/>
      <w:bookmarkEnd w:id="32"/>
      <w:r>
        <w:rPr>
          <w:rFonts w:ascii="Calibri" w:hAnsi="Calibri" w:eastAsia="Calibri" w:cs="Calibri"/>
          <w:lang w:eastAsia="zh-CN"/>
        </w:rPr>
        <w:t xml:space="preserve">6.1 </w:t>
      </w:r>
      <w:r>
        <w:rPr>
          <w:rFonts w:ascii="Calibri" w:hAnsi="Calibri" w:eastAsia="Calibri" w:cs="Calibri"/>
          <w:spacing w:val="7"/>
          <w:lang w:eastAsia="zh-CN"/>
        </w:rPr>
        <w:t xml:space="preserve"> </w:t>
      </w:r>
      <w:r>
        <w:rPr>
          <w:lang w:eastAsia="zh-CN"/>
        </w:rPr>
        <w:t>组建磋商小组</w:t>
      </w:r>
    </w:p>
    <w:p>
      <w:pPr>
        <w:pStyle w:val="10"/>
        <w:spacing w:before="123" w:line="326" w:lineRule="auto"/>
        <w:ind w:left="112" w:right="224" w:firstLine="480"/>
        <w:jc w:val="both"/>
        <w:rPr>
          <w:lang w:eastAsia="zh-CN"/>
        </w:rPr>
      </w:pPr>
      <w:r>
        <w:rPr>
          <w:rFonts w:ascii="Calibri" w:hAnsi="Calibri" w:eastAsia="Calibri" w:cs="Calibri"/>
          <w:lang w:eastAsia="zh-CN"/>
        </w:rPr>
        <w:t>6.1.1</w:t>
      </w:r>
      <w:r>
        <w:rPr>
          <w:rFonts w:ascii="Calibri" w:hAnsi="Calibri" w:eastAsia="Calibri" w:cs="Calibri"/>
          <w:spacing w:val="9"/>
          <w:lang w:eastAsia="zh-CN"/>
        </w:rPr>
        <w:t xml:space="preserve"> </w:t>
      </w:r>
      <w:r>
        <w:rPr>
          <w:lang w:eastAsia="zh-CN"/>
        </w:rPr>
        <w:t>磋商小组由采购人代表和评审专家共</w:t>
      </w:r>
      <w:r>
        <w:rPr>
          <w:spacing w:val="-57"/>
          <w:lang w:eastAsia="zh-CN"/>
        </w:rPr>
        <w:t xml:space="preserve"> </w:t>
      </w:r>
      <w:r>
        <w:rPr>
          <w:rFonts w:ascii="Calibri" w:hAnsi="Calibri" w:eastAsia="Calibri" w:cs="Calibri"/>
          <w:lang w:eastAsia="zh-CN"/>
        </w:rPr>
        <w:t>3</w:t>
      </w:r>
      <w:r>
        <w:rPr>
          <w:rFonts w:ascii="Calibri" w:hAnsi="Calibri" w:eastAsia="Calibri" w:cs="Calibri"/>
          <w:spacing w:val="9"/>
          <w:lang w:eastAsia="zh-CN"/>
        </w:rPr>
        <w:t xml:space="preserve"> </w:t>
      </w:r>
      <w:r>
        <w:rPr>
          <w:lang w:eastAsia="zh-CN"/>
        </w:rPr>
        <w:t>人以上单数组成，其中评审专家人数不得少于 磋商小组成员总数的</w:t>
      </w:r>
      <w:r>
        <w:rPr>
          <w:spacing w:val="-38"/>
          <w:lang w:eastAsia="zh-CN"/>
        </w:rPr>
        <w:t xml:space="preserve"> </w:t>
      </w:r>
      <w:r>
        <w:rPr>
          <w:rFonts w:ascii="Calibri" w:hAnsi="Calibri" w:eastAsia="Calibri" w:cs="Calibri"/>
          <w:spacing w:val="-3"/>
          <w:lang w:eastAsia="zh-CN"/>
        </w:rPr>
        <w:t>2/3</w:t>
      </w:r>
      <w:r>
        <w:rPr>
          <w:spacing w:val="-3"/>
          <w:lang w:eastAsia="zh-CN"/>
        </w:rPr>
        <w:t>，采购人不得以评审专家身份参加本部门或本单位采购项目的评审。采</w:t>
      </w:r>
      <w:r>
        <w:rPr>
          <w:spacing w:val="-116"/>
          <w:lang w:eastAsia="zh-CN"/>
        </w:rPr>
        <w:t xml:space="preserve"> </w:t>
      </w:r>
      <w:r>
        <w:rPr>
          <w:lang w:eastAsia="zh-CN"/>
        </w:rPr>
        <w:t>购代理机构人员不得参加本机构代理的采购项目的评审。</w:t>
      </w:r>
    </w:p>
    <w:p>
      <w:pPr>
        <w:pStyle w:val="10"/>
        <w:spacing w:before="67" w:line="357" w:lineRule="auto"/>
        <w:ind w:left="112" w:right="86" w:firstLine="480"/>
        <w:rPr>
          <w:lang w:eastAsia="zh-CN"/>
        </w:rPr>
      </w:pPr>
      <w:r>
        <w:rPr>
          <w:lang w:eastAsia="zh-CN"/>
        </w:rPr>
        <w:t>采用竞争性磋商方式的政府采购项目，评审专家从政府采购评审专家库内相关专业的专家 名单中随机抽取。符合《政府采购竞争性磋商采购方式管理暂行办法》第三条第四项规定情形</w:t>
      </w:r>
      <w:r>
        <w:rPr>
          <w:spacing w:val="-53"/>
          <w:lang w:eastAsia="zh-CN"/>
        </w:rPr>
        <w:t xml:space="preserve"> </w:t>
      </w:r>
      <w:r>
        <w:rPr>
          <w:spacing w:val="-1"/>
          <w:lang w:eastAsia="zh-CN"/>
        </w:rPr>
        <w:t>的项目，以及情况特殊、通过随机方式难以确定合适的评审专家的项目，经主管预算单位同意，</w:t>
      </w:r>
      <w:r>
        <w:rPr>
          <w:spacing w:val="-118"/>
          <w:lang w:eastAsia="zh-CN"/>
        </w:rPr>
        <w:t xml:space="preserve"> </w:t>
      </w:r>
      <w:r>
        <w:rPr>
          <w:lang w:eastAsia="zh-CN"/>
        </w:rPr>
        <w:t>可以自行选定评审专家。技术复杂、专业性强的采购项目，评审专家中应当包含</w:t>
      </w:r>
      <w:r>
        <w:rPr>
          <w:spacing w:val="-80"/>
          <w:lang w:eastAsia="zh-CN"/>
        </w:rPr>
        <w:t xml:space="preserve"> </w:t>
      </w:r>
      <w:r>
        <w:rPr>
          <w:lang w:eastAsia="zh-CN"/>
        </w:rPr>
        <w:t>1</w:t>
      </w:r>
      <w:r>
        <w:rPr>
          <w:spacing w:val="-80"/>
          <w:lang w:eastAsia="zh-CN"/>
        </w:rPr>
        <w:t xml:space="preserve"> </w:t>
      </w:r>
      <w:r>
        <w:rPr>
          <w:lang w:eastAsia="zh-CN"/>
        </w:rPr>
        <w:t>名法律专家。</w:t>
      </w:r>
    </w:p>
    <w:p>
      <w:pPr>
        <w:pStyle w:val="10"/>
        <w:ind w:right="86"/>
        <w:rPr>
          <w:lang w:eastAsia="zh-CN"/>
        </w:rPr>
      </w:pPr>
      <w:r>
        <w:rPr>
          <w:rFonts w:ascii="Calibri" w:hAnsi="Calibri" w:eastAsia="Calibri" w:cs="Calibri"/>
          <w:lang w:eastAsia="zh-CN"/>
        </w:rPr>
        <w:t>6.1.2</w:t>
      </w:r>
      <w:r>
        <w:rPr>
          <w:rFonts w:ascii="Calibri" w:hAnsi="Calibri" w:eastAsia="Calibri" w:cs="Calibri"/>
          <w:spacing w:val="3"/>
          <w:lang w:eastAsia="zh-CN"/>
        </w:rPr>
        <w:t xml:space="preserve"> </w:t>
      </w:r>
      <w:r>
        <w:rPr>
          <w:lang w:eastAsia="zh-CN"/>
        </w:rPr>
        <w:t>磋商小组成员有下列情形之一的，应当回避：</w:t>
      </w:r>
    </w:p>
    <w:p>
      <w:pPr>
        <w:pStyle w:val="10"/>
        <w:spacing w:before="123"/>
        <w:ind w:right="86"/>
        <w:rPr>
          <w:lang w:eastAsia="zh-CN"/>
        </w:rPr>
      </w:pPr>
      <w:r>
        <w:rPr>
          <w:lang w:eastAsia="zh-CN"/>
        </w:rPr>
        <w:t>（</w:t>
      </w:r>
      <w:r>
        <w:rPr>
          <w:rFonts w:ascii="Calibri" w:hAnsi="Calibri" w:eastAsia="Calibri" w:cs="Calibri"/>
          <w:lang w:eastAsia="zh-CN"/>
        </w:rPr>
        <w:t>1</w:t>
      </w:r>
      <w:r>
        <w:rPr>
          <w:lang w:eastAsia="zh-CN"/>
        </w:rPr>
        <w:t>）采购人或供应商的主要负责人的近亲属；</w:t>
      </w:r>
    </w:p>
    <w:p>
      <w:pPr>
        <w:pStyle w:val="10"/>
        <w:spacing w:before="123"/>
        <w:ind w:right="86"/>
        <w:rPr>
          <w:lang w:eastAsia="zh-CN"/>
        </w:rPr>
      </w:pPr>
      <w:r>
        <w:rPr>
          <w:lang w:eastAsia="zh-CN"/>
        </w:rPr>
        <w:t>（</w:t>
      </w:r>
      <w:r>
        <w:rPr>
          <w:rFonts w:ascii="Calibri" w:hAnsi="Calibri" w:eastAsia="Calibri" w:cs="Calibri"/>
          <w:lang w:eastAsia="zh-CN"/>
        </w:rPr>
        <w:t>2</w:t>
      </w:r>
      <w:r>
        <w:rPr>
          <w:lang w:eastAsia="zh-CN"/>
        </w:rPr>
        <w:t>）项目主管部门或者行政监督部门的人员；</w:t>
      </w:r>
    </w:p>
    <w:p>
      <w:pPr>
        <w:pStyle w:val="10"/>
        <w:spacing w:before="123"/>
        <w:ind w:right="86"/>
        <w:rPr>
          <w:lang w:eastAsia="zh-CN"/>
        </w:rPr>
      </w:pPr>
      <w:r>
        <w:rPr>
          <w:lang w:eastAsia="zh-CN"/>
        </w:rPr>
        <w:t>（</w:t>
      </w:r>
      <w:r>
        <w:rPr>
          <w:rFonts w:ascii="Calibri" w:hAnsi="Calibri" w:eastAsia="Calibri" w:cs="Calibri"/>
          <w:lang w:eastAsia="zh-CN"/>
        </w:rPr>
        <w:t>3</w:t>
      </w:r>
      <w:r>
        <w:rPr>
          <w:lang w:eastAsia="zh-CN"/>
        </w:rPr>
        <w:t>）与供应商有经济利益关系，可能影响对投标公正评审的；</w:t>
      </w:r>
    </w:p>
    <w:p>
      <w:pPr>
        <w:pStyle w:val="10"/>
        <w:spacing w:before="123" w:line="326" w:lineRule="auto"/>
        <w:ind w:left="112" w:right="86" w:firstLine="480"/>
        <w:rPr>
          <w:lang w:eastAsia="zh-CN"/>
        </w:rPr>
      </w:pPr>
      <w:r>
        <w:rPr>
          <w:spacing w:val="-1"/>
          <w:lang w:eastAsia="zh-CN"/>
        </w:rPr>
        <w:t>（</w:t>
      </w:r>
      <w:r>
        <w:rPr>
          <w:rFonts w:ascii="Calibri" w:hAnsi="Calibri" w:eastAsia="Calibri" w:cs="Calibri"/>
          <w:spacing w:val="-1"/>
          <w:lang w:eastAsia="zh-CN"/>
        </w:rPr>
        <w:t>4</w:t>
      </w:r>
      <w:r>
        <w:rPr>
          <w:spacing w:val="-1"/>
          <w:lang w:eastAsia="zh-CN"/>
        </w:rPr>
        <w:t>）曾因在采购、磋商以及其他与招标采购有关活动中从事违法行为而受过行政处罚或刑</w:t>
      </w:r>
      <w:r>
        <w:rPr>
          <w:lang w:eastAsia="zh-CN"/>
        </w:rPr>
        <w:t xml:space="preserve"> 事处罚的。</w:t>
      </w:r>
    </w:p>
    <w:p>
      <w:pPr>
        <w:pStyle w:val="8"/>
        <w:spacing w:before="67"/>
        <w:ind w:right="86"/>
        <w:rPr>
          <w:b w:val="0"/>
          <w:bCs w:val="0"/>
          <w:lang w:eastAsia="zh-CN"/>
        </w:rPr>
      </w:pPr>
      <w:bookmarkStart w:id="33" w:name="6.2_评审准备"/>
      <w:bookmarkEnd w:id="33"/>
      <w:r>
        <w:rPr>
          <w:rFonts w:ascii="Calibri" w:hAnsi="Calibri" w:eastAsia="Calibri" w:cs="Calibri"/>
          <w:lang w:eastAsia="zh-CN"/>
        </w:rPr>
        <w:t xml:space="preserve">6.2 </w:t>
      </w:r>
      <w:r>
        <w:rPr>
          <w:rFonts w:ascii="Calibri" w:hAnsi="Calibri" w:eastAsia="Calibri" w:cs="Calibri"/>
          <w:spacing w:val="7"/>
          <w:lang w:eastAsia="zh-CN"/>
        </w:rPr>
        <w:t xml:space="preserve"> </w:t>
      </w:r>
      <w:r>
        <w:rPr>
          <w:lang w:eastAsia="zh-CN"/>
        </w:rPr>
        <w:t>评审准备</w:t>
      </w:r>
    </w:p>
    <w:p>
      <w:pPr>
        <w:pStyle w:val="10"/>
        <w:spacing w:before="123" w:line="340" w:lineRule="auto"/>
        <w:ind w:right="2906"/>
        <w:rPr>
          <w:lang w:eastAsia="zh-CN"/>
        </w:rPr>
      </w:pPr>
      <w:r>
        <w:rPr>
          <w:rFonts w:ascii="Calibri" w:hAnsi="Calibri" w:eastAsia="Calibri" w:cs="Calibri"/>
          <w:lang w:eastAsia="zh-CN"/>
        </w:rPr>
        <w:t>6.2.1</w:t>
      </w:r>
      <w:r>
        <w:rPr>
          <w:rFonts w:ascii="Calibri" w:hAnsi="Calibri" w:eastAsia="Calibri" w:cs="Calibri"/>
          <w:spacing w:val="5"/>
          <w:lang w:eastAsia="zh-CN"/>
        </w:rPr>
        <w:t xml:space="preserve"> </w:t>
      </w:r>
      <w:r>
        <w:rPr>
          <w:lang w:eastAsia="zh-CN"/>
        </w:rPr>
        <w:t>磋商小组成员签到 磋商小组成员到达磋商现场时应在签到表上签到以证明其出席。</w:t>
      </w:r>
    </w:p>
    <w:p>
      <w:pPr>
        <w:pStyle w:val="10"/>
        <w:spacing w:before="123" w:line="340" w:lineRule="auto"/>
        <w:ind w:right="2906"/>
        <w:rPr>
          <w:lang w:eastAsia="zh-CN"/>
        </w:rPr>
      </w:pPr>
      <w:r>
        <w:rPr>
          <w:lang w:eastAsia="zh-CN"/>
        </w:rPr>
        <w:t xml:space="preserve"> </w:t>
      </w:r>
      <w:r>
        <w:rPr>
          <w:rFonts w:ascii="Calibri" w:hAnsi="Calibri" w:eastAsia="Calibri" w:cs="Calibri"/>
          <w:lang w:eastAsia="zh-CN"/>
        </w:rPr>
        <w:t>6.2.2</w:t>
      </w:r>
      <w:r>
        <w:rPr>
          <w:rFonts w:ascii="Calibri" w:hAnsi="Calibri" w:eastAsia="Calibri" w:cs="Calibri"/>
          <w:spacing w:val="3"/>
          <w:lang w:eastAsia="zh-CN"/>
        </w:rPr>
        <w:t xml:space="preserve"> </w:t>
      </w:r>
      <w:r>
        <w:rPr>
          <w:lang w:eastAsia="zh-CN"/>
        </w:rPr>
        <w:t>磋商小组的分工</w:t>
      </w:r>
    </w:p>
    <w:p>
      <w:pPr>
        <w:pStyle w:val="10"/>
        <w:spacing w:before="0" w:line="357" w:lineRule="auto"/>
        <w:ind w:left="112" w:right="86" w:firstLine="480"/>
        <w:rPr>
          <w:lang w:eastAsia="zh-CN"/>
        </w:rPr>
      </w:pPr>
      <w:r>
        <w:rPr>
          <w:lang w:eastAsia="zh-CN"/>
        </w:rPr>
        <w:t>磋商小组应推选一名磋商小组组长，负责主持磋商会议。磋商小组组长在与其他磋商小组 成员协商的基础上，可以将磋商小组划分为技术组和商务组。</w:t>
      </w:r>
    </w:p>
    <w:p>
      <w:pPr>
        <w:pStyle w:val="10"/>
        <w:ind w:right="86"/>
        <w:rPr>
          <w:lang w:eastAsia="zh-CN"/>
        </w:rPr>
      </w:pPr>
      <w:r>
        <w:rPr>
          <w:rFonts w:ascii="Calibri" w:hAnsi="Calibri" w:eastAsia="Calibri" w:cs="Calibri"/>
          <w:lang w:eastAsia="zh-CN"/>
        </w:rPr>
        <w:t>6.2.3</w:t>
      </w:r>
      <w:r>
        <w:rPr>
          <w:rFonts w:ascii="Calibri" w:hAnsi="Calibri" w:eastAsia="Calibri" w:cs="Calibri"/>
          <w:spacing w:val="3"/>
          <w:lang w:eastAsia="zh-CN"/>
        </w:rPr>
        <w:t xml:space="preserve"> </w:t>
      </w:r>
      <w:r>
        <w:rPr>
          <w:lang w:eastAsia="zh-CN"/>
        </w:rPr>
        <w:t>熟悉文件资料</w:t>
      </w:r>
    </w:p>
    <w:p>
      <w:pPr>
        <w:pStyle w:val="10"/>
        <w:spacing w:before="123" w:line="326" w:lineRule="auto"/>
        <w:ind w:left="112" w:right="86" w:firstLine="480"/>
        <w:rPr>
          <w:lang w:eastAsia="zh-CN"/>
        </w:rPr>
      </w:pPr>
      <w:r>
        <w:rPr>
          <w:lang w:eastAsia="zh-CN"/>
        </w:rPr>
        <w:t>（</w:t>
      </w:r>
      <w:r>
        <w:rPr>
          <w:rFonts w:ascii="Calibri" w:hAnsi="Calibri" w:eastAsia="Calibri" w:cs="Calibri"/>
          <w:lang w:eastAsia="zh-CN"/>
        </w:rPr>
        <w:t>1</w:t>
      </w:r>
      <w:r>
        <w:rPr>
          <w:lang w:eastAsia="zh-CN"/>
        </w:rPr>
        <w:t>）磋商小组成员认真研究采购文件，了解和熟悉采购目的、采购范围、主要合同条件、 技术标准和要求、质量标准和服务期要求等，掌握磋商标准和方法，熟悉本章及附件中包括的</w:t>
      </w:r>
    </w:p>
    <w:p>
      <w:pPr>
        <w:pStyle w:val="10"/>
        <w:spacing w:before="14"/>
        <w:ind w:left="112"/>
        <w:rPr>
          <w:lang w:eastAsia="zh-CN"/>
        </w:rPr>
      </w:pPr>
      <w:r>
        <w:rPr>
          <w:lang w:eastAsia="zh-CN"/>
        </w:rPr>
        <w:t>磋商表格的使用。未在采购文件中规定的标准和方法不得作为磋商的依据。</w:t>
      </w:r>
    </w:p>
    <w:p>
      <w:pPr>
        <w:pStyle w:val="10"/>
        <w:spacing w:before="154" w:line="326" w:lineRule="auto"/>
        <w:ind w:left="112" w:firstLine="480"/>
        <w:rPr>
          <w:lang w:eastAsia="zh-CN"/>
        </w:rPr>
      </w:pPr>
      <w:r>
        <w:rPr>
          <w:spacing w:val="-1"/>
          <w:lang w:eastAsia="zh-CN"/>
        </w:rPr>
        <w:t>（</w:t>
      </w:r>
      <w:r>
        <w:rPr>
          <w:rFonts w:ascii="Calibri" w:hAnsi="Calibri" w:eastAsia="Calibri" w:cs="Calibri"/>
          <w:spacing w:val="-1"/>
          <w:lang w:eastAsia="zh-CN"/>
        </w:rPr>
        <w:t>2</w:t>
      </w:r>
      <w:r>
        <w:rPr>
          <w:spacing w:val="-1"/>
          <w:lang w:eastAsia="zh-CN"/>
        </w:rPr>
        <w:t>）采购人或采购代理机构应向磋商小组提供磋商所需的信息和数据，包括采购文件、响</w:t>
      </w:r>
      <w:r>
        <w:rPr>
          <w:lang w:eastAsia="zh-CN"/>
        </w:rPr>
        <w:t xml:space="preserve"> 应文件、报价会议记录、采购预算金额以及磋商小组认为必要的其他信息和数据。</w:t>
      </w:r>
    </w:p>
    <w:p>
      <w:pPr>
        <w:pStyle w:val="8"/>
        <w:spacing w:before="67"/>
        <w:rPr>
          <w:b w:val="0"/>
          <w:bCs w:val="0"/>
          <w:lang w:eastAsia="zh-CN"/>
        </w:rPr>
      </w:pPr>
      <w:bookmarkStart w:id="34" w:name="6.3_评审原则和评审方法"/>
      <w:bookmarkEnd w:id="34"/>
      <w:r>
        <w:rPr>
          <w:rFonts w:ascii="Calibri" w:hAnsi="Calibri" w:eastAsia="Calibri" w:cs="Calibri"/>
          <w:lang w:eastAsia="zh-CN"/>
        </w:rPr>
        <w:t xml:space="preserve">6.3 </w:t>
      </w:r>
      <w:r>
        <w:rPr>
          <w:rFonts w:ascii="Calibri" w:hAnsi="Calibri" w:eastAsia="Calibri" w:cs="Calibri"/>
          <w:spacing w:val="6"/>
          <w:lang w:eastAsia="zh-CN"/>
        </w:rPr>
        <w:t xml:space="preserve"> </w:t>
      </w:r>
      <w:r>
        <w:rPr>
          <w:lang w:eastAsia="zh-CN"/>
        </w:rPr>
        <w:t>评审原则和评审方法</w:t>
      </w:r>
    </w:p>
    <w:p>
      <w:pPr>
        <w:pStyle w:val="10"/>
        <w:spacing w:before="0" w:line="326" w:lineRule="auto"/>
        <w:ind w:left="0" w:firstLine="600" w:firstLineChars="250"/>
        <w:rPr>
          <w:lang w:eastAsia="zh-CN"/>
        </w:rPr>
      </w:pPr>
      <w:r>
        <w:rPr>
          <w:rFonts w:ascii="Calibri" w:hAnsi="Calibri" w:eastAsia="Calibri" w:cs="Calibri"/>
          <w:lang w:eastAsia="zh-CN"/>
        </w:rPr>
        <w:t>6.3.1</w:t>
      </w:r>
      <w:r>
        <w:rPr>
          <w:rFonts w:ascii="Calibri" w:hAnsi="Calibri" w:eastAsia="Calibri" w:cs="Calibri"/>
          <w:spacing w:val="6"/>
          <w:lang w:eastAsia="zh-CN"/>
        </w:rPr>
        <w:t xml:space="preserve"> </w:t>
      </w:r>
      <w:r>
        <w:rPr>
          <w:lang w:eastAsia="zh-CN"/>
        </w:rPr>
        <w:t>评审原则 磋商小组成员应当按照客观、公正、审慎的原则，根据磋商文件规定的评审程序、评审方法和评审标准进行独立评审。未实质性响应磋商文件的响应文件按无效响应处理，磋商小组应</w:t>
      </w:r>
      <w:r>
        <w:rPr>
          <w:spacing w:val="-53"/>
          <w:lang w:eastAsia="zh-CN"/>
        </w:rPr>
        <w:t xml:space="preserve"> </w:t>
      </w:r>
      <w:r>
        <w:rPr>
          <w:lang w:eastAsia="zh-CN"/>
        </w:rPr>
        <w:t>当告知提交响应文件的供应商。</w:t>
      </w:r>
    </w:p>
    <w:p>
      <w:pPr>
        <w:pStyle w:val="10"/>
        <w:spacing w:before="0" w:line="326" w:lineRule="auto"/>
        <w:ind w:left="0" w:firstLine="600" w:firstLineChars="250"/>
        <w:rPr>
          <w:lang w:eastAsia="zh-CN"/>
        </w:rPr>
      </w:pPr>
      <w:r>
        <w:rPr>
          <w:rFonts w:ascii="Calibri" w:hAnsi="Calibri" w:eastAsia="Calibri" w:cs="Calibri"/>
          <w:lang w:eastAsia="zh-CN"/>
        </w:rPr>
        <w:t>6.3.2</w:t>
      </w:r>
      <w:r>
        <w:rPr>
          <w:rFonts w:ascii="Calibri" w:hAnsi="Calibri" w:eastAsia="Calibri" w:cs="Calibri"/>
          <w:spacing w:val="6"/>
          <w:lang w:eastAsia="zh-CN"/>
        </w:rPr>
        <w:t xml:space="preserve"> </w:t>
      </w:r>
      <w:r>
        <w:rPr>
          <w:lang w:eastAsia="zh-CN"/>
        </w:rPr>
        <w:t>评审方法 本次磋商采用综合评分法，磋商小组综合评定各供应商提交的响应文件，由磋商小组综合各成员评分意见，推荐成交供应商候选人。</w:t>
      </w:r>
    </w:p>
    <w:p>
      <w:pPr>
        <w:pStyle w:val="10"/>
        <w:spacing w:before="0" w:line="326" w:lineRule="auto"/>
        <w:ind w:left="0" w:firstLine="600" w:firstLineChars="250"/>
        <w:rPr>
          <w:lang w:eastAsia="zh-CN"/>
        </w:rPr>
      </w:pPr>
      <w:r>
        <w:rPr>
          <w:rFonts w:ascii="Calibri" w:hAnsi="Calibri" w:eastAsia="Calibri" w:cs="Calibri"/>
          <w:lang w:eastAsia="zh-CN"/>
        </w:rPr>
        <w:t>6.3.2.1</w:t>
      </w:r>
      <w:r>
        <w:rPr>
          <w:rFonts w:ascii="Calibri" w:hAnsi="Calibri" w:eastAsia="Calibri" w:cs="Calibri"/>
          <w:spacing w:val="5"/>
          <w:lang w:eastAsia="zh-CN"/>
        </w:rPr>
        <w:t xml:space="preserve"> </w:t>
      </w:r>
      <w:r>
        <w:rPr>
          <w:lang w:eastAsia="zh-CN"/>
        </w:rPr>
        <w:t>确定合格的供应商：符合竞争性磋商邀请函中供应商资格要求条件的供应商即为合格的供应商。</w:t>
      </w:r>
    </w:p>
    <w:p>
      <w:pPr>
        <w:pStyle w:val="10"/>
        <w:spacing w:before="67"/>
        <w:rPr>
          <w:lang w:eastAsia="zh-CN"/>
        </w:rPr>
      </w:pPr>
      <w:r>
        <w:rPr>
          <w:rFonts w:ascii="Calibri" w:hAnsi="Calibri" w:eastAsia="Calibri" w:cs="Calibri"/>
          <w:lang w:eastAsia="zh-CN"/>
        </w:rPr>
        <w:t>6.3.2.2</w:t>
      </w:r>
      <w:r>
        <w:rPr>
          <w:rFonts w:ascii="Calibri" w:hAnsi="Calibri" w:eastAsia="Calibri" w:cs="Calibri"/>
          <w:spacing w:val="2"/>
          <w:lang w:eastAsia="zh-CN"/>
        </w:rPr>
        <w:t xml:space="preserve"> </w:t>
      </w:r>
      <w:r>
        <w:rPr>
          <w:lang w:eastAsia="zh-CN"/>
        </w:rPr>
        <w:t>初步评审：</w:t>
      </w:r>
    </w:p>
    <w:p>
      <w:pPr>
        <w:pStyle w:val="10"/>
        <w:spacing w:before="123" w:line="340" w:lineRule="auto"/>
        <w:ind w:left="112" w:right="108" w:firstLine="480"/>
        <w:jc w:val="both"/>
        <w:rPr>
          <w:lang w:eastAsia="zh-CN"/>
        </w:rPr>
      </w:pPr>
      <w:r>
        <w:rPr>
          <w:lang w:eastAsia="zh-CN"/>
        </w:rPr>
        <w:t>（</w:t>
      </w:r>
      <w:r>
        <w:rPr>
          <w:rFonts w:ascii="Calibri" w:hAnsi="Calibri" w:eastAsia="Calibri" w:cs="Calibri"/>
          <w:lang w:eastAsia="zh-CN"/>
        </w:rPr>
        <w:t>1</w:t>
      </w:r>
      <w:r>
        <w:rPr>
          <w:lang w:eastAsia="zh-CN"/>
        </w:rPr>
        <w:t>）磋商小组将确定每一供应商是否对竞争性磋商采购文件的要求做出了实质性的响应， 而没有重大偏离。实质性响应的报价是指报价符合竞争性磋商采购文件的所有条款、条件和规</w:t>
      </w:r>
      <w:r>
        <w:rPr>
          <w:spacing w:val="-53"/>
          <w:lang w:eastAsia="zh-CN"/>
        </w:rPr>
        <w:t xml:space="preserve"> </w:t>
      </w:r>
      <w:r>
        <w:rPr>
          <w:lang w:eastAsia="zh-CN"/>
        </w:rPr>
        <w:t>定且没有重大偏离或保留。</w:t>
      </w:r>
    </w:p>
    <w:p>
      <w:pPr>
        <w:pStyle w:val="10"/>
        <w:spacing w:before="53" w:line="326" w:lineRule="auto"/>
        <w:ind w:left="112" w:firstLine="480"/>
        <w:rPr>
          <w:lang w:eastAsia="zh-CN"/>
        </w:rPr>
      </w:pPr>
      <w:r>
        <w:rPr>
          <w:spacing w:val="-1"/>
          <w:lang w:eastAsia="zh-CN"/>
        </w:rPr>
        <w:t>（</w:t>
      </w:r>
      <w:r>
        <w:rPr>
          <w:rFonts w:ascii="Calibri" w:hAnsi="Calibri" w:eastAsia="Calibri" w:cs="Calibri"/>
          <w:spacing w:val="-1"/>
          <w:lang w:eastAsia="zh-CN"/>
        </w:rPr>
        <w:t>2</w:t>
      </w:r>
      <w:r>
        <w:rPr>
          <w:spacing w:val="-1"/>
          <w:lang w:eastAsia="zh-CN"/>
        </w:rPr>
        <w:t>）如出现下列情形之一的，视为对竞争性磋商采购文件没有做出实质性响应，按照无效</w:t>
      </w:r>
      <w:r>
        <w:rPr>
          <w:lang w:eastAsia="zh-CN"/>
        </w:rPr>
        <w:t xml:space="preserve"> 报价处理。</w:t>
      </w:r>
    </w:p>
    <w:p>
      <w:pPr>
        <w:pStyle w:val="10"/>
        <w:spacing w:before="67"/>
        <w:rPr>
          <w:lang w:eastAsia="zh-CN"/>
        </w:rPr>
      </w:pPr>
      <w:r>
        <w:rPr>
          <w:rFonts w:ascii="Calibri" w:hAnsi="Calibri" w:eastAsia="Calibri" w:cs="Calibri"/>
          <w:lang w:eastAsia="zh-CN"/>
        </w:rPr>
        <w:t xml:space="preserve">a) </w:t>
      </w:r>
      <w:r>
        <w:rPr>
          <w:rFonts w:ascii="Calibri" w:hAnsi="Calibri" w:eastAsia="Calibri" w:cs="Calibri"/>
          <w:spacing w:val="10"/>
          <w:lang w:eastAsia="zh-CN"/>
        </w:rPr>
        <w:t xml:space="preserve"> </w:t>
      </w:r>
      <w:r>
        <w:rPr>
          <w:lang w:eastAsia="zh-CN"/>
        </w:rPr>
        <w:t>响应文件不完整；</w:t>
      </w:r>
    </w:p>
    <w:p>
      <w:pPr>
        <w:pStyle w:val="10"/>
        <w:spacing w:before="123"/>
        <w:rPr>
          <w:lang w:eastAsia="zh-CN"/>
        </w:rPr>
      </w:pPr>
      <w:r>
        <w:rPr>
          <w:rFonts w:ascii="Calibri" w:hAnsi="Calibri" w:eastAsia="Calibri" w:cs="Calibri"/>
          <w:lang w:eastAsia="zh-CN"/>
        </w:rPr>
        <w:t xml:space="preserve">b) </w:t>
      </w:r>
      <w:r>
        <w:rPr>
          <w:rFonts w:ascii="Calibri" w:hAnsi="Calibri" w:eastAsia="Calibri" w:cs="Calibri"/>
          <w:spacing w:val="11"/>
          <w:lang w:eastAsia="zh-CN"/>
        </w:rPr>
        <w:t xml:space="preserve"> </w:t>
      </w:r>
      <w:r>
        <w:rPr>
          <w:lang w:eastAsia="zh-CN"/>
        </w:rPr>
        <w:t>未按规定报价；</w:t>
      </w:r>
    </w:p>
    <w:p>
      <w:pPr>
        <w:pStyle w:val="10"/>
        <w:spacing w:before="123"/>
        <w:rPr>
          <w:lang w:eastAsia="zh-CN"/>
        </w:rPr>
      </w:pPr>
      <w:r>
        <w:rPr>
          <w:rFonts w:ascii="Calibri" w:hAnsi="Calibri" w:eastAsia="Calibri" w:cs="Calibri"/>
          <w:lang w:eastAsia="zh-CN"/>
        </w:rPr>
        <w:t xml:space="preserve">c) </w:t>
      </w:r>
      <w:r>
        <w:rPr>
          <w:rFonts w:ascii="Calibri" w:hAnsi="Calibri" w:eastAsia="Calibri" w:cs="Calibri"/>
          <w:spacing w:val="11"/>
          <w:lang w:eastAsia="zh-CN"/>
        </w:rPr>
        <w:t xml:space="preserve"> </w:t>
      </w:r>
      <w:r>
        <w:rPr>
          <w:lang w:eastAsia="zh-CN"/>
        </w:rPr>
        <w:t>未按竞争性磋商采购文件要求提交相应费用；</w:t>
      </w:r>
    </w:p>
    <w:p>
      <w:pPr>
        <w:pStyle w:val="10"/>
        <w:spacing w:before="123"/>
        <w:rPr>
          <w:lang w:eastAsia="zh-CN"/>
        </w:rPr>
      </w:pPr>
      <w:r>
        <w:rPr>
          <w:rFonts w:ascii="Calibri" w:hAnsi="Calibri" w:eastAsia="Calibri" w:cs="Calibri"/>
          <w:lang w:eastAsia="zh-CN"/>
        </w:rPr>
        <w:t xml:space="preserve">d) </w:t>
      </w:r>
      <w:r>
        <w:rPr>
          <w:rFonts w:ascii="Calibri" w:hAnsi="Calibri" w:eastAsia="Calibri" w:cs="Calibri"/>
          <w:spacing w:val="11"/>
          <w:lang w:eastAsia="zh-CN"/>
        </w:rPr>
        <w:t xml:space="preserve"> </w:t>
      </w:r>
      <w:r>
        <w:rPr>
          <w:lang w:eastAsia="zh-CN"/>
        </w:rPr>
        <w:t>响应文件未按竞争性磋商采购文件要求签字或盖章；</w:t>
      </w:r>
    </w:p>
    <w:p>
      <w:pPr>
        <w:pStyle w:val="10"/>
        <w:spacing w:before="123"/>
        <w:rPr>
          <w:lang w:eastAsia="zh-CN"/>
        </w:rPr>
      </w:pPr>
      <w:r>
        <w:rPr>
          <w:rFonts w:ascii="Calibri" w:hAnsi="Calibri" w:eastAsia="Calibri" w:cs="Calibri"/>
          <w:lang w:eastAsia="zh-CN"/>
        </w:rPr>
        <w:t xml:space="preserve">e) </w:t>
      </w:r>
      <w:r>
        <w:rPr>
          <w:rFonts w:ascii="Calibri" w:hAnsi="Calibri" w:eastAsia="Calibri" w:cs="Calibri"/>
          <w:spacing w:val="9"/>
          <w:lang w:eastAsia="zh-CN"/>
        </w:rPr>
        <w:t xml:space="preserve"> </w:t>
      </w:r>
      <w:r>
        <w:rPr>
          <w:lang w:eastAsia="zh-CN"/>
        </w:rPr>
        <w:t>响应文件载明的供货期超过竞争性磋商采购文件规定的时间；</w:t>
      </w:r>
    </w:p>
    <w:p>
      <w:pPr>
        <w:pStyle w:val="10"/>
        <w:spacing w:before="123"/>
        <w:rPr>
          <w:lang w:eastAsia="zh-CN"/>
        </w:rPr>
      </w:pPr>
      <w:r>
        <w:rPr>
          <w:rFonts w:ascii="Calibri" w:hAnsi="Calibri" w:eastAsia="Calibri" w:cs="Calibri"/>
          <w:lang w:eastAsia="zh-CN"/>
        </w:rPr>
        <w:t xml:space="preserve">f) </w:t>
      </w:r>
      <w:r>
        <w:rPr>
          <w:rFonts w:ascii="Calibri" w:hAnsi="Calibri" w:eastAsia="Calibri" w:cs="Calibri"/>
          <w:spacing w:val="16"/>
          <w:lang w:eastAsia="zh-CN"/>
        </w:rPr>
        <w:t xml:space="preserve"> </w:t>
      </w:r>
      <w:r>
        <w:rPr>
          <w:lang w:eastAsia="zh-CN"/>
        </w:rPr>
        <w:t>供应商未按要求参加公开报价仪式及询标事宜；</w:t>
      </w:r>
    </w:p>
    <w:p>
      <w:pPr>
        <w:pStyle w:val="10"/>
        <w:spacing w:before="123"/>
        <w:rPr>
          <w:lang w:eastAsia="zh-CN"/>
        </w:rPr>
      </w:pPr>
      <w:r>
        <w:rPr>
          <w:rFonts w:ascii="Calibri" w:hAnsi="Calibri" w:eastAsia="Calibri" w:cs="Calibri"/>
          <w:lang w:eastAsia="zh-CN"/>
        </w:rPr>
        <w:t xml:space="preserve">g) </w:t>
      </w:r>
      <w:r>
        <w:rPr>
          <w:rFonts w:ascii="Calibri" w:hAnsi="Calibri" w:eastAsia="Calibri" w:cs="Calibri"/>
          <w:spacing w:val="12"/>
          <w:lang w:eastAsia="zh-CN"/>
        </w:rPr>
        <w:t xml:space="preserve"> </w:t>
      </w:r>
      <w:r>
        <w:rPr>
          <w:lang w:eastAsia="zh-CN"/>
        </w:rPr>
        <w:t>响应文件出现采购人名称、项目名称、技术参数等与采购文件相关内容严重不一致的；</w:t>
      </w:r>
    </w:p>
    <w:p>
      <w:pPr>
        <w:pStyle w:val="10"/>
        <w:spacing w:before="123"/>
        <w:rPr>
          <w:lang w:eastAsia="zh-CN"/>
        </w:rPr>
      </w:pPr>
      <w:r>
        <w:rPr>
          <w:rFonts w:ascii="Calibri" w:hAnsi="Calibri" w:eastAsia="Calibri" w:cs="Calibri"/>
          <w:lang w:eastAsia="zh-CN"/>
        </w:rPr>
        <w:t xml:space="preserve">h) </w:t>
      </w:r>
      <w:r>
        <w:rPr>
          <w:rFonts w:ascii="Calibri" w:hAnsi="Calibri" w:eastAsia="Calibri" w:cs="Calibri"/>
          <w:spacing w:val="11"/>
          <w:lang w:eastAsia="zh-CN"/>
        </w:rPr>
        <w:t xml:space="preserve"> </w:t>
      </w:r>
      <w:r>
        <w:rPr>
          <w:lang w:eastAsia="zh-CN"/>
        </w:rPr>
        <w:t>不符合竞争性磋商采购文件中规定的其他实质性要求。</w:t>
      </w:r>
    </w:p>
    <w:p>
      <w:pPr>
        <w:pStyle w:val="10"/>
        <w:spacing w:before="123" w:line="340" w:lineRule="auto"/>
        <w:ind w:left="112" w:right="147" w:firstLine="480"/>
        <w:jc w:val="both"/>
        <w:rPr>
          <w:lang w:eastAsia="zh-CN"/>
        </w:rPr>
      </w:pPr>
      <w:r>
        <w:rPr>
          <w:spacing w:val="-1"/>
          <w:lang w:eastAsia="zh-CN"/>
        </w:rPr>
        <w:t>（</w:t>
      </w:r>
      <w:r>
        <w:rPr>
          <w:rFonts w:ascii="Calibri" w:hAnsi="Calibri" w:eastAsia="Calibri" w:cs="Calibri"/>
          <w:spacing w:val="-1"/>
          <w:lang w:eastAsia="zh-CN"/>
        </w:rPr>
        <w:t>3</w:t>
      </w:r>
      <w:r>
        <w:rPr>
          <w:spacing w:val="-1"/>
          <w:lang w:eastAsia="zh-CN"/>
        </w:rPr>
        <w:t>）磋商小组允许供应商修改响应文件中不构成偏离的、微小的、非正规、不一致或不规</w:t>
      </w:r>
      <w:r>
        <w:rPr>
          <w:lang w:eastAsia="zh-CN"/>
        </w:rPr>
        <w:t xml:space="preserve"> 则的地方。但是修改的内容不能改变响应文件的实质性内容，供应商修改的内容以书面文件为</w:t>
      </w:r>
      <w:r>
        <w:rPr>
          <w:spacing w:val="-53"/>
          <w:lang w:eastAsia="zh-CN"/>
        </w:rPr>
        <w:t xml:space="preserve"> </w:t>
      </w:r>
      <w:r>
        <w:rPr>
          <w:lang w:eastAsia="zh-CN"/>
        </w:rPr>
        <w:t>准。</w:t>
      </w:r>
    </w:p>
    <w:p>
      <w:pPr>
        <w:pStyle w:val="10"/>
        <w:spacing w:before="53" w:line="326" w:lineRule="auto"/>
        <w:ind w:left="112" w:firstLine="480"/>
        <w:rPr>
          <w:lang w:eastAsia="zh-CN"/>
        </w:rPr>
      </w:pPr>
      <w:r>
        <w:rPr>
          <w:spacing w:val="-1"/>
          <w:lang w:eastAsia="zh-CN"/>
        </w:rPr>
        <w:t>（</w:t>
      </w:r>
      <w:r>
        <w:rPr>
          <w:rFonts w:ascii="Calibri" w:hAnsi="Calibri" w:eastAsia="Calibri" w:cs="Calibri"/>
          <w:spacing w:val="-1"/>
          <w:lang w:eastAsia="zh-CN"/>
        </w:rPr>
        <w:t>4</w:t>
      </w:r>
      <w:r>
        <w:rPr>
          <w:spacing w:val="-1"/>
          <w:lang w:eastAsia="zh-CN"/>
        </w:rPr>
        <w:t>）磋商小组将拒绝被确定为非实质性响应的响应文件，供应商不能通过修正或撤销响应</w:t>
      </w:r>
      <w:r>
        <w:rPr>
          <w:lang w:eastAsia="zh-CN"/>
        </w:rPr>
        <w:t xml:space="preserve"> 文件中的不符之处而使其报价成为实质性响应的报价。</w:t>
      </w:r>
    </w:p>
    <w:p>
      <w:pPr>
        <w:pStyle w:val="10"/>
        <w:spacing w:before="14" w:line="348" w:lineRule="auto"/>
        <w:ind w:left="112" w:right="127" w:firstLine="480"/>
        <w:jc w:val="both"/>
        <w:rPr>
          <w:lang w:eastAsia="zh-CN"/>
        </w:rPr>
      </w:pPr>
      <w:r>
        <w:rPr>
          <w:spacing w:val="-1"/>
          <w:lang w:eastAsia="zh-CN"/>
        </w:rPr>
        <w:t>（</w:t>
      </w:r>
      <w:r>
        <w:rPr>
          <w:rFonts w:ascii="Calibri" w:hAnsi="Calibri" w:eastAsia="Calibri" w:cs="Calibri"/>
          <w:spacing w:val="-1"/>
          <w:lang w:eastAsia="zh-CN"/>
        </w:rPr>
        <w:t>5</w:t>
      </w:r>
      <w:r>
        <w:rPr>
          <w:spacing w:val="-1"/>
          <w:lang w:eastAsia="zh-CN"/>
        </w:rPr>
        <w:t>）磋商小组对各供应商的报价进行评审，对超出项目预算的报价或低于成本价的报价予</w:t>
      </w:r>
      <w:r>
        <w:rPr>
          <w:lang w:eastAsia="zh-CN"/>
        </w:rPr>
        <w:t xml:space="preserve"> 以淘汰。磋商小组发现供应商的报价明显低于其他供应商报价的，使得其报价可能低于其个别</w:t>
      </w:r>
      <w:r>
        <w:rPr>
          <w:spacing w:val="-53"/>
          <w:lang w:eastAsia="zh-CN"/>
        </w:rPr>
        <w:t xml:space="preserve"> </w:t>
      </w:r>
      <w:r>
        <w:rPr>
          <w:lang w:eastAsia="zh-CN"/>
        </w:rPr>
        <w:t>成本的，应当要求该供应商作出书面说明并提供相关证明材料。供应商不能合理说明或者不能</w:t>
      </w:r>
      <w:r>
        <w:rPr>
          <w:spacing w:val="-53"/>
          <w:lang w:eastAsia="zh-CN"/>
        </w:rPr>
        <w:t xml:space="preserve"> </w:t>
      </w:r>
      <w:r>
        <w:rPr>
          <w:lang w:eastAsia="zh-CN"/>
        </w:rPr>
        <w:t>提供相关证明材料，由磋商小组认定该供应商以低于成本报价竞标，其报价应作为废标处理。</w:t>
      </w:r>
    </w:p>
    <w:p>
      <w:pPr>
        <w:pStyle w:val="10"/>
        <w:spacing w:before="46" w:line="326" w:lineRule="auto"/>
        <w:rPr>
          <w:lang w:eastAsia="zh-CN"/>
        </w:rPr>
      </w:pPr>
      <w:r>
        <w:rPr>
          <w:rFonts w:ascii="Calibri" w:hAnsi="Calibri" w:eastAsia="Calibri" w:cs="Calibri"/>
          <w:lang w:eastAsia="zh-CN"/>
        </w:rPr>
        <w:t>6.3.2.3</w:t>
      </w:r>
      <w:r>
        <w:rPr>
          <w:rFonts w:ascii="Calibri" w:hAnsi="Calibri" w:eastAsia="Calibri" w:cs="Calibri"/>
          <w:spacing w:val="5"/>
          <w:lang w:eastAsia="zh-CN"/>
        </w:rPr>
        <w:t xml:space="preserve"> </w:t>
      </w:r>
      <w:r>
        <w:rPr>
          <w:lang w:eastAsia="zh-CN"/>
        </w:rPr>
        <w:t xml:space="preserve">磋商及最终响应文件 </w:t>
      </w:r>
    </w:p>
    <w:p>
      <w:pPr>
        <w:pStyle w:val="10"/>
        <w:spacing w:before="0" w:line="326" w:lineRule="auto"/>
        <w:ind w:left="0" w:firstLine="600" w:firstLineChars="250"/>
        <w:rPr>
          <w:lang w:eastAsia="zh-CN"/>
        </w:rPr>
      </w:pPr>
      <w:r>
        <w:rPr>
          <w:lang w:eastAsia="zh-CN"/>
        </w:rPr>
        <w:t>磋商小组所有成员应当集中与单一供应商分别进行磋商，并给予所有参加磋商的供应商平等的磋商机会。 在磋商过程中，磋商小组可以根据磋商文件和磋商情况实质性变动采购需求中的技术、服务要求以及合同草案条款，但不得变动磋商文件中的其他内容。实质性变动的内容，须经采购</w:t>
      </w:r>
      <w:r>
        <w:rPr>
          <w:spacing w:val="-53"/>
          <w:lang w:eastAsia="zh-CN"/>
        </w:rPr>
        <w:t xml:space="preserve"> </w:t>
      </w:r>
      <w:r>
        <w:rPr>
          <w:lang w:eastAsia="zh-CN"/>
        </w:rPr>
        <w:t>人代表确认。</w:t>
      </w:r>
    </w:p>
    <w:p>
      <w:pPr>
        <w:pStyle w:val="10"/>
        <w:spacing w:line="357" w:lineRule="auto"/>
        <w:ind w:left="112" w:right="129" w:firstLine="480"/>
        <w:jc w:val="both"/>
        <w:rPr>
          <w:lang w:eastAsia="zh-CN"/>
        </w:rPr>
      </w:pPr>
      <w:r>
        <w:rPr>
          <w:lang w:eastAsia="zh-CN"/>
        </w:rPr>
        <w:t>对磋商文件作出的实质性变动是磋商文件的有效组成部分，磋商小组应当及时以书面形式 同时通知所有参加磋商的供应商。</w:t>
      </w:r>
    </w:p>
    <w:p>
      <w:pPr>
        <w:pStyle w:val="10"/>
        <w:spacing w:line="357" w:lineRule="auto"/>
        <w:ind w:left="112" w:right="129" w:firstLine="480"/>
        <w:jc w:val="both"/>
        <w:rPr>
          <w:lang w:eastAsia="zh-CN"/>
        </w:rPr>
      </w:pPr>
      <w:r>
        <w:rPr>
          <w:lang w:eastAsia="zh-CN"/>
        </w:rPr>
        <w:t>供应商应当按照磋商文件的变动情况和磋商小组的要求重新提交响应文件，并由其法定代 表人或授权代表签字或者加盖公章。由授权代表签字的，应当附法定代表人授权书。供应商为</w:t>
      </w:r>
      <w:r>
        <w:rPr>
          <w:spacing w:val="-53"/>
          <w:lang w:eastAsia="zh-CN"/>
        </w:rPr>
        <w:t xml:space="preserve"> </w:t>
      </w:r>
      <w:r>
        <w:rPr>
          <w:lang w:eastAsia="zh-CN"/>
        </w:rPr>
        <w:t>自然人的，应当由本人签字并附身份证明。</w:t>
      </w:r>
    </w:p>
    <w:p>
      <w:pPr>
        <w:pStyle w:val="10"/>
        <w:spacing w:line="357" w:lineRule="auto"/>
        <w:ind w:left="112" w:right="129" w:firstLine="480"/>
        <w:jc w:val="both"/>
        <w:rPr>
          <w:lang w:eastAsia="zh-CN"/>
        </w:rPr>
      </w:pPr>
      <w:r>
        <w:rPr>
          <w:lang w:eastAsia="zh-CN"/>
        </w:rPr>
        <w:t>采购人将拒绝接收提交最终响应文件截止时间后送达的最终响应文件，在提交最终响应文 件截止时间之后，供应商不得补充、修改、撤回最终响应文件。</w:t>
      </w:r>
    </w:p>
    <w:p>
      <w:pPr>
        <w:pStyle w:val="10"/>
        <w:spacing w:line="357" w:lineRule="auto"/>
        <w:ind w:left="112" w:right="129" w:firstLine="480"/>
        <w:jc w:val="both"/>
        <w:rPr>
          <w:lang w:eastAsia="zh-CN"/>
        </w:rPr>
      </w:pPr>
      <w:r>
        <w:rPr>
          <w:lang w:eastAsia="zh-CN"/>
        </w:rPr>
        <w:t>经磋商确定最终采购需求和提交最后报价的供应商后，由磋商小组采用综合评分法对提交 最后报价的供应商的响应文件和最后报价进行综合评分。</w:t>
      </w:r>
    </w:p>
    <w:p>
      <w:pPr>
        <w:spacing w:before="36"/>
        <w:ind w:left="592"/>
        <w:rPr>
          <w:rFonts w:ascii="宋体" w:hAnsi="宋体" w:eastAsia="宋体" w:cs="宋体"/>
          <w:sz w:val="24"/>
          <w:szCs w:val="24"/>
          <w:lang w:eastAsia="zh-CN"/>
        </w:rPr>
      </w:pPr>
      <w:r>
        <w:rPr>
          <w:rFonts w:ascii="Calibri" w:hAnsi="Calibri" w:eastAsia="Calibri" w:cs="Calibri"/>
          <w:sz w:val="24"/>
          <w:szCs w:val="24"/>
          <w:lang w:eastAsia="zh-CN"/>
        </w:rPr>
        <w:t>6.3.2.4</w:t>
      </w:r>
      <w:r>
        <w:rPr>
          <w:rFonts w:ascii="Calibri" w:hAnsi="Calibri" w:eastAsia="Calibri" w:cs="Calibri"/>
          <w:spacing w:val="1"/>
          <w:sz w:val="24"/>
          <w:szCs w:val="24"/>
          <w:lang w:eastAsia="zh-CN"/>
        </w:rPr>
        <w:t xml:space="preserve"> </w:t>
      </w:r>
      <w:r>
        <w:rPr>
          <w:rFonts w:ascii="宋体" w:hAnsi="宋体" w:eastAsia="宋体" w:cs="宋体"/>
          <w:b/>
          <w:bCs/>
          <w:sz w:val="24"/>
          <w:szCs w:val="24"/>
          <w:lang w:eastAsia="zh-CN"/>
        </w:rPr>
        <w:t>最终报价</w:t>
      </w:r>
    </w:p>
    <w:p>
      <w:pPr>
        <w:pStyle w:val="10"/>
        <w:spacing w:before="123" w:line="326" w:lineRule="auto"/>
        <w:ind w:left="112" w:right="127" w:firstLine="480"/>
        <w:jc w:val="both"/>
        <w:rPr>
          <w:lang w:eastAsia="zh-CN"/>
        </w:rPr>
      </w:pPr>
      <w:r>
        <w:rPr>
          <w:spacing w:val="-1"/>
          <w:lang w:eastAsia="zh-CN"/>
        </w:rPr>
        <w:t>（</w:t>
      </w:r>
      <w:r>
        <w:rPr>
          <w:rFonts w:ascii="Calibri" w:hAnsi="Calibri" w:eastAsia="Calibri" w:cs="Calibri"/>
          <w:spacing w:val="-1"/>
          <w:lang w:eastAsia="zh-CN"/>
        </w:rPr>
        <w:t>1</w:t>
      </w:r>
      <w:r>
        <w:rPr>
          <w:spacing w:val="-1"/>
          <w:lang w:eastAsia="zh-CN"/>
        </w:rPr>
        <w:t>）采购代理机构经供应商同意设置最终报价的截止时间，各供应商应按照最终报价要求</w:t>
      </w:r>
      <w:r>
        <w:rPr>
          <w:lang w:eastAsia="zh-CN"/>
        </w:rPr>
        <w:t xml:space="preserve"> 的最终报价截止时间前递交并注明项目编号、项目名称及报价单位名称</w:t>
      </w:r>
      <w:r>
        <w:rPr>
          <w:rFonts w:ascii="Calibri" w:hAnsi="Calibri" w:eastAsia="Calibri" w:cs="Calibri"/>
          <w:lang w:eastAsia="zh-CN"/>
        </w:rPr>
        <w:t>(</w:t>
      </w:r>
      <w:r>
        <w:rPr>
          <w:lang w:eastAsia="zh-CN"/>
        </w:rPr>
        <w:t>加盖单位公章或授权人</w:t>
      </w:r>
      <w:r>
        <w:rPr>
          <w:spacing w:val="-114"/>
          <w:lang w:eastAsia="zh-CN"/>
        </w:rPr>
        <w:t xml:space="preserve"> </w:t>
      </w:r>
      <w:r>
        <w:rPr>
          <w:lang w:eastAsia="zh-CN"/>
        </w:rPr>
        <w:t>签字</w:t>
      </w:r>
      <w:r>
        <w:rPr>
          <w:rFonts w:ascii="Calibri" w:hAnsi="Calibri" w:eastAsia="Calibri" w:cs="Calibri"/>
          <w:lang w:eastAsia="zh-CN"/>
        </w:rPr>
        <w:t>)</w:t>
      </w:r>
      <w:r>
        <w:rPr>
          <w:lang w:eastAsia="zh-CN"/>
        </w:rPr>
        <w:t>；按照最终报价规定的时间、地点公开唱价。公开唱价由采购代理机构工作人员主持，监</w:t>
      </w:r>
      <w:r>
        <w:rPr>
          <w:spacing w:val="-114"/>
          <w:lang w:eastAsia="zh-CN"/>
        </w:rPr>
        <w:t xml:space="preserve"> </w:t>
      </w:r>
      <w:r>
        <w:rPr>
          <w:lang w:eastAsia="zh-CN"/>
        </w:rPr>
        <w:t>督人员、采购人代表、报价单位参加。</w:t>
      </w:r>
    </w:p>
    <w:p>
      <w:pPr>
        <w:spacing w:before="67" w:line="340" w:lineRule="auto"/>
        <w:ind w:left="112" w:right="98" w:firstLine="480"/>
        <w:jc w:val="both"/>
        <w:rPr>
          <w:rFonts w:ascii="宋体" w:hAnsi="宋体" w:eastAsia="宋体" w:cs="宋体"/>
          <w:sz w:val="24"/>
          <w:szCs w:val="24"/>
          <w:lang w:eastAsia="zh-CN"/>
        </w:rPr>
      </w:pPr>
      <w:r>
        <w:rPr>
          <w:rFonts w:ascii="宋体" w:hAnsi="宋体" w:eastAsia="宋体" w:cs="宋体"/>
          <w:spacing w:val="-1"/>
          <w:sz w:val="24"/>
          <w:szCs w:val="24"/>
          <w:lang w:eastAsia="zh-CN"/>
        </w:rPr>
        <w:t>（</w:t>
      </w:r>
      <w:r>
        <w:rPr>
          <w:rFonts w:ascii="Calibri" w:hAnsi="Calibri" w:eastAsia="Calibri" w:cs="Calibri"/>
          <w:spacing w:val="-1"/>
          <w:sz w:val="24"/>
          <w:szCs w:val="24"/>
          <w:lang w:eastAsia="zh-CN"/>
        </w:rPr>
        <w:t>2</w:t>
      </w:r>
      <w:r>
        <w:rPr>
          <w:rFonts w:ascii="宋体" w:hAnsi="宋体" w:eastAsia="宋体" w:cs="宋体"/>
          <w:spacing w:val="-1"/>
          <w:sz w:val="24"/>
          <w:szCs w:val="24"/>
          <w:lang w:eastAsia="zh-CN"/>
        </w:rPr>
        <w:t>）采购代理机构将拒绝接收最终报价截止时间后送达的最终报价文件</w:t>
      </w:r>
      <w:r>
        <w:rPr>
          <w:rFonts w:ascii="宋体" w:hAnsi="宋体" w:eastAsia="宋体" w:cs="宋体"/>
          <w:b/>
          <w:bCs/>
          <w:spacing w:val="-1"/>
          <w:sz w:val="24"/>
          <w:szCs w:val="24"/>
          <w:lang w:eastAsia="zh-CN"/>
        </w:rPr>
        <w:t>（若未按规定的时</w:t>
      </w:r>
      <w:r>
        <w:rPr>
          <w:rFonts w:ascii="宋体" w:hAnsi="宋体" w:eastAsia="宋体" w:cs="宋体"/>
          <w:b/>
          <w:bCs/>
          <w:w w:val="99"/>
          <w:sz w:val="24"/>
          <w:szCs w:val="24"/>
          <w:lang w:eastAsia="zh-CN"/>
        </w:rPr>
        <w:t xml:space="preserve"> </w:t>
      </w:r>
      <w:r>
        <w:rPr>
          <w:rFonts w:ascii="宋体" w:hAnsi="宋体" w:eastAsia="宋体" w:cs="宋体"/>
          <w:b/>
          <w:bCs/>
          <w:spacing w:val="2"/>
          <w:w w:val="95"/>
          <w:sz w:val="24"/>
          <w:szCs w:val="24"/>
          <w:lang w:eastAsia="zh-CN"/>
        </w:rPr>
        <w:t>间递交最终报价，视其在报价有效期内撤回报价处理，其响应文件不予评审）</w:t>
      </w:r>
      <w:r>
        <w:rPr>
          <w:rFonts w:ascii="宋体" w:hAnsi="宋体" w:eastAsia="宋体" w:cs="宋体"/>
          <w:spacing w:val="2"/>
          <w:w w:val="95"/>
          <w:sz w:val="24"/>
          <w:szCs w:val="24"/>
          <w:lang w:eastAsia="zh-CN"/>
        </w:rPr>
        <w:t>，在最终报价截</w:t>
      </w:r>
      <w:r>
        <w:rPr>
          <w:rFonts w:ascii="宋体" w:hAnsi="宋体" w:eastAsia="宋体" w:cs="宋体"/>
          <w:sz w:val="24"/>
          <w:szCs w:val="24"/>
          <w:lang w:eastAsia="zh-CN"/>
        </w:rPr>
        <w:t>止时间之后，报价单位不得补充、修改最终报价文件。</w:t>
      </w:r>
    </w:p>
    <w:p>
      <w:pPr>
        <w:pStyle w:val="10"/>
        <w:spacing w:before="53"/>
        <w:rPr>
          <w:lang w:eastAsia="zh-CN"/>
        </w:rPr>
      </w:pPr>
      <w:r>
        <w:rPr>
          <w:lang w:eastAsia="zh-CN"/>
        </w:rPr>
        <w:t>（</w:t>
      </w:r>
      <w:r>
        <w:rPr>
          <w:rFonts w:ascii="Calibri" w:hAnsi="Calibri" w:eastAsia="Calibri" w:cs="Calibri"/>
          <w:lang w:eastAsia="zh-CN"/>
        </w:rPr>
        <w:t>3</w:t>
      </w:r>
      <w:r>
        <w:rPr>
          <w:lang w:eastAsia="zh-CN"/>
        </w:rPr>
        <w:t>）工作人员当众拆启最终报价文件，唱价员宣读报价单位名称、报价等内容。</w:t>
      </w:r>
    </w:p>
    <w:p>
      <w:pPr>
        <w:pStyle w:val="10"/>
        <w:spacing w:before="123" w:line="326" w:lineRule="auto"/>
        <w:ind w:left="112" w:right="124" w:firstLine="480"/>
        <w:jc w:val="both"/>
        <w:rPr>
          <w:lang w:eastAsia="zh-CN"/>
        </w:rPr>
      </w:pPr>
      <w:r>
        <w:rPr>
          <w:spacing w:val="-2"/>
          <w:lang w:eastAsia="zh-CN"/>
        </w:rPr>
        <w:t>（</w:t>
      </w:r>
      <w:r>
        <w:rPr>
          <w:rFonts w:ascii="Calibri" w:hAnsi="Calibri" w:eastAsia="Calibri" w:cs="Calibri"/>
          <w:spacing w:val="-2"/>
          <w:lang w:eastAsia="zh-CN"/>
        </w:rPr>
        <w:t>4</w:t>
      </w:r>
      <w:r>
        <w:rPr>
          <w:spacing w:val="-2"/>
          <w:lang w:eastAsia="zh-CN"/>
        </w:rPr>
        <w:t>）记录员将唱价内容分项记录，并由供应商现场签字确认，同时由采购人、监标人、记</w:t>
      </w:r>
      <w:r>
        <w:rPr>
          <w:lang w:eastAsia="zh-CN"/>
        </w:rPr>
        <w:t xml:space="preserve"> 录人等相关人员在开标记录上签字确认。</w:t>
      </w:r>
    </w:p>
    <w:p>
      <w:pPr>
        <w:pStyle w:val="8"/>
        <w:spacing w:before="67"/>
        <w:rPr>
          <w:rFonts w:cs="宋体"/>
          <w:b w:val="0"/>
          <w:bCs w:val="0"/>
          <w:lang w:eastAsia="zh-CN"/>
        </w:rPr>
      </w:pPr>
      <w:r>
        <w:rPr>
          <w:rFonts w:ascii="Calibri" w:hAnsi="Calibri" w:eastAsia="Calibri" w:cs="Calibri"/>
          <w:lang w:eastAsia="zh-CN"/>
        </w:rPr>
        <w:t>6.3.2.5</w:t>
      </w:r>
      <w:r>
        <w:rPr>
          <w:rFonts w:ascii="Calibri" w:hAnsi="Calibri" w:eastAsia="Calibri" w:cs="Calibri"/>
          <w:spacing w:val="-2"/>
          <w:lang w:eastAsia="zh-CN"/>
        </w:rPr>
        <w:t xml:space="preserve"> </w:t>
      </w:r>
      <w:r>
        <w:rPr>
          <w:lang w:eastAsia="zh-CN"/>
        </w:rPr>
        <w:t>各供应商报价按以下标准进行价格扣除后进行评审</w:t>
      </w:r>
      <w:r>
        <w:rPr>
          <w:rFonts w:cs="宋体"/>
          <w:b w:val="0"/>
          <w:bCs w:val="0"/>
          <w:lang w:eastAsia="zh-CN"/>
        </w:rPr>
        <w:t>。</w:t>
      </w:r>
    </w:p>
    <w:p>
      <w:pPr>
        <w:pStyle w:val="10"/>
        <w:spacing w:line="480" w:lineRule="exact"/>
        <w:ind w:firstLine="480" w:firstLineChars="200"/>
        <w:rPr>
          <w:lang w:eastAsia="zh-CN"/>
        </w:rPr>
      </w:pPr>
      <w:r>
        <w:rPr>
          <w:rFonts w:hint="eastAsia"/>
          <w:lang w:eastAsia="zh-CN"/>
        </w:rPr>
        <w:t>1、优采强采节能环保产品：</w:t>
      </w:r>
    </w:p>
    <w:p>
      <w:pPr>
        <w:pStyle w:val="10"/>
        <w:spacing w:line="480" w:lineRule="exact"/>
        <w:ind w:firstLine="480" w:firstLineChars="200"/>
        <w:rPr>
          <w:lang w:eastAsia="zh-CN"/>
        </w:rPr>
      </w:pPr>
      <w:r>
        <w:rPr>
          <w:rFonts w:hint="eastAsia"/>
          <w:lang w:eastAsia="zh-CN"/>
        </w:rPr>
        <w:t>1)</w:t>
      </w:r>
      <w:r>
        <w:rPr>
          <w:rFonts w:hint="eastAsia"/>
          <w:lang w:eastAsia="zh-CN"/>
        </w:rPr>
        <w:tab/>
      </w:r>
      <w:r>
        <w:rPr>
          <w:rFonts w:hint="eastAsia"/>
          <w:lang w:eastAsia="zh-CN"/>
        </w:rPr>
        <w:t>报价供应商所投产品属于节能产品清单中强制采购的节能产品，不享受鼓励优惠政策；属于节能产品目录中非强制采用的节能产品，需在资格证明文件中明确，享受鼓励优惠政策。</w:t>
      </w:r>
    </w:p>
    <w:p>
      <w:pPr>
        <w:pStyle w:val="10"/>
        <w:spacing w:line="480" w:lineRule="exact"/>
        <w:ind w:firstLine="480" w:firstLineChars="200"/>
        <w:rPr>
          <w:lang w:eastAsia="zh-CN"/>
        </w:rPr>
      </w:pPr>
      <w:r>
        <w:rPr>
          <w:rFonts w:hint="eastAsia"/>
          <w:lang w:eastAsia="zh-CN"/>
        </w:rPr>
        <w:t>2)</w:t>
      </w:r>
      <w:r>
        <w:rPr>
          <w:rFonts w:hint="eastAsia"/>
          <w:lang w:eastAsia="zh-CN"/>
        </w:rPr>
        <w:tab/>
      </w:r>
      <w:r>
        <w:rPr>
          <w:rFonts w:hint="eastAsia"/>
          <w:lang w:eastAsia="zh-CN"/>
        </w:rPr>
        <w:t>报价供应商在响应文件中对所投产品为节能、环境标志产品清单中的产品，在报价时必须对此类产品单独分项报价（需提供报价明细表，含此类产品的单价、数量及全部节能、环境标志产品价格占总报价的权重），并提供属于政府采购清单内产品的证明资料（需提供加盖公章的环境标志产品政府采购清单官方网站截图及产品目录（财政部、环保部2017年第二十期）、加盖公章的节能产品政府采购清单官方网站截图及产品目录（财政部、国家发改委2017年第二十二期）），未提供节能、环境标志产品报价明细表及属于政府采购清单内产品的证明资料的不给予鼓励优惠政策，若节能、环境标志清单内的产品仅是构成报价产品的部件、组件或零件的，则该报价产品不享受鼓励优惠政策。</w:t>
      </w:r>
    </w:p>
    <w:p>
      <w:pPr>
        <w:pStyle w:val="10"/>
        <w:spacing w:line="480" w:lineRule="exact"/>
        <w:ind w:firstLine="480" w:firstLineChars="200"/>
        <w:rPr>
          <w:lang w:eastAsia="zh-CN"/>
        </w:rPr>
      </w:pPr>
      <w:r>
        <w:rPr>
          <w:rFonts w:hint="eastAsia"/>
          <w:lang w:eastAsia="zh-CN"/>
        </w:rPr>
        <w:t>3)</w:t>
      </w:r>
      <w:r>
        <w:rPr>
          <w:rFonts w:hint="eastAsia"/>
          <w:lang w:eastAsia="zh-CN"/>
        </w:rPr>
        <w:tab/>
      </w:r>
      <w:r>
        <w:rPr>
          <w:rFonts w:hint="eastAsia"/>
          <w:lang w:eastAsia="zh-CN"/>
        </w:rPr>
        <w:t>在价格评审项中，对节能、环保产品分别给予价格评审总分值5%的加分，加分公式如下：加分=价格评审总分值×5%×节能、环保产品价格在总报价中所占权重；</w:t>
      </w:r>
    </w:p>
    <w:p>
      <w:pPr>
        <w:pStyle w:val="10"/>
        <w:spacing w:line="480" w:lineRule="exact"/>
        <w:ind w:firstLine="480" w:firstLineChars="200"/>
        <w:rPr>
          <w:lang w:eastAsia="zh-CN"/>
        </w:rPr>
      </w:pPr>
      <w:r>
        <w:rPr>
          <w:rFonts w:hint="eastAsia"/>
          <w:lang w:eastAsia="zh-CN"/>
        </w:rPr>
        <w:t>4) 在技术评审项中，对节能、环保产品分别给予技术评审总分值5%的加分，加分公式如下：加分=技术评审总分值×5%×节能、环保产品价格在总报价中所占权重。</w:t>
      </w:r>
    </w:p>
    <w:p>
      <w:pPr>
        <w:pStyle w:val="10"/>
        <w:spacing w:line="480" w:lineRule="exact"/>
        <w:ind w:firstLine="480" w:firstLineChars="200"/>
        <w:rPr>
          <w:lang w:eastAsia="zh-CN"/>
        </w:rPr>
      </w:pPr>
      <w:r>
        <w:rPr>
          <w:rFonts w:hint="eastAsia"/>
          <w:lang w:eastAsia="zh-CN"/>
        </w:rPr>
        <w:t>2、小微企业</w:t>
      </w:r>
    </w:p>
    <w:p>
      <w:pPr>
        <w:pStyle w:val="10"/>
        <w:spacing w:line="480" w:lineRule="exact"/>
        <w:ind w:firstLine="480" w:firstLineChars="200"/>
        <w:rPr>
          <w:lang w:eastAsia="zh-CN"/>
        </w:rPr>
      </w:pPr>
      <w:r>
        <w:rPr>
          <w:rFonts w:hint="eastAsia"/>
          <w:lang w:eastAsia="zh-CN"/>
        </w:rPr>
        <w:t>1) 报价供应商如属小微企业，产品价格需扣除的，须按照工信部联企业[2011]300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审时不予承认；</w:t>
      </w:r>
    </w:p>
    <w:p>
      <w:pPr>
        <w:pStyle w:val="10"/>
        <w:spacing w:line="480" w:lineRule="exact"/>
        <w:ind w:firstLine="480" w:firstLineChars="200"/>
        <w:rPr>
          <w:lang w:eastAsia="zh-CN"/>
        </w:rPr>
      </w:pPr>
      <w:r>
        <w:rPr>
          <w:rFonts w:hint="eastAsia"/>
          <w:lang w:eastAsia="zh-CN"/>
        </w:rPr>
        <w:t>2)报价供应商所投产品中全部为小微企业产品，给予6%的价格扣除；所投产品中部分为小微企业产品，小微企业产品金额占合同金额30%以下的不给予价格扣除，小微企业产品金额占合同金额30%以上的给予2%的价格扣除；</w:t>
      </w:r>
    </w:p>
    <w:p>
      <w:pPr>
        <w:pStyle w:val="10"/>
        <w:spacing w:line="480" w:lineRule="exact"/>
        <w:ind w:firstLine="480" w:firstLineChars="200"/>
        <w:rPr>
          <w:lang w:eastAsia="zh-CN"/>
        </w:rPr>
      </w:pPr>
      <w:r>
        <w:rPr>
          <w:rFonts w:hint="eastAsia"/>
          <w:lang w:eastAsia="zh-CN"/>
        </w:rPr>
        <w:t>3)根据《财政部司法部关于政府采购支持监狱企业发展有关问题的通知》（财库【2014】68 号）文件规定，在政府采购活动中，监狱企业视同小型、微型企业，享受评审中价格扣除的政府采购政策；</w:t>
      </w:r>
    </w:p>
    <w:p>
      <w:pPr>
        <w:pStyle w:val="10"/>
        <w:spacing w:line="480" w:lineRule="exact"/>
        <w:ind w:firstLine="480" w:firstLineChars="200"/>
        <w:rPr>
          <w:lang w:eastAsia="zh-CN"/>
        </w:rPr>
      </w:pPr>
      <w:r>
        <w:rPr>
          <w:rFonts w:hint="eastAsia"/>
          <w:lang w:eastAsia="zh-CN"/>
        </w:rPr>
        <w:t>4)如报价供应商为监狱企业，须提供省级以上监狱管理局、戒毒管理局（含新疆生产建设兵团）出具的属于监狱企业的证明文件，否则评审时不予承认；</w:t>
      </w:r>
    </w:p>
    <w:p>
      <w:pPr>
        <w:pStyle w:val="10"/>
        <w:spacing w:line="480" w:lineRule="exact"/>
        <w:ind w:firstLine="480" w:firstLineChars="200"/>
        <w:rPr>
          <w:lang w:eastAsia="zh-CN"/>
        </w:rPr>
      </w:pPr>
      <w:r>
        <w:rPr>
          <w:rFonts w:hint="eastAsia"/>
          <w:lang w:eastAsia="zh-CN"/>
        </w:rPr>
        <w:t>5)小型、微型企业提供中型及以上企业制造的货物的，视同为中型及以上企业；</w:t>
      </w:r>
    </w:p>
    <w:p>
      <w:pPr>
        <w:pStyle w:val="10"/>
        <w:spacing w:line="480" w:lineRule="exact"/>
        <w:ind w:firstLine="480" w:firstLineChars="200"/>
        <w:rPr>
          <w:lang w:eastAsia="zh-CN"/>
        </w:rPr>
      </w:pPr>
      <w:r>
        <w:rPr>
          <w:rFonts w:hint="eastAsia"/>
          <w:lang w:eastAsia="zh-CN"/>
        </w:rPr>
        <w:t>6)给予小型和微型企业产品的价格6%的扣除；计算方法是：</w:t>
      </w:r>
    </w:p>
    <w:p>
      <w:pPr>
        <w:pStyle w:val="10"/>
        <w:spacing w:line="480" w:lineRule="exact"/>
        <w:ind w:firstLine="480" w:firstLineChars="200"/>
        <w:rPr>
          <w:lang w:eastAsia="zh-CN"/>
        </w:rPr>
      </w:pPr>
      <w:r>
        <w:rPr>
          <w:rFonts w:hint="eastAsia"/>
          <w:lang w:eastAsia="zh-CN"/>
        </w:rPr>
        <w:t>最终价格＝报价×94%，按照最终价格计算其价格分得分。</w:t>
      </w:r>
    </w:p>
    <w:p>
      <w:pPr>
        <w:pStyle w:val="10"/>
        <w:spacing w:line="480" w:lineRule="exact"/>
        <w:ind w:firstLine="480" w:firstLineChars="200"/>
        <w:rPr>
          <w:lang w:eastAsia="zh-CN"/>
        </w:rPr>
      </w:pPr>
      <w:r>
        <w:rPr>
          <w:rFonts w:hint="eastAsia"/>
          <w:lang w:eastAsia="zh-CN"/>
        </w:rPr>
        <w:t>报价时，报价供应商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0"/>
        <w:spacing w:line="480" w:lineRule="exact"/>
        <w:ind w:firstLine="480" w:firstLineChars="200"/>
        <w:rPr>
          <w:lang w:eastAsia="zh-CN"/>
        </w:rPr>
      </w:pPr>
      <w:r>
        <w:rPr>
          <w:rFonts w:hint="eastAsia"/>
          <w:lang w:eastAsia="zh-CN"/>
        </w:rPr>
        <w:t>3、监狱企业</w:t>
      </w:r>
    </w:p>
    <w:p>
      <w:pPr>
        <w:pStyle w:val="10"/>
        <w:spacing w:line="480" w:lineRule="exact"/>
        <w:ind w:firstLine="480" w:firstLineChars="200"/>
        <w:rPr>
          <w:lang w:eastAsia="zh-CN"/>
        </w:rPr>
      </w:pPr>
      <w:r>
        <w:rPr>
          <w:rFonts w:hint="eastAsia"/>
          <w:lang w:eastAsia="zh-CN"/>
        </w:rPr>
        <w:t>1)</w:t>
      </w:r>
      <w:r>
        <w:rPr>
          <w:rFonts w:hint="eastAsia"/>
          <w:lang w:eastAsia="zh-CN"/>
        </w:rPr>
        <w:tab/>
      </w:r>
      <w:r>
        <w:rPr>
          <w:rFonts w:hint="eastAsia"/>
          <w:lang w:eastAsia="zh-CN"/>
        </w:rPr>
        <w:t>给予监狱企业产品的价格6%的扣除；计算方法是：</w:t>
      </w:r>
    </w:p>
    <w:p>
      <w:pPr>
        <w:pStyle w:val="10"/>
        <w:spacing w:line="480" w:lineRule="exact"/>
        <w:ind w:firstLine="480" w:firstLineChars="200"/>
        <w:rPr>
          <w:lang w:eastAsia="zh-CN"/>
        </w:rPr>
      </w:pPr>
      <w:r>
        <w:rPr>
          <w:rFonts w:hint="eastAsia"/>
          <w:lang w:eastAsia="zh-CN"/>
        </w:rPr>
        <w:t>最终价格＝报价×94%，按照最终价格计算其价格分得分。</w:t>
      </w:r>
    </w:p>
    <w:p>
      <w:pPr>
        <w:pStyle w:val="10"/>
        <w:spacing w:line="480" w:lineRule="exact"/>
        <w:ind w:firstLine="480" w:firstLineChars="200"/>
        <w:rPr>
          <w:lang w:eastAsia="zh-CN"/>
        </w:rPr>
      </w:pPr>
      <w:r>
        <w:rPr>
          <w:rFonts w:hint="eastAsia"/>
          <w:lang w:eastAsia="zh-CN"/>
        </w:rPr>
        <w:t>4、单价采购的项目中具有节能、环保、小微企业生产的产品权重计算方式：以具有节能、环保、小微企业生产的产品的单价之和与全部单价之和计算其权重。</w:t>
      </w:r>
    </w:p>
    <w:p>
      <w:pPr>
        <w:pStyle w:val="10"/>
        <w:spacing w:line="480" w:lineRule="exact"/>
        <w:ind w:firstLine="480" w:firstLineChars="200"/>
        <w:rPr>
          <w:lang w:eastAsia="zh-CN"/>
        </w:rPr>
      </w:pPr>
      <w:r>
        <w:rPr>
          <w:rFonts w:hint="eastAsia"/>
          <w:lang w:eastAsia="zh-CN"/>
        </w:rPr>
        <w:t>5、残疾人福利企业</w:t>
      </w:r>
    </w:p>
    <w:p>
      <w:pPr>
        <w:pStyle w:val="10"/>
        <w:spacing w:line="480" w:lineRule="exact"/>
        <w:ind w:firstLine="480" w:firstLineChars="200"/>
        <w:rPr>
          <w:lang w:eastAsia="zh-CN"/>
        </w:rPr>
      </w:pPr>
      <w:r>
        <w:rPr>
          <w:rFonts w:hint="eastAsia"/>
          <w:lang w:eastAsia="zh-CN"/>
        </w:rPr>
        <w:t>根据《促进残疾人就业政府采购政策》（财库〔2017〕141 号）的规定，对残疾人福利性单位视同小型、微型企业，享受预留份额、评审中价格扣除等促进中小企业发展的政府采购政策。具体计算方法见中小企业优惠办法。 符合条件的残疾人福利性单位在参加政府采购活动时，应当提供（财库〔2017〕141 号）规定的《残疾人福利性单位声明函》，并对声明的真实性负责。供应商提供的《残疾人福利性单位声明函》与事实不符的，依照《政府采购法》第七十七条第一款的规定追究法律责任。未按要求提供的，将不给予价格扣除的政策优惠。</w:t>
      </w:r>
    </w:p>
    <w:p>
      <w:pPr>
        <w:pStyle w:val="10"/>
        <w:spacing w:line="480" w:lineRule="exact"/>
        <w:ind w:firstLine="480" w:firstLineChars="200"/>
        <w:rPr>
          <w:lang w:eastAsia="zh-CN"/>
        </w:rPr>
      </w:pPr>
      <w:r>
        <w:rPr>
          <w:rFonts w:hint="eastAsia"/>
          <w:lang w:eastAsia="zh-CN"/>
        </w:rPr>
        <w:t>6、若为联合体报价项目：鼓励大中型企业和其他自然人、法人或者其他组织与小型、微型企业组成联合体共同参加非专门面向中小企业的政府采购活动。若采购项目为允许联合体报价的项目，联合协议中约定，小型、微型企业的协议合同金额占到联合体协议合同总金额30%以上的，可给予联合体2%的价格扣除。</w:t>
      </w:r>
    </w:p>
    <w:p>
      <w:pPr>
        <w:pStyle w:val="10"/>
        <w:spacing w:line="480" w:lineRule="exact"/>
        <w:ind w:firstLine="480" w:firstLineChars="200"/>
        <w:rPr>
          <w:lang w:eastAsia="zh-CN"/>
        </w:rPr>
      </w:pPr>
      <w:r>
        <w:rPr>
          <w:rFonts w:hint="eastAsia"/>
          <w:lang w:eastAsia="zh-CN"/>
        </w:rPr>
        <w:t>备注：具体价格扣除公式为：评审价格=报价-报价×扣除比例，本项目的评审方式为综合评分法，根据上述扣除比例计算各报价供应商的评审价格。评审、评审价格仅为评定价格，不作为最终的成交价格。</w:t>
      </w:r>
    </w:p>
    <w:p>
      <w:pPr>
        <w:spacing w:before="4"/>
        <w:rPr>
          <w:rFonts w:ascii="宋体" w:hAnsi="宋体" w:eastAsia="宋体" w:cs="宋体"/>
          <w:b/>
          <w:bCs/>
          <w:sz w:val="32"/>
          <w:szCs w:val="32"/>
          <w:lang w:eastAsia="zh-CN"/>
        </w:rPr>
      </w:pPr>
    </w:p>
    <w:p>
      <w:pPr>
        <w:spacing w:line="326" w:lineRule="auto"/>
        <w:ind w:left="592" w:right="86"/>
        <w:rPr>
          <w:rFonts w:ascii="宋体" w:hAnsi="宋体" w:eastAsia="宋体" w:cs="宋体"/>
          <w:b/>
          <w:bCs/>
          <w:w w:val="99"/>
          <w:sz w:val="24"/>
          <w:szCs w:val="24"/>
          <w:lang w:eastAsia="zh-CN"/>
        </w:rPr>
      </w:pPr>
      <w:r>
        <w:rPr>
          <w:rFonts w:ascii="Calibri" w:hAnsi="Calibri" w:eastAsia="Calibri" w:cs="Calibri"/>
          <w:b/>
          <w:bCs/>
          <w:sz w:val="24"/>
          <w:szCs w:val="24"/>
          <w:lang w:eastAsia="zh-CN"/>
        </w:rPr>
        <w:t>6.3.2.6</w:t>
      </w:r>
      <w:r>
        <w:rPr>
          <w:rFonts w:ascii="Calibri" w:hAnsi="Calibri" w:eastAsia="Calibri" w:cs="Calibri"/>
          <w:b/>
          <w:bCs/>
          <w:spacing w:val="3"/>
          <w:sz w:val="24"/>
          <w:szCs w:val="24"/>
          <w:lang w:eastAsia="zh-CN"/>
        </w:rPr>
        <w:t xml:space="preserve"> </w:t>
      </w:r>
      <w:r>
        <w:rPr>
          <w:rFonts w:ascii="宋体" w:hAnsi="宋体" w:eastAsia="宋体" w:cs="宋体"/>
          <w:b/>
          <w:bCs/>
          <w:sz w:val="24"/>
          <w:szCs w:val="24"/>
          <w:lang w:eastAsia="zh-CN"/>
        </w:rPr>
        <w:t>评审办法</w:t>
      </w:r>
      <w:r>
        <w:rPr>
          <w:rFonts w:ascii="宋体" w:hAnsi="宋体" w:eastAsia="宋体" w:cs="宋体"/>
          <w:b/>
          <w:bCs/>
          <w:w w:val="99"/>
          <w:sz w:val="24"/>
          <w:szCs w:val="24"/>
          <w:lang w:eastAsia="zh-CN"/>
        </w:rPr>
        <w:t xml:space="preserve"> </w:t>
      </w:r>
    </w:p>
    <w:p>
      <w:pPr>
        <w:spacing w:line="326" w:lineRule="auto"/>
        <w:ind w:left="592" w:right="86" w:firstLine="361" w:firstLineChars="150"/>
        <w:rPr>
          <w:rFonts w:ascii="宋体" w:hAnsi="宋体" w:eastAsia="宋体" w:cs="宋体"/>
          <w:sz w:val="24"/>
          <w:szCs w:val="24"/>
          <w:lang w:eastAsia="zh-CN"/>
        </w:rPr>
      </w:pPr>
      <w:r>
        <w:rPr>
          <w:rFonts w:ascii="宋体" w:hAnsi="宋体" w:eastAsia="宋体" w:cs="宋体"/>
          <w:b/>
          <w:bCs/>
          <w:sz w:val="24"/>
          <w:szCs w:val="24"/>
          <w:lang w:eastAsia="zh-CN"/>
        </w:rPr>
        <w:t>本次评审采用综合评分法</w:t>
      </w:r>
      <w:r>
        <w:rPr>
          <w:rFonts w:ascii="宋体" w:hAnsi="宋体" w:eastAsia="宋体" w:cs="宋体"/>
          <w:sz w:val="24"/>
          <w:szCs w:val="24"/>
          <w:lang w:eastAsia="zh-CN"/>
        </w:rPr>
        <w:t>，是在满足磋商文件全部实质性要求前提下，按照磋商文件中规</w:t>
      </w:r>
      <w:r>
        <w:rPr>
          <w:lang w:eastAsia="zh-CN"/>
        </w:rPr>
        <w:t>定的各项因素进行综合评审，根据评审得分由高到低顺序推荐成交候选人。</w:t>
      </w:r>
    </w:p>
    <w:p>
      <w:pPr>
        <w:pStyle w:val="10"/>
        <w:spacing w:before="154" w:line="326" w:lineRule="auto"/>
        <w:ind w:right="86"/>
        <w:rPr>
          <w:lang w:eastAsia="zh-CN"/>
        </w:rPr>
      </w:pPr>
      <w:r>
        <w:rPr>
          <w:rFonts w:ascii="Calibri" w:hAnsi="Calibri" w:eastAsia="Calibri" w:cs="Calibri"/>
          <w:lang w:eastAsia="zh-CN"/>
        </w:rPr>
        <w:t>6.3.2.7</w:t>
      </w:r>
      <w:r>
        <w:rPr>
          <w:rFonts w:ascii="Calibri" w:hAnsi="Calibri" w:eastAsia="Calibri" w:cs="Calibri"/>
          <w:spacing w:val="5"/>
          <w:lang w:eastAsia="zh-CN"/>
        </w:rPr>
        <w:t xml:space="preserve"> </w:t>
      </w:r>
      <w:r>
        <w:rPr>
          <w:lang w:eastAsia="zh-CN"/>
        </w:rPr>
        <w:t xml:space="preserve">特殊情况下的评审方法 </w:t>
      </w:r>
    </w:p>
    <w:p>
      <w:pPr>
        <w:pStyle w:val="10"/>
        <w:spacing w:before="154" w:line="326" w:lineRule="auto"/>
        <w:ind w:right="86" w:firstLine="480" w:firstLineChars="200"/>
        <w:rPr>
          <w:lang w:eastAsia="zh-CN"/>
        </w:rPr>
      </w:pPr>
      <w:r>
        <w:rPr>
          <w:lang w:eastAsia="zh-CN"/>
        </w:rPr>
        <w:t>如出现供应商达不到法定数量、全部落标、串通报价、报价均超项目预算以及供应商互相诋毁，导致磋商小组无法评审时，磋商小组有权停止采购活动，否决所有报价，采购人依法重</w:t>
      </w:r>
      <w:r>
        <w:rPr>
          <w:spacing w:val="-53"/>
          <w:lang w:eastAsia="zh-CN"/>
        </w:rPr>
        <w:t xml:space="preserve"> </w:t>
      </w:r>
      <w:r>
        <w:rPr>
          <w:lang w:eastAsia="zh-CN"/>
        </w:rPr>
        <w:t>新组织采购。</w:t>
      </w:r>
    </w:p>
    <w:p>
      <w:pPr>
        <w:pStyle w:val="10"/>
        <w:spacing w:line="326" w:lineRule="auto"/>
        <w:ind w:right="86"/>
        <w:rPr>
          <w:lang w:eastAsia="zh-CN"/>
        </w:rPr>
      </w:pPr>
      <w:r>
        <w:rPr>
          <w:rFonts w:ascii="Calibri" w:hAnsi="Calibri" w:eastAsia="Calibri" w:cs="Calibri"/>
          <w:lang w:eastAsia="zh-CN"/>
        </w:rPr>
        <w:t>6.3.2.8</w:t>
      </w:r>
      <w:r>
        <w:rPr>
          <w:rFonts w:ascii="Calibri" w:hAnsi="Calibri" w:eastAsia="Calibri" w:cs="Calibri"/>
          <w:spacing w:val="5"/>
          <w:lang w:eastAsia="zh-CN"/>
        </w:rPr>
        <w:t xml:space="preserve"> </w:t>
      </w:r>
      <w:r>
        <w:rPr>
          <w:lang w:eastAsia="zh-CN"/>
        </w:rPr>
        <w:t xml:space="preserve">废标 </w:t>
      </w:r>
    </w:p>
    <w:p>
      <w:pPr>
        <w:pStyle w:val="10"/>
        <w:spacing w:line="326" w:lineRule="auto"/>
        <w:ind w:right="86"/>
        <w:rPr>
          <w:lang w:eastAsia="zh-CN"/>
        </w:rPr>
      </w:pPr>
      <w:r>
        <w:rPr>
          <w:lang w:eastAsia="zh-CN"/>
        </w:rPr>
        <w:t>供应商有下列情形之一，其报价将被视为废标，采购人将严格按照《中华人民共和国政府采购法》及相关法律、法规及规章制度的规定行使权利。供应商给采购人、采购代理机构造成</w:t>
      </w:r>
      <w:r>
        <w:rPr>
          <w:spacing w:val="-53"/>
          <w:lang w:eastAsia="zh-CN"/>
        </w:rPr>
        <w:t xml:space="preserve"> </w:t>
      </w:r>
      <w:r>
        <w:rPr>
          <w:lang w:eastAsia="zh-CN"/>
        </w:rPr>
        <w:t>损失的，采购人、采购代理机构有索赔的权利，供应商应予以赔偿。</w:t>
      </w:r>
    </w:p>
    <w:p>
      <w:pPr>
        <w:pStyle w:val="10"/>
        <w:ind w:right="86"/>
        <w:rPr>
          <w:lang w:eastAsia="zh-CN"/>
        </w:rPr>
      </w:pPr>
      <w:r>
        <w:rPr>
          <w:rFonts w:ascii="Calibri" w:hAnsi="Calibri" w:eastAsia="Calibri" w:cs="Calibri"/>
          <w:lang w:eastAsia="zh-CN"/>
        </w:rPr>
        <w:t xml:space="preserve">1) </w:t>
      </w:r>
      <w:r>
        <w:rPr>
          <w:rFonts w:ascii="Calibri" w:hAnsi="Calibri" w:eastAsia="Calibri" w:cs="Calibri"/>
          <w:spacing w:val="9"/>
          <w:lang w:eastAsia="zh-CN"/>
        </w:rPr>
        <w:t xml:space="preserve"> </w:t>
      </w:r>
      <w:r>
        <w:rPr>
          <w:lang w:eastAsia="zh-CN"/>
        </w:rPr>
        <w:t>供应商提供的有关资格、资质证明文件不真实或提供虚假采购材料；</w:t>
      </w:r>
    </w:p>
    <w:p>
      <w:pPr>
        <w:pStyle w:val="10"/>
        <w:spacing w:before="123"/>
        <w:ind w:right="86"/>
        <w:rPr>
          <w:lang w:eastAsia="zh-CN"/>
        </w:rPr>
      </w:pPr>
      <w:r>
        <w:rPr>
          <w:rFonts w:ascii="Calibri" w:hAnsi="Calibri" w:eastAsia="Calibri" w:cs="Calibri"/>
          <w:lang w:eastAsia="zh-CN"/>
        </w:rPr>
        <w:t xml:space="preserve">2) </w:t>
      </w:r>
      <w:r>
        <w:rPr>
          <w:rFonts w:ascii="Calibri" w:hAnsi="Calibri" w:eastAsia="Calibri" w:cs="Calibri"/>
          <w:spacing w:val="9"/>
          <w:lang w:eastAsia="zh-CN"/>
        </w:rPr>
        <w:t xml:space="preserve"> </w:t>
      </w:r>
      <w:r>
        <w:rPr>
          <w:lang w:eastAsia="zh-CN"/>
        </w:rPr>
        <w:t>供应商在报价有效期内撤回报价；</w:t>
      </w:r>
    </w:p>
    <w:p>
      <w:pPr>
        <w:pStyle w:val="10"/>
        <w:spacing w:before="123"/>
        <w:ind w:right="86"/>
        <w:rPr>
          <w:lang w:eastAsia="zh-CN"/>
        </w:rPr>
      </w:pPr>
      <w:r>
        <w:rPr>
          <w:rFonts w:ascii="Calibri" w:hAnsi="Calibri" w:eastAsia="Calibri" w:cs="Calibri"/>
          <w:lang w:eastAsia="zh-CN"/>
        </w:rPr>
        <w:t xml:space="preserve">3) </w:t>
      </w:r>
      <w:r>
        <w:rPr>
          <w:rFonts w:ascii="Calibri" w:hAnsi="Calibri" w:eastAsia="Calibri" w:cs="Calibri"/>
          <w:spacing w:val="9"/>
          <w:lang w:eastAsia="zh-CN"/>
        </w:rPr>
        <w:t xml:space="preserve"> </w:t>
      </w:r>
      <w:r>
        <w:rPr>
          <w:lang w:eastAsia="zh-CN"/>
        </w:rPr>
        <w:t>在整个评审过程中，供应商有企图影响采购活动结果公正性的任何活动；</w:t>
      </w:r>
    </w:p>
    <w:p>
      <w:pPr>
        <w:pStyle w:val="10"/>
        <w:spacing w:before="123"/>
        <w:ind w:right="86"/>
        <w:rPr>
          <w:lang w:eastAsia="zh-CN"/>
        </w:rPr>
      </w:pPr>
      <w:r>
        <w:rPr>
          <w:rFonts w:ascii="Calibri" w:hAnsi="Calibri" w:eastAsia="Calibri" w:cs="Calibri"/>
          <w:lang w:eastAsia="zh-CN"/>
        </w:rPr>
        <w:t xml:space="preserve">4) </w:t>
      </w:r>
      <w:r>
        <w:rPr>
          <w:rFonts w:ascii="Calibri" w:hAnsi="Calibri" w:eastAsia="Calibri" w:cs="Calibri"/>
          <w:spacing w:val="9"/>
          <w:lang w:eastAsia="zh-CN"/>
        </w:rPr>
        <w:t xml:space="preserve"> </w:t>
      </w:r>
      <w:r>
        <w:rPr>
          <w:lang w:eastAsia="zh-CN"/>
        </w:rPr>
        <w:t>供应商以任何方式诋毁其他供应商；</w:t>
      </w:r>
    </w:p>
    <w:p>
      <w:pPr>
        <w:pStyle w:val="10"/>
        <w:spacing w:before="123" w:line="340" w:lineRule="auto"/>
        <w:ind w:left="112" w:right="86" w:firstLine="480"/>
        <w:rPr>
          <w:lang w:eastAsia="zh-CN"/>
        </w:rPr>
      </w:pPr>
      <w:r>
        <w:rPr>
          <w:rFonts w:ascii="Calibri" w:hAnsi="Calibri" w:eastAsia="Calibri" w:cs="Calibri"/>
          <w:lang w:eastAsia="zh-CN"/>
        </w:rPr>
        <w:t>5</w:t>
      </w:r>
      <w:r>
        <w:rPr>
          <w:lang w:eastAsia="zh-CN"/>
        </w:rPr>
        <w:t xml:space="preserve">）磋商小组认为投供应商的报价明显低于其他供应商的报价，有可能影响服务质量或者不 </w:t>
      </w:r>
      <w:r>
        <w:rPr>
          <w:spacing w:val="-1"/>
          <w:lang w:eastAsia="zh-CN"/>
        </w:rPr>
        <w:t>能诚信履约的，应当要求其在评审现场合理的时间内提供书面说明，必要时提交相关证明材料；</w:t>
      </w:r>
      <w:r>
        <w:rPr>
          <w:spacing w:val="-116"/>
          <w:lang w:eastAsia="zh-CN"/>
        </w:rPr>
        <w:t xml:space="preserve"> </w:t>
      </w:r>
      <w:r>
        <w:rPr>
          <w:lang w:eastAsia="zh-CN"/>
        </w:rPr>
        <w:t>投标人不能证明其报价合理性的。</w:t>
      </w:r>
    </w:p>
    <w:p>
      <w:pPr>
        <w:pStyle w:val="10"/>
        <w:spacing w:before="53" w:line="326" w:lineRule="auto"/>
        <w:ind w:right="4294"/>
        <w:rPr>
          <w:lang w:eastAsia="zh-CN"/>
        </w:rPr>
      </w:pPr>
      <w:r>
        <w:rPr>
          <w:rFonts w:ascii="Calibri" w:hAnsi="Calibri" w:eastAsia="Calibri" w:cs="Calibri"/>
          <w:lang w:eastAsia="zh-CN"/>
        </w:rPr>
        <w:t>6)</w:t>
      </w:r>
      <w:r>
        <w:rPr>
          <w:rFonts w:ascii="Calibri" w:hAnsi="Calibri" w:eastAsia="Calibri" w:cs="Calibri"/>
          <w:spacing w:val="10"/>
          <w:lang w:eastAsia="zh-CN"/>
        </w:rPr>
        <w:t xml:space="preserve"> </w:t>
      </w:r>
      <w:r>
        <w:rPr>
          <w:lang w:eastAsia="zh-CN"/>
        </w:rPr>
        <w:t xml:space="preserve">供应商串通报价； </w:t>
      </w:r>
    </w:p>
    <w:p>
      <w:pPr>
        <w:pStyle w:val="10"/>
        <w:spacing w:before="53" w:line="326" w:lineRule="auto"/>
        <w:ind w:right="4294"/>
        <w:rPr>
          <w:lang w:eastAsia="zh-CN"/>
        </w:rPr>
      </w:pPr>
      <w:r>
        <w:rPr>
          <w:lang w:eastAsia="zh-CN"/>
        </w:rPr>
        <w:t>有下列情形之一的，视为串通报价，作废标处理：</w:t>
      </w:r>
    </w:p>
    <w:p>
      <w:pPr>
        <w:pStyle w:val="10"/>
        <w:spacing w:before="67"/>
        <w:ind w:right="86"/>
        <w:rPr>
          <w:lang w:eastAsia="zh-CN"/>
        </w:rPr>
      </w:pPr>
      <w:r>
        <w:rPr>
          <w:lang w:eastAsia="zh-CN"/>
        </w:rPr>
        <w:t>（</w:t>
      </w:r>
      <w:r>
        <w:rPr>
          <w:rFonts w:ascii="Calibri" w:hAnsi="Calibri" w:eastAsia="Calibri" w:cs="Calibri"/>
          <w:lang w:eastAsia="zh-CN"/>
        </w:rPr>
        <w:t>1</w:t>
      </w:r>
      <w:r>
        <w:rPr>
          <w:lang w:eastAsia="zh-CN"/>
        </w:rPr>
        <w:t>）不同供应商的响应文件由同一单位或者个人编制；</w:t>
      </w:r>
    </w:p>
    <w:p>
      <w:pPr>
        <w:pStyle w:val="10"/>
        <w:spacing w:before="123"/>
        <w:ind w:right="86"/>
        <w:rPr>
          <w:lang w:eastAsia="zh-CN"/>
        </w:rPr>
      </w:pPr>
      <w:r>
        <w:rPr>
          <w:lang w:eastAsia="zh-CN"/>
        </w:rPr>
        <w:t>（</w:t>
      </w:r>
      <w:r>
        <w:rPr>
          <w:rFonts w:ascii="Calibri" w:hAnsi="Calibri" w:eastAsia="Calibri" w:cs="Calibri"/>
          <w:lang w:eastAsia="zh-CN"/>
        </w:rPr>
        <w:t>2</w:t>
      </w:r>
      <w:r>
        <w:rPr>
          <w:lang w:eastAsia="zh-CN"/>
        </w:rPr>
        <w:t>）不同供应商委托同一单位或者个人办理投标事宜；</w:t>
      </w:r>
    </w:p>
    <w:p>
      <w:pPr>
        <w:pStyle w:val="10"/>
        <w:spacing w:before="123"/>
        <w:ind w:right="86"/>
        <w:rPr>
          <w:lang w:eastAsia="zh-CN"/>
        </w:rPr>
      </w:pPr>
      <w:r>
        <w:rPr>
          <w:lang w:eastAsia="zh-CN"/>
        </w:rPr>
        <w:t>（</w:t>
      </w:r>
      <w:r>
        <w:rPr>
          <w:rFonts w:ascii="Calibri" w:hAnsi="Calibri" w:eastAsia="Calibri" w:cs="Calibri"/>
          <w:lang w:eastAsia="zh-CN"/>
        </w:rPr>
        <w:t>3</w:t>
      </w:r>
      <w:r>
        <w:rPr>
          <w:lang w:eastAsia="zh-CN"/>
        </w:rPr>
        <w:t>）不同供应商的响应文件载明的项目管理成员为同一人；</w:t>
      </w:r>
    </w:p>
    <w:p>
      <w:pPr>
        <w:pStyle w:val="10"/>
        <w:spacing w:before="123"/>
        <w:ind w:right="86"/>
        <w:rPr>
          <w:lang w:eastAsia="zh-CN"/>
        </w:rPr>
      </w:pPr>
      <w:r>
        <w:rPr>
          <w:lang w:eastAsia="zh-CN"/>
        </w:rPr>
        <w:t>（</w:t>
      </w:r>
      <w:r>
        <w:rPr>
          <w:rFonts w:ascii="Calibri" w:hAnsi="Calibri" w:eastAsia="Calibri" w:cs="Calibri"/>
          <w:lang w:eastAsia="zh-CN"/>
        </w:rPr>
        <w:t>4</w:t>
      </w:r>
      <w:r>
        <w:rPr>
          <w:lang w:eastAsia="zh-CN"/>
        </w:rPr>
        <w:t>）不同供应商的响应文件异常一致或者投标报价呈规律性差异；</w:t>
      </w:r>
    </w:p>
    <w:p>
      <w:pPr>
        <w:pStyle w:val="10"/>
        <w:spacing w:before="123"/>
        <w:ind w:right="86"/>
        <w:rPr>
          <w:lang w:eastAsia="zh-CN"/>
        </w:rPr>
      </w:pPr>
      <w:r>
        <w:rPr>
          <w:lang w:eastAsia="zh-CN"/>
        </w:rPr>
        <w:t>（</w:t>
      </w:r>
      <w:r>
        <w:rPr>
          <w:rFonts w:ascii="Calibri" w:hAnsi="Calibri" w:eastAsia="Calibri" w:cs="Calibri"/>
          <w:lang w:eastAsia="zh-CN"/>
        </w:rPr>
        <w:t>5</w:t>
      </w:r>
      <w:r>
        <w:rPr>
          <w:lang w:eastAsia="zh-CN"/>
        </w:rPr>
        <w:t>）不同供应商的响应文件相互混装；</w:t>
      </w:r>
    </w:p>
    <w:p>
      <w:pPr>
        <w:pStyle w:val="10"/>
        <w:spacing w:before="123"/>
        <w:ind w:right="86"/>
        <w:rPr>
          <w:lang w:eastAsia="zh-CN"/>
        </w:rPr>
      </w:pPr>
      <w:r>
        <w:rPr>
          <w:lang w:eastAsia="zh-CN"/>
        </w:rPr>
        <w:t>（</w:t>
      </w:r>
      <w:r>
        <w:rPr>
          <w:rFonts w:ascii="Calibri" w:hAnsi="Calibri" w:eastAsia="Calibri" w:cs="Calibri"/>
          <w:lang w:eastAsia="zh-CN"/>
        </w:rPr>
        <w:t>6</w:t>
      </w:r>
      <w:r>
        <w:rPr>
          <w:lang w:eastAsia="zh-CN"/>
        </w:rPr>
        <w:t>）法律法规文件规定的其他情形。</w:t>
      </w:r>
    </w:p>
    <w:p>
      <w:pPr>
        <w:pStyle w:val="10"/>
        <w:spacing w:before="123"/>
        <w:ind w:right="86"/>
        <w:rPr>
          <w:lang w:eastAsia="zh-CN"/>
        </w:rPr>
      </w:pPr>
      <w:r>
        <w:rPr>
          <w:rFonts w:hint="eastAsia" w:ascii="Calibri" w:hAnsi="Calibri" w:cs="Calibri" w:eastAsiaTheme="minorEastAsia"/>
          <w:lang w:eastAsia="zh-CN"/>
        </w:rPr>
        <w:t>（</w:t>
      </w:r>
      <w:r>
        <w:rPr>
          <w:rFonts w:ascii="Calibri" w:hAnsi="Calibri" w:eastAsia="Calibri" w:cs="Calibri"/>
          <w:lang w:eastAsia="zh-CN"/>
        </w:rPr>
        <w:t>7</w:t>
      </w:r>
      <w:r>
        <w:rPr>
          <w:rFonts w:hint="eastAsia" w:ascii="Calibri" w:hAnsi="Calibri" w:cs="Calibri" w:eastAsiaTheme="minorEastAsia"/>
          <w:lang w:eastAsia="zh-CN"/>
        </w:rPr>
        <w:t>）</w:t>
      </w:r>
      <w:r>
        <w:rPr>
          <w:lang w:eastAsia="zh-CN"/>
        </w:rPr>
        <w:t>以他人名义报价或者以其他方式弄虚作假，骗取成交的；</w:t>
      </w:r>
    </w:p>
    <w:p>
      <w:pPr>
        <w:pStyle w:val="10"/>
        <w:spacing w:before="123"/>
        <w:ind w:right="86"/>
        <w:rPr>
          <w:lang w:eastAsia="zh-CN"/>
        </w:rPr>
      </w:pPr>
      <w:r>
        <w:rPr>
          <w:rFonts w:hint="eastAsia" w:ascii="Calibri" w:hAnsi="Calibri" w:cs="Calibri" w:eastAsiaTheme="minorEastAsia"/>
          <w:lang w:eastAsia="zh-CN"/>
        </w:rPr>
        <w:t>（</w:t>
      </w:r>
      <w:r>
        <w:rPr>
          <w:rFonts w:ascii="Calibri" w:hAnsi="Calibri" w:eastAsia="Calibri" w:cs="Calibri"/>
          <w:lang w:eastAsia="zh-CN"/>
        </w:rPr>
        <w:t>8</w:t>
      </w:r>
      <w:r>
        <w:rPr>
          <w:rFonts w:hint="eastAsia" w:ascii="Calibri" w:hAnsi="Calibri" w:cs="Calibri" w:eastAsiaTheme="minorEastAsia"/>
          <w:lang w:eastAsia="zh-CN"/>
        </w:rPr>
        <w:t>）</w:t>
      </w:r>
      <w:r>
        <w:rPr>
          <w:lang w:eastAsia="zh-CN"/>
        </w:rPr>
        <w:t>成交供应商无故不按规定签订合同；</w:t>
      </w:r>
    </w:p>
    <w:p>
      <w:pPr>
        <w:pStyle w:val="10"/>
        <w:spacing w:before="123"/>
        <w:ind w:right="86"/>
        <w:rPr>
          <w:lang w:eastAsia="zh-CN"/>
        </w:rPr>
      </w:pPr>
      <w:r>
        <w:rPr>
          <w:rFonts w:hint="eastAsia" w:ascii="Calibri" w:hAnsi="Calibri" w:cs="Calibri" w:eastAsiaTheme="minorEastAsia"/>
          <w:lang w:eastAsia="zh-CN"/>
        </w:rPr>
        <w:t>（</w:t>
      </w:r>
      <w:r>
        <w:rPr>
          <w:rFonts w:ascii="Calibri" w:hAnsi="Calibri" w:eastAsia="Calibri" w:cs="Calibri"/>
          <w:lang w:eastAsia="zh-CN"/>
        </w:rPr>
        <w:t>9</w:t>
      </w:r>
      <w:r>
        <w:rPr>
          <w:rFonts w:hint="eastAsia" w:ascii="Calibri" w:hAnsi="Calibri" w:cs="Calibri" w:eastAsiaTheme="minorEastAsia"/>
          <w:lang w:eastAsia="zh-CN"/>
        </w:rPr>
        <w:t>）</w:t>
      </w:r>
      <w:r>
        <w:rPr>
          <w:lang w:eastAsia="zh-CN"/>
        </w:rPr>
        <w:t>法律、法规规定的其他情况。</w:t>
      </w:r>
    </w:p>
    <w:p>
      <w:pPr>
        <w:pStyle w:val="8"/>
        <w:spacing w:before="123"/>
        <w:rPr>
          <w:b w:val="0"/>
          <w:bCs w:val="0"/>
          <w:lang w:eastAsia="zh-CN"/>
        </w:rPr>
      </w:pPr>
      <w:bookmarkStart w:id="35" w:name="7.成交"/>
      <w:bookmarkEnd w:id="35"/>
      <w:r>
        <w:rPr>
          <w:rFonts w:ascii="Calibri" w:hAnsi="Calibri" w:eastAsia="Calibri" w:cs="Calibri"/>
          <w:lang w:eastAsia="zh-CN"/>
        </w:rPr>
        <w:t>7.</w:t>
      </w:r>
      <w:r>
        <w:rPr>
          <w:lang w:eastAsia="zh-CN"/>
        </w:rPr>
        <w:t>成交</w:t>
      </w:r>
    </w:p>
    <w:p>
      <w:pPr>
        <w:pStyle w:val="8"/>
        <w:spacing w:before="123"/>
        <w:rPr>
          <w:b w:val="0"/>
          <w:bCs w:val="0"/>
          <w:lang w:eastAsia="zh-CN"/>
        </w:rPr>
      </w:pPr>
      <w:bookmarkStart w:id="36" w:name="7.1成交方式"/>
      <w:bookmarkEnd w:id="36"/>
      <w:r>
        <w:rPr>
          <w:rFonts w:ascii="Calibri" w:hAnsi="Calibri" w:eastAsia="Calibri" w:cs="Calibri"/>
          <w:lang w:eastAsia="zh-CN"/>
        </w:rPr>
        <w:t>7.1</w:t>
      </w:r>
      <w:r>
        <w:rPr>
          <w:rFonts w:ascii="Calibri" w:hAnsi="Calibri" w:eastAsia="Calibri" w:cs="Calibri"/>
          <w:spacing w:val="2"/>
          <w:lang w:eastAsia="zh-CN"/>
        </w:rPr>
        <w:t xml:space="preserve"> </w:t>
      </w:r>
      <w:r>
        <w:rPr>
          <w:lang w:eastAsia="zh-CN"/>
        </w:rPr>
        <w:t>成交方式</w:t>
      </w:r>
    </w:p>
    <w:p>
      <w:pPr>
        <w:pStyle w:val="10"/>
        <w:spacing w:before="123" w:line="326" w:lineRule="auto"/>
        <w:ind w:left="112" w:right="107" w:firstLine="480"/>
        <w:jc w:val="both"/>
        <w:rPr>
          <w:lang w:eastAsia="zh-CN"/>
        </w:rPr>
      </w:pPr>
      <w:r>
        <w:rPr>
          <w:rFonts w:ascii="Calibri" w:hAnsi="Calibri" w:eastAsia="Calibri" w:cs="Calibri"/>
          <w:lang w:eastAsia="zh-CN"/>
        </w:rPr>
        <w:t>7.1.1</w:t>
      </w:r>
      <w:r>
        <w:rPr>
          <w:rFonts w:ascii="Calibri" w:hAnsi="Calibri" w:eastAsia="Calibri" w:cs="Calibri"/>
          <w:spacing w:val="9"/>
          <w:lang w:eastAsia="zh-CN"/>
        </w:rPr>
        <w:t xml:space="preserve"> </w:t>
      </w:r>
      <w:r>
        <w:rPr>
          <w:lang w:eastAsia="zh-CN"/>
        </w:rPr>
        <w:t>磋商小组应当根据综合评审情况，按照评审得分由高到低顺序推荐</w:t>
      </w:r>
      <w:r>
        <w:rPr>
          <w:spacing w:val="-57"/>
          <w:lang w:eastAsia="zh-CN"/>
        </w:rPr>
        <w:t xml:space="preserve"> </w:t>
      </w:r>
      <w:r>
        <w:rPr>
          <w:rFonts w:ascii="Calibri" w:hAnsi="Calibri" w:eastAsia="Calibri" w:cs="Calibri"/>
          <w:lang w:eastAsia="zh-CN"/>
        </w:rPr>
        <w:t>3</w:t>
      </w:r>
      <w:r>
        <w:rPr>
          <w:rFonts w:ascii="Calibri" w:hAnsi="Calibri" w:eastAsia="Calibri" w:cs="Calibri"/>
          <w:spacing w:val="9"/>
          <w:lang w:eastAsia="zh-CN"/>
        </w:rPr>
        <w:t xml:space="preserve"> </w:t>
      </w:r>
      <w:r>
        <w:rPr>
          <w:lang w:eastAsia="zh-CN"/>
        </w:rPr>
        <w:t>名成交候选</w:t>
      </w:r>
      <w:r>
        <w:rPr>
          <w:rFonts w:hint="eastAsia"/>
          <w:lang w:eastAsia="zh-CN"/>
        </w:rPr>
        <w:t>中标人</w:t>
      </w:r>
      <w:r>
        <w:rPr>
          <w:lang w:eastAsia="zh-CN"/>
        </w:rPr>
        <w:t>，并编写评审报告。</w:t>
      </w:r>
    </w:p>
    <w:p>
      <w:pPr>
        <w:pStyle w:val="10"/>
        <w:spacing w:before="67" w:line="357" w:lineRule="auto"/>
        <w:ind w:left="112" w:right="109" w:firstLine="480"/>
        <w:jc w:val="both"/>
        <w:rPr>
          <w:lang w:eastAsia="zh-CN"/>
        </w:rPr>
      </w:pPr>
      <w:r>
        <w:rPr>
          <w:lang w:eastAsia="zh-CN"/>
        </w:rPr>
        <w:t>采购人在评审报告推荐的成交候选人中按顺序确定成交供应商，并按规定公告成交结果。 成交供应商候选人放弃成交、拒绝与采购人签订合同、因不可抗力或自身原因不能履行合同或</w:t>
      </w:r>
      <w:r>
        <w:rPr>
          <w:spacing w:val="-53"/>
          <w:lang w:eastAsia="zh-CN"/>
        </w:rPr>
        <w:t xml:space="preserve"> </w:t>
      </w:r>
      <w:r>
        <w:rPr>
          <w:lang w:eastAsia="zh-CN"/>
        </w:rPr>
        <w:t>者被查实存在影响成交结果的违法行为等情形，不符合成交条件的，采购人按照国家、省相关</w:t>
      </w:r>
      <w:r>
        <w:rPr>
          <w:spacing w:val="-53"/>
          <w:lang w:eastAsia="zh-CN"/>
        </w:rPr>
        <w:t xml:space="preserve"> </w:t>
      </w:r>
      <w:r>
        <w:rPr>
          <w:lang w:eastAsia="zh-CN"/>
        </w:rPr>
        <w:t>规定确定下一候选人为成交供应商或重新开展政府采购活动。</w:t>
      </w:r>
    </w:p>
    <w:p>
      <w:pPr>
        <w:pStyle w:val="10"/>
        <w:spacing w:line="348" w:lineRule="auto"/>
        <w:ind w:left="112" w:right="107" w:firstLine="480"/>
        <w:jc w:val="both"/>
        <w:rPr>
          <w:lang w:eastAsia="zh-CN"/>
        </w:rPr>
      </w:pPr>
      <w:r>
        <w:rPr>
          <w:rFonts w:ascii="Calibri" w:hAnsi="Calibri" w:eastAsia="Calibri" w:cs="Calibri"/>
          <w:lang w:eastAsia="zh-CN"/>
        </w:rPr>
        <w:t>7.1.2</w:t>
      </w:r>
      <w:r>
        <w:rPr>
          <w:rFonts w:ascii="Calibri" w:hAnsi="Calibri" w:eastAsia="Calibri" w:cs="Calibri"/>
          <w:spacing w:val="15"/>
          <w:lang w:eastAsia="zh-CN"/>
        </w:rPr>
        <w:t xml:space="preserve"> </w:t>
      </w:r>
      <w:r>
        <w:rPr>
          <w:lang w:eastAsia="zh-CN"/>
        </w:rPr>
        <w:t>当出现二个或二个以上供应商的最终得分相同时，由磋商小组依次按供应商的响应报 价高低、技术标得分高低进行排序，即响应报价低的排序优先，如响应报价相同时，则技术标</w:t>
      </w:r>
      <w:r>
        <w:rPr>
          <w:spacing w:val="-53"/>
          <w:lang w:eastAsia="zh-CN"/>
        </w:rPr>
        <w:t xml:space="preserve"> </w:t>
      </w:r>
      <w:r>
        <w:rPr>
          <w:lang w:eastAsia="zh-CN"/>
        </w:rPr>
        <w:t>得分高的排序优先。以上几项情况均相同的，由磋商小组成员进行记名投票，按得票多少确定</w:t>
      </w:r>
      <w:r>
        <w:rPr>
          <w:spacing w:val="-53"/>
          <w:lang w:eastAsia="zh-CN"/>
        </w:rPr>
        <w:t xml:space="preserve"> </w:t>
      </w:r>
      <w:r>
        <w:rPr>
          <w:lang w:eastAsia="zh-CN"/>
        </w:rPr>
        <w:t>成交供应商候选人排名顺序。</w:t>
      </w:r>
    </w:p>
    <w:p>
      <w:pPr>
        <w:pStyle w:val="10"/>
        <w:spacing w:before="46" w:line="326" w:lineRule="auto"/>
        <w:rPr>
          <w:lang w:eastAsia="zh-CN"/>
        </w:rPr>
      </w:pPr>
      <w:r>
        <w:rPr>
          <w:rFonts w:ascii="Calibri" w:hAnsi="Calibri" w:eastAsia="Calibri" w:cs="Calibri"/>
          <w:lang w:eastAsia="zh-CN"/>
        </w:rPr>
        <w:t>7.1.3</w:t>
      </w:r>
      <w:r>
        <w:rPr>
          <w:rFonts w:ascii="Calibri" w:hAnsi="Calibri" w:eastAsia="Calibri" w:cs="Calibri"/>
          <w:spacing w:val="5"/>
          <w:lang w:eastAsia="zh-CN"/>
        </w:rPr>
        <w:t xml:space="preserve"> </w:t>
      </w:r>
      <w:r>
        <w:rPr>
          <w:lang w:eastAsia="zh-CN"/>
        </w:rPr>
        <w:t>编制评审报告 磋商小组向采购人提交评审报告。评审报告应当由全体磋商小组成员签字，评审报告应当包括以下内容：</w:t>
      </w:r>
    </w:p>
    <w:p>
      <w:pPr>
        <w:pStyle w:val="10"/>
        <w:spacing w:before="154"/>
        <w:rPr>
          <w:lang w:eastAsia="zh-CN"/>
        </w:rPr>
      </w:pPr>
      <w:r>
        <w:rPr>
          <w:lang w:eastAsia="zh-CN"/>
        </w:rPr>
        <w:t>（</w:t>
      </w:r>
      <w:r>
        <w:rPr>
          <w:rFonts w:ascii="Calibri" w:hAnsi="Calibri" w:eastAsia="Calibri" w:cs="Calibri"/>
          <w:lang w:eastAsia="zh-CN"/>
        </w:rPr>
        <w:t>1</w:t>
      </w:r>
      <w:r>
        <w:rPr>
          <w:lang w:eastAsia="zh-CN"/>
        </w:rPr>
        <w:t>）供应商参加采购活动的具体方式和相关情况；</w:t>
      </w:r>
    </w:p>
    <w:p>
      <w:pPr>
        <w:pStyle w:val="10"/>
        <w:spacing w:before="123"/>
        <w:rPr>
          <w:lang w:eastAsia="zh-CN"/>
        </w:rPr>
      </w:pPr>
      <w:r>
        <w:rPr>
          <w:lang w:eastAsia="zh-CN"/>
        </w:rPr>
        <w:t>（</w:t>
      </w:r>
      <w:r>
        <w:rPr>
          <w:rFonts w:ascii="Calibri" w:hAnsi="Calibri" w:eastAsia="Calibri" w:cs="Calibri"/>
          <w:lang w:eastAsia="zh-CN"/>
        </w:rPr>
        <w:t>2</w:t>
      </w:r>
      <w:r>
        <w:rPr>
          <w:lang w:eastAsia="zh-CN"/>
        </w:rPr>
        <w:t>）响应文件开启日期和地点；</w:t>
      </w:r>
    </w:p>
    <w:p>
      <w:pPr>
        <w:pStyle w:val="10"/>
        <w:spacing w:before="123"/>
        <w:rPr>
          <w:lang w:eastAsia="zh-CN"/>
        </w:rPr>
      </w:pPr>
      <w:r>
        <w:rPr>
          <w:lang w:eastAsia="zh-CN"/>
        </w:rPr>
        <w:t>（</w:t>
      </w:r>
      <w:r>
        <w:rPr>
          <w:rFonts w:ascii="Calibri" w:hAnsi="Calibri" w:eastAsia="Calibri" w:cs="Calibri"/>
          <w:lang w:eastAsia="zh-CN"/>
        </w:rPr>
        <w:t>3</w:t>
      </w:r>
      <w:r>
        <w:rPr>
          <w:lang w:eastAsia="zh-CN"/>
        </w:rPr>
        <w:t>）获取磋商文件的供应商名单和磋商小组成员名单；</w:t>
      </w:r>
    </w:p>
    <w:p>
      <w:pPr>
        <w:pStyle w:val="10"/>
        <w:spacing w:before="123" w:line="326" w:lineRule="auto"/>
        <w:ind w:left="112" w:right="107" w:firstLine="480"/>
        <w:jc w:val="both"/>
        <w:rPr>
          <w:lang w:eastAsia="zh-CN"/>
        </w:rPr>
      </w:pPr>
      <w:r>
        <w:rPr>
          <w:spacing w:val="-2"/>
          <w:lang w:eastAsia="zh-CN"/>
        </w:rPr>
        <w:t>（</w:t>
      </w:r>
      <w:r>
        <w:rPr>
          <w:rFonts w:ascii="Calibri" w:hAnsi="Calibri" w:eastAsia="Calibri" w:cs="Calibri"/>
          <w:spacing w:val="-2"/>
          <w:lang w:eastAsia="zh-CN"/>
        </w:rPr>
        <w:t>4</w:t>
      </w:r>
      <w:r>
        <w:rPr>
          <w:spacing w:val="-2"/>
          <w:lang w:eastAsia="zh-CN"/>
        </w:rPr>
        <w:t>）评审情况记录和说明，包括对供应商的资格审查情况、供应商响应文件评审情况、磋</w:t>
      </w:r>
      <w:r>
        <w:rPr>
          <w:lang w:eastAsia="zh-CN"/>
        </w:rPr>
        <w:t xml:space="preserve"> 商情况、报价情况等；</w:t>
      </w:r>
    </w:p>
    <w:p>
      <w:pPr>
        <w:pStyle w:val="10"/>
        <w:spacing w:before="67"/>
        <w:rPr>
          <w:lang w:eastAsia="zh-CN"/>
        </w:rPr>
      </w:pPr>
      <w:r>
        <w:rPr>
          <w:lang w:eastAsia="zh-CN"/>
        </w:rPr>
        <w:t>（</w:t>
      </w:r>
      <w:r>
        <w:rPr>
          <w:rFonts w:ascii="Calibri" w:hAnsi="Calibri" w:eastAsia="Calibri" w:cs="Calibri"/>
          <w:lang w:eastAsia="zh-CN"/>
        </w:rPr>
        <w:t>5</w:t>
      </w:r>
      <w:r>
        <w:rPr>
          <w:lang w:eastAsia="zh-CN"/>
        </w:rPr>
        <w:t>）提出的成交候选供应商的排序名单及理由</w:t>
      </w:r>
    </w:p>
    <w:p>
      <w:pPr>
        <w:pStyle w:val="10"/>
        <w:spacing w:before="123" w:line="348" w:lineRule="auto"/>
        <w:ind w:left="112" w:right="107" w:firstLine="480"/>
        <w:jc w:val="both"/>
        <w:rPr>
          <w:lang w:eastAsia="zh-CN"/>
        </w:rPr>
      </w:pPr>
      <w:r>
        <w:rPr>
          <w:rFonts w:ascii="Calibri" w:hAnsi="Calibri" w:eastAsia="Calibri" w:cs="Calibri"/>
          <w:lang w:eastAsia="zh-CN"/>
        </w:rPr>
        <w:t>7.1.4</w:t>
      </w:r>
      <w:r>
        <w:rPr>
          <w:rFonts w:ascii="Calibri" w:hAnsi="Calibri" w:eastAsia="Calibri" w:cs="Calibri"/>
          <w:spacing w:val="15"/>
          <w:lang w:eastAsia="zh-CN"/>
        </w:rPr>
        <w:t xml:space="preserve"> </w:t>
      </w:r>
      <w:r>
        <w:rPr>
          <w:lang w:eastAsia="zh-CN"/>
        </w:rPr>
        <w:t>评审报告应当由磋商小组全体人员签字认可。磋商小组成员对评审报告有异议的，磋 商小组按照少数服从多数的原则推荐成交候选供应商，采购程序继续进行。对评审报告有异议</w:t>
      </w:r>
      <w:r>
        <w:rPr>
          <w:spacing w:val="-53"/>
          <w:lang w:eastAsia="zh-CN"/>
        </w:rPr>
        <w:t xml:space="preserve"> </w:t>
      </w:r>
      <w:r>
        <w:rPr>
          <w:lang w:eastAsia="zh-CN"/>
        </w:rPr>
        <w:t>的磋商小组成员，应当在报告上签署不同意见并说明理由，由磋商小组书面记录相关情况。磋</w:t>
      </w:r>
      <w:r>
        <w:rPr>
          <w:spacing w:val="-53"/>
          <w:lang w:eastAsia="zh-CN"/>
        </w:rPr>
        <w:t xml:space="preserve"> </w:t>
      </w:r>
      <w:r>
        <w:rPr>
          <w:lang w:eastAsia="zh-CN"/>
        </w:rPr>
        <w:t>商小组成员拒绝在报告上签字又不书面说明其不同意见和理由的，视为同意评审报告。</w:t>
      </w:r>
    </w:p>
    <w:p>
      <w:pPr>
        <w:pStyle w:val="10"/>
        <w:spacing w:before="46"/>
        <w:rPr>
          <w:lang w:eastAsia="zh-CN"/>
        </w:rPr>
      </w:pPr>
      <w:r>
        <w:rPr>
          <w:rFonts w:ascii="Calibri" w:hAnsi="Calibri" w:eastAsia="Calibri" w:cs="Calibri"/>
          <w:lang w:eastAsia="zh-CN"/>
        </w:rPr>
        <w:t>7.1.5</w:t>
      </w:r>
      <w:r>
        <w:rPr>
          <w:rFonts w:ascii="Calibri" w:hAnsi="Calibri" w:eastAsia="Calibri" w:cs="Calibri"/>
          <w:spacing w:val="3"/>
          <w:lang w:eastAsia="zh-CN"/>
        </w:rPr>
        <w:t xml:space="preserve"> </w:t>
      </w:r>
      <w:r>
        <w:rPr>
          <w:lang w:eastAsia="zh-CN"/>
        </w:rPr>
        <w:t>向采购人提交书面评审报告后，磋商小组即告解散。</w:t>
      </w:r>
    </w:p>
    <w:p>
      <w:pPr>
        <w:pStyle w:val="10"/>
        <w:spacing w:before="123" w:line="326" w:lineRule="auto"/>
        <w:ind w:left="112" w:right="107" w:firstLine="480"/>
        <w:jc w:val="both"/>
        <w:rPr>
          <w:lang w:eastAsia="zh-CN"/>
        </w:rPr>
      </w:pPr>
      <w:r>
        <w:rPr>
          <w:rFonts w:ascii="Calibri" w:hAnsi="Calibri" w:eastAsia="Calibri" w:cs="Calibri"/>
          <w:lang w:eastAsia="zh-CN"/>
        </w:rPr>
        <w:t>7.1.6</w:t>
      </w:r>
      <w:r>
        <w:rPr>
          <w:rFonts w:ascii="Calibri" w:hAnsi="Calibri" w:eastAsia="Calibri" w:cs="Calibri"/>
          <w:spacing w:val="15"/>
          <w:lang w:eastAsia="zh-CN"/>
        </w:rPr>
        <w:t xml:space="preserve"> </w:t>
      </w:r>
      <w:r>
        <w:rPr>
          <w:lang w:eastAsia="zh-CN"/>
        </w:rPr>
        <w:t>磋商小组经评审，认为所有报价都不符合采购文件要求的，可以否决所有报价。所有 报价被否决后，采购人应当依法重新采购。</w:t>
      </w:r>
    </w:p>
    <w:p>
      <w:pPr>
        <w:pStyle w:val="10"/>
        <w:spacing w:before="67"/>
        <w:rPr>
          <w:lang w:eastAsia="zh-CN"/>
        </w:rPr>
      </w:pPr>
      <w:r>
        <w:rPr>
          <w:rFonts w:ascii="Calibri" w:hAnsi="Calibri" w:eastAsia="Calibri" w:cs="Calibri"/>
          <w:lang w:eastAsia="zh-CN"/>
        </w:rPr>
        <w:t>7.1.7</w:t>
      </w:r>
      <w:r>
        <w:rPr>
          <w:rFonts w:ascii="Calibri" w:hAnsi="Calibri" w:eastAsia="Calibri" w:cs="Calibri"/>
          <w:spacing w:val="3"/>
          <w:lang w:eastAsia="zh-CN"/>
        </w:rPr>
        <w:t xml:space="preserve"> </w:t>
      </w:r>
      <w:r>
        <w:rPr>
          <w:lang w:eastAsia="zh-CN"/>
        </w:rPr>
        <w:t>特殊情况的处置程序</w:t>
      </w:r>
    </w:p>
    <w:p>
      <w:pPr>
        <w:pStyle w:val="10"/>
        <w:spacing w:before="123" w:line="326" w:lineRule="auto"/>
        <w:rPr>
          <w:lang w:eastAsia="zh-CN"/>
        </w:rPr>
      </w:pPr>
      <w:r>
        <w:rPr>
          <w:rFonts w:ascii="Calibri" w:hAnsi="Calibri" w:eastAsia="Calibri" w:cs="Calibri"/>
          <w:lang w:eastAsia="zh-CN"/>
        </w:rPr>
        <w:t>7.1.7.1</w:t>
      </w:r>
      <w:r>
        <w:rPr>
          <w:rFonts w:ascii="Calibri" w:hAnsi="Calibri" w:eastAsia="Calibri" w:cs="Calibri"/>
          <w:spacing w:val="5"/>
          <w:lang w:eastAsia="zh-CN"/>
        </w:rPr>
        <w:t xml:space="preserve"> </w:t>
      </w:r>
      <w:r>
        <w:rPr>
          <w:lang w:eastAsia="zh-CN"/>
        </w:rPr>
        <w:t>关于磋商活动暂停 磋商小组应当执行连续磋商的原则，按第六章“磋商评分办法”中规定的程序、内容、方</w:t>
      </w:r>
      <w:r>
        <w:rPr>
          <w:spacing w:val="-1"/>
          <w:lang w:eastAsia="zh-CN"/>
        </w:rPr>
        <w:t>法、标准完成全部磋商工作。只有发生不可抗力导致磋商工作无法继续时，磋商活动方可暂停。</w:t>
      </w:r>
      <w:r>
        <w:rPr>
          <w:spacing w:val="-118"/>
          <w:lang w:eastAsia="zh-CN"/>
        </w:rPr>
        <w:t xml:space="preserve"> </w:t>
      </w:r>
      <w:r>
        <w:rPr>
          <w:lang w:eastAsia="zh-CN"/>
        </w:rPr>
        <w:t>发生磋商暂停情况时，磋商小组应当封存全部响应文件和磋商记录，待不可抗力的影响结</w:t>
      </w:r>
    </w:p>
    <w:p>
      <w:pPr>
        <w:pStyle w:val="10"/>
        <w:ind w:left="112" w:right="86"/>
        <w:rPr>
          <w:lang w:eastAsia="zh-CN"/>
        </w:rPr>
      </w:pPr>
      <w:r>
        <w:rPr>
          <w:lang w:eastAsia="zh-CN"/>
        </w:rPr>
        <w:t>束且具备继续磋商的条件时，由原磋商小组继续磋商。</w:t>
      </w:r>
    </w:p>
    <w:p>
      <w:pPr>
        <w:pStyle w:val="10"/>
        <w:spacing w:before="154" w:line="326" w:lineRule="auto"/>
        <w:ind w:right="86"/>
        <w:rPr>
          <w:lang w:eastAsia="zh-CN"/>
        </w:rPr>
      </w:pPr>
      <w:r>
        <w:rPr>
          <w:rFonts w:ascii="Calibri" w:hAnsi="Calibri" w:eastAsia="Calibri" w:cs="Calibri"/>
          <w:lang w:eastAsia="zh-CN"/>
        </w:rPr>
        <w:t>7.1.7.2</w:t>
      </w:r>
      <w:r>
        <w:rPr>
          <w:rFonts w:ascii="Calibri" w:hAnsi="Calibri" w:eastAsia="Calibri" w:cs="Calibri"/>
          <w:spacing w:val="5"/>
          <w:lang w:eastAsia="zh-CN"/>
        </w:rPr>
        <w:t xml:space="preserve"> </w:t>
      </w:r>
      <w:r>
        <w:rPr>
          <w:lang w:eastAsia="zh-CN"/>
        </w:rPr>
        <w:t>关于磋商中途更换评委 除非发生下列情况之一，磋商小组成员不得在磋商中途更换：</w:t>
      </w:r>
    </w:p>
    <w:p>
      <w:pPr>
        <w:pStyle w:val="10"/>
        <w:spacing w:before="67"/>
        <w:ind w:right="86"/>
        <w:rPr>
          <w:lang w:eastAsia="zh-CN"/>
        </w:rPr>
      </w:pPr>
      <w:r>
        <w:rPr>
          <w:lang w:eastAsia="zh-CN"/>
        </w:rPr>
        <w:t>（</w:t>
      </w:r>
      <w:r>
        <w:rPr>
          <w:rFonts w:ascii="Calibri" w:hAnsi="Calibri" w:eastAsia="Calibri" w:cs="Calibri"/>
          <w:lang w:eastAsia="zh-CN"/>
        </w:rPr>
        <w:t>1</w:t>
      </w:r>
      <w:r>
        <w:rPr>
          <w:lang w:eastAsia="zh-CN"/>
        </w:rPr>
        <w:t>）因不可抗拒的客观原因，不能到场或需在磋商中途退出磋商活动。</w:t>
      </w:r>
    </w:p>
    <w:p>
      <w:pPr>
        <w:pStyle w:val="10"/>
        <w:spacing w:before="123" w:line="326" w:lineRule="auto"/>
        <w:ind w:right="86"/>
        <w:rPr>
          <w:lang w:eastAsia="zh-CN"/>
        </w:rPr>
      </w:pPr>
      <w:r>
        <w:rPr>
          <w:lang w:eastAsia="zh-CN"/>
        </w:rPr>
        <w:t>（</w:t>
      </w:r>
      <w:r>
        <w:rPr>
          <w:rFonts w:ascii="Calibri" w:hAnsi="Calibri" w:eastAsia="Calibri" w:cs="Calibri"/>
          <w:lang w:eastAsia="zh-CN"/>
        </w:rPr>
        <w:t>2</w:t>
      </w:r>
      <w:r>
        <w:rPr>
          <w:lang w:eastAsia="zh-CN"/>
        </w:rPr>
        <w:t>）根据法律法规规定，某个或某几个磋商小组成员需要回避。 退出磋商的磋商小组成员，其已完成的磋商行为无效。由采购人根据本采购文件规定的磋</w:t>
      </w:r>
    </w:p>
    <w:p>
      <w:pPr>
        <w:pStyle w:val="10"/>
        <w:spacing w:before="67"/>
        <w:ind w:left="112" w:right="86"/>
        <w:rPr>
          <w:lang w:eastAsia="zh-CN"/>
        </w:rPr>
      </w:pPr>
      <w:r>
        <w:rPr>
          <w:lang w:eastAsia="zh-CN"/>
        </w:rPr>
        <w:t>商小组成员产生方式另行确定替代者进行磋商。</w:t>
      </w:r>
    </w:p>
    <w:p>
      <w:pPr>
        <w:pStyle w:val="10"/>
        <w:spacing w:before="154" w:line="326" w:lineRule="auto"/>
        <w:ind w:right="86"/>
        <w:rPr>
          <w:lang w:eastAsia="zh-CN"/>
        </w:rPr>
      </w:pPr>
      <w:r>
        <w:rPr>
          <w:rFonts w:ascii="Calibri" w:hAnsi="Calibri" w:eastAsia="Calibri" w:cs="Calibri"/>
          <w:lang w:eastAsia="zh-CN"/>
        </w:rPr>
        <w:t>7.1.7.3</w:t>
      </w:r>
      <w:r>
        <w:rPr>
          <w:rFonts w:ascii="Calibri" w:hAnsi="Calibri" w:eastAsia="Calibri" w:cs="Calibri"/>
          <w:spacing w:val="5"/>
          <w:lang w:eastAsia="zh-CN"/>
        </w:rPr>
        <w:t xml:space="preserve"> </w:t>
      </w:r>
      <w:r>
        <w:rPr>
          <w:lang w:eastAsia="zh-CN"/>
        </w:rPr>
        <w:t>关于记名投票表决评审结论 在任何磋商环节中，需磋商小组就某项定性的评审结论做出表决的，由磋商小组全体成员按照少数服从多数的原则，以记名投票方式表决。</w:t>
      </w:r>
    </w:p>
    <w:p>
      <w:pPr>
        <w:pStyle w:val="8"/>
        <w:spacing w:before="154"/>
        <w:ind w:right="86"/>
        <w:rPr>
          <w:b w:val="0"/>
          <w:bCs w:val="0"/>
          <w:lang w:eastAsia="zh-CN"/>
        </w:rPr>
      </w:pPr>
      <w:bookmarkStart w:id="37" w:name="7.2成交通知"/>
      <w:bookmarkEnd w:id="37"/>
      <w:r>
        <w:rPr>
          <w:rFonts w:ascii="Calibri" w:hAnsi="Calibri" w:eastAsia="Calibri" w:cs="Calibri"/>
          <w:lang w:eastAsia="zh-CN"/>
        </w:rPr>
        <w:t>7.2</w:t>
      </w:r>
      <w:r>
        <w:rPr>
          <w:rFonts w:ascii="Calibri" w:hAnsi="Calibri" w:eastAsia="Calibri" w:cs="Calibri"/>
          <w:spacing w:val="2"/>
          <w:lang w:eastAsia="zh-CN"/>
        </w:rPr>
        <w:t xml:space="preserve"> </w:t>
      </w:r>
      <w:r>
        <w:rPr>
          <w:lang w:eastAsia="zh-CN"/>
        </w:rPr>
        <w:t>成交通知</w:t>
      </w:r>
    </w:p>
    <w:p>
      <w:pPr>
        <w:pStyle w:val="10"/>
        <w:spacing w:before="123"/>
        <w:ind w:right="86"/>
        <w:rPr>
          <w:lang w:eastAsia="zh-CN"/>
        </w:rPr>
      </w:pPr>
      <w:r>
        <w:rPr>
          <w:rFonts w:ascii="Calibri" w:hAnsi="Calibri" w:eastAsia="Calibri" w:cs="Calibri"/>
          <w:lang w:eastAsia="zh-CN"/>
        </w:rPr>
        <w:t xml:space="preserve">7.2.1 </w:t>
      </w:r>
      <w:r>
        <w:rPr>
          <w:rFonts w:ascii="Calibri" w:hAnsi="Calibri" w:eastAsia="Calibri" w:cs="Calibri"/>
          <w:spacing w:val="9"/>
          <w:lang w:eastAsia="zh-CN"/>
        </w:rPr>
        <w:t xml:space="preserve"> </w:t>
      </w:r>
      <w:r>
        <w:rPr>
          <w:lang w:eastAsia="zh-CN"/>
        </w:rPr>
        <w:t>确定成交结果后，采购人在规定时间内发出成交通知书，并按规定公告成交结果。</w:t>
      </w:r>
    </w:p>
    <w:p>
      <w:pPr>
        <w:pStyle w:val="10"/>
        <w:spacing w:before="123" w:line="326" w:lineRule="auto"/>
        <w:ind w:left="112" w:right="86" w:firstLine="480"/>
        <w:rPr>
          <w:lang w:eastAsia="zh-CN"/>
        </w:rPr>
      </w:pPr>
      <w:r>
        <w:rPr>
          <w:rFonts w:ascii="Calibri" w:hAnsi="Calibri" w:eastAsia="Calibri" w:cs="Calibri"/>
          <w:spacing w:val="-1"/>
          <w:lang w:eastAsia="zh-CN"/>
        </w:rPr>
        <w:t>7.2.2</w:t>
      </w:r>
      <w:r>
        <w:rPr>
          <w:spacing w:val="-1"/>
          <w:lang w:eastAsia="zh-CN"/>
        </w:rPr>
        <w:t>《成交通知书》将作为合同的组成部分。成交通知书发出后，采购人改变成交结果的，</w:t>
      </w:r>
      <w:r>
        <w:rPr>
          <w:lang w:eastAsia="zh-CN"/>
        </w:rPr>
        <w:t xml:space="preserve"> 或者成交供应商放弃成交的，应当依法承担法律责任。</w:t>
      </w:r>
    </w:p>
    <w:p>
      <w:pPr>
        <w:pStyle w:val="8"/>
        <w:spacing w:before="67" w:line="326" w:lineRule="auto"/>
        <w:ind w:right="7881"/>
        <w:rPr>
          <w:rFonts w:cs="宋体"/>
          <w:b w:val="0"/>
          <w:bCs w:val="0"/>
          <w:lang w:eastAsia="zh-CN"/>
        </w:rPr>
      </w:pPr>
      <w:bookmarkStart w:id="38" w:name="7.3_履约担保______"/>
      <w:bookmarkEnd w:id="38"/>
      <w:r>
        <w:rPr>
          <w:rFonts w:ascii="Calibri" w:hAnsi="Calibri" w:eastAsia="Calibri" w:cs="Calibri"/>
          <w:lang w:eastAsia="zh-CN"/>
        </w:rPr>
        <w:t>7.3</w:t>
      </w:r>
      <w:r>
        <w:rPr>
          <w:rFonts w:ascii="Calibri" w:hAnsi="Calibri" w:eastAsia="Calibri" w:cs="Calibri"/>
          <w:spacing w:val="7"/>
          <w:lang w:eastAsia="zh-CN"/>
        </w:rPr>
        <w:t xml:space="preserve"> </w:t>
      </w:r>
      <w:r>
        <w:rPr>
          <w:lang w:eastAsia="zh-CN"/>
        </w:rPr>
        <w:t>履约担保</w:t>
      </w:r>
      <w:r>
        <w:rPr>
          <w:w w:val="99"/>
          <w:lang w:eastAsia="zh-CN"/>
        </w:rPr>
        <w:t xml:space="preserve"> </w:t>
      </w:r>
      <w:bookmarkStart w:id="39" w:name="无。"/>
      <w:bookmarkEnd w:id="39"/>
      <w:r>
        <w:rPr>
          <w:rFonts w:cs="宋体"/>
          <w:b w:val="0"/>
          <w:bCs w:val="0"/>
          <w:lang w:eastAsia="zh-CN"/>
        </w:rPr>
        <w:t>无。</w:t>
      </w:r>
    </w:p>
    <w:p>
      <w:pPr>
        <w:pStyle w:val="8"/>
        <w:spacing w:before="67"/>
        <w:ind w:right="86"/>
        <w:rPr>
          <w:b w:val="0"/>
          <w:bCs w:val="0"/>
          <w:lang w:eastAsia="zh-CN"/>
        </w:rPr>
      </w:pPr>
      <w:bookmarkStart w:id="40" w:name="7.4_签订合同"/>
      <w:bookmarkEnd w:id="40"/>
      <w:r>
        <w:rPr>
          <w:rFonts w:ascii="Calibri" w:hAnsi="Calibri" w:eastAsia="Calibri" w:cs="Calibri"/>
          <w:lang w:eastAsia="zh-CN"/>
        </w:rPr>
        <w:t xml:space="preserve">7.4 </w:t>
      </w:r>
      <w:r>
        <w:rPr>
          <w:rFonts w:ascii="Calibri" w:hAnsi="Calibri" w:eastAsia="Calibri" w:cs="Calibri"/>
          <w:spacing w:val="7"/>
          <w:lang w:eastAsia="zh-CN"/>
        </w:rPr>
        <w:t xml:space="preserve"> </w:t>
      </w:r>
      <w:r>
        <w:rPr>
          <w:lang w:eastAsia="zh-CN"/>
        </w:rPr>
        <w:t>签订合同</w:t>
      </w:r>
    </w:p>
    <w:p>
      <w:pPr>
        <w:pStyle w:val="10"/>
        <w:spacing w:before="123" w:line="326" w:lineRule="auto"/>
        <w:ind w:left="112" w:right="86" w:firstLine="480"/>
        <w:rPr>
          <w:lang w:eastAsia="zh-CN"/>
        </w:rPr>
      </w:pPr>
      <w:r>
        <w:rPr>
          <w:rFonts w:ascii="Calibri" w:hAnsi="Calibri" w:eastAsia="Calibri" w:cs="Calibri"/>
          <w:lang w:eastAsia="zh-CN"/>
        </w:rPr>
        <w:t>7.4.1</w:t>
      </w:r>
      <w:r>
        <w:rPr>
          <w:rFonts w:ascii="Calibri" w:hAnsi="Calibri" w:eastAsia="Calibri" w:cs="Calibri"/>
          <w:spacing w:val="10"/>
          <w:lang w:eastAsia="zh-CN"/>
        </w:rPr>
        <w:t xml:space="preserve"> </w:t>
      </w:r>
      <w:r>
        <w:rPr>
          <w:lang w:eastAsia="zh-CN"/>
        </w:rPr>
        <w:t>采购人与成交供应商应自成交通知书发出之日起</w:t>
      </w:r>
      <w:r>
        <w:rPr>
          <w:spacing w:val="-56"/>
          <w:lang w:eastAsia="zh-CN"/>
        </w:rPr>
        <w:t xml:space="preserve"> </w:t>
      </w:r>
      <w:r>
        <w:rPr>
          <w:rFonts w:hint="eastAsia" w:ascii="Calibri" w:hAnsi="Calibri" w:cs="Calibri" w:eastAsiaTheme="minorEastAsia"/>
          <w:lang w:eastAsia="zh-CN"/>
        </w:rPr>
        <w:t>30</w:t>
      </w:r>
      <w:r>
        <w:rPr>
          <w:rFonts w:ascii="Calibri" w:hAnsi="Calibri" w:eastAsia="Calibri" w:cs="Calibri"/>
          <w:spacing w:val="8"/>
          <w:lang w:eastAsia="zh-CN"/>
        </w:rPr>
        <w:t xml:space="preserve"> </w:t>
      </w:r>
      <w:r>
        <w:rPr>
          <w:spacing w:val="-8"/>
          <w:lang w:eastAsia="zh-CN"/>
        </w:rPr>
        <w:t>日内，按照采购文件和成交供应商</w:t>
      </w:r>
      <w:r>
        <w:rPr>
          <w:lang w:eastAsia="zh-CN"/>
        </w:rPr>
        <w:t xml:space="preserve"> 的响应文件订立书面合同。</w:t>
      </w:r>
    </w:p>
    <w:p>
      <w:pPr>
        <w:pStyle w:val="10"/>
        <w:spacing w:before="67" w:line="326" w:lineRule="auto"/>
        <w:ind w:left="112" w:right="86" w:firstLine="480"/>
        <w:rPr>
          <w:lang w:eastAsia="zh-CN"/>
        </w:rPr>
      </w:pPr>
      <w:r>
        <w:rPr>
          <w:rFonts w:ascii="Calibri" w:hAnsi="Calibri" w:eastAsia="Calibri" w:cs="Calibri"/>
          <w:lang w:eastAsia="zh-CN"/>
        </w:rPr>
        <w:t>7.4.2</w:t>
      </w:r>
      <w:r>
        <w:rPr>
          <w:rFonts w:ascii="Calibri" w:hAnsi="Calibri" w:eastAsia="Calibri" w:cs="Calibri"/>
          <w:spacing w:val="14"/>
          <w:lang w:eastAsia="zh-CN"/>
        </w:rPr>
        <w:t xml:space="preserve"> </w:t>
      </w:r>
      <w:r>
        <w:rPr>
          <w:spacing w:val="-3"/>
          <w:lang w:eastAsia="zh-CN"/>
        </w:rPr>
        <w:t>成交供应商如不按本采购文件的规定与采购人订立合同，则采购人将取消其成交资格，</w:t>
      </w:r>
      <w:r>
        <w:rPr>
          <w:lang w:eastAsia="zh-CN"/>
        </w:rPr>
        <w:t xml:space="preserve"> 给采购人造成的损失还应当对损失予以赔偿，并依法承担相应的法律责任。</w:t>
      </w:r>
    </w:p>
    <w:p>
      <w:pPr>
        <w:pStyle w:val="10"/>
        <w:spacing w:before="67" w:line="326" w:lineRule="auto"/>
        <w:ind w:left="112" w:right="86" w:firstLine="480"/>
        <w:rPr>
          <w:lang w:eastAsia="zh-CN"/>
        </w:rPr>
      </w:pPr>
      <w:r>
        <w:rPr>
          <w:rFonts w:ascii="Calibri" w:hAnsi="Calibri" w:eastAsia="Calibri" w:cs="Calibri"/>
          <w:lang w:eastAsia="zh-CN"/>
        </w:rPr>
        <w:t>7.4.3</w:t>
      </w:r>
      <w:r>
        <w:rPr>
          <w:rFonts w:ascii="Calibri" w:hAnsi="Calibri" w:eastAsia="Calibri" w:cs="Calibri"/>
          <w:spacing w:val="15"/>
          <w:lang w:eastAsia="zh-CN"/>
        </w:rPr>
        <w:t xml:space="preserve"> </w:t>
      </w:r>
      <w:r>
        <w:rPr>
          <w:lang w:eastAsia="zh-CN"/>
        </w:rPr>
        <w:t>发出成交通知书后，采购人无正当理由拒签合同的，给成交供应商造成损失的，还应 当赔偿损失。</w:t>
      </w:r>
    </w:p>
    <w:p>
      <w:pPr>
        <w:pStyle w:val="10"/>
        <w:spacing w:before="67" w:line="326" w:lineRule="auto"/>
        <w:ind w:right="86"/>
        <w:rPr>
          <w:rFonts w:cs="宋体"/>
          <w:b/>
          <w:bCs/>
          <w:w w:val="99"/>
          <w:lang w:eastAsia="zh-CN"/>
        </w:rPr>
      </w:pPr>
      <w:bookmarkStart w:id="41" w:name="8._重新采购"/>
      <w:bookmarkEnd w:id="41"/>
      <w:r>
        <w:rPr>
          <w:rFonts w:ascii="Calibri" w:hAnsi="Calibri" w:eastAsia="Calibri" w:cs="Calibri"/>
          <w:b/>
          <w:bCs/>
          <w:lang w:eastAsia="zh-CN"/>
        </w:rPr>
        <w:t>8.</w:t>
      </w:r>
      <w:r>
        <w:rPr>
          <w:rFonts w:ascii="Calibri" w:hAnsi="Calibri" w:eastAsia="Calibri" w:cs="Calibri"/>
          <w:b/>
          <w:bCs/>
          <w:spacing w:val="11"/>
          <w:lang w:eastAsia="zh-CN"/>
        </w:rPr>
        <w:t xml:space="preserve"> </w:t>
      </w:r>
      <w:r>
        <w:rPr>
          <w:rFonts w:cs="宋体"/>
          <w:b/>
          <w:bCs/>
          <w:lang w:eastAsia="zh-CN"/>
        </w:rPr>
        <w:t>重新采购</w:t>
      </w:r>
      <w:r>
        <w:rPr>
          <w:rFonts w:cs="宋体"/>
          <w:b/>
          <w:bCs/>
          <w:w w:val="99"/>
          <w:lang w:eastAsia="zh-CN"/>
        </w:rPr>
        <w:t xml:space="preserve"> </w:t>
      </w:r>
    </w:p>
    <w:p>
      <w:pPr>
        <w:pStyle w:val="10"/>
        <w:spacing w:before="67" w:line="326" w:lineRule="auto"/>
        <w:ind w:right="86"/>
        <w:rPr>
          <w:lang w:eastAsia="zh-CN"/>
        </w:rPr>
      </w:pPr>
      <w:r>
        <w:rPr>
          <w:lang w:eastAsia="zh-CN"/>
        </w:rPr>
        <w:t>出现下列情形之一的，采购人或者采购代理机构应当终止竞争性磋商采购活动，发布项目</w:t>
      </w:r>
    </w:p>
    <w:p>
      <w:pPr>
        <w:pStyle w:val="10"/>
        <w:spacing w:before="67"/>
        <w:ind w:left="112" w:right="86"/>
        <w:rPr>
          <w:lang w:eastAsia="zh-CN"/>
        </w:rPr>
      </w:pPr>
      <w:r>
        <w:rPr>
          <w:lang w:eastAsia="zh-CN"/>
        </w:rPr>
        <w:t>终止公告并说明原因，重新开展采购活动：</w:t>
      </w:r>
    </w:p>
    <w:p>
      <w:pPr>
        <w:pStyle w:val="10"/>
        <w:spacing w:before="154"/>
        <w:ind w:right="86"/>
        <w:rPr>
          <w:lang w:eastAsia="zh-CN"/>
        </w:rPr>
      </w:pPr>
      <w:r>
        <w:rPr>
          <w:lang w:eastAsia="zh-CN"/>
        </w:rPr>
        <w:t>（一）因情况变化，不再符合规定的竞争性磋商采购方式适用情形的；</w:t>
      </w:r>
    </w:p>
    <w:p>
      <w:pPr>
        <w:pStyle w:val="10"/>
        <w:spacing w:before="154"/>
        <w:ind w:right="86"/>
        <w:rPr>
          <w:lang w:eastAsia="zh-CN"/>
        </w:rPr>
      </w:pPr>
      <w:r>
        <w:rPr>
          <w:lang w:eastAsia="zh-CN"/>
        </w:rPr>
        <w:t>（二）出现影响采购公正的违法、违规行为的；</w:t>
      </w:r>
    </w:p>
    <w:p>
      <w:pPr>
        <w:pStyle w:val="10"/>
        <w:spacing w:before="60" w:line="468" w:lineRule="exact"/>
        <w:ind w:left="112" w:right="86" w:firstLine="480"/>
        <w:rPr>
          <w:lang w:eastAsia="zh-CN"/>
        </w:rPr>
      </w:pPr>
      <w:r>
        <w:rPr>
          <w:lang w:eastAsia="zh-CN"/>
        </w:rPr>
        <w:t>（三）除特殊情形外，在采购过程中符合要求的供应商或者报价未超过采购预算的供应商 不足</w:t>
      </w:r>
      <w:r>
        <w:rPr>
          <w:spacing w:val="-61"/>
          <w:lang w:eastAsia="zh-CN"/>
        </w:rPr>
        <w:t xml:space="preserve"> </w:t>
      </w:r>
      <w:r>
        <w:rPr>
          <w:rFonts w:ascii="Calibri" w:hAnsi="Calibri" w:eastAsia="Calibri" w:cs="Calibri"/>
          <w:lang w:eastAsia="zh-CN"/>
        </w:rPr>
        <w:t>3</w:t>
      </w:r>
      <w:r>
        <w:rPr>
          <w:rFonts w:ascii="Calibri" w:hAnsi="Calibri" w:eastAsia="Calibri" w:cs="Calibri"/>
          <w:spacing w:val="5"/>
          <w:lang w:eastAsia="zh-CN"/>
        </w:rPr>
        <w:t xml:space="preserve"> </w:t>
      </w:r>
      <w:r>
        <w:rPr>
          <w:lang w:eastAsia="zh-CN"/>
        </w:rPr>
        <w:t>家的。</w:t>
      </w:r>
    </w:p>
    <w:p>
      <w:pPr>
        <w:pStyle w:val="8"/>
        <w:spacing w:before="14"/>
        <w:ind w:right="86"/>
        <w:rPr>
          <w:b w:val="0"/>
          <w:bCs w:val="0"/>
        </w:rPr>
      </w:pPr>
      <w:bookmarkStart w:id="42" w:name="9._纪律和监督"/>
      <w:bookmarkEnd w:id="42"/>
      <w:r>
        <w:rPr>
          <w:rFonts w:ascii="Calibri" w:hAnsi="Calibri" w:eastAsia="Calibri" w:cs="Calibri"/>
        </w:rPr>
        <w:t xml:space="preserve">9. </w:t>
      </w:r>
      <w:r>
        <w:rPr>
          <w:rFonts w:ascii="Calibri" w:hAnsi="Calibri" w:eastAsia="Calibri" w:cs="Calibri"/>
          <w:spacing w:val="11"/>
        </w:rPr>
        <w:t xml:space="preserve"> </w:t>
      </w:r>
      <w:r>
        <w:t>纪律和监督</w:t>
      </w:r>
    </w:p>
    <w:p>
      <w:pPr>
        <w:spacing w:line="326" w:lineRule="auto"/>
        <w:ind w:firstLine="600" w:firstLineChars="250"/>
        <w:rPr>
          <w:lang w:eastAsia="zh-CN"/>
        </w:rPr>
      </w:pPr>
      <w:bookmarkStart w:id="43" w:name="9.1_对采购人的纪律要求"/>
      <w:bookmarkEnd w:id="43"/>
      <w:r>
        <w:rPr>
          <w:rFonts w:ascii="Calibri" w:hAnsi="Calibri" w:eastAsia="Calibri" w:cs="Calibri"/>
          <w:b/>
          <w:bCs/>
          <w:sz w:val="24"/>
          <w:szCs w:val="24"/>
          <w:lang w:eastAsia="zh-CN"/>
        </w:rPr>
        <w:t>9.1</w:t>
      </w:r>
      <w:r>
        <w:rPr>
          <w:rFonts w:ascii="Calibri" w:hAnsi="Calibri" w:eastAsia="Calibri" w:cs="Calibri"/>
          <w:b/>
          <w:bCs/>
          <w:spacing w:val="8"/>
          <w:sz w:val="24"/>
          <w:szCs w:val="24"/>
          <w:lang w:eastAsia="zh-CN"/>
        </w:rPr>
        <w:t xml:space="preserve"> </w:t>
      </w:r>
      <w:r>
        <w:rPr>
          <w:rFonts w:ascii="宋体" w:hAnsi="宋体" w:eastAsia="宋体" w:cs="宋体"/>
          <w:b/>
          <w:bCs/>
          <w:sz w:val="24"/>
          <w:szCs w:val="24"/>
          <w:lang w:eastAsia="zh-CN"/>
        </w:rPr>
        <w:t>对采购人的纪律要求</w:t>
      </w:r>
      <w:r>
        <w:rPr>
          <w:rFonts w:ascii="宋体" w:hAnsi="宋体" w:eastAsia="宋体" w:cs="宋体"/>
          <w:b/>
          <w:bCs/>
          <w:w w:val="99"/>
          <w:sz w:val="24"/>
          <w:szCs w:val="24"/>
          <w:lang w:eastAsia="zh-CN"/>
        </w:rPr>
        <w:t xml:space="preserve"> </w:t>
      </w:r>
      <w:r>
        <w:rPr>
          <w:rFonts w:ascii="宋体" w:hAnsi="宋体" w:eastAsia="宋体" w:cs="宋体"/>
          <w:spacing w:val="-1"/>
          <w:sz w:val="24"/>
          <w:szCs w:val="24"/>
          <w:lang w:eastAsia="zh-CN"/>
        </w:rPr>
        <w:t>采购人不得泄漏采购报价活动中应当保密的情况和资料，不得与供应商串通损害国家利益、</w:t>
      </w:r>
      <w:r>
        <w:rPr>
          <w:lang w:eastAsia="zh-CN"/>
        </w:rPr>
        <w:t>社会公共利益和他人合法权益。</w:t>
      </w:r>
    </w:p>
    <w:p>
      <w:pPr>
        <w:spacing w:line="326" w:lineRule="auto"/>
        <w:ind w:firstLine="600" w:firstLineChars="250"/>
        <w:rPr>
          <w:lang w:eastAsia="zh-CN"/>
        </w:rPr>
      </w:pPr>
      <w:bookmarkStart w:id="44" w:name="9.2_对供应商的纪律要求"/>
      <w:bookmarkEnd w:id="44"/>
      <w:r>
        <w:rPr>
          <w:rFonts w:ascii="Calibri" w:hAnsi="Calibri" w:eastAsia="Calibri" w:cs="Calibri"/>
          <w:b/>
          <w:bCs/>
          <w:sz w:val="24"/>
          <w:szCs w:val="24"/>
          <w:lang w:eastAsia="zh-CN"/>
        </w:rPr>
        <w:t>9.2</w:t>
      </w:r>
      <w:r>
        <w:rPr>
          <w:rFonts w:ascii="Calibri" w:hAnsi="Calibri" w:eastAsia="Calibri" w:cs="Calibri"/>
          <w:b/>
          <w:bCs/>
          <w:spacing w:val="8"/>
          <w:sz w:val="24"/>
          <w:szCs w:val="24"/>
          <w:lang w:eastAsia="zh-CN"/>
        </w:rPr>
        <w:t xml:space="preserve"> </w:t>
      </w:r>
      <w:r>
        <w:rPr>
          <w:rFonts w:ascii="宋体" w:hAnsi="宋体" w:eastAsia="宋体" w:cs="宋体"/>
          <w:b/>
          <w:bCs/>
          <w:sz w:val="24"/>
          <w:szCs w:val="24"/>
          <w:lang w:eastAsia="zh-CN"/>
        </w:rPr>
        <w:t>对供应商的纪律要求</w:t>
      </w:r>
      <w:r>
        <w:rPr>
          <w:rFonts w:ascii="宋体" w:hAnsi="宋体" w:eastAsia="宋体" w:cs="宋体"/>
          <w:b/>
          <w:bCs/>
          <w:w w:val="99"/>
          <w:sz w:val="24"/>
          <w:szCs w:val="24"/>
          <w:lang w:eastAsia="zh-CN"/>
        </w:rPr>
        <w:t xml:space="preserve"> </w:t>
      </w:r>
      <w:r>
        <w:rPr>
          <w:rFonts w:ascii="宋体" w:hAnsi="宋体" w:eastAsia="宋体" w:cs="宋体"/>
          <w:sz w:val="24"/>
          <w:szCs w:val="24"/>
          <w:lang w:eastAsia="zh-CN"/>
        </w:rPr>
        <w:t>供应商不得相互串通报价或者与采购人串通报价，不得向采购人或者磋商小组成员行贿谋</w:t>
      </w:r>
      <w:r>
        <w:rPr>
          <w:spacing w:val="-1"/>
          <w:lang w:eastAsia="zh-CN"/>
        </w:rPr>
        <w:t>取成交，不得以他人名义报价或者以其他方式弄虚作假骗取成交；供应商不得以任何方式干扰、</w:t>
      </w:r>
      <w:r>
        <w:rPr>
          <w:spacing w:val="-116"/>
          <w:lang w:eastAsia="zh-CN"/>
        </w:rPr>
        <w:t xml:space="preserve"> </w:t>
      </w:r>
      <w:r>
        <w:rPr>
          <w:lang w:eastAsia="zh-CN"/>
        </w:rPr>
        <w:t>影响磋商工作。</w:t>
      </w:r>
    </w:p>
    <w:p>
      <w:pPr>
        <w:spacing w:line="326" w:lineRule="auto"/>
        <w:ind w:firstLine="600" w:firstLineChars="250"/>
        <w:rPr>
          <w:lang w:eastAsia="zh-CN"/>
        </w:rPr>
      </w:pPr>
      <w:bookmarkStart w:id="45" w:name="9.3_对磋商小组成员的纪律要求"/>
      <w:bookmarkEnd w:id="45"/>
      <w:r>
        <w:rPr>
          <w:rFonts w:ascii="Calibri" w:hAnsi="Calibri" w:eastAsia="Calibri" w:cs="Calibri"/>
          <w:b/>
          <w:bCs/>
          <w:sz w:val="24"/>
          <w:szCs w:val="24"/>
          <w:lang w:eastAsia="zh-CN"/>
        </w:rPr>
        <w:t>9.3</w:t>
      </w:r>
      <w:r>
        <w:rPr>
          <w:rFonts w:ascii="Calibri" w:hAnsi="Calibri" w:eastAsia="Calibri" w:cs="Calibri"/>
          <w:b/>
          <w:bCs/>
          <w:spacing w:val="8"/>
          <w:sz w:val="24"/>
          <w:szCs w:val="24"/>
          <w:lang w:eastAsia="zh-CN"/>
        </w:rPr>
        <w:t xml:space="preserve"> </w:t>
      </w:r>
      <w:r>
        <w:rPr>
          <w:rFonts w:ascii="宋体" w:hAnsi="宋体" w:eastAsia="宋体" w:cs="宋体"/>
          <w:b/>
          <w:bCs/>
          <w:sz w:val="24"/>
          <w:szCs w:val="24"/>
          <w:lang w:eastAsia="zh-CN"/>
        </w:rPr>
        <w:t>对磋商小组成员的纪律要求</w:t>
      </w:r>
      <w:r>
        <w:rPr>
          <w:rFonts w:ascii="宋体" w:hAnsi="宋体" w:eastAsia="宋体" w:cs="宋体"/>
          <w:b/>
          <w:bCs/>
          <w:w w:val="99"/>
          <w:sz w:val="24"/>
          <w:szCs w:val="24"/>
          <w:lang w:eastAsia="zh-CN"/>
        </w:rPr>
        <w:t xml:space="preserve"> </w:t>
      </w:r>
      <w:r>
        <w:rPr>
          <w:rFonts w:ascii="宋体" w:hAnsi="宋体" w:eastAsia="宋体" w:cs="宋体"/>
          <w:sz w:val="24"/>
          <w:szCs w:val="24"/>
          <w:lang w:eastAsia="zh-CN"/>
        </w:rPr>
        <w:t>磋商小组成员不得收受他人的财物或者其他好处，不得向他人透漏对响应文件的评审和比</w:t>
      </w:r>
      <w:r>
        <w:rPr>
          <w:lang w:eastAsia="zh-CN"/>
        </w:rPr>
        <w:t>较、成交供应商候选人的推荐情况以及与磋商有关的其他情况。在磋商活动中，磋商小组成员</w:t>
      </w:r>
      <w:r>
        <w:rPr>
          <w:spacing w:val="-53"/>
          <w:lang w:eastAsia="zh-CN"/>
        </w:rPr>
        <w:t xml:space="preserve"> </w:t>
      </w:r>
      <w:r>
        <w:rPr>
          <w:lang w:eastAsia="zh-CN"/>
        </w:rPr>
        <w:t>不得擅离职守，影响磋商程序正常进行，不得使用第六章“磋商评审办法”没有规定的评审因</w:t>
      </w:r>
      <w:r>
        <w:rPr>
          <w:spacing w:val="-53"/>
          <w:lang w:eastAsia="zh-CN"/>
        </w:rPr>
        <w:t xml:space="preserve"> </w:t>
      </w:r>
      <w:r>
        <w:rPr>
          <w:lang w:eastAsia="zh-CN"/>
        </w:rPr>
        <w:t>素和标准进行磋商。</w:t>
      </w:r>
    </w:p>
    <w:p>
      <w:pPr>
        <w:spacing w:line="326" w:lineRule="auto"/>
        <w:ind w:firstLine="600" w:firstLineChars="250"/>
        <w:rPr>
          <w:lang w:eastAsia="zh-CN"/>
        </w:rPr>
      </w:pPr>
      <w:bookmarkStart w:id="46" w:name="9.4_对与磋商活动有关的工作人员的纪律要求"/>
      <w:bookmarkEnd w:id="46"/>
      <w:r>
        <w:rPr>
          <w:rFonts w:ascii="Calibri" w:hAnsi="Calibri" w:eastAsia="Calibri" w:cs="Calibri"/>
          <w:b/>
          <w:bCs/>
          <w:sz w:val="24"/>
          <w:szCs w:val="24"/>
          <w:lang w:eastAsia="zh-CN"/>
        </w:rPr>
        <w:t>9.4</w:t>
      </w:r>
      <w:r>
        <w:rPr>
          <w:rFonts w:ascii="Calibri" w:hAnsi="Calibri" w:eastAsia="Calibri" w:cs="Calibri"/>
          <w:b/>
          <w:bCs/>
          <w:spacing w:val="8"/>
          <w:sz w:val="24"/>
          <w:szCs w:val="24"/>
          <w:lang w:eastAsia="zh-CN"/>
        </w:rPr>
        <w:t xml:space="preserve"> </w:t>
      </w:r>
      <w:r>
        <w:rPr>
          <w:rFonts w:ascii="宋体" w:hAnsi="宋体" w:eastAsia="宋体" w:cs="宋体"/>
          <w:b/>
          <w:bCs/>
          <w:sz w:val="24"/>
          <w:szCs w:val="24"/>
          <w:lang w:eastAsia="zh-CN"/>
        </w:rPr>
        <w:t>对与磋商活动有关的工作人员的纪律要求</w:t>
      </w:r>
      <w:r>
        <w:rPr>
          <w:rFonts w:ascii="宋体" w:hAnsi="宋体" w:eastAsia="宋体" w:cs="宋体"/>
          <w:b/>
          <w:bCs/>
          <w:w w:val="99"/>
          <w:sz w:val="24"/>
          <w:szCs w:val="24"/>
          <w:lang w:eastAsia="zh-CN"/>
        </w:rPr>
        <w:t xml:space="preserve"> </w:t>
      </w:r>
      <w:r>
        <w:rPr>
          <w:rFonts w:ascii="宋体" w:hAnsi="宋体" w:eastAsia="宋体" w:cs="宋体"/>
          <w:sz w:val="24"/>
          <w:szCs w:val="24"/>
          <w:lang w:eastAsia="zh-CN"/>
        </w:rPr>
        <w:t>与磋商活动有关的工作人员不得收受他人的财物或者其他好处，不得向他人透漏对响应文</w:t>
      </w:r>
      <w:r>
        <w:rPr>
          <w:lang w:eastAsia="zh-CN"/>
        </w:rPr>
        <w:t>件的评审和比较、成交供应商候选人的推荐情况以及与磋商有关的其他情况。在磋商活动中，</w:t>
      </w:r>
      <w:r>
        <w:rPr>
          <w:spacing w:val="-53"/>
          <w:lang w:eastAsia="zh-CN"/>
        </w:rPr>
        <w:t xml:space="preserve"> </w:t>
      </w:r>
      <w:r>
        <w:rPr>
          <w:lang w:eastAsia="zh-CN"/>
        </w:rPr>
        <w:t>与磋商活动有关的工作人员不得擅离职守，影响磋商程序正常进行。</w:t>
      </w:r>
    </w:p>
    <w:p>
      <w:pPr>
        <w:pStyle w:val="8"/>
        <w:spacing w:before="36"/>
        <w:ind w:right="86"/>
        <w:rPr>
          <w:b w:val="0"/>
          <w:bCs w:val="0"/>
          <w:lang w:eastAsia="zh-CN"/>
        </w:rPr>
      </w:pPr>
      <w:bookmarkStart w:id="47" w:name="9.5_质疑和投诉"/>
      <w:bookmarkEnd w:id="47"/>
      <w:r>
        <w:rPr>
          <w:rFonts w:ascii="Calibri" w:hAnsi="Calibri" w:eastAsia="Calibri" w:cs="Calibri"/>
          <w:lang w:eastAsia="zh-CN"/>
        </w:rPr>
        <w:t xml:space="preserve">9.5 </w:t>
      </w:r>
      <w:r>
        <w:rPr>
          <w:rFonts w:ascii="Calibri" w:hAnsi="Calibri" w:eastAsia="Calibri" w:cs="Calibri"/>
          <w:spacing w:val="8"/>
          <w:lang w:eastAsia="zh-CN"/>
        </w:rPr>
        <w:t xml:space="preserve"> </w:t>
      </w:r>
      <w:r>
        <w:rPr>
          <w:lang w:eastAsia="zh-CN"/>
        </w:rPr>
        <w:t>质疑和投诉</w:t>
      </w:r>
    </w:p>
    <w:p>
      <w:pPr>
        <w:pStyle w:val="10"/>
        <w:spacing w:before="123"/>
        <w:ind w:right="86"/>
        <w:rPr>
          <w:lang w:eastAsia="zh-CN"/>
        </w:rPr>
      </w:pPr>
      <w:r>
        <w:rPr>
          <w:rFonts w:ascii="Calibri" w:hAnsi="Calibri" w:eastAsia="Calibri" w:cs="Calibri"/>
          <w:lang w:eastAsia="zh-CN"/>
        </w:rPr>
        <w:t>9.5.1</w:t>
      </w:r>
      <w:r>
        <w:rPr>
          <w:rFonts w:ascii="Calibri" w:hAnsi="Calibri" w:eastAsia="Calibri" w:cs="Calibri"/>
          <w:spacing w:val="17"/>
          <w:lang w:eastAsia="zh-CN"/>
        </w:rPr>
        <w:t xml:space="preserve"> </w:t>
      </w:r>
      <w:r>
        <w:rPr>
          <w:lang w:eastAsia="zh-CN"/>
        </w:rPr>
        <w:t>供应商对采购文件、采购过程和成交（成交）结果使自己的权益受到损害的，可以在</w:t>
      </w:r>
    </w:p>
    <w:p>
      <w:pPr>
        <w:pStyle w:val="10"/>
        <w:spacing w:before="123" w:line="326" w:lineRule="auto"/>
        <w:ind w:left="112" w:right="229"/>
        <w:jc w:val="both"/>
        <w:rPr>
          <w:lang w:eastAsia="zh-CN"/>
        </w:rPr>
      </w:pPr>
      <w:r>
        <w:rPr>
          <w:lang w:eastAsia="zh-CN"/>
        </w:rPr>
        <w:t xml:space="preserve">知道或者应当知道其权益受到损害之日起 </w:t>
      </w:r>
      <w:r>
        <w:rPr>
          <w:rFonts w:ascii="Calibri" w:hAnsi="Calibri" w:eastAsia="Calibri" w:cs="Calibri"/>
          <w:lang w:eastAsia="zh-CN"/>
        </w:rPr>
        <w:t xml:space="preserve">7 </w:t>
      </w:r>
      <w:r>
        <w:rPr>
          <w:lang w:eastAsia="zh-CN"/>
        </w:rPr>
        <w:t>个工作日内向采购人以书面形式提出质疑。供应商</w:t>
      </w:r>
      <w:r>
        <w:rPr>
          <w:spacing w:val="-109"/>
          <w:lang w:eastAsia="zh-CN"/>
        </w:rPr>
        <w:t xml:space="preserve"> </w:t>
      </w:r>
      <w:r>
        <w:rPr>
          <w:lang w:eastAsia="zh-CN"/>
        </w:rPr>
        <w:t>应在法定质疑期内一次性提出针对同一采购程序环节的质疑。</w:t>
      </w:r>
    </w:p>
    <w:p>
      <w:pPr>
        <w:pStyle w:val="10"/>
        <w:spacing w:before="67" w:line="340" w:lineRule="auto"/>
        <w:ind w:left="112" w:right="86" w:firstLine="480"/>
        <w:rPr>
          <w:lang w:eastAsia="zh-CN"/>
        </w:rPr>
      </w:pPr>
      <w:r>
        <w:rPr>
          <w:rFonts w:ascii="Calibri" w:hAnsi="Calibri" w:eastAsia="Calibri" w:cs="Calibri"/>
          <w:lang w:eastAsia="zh-CN"/>
        </w:rPr>
        <w:t>9.5.2</w:t>
      </w:r>
      <w:r>
        <w:rPr>
          <w:rFonts w:ascii="Calibri" w:hAnsi="Calibri" w:eastAsia="Calibri" w:cs="Calibri"/>
          <w:spacing w:val="14"/>
          <w:lang w:eastAsia="zh-CN"/>
        </w:rPr>
        <w:t xml:space="preserve"> </w:t>
      </w:r>
      <w:r>
        <w:rPr>
          <w:spacing w:val="-3"/>
          <w:lang w:eastAsia="zh-CN"/>
        </w:rPr>
        <w:t>质疑实行实名制，供应商不得虚假质疑和恶意质疑，并对质疑内容的真实性承担责任。</w:t>
      </w:r>
      <w:r>
        <w:rPr>
          <w:lang w:eastAsia="zh-CN"/>
        </w:rPr>
        <w:t xml:space="preserve"> 供应商有以下情形之一的，被质疑人应当向</w:t>
      </w:r>
      <w:r>
        <w:rPr>
          <w:rFonts w:hint="eastAsia"/>
          <w:lang w:eastAsia="zh-CN"/>
        </w:rPr>
        <w:t>相关部门</w:t>
      </w:r>
      <w:r>
        <w:rPr>
          <w:lang w:eastAsia="zh-CN"/>
        </w:rPr>
        <w:t>报告，审查属实的，应当依</w:t>
      </w:r>
      <w:r>
        <w:rPr>
          <w:spacing w:val="-53"/>
          <w:lang w:eastAsia="zh-CN"/>
        </w:rPr>
        <w:t xml:space="preserve"> </w:t>
      </w:r>
      <w:r>
        <w:rPr>
          <w:lang w:eastAsia="zh-CN"/>
        </w:rPr>
        <w:t>照有关法律、法规、规章规定进行处罚。</w:t>
      </w:r>
    </w:p>
    <w:p>
      <w:pPr>
        <w:pStyle w:val="10"/>
        <w:spacing w:before="53"/>
        <w:ind w:right="86"/>
        <w:rPr>
          <w:lang w:eastAsia="zh-CN"/>
        </w:rPr>
      </w:pPr>
      <w:r>
        <w:rPr>
          <w:lang w:eastAsia="zh-CN"/>
        </w:rPr>
        <w:t>（一）捏造事实或者提供虚假质疑材料的；</w:t>
      </w:r>
    </w:p>
    <w:p>
      <w:pPr>
        <w:pStyle w:val="10"/>
        <w:spacing w:before="154"/>
        <w:ind w:right="86"/>
        <w:rPr>
          <w:lang w:eastAsia="zh-CN"/>
        </w:rPr>
      </w:pPr>
      <w:r>
        <w:rPr>
          <w:lang w:eastAsia="zh-CN"/>
        </w:rPr>
        <w:t>（二）借用他人名义或者伪造他人身份进行质疑的；</w:t>
      </w:r>
    </w:p>
    <w:p>
      <w:pPr>
        <w:pStyle w:val="10"/>
        <w:spacing w:before="154" w:line="357" w:lineRule="auto"/>
        <w:ind w:right="2906"/>
        <w:rPr>
          <w:lang w:eastAsia="zh-CN"/>
        </w:rPr>
      </w:pPr>
      <w:r>
        <w:rPr>
          <w:lang w:eastAsia="zh-CN"/>
        </w:rPr>
        <w:t xml:space="preserve">（三）具有其他虚假、恶意质疑情形的。 </w:t>
      </w:r>
    </w:p>
    <w:p>
      <w:pPr>
        <w:pStyle w:val="10"/>
        <w:spacing w:before="154" w:line="357" w:lineRule="auto"/>
        <w:ind w:right="2906" w:firstLine="240" w:firstLineChars="100"/>
        <w:rPr>
          <w:lang w:eastAsia="zh-CN"/>
        </w:rPr>
      </w:pPr>
      <w:r>
        <w:rPr>
          <w:lang w:eastAsia="zh-CN"/>
        </w:rPr>
        <w:t>任何单位和个人不得指使、教唆供应商进行虚假、恶意质疑。</w:t>
      </w:r>
    </w:p>
    <w:p>
      <w:pPr>
        <w:pStyle w:val="10"/>
        <w:spacing w:before="154" w:line="357" w:lineRule="auto"/>
        <w:ind w:right="2906"/>
        <w:rPr>
          <w:lang w:eastAsia="zh-CN"/>
        </w:rPr>
      </w:pPr>
      <w:r>
        <w:rPr>
          <w:lang w:eastAsia="zh-CN"/>
        </w:rPr>
        <w:t xml:space="preserve"> </w:t>
      </w:r>
      <w:r>
        <w:rPr>
          <w:rFonts w:ascii="Calibri" w:hAnsi="Calibri" w:eastAsia="Calibri" w:cs="Calibri"/>
          <w:lang w:eastAsia="zh-CN"/>
        </w:rPr>
        <w:t>9.5.3</w:t>
      </w:r>
      <w:r>
        <w:rPr>
          <w:rFonts w:ascii="Calibri" w:hAnsi="Calibri" w:eastAsia="Calibri" w:cs="Calibri"/>
          <w:spacing w:val="3"/>
          <w:lang w:eastAsia="zh-CN"/>
        </w:rPr>
        <w:t xml:space="preserve"> </w:t>
      </w:r>
      <w:r>
        <w:rPr>
          <w:lang w:eastAsia="zh-CN"/>
        </w:rPr>
        <w:t>质疑文件应包括以下主要内容：</w:t>
      </w:r>
    </w:p>
    <w:p>
      <w:pPr>
        <w:pStyle w:val="10"/>
        <w:spacing w:before="0" w:line="294" w:lineRule="exact"/>
        <w:ind w:right="86"/>
        <w:rPr>
          <w:lang w:eastAsia="zh-CN"/>
        </w:rPr>
      </w:pPr>
      <w:r>
        <w:rPr>
          <w:lang w:eastAsia="zh-CN"/>
        </w:rPr>
        <w:t>（一）供应商和被质疑人的名称、法定代表人、住所、电话、邮编等；</w:t>
      </w:r>
    </w:p>
    <w:p>
      <w:pPr>
        <w:pStyle w:val="10"/>
        <w:spacing w:before="154"/>
        <w:ind w:right="86"/>
        <w:rPr>
          <w:lang w:eastAsia="zh-CN"/>
        </w:rPr>
      </w:pPr>
      <w:r>
        <w:rPr>
          <w:lang w:eastAsia="zh-CN"/>
        </w:rPr>
        <w:t>（二）采购项目名称、项目编号及包组；</w:t>
      </w:r>
    </w:p>
    <w:p>
      <w:pPr>
        <w:pStyle w:val="10"/>
        <w:spacing w:before="154"/>
        <w:ind w:right="86"/>
        <w:rPr>
          <w:lang w:eastAsia="zh-CN"/>
        </w:rPr>
      </w:pPr>
      <w:r>
        <w:rPr>
          <w:lang w:eastAsia="zh-CN"/>
        </w:rPr>
        <w:t>（三）具体质疑事项与请求；</w:t>
      </w:r>
    </w:p>
    <w:p>
      <w:pPr>
        <w:pStyle w:val="10"/>
        <w:spacing w:before="0" w:line="360" w:lineRule="auto"/>
        <w:ind w:left="0" w:firstLine="600" w:firstLineChars="250"/>
        <w:rPr>
          <w:lang w:eastAsia="zh-CN"/>
        </w:rPr>
      </w:pPr>
      <w:r>
        <w:rPr>
          <w:lang w:eastAsia="zh-CN"/>
        </w:rPr>
        <w:t>（四）事实与理由，并提供事实依据及相关证明材料，证明材料中有外文资料的，应当将 与质疑相关的外文资料完整、客观、真实地翻译为中文，翻译人员签名并注明工作单位、联系</w:t>
      </w:r>
      <w:r>
        <w:rPr>
          <w:spacing w:val="-53"/>
          <w:lang w:eastAsia="zh-CN"/>
        </w:rPr>
        <w:t xml:space="preserve"> </w:t>
      </w:r>
      <w:r>
        <w:rPr>
          <w:lang w:eastAsia="zh-CN"/>
        </w:rPr>
        <w:t>方式等信息；</w:t>
      </w:r>
    </w:p>
    <w:p>
      <w:pPr>
        <w:pStyle w:val="10"/>
        <w:spacing w:before="0" w:line="360" w:lineRule="auto"/>
        <w:ind w:left="0" w:firstLine="480" w:firstLineChars="200"/>
        <w:rPr>
          <w:lang w:eastAsia="zh-CN"/>
        </w:rPr>
      </w:pPr>
      <w:r>
        <w:rPr>
          <w:lang w:eastAsia="zh-CN"/>
        </w:rPr>
        <w:t>（五）提出质疑的日期。 质疑书应当加盖公章与签字。供应商为自然人的，应当由本人签字并附有效身份证明；供应商为法人或者其他组织的，应当由法定代表人或者主要负责人签字并加盖公章，同时一并提</w:t>
      </w:r>
      <w:r>
        <w:rPr>
          <w:spacing w:val="-53"/>
          <w:lang w:eastAsia="zh-CN"/>
        </w:rPr>
        <w:t xml:space="preserve"> </w:t>
      </w:r>
      <w:r>
        <w:rPr>
          <w:lang w:eastAsia="zh-CN"/>
        </w:rPr>
        <w:t>交营业执照和法定代表人或者主要负责人有效身份证明。无法提供证件原件的，应当提供真实</w:t>
      </w:r>
      <w:r>
        <w:rPr>
          <w:spacing w:val="-53"/>
          <w:lang w:eastAsia="zh-CN"/>
        </w:rPr>
        <w:t xml:space="preserve"> </w:t>
      </w:r>
      <w:r>
        <w:rPr>
          <w:lang w:eastAsia="zh-CN"/>
        </w:rPr>
        <w:t>有效的复印件，并签字或者盖章。</w:t>
      </w:r>
    </w:p>
    <w:p>
      <w:pPr>
        <w:pStyle w:val="10"/>
        <w:spacing w:before="0" w:line="360" w:lineRule="auto"/>
        <w:ind w:left="0"/>
        <w:rPr>
          <w:lang w:eastAsia="zh-CN"/>
        </w:rPr>
      </w:pPr>
      <w:r>
        <w:rPr>
          <w:lang w:eastAsia="zh-CN"/>
        </w:rPr>
        <w:t>供应商可以委托代理人办理质疑事项，代理人办理质疑事项时，除提交质疑书外，还应当 提交供应商的授权委托书及代理人的有效身份证明，授权委托书应当载明委托代理的具体权限</w:t>
      </w:r>
      <w:r>
        <w:rPr>
          <w:spacing w:val="-53"/>
          <w:lang w:eastAsia="zh-CN"/>
        </w:rPr>
        <w:t xml:space="preserve"> </w:t>
      </w:r>
      <w:r>
        <w:rPr>
          <w:lang w:eastAsia="zh-CN"/>
        </w:rPr>
        <w:t>和事项。</w:t>
      </w:r>
    </w:p>
    <w:p>
      <w:pPr>
        <w:pStyle w:val="10"/>
        <w:spacing w:line="326" w:lineRule="auto"/>
        <w:ind w:left="112" w:right="227" w:firstLine="480"/>
        <w:jc w:val="both"/>
        <w:rPr>
          <w:lang w:eastAsia="zh-CN"/>
        </w:rPr>
      </w:pPr>
      <w:r>
        <w:rPr>
          <w:rFonts w:ascii="Calibri" w:hAnsi="Calibri" w:eastAsia="Calibri" w:cs="Calibri"/>
          <w:lang w:eastAsia="zh-CN"/>
        </w:rPr>
        <w:t>9.5.4</w:t>
      </w:r>
      <w:r>
        <w:rPr>
          <w:rFonts w:ascii="Calibri" w:hAnsi="Calibri" w:eastAsia="Calibri" w:cs="Calibri"/>
          <w:spacing w:val="15"/>
          <w:lang w:eastAsia="zh-CN"/>
        </w:rPr>
        <w:t xml:space="preserve"> </w:t>
      </w:r>
      <w:r>
        <w:rPr>
          <w:lang w:eastAsia="zh-CN"/>
        </w:rPr>
        <w:t>被质疑人应当在受理质疑后七个工作日内作出答复，并以书面形式通知供应商和其他 有关供应商，答复内容仅限于供应商所质疑的内容，不得涉及以下内容：</w:t>
      </w:r>
    </w:p>
    <w:p>
      <w:pPr>
        <w:pStyle w:val="10"/>
        <w:spacing w:before="67"/>
        <w:ind w:right="86"/>
        <w:rPr>
          <w:lang w:eastAsia="zh-CN"/>
        </w:rPr>
      </w:pPr>
      <w:r>
        <w:rPr>
          <w:lang w:eastAsia="zh-CN"/>
        </w:rPr>
        <w:t>（一）国家秘密和商业秘密；</w:t>
      </w:r>
    </w:p>
    <w:p>
      <w:pPr>
        <w:pStyle w:val="10"/>
        <w:spacing w:before="154"/>
        <w:ind w:right="86"/>
        <w:rPr>
          <w:lang w:eastAsia="zh-CN"/>
        </w:rPr>
      </w:pPr>
      <w:r>
        <w:rPr>
          <w:lang w:eastAsia="zh-CN"/>
        </w:rPr>
        <w:t>（二）开标前质疑的，已获取采购文件的供应商名称、数量；</w:t>
      </w:r>
    </w:p>
    <w:p>
      <w:pPr>
        <w:pStyle w:val="10"/>
        <w:spacing w:before="154"/>
        <w:ind w:right="86"/>
        <w:rPr>
          <w:lang w:eastAsia="zh-CN"/>
        </w:rPr>
      </w:pPr>
      <w:r>
        <w:rPr>
          <w:lang w:eastAsia="zh-CN"/>
        </w:rPr>
        <w:t>（三）成交（成交）结果确定前质疑的，关于评审专家信息及评审情况；</w:t>
      </w:r>
    </w:p>
    <w:p>
      <w:pPr>
        <w:pStyle w:val="10"/>
        <w:spacing w:before="154"/>
        <w:ind w:right="86"/>
        <w:rPr>
          <w:lang w:eastAsia="zh-CN"/>
        </w:rPr>
      </w:pPr>
      <w:r>
        <w:rPr>
          <w:lang w:eastAsia="zh-CN"/>
        </w:rPr>
        <w:t>（四）预成交（成交）供应商情况；</w:t>
      </w:r>
    </w:p>
    <w:p>
      <w:pPr>
        <w:pStyle w:val="10"/>
        <w:spacing w:before="154"/>
        <w:ind w:right="86"/>
        <w:rPr>
          <w:lang w:eastAsia="zh-CN"/>
        </w:rPr>
      </w:pPr>
      <w:r>
        <w:rPr>
          <w:lang w:eastAsia="zh-CN"/>
        </w:rPr>
        <w:t>（五）其他供应商的报价（响应）文件。</w:t>
      </w:r>
    </w:p>
    <w:p>
      <w:pPr>
        <w:pStyle w:val="10"/>
        <w:spacing w:before="67"/>
        <w:ind w:right="86"/>
        <w:rPr>
          <w:lang w:eastAsia="zh-CN"/>
        </w:rPr>
      </w:pPr>
      <w:r>
        <w:rPr>
          <w:rFonts w:ascii="Calibri" w:hAnsi="Calibri" w:eastAsia="Calibri" w:cs="Calibri"/>
          <w:lang w:eastAsia="zh-CN"/>
        </w:rPr>
        <w:t>9.5.</w:t>
      </w:r>
      <w:r>
        <w:rPr>
          <w:rFonts w:hint="eastAsia" w:ascii="Calibri" w:hAnsi="Calibri" w:cs="Calibri" w:eastAsiaTheme="minorEastAsia"/>
          <w:lang w:eastAsia="zh-CN"/>
        </w:rPr>
        <w:t>5</w:t>
      </w:r>
      <w:r>
        <w:rPr>
          <w:rFonts w:ascii="Calibri" w:hAnsi="Calibri" w:eastAsia="Calibri" w:cs="Calibri"/>
          <w:spacing w:val="3"/>
          <w:lang w:eastAsia="zh-CN"/>
        </w:rPr>
        <w:t xml:space="preserve"> </w:t>
      </w:r>
      <w:r>
        <w:rPr>
          <w:lang w:eastAsia="zh-CN"/>
        </w:rPr>
        <w:t>其他规定详见政府采购法、山东省政府采购供应商质疑处理办法等相关法规。</w:t>
      </w:r>
    </w:p>
    <w:p>
      <w:pPr>
        <w:pStyle w:val="10"/>
        <w:spacing w:before="123" w:line="357" w:lineRule="auto"/>
        <w:ind w:right="86"/>
        <w:rPr>
          <w:lang w:eastAsia="zh-CN"/>
        </w:rPr>
      </w:pPr>
      <w:r>
        <w:rPr>
          <w:rFonts w:cs="宋体"/>
          <w:b/>
          <w:bCs/>
          <w:lang w:eastAsia="zh-CN"/>
        </w:rPr>
        <w:t>10. 解释权</w:t>
      </w:r>
      <w:r>
        <w:rPr>
          <w:rFonts w:cs="宋体"/>
          <w:b/>
          <w:bCs/>
          <w:w w:val="99"/>
          <w:lang w:eastAsia="zh-CN"/>
        </w:rPr>
        <w:t xml:space="preserve"> </w:t>
      </w:r>
      <w:bookmarkStart w:id="48" w:name="本磋商文件的最终解释权归采购人，当对一个问题有多种解释时以采购人的书面解释为准。"/>
      <w:bookmarkEnd w:id="48"/>
      <w:r>
        <w:rPr>
          <w:spacing w:val="-1"/>
          <w:lang w:eastAsia="zh-CN"/>
        </w:rPr>
        <w:t>本磋商文件的最终解释权归采购人，当对一个问题有多种解释时以采购人的书面解释为准。</w:t>
      </w:r>
    </w:p>
    <w:p>
      <w:pPr>
        <w:spacing w:before="36" w:line="340" w:lineRule="auto"/>
        <w:ind w:left="592" w:right="2906" w:hanging="480"/>
        <w:rPr>
          <w:rFonts w:ascii="宋体" w:hAnsi="宋体" w:eastAsia="宋体" w:cs="宋体"/>
          <w:b/>
          <w:bCs/>
          <w:w w:val="99"/>
          <w:sz w:val="24"/>
          <w:szCs w:val="24"/>
          <w:lang w:eastAsia="zh-CN"/>
        </w:rPr>
      </w:pPr>
      <w:r>
        <w:rPr>
          <w:rFonts w:ascii="宋体" w:hAnsi="宋体" w:eastAsia="宋体" w:cs="宋体"/>
          <w:sz w:val="24"/>
          <w:szCs w:val="24"/>
          <w:lang w:eastAsia="zh-CN"/>
        </w:rPr>
        <w:t xml:space="preserve">磋商文件未做须知明示，采购人将依据相关法律、法规做出解释。 </w:t>
      </w:r>
      <w:bookmarkStart w:id="49" w:name="11._需要补充的其他内容"/>
      <w:bookmarkEnd w:id="49"/>
      <w:r>
        <w:rPr>
          <w:rFonts w:ascii="Calibri" w:hAnsi="Calibri" w:eastAsia="Calibri" w:cs="Calibri"/>
          <w:b/>
          <w:bCs/>
          <w:sz w:val="24"/>
          <w:szCs w:val="24"/>
          <w:lang w:eastAsia="zh-CN"/>
        </w:rPr>
        <w:t>11.</w:t>
      </w:r>
      <w:r>
        <w:rPr>
          <w:rFonts w:ascii="Calibri" w:hAnsi="Calibri" w:eastAsia="Calibri" w:cs="Calibri"/>
          <w:b/>
          <w:bCs/>
          <w:spacing w:val="8"/>
          <w:sz w:val="24"/>
          <w:szCs w:val="24"/>
          <w:lang w:eastAsia="zh-CN"/>
        </w:rPr>
        <w:t xml:space="preserve"> </w:t>
      </w:r>
      <w:r>
        <w:rPr>
          <w:rFonts w:ascii="宋体" w:hAnsi="宋体" w:eastAsia="宋体" w:cs="宋体"/>
          <w:b/>
          <w:bCs/>
          <w:sz w:val="24"/>
          <w:szCs w:val="24"/>
          <w:lang w:eastAsia="zh-CN"/>
        </w:rPr>
        <w:t>需要补充的其他内容</w:t>
      </w:r>
      <w:r>
        <w:rPr>
          <w:rFonts w:ascii="宋体" w:hAnsi="宋体" w:eastAsia="宋体" w:cs="宋体"/>
          <w:b/>
          <w:bCs/>
          <w:w w:val="99"/>
          <w:sz w:val="24"/>
          <w:szCs w:val="24"/>
          <w:lang w:eastAsia="zh-CN"/>
        </w:rPr>
        <w:t xml:space="preserve"> </w:t>
      </w:r>
    </w:p>
    <w:p>
      <w:pPr>
        <w:spacing w:before="36" w:line="340" w:lineRule="auto"/>
        <w:ind w:left="592" w:right="2906" w:hanging="480"/>
        <w:rPr>
          <w:rFonts w:ascii="宋体" w:hAnsi="宋体" w:eastAsia="宋体" w:cs="宋体"/>
          <w:sz w:val="24"/>
          <w:szCs w:val="24"/>
          <w:lang w:eastAsia="zh-CN"/>
        </w:rPr>
      </w:pPr>
      <w:r>
        <w:rPr>
          <w:rFonts w:ascii="宋体" w:hAnsi="宋体" w:eastAsia="宋体" w:cs="宋体"/>
          <w:sz w:val="24"/>
          <w:szCs w:val="24"/>
          <w:lang w:eastAsia="zh-CN"/>
        </w:rPr>
        <w:t>需要补充的其他内容：见供应商须知前附表。</w:t>
      </w:r>
    </w:p>
    <w:p>
      <w:pPr>
        <w:spacing w:line="340" w:lineRule="auto"/>
        <w:rPr>
          <w:rFonts w:ascii="宋体" w:hAnsi="宋体" w:eastAsia="宋体" w:cs="宋体"/>
          <w:sz w:val="24"/>
          <w:szCs w:val="24"/>
          <w:lang w:eastAsia="zh-CN"/>
        </w:rPr>
        <w:sectPr>
          <w:footerReference r:id="rId7" w:type="default"/>
          <w:pgSz w:w="11910" w:h="16840"/>
          <w:pgMar w:top="860" w:right="620" w:bottom="960" w:left="1020" w:header="0" w:footer="751" w:gutter="0"/>
          <w:cols w:space="720" w:num="1"/>
        </w:sectPr>
      </w:pPr>
    </w:p>
    <w:p>
      <w:pPr>
        <w:tabs>
          <w:tab w:val="left" w:pos="4413"/>
        </w:tabs>
        <w:spacing w:line="517" w:lineRule="exact"/>
        <w:ind w:left="2654" w:right="86"/>
        <w:rPr>
          <w:rFonts w:ascii="黑体" w:hAnsi="黑体" w:eastAsia="黑体" w:cs="黑体"/>
          <w:sz w:val="44"/>
          <w:szCs w:val="44"/>
        </w:rPr>
      </w:pPr>
      <w:bookmarkStart w:id="50" w:name="_bookmark2"/>
      <w:bookmarkEnd w:id="50"/>
      <w:r>
        <w:rPr>
          <w:rFonts w:ascii="黑体" w:hAnsi="黑体" w:eastAsia="黑体" w:cs="黑体"/>
          <w:w w:val="95"/>
          <w:sz w:val="44"/>
          <w:szCs w:val="44"/>
        </w:rPr>
        <w:t>第三章</w:t>
      </w:r>
      <w:r>
        <w:rPr>
          <w:rFonts w:ascii="黑体" w:hAnsi="黑体" w:eastAsia="黑体" w:cs="黑体"/>
          <w:w w:val="95"/>
          <w:sz w:val="44"/>
          <w:szCs w:val="44"/>
        </w:rPr>
        <w:tab/>
      </w:r>
      <w:r>
        <w:rPr>
          <w:rFonts w:ascii="黑体" w:hAnsi="黑体" w:eastAsia="黑体" w:cs="黑体"/>
          <w:sz w:val="44"/>
          <w:szCs w:val="44"/>
        </w:rPr>
        <w:t>技术标准和要求</w:t>
      </w:r>
    </w:p>
    <w:p>
      <w:pPr>
        <w:tabs>
          <w:tab w:val="left" w:pos="1528"/>
        </w:tabs>
        <w:spacing w:line="480" w:lineRule="exact"/>
        <w:ind w:right="283" w:firstLine="3072" w:firstLineChars="850"/>
        <w:jc w:val="both"/>
        <w:rPr>
          <w:rFonts w:ascii="宋体" w:hAnsi="宋体" w:eastAsia="宋体" w:cs="Times New Roman"/>
          <w:b/>
          <w:kern w:val="2"/>
          <w:sz w:val="36"/>
          <w:szCs w:val="24"/>
          <w:lang w:eastAsia="zh-CN"/>
        </w:rPr>
      </w:pPr>
    </w:p>
    <w:p>
      <w:pPr>
        <w:numPr>
          <w:ilvl w:val="0"/>
          <w:numId w:val="2"/>
        </w:numPr>
        <w:spacing w:line="360" w:lineRule="auto"/>
        <w:jc w:val="both"/>
        <w:rPr>
          <w:rFonts w:ascii="宋体" w:hAnsi="宋体" w:eastAsia="宋体" w:cs="Times New Roman"/>
          <w:b/>
          <w:bCs/>
          <w:kern w:val="2"/>
          <w:sz w:val="28"/>
          <w:szCs w:val="28"/>
          <w:lang w:eastAsia="zh-CN"/>
        </w:rPr>
      </w:pPr>
      <w:r>
        <w:rPr>
          <w:rFonts w:hint="eastAsia" w:ascii="宋体" w:hAnsi="宋体" w:eastAsia="宋体" w:cs="Times New Roman"/>
          <w:b/>
          <w:bCs/>
          <w:kern w:val="2"/>
          <w:sz w:val="28"/>
          <w:szCs w:val="28"/>
          <w:lang w:eastAsia="zh-CN"/>
        </w:rPr>
        <w:t>项目报价明细要求、技术参数、采购清单等</w:t>
      </w:r>
    </w:p>
    <w:p>
      <w:pPr>
        <w:numPr>
          <w:ilvl w:val="2"/>
          <w:numId w:val="2"/>
        </w:numPr>
        <w:spacing w:line="360" w:lineRule="auto"/>
        <w:jc w:val="both"/>
        <w:rPr>
          <w:rFonts w:ascii="仿宋_GB2312" w:hAnsi="宋体" w:eastAsia="仿宋_GB2312" w:cs="Times New Roman"/>
          <w:kern w:val="2"/>
          <w:sz w:val="28"/>
          <w:szCs w:val="28"/>
          <w:lang w:eastAsia="zh-CN"/>
        </w:rPr>
      </w:pPr>
      <w:r>
        <w:rPr>
          <w:rFonts w:hint="eastAsia" w:ascii="仿宋_GB2312" w:hAnsi="宋体" w:eastAsia="仿宋_GB2312" w:cs="Times New Roman"/>
          <w:b/>
          <w:bCs/>
          <w:kern w:val="44"/>
          <w:sz w:val="28"/>
          <w:szCs w:val="28"/>
          <w:lang w:eastAsia="zh-CN"/>
        </w:rPr>
        <w:t>工程概况：</w:t>
      </w:r>
      <w:r>
        <w:rPr>
          <w:rFonts w:hint="eastAsia" w:ascii="仿宋_GB2312" w:hAnsi="宋体" w:eastAsia="仿宋_GB2312" w:cs="Times New Roman"/>
          <w:kern w:val="2"/>
          <w:sz w:val="28"/>
          <w:szCs w:val="28"/>
          <w:lang w:eastAsia="zh-CN"/>
        </w:rPr>
        <w:t xml:space="preserve"> </w:t>
      </w:r>
    </w:p>
    <w:p>
      <w:pPr>
        <w:spacing w:line="360" w:lineRule="auto"/>
        <w:ind w:firstLine="560" w:firstLineChars="200"/>
        <w:jc w:val="both"/>
        <w:rPr>
          <w:rFonts w:ascii="仿宋_GB2312" w:hAnsi="宋体" w:eastAsia="仿宋_GB2312" w:cs="宋体"/>
          <w:kern w:val="2"/>
          <w:sz w:val="28"/>
          <w:szCs w:val="28"/>
          <w:lang w:eastAsia="zh-CN"/>
        </w:rPr>
      </w:pPr>
      <w:r>
        <w:rPr>
          <w:rFonts w:hint="eastAsia" w:ascii="仿宋_GB2312" w:hAnsi="宋体" w:eastAsia="仿宋_GB2312" w:cs="宋体"/>
          <w:kern w:val="2"/>
          <w:sz w:val="28"/>
          <w:szCs w:val="28"/>
          <w:lang w:eastAsia="zh-CN"/>
        </w:rPr>
        <w:t>山东大学第二医院内主体楼宇安装发光宣传字，项目包含对院方提供的效果方案按济南市专项规划要求进行深化规范设计；达到审批要求并负责报送，办理审批手续；根据审批后的要求，制作并安装调试发光宣传字。</w:t>
      </w:r>
    </w:p>
    <w:p>
      <w:pPr>
        <w:spacing w:line="360" w:lineRule="auto"/>
        <w:ind w:firstLine="551" w:firstLineChars="196"/>
        <w:jc w:val="both"/>
        <w:rPr>
          <w:rFonts w:ascii="仿宋_GB2312" w:hAnsi="宋体" w:eastAsia="仿宋_GB2312" w:cs="Times New Roman"/>
          <w:b/>
          <w:bCs/>
          <w:kern w:val="2"/>
          <w:sz w:val="28"/>
          <w:szCs w:val="28"/>
          <w:lang w:eastAsia="zh-CN"/>
        </w:rPr>
      </w:pPr>
      <w:r>
        <w:rPr>
          <w:rFonts w:hint="eastAsia" w:ascii="仿宋_GB2312" w:hAnsi="宋体" w:eastAsia="仿宋_GB2312" w:cs="Times New Roman"/>
          <w:b/>
          <w:bCs/>
          <w:kern w:val="2"/>
          <w:sz w:val="28"/>
          <w:szCs w:val="28"/>
          <w:lang w:eastAsia="zh-CN"/>
        </w:rPr>
        <w:t>2、项目要求：</w:t>
      </w:r>
    </w:p>
    <w:p>
      <w:pPr>
        <w:spacing w:line="360" w:lineRule="auto"/>
        <w:ind w:firstLine="560" w:firstLineChars="200"/>
        <w:jc w:val="both"/>
        <w:rPr>
          <w:rFonts w:ascii="仿宋_GB2312" w:hAnsi="宋体" w:eastAsia="仿宋_GB2312" w:cs="Times New Roman"/>
          <w:bCs/>
          <w:kern w:val="2"/>
          <w:sz w:val="28"/>
          <w:szCs w:val="28"/>
          <w:lang w:eastAsia="zh-CN"/>
        </w:rPr>
      </w:pPr>
      <w:r>
        <w:rPr>
          <w:rFonts w:hint="eastAsia" w:ascii="仿宋_GB2312" w:hAnsi="宋体" w:eastAsia="仿宋_GB2312" w:cs="Times New Roman"/>
          <w:bCs/>
          <w:kern w:val="2"/>
          <w:sz w:val="28"/>
          <w:szCs w:val="28"/>
          <w:lang w:eastAsia="zh-CN"/>
        </w:rPr>
        <w:t>2.1、投标方根据招标方效果图深化设计（具有资质的专业设计单位），设计方案再不违反相关管理部门要求的前提下，贴近招标方效果图。并向管理部门申报项目审批。施工必须选用合适的产品设备，采用先进的施工技术，合理安排工程进度，落实后期服务。满足本项目的设计效果、保证灯光亮化设备的质量和稳定运行，同时达到一定的经济性和安全环保性。</w:t>
      </w:r>
    </w:p>
    <w:p>
      <w:pPr>
        <w:spacing w:line="360" w:lineRule="auto"/>
        <w:ind w:firstLine="560" w:firstLineChars="200"/>
        <w:jc w:val="both"/>
        <w:rPr>
          <w:rFonts w:ascii="仿宋_GB2312" w:hAnsi="宋体" w:eastAsia="仿宋_GB2312" w:cs="Times New Roman"/>
          <w:kern w:val="2"/>
          <w:sz w:val="28"/>
          <w:szCs w:val="28"/>
          <w:lang w:eastAsia="zh-CN"/>
        </w:rPr>
      </w:pPr>
      <w:r>
        <w:rPr>
          <w:rFonts w:hint="eastAsia" w:ascii="仿宋_GB2312" w:hAnsi="宋体" w:eastAsia="仿宋_GB2312" w:cs="宋体"/>
          <w:kern w:val="2"/>
          <w:sz w:val="28"/>
          <w:szCs w:val="28"/>
          <w:lang w:eastAsia="zh-CN"/>
        </w:rPr>
        <w:t>2.2、招标报价：投标报总价、明细报价、核算平方报价（</w:t>
      </w:r>
      <w:r>
        <w:rPr>
          <w:rFonts w:hint="eastAsia" w:ascii="仿宋_GB2312" w:hAnsi="宋体" w:eastAsia="仿宋_GB2312" w:cs="Times New Roman"/>
          <w:kern w:val="2"/>
          <w:sz w:val="28"/>
          <w:szCs w:val="28"/>
          <w:lang w:eastAsia="zh-CN"/>
        </w:rPr>
        <w:t>报价含完成本项目所需的深化设计、报审费用、主件、标准附件、备品备件、专用工具、安装、调试、检验、培训、技术服务、运输、保险及人工费、调研费、项目过程中的交通食宿费、设备费、管理费、利润、税金、中标服务费等全部费用</w:t>
      </w:r>
      <w:r>
        <w:rPr>
          <w:rFonts w:hint="eastAsia" w:ascii="仿宋_GB2312" w:hAnsi="宋体" w:eastAsia="仿宋_GB2312" w:cs="宋体"/>
          <w:kern w:val="2"/>
          <w:sz w:val="28"/>
          <w:szCs w:val="28"/>
          <w:lang w:eastAsia="zh-CN"/>
        </w:rPr>
        <w:t>）。</w:t>
      </w:r>
    </w:p>
    <w:p>
      <w:pPr>
        <w:widowControl/>
        <w:spacing w:line="360" w:lineRule="auto"/>
        <w:rPr>
          <w:rFonts w:ascii="仿宋_GB2312" w:hAnsi="宋体" w:eastAsia="仿宋_GB2312" w:cs="宋体"/>
          <w:kern w:val="2"/>
          <w:sz w:val="28"/>
          <w:szCs w:val="28"/>
          <w:lang w:eastAsia="zh-CN"/>
        </w:rPr>
      </w:pPr>
      <w:r>
        <w:rPr>
          <w:rFonts w:hint="eastAsia" w:ascii="仿宋_GB2312" w:hAnsi="宋体" w:eastAsia="仿宋_GB2312" w:cs="宋体"/>
          <w:kern w:val="2"/>
          <w:sz w:val="28"/>
          <w:szCs w:val="28"/>
          <w:lang w:eastAsia="zh-CN"/>
        </w:rPr>
        <w:t xml:space="preserve">    2.3、质量要求：合格  </w:t>
      </w:r>
    </w:p>
    <w:p>
      <w:pPr>
        <w:spacing w:line="360" w:lineRule="auto"/>
        <w:ind w:firstLine="570"/>
        <w:jc w:val="both"/>
        <w:rPr>
          <w:rFonts w:ascii="仿宋_GB2312" w:hAnsi="宋体" w:eastAsia="仿宋_GB2312" w:cs="宋体"/>
          <w:kern w:val="2"/>
          <w:sz w:val="28"/>
          <w:szCs w:val="28"/>
          <w:lang w:eastAsia="zh-CN"/>
        </w:rPr>
      </w:pPr>
      <w:r>
        <w:rPr>
          <w:rFonts w:hint="eastAsia" w:ascii="仿宋_GB2312" w:hAnsi="宋体" w:eastAsia="仿宋_GB2312" w:cs="宋体"/>
          <w:kern w:val="2"/>
          <w:sz w:val="28"/>
          <w:szCs w:val="28"/>
          <w:lang w:eastAsia="zh-CN"/>
        </w:rPr>
        <w:t>2.4、工期要求：签订合同后，接招标方通知施工。工期</w:t>
      </w:r>
      <w:r>
        <w:rPr>
          <w:rFonts w:hint="eastAsia" w:ascii="仿宋_GB2312" w:hAnsi="宋体" w:eastAsia="仿宋_GB2312" w:cs="宋体"/>
          <w:kern w:val="2"/>
          <w:sz w:val="28"/>
          <w:szCs w:val="28"/>
          <w:u w:val="single"/>
          <w:lang w:eastAsia="zh-CN"/>
        </w:rPr>
        <w:t xml:space="preserve"> 30</w:t>
      </w:r>
      <w:r>
        <w:rPr>
          <w:rFonts w:hint="eastAsia" w:ascii="仿宋_GB2312" w:hAnsi="宋体" w:eastAsia="仿宋_GB2312" w:cs="宋体"/>
          <w:kern w:val="2"/>
          <w:sz w:val="28"/>
          <w:szCs w:val="28"/>
          <w:lang w:eastAsia="zh-CN"/>
        </w:rPr>
        <w:t>日历天。（投标单位可竞报）</w:t>
      </w:r>
    </w:p>
    <w:p>
      <w:pPr>
        <w:spacing w:line="360" w:lineRule="auto"/>
        <w:ind w:firstLine="560" w:firstLineChars="200"/>
        <w:jc w:val="both"/>
        <w:rPr>
          <w:rFonts w:ascii="仿宋_GB2312" w:hAnsi="宋体" w:eastAsia="仿宋_GB2312" w:cs="宋体"/>
          <w:kern w:val="2"/>
          <w:sz w:val="28"/>
          <w:szCs w:val="28"/>
          <w:lang w:eastAsia="zh-CN"/>
        </w:rPr>
      </w:pPr>
      <w:r>
        <w:rPr>
          <w:rFonts w:hint="eastAsia" w:ascii="仿宋_GB2312" w:hAnsi="宋体" w:eastAsia="仿宋_GB2312" w:cs="宋体"/>
          <w:kern w:val="2"/>
          <w:sz w:val="28"/>
          <w:szCs w:val="28"/>
          <w:lang w:eastAsia="zh-CN"/>
        </w:rPr>
        <w:t>2.5、免费质保期: 项目验收合格之日起≥2年、防水等工程依据国家质保规定（投标单位可竞报）</w:t>
      </w:r>
    </w:p>
    <w:p>
      <w:pPr>
        <w:spacing w:line="360" w:lineRule="auto"/>
        <w:ind w:firstLine="560" w:firstLineChars="200"/>
        <w:jc w:val="both"/>
        <w:rPr>
          <w:rFonts w:ascii="仿宋_GB2312" w:hAnsi="宋体" w:eastAsia="仿宋_GB2312" w:cs="宋体"/>
          <w:kern w:val="2"/>
          <w:sz w:val="28"/>
          <w:szCs w:val="28"/>
          <w:lang w:eastAsia="zh-CN"/>
        </w:rPr>
      </w:pPr>
      <w:r>
        <w:rPr>
          <w:rFonts w:hint="eastAsia" w:ascii="仿宋_GB2312" w:hAnsi="宋体" w:eastAsia="仿宋_GB2312" w:cs="宋体"/>
          <w:kern w:val="2"/>
          <w:sz w:val="28"/>
          <w:szCs w:val="28"/>
          <w:lang w:eastAsia="zh-CN"/>
        </w:rPr>
        <w:t>2.6、保修响应：保质期内出现故障必须在接报后1小时响应，4小时内到达现场，6小时内予以解决，保证产品正常使用。</w:t>
      </w:r>
    </w:p>
    <w:p>
      <w:pPr>
        <w:spacing w:line="360" w:lineRule="auto"/>
        <w:ind w:firstLine="560" w:firstLineChars="200"/>
        <w:jc w:val="both"/>
        <w:rPr>
          <w:rFonts w:ascii="仿宋_GB2312" w:hAnsi="宋体" w:eastAsia="仿宋_GB2312" w:cs="宋体"/>
          <w:kern w:val="2"/>
          <w:sz w:val="28"/>
          <w:szCs w:val="28"/>
          <w:lang w:eastAsia="zh-CN"/>
        </w:rPr>
      </w:pPr>
      <w:r>
        <w:rPr>
          <w:rFonts w:hint="eastAsia" w:ascii="仿宋_GB2312" w:hAnsi="宋体" w:eastAsia="仿宋_GB2312" w:cs="宋体"/>
          <w:kern w:val="2"/>
          <w:sz w:val="28"/>
          <w:szCs w:val="28"/>
          <w:lang w:eastAsia="zh-CN"/>
        </w:rPr>
        <w:t>2.7、培训：中标方须提供日常运行、维护、保养等基础知识培训，并对用户进行专业培训。</w:t>
      </w:r>
    </w:p>
    <w:p>
      <w:pPr>
        <w:spacing w:line="360" w:lineRule="auto"/>
        <w:ind w:firstLine="560" w:firstLineChars="200"/>
        <w:jc w:val="both"/>
        <w:rPr>
          <w:rFonts w:ascii="仿宋_GB2312" w:hAnsi="宋体" w:eastAsia="仿宋_GB2312" w:cs="宋体"/>
          <w:kern w:val="2"/>
          <w:sz w:val="28"/>
          <w:szCs w:val="28"/>
          <w:lang w:eastAsia="zh-CN"/>
        </w:rPr>
      </w:pPr>
      <w:r>
        <w:rPr>
          <w:rFonts w:hint="eastAsia" w:ascii="仿宋_GB2312" w:hAnsi="宋体" w:eastAsia="仿宋_GB2312" w:cs="宋体"/>
          <w:kern w:val="2"/>
          <w:sz w:val="28"/>
          <w:szCs w:val="28"/>
          <w:lang w:eastAsia="zh-CN"/>
        </w:rPr>
        <w:t>2.8、图纸归档：工程实施结束后，投标方应提供该项目相关的图纸资料、设计文件、使用说明书、检测报告等资料一式四份（纸质、电子）。</w:t>
      </w:r>
    </w:p>
    <w:p>
      <w:pPr>
        <w:spacing w:line="360" w:lineRule="auto"/>
        <w:ind w:firstLine="560" w:firstLineChars="200"/>
        <w:jc w:val="both"/>
        <w:rPr>
          <w:rFonts w:ascii="仿宋_GB2312" w:hAnsi="宋体" w:eastAsia="仿宋_GB2312" w:cs="宋体"/>
          <w:kern w:val="2"/>
          <w:sz w:val="28"/>
          <w:szCs w:val="28"/>
          <w:lang w:eastAsia="zh-CN"/>
        </w:rPr>
      </w:pPr>
      <w:r>
        <w:rPr>
          <w:rFonts w:hint="eastAsia" w:ascii="仿宋_GB2312" w:hAnsi="宋体" w:eastAsia="仿宋_GB2312" w:cs="宋体"/>
          <w:kern w:val="2"/>
          <w:sz w:val="28"/>
          <w:szCs w:val="28"/>
          <w:lang w:eastAsia="zh-CN"/>
        </w:rPr>
        <w:t>2.9、现场勘查：</w:t>
      </w:r>
      <w:r>
        <w:rPr>
          <w:rFonts w:hint="eastAsia" w:ascii="仿宋_GB2312" w:hAnsi="宋体" w:eastAsia="仿宋_GB2312" w:cs="宋体"/>
          <w:snapToGrid w:val="0"/>
          <w:kern w:val="2"/>
          <w:sz w:val="28"/>
          <w:szCs w:val="28"/>
          <w:lang w:eastAsia="zh-CN"/>
        </w:rPr>
        <w:t>供应商领取竞争性磋商文件后须自行踏勘现场，根据现场实际情况编制投标资料，对于供应商在编制深化设计成果因项目资料不完整、不准确造成的损失由供应商自行承担。</w:t>
      </w:r>
      <w:r>
        <w:rPr>
          <w:rFonts w:hint="eastAsia" w:ascii="仿宋_GB2312" w:hAnsi="宋体" w:eastAsia="仿宋_GB2312" w:cs="宋体"/>
          <w:kern w:val="2"/>
          <w:sz w:val="28"/>
          <w:szCs w:val="28"/>
          <w:lang w:eastAsia="zh-CN"/>
        </w:rPr>
        <w:t>如供应商因未及时踏勘现场而导致的报价缺项漏项废标、或中标后无法完工，供应商自行承担一切后果。</w:t>
      </w:r>
      <w:bookmarkStart w:id="125" w:name="_GoBack"/>
      <w:bookmarkEnd w:id="125"/>
    </w:p>
    <w:p>
      <w:pPr>
        <w:ind w:firstLine="560" w:firstLineChars="200"/>
        <w:jc w:val="both"/>
        <w:rPr>
          <w:rFonts w:ascii="仿宋_GB2312" w:hAnsi="Times New Roman" w:eastAsia="仿宋_GB2312" w:cs="Times New Roman"/>
          <w:kern w:val="2"/>
          <w:sz w:val="28"/>
          <w:szCs w:val="28"/>
          <w:lang w:eastAsia="zh-CN"/>
        </w:rPr>
      </w:pPr>
      <w:r>
        <w:rPr>
          <w:rFonts w:hint="eastAsia" w:ascii="仿宋_GB2312" w:hAnsi="宋体" w:eastAsia="仿宋_GB2312" w:cs="宋体"/>
          <w:kern w:val="2"/>
          <w:sz w:val="28"/>
          <w:szCs w:val="28"/>
          <w:lang w:eastAsia="zh-CN"/>
        </w:rPr>
        <w:t>2.10、</w:t>
      </w:r>
      <w:r>
        <w:rPr>
          <w:rFonts w:hint="eastAsia" w:ascii="仿宋_GB2312" w:hAnsi="Times New Roman" w:eastAsia="仿宋_GB2312" w:cs="Times New Roman"/>
          <w:kern w:val="2"/>
          <w:sz w:val="28"/>
          <w:szCs w:val="28"/>
          <w:lang w:eastAsia="zh-CN"/>
        </w:rPr>
        <w:t>付款方式：工程验收合格签字，通过院方工程审计后三个月内一次性支付审计结算工程款的90%，余款作为质量保证金（5%档案保证金，5%质量保证金），质保期满无质量问题无息付清余款。</w:t>
      </w:r>
    </w:p>
    <w:p>
      <w:pPr>
        <w:ind w:firstLine="560" w:firstLineChars="200"/>
        <w:jc w:val="both"/>
        <w:rPr>
          <w:rFonts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2.11、电器及设备须注明品牌及产地、型号。</w:t>
      </w:r>
    </w:p>
    <w:p>
      <w:pPr>
        <w:spacing w:line="360" w:lineRule="auto"/>
        <w:ind w:firstLine="560" w:firstLineChars="200"/>
        <w:jc w:val="both"/>
        <w:rPr>
          <w:rFonts w:ascii="仿宋_GB2312" w:hAnsi="宋体" w:eastAsia="仿宋_GB2312" w:cs="Times New Roman"/>
          <w:bCs/>
          <w:spacing w:val="-4"/>
          <w:kern w:val="2"/>
          <w:sz w:val="28"/>
          <w:szCs w:val="28"/>
          <w:lang w:eastAsia="zh-CN"/>
        </w:rPr>
      </w:pPr>
      <w:r>
        <w:rPr>
          <w:rFonts w:hint="eastAsia" w:ascii="仿宋_GB2312" w:hAnsi="宋体" w:eastAsia="仿宋_GB2312" w:cs="Times New Roman"/>
          <w:bCs/>
          <w:kern w:val="2"/>
          <w:sz w:val="28"/>
          <w:szCs w:val="28"/>
          <w:lang w:eastAsia="zh-CN"/>
        </w:rPr>
        <w:t>2.12、投标方提供过去三年工作中完成的类似项目情况和现在正在履行的合同情况。</w:t>
      </w:r>
    </w:p>
    <w:p>
      <w:pPr>
        <w:ind w:firstLine="560" w:firstLineChars="200"/>
        <w:jc w:val="both"/>
        <w:rPr>
          <w:rFonts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2.13、</w:t>
      </w:r>
      <w:r>
        <w:rPr>
          <w:rFonts w:hint="eastAsia" w:ascii="仿宋_GB2312" w:hAnsi="宋体" w:eastAsia="仿宋_GB2312" w:cs="Times New Roman"/>
          <w:kern w:val="2"/>
          <w:sz w:val="28"/>
          <w:szCs w:val="28"/>
          <w:lang w:eastAsia="zh-CN"/>
        </w:rPr>
        <w:t>施工中，中标方私自变更工程设计引起的造价变动一律不得计入结算，造成所有损失均由中标方自行负责。</w:t>
      </w:r>
    </w:p>
    <w:p>
      <w:pPr>
        <w:ind w:firstLine="560" w:firstLineChars="200"/>
        <w:jc w:val="both"/>
        <w:rPr>
          <w:rFonts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2.14、在隐蔽工程前，必须在项目工程师主持下，由各相关单位进行隐蔽会签，做好隐蔽工程的质量检查和记录，以确认相应的预留、预埋工作已完成。若在会签完成后再提出修补、预留、预埋等工作，则由提出方负责全部的返工费用，直到满足隐蔽工程质量要求为止。</w:t>
      </w:r>
    </w:p>
    <w:p>
      <w:pPr>
        <w:ind w:firstLine="560" w:firstLineChars="200"/>
        <w:jc w:val="both"/>
        <w:rPr>
          <w:rFonts w:ascii="仿宋" w:hAnsi="仿宋" w:eastAsia="仿宋" w:cs="Times New Roman"/>
          <w:kern w:val="2"/>
          <w:sz w:val="32"/>
          <w:szCs w:val="32"/>
          <w:lang w:eastAsia="zh-CN"/>
        </w:rPr>
      </w:pPr>
      <w:r>
        <w:rPr>
          <w:rFonts w:hint="eastAsia" w:ascii="仿宋_GB2312" w:hAnsi="Times New Roman" w:eastAsia="仿宋_GB2312" w:cs="Times New Roman"/>
          <w:kern w:val="2"/>
          <w:sz w:val="28"/>
          <w:szCs w:val="28"/>
          <w:lang w:eastAsia="zh-CN"/>
        </w:rPr>
        <w:t>2.15、</w:t>
      </w:r>
      <w:r>
        <w:rPr>
          <w:rFonts w:hint="eastAsia" w:ascii="仿宋_GB2312" w:hAnsi="仿宋" w:eastAsia="仿宋_GB2312" w:cs="Times New Roman"/>
          <w:kern w:val="2"/>
          <w:sz w:val="28"/>
          <w:szCs w:val="28"/>
          <w:lang w:eastAsia="zh-CN"/>
        </w:rPr>
        <w:t>符合国家相关审批手续及验收标准，由投标方负责一次验收合格，因质量及技术问题造成的任何损失及伤人事故招标方不负任何责任。</w:t>
      </w:r>
    </w:p>
    <w:p>
      <w:pPr>
        <w:spacing w:line="360" w:lineRule="auto"/>
        <w:ind w:firstLine="551" w:firstLineChars="196"/>
        <w:jc w:val="both"/>
        <w:rPr>
          <w:rFonts w:ascii="仿宋_GB2312" w:hAnsi="宋体" w:eastAsia="仿宋_GB2312" w:cs="Times New Roman"/>
          <w:b/>
          <w:bCs/>
          <w:kern w:val="44"/>
          <w:sz w:val="28"/>
          <w:szCs w:val="28"/>
          <w:lang w:eastAsia="zh-CN"/>
        </w:rPr>
      </w:pPr>
      <w:r>
        <w:rPr>
          <w:rFonts w:hint="eastAsia" w:ascii="仿宋_GB2312" w:hAnsi="宋体" w:eastAsia="仿宋_GB2312" w:cs="Times New Roman"/>
          <w:b/>
          <w:bCs/>
          <w:kern w:val="2"/>
          <w:sz w:val="28"/>
          <w:szCs w:val="28"/>
          <w:lang w:eastAsia="zh-CN"/>
        </w:rPr>
        <w:t>3</w:t>
      </w:r>
      <w:r>
        <w:rPr>
          <w:rFonts w:hint="eastAsia" w:ascii="仿宋_GB2312" w:hAnsi="宋体" w:eastAsia="仿宋_GB2312" w:cs="Times New Roman"/>
          <w:b/>
          <w:bCs/>
          <w:kern w:val="44"/>
          <w:sz w:val="28"/>
          <w:szCs w:val="28"/>
          <w:lang w:eastAsia="zh-CN"/>
        </w:rPr>
        <w:t>、技术要求：</w:t>
      </w:r>
    </w:p>
    <w:p>
      <w:pPr>
        <w:spacing w:line="360" w:lineRule="auto"/>
        <w:ind w:firstLine="548" w:firstLineChars="196"/>
        <w:jc w:val="both"/>
        <w:rPr>
          <w:rFonts w:ascii="仿宋_GB2312" w:hAnsi="宋体" w:eastAsia="仿宋_GB2312" w:cs="Times New Roman"/>
          <w:bCs/>
          <w:kern w:val="44"/>
          <w:sz w:val="28"/>
          <w:szCs w:val="28"/>
          <w:lang w:eastAsia="zh-CN"/>
        </w:rPr>
      </w:pPr>
      <w:r>
        <w:rPr>
          <w:rFonts w:hint="eastAsia" w:ascii="仿宋_GB2312" w:hAnsi="宋体" w:eastAsia="仿宋_GB2312" w:cs="Times New Roman"/>
          <w:bCs/>
          <w:kern w:val="44"/>
          <w:sz w:val="28"/>
          <w:szCs w:val="28"/>
          <w:lang w:eastAsia="zh-CN"/>
        </w:rPr>
        <w:t>3.1、发光</w:t>
      </w:r>
      <w:r>
        <w:rPr>
          <w:rFonts w:hint="eastAsia" w:ascii="仿宋_GB2312" w:hAnsi="宋体" w:eastAsia="仿宋_GB2312" w:cs="Times New Roman"/>
          <w:kern w:val="2"/>
          <w:sz w:val="28"/>
          <w:szCs w:val="28"/>
          <w:lang w:eastAsia="zh-CN"/>
        </w:rPr>
        <w:t>宣传字颜色：红色（拟定）</w:t>
      </w:r>
    </w:p>
    <w:p>
      <w:pPr>
        <w:spacing w:line="360" w:lineRule="auto"/>
        <w:ind w:firstLine="548" w:firstLineChars="196"/>
        <w:jc w:val="both"/>
        <w:rPr>
          <w:rFonts w:ascii="仿宋_GB2312" w:hAnsi="宋体" w:eastAsia="仿宋_GB2312" w:cs="Times New Roman"/>
          <w:bCs/>
          <w:kern w:val="44"/>
          <w:sz w:val="28"/>
          <w:szCs w:val="28"/>
          <w:lang w:eastAsia="zh-CN"/>
        </w:rPr>
      </w:pPr>
      <w:r>
        <w:rPr>
          <w:rFonts w:hint="eastAsia" w:ascii="仿宋_GB2312" w:hAnsi="宋体" w:eastAsia="仿宋_GB2312" w:cs="Times New Roman"/>
          <w:bCs/>
          <w:kern w:val="44"/>
          <w:sz w:val="28"/>
          <w:szCs w:val="28"/>
          <w:lang w:eastAsia="zh-CN"/>
        </w:rPr>
        <w:t>3.2、发光</w:t>
      </w:r>
      <w:r>
        <w:rPr>
          <w:rFonts w:hint="eastAsia" w:ascii="仿宋_GB2312" w:hAnsi="宋体" w:eastAsia="仿宋_GB2312" w:cs="Times New Roman"/>
          <w:kern w:val="2"/>
          <w:sz w:val="28"/>
          <w:szCs w:val="28"/>
          <w:lang w:eastAsia="zh-CN"/>
        </w:rPr>
        <w:t>宣传字字体：医院名称书写体</w:t>
      </w:r>
    </w:p>
    <w:p>
      <w:pPr>
        <w:spacing w:line="360" w:lineRule="auto"/>
        <w:ind w:firstLine="560" w:firstLineChars="200"/>
        <w:jc w:val="both"/>
        <w:rPr>
          <w:rFonts w:ascii="仿宋_GB2312" w:hAnsi="宋体" w:eastAsia="仿宋_GB2312" w:cs="Times New Roman"/>
          <w:kern w:val="2"/>
          <w:sz w:val="28"/>
          <w:szCs w:val="28"/>
          <w:lang w:eastAsia="zh-CN"/>
        </w:rPr>
      </w:pPr>
      <w:r>
        <w:rPr>
          <w:rFonts w:hint="eastAsia" w:ascii="仿宋_GB2312" w:hAnsi="宋体" w:eastAsia="仿宋_GB2312" w:cs="Times New Roman"/>
          <w:bCs/>
          <w:kern w:val="44"/>
          <w:sz w:val="28"/>
          <w:szCs w:val="28"/>
          <w:lang w:eastAsia="zh-CN"/>
        </w:rPr>
        <w:t>3.3、宣传字材质采用优质亚克力吸塑面板。</w:t>
      </w:r>
      <w:r>
        <w:rPr>
          <w:rFonts w:hint="eastAsia" w:ascii="仿宋_GB2312" w:hAnsi="宋体" w:eastAsia="仿宋_GB2312" w:cs="Times New Roman"/>
          <w:kern w:val="2"/>
          <w:sz w:val="28"/>
          <w:szCs w:val="28"/>
          <w:lang w:eastAsia="zh-CN"/>
        </w:rPr>
        <w:t>面板厚度：≥4mm，</w:t>
      </w:r>
      <w:r>
        <w:rPr>
          <w:rFonts w:hint="eastAsia" w:ascii="仿宋_GB2312" w:hAnsi="宋体" w:eastAsia="仿宋_GB2312" w:cs="Times New Roman"/>
          <w:bCs/>
          <w:kern w:val="44"/>
          <w:sz w:val="28"/>
          <w:szCs w:val="28"/>
          <w:lang w:eastAsia="zh-CN"/>
        </w:rPr>
        <w:t>质量不低于“申春”“三菱”</w:t>
      </w:r>
      <w:r>
        <w:rPr>
          <w:rFonts w:hint="eastAsia" w:ascii="仿宋_GB2312" w:hAnsi="宋体" w:eastAsia="仿宋_GB2312" w:cs="Times New Roman"/>
          <w:kern w:val="2"/>
          <w:sz w:val="28"/>
          <w:szCs w:val="28"/>
          <w:lang w:eastAsia="zh-CN"/>
        </w:rPr>
        <w:t>或同等档次。抗老化性强、防水性能好，防腐蚀性能强，抗酸性≥20%；抗紫外线能力强，确保五年内不退色，不变形；整体防水需达到IP65标准。</w:t>
      </w:r>
      <w:r>
        <w:rPr>
          <w:rFonts w:hint="eastAsia" w:ascii="仿宋_GB2312" w:hAnsi="宋体" w:eastAsia="仿宋_GB2312" w:cs="Times New Roman"/>
          <w:bCs/>
          <w:kern w:val="44"/>
          <w:sz w:val="28"/>
          <w:szCs w:val="28"/>
          <w:lang w:eastAsia="zh-CN"/>
        </w:rPr>
        <w:t>投标时提供所投产品样板。</w:t>
      </w:r>
      <w:r>
        <w:rPr>
          <w:rFonts w:hint="eastAsia" w:ascii="仿宋_GB2312" w:hAnsi="宋体" w:eastAsia="仿宋_GB2312" w:cs="Times New Roman"/>
          <w:kern w:val="2"/>
          <w:sz w:val="28"/>
          <w:szCs w:val="28"/>
          <w:lang w:eastAsia="zh-CN"/>
        </w:rPr>
        <w:t>投标采购的所有材料、配件必须是全新的，没有缺陷的。其各项性能必须符合施工图设计要求（审批认可）。</w:t>
      </w:r>
    </w:p>
    <w:p>
      <w:pPr>
        <w:spacing w:line="360" w:lineRule="auto"/>
        <w:ind w:firstLine="548" w:firstLineChars="196"/>
        <w:jc w:val="both"/>
        <w:rPr>
          <w:rFonts w:ascii="仿宋_GB2312" w:hAnsi="宋体" w:eastAsia="仿宋_GB2312" w:cs="Times New Roman"/>
          <w:kern w:val="2"/>
          <w:sz w:val="28"/>
          <w:szCs w:val="28"/>
          <w:lang w:eastAsia="zh-CN"/>
        </w:rPr>
      </w:pPr>
      <w:r>
        <w:rPr>
          <w:rFonts w:hint="eastAsia" w:ascii="仿宋_GB2312" w:hAnsi="宋体" w:eastAsia="仿宋_GB2312" w:cs="Times New Roman"/>
          <w:bCs/>
          <w:kern w:val="44"/>
          <w:sz w:val="28"/>
          <w:szCs w:val="28"/>
          <w:lang w:eastAsia="zh-CN"/>
        </w:rPr>
        <w:t>3.4、</w:t>
      </w:r>
      <w:r>
        <w:rPr>
          <w:rFonts w:hint="eastAsia" w:ascii="仿宋_GB2312" w:hAnsi="宋体" w:eastAsia="仿宋_GB2312" w:cs="Times New Roman"/>
          <w:kern w:val="2"/>
          <w:sz w:val="28"/>
          <w:szCs w:val="28"/>
          <w:lang w:eastAsia="zh-CN"/>
        </w:rPr>
        <w:t>亚克力板特性要求：拉伸强度：92.0MPA；断裂伸长率：7%；冲击强度（无缺口）：24.6KJ/</w:t>
      </w:r>
      <w:r>
        <w:rPr>
          <w:rFonts w:hint="eastAsia" w:ascii="仿宋_GB2312" w:hAnsi="宋体" w:eastAsia="宋体" w:cs="Times New Roman"/>
          <w:kern w:val="2"/>
          <w:sz w:val="28"/>
          <w:szCs w:val="28"/>
          <w:lang w:eastAsia="zh-CN"/>
        </w:rPr>
        <w:t>㎡</w:t>
      </w:r>
      <w:r>
        <w:rPr>
          <w:rFonts w:hint="eastAsia" w:ascii="仿宋_GB2312" w:hAnsi="宋体" w:eastAsia="仿宋_GB2312" w:cs="Times New Roman"/>
          <w:kern w:val="2"/>
          <w:sz w:val="28"/>
          <w:szCs w:val="28"/>
          <w:lang w:eastAsia="zh-CN"/>
        </w:rPr>
        <w:t>；洛氏强度（M）：115.2；透光率：93.2%；维卡耐热(1kg,50℃/h) ：123℃；热变形温度1.82MPA： 112℃；热熔剂银纹性：无银纹性。</w:t>
      </w:r>
    </w:p>
    <w:p>
      <w:pPr>
        <w:spacing w:line="360" w:lineRule="auto"/>
        <w:ind w:firstLine="560" w:firstLineChars="200"/>
        <w:jc w:val="both"/>
        <w:rPr>
          <w:rFonts w:ascii="仿宋_GB2312" w:hAnsi="Times New Roman" w:eastAsia="仿宋_GB2312" w:cs="Times New Roman"/>
          <w:kern w:val="2"/>
          <w:sz w:val="28"/>
          <w:szCs w:val="28"/>
          <w:lang w:eastAsia="zh-CN"/>
        </w:rPr>
      </w:pPr>
      <w:r>
        <w:rPr>
          <w:rFonts w:hint="eastAsia" w:ascii="仿宋_GB2312" w:hAnsi="宋体" w:eastAsia="仿宋_GB2312" w:cs="Times New Roman"/>
          <w:bCs/>
          <w:kern w:val="44"/>
          <w:sz w:val="28"/>
          <w:szCs w:val="28"/>
          <w:lang w:eastAsia="zh-CN"/>
        </w:rPr>
        <w:t>3.5、</w:t>
      </w:r>
      <w:bookmarkStart w:id="51" w:name="_Toc449370741"/>
      <w:bookmarkStart w:id="52" w:name="_Toc449372469"/>
      <w:bookmarkStart w:id="53" w:name="_Toc449455386"/>
      <w:bookmarkStart w:id="54" w:name="_Toc449455478"/>
      <w:bookmarkStart w:id="55" w:name="_Toc449566929"/>
      <w:bookmarkStart w:id="56" w:name="_Toc449709277"/>
      <w:bookmarkStart w:id="57" w:name="_Toc450036195"/>
      <w:r>
        <w:rPr>
          <w:rFonts w:hint="eastAsia" w:ascii="仿宋_GB2312" w:hAnsi="宋体" w:eastAsia="仿宋_GB2312" w:cs="Times New Roman"/>
          <w:kern w:val="2"/>
          <w:sz w:val="28"/>
          <w:szCs w:val="28"/>
          <w:lang w:eastAsia="zh-CN"/>
        </w:rPr>
        <w:t>箱体整体工艺要求：</w:t>
      </w:r>
      <w:bookmarkEnd w:id="51"/>
      <w:bookmarkEnd w:id="52"/>
      <w:bookmarkEnd w:id="53"/>
      <w:bookmarkEnd w:id="54"/>
      <w:bookmarkEnd w:id="55"/>
      <w:bookmarkEnd w:id="56"/>
      <w:bookmarkEnd w:id="57"/>
      <w:bookmarkStart w:id="58" w:name="_Toc449370742"/>
      <w:bookmarkStart w:id="59" w:name="_Toc449372470"/>
      <w:bookmarkStart w:id="60" w:name="_Toc449455387"/>
      <w:bookmarkStart w:id="61" w:name="_Toc449455479"/>
      <w:bookmarkStart w:id="62" w:name="_Toc449566930"/>
      <w:bookmarkStart w:id="63" w:name="_Toc449709278"/>
      <w:bookmarkStart w:id="64" w:name="_Toc450036196"/>
      <w:r>
        <w:rPr>
          <w:rFonts w:hint="eastAsia" w:ascii="仿宋_GB2312" w:hAnsi="宋体" w:eastAsia="仿宋_GB2312" w:cs="Times New Roman"/>
          <w:kern w:val="2"/>
          <w:sz w:val="28"/>
          <w:szCs w:val="28"/>
          <w:lang w:eastAsia="zh-CN"/>
        </w:rPr>
        <w:t>（1）吸塑成型，起鼓50mm，字体鼓面朝外，确保亚克力与侧边型材结合严密；</w:t>
      </w:r>
      <w:bookmarkEnd w:id="58"/>
      <w:bookmarkEnd w:id="59"/>
      <w:bookmarkEnd w:id="60"/>
      <w:bookmarkEnd w:id="61"/>
      <w:bookmarkEnd w:id="62"/>
      <w:bookmarkEnd w:id="63"/>
      <w:bookmarkEnd w:id="64"/>
      <w:bookmarkStart w:id="65" w:name="_Toc449370743"/>
      <w:bookmarkStart w:id="66" w:name="_Toc449372471"/>
      <w:bookmarkStart w:id="67" w:name="_Toc449455388"/>
      <w:bookmarkStart w:id="68" w:name="_Toc449455480"/>
      <w:bookmarkStart w:id="69" w:name="_Toc449566931"/>
      <w:bookmarkStart w:id="70" w:name="_Toc449709279"/>
      <w:bookmarkStart w:id="71" w:name="_Toc450036197"/>
      <w:r>
        <w:rPr>
          <w:rFonts w:hint="eastAsia" w:ascii="仿宋_GB2312" w:hAnsi="宋体" w:eastAsia="仿宋_GB2312" w:cs="Times New Roman"/>
          <w:kern w:val="2"/>
          <w:sz w:val="28"/>
          <w:szCs w:val="28"/>
          <w:lang w:eastAsia="zh-CN"/>
        </w:rPr>
        <w:t>字高大于1.5米，字壳厚度200MM，小于1.5米，字壳厚度150MM，（2）背板和面板扣边采用激光切割成型。</w:t>
      </w:r>
      <w:bookmarkEnd w:id="65"/>
      <w:bookmarkEnd w:id="66"/>
      <w:bookmarkEnd w:id="67"/>
      <w:bookmarkEnd w:id="68"/>
      <w:bookmarkEnd w:id="69"/>
      <w:bookmarkEnd w:id="70"/>
      <w:bookmarkEnd w:id="71"/>
      <w:r>
        <w:rPr>
          <w:rFonts w:hint="eastAsia" w:ascii="仿宋_GB2312" w:hAnsi="宋体" w:eastAsia="仿宋_GB2312" w:cs="Times New Roman"/>
          <w:kern w:val="2"/>
          <w:sz w:val="28"/>
          <w:szCs w:val="28"/>
          <w:lang w:eastAsia="zh-CN"/>
        </w:rPr>
        <w:t>立边折弯位置刨槽后和背板采用铝焊机充分焊接，焊接完成后内部结构胶进行防水处理；背板采用2.5MM铝板</w:t>
      </w:r>
      <w:r>
        <w:rPr>
          <w:rFonts w:hint="eastAsia" w:ascii="仿宋_GB2312" w:hAnsi="宋体" w:eastAsia="仿宋_GB2312" w:cs="Times New Roman"/>
          <w:bCs/>
          <w:kern w:val="44"/>
          <w:sz w:val="28"/>
          <w:szCs w:val="28"/>
          <w:lang w:eastAsia="zh-CN"/>
        </w:rPr>
        <w:t>。（3）</w:t>
      </w:r>
      <w:r>
        <w:rPr>
          <w:rFonts w:hint="eastAsia" w:ascii="仿宋_GB2312" w:hAnsi="宋体" w:eastAsia="仿宋_GB2312" w:cs="Times New Roman"/>
          <w:kern w:val="2"/>
          <w:sz w:val="28"/>
          <w:szCs w:val="28"/>
          <w:lang w:eastAsia="zh-CN"/>
        </w:rPr>
        <w:t>质量保证：5年内无开焊，无变形，无脱漆，无褪色情况出现。（4）防腐工艺：箱体外侧做3遍底漆后，打磨处理瑕疵部分，表面采用静电喷涂；箱体内部背板喷白色反光漆。</w:t>
      </w:r>
    </w:p>
    <w:p>
      <w:pPr>
        <w:spacing w:line="360" w:lineRule="auto"/>
        <w:ind w:firstLine="546" w:firstLineChars="195"/>
        <w:jc w:val="both"/>
        <w:rPr>
          <w:rFonts w:ascii="仿宋_GB2312" w:hAnsi="宋体" w:eastAsia="仿宋_GB2312" w:cs="Times New Roman"/>
          <w:kern w:val="2"/>
          <w:sz w:val="28"/>
          <w:szCs w:val="28"/>
          <w:lang w:eastAsia="zh-CN"/>
        </w:rPr>
      </w:pPr>
      <w:r>
        <w:rPr>
          <w:rFonts w:hint="eastAsia" w:ascii="仿宋_GB2312" w:hAnsi="宋体" w:eastAsia="仿宋_GB2312" w:cs="Times New Roman"/>
          <w:bCs/>
          <w:kern w:val="44"/>
          <w:sz w:val="28"/>
          <w:szCs w:val="28"/>
          <w:lang w:eastAsia="zh-CN"/>
        </w:rPr>
        <w:t>3.6、</w:t>
      </w:r>
      <w:r>
        <w:rPr>
          <w:rFonts w:hint="eastAsia" w:ascii="仿宋_GB2312" w:hAnsi="宋体" w:eastAsia="仿宋_GB2312" w:cs="Times New Roman"/>
          <w:kern w:val="2"/>
          <w:sz w:val="28"/>
          <w:szCs w:val="28"/>
          <w:lang w:eastAsia="zh-CN"/>
        </w:rPr>
        <w:t>光源、电源要求：（1）红色光源：</w:t>
      </w:r>
      <w:r>
        <w:rPr>
          <w:rFonts w:hint="eastAsia" w:ascii="仿宋_GB2312" w:hAnsi="仿宋" w:eastAsia="仿宋_GB2312" w:cs="Times New Roman"/>
          <w:kern w:val="2"/>
          <w:sz w:val="28"/>
          <w:szCs w:val="28"/>
          <w:lang w:eastAsia="zh-CN"/>
        </w:rPr>
        <w:t>字体中每平方米不少于100个LED光源模组，</w:t>
      </w:r>
      <w:r>
        <w:rPr>
          <w:rFonts w:hint="eastAsia" w:ascii="仿宋_GB2312" w:hAnsi="宋体" w:eastAsia="仿宋_GB2312" w:cs="Times New Roman"/>
          <w:kern w:val="2"/>
          <w:sz w:val="28"/>
          <w:szCs w:val="28"/>
          <w:lang w:eastAsia="zh-CN"/>
        </w:rPr>
        <w:t>内部3颗一组的发光模块，每个模块0.72W,间距2cm，发光角度115。（2）</w:t>
      </w:r>
      <w:r>
        <w:rPr>
          <w:rFonts w:hint="eastAsia" w:ascii="仿宋_GB2312" w:hAnsi="宋体" w:eastAsia="仿宋_GB2312" w:cs="Times New Roman"/>
          <w:bCs/>
          <w:kern w:val="44"/>
          <w:sz w:val="28"/>
          <w:szCs w:val="28"/>
          <w:lang w:eastAsia="zh-CN"/>
        </w:rPr>
        <w:t>质量不低于“深圳</w:t>
      </w:r>
      <w:r>
        <w:rPr>
          <w:rFonts w:hint="eastAsia" w:ascii="仿宋_GB2312" w:hAnsi="宋体" w:eastAsia="仿宋_GB2312" w:cs="Times New Roman"/>
          <w:kern w:val="2"/>
          <w:sz w:val="28"/>
          <w:szCs w:val="28"/>
          <w:lang w:eastAsia="zh-CN"/>
        </w:rPr>
        <w:t>蓝景”、“深圳日上”、“上海瑞普森”或同等档次。（3）每组光源亮度1500流明，每年光衰减值≤10%。（4）每个字配置恒流电源、镇流器、漏电开关、定时器。（5）字体3年内发光均匀；无暗区；无明显光衰无断亮情况。</w:t>
      </w:r>
    </w:p>
    <w:p>
      <w:pPr>
        <w:spacing w:line="360" w:lineRule="auto"/>
        <w:jc w:val="both"/>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基本参数如下：</w:t>
      </w:r>
    </w:p>
    <w:tbl>
      <w:tblPr>
        <w:tblStyle w:val="16"/>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727"/>
        <w:gridCol w:w="5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382" w:type="dxa"/>
            <w:vAlign w:val="center"/>
          </w:tcPr>
          <w:p>
            <w:pPr>
              <w:spacing w:line="580" w:lineRule="exact"/>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序号</w:t>
            </w:r>
          </w:p>
        </w:tc>
        <w:tc>
          <w:tcPr>
            <w:tcW w:w="2727" w:type="dxa"/>
            <w:vAlign w:val="center"/>
          </w:tcPr>
          <w:p>
            <w:pPr>
              <w:spacing w:line="580" w:lineRule="exact"/>
              <w:ind w:left="216" w:leftChars="98"/>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项目内容</w:t>
            </w:r>
          </w:p>
        </w:tc>
        <w:tc>
          <w:tcPr>
            <w:tcW w:w="5024" w:type="dxa"/>
            <w:vAlign w:val="center"/>
          </w:tcPr>
          <w:p>
            <w:pPr>
              <w:spacing w:line="580" w:lineRule="exact"/>
              <w:ind w:left="326" w:leftChars="148"/>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382" w:type="dxa"/>
            <w:vAlign w:val="center"/>
          </w:tcPr>
          <w:p>
            <w:pPr>
              <w:spacing w:line="580" w:lineRule="exact"/>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1</w:t>
            </w:r>
          </w:p>
        </w:tc>
        <w:tc>
          <w:tcPr>
            <w:tcW w:w="2727" w:type="dxa"/>
            <w:vAlign w:val="center"/>
          </w:tcPr>
          <w:p>
            <w:pPr>
              <w:spacing w:line="580" w:lineRule="exact"/>
              <w:ind w:left="216" w:leftChars="98"/>
              <w:jc w:val="both"/>
              <w:rPr>
                <w:rFonts w:ascii="仿宋_GB2312" w:hAnsi="Times New Roman" w:eastAsia="仿宋_GB2312" w:cs="Arial"/>
                <w:kern w:val="2"/>
                <w:sz w:val="28"/>
                <w:szCs w:val="28"/>
                <w:lang w:eastAsia="zh-CN"/>
              </w:rPr>
            </w:pPr>
            <w:r>
              <w:rPr>
                <w:rFonts w:hint="eastAsia" w:ascii="仿宋_GB2312" w:hAnsi="宋体" w:eastAsia="仿宋_GB2312" w:cs="Arial"/>
                <w:kern w:val="2"/>
                <w:sz w:val="28"/>
                <w:szCs w:val="28"/>
                <w:lang w:eastAsia="zh-CN"/>
              </w:rPr>
              <w:t>单色模组</w:t>
            </w:r>
          </w:p>
        </w:tc>
        <w:tc>
          <w:tcPr>
            <w:tcW w:w="5024" w:type="dxa"/>
            <w:vAlign w:val="center"/>
          </w:tcPr>
          <w:p>
            <w:pPr>
              <w:spacing w:line="580" w:lineRule="exact"/>
              <w:ind w:left="326" w:leftChars="148"/>
              <w:jc w:val="both"/>
              <w:rPr>
                <w:rFonts w:ascii="仿宋_GB2312" w:hAnsi="Times New Roman" w:eastAsia="仿宋_GB2312" w:cs="Arial"/>
                <w:kern w:val="2"/>
                <w:sz w:val="28"/>
                <w:szCs w:val="28"/>
                <w:vertAlign w:val="superscript"/>
                <w:lang w:eastAsia="zh-CN"/>
              </w:rPr>
            </w:pPr>
            <w:r>
              <w:rPr>
                <w:rFonts w:hint="eastAsia" w:ascii="仿宋_GB2312" w:hAnsi="宋体" w:eastAsia="仿宋_GB2312" w:cs="Arial"/>
                <w:kern w:val="2"/>
                <w:sz w:val="28"/>
                <w:szCs w:val="28"/>
                <w:lang w:eastAsia="zh-CN"/>
              </w:rPr>
              <w:t xml:space="preserve">内径:80 (长)×08mm(宽)±2MM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382" w:type="dxa"/>
            <w:vAlign w:val="center"/>
          </w:tcPr>
          <w:p>
            <w:pPr>
              <w:spacing w:line="580" w:lineRule="exact"/>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2</w:t>
            </w:r>
          </w:p>
        </w:tc>
        <w:tc>
          <w:tcPr>
            <w:tcW w:w="2727" w:type="dxa"/>
            <w:vAlign w:val="center"/>
          </w:tcPr>
          <w:p>
            <w:pPr>
              <w:spacing w:line="580" w:lineRule="exact"/>
              <w:ind w:firstLine="280" w:firstLineChars="100"/>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防护等级</w:t>
            </w:r>
          </w:p>
        </w:tc>
        <w:tc>
          <w:tcPr>
            <w:tcW w:w="5024" w:type="dxa"/>
            <w:vAlign w:val="center"/>
          </w:tcPr>
          <w:p>
            <w:pPr>
              <w:spacing w:line="580" w:lineRule="exact"/>
              <w:ind w:left="326" w:leftChars="14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382" w:type="dxa"/>
            <w:vAlign w:val="center"/>
          </w:tcPr>
          <w:p>
            <w:pPr>
              <w:spacing w:line="580" w:lineRule="exact"/>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3</w:t>
            </w:r>
          </w:p>
        </w:tc>
        <w:tc>
          <w:tcPr>
            <w:tcW w:w="2727" w:type="dxa"/>
            <w:vAlign w:val="center"/>
          </w:tcPr>
          <w:p>
            <w:pPr>
              <w:spacing w:line="580" w:lineRule="exact"/>
              <w:ind w:left="216" w:leftChars="9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光源</w:t>
            </w:r>
          </w:p>
        </w:tc>
        <w:tc>
          <w:tcPr>
            <w:tcW w:w="5024" w:type="dxa"/>
            <w:vAlign w:val="center"/>
          </w:tcPr>
          <w:p>
            <w:pPr>
              <w:spacing w:line="580" w:lineRule="exact"/>
              <w:ind w:left="326" w:leftChars="14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 xml:space="preserve">SMD5050，单颗光通量≥18lm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382" w:type="dxa"/>
            <w:vAlign w:val="center"/>
          </w:tcPr>
          <w:p>
            <w:pPr>
              <w:spacing w:line="580" w:lineRule="exact"/>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4</w:t>
            </w:r>
          </w:p>
        </w:tc>
        <w:tc>
          <w:tcPr>
            <w:tcW w:w="2727" w:type="dxa"/>
            <w:vAlign w:val="center"/>
          </w:tcPr>
          <w:p>
            <w:pPr>
              <w:spacing w:line="580" w:lineRule="exact"/>
              <w:ind w:left="216" w:leftChars="9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电压/电流</w:t>
            </w:r>
          </w:p>
        </w:tc>
        <w:tc>
          <w:tcPr>
            <w:tcW w:w="5024" w:type="dxa"/>
            <w:vAlign w:val="center"/>
          </w:tcPr>
          <w:p>
            <w:pPr>
              <w:spacing w:line="580" w:lineRule="exact"/>
              <w:ind w:left="326" w:leftChars="14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DC12V/60mA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2" w:hRule="atLeast"/>
        </w:trPr>
        <w:tc>
          <w:tcPr>
            <w:tcW w:w="1382" w:type="dxa"/>
            <w:vAlign w:val="center"/>
          </w:tcPr>
          <w:p>
            <w:pPr>
              <w:spacing w:line="580" w:lineRule="exact"/>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5</w:t>
            </w:r>
          </w:p>
        </w:tc>
        <w:tc>
          <w:tcPr>
            <w:tcW w:w="2727" w:type="dxa"/>
            <w:vAlign w:val="center"/>
          </w:tcPr>
          <w:p>
            <w:pPr>
              <w:spacing w:line="580" w:lineRule="exact"/>
              <w:ind w:left="216" w:leftChars="9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功率</w:t>
            </w:r>
          </w:p>
        </w:tc>
        <w:tc>
          <w:tcPr>
            <w:tcW w:w="5024" w:type="dxa"/>
            <w:vAlign w:val="center"/>
          </w:tcPr>
          <w:p>
            <w:pPr>
              <w:spacing w:line="580" w:lineRule="exact"/>
              <w:ind w:left="326" w:leftChars="14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0.72W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382" w:type="dxa"/>
            <w:vAlign w:val="center"/>
          </w:tcPr>
          <w:p>
            <w:pPr>
              <w:spacing w:line="580" w:lineRule="exact"/>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6</w:t>
            </w:r>
          </w:p>
        </w:tc>
        <w:tc>
          <w:tcPr>
            <w:tcW w:w="2727" w:type="dxa"/>
            <w:vAlign w:val="center"/>
          </w:tcPr>
          <w:p>
            <w:pPr>
              <w:spacing w:line="580" w:lineRule="exact"/>
              <w:ind w:left="216" w:leftChars="9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PCS</w:t>
            </w:r>
          </w:p>
        </w:tc>
        <w:tc>
          <w:tcPr>
            <w:tcW w:w="5024" w:type="dxa"/>
            <w:vAlign w:val="center"/>
          </w:tcPr>
          <w:p>
            <w:pPr>
              <w:spacing w:line="580" w:lineRule="exact"/>
              <w:ind w:left="326" w:leftChars="148"/>
              <w:jc w:val="both"/>
              <w:rPr>
                <w:rFonts w:ascii="仿宋_GB2312" w:hAnsi="宋体" w:eastAsia="仿宋_GB2312" w:cs="Arial"/>
                <w:kern w:val="2"/>
                <w:sz w:val="28"/>
                <w:szCs w:val="28"/>
                <w:lang w:eastAsia="zh-CN"/>
              </w:rPr>
            </w:pPr>
            <w:r>
              <w:rPr>
                <w:rFonts w:ascii="宋体" w:hAnsi="宋体" w:eastAsia="宋体" w:cs="Arial"/>
                <w:kern w:val="2"/>
                <w:sz w:val="28"/>
                <w:szCs w:val="28"/>
                <w:lang w:eastAsia="zh-CN"/>
              </w:rPr>
              <w:t>FR-4</w:t>
            </w:r>
            <w:r>
              <w:rPr>
                <w:rFonts w:hint="eastAsia" w:ascii="宋体" w:hAnsi="宋体" w:eastAsia="宋体" w:cs="Arial"/>
                <w:kern w:val="2"/>
                <w:sz w:val="28"/>
                <w:szCs w:val="28"/>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382" w:type="dxa"/>
            <w:vAlign w:val="center"/>
          </w:tcPr>
          <w:p>
            <w:pPr>
              <w:spacing w:line="580" w:lineRule="exact"/>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7</w:t>
            </w:r>
          </w:p>
        </w:tc>
        <w:tc>
          <w:tcPr>
            <w:tcW w:w="2727" w:type="dxa"/>
            <w:vAlign w:val="center"/>
          </w:tcPr>
          <w:p>
            <w:pPr>
              <w:spacing w:line="580" w:lineRule="exact"/>
              <w:ind w:left="216" w:leftChars="9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发光角度</w:t>
            </w:r>
          </w:p>
        </w:tc>
        <w:tc>
          <w:tcPr>
            <w:tcW w:w="5024" w:type="dxa"/>
            <w:vAlign w:val="center"/>
          </w:tcPr>
          <w:p>
            <w:pPr>
              <w:spacing w:line="580" w:lineRule="exact"/>
              <w:ind w:left="326" w:leftChars="14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 xml:space="preserve">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382" w:type="dxa"/>
            <w:vAlign w:val="center"/>
          </w:tcPr>
          <w:p>
            <w:pPr>
              <w:spacing w:line="580" w:lineRule="exact"/>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8</w:t>
            </w:r>
          </w:p>
        </w:tc>
        <w:tc>
          <w:tcPr>
            <w:tcW w:w="2727" w:type="dxa"/>
            <w:vAlign w:val="center"/>
          </w:tcPr>
          <w:p>
            <w:pPr>
              <w:spacing w:line="580" w:lineRule="exact"/>
              <w:ind w:left="216" w:leftChars="9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使用寿命</w:t>
            </w:r>
          </w:p>
        </w:tc>
        <w:tc>
          <w:tcPr>
            <w:tcW w:w="5024" w:type="dxa"/>
            <w:vAlign w:val="center"/>
          </w:tcPr>
          <w:p>
            <w:pPr>
              <w:spacing w:line="580" w:lineRule="exact"/>
              <w:ind w:left="326" w:leftChars="14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≥20000h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382" w:type="dxa"/>
            <w:vAlign w:val="center"/>
          </w:tcPr>
          <w:p>
            <w:pPr>
              <w:spacing w:line="580" w:lineRule="exact"/>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9</w:t>
            </w:r>
          </w:p>
        </w:tc>
        <w:tc>
          <w:tcPr>
            <w:tcW w:w="2727" w:type="dxa"/>
            <w:vAlign w:val="center"/>
          </w:tcPr>
          <w:p>
            <w:pPr>
              <w:spacing w:line="580" w:lineRule="exact"/>
              <w:ind w:left="216" w:leftChars="9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工作温度</w:t>
            </w:r>
          </w:p>
        </w:tc>
        <w:tc>
          <w:tcPr>
            <w:tcW w:w="5024" w:type="dxa"/>
            <w:vAlign w:val="center"/>
          </w:tcPr>
          <w:p>
            <w:pPr>
              <w:spacing w:line="580" w:lineRule="exact"/>
              <w:ind w:left="326" w:leftChars="14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382" w:type="dxa"/>
            <w:vAlign w:val="center"/>
          </w:tcPr>
          <w:p>
            <w:pPr>
              <w:spacing w:line="580" w:lineRule="exact"/>
              <w:jc w:val="center"/>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10</w:t>
            </w:r>
          </w:p>
        </w:tc>
        <w:tc>
          <w:tcPr>
            <w:tcW w:w="2727" w:type="dxa"/>
            <w:vAlign w:val="center"/>
          </w:tcPr>
          <w:p>
            <w:pPr>
              <w:spacing w:line="580" w:lineRule="exact"/>
              <w:ind w:left="216" w:leftChars="9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色温</w:t>
            </w:r>
          </w:p>
        </w:tc>
        <w:tc>
          <w:tcPr>
            <w:tcW w:w="5024" w:type="dxa"/>
            <w:vAlign w:val="center"/>
          </w:tcPr>
          <w:p>
            <w:pPr>
              <w:spacing w:line="580" w:lineRule="exact"/>
              <w:ind w:left="326" w:leftChars="148"/>
              <w:jc w:val="both"/>
              <w:rPr>
                <w:rFonts w:ascii="仿宋_GB2312" w:hAnsi="宋体" w:eastAsia="仿宋_GB2312" w:cs="Arial"/>
                <w:kern w:val="2"/>
                <w:sz w:val="28"/>
                <w:szCs w:val="28"/>
                <w:lang w:eastAsia="zh-CN"/>
              </w:rPr>
            </w:pPr>
            <w:r>
              <w:rPr>
                <w:rFonts w:hint="eastAsia" w:ascii="仿宋_GB2312" w:hAnsi="宋体" w:eastAsia="仿宋_GB2312" w:cs="Arial"/>
                <w:kern w:val="2"/>
                <w:sz w:val="28"/>
                <w:szCs w:val="28"/>
                <w:lang w:eastAsia="zh-CN"/>
              </w:rPr>
              <w:t>620-625</w:t>
            </w:r>
          </w:p>
        </w:tc>
      </w:tr>
    </w:tbl>
    <w:p>
      <w:pPr>
        <w:spacing w:line="360" w:lineRule="auto"/>
        <w:ind w:firstLine="700" w:firstLineChars="250"/>
        <w:jc w:val="both"/>
        <w:rPr>
          <w:rFonts w:ascii="仿宋_GB2312" w:hAnsi="宋体" w:eastAsia="仿宋_GB2312" w:cs="Times New Roman"/>
          <w:kern w:val="2"/>
          <w:sz w:val="28"/>
          <w:szCs w:val="28"/>
          <w:lang w:eastAsia="zh-CN"/>
        </w:rPr>
      </w:pPr>
      <w:r>
        <w:rPr>
          <w:rFonts w:hint="eastAsia" w:ascii="仿宋_GB2312" w:hAnsi="宋体" w:eastAsia="仿宋_GB2312" w:cs="Times New Roman"/>
          <w:bCs/>
          <w:kern w:val="44"/>
          <w:sz w:val="28"/>
          <w:szCs w:val="28"/>
          <w:lang w:eastAsia="zh-CN"/>
        </w:rPr>
        <w:t>3.9、</w:t>
      </w:r>
      <w:r>
        <w:rPr>
          <w:rFonts w:hint="eastAsia" w:ascii="仿宋_GB2312" w:hAnsi="宋体" w:eastAsia="仿宋_GB2312" w:cs="Times New Roman"/>
          <w:kern w:val="2"/>
          <w:sz w:val="28"/>
          <w:szCs w:val="28"/>
          <w:lang w:eastAsia="zh-CN"/>
        </w:rPr>
        <w:t>钢架结构</w:t>
      </w:r>
    </w:p>
    <w:p>
      <w:pPr>
        <w:spacing w:line="360" w:lineRule="auto"/>
        <w:ind w:firstLine="548" w:firstLineChars="196"/>
        <w:jc w:val="both"/>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（1）焊接焊缝不得有裂纹、气孔、焊瘤、咬边、未满焊现象。（2）焊后达到外形均匀，成型较好，焊道与基本金属间过渡平滑，做好防腐、防锈处理。（3）物理、机械性能: a、抗风压符合GB14887的相关要求；b、抗振动符合GB14887的相关要求。c、钢结构安全性：所有钢结构焊接均须依照国标《钢结构工程施工质量验收规范》标准制作。</w:t>
      </w:r>
    </w:p>
    <w:p>
      <w:pPr>
        <w:spacing w:line="360" w:lineRule="auto"/>
        <w:ind w:firstLine="548" w:firstLineChars="196"/>
        <w:jc w:val="both"/>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 xml:space="preserve">3.10、配电箱、线缆、电表及其他控制器材（1）主线线缆采用：5*6.0mm </w:t>
      </w:r>
      <w:r>
        <w:rPr>
          <w:rFonts w:hint="eastAsia" w:ascii="仿宋_GB2312" w:hAnsi="宋体" w:eastAsia="宋体" w:cs="Times New Roman"/>
          <w:kern w:val="2"/>
          <w:sz w:val="28"/>
          <w:szCs w:val="28"/>
          <w:lang w:eastAsia="zh-CN"/>
        </w:rPr>
        <w:t>²</w:t>
      </w:r>
      <w:r>
        <w:rPr>
          <w:rFonts w:hint="eastAsia" w:ascii="仿宋_GB2312" w:hAnsi="宋体" w:eastAsia="仿宋_GB2312" w:cs="Times New Roman"/>
          <w:kern w:val="2"/>
          <w:sz w:val="28"/>
          <w:szCs w:val="28"/>
          <w:lang w:eastAsia="zh-CN"/>
        </w:rPr>
        <w:t>，带钢铠护套，pvc穿线管，科学布线处理。（2）配电箱及其他控制器材：配电箱含空开、交流接触器、定时钟等控制器材；配电箱尺寸原则上容纳以上控制器材等配件。（3）其他：其他附件及施工配件均采用国标规格材料。</w:t>
      </w:r>
    </w:p>
    <w:p>
      <w:pPr>
        <w:tabs>
          <w:tab w:val="left" w:pos="180"/>
        </w:tabs>
        <w:spacing w:line="360" w:lineRule="auto"/>
        <w:ind w:firstLine="554" w:firstLineChars="197"/>
        <w:jc w:val="both"/>
        <w:rPr>
          <w:rFonts w:ascii="仿宋_GB2312" w:hAnsi="宋体" w:eastAsia="仿宋_GB2312" w:cs="宋体"/>
          <w:b/>
          <w:kern w:val="2"/>
          <w:sz w:val="28"/>
          <w:szCs w:val="28"/>
          <w:lang w:eastAsia="zh-CN"/>
        </w:rPr>
      </w:pPr>
      <w:r>
        <w:rPr>
          <w:rFonts w:hint="eastAsia" w:ascii="仿宋_GB2312" w:hAnsi="宋体" w:eastAsia="仿宋_GB2312" w:cs="宋体"/>
          <w:b/>
          <w:kern w:val="2"/>
          <w:sz w:val="28"/>
          <w:szCs w:val="28"/>
          <w:lang w:eastAsia="zh-CN"/>
        </w:rPr>
        <w:t>3.11、参照标准：</w:t>
      </w:r>
    </w:p>
    <w:p>
      <w:pPr>
        <w:tabs>
          <w:tab w:val="left" w:pos="6211"/>
          <w:tab w:val="left" w:pos="6695"/>
          <w:tab w:val="left" w:pos="7062"/>
          <w:tab w:val="left" w:pos="7490"/>
        </w:tabs>
        <w:autoSpaceDE w:val="0"/>
        <w:autoSpaceDN w:val="0"/>
        <w:adjustRightInd w:val="0"/>
        <w:spacing w:line="360" w:lineRule="auto"/>
        <w:ind w:firstLine="480"/>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 xml:space="preserve">(1)、GB50034-2013  </w:t>
      </w:r>
      <w:r>
        <w:rPr>
          <w:rFonts w:hint="eastAsia" w:ascii="仿宋_GB2312" w:hAnsi="宋体" w:eastAsia="仿宋_GB2312" w:cs="Times New Roman"/>
          <w:b/>
          <w:bCs/>
          <w:kern w:val="2"/>
          <w:sz w:val="28"/>
          <w:szCs w:val="28"/>
          <w:lang w:eastAsia="zh-CN"/>
        </w:rPr>
        <w:t xml:space="preserve">    </w:t>
      </w:r>
      <w:r>
        <w:rPr>
          <w:rFonts w:hint="eastAsia" w:ascii="仿宋_GB2312" w:hAnsi="宋体" w:eastAsia="仿宋_GB2312" w:cs="Times New Roman"/>
          <w:kern w:val="2"/>
          <w:sz w:val="28"/>
          <w:szCs w:val="28"/>
          <w:lang w:eastAsia="zh-CN"/>
        </w:rPr>
        <w:t>《建筑照明设计标准》</w:t>
      </w:r>
    </w:p>
    <w:p>
      <w:pPr>
        <w:tabs>
          <w:tab w:val="left" w:pos="6211"/>
          <w:tab w:val="left" w:pos="6695"/>
          <w:tab w:val="left" w:pos="7062"/>
          <w:tab w:val="left" w:pos="7490"/>
        </w:tabs>
        <w:autoSpaceDE w:val="0"/>
        <w:autoSpaceDN w:val="0"/>
        <w:adjustRightInd w:val="0"/>
        <w:spacing w:line="360" w:lineRule="auto"/>
        <w:ind w:firstLine="480"/>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(2)、CJJ45-2006        《城市道路照明设计标准》</w:t>
      </w:r>
    </w:p>
    <w:p>
      <w:pPr>
        <w:tabs>
          <w:tab w:val="left" w:pos="6211"/>
          <w:tab w:val="left" w:pos="6695"/>
          <w:tab w:val="left" w:pos="7062"/>
          <w:tab w:val="left" w:pos="7490"/>
        </w:tabs>
        <w:autoSpaceDE w:val="0"/>
        <w:autoSpaceDN w:val="0"/>
        <w:adjustRightInd w:val="0"/>
        <w:spacing w:line="360" w:lineRule="auto"/>
        <w:ind w:firstLine="480"/>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(3)、CJJ89-2001        《城市道路照明工程施工及验收规范》</w:t>
      </w:r>
    </w:p>
    <w:p>
      <w:pPr>
        <w:tabs>
          <w:tab w:val="left" w:pos="6211"/>
          <w:tab w:val="left" w:pos="6695"/>
          <w:tab w:val="left" w:pos="7062"/>
          <w:tab w:val="left" w:pos="7490"/>
        </w:tabs>
        <w:autoSpaceDE w:val="0"/>
        <w:autoSpaceDN w:val="0"/>
        <w:adjustRightInd w:val="0"/>
        <w:spacing w:line="360" w:lineRule="auto"/>
        <w:ind w:firstLine="480"/>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(4)、JGJ/T163-2008     《城市夜景照明设计规范》</w:t>
      </w:r>
    </w:p>
    <w:p>
      <w:pPr>
        <w:tabs>
          <w:tab w:val="left" w:pos="6211"/>
          <w:tab w:val="left" w:pos="6695"/>
          <w:tab w:val="left" w:pos="7062"/>
          <w:tab w:val="left" w:pos="7490"/>
        </w:tabs>
        <w:autoSpaceDE w:val="0"/>
        <w:autoSpaceDN w:val="0"/>
        <w:adjustRightInd w:val="0"/>
        <w:spacing w:line="360" w:lineRule="auto"/>
        <w:ind w:firstLine="480"/>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(5)、JGJ/T119-2008     《建筑照明术语标准》</w:t>
      </w:r>
    </w:p>
    <w:p>
      <w:pPr>
        <w:tabs>
          <w:tab w:val="left" w:pos="6211"/>
          <w:tab w:val="left" w:pos="6695"/>
          <w:tab w:val="left" w:pos="7062"/>
          <w:tab w:val="left" w:pos="7490"/>
        </w:tabs>
        <w:autoSpaceDE w:val="0"/>
        <w:autoSpaceDN w:val="0"/>
        <w:adjustRightInd w:val="0"/>
        <w:spacing w:line="360" w:lineRule="auto"/>
        <w:ind w:firstLine="480"/>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(6)、GB7000.1-2002     《灯具的一般安全要求和试验》</w:t>
      </w:r>
    </w:p>
    <w:p>
      <w:pPr>
        <w:tabs>
          <w:tab w:val="left" w:pos="6211"/>
          <w:tab w:val="left" w:pos="6695"/>
          <w:tab w:val="left" w:pos="7062"/>
          <w:tab w:val="left" w:pos="7490"/>
        </w:tabs>
        <w:autoSpaceDE w:val="0"/>
        <w:autoSpaceDN w:val="0"/>
        <w:adjustRightInd w:val="0"/>
        <w:spacing w:line="360" w:lineRule="auto"/>
        <w:ind w:firstLine="480"/>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(7)、GB7000.7-1997    《投光灯具安全要求》</w:t>
      </w:r>
    </w:p>
    <w:p>
      <w:pPr>
        <w:tabs>
          <w:tab w:val="left" w:pos="6211"/>
          <w:tab w:val="left" w:pos="6695"/>
          <w:tab w:val="left" w:pos="7062"/>
          <w:tab w:val="left" w:pos="7490"/>
        </w:tabs>
        <w:autoSpaceDE w:val="0"/>
        <w:autoSpaceDN w:val="0"/>
        <w:adjustRightInd w:val="0"/>
        <w:spacing w:line="360" w:lineRule="auto"/>
        <w:ind w:firstLine="480"/>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(8)、GB50054-95       《低压配电设计规范》</w:t>
      </w:r>
    </w:p>
    <w:p>
      <w:pPr>
        <w:tabs>
          <w:tab w:val="left" w:pos="6211"/>
          <w:tab w:val="left" w:pos="6695"/>
          <w:tab w:val="left" w:pos="7062"/>
          <w:tab w:val="left" w:pos="7490"/>
        </w:tabs>
        <w:autoSpaceDE w:val="0"/>
        <w:autoSpaceDN w:val="0"/>
        <w:adjustRightInd w:val="0"/>
        <w:spacing w:line="360" w:lineRule="auto"/>
        <w:ind w:firstLine="480"/>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(9)、GB50057-1994     《建筑物防雷设计规范》</w:t>
      </w:r>
    </w:p>
    <w:p>
      <w:pPr>
        <w:tabs>
          <w:tab w:val="left" w:pos="6211"/>
          <w:tab w:val="left" w:pos="6695"/>
          <w:tab w:val="left" w:pos="7062"/>
          <w:tab w:val="left" w:pos="7490"/>
        </w:tabs>
        <w:autoSpaceDE w:val="0"/>
        <w:autoSpaceDN w:val="0"/>
        <w:adjustRightInd w:val="0"/>
        <w:spacing w:line="360" w:lineRule="auto"/>
        <w:ind w:firstLine="480"/>
        <w:rPr>
          <w:rFonts w:ascii="仿宋_GB2312" w:hAnsi="宋体"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(10)、GB50217-2007    《电力工程电缆设计规范》</w:t>
      </w:r>
    </w:p>
    <w:p>
      <w:pPr>
        <w:tabs>
          <w:tab w:val="left" w:pos="180"/>
        </w:tabs>
        <w:spacing w:line="360" w:lineRule="auto"/>
        <w:ind w:left="376" w:leftChars="171" w:firstLine="281" w:firstLineChars="100"/>
        <w:jc w:val="both"/>
        <w:rPr>
          <w:rFonts w:ascii="仿宋_GB2312" w:hAnsi="宋体" w:eastAsia="仿宋_GB2312" w:cs="宋体"/>
          <w:b/>
          <w:kern w:val="2"/>
          <w:sz w:val="28"/>
          <w:szCs w:val="28"/>
          <w:lang w:eastAsia="zh-CN"/>
        </w:rPr>
      </w:pPr>
      <w:r>
        <w:rPr>
          <w:rFonts w:hint="eastAsia" w:ascii="仿宋_GB2312" w:hAnsi="宋体" w:eastAsia="仿宋_GB2312" w:cs="宋体"/>
          <w:b/>
          <w:kern w:val="2"/>
          <w:sz w:val="28"/>
          <w:szCs w:val="28"/>
          <w:lang w:eastAsia="zh-CN"/>
        </w:rPr>
        <w:t>4、安全施工要求：</w:t>
      </w:r>
    </w:p>
    <w:p>
      <w:pPr>
        <w:spacing w:line="360" w:lineRule="auto"/>
        <w:jc w:val="both"/>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 xml:space="preserve">    4.1、</w:t>
      </w:r>
      <w:bookmarkStart w:id="72" w:name="_Toc332873792"/>
      <w:bookmarkStart w:id="73" w:name="_Toc291837515"/>
      <w:bookmarkStart w:id="74" w:name="_Toc158738847"/>
      <w:bookmarkStart w:id="75" w:name="_Toc309197977"/>
      <w:bookmarkStart w:id="76" w:name="_Toc90884086"/>
      <w:bookmarkStart w:id="77" w:name="_Toc449108587"/>
      <w:bookmarkStart w:id="78" w:name="_Toc301423872"/>
      <w:bookmarkStart w:id="79" w:name="_Toc2327"/>
      <w:bookmarkStart w:id="80" w:name="_Toc281317480"/>
      <w:bookmarkStart w:id="81" w:name="_Toc432777340"/>
      <w:bookmarkStart w:id="82" w:name="_Toc128795900"/>
      <w:bookmarkStart w:id="83" w:name="_Toc276127452"/>
      <w:bookmarkStart w:id="84" w:name="_Toc25041"/>
      <w:r>
        <w:rPr>
          <w:rFonts w:hint="eastAsia" w:ascii="仿宋_GB2312" w:hAnsi="宋体" w:eastAsia="仿宋_GB2312" w:cs="Times New Roman"/>
          <w:kern w:val="2"/>
          <w:sz w:val="28"/>
          <w:szCs w:val="28"/>
          <w:lang w:eastAsia="zh-CN"/>
        </w:rPr>
        <w:t>安全施工与检查</w:t>
      </w:r>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仿宋_GB2312" w:hAnsi="宋体" w:eastAsia="仿宋_GB2312" w:cs="Times New Roman"/>
          <w:kern w:val="2"/>
          <w:sz w:val="28"/>
          <w:szCs w:val="28"/>
          <w:lang w:eastAsia="zh-CN"/>
        </w:rPr>
        <w:t>执行国家、省、市相关法律、法规、规章、规定及采购人下发的相关管理制度。中标方应采取必要的安全防护措施，消除事故隐患。如出现人员伤亡及其他损失或影响巨大的事故，则中标方须接受政府主管部门的处罚，采购人因此产生损失及责任的，由中标方负责解决并赔偿。该项费用从工程结算中全额扣除，不需签字，现场取证。其余执行通用条款。</w:t>
      </w:r>
    </w:p>
    <w:p>
      <w:pPr>
        <w:spacing w:line="360" w:lineRule="auto"/>
        <w:ind w:firstLine="560" w:firstLineChars="200"/>
        <w:jc w:val="both"/>
        <w:rPr>
          <w:rFonts w:ascii="仿宋_GB2312" w:hAnsi="宋体" w:eastAsia="仿宋_GB2312" w:cs="Times New Roman"/>
          <w:kern w:val="2"/>
          <w:sz w:val="28"/>
          <w:szCs w:val="28"/>
          <w:lang w:eastAsia="zh-CN"/>
        </w:rPr>
      </w:pPr>
      <w:bookmarkStart w:id="85" w:name="_Toc332873793"/>
      <w:bookmarkStart w:id="86" w:name="_Toc309197978"/>
      <w:bookmarkStart w:id="87" w:name="_Toc291837516"/>
      <w:bookmarkStart w:id="88" w:name="_Toc449108588"/>
      <w:bookmarkStart w:id="89" w:name="_Toc276127453"/>
      <w:bookmarkStart w:id="90" w:name="_Toc24378"/>
      <w:bookmarkStart w:id="91" w:name="_Toc432777341"/>
      <w:bookmarkStart w:id="92" w:name="_Toc301423873"/>
      <w:bookmarkStart w:id="93" w:name="_Toc11686"/>
      <w:bookmarkStart w:id="94" w:name="_Toc281317481"/>
      <w:r>
        <w:rPr>
          <w:rFonts w:hint="eastAsia" w:ascii="仿宋_GB2312" w:hAnsi="宋体" w:eastAsia="仿宋_GB2312" w:cs="Times New Roman"/>
          <w:kern w:val="2"/>
          <w:sz w:val="28"/>
          <w:szCs w:val="28"/>
          <w:lang w:eastAsia="zh-CN"/>
        </w:rPr>
        <w:t>4.2、安全防护</w:t>
      </w:r>
      <w:bookmarkEnd w:id="85"/>
      <w:bookmarkEnd w:id="86"/>
      <w:bookmarkEnd w:id="87"/>
      <w:bookmarkEnd w:id="88"/>
      <w:bookmarkEnd w:id="89"/>
      <w:bookmarkEnd w:id="90"/>
      <w:bookmarkEnd w:id="91"/>
      <w:bookmarkEnd w:id="92"/>
      <w:bookmarkEnd w:id="93"/>
      <w:bookmarkEnd w:id="94"/>
      <w:r>
        <w:rPr>
          <w:rFonts w:hint="eastAsia" w:ascii="仿宋_GB2312" w:hAnsi="宋体" w:eastAsia="仿宋_GB2312" w:cs="Times New Roman"/>
          <w:kern w:val="2"/>
          <w:sz w:val="28"/>
          <w:szCs w:val="28"/>
          <w:lang w:eastAsia="zh-CN"/>
        </w:rPr>
        <w:t>：中标方严格按安全施工操作规程进行施工和现场管理，因中标方原因造成的安全事故，由中标方承担一切责任。</w:t>
      </w:r>
    </w:p>
    <w:p>
      <w:pPr>
        <w:spacing w:line="360" w:lineRule="auto"/>
        <w:ind w:firstLine="560" w:firstLineChars="200"/>
        <w:jc w:val="both"/>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4.3、中标方应承担因自身施工不当影响周边建筑设施及人员安全的责任，承担为消除以上安全隐患或影响所产生的全部费用。</w:t>
      </w:r>
    </w:p>
    <w:p>
      <w:pPr>
        <w:spacing w:line="360" w:lineRule="auto"/>
        <w:ind w:firstLine="560" w:firstLineChars="200"/>
        <w:jc w:val="both"/>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4.4、本项目在施工过程中严格执行《济南市扬尘污染防治管理规定》的要求。中标方在施工时，对施工现场的扬尘污染情况制定相应的扬尘污染防治方案，其费用包含在磋商报价中，不再单独体现。</w:t>
      </w:r>
    </w:p>
    <w:p>
      <w:pPr>
        <w:spacing w:line="360" w:lineRule="auto"/>
        <w:ind w:firstLine="560" w:firstLineChars="200"/>
        <w:rPr>
          <w:rFonts w:ascii="仿宋_GB2312" w:hAnsi="宋体" w:eastAsia="仿宋_GB2312" w:cs="Times New Roman"/>
          <w:kern w:val="2"/>
          <w:sz w:val="28"/>
          <w:szCs w:val="28"/>
          <w:lang w:eastAsia="zh-CN"/>
        </w:rPr>
      </w:pPr>
      <w:r>
        <w:rPr>
          <w:rFonts w:hint="eastAsia" w:ascii="仿宋_GB2312" w:hAnsi="宋体" w:eastAsia="仿宋_GB2312" w:cs="Times New Roman"/>
          <w:kern w:val="2"/>
          <w:sz w:val="28"/>
          <w:szCs w:val="28"/>
          <w:lang w:eastAsia="zh-CN"/>
        </w:rPr>
        <w:t>4.5、中标方应根据工程特点仔细全面考虑工程施工组织设计，中标方因考虑不周造成施工组织变化所发生的费用由中标方承担。</w:t>
      </w:r>
    </w:p>
    <w:p>
      <w:pPr>
        <w:spacing w:line="360" w:lineRule="auto"/>
        <w:ind w:firstLine="551" w:firstLineChars="196"/>
        <w:jc w:val="both"/>
        <w:rPr>
          <w:rFonts w:ascii="仿宋_GB2312" w:hAnsi="宋体" w:eastAsia="仿宋_GB2312" w:cs="Times New Roman"/>
          <w:b/>
          <w:bCs/>
          <w:kern w:val="2"/>
          <w:sz w:val="28"/>
          <w:szCs w:val="28"/>
          <w:lang w:eastAsia="zh-CN"/>
        </w:rPr>
      </w:pPr>
      <w:r>
        <w:rPr>
          <w:rFonts w:hint="eastAsia" w:ascii="仿宋_GB2312" w:hAnsi="宋体" w:eastAsia="仿宋_GB2312" w:cs="Times New Roman"/>
          <w:b/>
          <w:kern w:val="2"/>
          <w:sz w:val="28"/>
          <w:szCs w:val="28"/>
          <w:lang w:eastAsia="zh-CN"/>
        </w:rPr>
        <w:t>5、</w:t>
      </w:r>
      <w:r>
        <w:rPr>
          <w:rFonts w:hint="eastAsia" w:ascii="仿宋_GB2312" w:hAnsi="宋体" w:eastAsia="仿宋_GB2312" w:cs="Times New Roman"/>
          <w:b/>
          <w:bCs/>
          <w:kern w:val="2"/>
          <w:sz w:val="28"/>
          <w:szCs w:val="28"/>
          <w:lang w:eastAsia="zh-CN"/>
        </w:rPr>
        <w:t>招标样品提供：</w:t>
      </w:r>
    </w:p>
    <w:p>
      <w:pPr>
        <w:spacing w:line="360" w:lineRule="auto"/>
        <w:ind w:firstLine="560" w:firstLineChars="200"/>
        <w:jc w:val="both"/>
        <w:rPr>
          <w:rFonts w:ascii="仿宋_GB2312" w:hAnsi="宋体" w:eastAsia="仿宋_GB2312" w:cs="Times New Roman"/>
          <w:bCs/>
          <w:kern w:val="2"/>
          <w:sz w:val="28"/>
          <w:szCs w:val="28"/>
          <w:lang w:eastAsia="zh-CN"/>
        </w:rPr>
      </w:pPr>
      <w:r>
        <w:rPr>
          <w:rFonts w:hint="eastAsia" w:ascii="仿宋_GB2312" w:hAnsi="宋体" w:eastAsia="仿宋_GB2312" w:cs="Times New Roman"/>
          <w:bCs/>
          <w:kern w:val="2"/>
          <w:sz w:val="28"/>
          <w:szCs w:val="28"/>
          <w:lang w:eastAsia="zh-CN"/>
        </w:rPr>
        <w:t>5.1、20cm*20cm亚克力面板一块</w:t>
      </w:r>
    </w:p>
    <w:p>
      <w:pPr>
        <w:spacing w:line="360" w:lineRule="auto"/>
        <w:ind w:firstLine="560" w:firstLineChars="200"/>
        <w:jc w:val="both"/>
        <w:rPr>
          <w:rFonts w:ascii="仿宋_GB2312" w:hAnsi="宋体" w:eastAsia="仿宋_GB2312" w:cs="Times New Roman"/>
          <w:bCs/>
          <w:kern w:val="2"/>
          <w:sz w:val="28"/>
          <w:szCs w:val="28"/>
          <w:lang w:eastAsia="zh-CN"/>
        </w:rPr>
      </w:pPr>
      <w:r>
        <w:rPr>
          <w:rFonts w:hint="eastAsia" w:ascii="仿宋_GB2312" w:hAnsi="宋体" w:eastAsia="仿宋_GB2312" w:cs="Times New Roman"/>
          <w:bCs/>
          <w:kern w:val="2"/>
          <w:sz w:val="28"/>
          <w:szCs w:val="28"/>
          <w:lang w:eastAsia="zh-CN"/>
        </w:rPr>
        <w:t>5.2、LED模组一套</w:t>
      </w:r>
    </w:p>
    <w:p>
      <w:pPr>
        <w:spacing w:line="360" w:lineRule="auto"/>
        <w:ind w:firstLine="560" w:firstLineChars="200"/>
        <w:jc w:val="both"/>
        <w:rPr>
          <w:rFonts w:ascii="仿宋_GB2312" w:hAnsi="宋体" w:eastAsia="仿宋_GB2312" w:cs="Times New Roman"/>
          <w:bCs/>
          <w:kern w:val="2"/>
          <w:sz w:val="28"/>
          <w:szCs w:val="28"/>
          <w:lang w:eastAsia="zh-CN"/>
        </w:rPr>
      </w:pPr>
      <w:r>
        <w:rPr>
          <w:rFonts w:hint="eastAsia" w:ascii="仿宋_GB2312" w:hAnsi="Times New Roman" w:eastAsia="仿宋_GB2312" w:cs="Times New Roman"/>
          <w:kern w:val="2"/>
          <w:sz w:val="28"/>
          <w:szCs w:val="28"/>
          <w:lang w:eastAsia="zh-CN"/>
        </w:rPr>
        <w:t>备注：注明厂家、产地及相关技术参数，并在样品上注明投标单位名称。</w:t>
      </w:r>
    </w:p>
    <w:p>
      <w:pPr>
        <w:ind w:firstLine="555"/>
        <w:jc w:val="both"/>
        <w:rPr>
          <w:rFonts w:ascii="仿宋_GB2312" w:hAnsi="宋体" w:eastAsia="仿宋_GB2312" w:cs="宋体"/>
          <w:b/>
          <w:kern w:val="2"/>
          <w:sz w:val="28"/>
          <w:szCs w:val="28"/>
          <w:lang w:eastAsia="zh-CN"/>
        </w:rPr>
      </w:pPr>
      <w:r>
        <w:rPr>
          <w:rFonts w:hint="eastAsia" w:ascii="仿宋_GB2312" w:hAnsi="宋体" w:eastAsia="仿宋_GB2312" w:cs="宋体"/>
          <w:b/>
          <w:kern w:val="2"/>
          <w:sz w:val="28"/>
          <w:szCs w:val="28"/>
          <w:lang w:eastAsia="zh-CN"/>
        </w:rPr>
        <w:t>6、发光宣传字效果图（参考）</w:t>
      </w:r>
    </w:p>
    <w:p>
      <w:pPr>
        <w:spacing w:line="360" w:lineRule="auto"/>
        <w:ind w:firstLine="560" w:firstLineChars="200"/>
        <w:jc w:val="both"/>
        <w:rPr>
          <w:rFonts w:ascii="仿宋_GB2312" w:hAnsi="Times New Roman" w:eastAsia="仿宋_GB2312" w:cs="Times New Roman"/>
          <w:kern w:val="2"/>
          <w:sz w:val="28"/>
          <w:szCs w:val="28"/>
          <w:lang w:eastAsia="zh-CN"/>
        </w:rPr>
      </w:pPr>
    </w:p>
    <w:p>
      <w:pPr>
        <w:jc w:val="both"/>
        <w:rPr>
          <w:rFonts w:ascii="Times New Roman" w:hAnsi="Times New Roman" w:eastAsia="宋体" w:cs="Times New Roman"/>
          <w:kern w:val="2"/>
          <w:sz w:val="21"/>
          <w:szCs w:val="24"/>
          <w:lang w:eastAsia="zh-CN"/>
        </w:rPr>
      </w:pPr>
      <w:r>
        <w:rPr>
          <w:rFonts w:ascii="Times New Roman" w:hAnsi="Times New Roman" w:eastAsia="宋体" w:cs="Times New Roman"/>
          <w:kern w:val="2"/>
          <w:sz w:val="21"/>
          <w:szCs w:val="24"/>
          <w:lang w:eastAsia="zh-CN"/>
        </w:rPr>
        <w:drawing>
          <wp:inline distT="0" distB="0" distL="0" distR="0">
            <wp:extent cx="2514600" cy="1828800"/>
            <wp:effectExtent l="0" t="0" r="0" b="0"/>
            <wp:docPr id="100" name="图片 100" descr="白红手写体（明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白红手写体（明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14600" cy="1828800"/>
                    </a:xfrm>
                    <a:prstGeom prst="rect">
                      <a:avLst/>
                    </a:prstGeom>
                    <a:noFill/>
                    <a:ln>
                      <a:noFill/>
                    </a:ln>
                  </pic:spPr>
                </pic:pic>
              </a:graphicData>
            </a:graphic>
          </wp:inline>
        </w:drawing>
      </w:r>
      <w:r>
        <w:rPr>
          <w:rFonts w:ascii="Times New Roman" w:hAnsi="Times New Roman" w:eastAsia="宋体" w:cs="Times New Roman"/>
          <w:kern w:val="2"/>
          <w:sz w:val="21"/>
          <w:szCs w:val="24"/>
          <w:lang w:eastAsia="zh-CN"/>
        </w:rPr>
        <w:drawing>
          <wp:inline distT="0" distB="0" distL="0" distR="0">
            <wp:extent cx="2743200" cy="1819275"/>
            <wp:effectExtent l="0" t="0" r="0" b="9525"/>
            <wp:docPr id="101" name="图片 101" descr="夜红手写体（明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夜红手写体（明德）"/>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43200" cy="1819275"/>
                    </a:xfrm>
                    <a:prstGeom prst="rect">
                      <a:avLst/>
                    </a:prstGeom>
                    <a:noFill/>
                    <a:ln>
                      <a:noFill/>
                    </a:ln>
                  </pic:spPr>
                </pic:pic>
              </a:graphicData>
            </a:graphic>
          </wp:inline>
        </w:drawing>
      </w:r>
    </w:p>
    <w:p>
      <w:pPr>
        <w:jc w:val="both"/>
        <w:rPr>
          <w:rFonts w:ascii="Times New Roman" w:hAnsi="Times New Roman" w:eastAsia="宋体" w:cs="Times New Roman"/>
          <w:kern w:val="2"/>
          <w:sz w:val="21"/>
          <w:szCs w:val="24"/>
          <w:lang w:eastAsia="zh-CN"/>
        </w:rPr>
      </w:pPr>
    </w:p>
    <w:p>
      <w:pPr>
        <w:jc w:val="both"/>
        <w:rPr>
          <w:rFonts w:ascii="Times New Roman" w:hAnsi="Times New Roman" w:eastAsia="宋体" w:cs="Times New Roman"/>
          <w:kern w:val="2"/>
          <w:sz w:val="21"/>
          <w:szCs w:val="24"/>
          <w:lang w:eastAsia="zh-CN"/>
        </w:rPr>
      </w:pPr>
      <w:r>
        <w:rPr>
          <w:rFonts w:hint="eastAsia" w:ascii="Times New Roman" w:hAnsi="Times New Roman" w:eastAsia="宋体" w:cs="Times New Roman"/>
          <w:kern w:val="2"/>
          <w:sz w:val="21"/>
          <w:szCs w:val="24"/>
          <w:lang w:eastAsia="zh-CN"/>
        </w:rPr>
        <w:drawing>
          <wp:inline distT="0" distB="0" distL="0" distR="0">
            <wp:extent cx="2628900" cy="2619375"/>
            <wp:effectExtent l="0" t="0" r="0" b="9525"/>
            <wp:docPr id="102" name="图片 102" descr="白红手写体（至善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白红手写体（至善侧）"/>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28900" cy="2619375"/>
                    </a:xfrm>
                    <a:prstGeom prst="rect">
                      <a:avLst/>
                    </a:prstGeom>
                    <a:noFill/>
                    <a:ln>
                      <a:noFill/>
                    </a:ln>
                  </pic:spPr>
                </pic:pic>
              </a:graphicData>
            </a:graphic>
          </wp:inline>
        </w:drawing>
      </w:r>
      <w:r>
        <w:rPr>
          <w:rFonts w:hint="eastAsia" w:ascii="Times New Roman" w:hAnsi="Times New Roman" w:eastAsia="宋体" w:cs="Times New Roman"/>
          <w:kern w:val="2"/>
          <w:sz w:val="21"/>
          <w:szCs w:val="24"/>
          <w:lang w:eastAsia="zh-CN"/>
        </w:rPr>
        <w:drawing>
          <wp:inline distT="0" distB="0" distL="0" distR="0">
            <wp:extent cx="2619375" cy="2638425"/>
            <wp:effectExtent l="0" t="0" r="9525" b="9525"/>
            <wp:docPr id="103" name="图片 103" descr="夜红手写体（至善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夜红手写体（至善侧）"/>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19375" cy="2638425"/>
                    </a:xfrm>
                    <a:prstGeom prst="rect">
                      <a:avLst/>
                    </a:prstGeom>
                    <a:noFill/>
                    <a:ln>
                      <a:noFill/>
                    </a:ln>
                  </pic:spPr>
                </pic:pic>
              </a:graphicData>
            </a:graphic>
          </wp:inline>
        </w:drawing>
      </w:r>
    </w:p>
    <w:p>
      <w:pPr>
        <w:jc w:val="both"/>
        <w:rPr>
          <w:rFonts w:ascii="Times New Roman" w:hAnsi="Times New Roman" w:eastAsia="宋体" w:cs="Times New Roman"/>
          <w:kern w:val="2"/>
          <w:sz w:val="21"/>
          <w:szCs w:val="24"/>
          <w:lang w:eastAsia="zh-CN"/>
        </w:rPr>
      </w:pPr>
    </w:p>
    <w:p>
      <w:pPr>
        <w:jc w:val="both"/>
        <w:rPr>
          <w:rFonts w:ascii="Times New Roman" w:hAnsi="Times New Roman" w:eastAsia="宋体" w:cs="Times New Roman"/>
          <w:kern w:val="2"/>
          <w:sz w:val="21"/>
          <w:szCs w:val="24"/>
          <w:lang w:eastAsia="zh-CN"/>
        </w:rPr>
      </w:pPr>
      <w:r>
        <w:rPr>
          <w:rFonts w:hint="eastAsia" w:ascii="Times New Roman" w:hAnsi="Times New Roman" w:eastAsia="宋体" w:cs="Times New Roman"/>
          <w:kern w:val="2"/>
          <w:sz w:val="21"/>
          <w:szCs w:val="24"/>
          <w:lang w:eastAsia="zh-CN"/>
        </w:rPr>
        <w:drawing>
          <wp:inline distT="0" distB="0" distL="0" distR="0">
            <wp:extent cx="2628900" cy="2628900"/>
            <wp:effectExtent l="0" t="0" r="0" b="0"/>
            <wp:docPr id="104" name="图片 104" descr="3443596438676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344359643867692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628900" cy="2628900"/>
                    </a:xfrm>
                    <a:prstGeom prst="rect">
                      <a:avLst/>
                    </a:prstGeom>
                    <a:noFill/>
                    <a:ln>
                      <a:noFill/>
                    </a:ln>
                  </pic:spPr>
                </pic:pic>
              </a:graphicData>
            </a:graphic>
          </wp:inline>
        </w:drawing>
      </w:r>
      <w:r>
        <w:rPr>
          <w:rFonts w:hint="eastAsia" w:ascii="Times New Roman" w:hAnsi="Times New Roman" w:eastAsia="宋体" w:cs="Times New Roman"/>
          <w:kern w:val="2"/>
          <w:sz w:val="21"/>
          <w:szCs w:val="24"/>
          <w:lang w:eastAsia="zh-CN"/>
        </w:rPr>
        <w:drawing>
          <wp:inline distT="0" distB="0" distL="0" distR="0">
            <wp:extent cx="2628900" cy="2609850"/>
            <wp:effectExtent l="0" t="0" r="0" b="0"/>
            <wp:docPr id="105" name="图片 105" descr="49660622303603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4966062230360305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628900" cy="2609850"/>
                    </a:xfrm>
                    <a:prstGeom prst="rect">
                      <a:avLst/>
                    </a:prstGeom>
                    <a:noFill/>
                    <a:ln>
                      <a:noFill/>
                    </a:ln>
                  </pic:spPr>
                </pic:pic>
              </a:graphicData>
            </a:graphic>
          </wp:inline>
        </w:drawing>
      </w:r>
    </w:p>
    <w:p>
      <w:pPr>
        <w:spacing w:line="500" w:lineRule="exact"/>
        <w:jc w:val="both"/>
        <w:rPr>
          <w:rFonts w:ascii="仿宋_GB2312" w:hAnsi="Times New Roman" w:eastAsia="仿宋_GB2312" w:cs="Times New Roman"/>
          <w:kern w:val="2"/>
          <w:sz w:val="28"/>
          <w:szCs w:val="28"/>
          <w:lang w:eastAsia="zh-CN"/>
        </w:rPr>
      </w:pPr>
    </w:p>
    <w:p>
      <w:pPr>
        <w:spacing w:line="500" w:lineRule="exact"/>
        <w:jc w:val="both"/>
        <w:rPr>
          <w:rFonts w:ascii="仿宋_GB2312" w:hAnsi="Times New Roman" w:eastAsia="仿宋_GB2312" w:cs="Times New Roman"/>
          <w:kern w:val="2"/>
          <w:sz w:val="28"/>
          <w:szCs w:val="28"/>
          <w:lang w:eastAsia="zh-CN"/>
        </w:rPr>
      </w:pPr>
    </w:p>
    <w:p>
      <w:pPr>
        <w:spacing w:line="500" w:lineRule="exact"/>
        <w:ind w:firstLine="551" w:firstLineChars="196"/>
        <w:jc w:val="both"/>
        <w:rPr>
          <w:rFonts w:ascii="仿宋_GB2312" w:hAnsi="宋体" w:eastAsia="仿宋_GB2312" w:cs="Times New Roman"/>
          <w:b/>
          <w:bCs/>
          <w:kern w:val="2"/>
          <w:sz w:val="28"/>
          <w:szCs w:val="28"/>
          <w:lang w:eastAsia="zh-CN"/>
        </w:rPr>
      </w:pPr>
      <w:r>
        <w:rPr>
          <w:rFonts w:hint="eastAsia" w:ascii="仿宋_GB2312" w:hAnsi="宋体" w:eastAsia="仿宋_GB2312" w:cs="Times New Roman"/>
          <w:b/>
          <w:bCs/>
          <w:kern w:val="2"/>
          <w:sz w:val="28"/>
          <w:szCs w:val="28"/>
          <w:lang w:eastAsia="zh-CN"/>
        </w:rPr>
        <w:t>7、</w:t>
      </w:r>
      <w:r>
        <w:rPr>
          <w:rFonts w:hint="eastAsia" w:ascii="仿宋_GB2312" w:hAnsi="宋体" w:eastAsia="仿宋_GB2312" w:cs="宋体"/>
          <w:b/>
          <w:kern w:val="2"/>
          <w:sz w:val="28"/>
          <w:szCs w:val="28"/>
          <w:lang w:eastAsia="zh-CN"/>
        </w:rPr>
        <w:t>发光宣传字效果图报价明细</w:t>
      </w:r>
    </w:p>
    <w:tbl>
      <w:tblPr>
        <w:tblStyle w:val="16"/>
        <w:tblW w:w="10920" w:type="dxa"/>
        <w:tblInd w:w="-801" w:type="dxa"/>
        <w:tblLayout w:type="fixed"/>
        <w:tblCellMar>
          <w:top w:w="0" w:type="dxa"/>
          <w:left w:w="108" w:type="dxa"/>
          <w:bottom w:w="0" w:type="dxa"/>
          <w:right w:w="108" w:type="dxa"/>
        </w:tblCellMar>
      </w:tblPr>
      <w:tblGrid>
        <w:gridCol w:w="1400"/>
        <w:gridCol w:w="1820"/>
        <w:gridCol w:w="3434"/>
        <w:gridCol w:w="1101"/>
        <w:gridCol w:w="892"/>
        <w:gridCol w:w="893"/>
        <w:gridCol w:w="1380"/>
      </w:tblGrid>
      <w:tr>
        <w:tblPrEx>
          <w:tblLayout w:type="fixed"/>
          <w:tblCellMar>
            <w:top w:w="0" w:type="dxa"/>
            <w:left w:w="108" w:type="dxa"/>
            <w:bottom w:w="0" w:type="dxa"/>
            <w:right w:w="108" w:type="dxa"/>
          </w:tblCellMar>
        </w:tblPrEx>
        <w:trPr>
          <w:trHeight w:val="375" w:hRule="atLeast"/>
        </w:trPr>
        <w:tc>
          <w:tcPr>
            <w:tcW w:w="1092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亚克力发光字综合报价</w:t>
            </w:r>
          </w:p>
        </w:tc>
      </w:tr>
      <w:tr>
        <w:tblPrEx>
          <w:tblLayout w:type="fixed"/>
          <w:tblCellMar>
            <w:top w:w="0" w:type="dxa"/>
            <w:left w:w="108" w:type="dxa"/>
            <w:bottom w:w="0" w:type="dxa"/>
            <w:right w:w="108" w:type="dxa"/>
          </w:tblCellMar>
        </w:tblPrEx>
        <w:trPr>
          <w:trHeight w:val="34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1</w:t>
            </w:r>
          </w:p>
        </w:tc>
        <w:tc>
          <w:tcPr>
            <w:tcW w:w="9520" w:type="dxa"/>
            <w:gridSpan w:val="6"/>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亚克力发光字：山东大学第二医院4米*4米*8个字*2套=256平方</w:t>
            </w:r>
          </w:p>
        </w:tc>
      </w:tr>
      <w:tr>
        <w:tblPrEx>
          <w:tblLayout w:type="fixed"/>
          <w:tblCellMar>
            <w:top w:w="0" w:type="dxa"/>
            <w:left w:w="108" w:type="dxa"/>
            <w:bottom w:w="0" w:type="dxa"/>
            <w:right w:w="108" w:type="dxa"/>
          </w:tblCellMar>
        </w:tblPrEx>
        <w:trPr>
          <w:trHeight w:val="34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2</w:t>
            </w:r>
          </w:p>
        </w:tc>
        <w:tc>
          <w:tcPr>
            <w:tcW w:w="9520" w:type="dxa"/>
            <w:gridSpan w:val="6"/>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亚克力发光字：医院标识加山大二院4米*4米*5个=80平方</w:t>
            </w:r>
          </w:p>
        </w:tc>
      </w:tr>
      <w:tr>
        <w:tblPrEx>
          <w:tblLayout w:type="fixed"/>
          <w:tblCellMar>
            <w:top w:w="0" w:type="dxa"/>
            <w:left w:w="108" w:type="dxa"/>
            <w:bottom w:w="0" w:type="dxa"/>
            <w:right w:w="108" w:type="dxa"/>
          </w:tblCellMar>
        </w:tblPrEx>
        <w:trPr>
          <w:trHeight w:val="372"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7247" w:type="dxa"/>
            <w:gridSpan w:val="4"/>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eastAsia="宋体" w:cs="宋体"/>
                <w:sz w:val="24"/>
                <w:szCs w:val="24"/>
                <w:lang w:eastAsia="zh-CN"/>
              </w:rPr>
            </w:pPr>
            <w:r>
              <w:rPr>
                <w:rFonts w:hint="eastAsia" w:ascii="宋体" w:hAnsi="宋体" w:eastAsia="宋体" w:cs="宋体"/>
                <w:sz w:val="24"/>
                <w:szCs w:val="24"/>
                <w:lang w:eastAsia="zh-CN"/>
              </w:rPr>
              <w:t>门诊楼铝方管背板、钢结构尺寸；50米*4.2米=210平方。</w:t>
            </w:r>
          </w:p>
        </w:tc>
        <w:tc>
          <w:tcPr>
            <w:tcW w:w="893" w:type="dxa"/>
            <w:tcBorders>
              <w:top w:val="nil"/>
              <w:left w:val="nil"/>
              <w:bottom w:val="single" w:color="auto" w:sz="4" w:space="0"/>
              <w:right w:val="nil"/>
            </w:tcBorders>
            <w:shd w:val="clear" w:color="auto" w:fill="auto"/>
            <w:noWrap/>
            <w:vAlign w:val="center"/>
          </w:tcPr>
          <w:p>
            <w:pPr>
              <w:widowControl/>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1380" w:type="dxa"/>
            <w:tcBorders>
              <w:top w:val="nil"/>
              <w:left w:val="nil"/>
              <w:bottom w:val="single" w:color="auto" w:sz="4" w:space="0"/>
              <w:right w:val="nil"/>
            </w:tcBorders>
            <w:shd w:val="clear" w:color="auto" w:fill="auto"/>
            <w:noWrap/>
            <w:vAlign w:val="center"/>
          </w:tcPr>
          <w:p>
            <w:pPr>
              <w:widowControl/>
              <w:rPr>
                <w:rFonts w:ascii="宋体" w:hAnsi="宋体" w:eastAsia="宋体" w:cs="宋体"/>
                <w:sz w:val="24"/>
                <w:szCs w:val="24"/>
                <w:lang w:eastAsia="zh-CN"/>
              </w:rPr>
            </w:pPr>
            <w:r>
              <w:rPr>
                <w:rFonts w:hint="eastAsia" w:ascii="宋体" w:hAnsi="宋体" w:eastAsia="宋体" w:cs="宋体"/>
                <w:sz w:val="24"/>
                <w:szCs w:val="24"/>
                <w:lang w:eastAsia="zh-CN"/>
              </w:rPr>
              <w:t>　</w:t>
            </w:r>
          </w:p>
        </w:tc>
      </w:tr>
      <w:tr>
        <w:tblPrEx>
          <w:tblLayout w:type="fixed"/>
          <w:tblCellMar>
            <w:top w:w="0" w:type="dxa"/>
            <w:left w:w="108" w:type="dxa"/>
            <w:bottom w:w="0" w:type="dxa"/>
            <w:right w:w="108" w:type="dxa"/>
          </w:tblCellMar>
        </w:tblPrEx>
        <w:trPr>
          <w:trHeight w:val="28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项目</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名称</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规格</w:t>
            </w: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数量</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单位</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单价</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金额</w:t>
            </w:r>
          </w:p>
        </w:tc>
      </w:tr>
      <w:tr>
        <w:tblPrEx>
          <w:tblLayout w:type="fixed"/>
        </w:tblPrEx>
        <w:trPr>
          <w:trHeight w:val="270" w:hRule="atLeast"/>
        </w:trPr>
        <w:tc>
          <w:tcPr>
            <w:tcW w:w="14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字壳</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铝板</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2MM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激光切割</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异形焊接</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汽车烤漆</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光源</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LED灯</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12V、0.6W</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32600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组</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电源</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400瓦、12v</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60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台</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PrEx>
        <w:trPr>
          <w:trHeight w:val="289"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模组连接线线</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2.5M2</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2</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盘</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电源连接线</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2.5M2</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4</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盘</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主电源</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5*4M2</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200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米</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配电箱</w:t>
            </w:r>
          </w:p>
        </w:tc>
        <w:tc>
          <w:tcPr>
            <w:tcW w:w="34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lang w:eastAsia="zh-CN"/>
              </w:rPr>
            </w:pPr>
            <w:r>
              <w:rPr>
                <w:rFonts w:hint="eastAsia" w:ascii="宋体" w:hAnsi="宋体" w:eastAsia="宋体" w:cs="宋体"/>
                <w:lang w:eastAsia="zh-CN"/>
              </w:rPr>
              <w:t>600*800</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套</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穿线管</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金属软管</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300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米</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文字组合</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人工费</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PrEx>
        <w:trPr>
          <w:trHeight w:val="270" w:hRule="atLeast"/>
        </w:trPr>
        <w:tc>
          <w:tcPr>
            <w:tcW w:w="14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亚克力面板</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亚克力</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5MM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亚克力吸塑</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lang w:eastAsia="zh-CN"/>
              </w:rPr>
            </w:pPr>
            <w:r>
              <w:rPr>
                <w:rFonts w:hint="eastAsia" w:ascii="宋体" w:hAnsi="宋体" w:eastAsia="宋体" w:cs="宋体"/>
                <w:lang w:eastAsia="zh-CN"/>
              </w:rPr>
              <w:t>钢结构</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钢板</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200*200*12MM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60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块</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镀锌角铁</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60*60*5MM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15</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镀锌角铁</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50*50*5MM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60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镀锌角铁</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40*40*4MM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94</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防锈漆</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中灰</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2</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桶</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化学螺栓</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￠160*200MM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240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铝管</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100*25*1.5MM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195</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钢结构焊接</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高空作业人工费</w:t>
            </w:r>
          </w:p>
        </w:tc>
        <w:tc>
          <w:tcPr>
            <w:tcW w:w="3434" w:type="dxa"/>
            <w:tcBorders>
              <w:top w:val="nil"/>
              <w:left w:val="nil"/>
              <w:bottom w:val="nil"/>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101"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326</w:t>
            </w:r>
          </w:p>
        </w:tc>
        <w:tc>
          <w:tcPr>
            <w:tcW w:w="892"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平方</w:t>
            </w:r>
          </w:p>
        </w:tc>
        <w:tc>
          <w:tcPr>
            <w:tcW w:w="893" w:type="dxa"/>
            <w:tcBorders>
              <w:top w:val="nil"/>
              <w:left w:val="nil"/>
              <w:bottom w:val="nil"/>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nil"/>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文字安装</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高空作业人工费</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其他</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运费及搬运费</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1</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吊篮</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6米</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2</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组</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吊车</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100吨</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3</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台班</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辅料</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1</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安全防护措施费</w:t>
            </w:r>
          </w:p>
        </w:tc>
        <w:tc>
          <w:tcPr>
            <w:tcW w:w="3434" w:type="dxa"/>
            <w:tcBorders>
              <w:top w:val="nil"/>
              <w:left w:val="nil"/>
              <w:bottom w:val="single" w:color="auto" w:sz="4" w:space="0"/>
              <w:right w:val="single" w:color="auto" w:sz="4" w:space="0"/>
            </w:tcBorders>
            <w:shd w:val="clear" w:color="auto" w:fill="auto"/>
            <w:noWrap/>
            <w:vAlign w:val="center"/>
          </w:tcPr>
          <w:p>
            <w:pPr>
              <w:widowControl/>
              <w:ind w:right="110"/>
              <w:jc w:val="right"/>
              <w:rPr>
                <w:rFonts w:ascii="宋体" w:hAnsi="宋体" w:eastAsia="宋体" w:cs="宋体"/>
                <w:lang w:eastAsia="zh-CN"/>
              </w:rPr>
            </w:pP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检测费</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lang w:eastAsia="zh-CN"/>
              </w:rPr>
            </w:pP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工程管理费</w:t>
            </w:r>
          </w:p>
        </w:tc>
        <w:tc>
          <w:tcPr>
            <w:tcW w:w="3434" w:type="dxa"/>
            <w:tcBorders>
              <w:top w:val="nil"/>
              <w:left w:val="nil"/>
              <w:bottom w:val="single" w:color="auto" w:sz="4" w:space="0"/>
              <w:right w:val="single" w:color="auto" w:sz="4" w:space="0"/>
            </w:tcBorders>
            <w:shd w:val="clear" w:color="auto" w:fill="auto"/>
            <w:noWrap/>
            <w:vAlign w:val="center"/>
          </w:tcPr>
          <w:p>
            <w:pPr>
              <w:widowControl/>
              <w:ind w:right="220"/>
              <w:jc w:val="right"/>
              <w:rPr>
                <w:rFonts w:ascii="宋体" w:hAnsi="宋体" w:eastAsia="宋体" w:cs="宋体"/>
                <w:lang w:eastAsia="zh-CN"/>
              </w:rPr>
            </w:pP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eastAsia="宋体" w:cs="宋体"/>
                <w:lang w:eastAsia="zh-CN"/>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利润</w:t>
            </w:r>
          </w:p>
        </w:tc>
        <w:tc>
          <w:tcPr>
            <w:tcW w:w="34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lang w:eastAsia="zh-CN"/>
              </w:rPr>
            </w:pP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30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lang w:eastAsia="zh-CN"/>
              </w:rPr>
            </w:pPr>
            <w:r>
              <w:rPr>
                <w:rFonts w:hint="eastAsia" w:ascii="宋体" w:hAnsi="宋体" w:eastAsia="宋体" w:cs="宋体"/>
                <w:lang w:eastAsia="zh-CN"/>
              </w:rPr>
              <w:t>　</w:t>
            </w:r>
          </w:p>
        </w:tc>
        <w:tc>
          <w:tcPr>
            <w:tcW w:w="18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lang w:eastAsia="zh-CN"/>
              </w:rPr>
            </w:pPr>
            <w:r>
              <w:rPr>
                <w:rFonts w:hint="eastAsia" w:ascii="宋体" w:hAnsi="宋体" w:eastAsia="宋体" w:cs="宋体"/>
                <w:lang w:eastAsia="zh-CN"/>
              </w:rPr>
              <w:t>税</w:t>
            </w:r>
          </w:p>
        </w:tc>
        <w:tc>
          <w:tcPr>
            <w:tcW w:w="3434" w:type="dxa"/>
            <w:tcBorders>
              <w:top w:val="nil"/>
              <w:left w:val="nil"/>
              <w:bottom w:val="single" w:color="auto" w:sz="4" w:space="0"/>
              <w:right w:val="single" w:color="auto" w:sz="4" w:space="0"/>
            </w:tcBorders>
            <w:shd w:val="clear" w:color="auto" w:fill="auto"/>
            <w:noWrap/>
            <w:vAlign w:val="center"/>
          </w:tcPr>
          <w:p>
            <w:pPr>
              <w:widowControl/>
              <w:ind w:right="110"/>
              <w:jc w:val="right"/>
              <w:rPr>
                <w:rFonts w:ascii="宋体" w:hAnsi="宋体" w:eastAsia="宋体" w:cs="宋体"/>
                <w:lang w:eastAsia="zh-CN"/>
              </w:rPr>
            </w:pP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lang w:eastAsia="zh-CN"/>
              </w:rPr>
            </w:pPr>
            <w:r>
              <w:rPr>
                <w:rFonts w:hint="eastAsia" w:ascii="宋体" w:hAnsi="宋体" w:eastAsia="宋体" w:cs="宋体"/>
                <w:lang w:eastAsia="zh-CN"/>
              </w:rPr>
              <w:t>　</w:t>
            </w:r>
          </w:p>
        </w:tc>
      </w:tr>
      <w:tr>
        <w:tblPrEx>
          <w:tblLayout w:type="fixed"/>
          <w:tblCellMar>
            <w:top w:w="0" w:type="dxa"/>
            <w:left w:w="108" w:type="dxa"/>
            <w:bottom w:w="0" w:type="dxa"/>
            <w:right w:w="108" w:type="dxa"/>
          </w:tblCellMar>
        </w:tblPrEx>
        <w:trPr>
          <w:trHeight w:val="420" w:hRule="atLeast"/>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18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lang w:eastAsia="zh-CN"/>
              </w:rPr>
            </w:pPr>
            <w:r>
              <w:rPr>
                <w:rFonts w:hint="eastAsia" w:ascii="宋体" w:hAnsi="宋体" w:eastAsia="宋体" w:cs="宋体"/>
                <w:lang w:eastAsia="zh-CN"/>
              </w:rPr>
              <w:t>原宣传字估价</w:t>
            </w:r>
          </w:p>
        </w:tc>
        <w:tc>
          <w:tcPr>
            <w:tcW w:w="3434" w:type="dxa"/>
            <w:tcBorders>
              <w:top w:val="single" w:color="auto" w:sz="4" w:space="0"/>
              <w:left w:val="nil"/>
              <w:bottom w:val="single" w:color="auto" w:sz="4" w:space="0"/>
              <w:right w:val="single" w:color="auto" w:sz="4" w:space="0"/>
            </w:tcBorders>
            <w:shd w:val="clear" w:color="auto" w:fill="auto"/>
            <w:noWrap/>
            <w:vAlign w:val="center"/>
          </w:tcPr>
          <w:p>
            <w:pPr>
              <w:widowControl/>
              <w:ind w:right="110"/>
              <w:jc w:val="right"/>
              <w:rPr>
                <w:rFonts w:ascii="宋体" w:hAnsi="宋体" w:eastAsia="宋体" w:cs="宋体"/>
                <w:lang w:eastAsia="zh-CN"/>
              </w:rPr>
            </w:pPr>
          </w:p>
        </w:tc>
        <w:tc>
          <w:tcPr>
            <w:tcW w:w="1101"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lang w:eastAsia="zh-CN"/>
              </w:rPr>
            </w:pPr>
            <w:r>
              <w:rPr>
                <w:rFonts w:hint="eastAsia" w:ascii="宋体" w:hAnsi="宋体" w:eastAsia="宋体" w:cs="宋体"/>
                <w:lang w:eastAsia="zh-CN"/>
              </w:rPr>
              <w:t>扣除</w:t>
            </w:r>
          </w:p>
          <w:p>
            <w:pPr>
              <w:rPr>
                <w:rFonts w:ascii="宋体" w:hAnsi="宋体" w:eastAsia="宋体" w:cs="宋体"/>
                <w:lang w:eastAsia="zh-CN"/>
              </w:rPr>
            </w:pPr>
          </w:p>
        </w:tc>
        <w:tc>
          <w:tcPr>
            <w:tcW w:w="89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lang w:eastAsia="zh-CN"/>
              </w:rPr>
            </w:pPr>
          </w:p>
        </w:tc>
        <w:tc>
          <w:tcPr>
            <w:tcW w:w="89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lang w:eastAsia="zh-CN"/>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lang w:eastAsia="zh-CN"/>
              </w:rPr>
            </w:pPr>
          </w:p>
        </w:tc>
      </w:tr>
      <w:tr>
        <w:tblPrEx>
          <w:tblLayout w:type="fixed"/>
          <w:tblCellMar>
            <w:top w:w="0" w:type="dxa"/>
            <w:left w:w="108" w:type="dxa"/>
            <w:bottom w:w="0" w:type="dxa"/>
            <w:right w:w="108" w:type="dxa"/>
          </w:tblCellMar>
        </w:tblPrEx>
        <w:trPr>
          <w:trHeight w:val="195" w:hRule="atLeast"/>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lang w:eastAsia="zh-CN"/>
              </w:rPr>
            </w:pPr>
          </w:p>
        </w:tc>
        <w:tc>
          <w:tcPr>
            <w:tcW w:w="18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lang w:eastAsia="zh-CN"/>
              </w:rPr>
            </w:pPr>
            <w:r>
              <w:rPr>
                <w:rFonts w:hint="eastAsia" w:ascii="宋体" w:hAnsi="宋体" w:eastAsia="宋体" w:cs="宋体"/>
                <w:lang w:eastAsia="zh-CN"/>
              </w:rPr>
              <w:t>总报价</w:t>
            </w:r>
          </w:p>
        </w:tc>
        <w:tc>
          <w:tcPr>
            <w:tcW w:w="3434" w:type="dxa"/>
            <w:tcBorders>
              <w:top w:val="single" w:color="auto" w:sz="4" w:space="0"/>
              <w:left w:val="nil"/>
              <w:bottom w:val="single" w:color="auto" w:sz="4" w:space="0"/>
              <w:right w:val="single" w:color="auto" w:sz="4" w:space="0"/>
            </w:tcBorders>
            <w:shd w:val="clear" w:color="auto" w:fill="auto"/>
            <w:noWrap/>
            <w:vAlign w:val="center"/>
          </w:tcPr>
          <w:p>
            <w:pPr>
              <w:widowControl/>
              <w:ind w:right="110"/>
              <w:jc w:val="right"/>
              <w:rPr>
                <w:rFonts w:ascii="宋体" w:hAnsi="宋体" w:eastAsia="宋体" w:cs="宋体"/>
                <w:lang w:eastAsia="zh-CN"/>
              </w:rPr>
            </w:pPr>
          </w:p>
        </w:tc>
        <w:tc>
          <w:tcPr>
            <w:tcW w:w="1101"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lang w:eastAsia="zh-CN"/>
              </w:rPr>
            </w:pPr>
          </w:p>
        </w:tc>
        <w:tc>
          <w:tcPr>
            <w:tcW w:w="89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lang w:eastAsia="zh-CN"/>
              </w:rPr>
            </w:pPr>
          </w:p>
        </w:tc>
        <w:tc>
          <w:tcPr>
            <w:tcW w:w="89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lang w:eastAsia="zh-CN"/>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lang w:eastAsia="zh-CN"/>
              </w:rPr>
            </w:pPr>
          </w:p>
        </w:tc>
      </w:tr>
    </w:tbl>
    <w:p>
      <w:pPr>
        <w:spacing w:line="500" w:lineRule="exact"/>
        <w:jc w:val="both"/>
        <w:rPr>
          <w:rFonts w:ascii="仿宋_GB2312" w:hAnsi="宋体" w:eastAsia="仿宋_GB2312" w:cs="Times New Roman"/>
          <w:b/>
          <w:bCs/>
          <w:kern w:val="2"/>
          <w:sz w:val="28"/>
          <w:szCs w:val="28"/>
          <w:lang w:eastAsia="zh-CN"/>
        </w:rPr>
      </w:pPr>
    </w:p>
    <w:p>
      <w:pPr>
        <w:spacing w:line="500" w:lineRule="exact"/>
        <w:ind w:firstLine="551" w:firstLineChars="196"/>
        <w:jc w:val="both"/>
        <w:rPr>
          <w:rFonts w:ascii="仿宋_GB2312" w:hAnsi="宋体" w:eastAsia="仿宋_GB2312" w:cs="Times New Roman"/>
          <w:b/>
          <w:bCs/>
          <w:kern w:val="2"/>
          <w:sz w:val="28"/>
          <w:szCs w:val="28"/>
          <w:lang w:eastAsia="zh-CN"/>
        </w:rPr>
      </w:pPr>
      <w:r>
        <w:rPr>
          <w:rFonts w:hint="eastAsia" w:ascii="仿宋_GB2312" w:hAnsi="宋体" w:eastAsia="仿宋_GB2312" w:cs="Times New Roman"/>
          <w:b/>
          <w:bCs/>
          <w:kern w:val="2"/>
          <w:sz w:val="28"/>
          <w:szCs w:val="28"/>
          <w:lang w:eastAsia="zh-CN"/>
        </w:rPr>
        <w:t>8、承诺及条款</w:t>
      </w:r>
    </w:p>
    <w:p>
      <w:pPr>
        <w:spacing w:line="500" w:lineRule="exact"/>
        <w:ind w:firstLine="548" w:firstLineChars="196"/>
        <w:jc w:val="both"/>
        <w:rPr>
          <w:rFonts w:ascii="仿宋_GB2312" w:hAnsi="宋体" w:eastAsia="仿宋_GB2312" w:cs="Times New Roman"/>
          <w:bCs/>
          <w:kern w:val="2"/>
          <w:sz w:val="28"/>
          <w:szCs w:val="28"/>
          <w:lang w:eastAsia="zh-CN"/>
        </w:rPr>
      </w:pPr>
      <w:r>
        <w:rPr>
          <w:rFonts w:hint="eastAsia" w:ascii="仿宋_GB2312" w:hAnsi="宋体" w:eastAsia="仿宋_GB2312" w:cs="Times New Roman"/>
          <w:bCs/>
          <w:kern w:val="2"/>
          <w:sz w:val="28"/>
          <w:szCs w:val="28"/>
          <w:lang w:eastAsia="zh-CN"/>
        </w:rPr>
        <w:t>8.1、中标单位如无能力报批，在中标后一月内无法取得批复，解除中标资格，且磋商保证金不予退还，报批所产生的费用由中标方承担。</w:t>
      </w:r>
    </w:p>
    <w:p>
      <w:pPr>
        <w:spacing w:line="500" w:lineRule="exact"/>
        <w:ind w:firstLine="548" w:firstLineChars="196"/>
        <w:jc w:val="both"/>
        <w:rPr>
          <w:rFonts w:ascii="仿宋_GB2312" w:hAnsi="宋体" w:eastAsia="仿宋_GB2312" w:cs="Times New Roman"/>
          <w:bCs/>
          <w:kern w:val="2"/>
          <w:sz w:val="28"/>
          <w:szCs w:val="28"/>
          <w:lang w:eastAsia="zh-CN"/>
        </w:rPr>
      </w:pPr>
      <w:r>
        <w:rPr>
          <w:rFonts w:hint="eastAsia" w:ascii="仿宋_GB2312" w:hAnsi="宋体" w:eastAsia="仿宋_GB2312" w:cs="Times New Roman"/>
          <w:bCs/>
          <w:kern w:val="2"/>
          <w:sz w:val="28"/>
          <w:szCs w:val="28"/>
          <w:lang w:eastAsia="zh-CN"/>
        </w:rPr>
        <w:t>8.2、根据批复意见，结合磋商报价清单，可进行方案微调，但中标总价不得上调，签订合同。</w:t>
      </w:r>
    </w:p>
    <w:p>
      <w:pPr>
        <w:spacing w:line="500" w:lineRule="exact"/>
        <w:ind w:firstLine="548" w:firstLineChars="196"/>
        <w:jc w:val="both"/>
        <w:rPr>
          <w:rFonts w:ascii="仿宋_GB2312" w:hAnsi="宋体" w:eastAsia="仿宋_GB2312" w:cs="Times New Roman"/>
          <w:bCs/>
          <w:kern w:val="2"/>
          <w:sz w:val="28"/>
          <w:szCs w:val="28"/>
          <w:lang w:eastAsia="zh-CN"/>
        </w:rPr>
      </w:pPr>
      <w:r>
        <w:rPr>
          <w:rFonts w:hint="eastAsia" w:ascii="仿宋_GB2312" w:hAnsi="宋体" w:eastAsia="仿宋_GB2312" w:cs="Times New Roman"/>
          <w:bCs/>
          <w:kern w:val="2"/>
          <w:sz w:val="28"/>
          <w:szCs w:val="28"/>
          <w:lang w:eastAsia="zh-CN"/>
        </w:rPr>
        <w:t>8.3、中标单位对招标方原拆除发光宣传字估价回收处理。价格由总报价中扣除。</w:t>
      </w:r>
    </w:p>
    <w:p>
      <w:pPr>
        <w:spacing w:line="500" w:lineRule="exact"/>
        <w:ind w:firstLine="551" w:firstLineChars="196"/>
        <w:jc w:val="both"/>
        <w:rPr>
          <w:rFonts w:ascii="仿宋_GB2312" w:hAnsi="宋体" w:eastAsia="仿宋_GB2312" w:cs="Times New Roman"/>
          <w:b/>
          <w:bCs/>
          <w:kern w:val="2"/>
          <w:sz w:val="28"/>
          <w:szCs w:val="28"/>
          <w:lang w:eastAsia="zh-CN"/>
        </w:rPr>
      </w:pPr>
    </w:p>
    <w:p>
      <w:pPr>
        <w:spacing w:line="357" w:lineRule="auto"/>
        <w:rPr>
          <w:lang w:eastAsia="zh-CN"/>
        </w:rPr>
        <w:sectPr>
          <w:pgSz w:w="11910" w:h="16840"/>
          <w:pgMar w:top="860" w:right="620" w:bottom="940" w:left="1020" w:header="0" w:footer="751" w:gutter="0"/>
          <w:cols w:space="720" w:num="1"/>
        </w:sectPr>
      </w:pPr>
    </w:p>
    <w:p>
      <w:pPr>
        <w:pStyle w:val="2"/>
        <w:tabs>
          <w:tab w:val="left" w:pos="2054"/>
        </w:tabs>
        <w:spacing w:line="514" w:lineRule="exact"/>
        <w:ind w:left="288"/>
        <w:jc w:val="center"/>
        <w:rPr>
          <w:lang w:eastAsia="zh-CN"/>
        </w:rPr>
      </w:pPr>
      <w:bookmarkStart w:id="95" w:name="第四章__合同条款及格式"/>
      <w:bookmarkEnd w:id="95"/>
      <w:bookmarkStart w:id="96" w:name="_bookmark3"/>
      <w:bookmarkEnd w:id="96"/>
      <w:r>
        <w:rPr>
          <w:w w:val="95"/>
          <w:lang w:eastAsia="zh-CN"/>
        </w:rPr>
        <w:t>第四章</w:t>
      </w:r>
      <w:r>
        <w:rPr>
          <w:w w:val="95"/>
          <w:lang w:eastAsia="zh-CN"/>
        </w:rPr>
        <w:tab/>
      </w:r>
      <w:r>
        <w:rPr>
          <w:lang w:eastAsia="zh-CN"/>
        </w:rPr>
        <w:t>合同条款及格式</w:t>
      </w:r>
    </w:p>
    <w:p>
      <w:pPr>
        <w:pStyle w:val="2"/>
        <w:tabs>
          <w:tab w:val="left" w:pos="2054"/>
        </w:tabs>
        <w:spacing w:line="514" w:lineRule="exact"/>
        <w:ind w:left="288"/>
        <w:jc w:val="center"/>
        <w:rPr>
          <w:rFonts w:ascii="宋体" w:hAnsi="宋体" w:eastAsia="宋体" w:cs="宋体"/>
          <w:b w:val="0"/>
          <w:bCs w:val="0"/>
          <w:lang w:eastAsia="zh-CN"/>
        </w:rPr>
      </w:pPr>
      <w:r>
        <w:rPr>
          <w:rFonts w:hint="eastAsia" w:ascii="宋体" w:hAnsi="宋体" w:eastAsia="宋体" w:cs="宋体"/>
          <w:b w:val="0"/>
          <w:bCs w:val="0"/>
          <w:lang w:eastAsia="zh-CN"/>
        </w:rPr>
        <w:t>（本合同格式，仅供参考，具体以实际</w:t>
      </w:r>
    </w:p>
    <w:p>
      <w:pPr>
        <w:pStyle w:val="2"/>
        <w:tabs>
          <w:tab w:val="left" w:pos="2054"/>
        </w:tabs>
        <w:spacing w:line="514" w:lineRule="exact"/>
        <w:ind w:left="288"/>
        <w:jc w:val="center"/>
        <w:rPr>
          <w:b w:val="0"/>
          <w:bCs w:val="0"/>
          <w:lang w:eastAsia="zh-CN"/>
        </w:rPr>
      </w:pPr>
      <w:r>
        <w:rPr>
          <w:rFonts w:hint="eastAsia" w:ascii="宋体" w:hAnsi="宋体" w:eastAsia="宋体" w:cs="宋体"/>
          <w:b w:val="0"/>
          <w:bCs w:val="0"/>
          <w:lang w:eastAsia="zh-CN"/>
        </w:rPr>
        <w:t>签署合同为准）</w:t>
      </w:r>
    </w:p>
    <w:p>
      <w:pPr>
        <w:rPr>
          <w:rFonts w:ascii="黑体" w:hAnsi="黑体" w:eastAsia="黑体" w:cs="黑体"/>
          <w:b/>
          <w:bCs/>
          <w:sz w:val="44"/>
          <w:szCs w:val="44"/>
          <w:lang w:eastAsia="zh-CN"/>
        </w:rPr>
      </w:pPr>
    </w:p>
    <w:p>
      <w:pPr>
        <w:rPr>
          <w:rFonts w:ascii="黑体" w:hAnsi="黑体" w:eastAsia="黑体" w:cs="黑体"/>
          <w:b/>
          <w:bCs/>
          <w:sz w:val="44"/>
          <w:szCs w:val="44"/>
          <w:lang w:eastAsia="zh-CN"/>
        </w:rPr>
      </w:pPr>
    </w:p>
    <w:p>
      <w:pPr>
        <w:ind w:left="285"/>
        <w:jc w:val="center"/>
        <w:rPr>
          <w:rFonts w:ascii="宋体" w:hAnsi="宋体" w:eastAsia="宋体" w:cs="宋体"/>
          <w:sz w:val="44"/>
          <w:szCs w:val="44"/>
          <w:lang w:eastAsia="zh-CN"/>
        </w:rPr>
      </w:pPr>
      <w:r>
        <w:rPr>
          <w:rFonts w:ascii="宋体" w:hAnsi="宋体" w:eastAsia="宋体" w:cs="宋体"/>
          <w:b/>
          <w:bCs/>
          <w:sz w:val="44"/>
          <w:szCs w:val="44"/>
          <w:lang w:eastAsia="zh-CN"/>
        </w:rPr>
        <w:t xml:space="preserve">政 府 </w:t>
      </w:r>
      <w:bookmarkStart w:id="97" w:name="_bookmark4"/>
      <w:bookmarkEnd w:id="97"/>
      <w:r>
        <w:rPr>
          <w:rFonts w:ascii="宋体" w:hAnsi="宋体" w:eastAsia="宋体" w:cs="宋体"/>
          <w:b/>
          <w:bCs/>
          <w:sz w:val="44"/>
          <w:szCs w:val="44"/>
          <w:lang w:eastAsia="zh-CN"/>
        </w:rPr>
        <w:t>采 购 合 同</w:t>
      </w:r>
      <w:r>
        <w:rPr>
          <w:rFonts w:ascii="宋体" w:hAnsi="宋体" w:eastAsia="宋体" w:cs="宋体"/>
          <w:b/>
          <w:bCs/>
          <w:spacing w:val="-25"/>
          <w:sz w:val="44"/>
          <w:szCs w:val="44"/>
          <w:lang w:eastAsia="zh-CN"/>
        </w:rPr>
        <w:t xml:space="preserve"> </w:t>
      </w:r>
      <w:r>
        <w:rPr>
          <w:rFonts w:ascii="宋体" w:hAnsi="宋体" w:eastAsia="宋体" w:cs="宋体"/>
          <w:b/>
          <w:bCs/>
          <w:sz w:val="44"/>
          <w:szCs w:val="44"/>
          <w:lang w:eastAsia="zh-CN"/>
        </w:rPr>
        <w:t>书</w:t>
      </w:r>
    </w:p>
    <w:p>
      <w:pPr>
        <w:rPr>
          <w:rFonts w:ascii="宋体" w:hAnsi="宋体" w:eastAsia="宋体" w:cs="宋体"/>
          <w:b/>
          <w:bCs/>
          <w:sz w:val="44"/>
          <w:szCs w:val="44"/>
          <w:lang w:eastAsia="zh-CN"/>
        </w:rPr>
      </w:pPr>
    </w:p>
    <w:p>
      <w:pPr>
        <w:rPr>
          <w:rFonts w:ascii="宋体" w:hAnsi="宋体" w:eastAsia="宋体" w:cs="宋体"/>
          <w:b/>
          <w:bCs/>
          <w:sz w:val="44"/>
          <w:szCs w:val="44"/>
          <w:lang w:eastAsia="zh-CN"/>
        </w:rPr>
      </w:pPr>
    </w:p>
    <w:p>
      <w:pPr>
        <w:rPr>
          <w:rFonts w:ascii="宋体" w:hAnsi="宋体" w:eastAsia="宋体" w:cs="宋体"/>
          <w:b/>
          <w:bCs/>
          <w:sz w:val="44"/>
          <w:szCs w:val="44"/>
          <w:lang w:eastAsia="zh-CN"/>
        </w:rPr>
      </w:pPr>
    </w:p>
    <w:p>
      <w:pPr>
        <w:rPr>
          <w:rFonts w:ascii="宋体" w:hAnsi="宋体" w:eastAsia="宋体" w:cs="宋体"/>
          <w:b/>
          <w:bCs/>
          <w:sz w:val="44"/>
          <w:szCs w:val="44"/>
          <w:lang w:eastAsia="zh-CN"/>
        </w:rPr>
      </w:pPr>
    </w:p>
    <w:p>
      <w:pPr>
        <w:spacing w:before="2"/>
        <w:rPr>
          <w:rFonts w:ascii="宋体" w:hAnsi="宋体" w:eastAsia="宋体" w:cs="宋体"/>
          <w:b/>
          <w:bCs/>
          <w:sz w:val="64"/>
          <w:szCs w:val="64"/>
          <w:lang w:eastAsia="zh-CN"/>
        </w:rPr>
      </w:pPr>
    </w:p>
    <w:p>
      <w:pPr>
        <w:ind w:left="2908" w:right="2028" w:firstLine="144"/>
        <w:rPr>
          <w:rFonts w:ascii="宋体" w:hAnsi="宋体" w:eastAsia="宋体" w:cs="宋体"/>
          <w:sz w:val="30"/>
          <w:szCs w:val="30"/>
          <w:lang w:eastAsia="zh-CN"/>
        </w:rPr>
      </w:pPr>
      <w:r>
        <w:rPr>
          <w:rFonts w:ascii="宋体" w:hAnsi="宋体" w:eastAsia="宋体" w:cs="宋体"/>
          <w:b/>
          <w:bCs/>
          <w:sz w:val="30"/>
          <w:szCs w:val="30"/>
          <w:lang w:eastAsia="zh-CN"/>
        </w:rPr>
        <w:t>合同编号：</w:t>
      </w:r>
    </w:p>
    <w:p>
      <w:pPr>
        <w:rPr>
          <w:rFonts w:ascii="宋体" w:hAnsi="宋体" w:eastAsia="宋体" w:cs="宋体"/>
          <w:b/>
          <w:bCs/>
          <w:sz w:val="30"/>
          <w:szCs w:val="30"/>
          <w:lang w:eastAsia="zh-CN"/>
        </w:rPr>
      </w:pPr>
    </w:p>
    <w:p>
      <w:pPr>
        <w:spacing w:before="5"/>
        <w:rPr>
          <w:rFonts w:ascii="宋体" w:hAnsi="宋体" w:eastAsia="宋体" w:cs="宋体"/>
          <w:b/>
          <w:bCs/>
          <w:sz w:val="35"/>
          <w:szCs w:val="35"/>
          <w:lang w:eastAsia="zh-CN"/>
        </w:rPr>
      </w:pPr>
    </w:p>
    <w:p>
      <w:pPr>
        <w:ind w:left="281" w:firstLine="2711" w:firstLineChars="900"/>
        <w:rPr>
          <w:rFonts w:ascii="宋体" w:hAnsi="宋体" w:eastAsia="宋体" w:cs="宋体"/>
          <w:sz w:val="30"/>
          <w:szCs w:val="30"/>
          <w:lang w:eastAsia="zh-CN"/>
        </w:rPr>
      </w:pPr>
      <w:r>
        <w:rPr>
          <w:rFonts w:ascii="宋体" w:hAnsi="宋体" w:eastAsia="宋体" w:cs="宋体"/>
          <w:b/>
          <w:bCs/>
          <w:sz w:val="30"/>
          <w:szCs w:val="30"/>
          <w:lang w:eastAsia="zh-CN"/>
        </w:rPr>
        <w:t>项目名称：</w:t>
      </w:r>
    </w:p>
    <w:p>
      <w:pPr>
        <w:rPr>
          <w:rFonts w:ascii="宋体" w:hAnsi="宋体" w:eastAsia="宋体" w:cs="宋体"/>
          <w:b/>
          <w:bCs/>
          <w:sz w:val="30"/>
          <w:szCs w:val="30"/>
          <w:lang w:eastAsia="zh-CN"/>
        </w:rPr>
      </w:pPr>
    </w:p>
    <w:p>
      <w:pPr>
        <w:rPr>
          <w:rFonts w:ascii="宋体" w:hAnsi="宋体" w:eastAsia="宋体" w:cs="宋体"/>
          <w:b/>
          <w:bCs/>
          <w:sz w:val="30"/>
          <w:szCs w:val="30"/>
          <w:lang w:eastAsia="zh-CN"/>
        </w:rPr>
      </w:pPr>
    </w:p>
    <w:p>
      <w:pPr>
        <w:rPr>
          <w:rFonts w:ascii="宋体" w:hAnsi="宋体" w:eastAsia="宋体" w:cs="宋体"/>
          <w:b/>
          <w:bCs/>
          <w:sz w:val="30"/>
          <w:szCs w:val="30"/>
          <w:lang w:eastAsia="zh-CN"/>
        </w:rPr>
      </w:pPr>
    </w:p>
    <w:p>
      <w:pPr>
        <w:rPr>
          <w:rFonts w:ascii="宋体" w:hAnsi="宋体" w:eastAsia="宋体" w:cs="宋体"/>
          <w:b/>
          <w:bCs/>
          <w:sz w:val="30"/>
          <w:szCs w:val="30"/>
          <w:lang w:eastAsia="zh-CN"/>
        </w:rPr>
      </w:pPr>
    </w:p>
    <w:p>
      <w:pPr>
        <w:rPr>
          <w:rFonts w:ascii="宋体" w:hAnsi="宋体" w:eastAsia="宋体" w:cs="宋体"/>
          <w:b/>
          <w:bCs/>
          <w:sz w:val="30"/>
          <w:szCs w:val="30"/>
          <w:lang w:eastAsia="zh-CN"/>
        </w:rPr>
      </w:pPr>
    </w:p>
    <w:p>
      <w:pPr>
        <w:spacing w:before="12"/>
        <w:rPr>
          <w:rFonts w:ascii="宋体" w:hAnsi="宋体" w:eastAsia="宋体" w:cs="宋体"/>
          <w:b/>
          <w:bCs/>
          <w:sz w:val="37"/>
          <w:szCs w:val="37"/>
          <w:lang w:eastAsia="zh-CN"/>
        </w:rPr>
      </w:pPr>
    </w:p>
    <w:p>
      <w:pPr>
        <w:tabs>
          <w:tab w:val="left" w:pos="6714"/>
        </w:tabs>
        <w:spacing w:line="357" w:lineRule="auto"/>
        <w:ind w:left="2752" w:right="1812" w:hanging="70"/>
        <w:rPr>
          <w:rFonts w:ascii="宋体" w:hAnsi="宋体" w:eastAsia="宋体" w:cs="宋体"/>
          <w:b/>
          <w:bCs/>
          <w:sz w:val="30"/>
          <w:szCs w:val="30"/>
          <w:lang w:eastAsia="zh-CN"/>
        </w:rPr>
      </w:pPr>
      <w:r>
        <w:rPr>
          <w:rFonts w:ascii="宋体" w:hAnsi="宋体" w:eastAsia="宋体" w:cs="宋体"/>
          <w:b/>
          <w:bCs/>
          <w:sz w:val="30"/>
          <w:szCs w:val="30"/>
          <w:lang w:eastAsia="zh-CN"/>
        </w:rPr>
        <w:t>采购人：</w:t>
      </w:r>
    </w:p>
    <w:p>
      <w:pPr>
        <w:tabs>
          <w:tab w:val="left" w:pos="6714"/>
        </w:tabs>
        <w:spacing w:line="357" w:lineRule="auto"/>
        <w:ind w:left="2752" w:right="1812" w:hanging="70"/>
        <w:rPr>
          <w:rFonts w:ascii="Times New Roman" w:hAnsi="Times New Roman" w:eastAsia="Times New Roman" w:cs="Times New Roman"/>
          <w:sz w:val="30"/>
          <w:szCs w:val="30"/>
          <w:lang w:eastAsia="zh-CN"/>
        </w:rPr>
      </w:pPr>
      <w:r>
        <w:rPr>
          <w:rFonts w:hint="eastAsia" w:ascii="宋体" w:hAnsi="宋体" w:eastAsia="宋体" w:cs="宋体"/>
          <w:b/>
          <w:bCs/>
          <w:sz w:val="30"/>
          <w:szCs w:val="30"/>
          <w:lang w:eastAsia="zh-CN"/>
        </w:rPr>
        <w:t>供</w:t>
      </w:r>
      <w:r>
        <w:rPr>
          <w:rFonts w:ascii="宋体" w:hAnsi="宋体" w:eastAsia="宋体" w:cs="宋体"/>
          <w:b/>
          <w:bCs/>
          <w:sz w:val="30"/>
          <w:szCs w:val="30"/>
          <w:lang w:eastAsia="zh-CN"/>
        </w:rPr>
        <w:t>应商：</w:t>
      </w:r>
      <w:r>
        <w:rPr>
          <w:rFonts w:ascii="Times New Roman" w:hAnsi="Times New Roman" w:eastAsia="Times New Roman" w:cs="Times New Roman"/>
          <w:b/>
          <w:bCs/>
          <w:w w:val="22"/>
          <w:sz w:val="30"/>
          <w:szCs w:val="30"/>
          <w:u w:val="single" w:color="000000"/>
          <w:lang w:eastAsia="zh-CN"/>
        </w:rPr>
        <w:t xml:space="preserve"> </w:t>
      </w:r>
    </w:p>
    <w:p>
      <w:pPr>
        <w:rPr>
          <w:rFonts w:ascii="Times New Roman" w:hAnsi="Times New Roman" w:eastAsia="Times New Roman" w:cs="Times New Roman"/>
          <w:b/>
          <w:bCs/>
          <w:sz w:val="20"/>
          <w:szCs w:val="20"/>
          <w:lang w:eastAsia="zh-CN"/>
        </w:rPr>
      </w:pPr>
    </w:p>
    <w:p>
      <w:pPr>
        <w:rPr>
          <w:rFonts w:ascii="Times New Roman" w:hAnsi="Times New Roman" w:eastAsia="Times New Roman" w:cs="Times New Roman"/>
          <w:b/>
          <w:bCs/>
          <w:sz w:val="20"/>
          <w:szCs w:val="20"/>
          <w:lang w:eastAsia="zh-CN"/>
        </w:rPr>
      </w:pPr>
    </w:p>
    <w:p>
      <w:pPr>
        <w:tabs>
          <w:tab w:val="left" w:pos="5318"/>
          <w:tab w:val="left" w:pos="5918"/>
        </w:tabs>
        <w:spacing w:before="133"/>
        <w:ind w:left="2608" w:right="2028"/>
        <w:rPr>
          <w:rFonts w:ascii="宋体" w:hAnsi="宋体" w:eastAsia="宋体" w:cs="宋体"/>
          <w:sz w:val="30"/>
          <w:szCs w:val="30"/>
          <w:lang w:eastAsia="zh-CN"/>
        </w:rPr>
      </w:pPr>
      <w:r>
        <w:rPr>
          <w:rFonts w:ascii="宋体" w:hAnsi="宋体" w:eastAsia="宋体" w:cs="宋体"/>
          <w:b/>
          <w:bCs/>
          <w:w w:val="95"/>
          <w:sz w:val="30"/>
          <w:szCs w:val="30"/>
          <w:lang w:eastAsia="zh-CN"/>
        </w:rPr>
        <w:t>日期：二〇一</w:t>
      </w:r>
      <w:r>
        <w:rPr>
          <w:rFonts w:hint="eastAsia" w:ascii="宋体" w:hAnsi="宋体" w:eastAsia="宋体" w:cs="宋体"/>
          <w:b/>
          <w:bCs/>
          <w:w w:val="95"/>
          <w:sz w:val="30"/>
          <w:szCs w:val="30"/>
          <w:lang w:eastAsia="zh-CN"/>
        </w:rPr>
        <w:t>九</w:t>
      </w:r>
      <w:r>
        <w:rPr>
          <w:rFonts w:ascii="宋体" w:hAnsi="宋体" w:eastAsia="宋体" w:cs="宋体"/>
          <w:b/>
          <w:bCs/>
          <w:w w:val="95"/>
          <w:sz w:val="30"/>
          <w:szCs w:val="30"/>
          <w:lang w:eastAsia="zh-CN"/>
        </w:rPr>
        <w:t>年</w:t>
      </w:r>
      <w:r>
        <w:rPr>
          <w:rFonts w:ascii="宋体" w:hAnsi="宋体" w:eastAsia="宋体" w:cs="宋体"/>
          <w:b/>
          <w:bCs/>
          <w:w w:val="95"/>
          <w:sz w:val="30"/>
          <w:szCs w:val="30"/>
          <w:lang w:eastAsia="zh-CN"/>
        </w:rPr>
        <w:tab/>
      </w:r>
      <w:r>
        <w:rPr>
          <w:rFonts w:ascii="宋体" w:hAnsi="宋体" w:eastAsia="宋体" w:cs="宋体"/>
          <w:b/>
          <w:bCs/>
          <w:w w:val="95"/>
          <w:sz w:val="30"/>
          <w:szCs w:val="30"/>
          <w:lang w:eastAsia="zh-CN"/>
        </w:rPr>
        <w:t>月</w:t>
      </w:r>
      <w:r>
        <w:rPr>
          <w:rFonts w:ascii="宋体" w:hAnsi="宋体" w:eastAsia="宋体" w:cs="宋体"/>
          <w:b/>
          <w:bCs/>
          <w:w w:val="95"/>
          <w:sz w:val="30"/>
          <w:szCs w:val="30"/>
          <w:lang w:eastAsia="zh-CN"/>
        </w:rPr>
        <w:tab/>
      </w:r>
      <w:r>
        <w:rPr>
          <w:rFonts w:ascii="宋体" w:hAnsi="宋体" w:eastAsia="宋体" w:cs="宋体"/>
          <w:b/>
          <w:bCs/>
          <w:sz w:val="30"/>
          <w:szCs w:val="30"/>
          <w:lang w:eastAsia="zh-CN"/>
        </w:rPr>
        <w:t>日</w:t>
      </w:r>
    </w:p>
    <w:p>
      <w:pPr>
        <w:rPr>
          <w:rFonts w:ascii="宋体" w:hAnsi="宋体" w:eastAsia="宋体" w:cs="宋体"/>
          <w:sz w:val="30"/>
          <w:szCs w:val="30"/>
          <w:lang w:eastAsia="zh-CN"/>
        </w:rPr>
        <w:sectPr>
          <w:footerReference r:id="rId8" w:type="default"/>
          <w:pgSz w:w="11910" w:h="16840"/>
          <w:pgMar w:top="1280" w:right="1680" w:bottom="960" w:left="1680" w:header="0" w:footer="771" w:gutter="0"/>
          <w:pgNumType w:start="30"/>
          <w:cols w:space="720" w:num="1"/>
        </w:sectPr>
      </w:pPr>
    </w:p>
    <w:p>
      <w:pPr>
        <w:tabs>
          <w:tab w:val="left" w:pos="880"/>
          <w:tab w:val="left" w:pos="1761"/>
        </w:tabs>
        <w:spacing w:line="516" w:lineRule="exact"/>
        <w:ind w:right="158"/>
        <w:jc w:val="center"/>
        <w:rPr>
          <w:rFonts w:ascii="宋体" w:hAnsi="宋体" w:eastAsia="宋体" w:cs="宋体"/>
          <w:sz w:val="44"/>
          <w:szCs w:val="44"/>
          <w:lang w:eastAsia="zh-CN"/>
        </w:rPr>
      </w:pPr>
      <w:r>
        <w:rPr>
          <w:rFonts w:ascii="宋体" w:hAnsi="宋体" w:eastAsia="宋体" w:cs="宋体"/>
          <w:b/>
          <w:bCs/>
          <w:w w:val="95"/>
          <w:sz w:val="44"/>
          <w:szCs w:val="44"/>
          <w:lang w:eastAsia="zh-CN"/>
        </w:rPr>
        <w:t>合</w:t>
      </w:r>
      <w:r>
        <w:rPr>
          <w:rFonts w:ascii="宋体" w:hAnsi="宋体" w:eastAsia="宋体" w:cs="宋体"/>
          <w:b/>
          <w:bCs/>
          <w:w w:val="95"/>
          <w:sz w:val="44"/>
          <w:szCs w:val="44"/>
          <w:lang w:eastAsia="zh-CN"/>
        </w:rPr>
        <w:tab/>
      </w:r>
      <w:r>
        <w:rPr>
          <w:rFonts w:ascii="宋体" w:hAnsi="宋体" w:eastAsia="宋体" w:cs="宋体"/>
          <w:b/>
          <w:bCs/>
          <w:w w:val="95"/>
          <w:sz w:val="44"/>
          <w:szCs w:val="44"/>
          <w:lang w:eastAsia="zh-CN"/>
        </w:rPr>
        <w:t>同</w:t>
      </w:r>
      <w:r>
        <w:rPr>
          <w:rFonts w:ascii="宋体" w:hAnsi="宋体" w:eastAsia="宋体" w:cs="宋体"/>
          <w:b/>
          <w:bCs/>
          <w:w w:val="95"/>
          <w:sz w:val="44"/>
          <w:szCs w:val="44"/>
          <w:lang w:eastAsia="zh-CN"/>
        </w:rPr>
        <w:tab/>
      </w:r>
      <w:r>
        <w:rPr>
          <w:rFonts w:ascii="宋体" w:hAnsi="宋体" w:eastAsia="宋体" w:cs="宋体"/>
          <w:b/>
          <w:bCs/>
          <w:sz w:val="44"/>
          <w:szCs w:val="44"/>
          <w:lang w:eastAsia="zh-CN"/>
        </w:rPr>
        <w:t>书</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8"/>
        <w:rPr>
          <w:rFonts w:ascii="宋体" w:hAnsi="宋体" w:eastAsia="宋体" w:cs="宋体"/>
          <w:b/>
          <w:bCs/>
          <w:sz w:val="14"/>
          <w:szCs w:val="14"/>
          <w:lang w:eastAsia="zh-CN"/>
        </w:rPr>
      </w:pPr>
    </w:p>
    <w:p>
      <w:pPr>
        <w:pStyle w:val="10"/>
        <w:spacing w:before="26" w:line="420" w:lineRule="auto"/>
        <w:ind w:left="112" w:right="7535"/>
        <w:rPr>
          <w:lang w:eastAsia="zh-CN"/>
        </w:rPr>
      </w:pPr>
      <w:r>
        <w:rPr>
          <w:rFonts w:hint="eastAsia"/>
          <w:lang w:eastAsia="zh-CN"/>
        </w:rPr>
        <w:t>项目</w:t>
      </w:r>
      <w:r>
        <w:rPr>
          <w:lang w:eastAsia="zh-CN"/>
        </w:rPr>
        <w:t>编号：</w:t>
      </w:r>
    </w:p>
    <w:p>
      <w:pPr>
        <w:pStyle w:val="10"/>
        <w:spacing w:before="26" w:line="420" w:lineRule="auto"/>
        <w:ind w:left="112" w:right="7535"/>
        <w:rPr>
          <w:lang w:eastAsia="zh-CN"/>
        </w:rPr>
      </w:pPr>
      <w:r>
        <w:rPr>
          <w:lang w:eastAsia="zh-CN"/>
        </w:rPr>
        <w:t>项目名称：</w:t>
      </w:r>
    </w:p>
    <w:p>
      <w:pPr>
        <w:pStyle w:val="10"/>
        <w:spacing w:before="26" w:line="420" w:lineRule="auto"/>
        <w:ind w:left="112" w:right="7535"/>
        <w:rPr>
          <w:lang w:eastAsia="zh-CN"/>
        </w:rPr>
      </w:pPr>
      <w:r>
        <w:rPr>
          <w:lang w:eastAsia="zh-CN"/>
        </w:rPr>
        <w:t>甲方（采购人）：</w:t>
      </w:r>
    </w:p>
    <w:p>
      <w:pPr>
        <w:pStyle w:val="10"/>
        <w:spacing w:before="26" w:line="420" w:lineRule="auto"/>
        <w:ind w:left="112" w:right="7535"/>
        <w:rPr>
          <w:lang w:eastAsia="zh-CN"/>
        </w:rPr>
      </w:pPr>
      <w:r>
        <w:rPr>
          <w:lang w:eastAsia="zh-CN"/>
        </w:rPr>
        <w:t>乙方（成交人）：</w:t>
      </w:r>
    </w:p>
    <w:p>
      <w:pPr>
        <w:spacing w:before="1"/>
        <w:rPr>
          <w:rFonts w:ascii="宋体" w:hAnsi="宋体" w:eastAsia="宋体" w:cs="宋体"/>
          <w:sz w:val="28"/>
          <w:szCs w:val="28"/>
          <w:lang w:eastAsia="zh-CN"/>
        </w:rPr>
      </w:pPr>
    </w:p>
    <w:p>
      <w:pPr>
        <w:pStyle w:val="10"/>
        <w:tabs>
          <w:tab w:val="left" w:pos="6914"/>
        </w:tabs>
        <w:spacing w:before="0" w:line="357" w:lineRule="auto"/>
        <w:ind w:left="112" w:right="270" w:firstLine="480"/>
        <w:rPr>
          <w:lang w:eastAsia="zh-CN"/>
        </w:rPr>
      </w:pPr>
      <w:r>
        <w:rPr>
          <w:spacing w:val="-3"/>
          <w:lang w:eastAsia="zh-CN"/>
        </w:rPr>
        <w:t>经评定，</w:t>
      </w:r>
      <w:r>
        <w:rPr>
          <w:spacing w:val="-3"/>
          <w:u w:val="single" w:color="000000"/>
          <w:lang w:eastAsia="zh-CN"/>
        </w:rPr>
        <w:t>（乙方）</w:t>
      </w:r>
      <w:r>
        <w:rPr>
          <w:rFonts w:ascii="Times New Roman" w:hAnsi="Times New Roman" w:eastAsia="Times New Roman" w:cs="Times New Roman"/>
          <w:spacing w:val="-3"/>
          <w:u w:val="single" w:color="000000"/>
          <w:lang w:eastAsia="zh-CN"/>
        </w:rPr>
        <w:tab/>
      </w:r>
      <w:r>
        <w:rPr>
          <w:spacing w:val="-4"/>
          <w:u w:val="single" w:color="000000"/>
          <w:lang w:eastAsia="zh-CN"/>
        </w:rPr>
        <w:t>）</w:t>
      </w:r>
      <w:r>
        <w:rPr>
          <w:spacing w:val="-4"/>
          <w:lang w:eastAsia="zh-CN"/>
        </w:rPr>
        <w:t>为成交人，甲、乙双方根</w:t>
      </w:r>
      <w:r>
        <w:rPr>
          <w:lang w:eastAsia="zh-CN"/>
        </w:rPr>
        <w:t xml:space="preserve"> 据《中华人民共和国合同法》、《中华人民共和国政府采购法》和其他法律、法规的规定，</w:t>
      </w:r>
      <w:r>
        <w:rPr>
          <w:spacing w:val="-89"/>
          <w:lang w:eastAsia="zh-CN"/>
        </w:rPr>
        <w:t xml:space="preserve"> </w:t>
      </w:r>
      <w:r>
        <w:rPr>
          <w:lang w:eastAsia="zh-CN"/>
        </w:rPr>
        <w:t>并按照公正、平等、自愿、诚实信用的原则，同意按照以下条款和条件，签署本合同。</w:t>
      </w:r>
    </w:p>
    <w:p>
      <w:pPr>
        <w:pStyle w:val="10"/>
        <w:tabs>
          <w:tab w:val="left" w:pos="6914"/>
        </w:tabs>
        <w:spacing w:before="0" w:line="357" w:lineRule="auto"/>
        <w:ind w:left="112" w:right="270" w:firstLine="480"/>
        <w:rPr>
          <w:rFonts w:cs="宋体"/>
          <w:lang w:eastAsia="zh-CN"/>
        </w:rPr>
      </w:pPr>
      <w:r>
        <w:rPr>
          <w:lang w:eastAsia="zh-CN"/>
        </w:rPr>
        <w:t xml:space="preserve"> </w:t>
      </w:r>
      <w:r>
        <w:rPr>
          <w:rFonts w:cs="宋体"/>
          <w:b/>
          <w:bCs/>
          <w:lang w:eastAsia="zh-CN"/>
        </w:rPr>
        <w:t>一、本合同由合同文本和下列文件组成</w:t>
      </w:r>
    </w:p>
    <w:p>
      <w:pPr>
        <w:pStyle w:val="10"/>
        <w:ind w:left="652" w:right="270"/>
        <w:rPr>
          <w:lang w:eastAsia="zh-CN"/>
        </w:rPr>
      </w:pPr>
      <w:r>
        <w:rPr>
          <w:lang w:eastAsia="zh-CN"/>
        </w:rPr>
        <w:t>（1） 成交通知书</w:t>
      </w:r>
    </w:p>
    <w:p>
      <w:pPr>
        <w:pStyle w:val="10"/>
        <w:spacing w:before="151"/>
        <w:ind w:left="652" w:right="270"/>
        <w:rPr>
          <w:lang w:eastAsia="zh-CN"/>
        </w:rPr>
      </w:pPr>
      <w:r>
        <w:rPr>
          <w:lang w:eastAsia="zh-CN"/>
        </w:rPr>
        <w:t>（2） 成交供应商的书面承诺</w:t>
      </w:r>
    </w:p>
    <w:p>
      <w:pPr>
        <w:pStyle w:val="10"/>
        <w:spacing w:before="154"/>
        <w:ind w:left="652" w:right="270"/>
        <w:rPr>
          <w:lang w:eastAsia="zh-CN"/>
        </w:rPr>
      </w:pPr>
      <w:r>
        <w:rPr>
          <w:lang w:eastAsia="zh-CN"/>
        </w:rPr>
        <w:t>（3） 合同补充条款或说明</w:t>
      </w:r>
    </w:p>
    <w:p>
      <w:pPr>
        <w:pStyle w:val="10"/>
        <w:spacing w:before="151"/>
        <w:ind w:left="652" w:right="7535"/>
        <w:rPr>
          <w:lang w:eastAsia="zh-CN"/>
        </w:rPr>
      </w:pPr>
      <w:r>
        <w:rPr>
          <w:lang w:eastAsia="zh-CN"/>
        </w:rPr>
        <w:t>（4） 磋商文件</w:t>
      </w:r>
    </w:p>
    <w:p>
      <w:pPr>
        <w:pStyle w:val="10"/>
        <w:spacing w:before="154"/>
        <w:ind w:left="652" w:right="7535"/>
        <w:rPr>
          <w:lang w:eastAsia="zh-CN"/>
        </w:rPr>
      </w:pPr>
      <w:r>
        <w:rPr>
          <w:lang w:eastAsia="zh-CN"/>
        </w:rPr>
        <w:t>（5） 响应文件</w:t>
      </w:r>
    </w:p>
    <w:p>
      <w:pPr>
        <w:pStyle w:val="10"/>
        <w:spacing w:before="151" w:line="357" w:lineRule="auto"/>
        <w:ind w:right="270" w:firstLine="60"/>
        <w:rPr>
          <w:rFonts w:cs="宋体"/>
          <w:lang w:eastAsia="zh-CN"/>
        </w:rPr>
      </w:pPr>
      <w:r>
        <w:rPr>
          <w:lang w:eastAsia="zh-CN"/>
        </w:rPr>
        <w:t>（6） 附件及其他 上述所指合同文件应认为是互相补充和解释的，但是有模棱两可或互相矛盾之处，以其</w:t>
      </w:r>
      <w:r>
        <w:rPr>
          <w:rFonts w:cs="宋体"/>
          <w:lang w:eastAsia="zh-CN"/>
        </w:rPr>
        <w:t>所列内容顺序为准。</w:t>
      </w:r>
    </w:p>
    <w:p>
      <w:pPr>
        <w:pStyle w:val="10"/>
        <w:spacing w:before="151" w:line="357" w:lineRule="auto"/>
        <w:ind w:right="270" w:firstLine="60"/>
        <w:rPr>
          <w:lang w:eastAsia="zh-CN"/>
        </w:rPr>
      </w:pPr>
      <w:r>
        <w:rPr>
          <w:rFonts w:cs="宋体"/>
          <w:lang w:eastAsia="zh-CN"/>
        </w:rPr>
        <w:t xml:space="preserve"> </w:t>
      </w:r>
      <w:r>
        <w:rPr>
          <w:rFonts w:cs="宋体"/>
          <w:b/>
          <w:bCs/>
          <w:lang w:eastAsia="zh-CN"/>
        </w:rPr>
        <w:t>二、合同总价</w:t>
      </w:r>
    </w:p>
    <w:p>
      <w:pPr>
        <w:tabs>
          <w:tab w:val="left" w:pos="4851"/>
          <w:tab w:val="left" w:pos="7192"/>
        </w:tabs>
        <w:spacing w:before="36" w:line="355" w:lineRule="auto"/>
        <w:ind w:left="592" w:right="238"/>
        <w:rPr>
          <w:rFonts w:ascii="宋体" w:hAnsi="宋体" w:eastAsia="宋体" w:cs="宋体"/>
          <w:sz w:val="24"/>
          <w:szCs w:val="24"/>
          <w:lang w:eastAsia="zh-CN"/>
        </w:rPr>
      </w:pPr>
      <w:r>
        <w:rPr>
          <w:rFonts w:ascii="宋体" w:hAnsi="宋体" w:eastAsia="宋体" w:cs="宋体"/>
          <w:spacing w:val="-1"/>
          <w:sz w:val="24"/>
          <w:szCs w:val="24"/>
          <w:lang w:eastAsia="zh-CN"/>
        </w:rPr>
        <w:t>本合同总价为（人民币）大写：</w:t>
      </w:r>
      <w:r>
        <w:rPr>
          <w:rFonts w:ascii="Times New Roman" w:hAnsi="Times New Roman" w:eastAsia="Times New Roman" w:cs="Times New Roman"/>
          <w:spacing w:val="-1"/>
          <w:sz w:val="24"/>
          <w:szCs w:val="24"/>
          <w:u w:val="single" w:color="000000"/>
          <w:lang w:eastAsia="zh-CN"/>
        </w:rPr>
        <w:tab/>
      </w:r>
      <w:r>
        <w:rPr>
          <w:rFonts w:ascii="宋体" w:hAnsi="宋体" w:eastAsia="宋体" w:cs="宋体"/>
          <w:spacing w:val="-1"/>
          <w:sz w:val="24"/>
          <w:szCs w:val="24"/>
          <w:lang w:eastAsia="zh-CN"/>
        </w:rPr>
        <w:t>；小写：</w:t>
      </w:r>
      <w:r>
        <w:rPr>
          <w:rFonts w:ascii="Times New Roman" w:hAnsi="Times New Roman" w:eastAsia="Times New Roman" w:cs="Times New Roman"/>
          <w:spacing w:val="-1"/>
          <w:sz w:val="24"/>
          <w:szCs w:val="24"/>
          <w:u w:val="single" w:color="000000"/>
          <w:lang w:eastAsia="zh-CN"/>
        </w:rPr>
        <w:tab/>
      </w:r>
      <w:r>
        <w:rPr>
          <w:rFonts w:ascii="宋体" w:hAnsi="宋体" w:eastAsia="宋体" w:cs="宋体"/>
          <w:sz w:val="24"/>
          <w:szCs w:val="24"/>
          <w:lang w:eastAsia="zh-CN"/>
        </w:rPr>
        <w:t>元。</w:t>
      </w:r>
    </w:p>
    <w:p>
      <w:pPr>
        <w:tabs>
          <w:tab w:val="left" w:pos="4851"/>
          <w:tab w:val="left" w:pos="7192"/>
        </w:tabs>
        <w:spacing w:before="36" w:line="355" w:lineRule="auto"/>
        <w:ind w:left="592" w:right="238" w:firstLine="478" w:firstLineChars="200"/>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本项目为“交钥匙”项目。投标报总价、明细报价、核算平方报价（报价含完成本项目所需的深化设计、报审费用、主件、标准附件、备品备件、专用工具、安装、调试、检验、培训、技术服务、运输、保险及人工费、调研费、项目过程中的交通食宿费、设备费、管理费、利润、税金、中标服务费等达到招标要求的全部费用）。投标所有深化设计产生的费用，采购人不予承担。供应商报价时遗漏的部分视为已包含在供应商报价中，采购人不予调整。</w:t>
      </w:r>
    </w:p>
    <w:p>
      <w:pPr>
        <w:tabs>
          <w:tab w:val="left" w:pos="4851"/>
          <w:tab w:val="left" w:pos="7192"/>
        </w:tabs>
        <w:spacing w:before="36" w:line="355" w:lineRule="auto"/>
        <w:ind w:left="592" w:right="238"/>
        <w:rPr>
          <w:rFonts w:ascii="宋体" w:hAnsi="宋体" w:eastAsia="宋体" w:cs="宋体"/>
          <w:sz w:val="24"/>
          <w:szCs w:val="24"/>
          <w:lang w:eastAsia="zh-CN"/>
        </w:rPr>
      </w:pPr>
      <w:r>
        <w:rPr>
          <w:lang w:eastAsia="zh-CN"/>
        </w:rPr>
        <w:t>三、产品名称及数量</w:t>
      </w:r>
    </w:p>
    <w:p>
      <w:pPr>
        <w:pStyle w:val="10"/>
        <w:tabs>
          <w:tab w:val="left" w:pos="7238"/>
        </w:tabs>
        <w:ind w:left="638" w:right="270"/>
      </w:pPr>
      <w:r>
        <w:rPr>
          <w:lang w:eastAsia="zh-CN"/>
        </w:rPr>
        <w:t>乙方所供货内容、数量详见采购明细表。</w:t>
      </w:r>
      <w:r>
        <w:rPr>
          <w:lang w:eastAsia="zh-CN"/>
        </w:rPr>
        <w:tab/>
      </w:r>
      <w:r>
        <w:t>单位：元</w:t>
      </w:r>
    </w:p>
    <w:p>
      <w:pPr>
        <w:sectPr>
          <w:pgSz w:w="11910" w:h="16840"/>
          <w:pgMar w:top="1580" w:right="860" w:bottom="960" w:left="1020" w:header="0" w:footer="771" w:gutter="0"/>
          <w:cols w:space="720" w:num="1"/>
        </w:sectPr>
      </w:pPr>
    </w:p>
    <w:p>
      <w:pPr>
        <w:spacing w:before="9"/>
        <w:rPr>
          <w:rFonts w:ascii="宋体" w:hAnsi="宋体" w:eastAsia="宋体" w:cs="宋体"/>
          <w:sz w:val="5"/>
          <w:szCs w:val="5"/>
        </w:rPr>
      </w:pPr>
    </w:p>
    <w:tbl>
      <w:tblPr>
        <w:tblStyle w:val="16"/>
        <w:tblW w:w="10920" w:type="dxa"/>
        <w:tblInd w:w="-525" w:type="dxa"/>
        <w:tblLayout w:type="fixed"/>
        <w:tblCellMar>
          <w:top w:w="0" w:type="dxa"/>
          <w:left w:w="108" w:type="dxa"/>
          <w:bottom w:w="0" w:type="dxa"/>
          <w:right w:w="108" w:type="dxa"/>
        </w:tblCellMar>
      </w:tblPr>
      <w:tblGrid>
        <w:gridCol w:w="1400"/>
        <w:gridCol w:w="1820"/>
        <w:gridCol w:w="3434"/>
        <w:gridCol w:w="1101"/>
        <w:gridCol w:w="892"/>
        <w:gridCol w:w="893"/>
        <w:gridCol w:w="1380"/>
      </w:tblGrid>
      <w:tr>
        <w:tblPrEx>
          <w:tblLayout w:type="fixed"/>
          <w:tblCellMar>
            <w:top w:w="0" w:type="dxa"/>
            <w:left w:w="108" w:type="dxa"/>
            <w:bottom w:w="0" w:type="dxa"/>
            <w:right w:w="108" w:type="dxa"/>
          </w:tblCellMar>
        </w:tblPrEx>
        <w:trPr>
          <w:trHeight w:val="375" w:hRule="atLeast"/>
        </w:trPr>
        <w:tc>
          <w:tcPr>
            <w:tcW w:w="1092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lang w:eastAsia="zh-CN"/>
              </w:rPr>
            </w:pPr>
            <w:r>
              <w:rPr>
                <w:rFonts w:hint="eastAsia" w:ascii="宋体" w:hAnsi="宋体" w:cs="宋体"/>
                <w:lang w:eastAsia="zh-CN"/>
              </w:rPr>
              <w:t xml:space="preserve">　                                  </w:t>
            </w:r>
            <w:r>
              <w:rPr>
                <w:rFonts w:hint="eastAsia" w:ascii="宋体" w:hAnsi="宋体" w:cs="宋体"/>
                <w:sz w:val="28"/>
                <w:szCs w:val="28"/>
                <w:lang w:eastAsia="zh-CN"/>
              </w:rPr>
              <w:t>亚克力发光字综合报价</w:t>
            </w:r>
          </w:p>
        </w:tc>
      </w:tr>
      <w:tr>
        <w:tblPrEx>
          <w:tblLayout w:type="fixed"/>
          <w:tblCellMar>
            <w:top w:w="0" w:type="dxa"/>
            <w:left w:w="108" w:type="dxa"/>
            <w:bottom w:w="0" w:type="dxa"/>
            <w:right w:w="108" w:type="dxa"/>
          </w:tblCellMar>
        </w:tblPrEx>
        <w:trPr>
          <w:trHeight w:val="34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lang w:eastAsia="zh-CN"/>
              </w:rPr>
              <w:t xml:space="preserve">　  </w:t>
            </w:r>
            <w:r>
              <w:rPr>
                <w:rFonts w:hint="eastAsia" w:ascii="宋体" w:hAnsi="宋体" w:cs="宋体"/>
              </w:rPr>
              <w:t>1</w:t>
            </w:r>
          </w:p>
        </w:tc>
        <w:tc>
          <w:tcPr>
            <w:tcW w:w="9520" w:type="dxa"/>
            <w:gridSpan w:val="6"/>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lang w:eastAsia="zh-CN"/>
              </w:rPr>
            </w:pPr>
            <w:r>
              <w:rPr>
                <w:rFonts w:hint="eastAsia" w:ascii="宋体" w:hAnsi="宋体" w:cs="宋体"/>
                <w:lang w:eastAsia="zh-CN"/>
              </w:rPr>
              <w:t>亚克力发光字：山东大学第二医院4米*4米*8个字*2套=256平方</w:t>
            </w:r>
          </w:p>
        </w:tc>
      </w:tr>
      <w:tr>
        <w:tblPrEx>
          <w:tblLayout w:type="fixed"/>
          <w:tblCellMar>
            <w:top w:w="0" w:type="dxa"/>
            <w:left w:w="108" w:type="dxa"/>
            <w:bottom w:w="0" w:type="dxa"/>
            <w:right w:w="108" w:type="dxa"/>
          </w:tblCellMar>
        </w:tblPrEx>
        <w:trPr>
          <w:trHeight w:val="34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lang w:eastAsia="zh-CN"/>
              </w:rPr>
              <w:t xml:space="preserve">　  </w:t>
            </w:r>
            <w:r>
              <w:rPr>
                <w:rFonts w:hint="eastAsia" w:ascii="宋体" w:hAnsi="宋体" w:cs="宋体"/>
              </w:rPr>
              <w:t>2</w:t>
            </w:r>
          </w:p>
        </w:tc>
        <w:tc>
          <w:tcPr>
            <w:tcW w:w="9520" w:type="dxa"/>
            <w:gridSpan w:val="6"/>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lang w:eastAsia="zh-CN"/>
              </w:rPr>
            </w:pPr>
            <w:r>
              <w:rPr>
                <w:rFonts w:hint="eastAsia" w:ascii="宋体" w:hAnsi="宋体" w:cs="宋体"/>
                <w:lang w:eastAsia="zh-CN"/>
              </w:rPr>
              <w:t>亚克力发光字：医院标识加山大二院4米*4米*5个=80平方</w:t>
            </w:r>
          </w:p>
        </w:tc>
      </w:tr>
      <w:tr>
        <w:tblPrEx>
          <w:tblLayout w:type="fixed"/>
          <w:tblCellMar>
            <w:top w:w="0" w:type="dxa"/>
            <w:left w:w="108" w:type="dxa"/>
            <w:bottom w:w="0" w:type="dxa"/>
            <w:right w:w="108" w:type="dxa"/>
          </w:tblCellMar>
        </w:tblPrEx>
        <w:trPr>
          <w:trHeight w:val="372"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lang w:eastAsia="zh-CN"/>
              </w:rPr>
            </w:pPr>
            <w:r>
              <w:rPr>
                <w:rFonts w:hint="eastAsia" w:ascii="宋体" w:hAnsi="宋体" w:cs="宋体"/>
                <w:lang w:eastAsia="zh-CN"/>
              </w:rPr>
              <w:t>　</w:t>
            </w:r>
          </w:p>
        </w:tc>
        <w:tc>
          <w:tcPr>
            <w:tcW w:w="7247" w:type="dxa"/>
            <w:gridSpan w:val="4"/>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sz w:val="24"/>
                <w:lang w:eastAsia="zh-CN"/>
              </w:rPr>
            </w:pPr>
            <w:r>
              <w:rPr>
                <w:rFonts w:hint="eastAsia" w:ascii="宋体" w:hAnsi="宋体" w:cs="宋体"/>
                <w:sz w:val="24"/>
                <w:lang w:eastAsia="zh-CN"/>
              </w:rPr>
              <w:t>门诊楼铝方管背板、钢结构尺寸；50米*4.2米=210平方。</w:t>
            </w:r>
          </w:p>
        </w:tc>
        <w:tc>
          <w:tcPr>
            <w:tcW w:w="893" w:type="dxa"/>
            <w:tcBorders>
              <w:top w:val="nil"/>
              <w:left w:val="nil"/>
              <w:bottom w:val="single" w:color="auto" w:sz="4" w:space="0"/>
              <w:right w:val="nil"/>
            </w:tcBorders>
            <w:shd w:val="clear" w:color="auto" w:fill="auto"/>
            <w:noWrap/>
            <w:vAlign w:val="center"/>
          </w:tcPr>
          <w:p>
            <w:pPr>
              <w:widowControl/>
              <w:rPr>
                <w:rFonts w:ascii="宋体" w:hAnsi="宋体" w:cs="宋体"/>
                <w:sz w:val="24"/>
                <w:lang w:eastAsia="zh-CN"/>
              </w:rPr>
            </w:pPr>
            <w:r>
              <w:rPr>
                <w:rFonts w:hint="eastAsia" w:ascii="宋体" w:hAnsi="宋体" w:cs="宋体"/>
                <w:sz w:val="24"/>
                <w:lang w:eastAsia="zh-CN"/>
              </w:rPr>
              <w:t>　</w:t>
            </w:r>
          </w:p>
        </w:tc>
        <w:tc>
          <w:tcPr>
            <w:tcW w:w="1380" w:type="dxa"/>
            <w:tcBorders>
              <w:top w:val="nil"/>
              <w:left w:val="nil"/>
              <w:bottom w:val="single" w:color="auto" w:sz="4" w:space="0"/>
              <w:right w:val="nil"/>
            </w:tcBorders>
            <w:shd w:val="clear" w:color="auto" w:fill="auto"/>
            <w:noWrap/>
            <w:vAlign w:val="center"/>
          </w:tcPr>
          <w:p>
            <w:pPr>
              <w:widowControl/>
              <w:rPr>
                <w:rFonts w:ascii="宋体" w:hAnsi="宋体" w:cs="宋体"/>
                <w:sz w:val="24"/>
                <w:lang w:eastAsia="zh-CN"/>
              </w:rPr>
            </w:pPr>
            <w:r>
              <w:rPr>
                <w:rFonts w:hint="eastAsia" w:ascii="宋体" w:hAnsi="宋体" w:cs="宋体"/>
                <w:sz w:val="24"/>
                <w:lang w:eastAsia="zh-CN"/>
              </w:rPr>
              <w:t>　</w:t>
            </w:r>
          </w:p>
        </w:tc>
      </w:tr>
      <w:tr>
        <w:tblPrEx>
          <w:tblLayout w:type="fixed"/>
          <w:tblCellMar>
            <w:top w:w="0" w:type="dxa"/>
            <w:left w:w="108" w:type="dxa"/>
            <w:bottom w:w="0" w:type="dxa"/>
            <w:right w:w="108" w:type="dxa"/>
          </w:tblCellMar>
        </w:tblPrEx>
        <w:trPr>
          <w:trHeight w:val="28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项目</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名称</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规格</w:t>
            </w: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数量</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单位</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单价</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金额</w:t>
            </w:r>
          </w:p>
        </w:tc>
      </w:tr>
      <w:tr>
        <w:tblPrEx>
          <w:tblLayout w:type="fixed"/>
        </w:tblPrEx>
        <w:trPr>
          <w:trHeight w:val="270" w:hRule="atLeast"/>
        </w:trPr>
        <w:tc>
          <w:tcPr>
            <w:tcW w:w="14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字壳</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铝板</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2MM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激光切割</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异形焊接</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汽车烤漆</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光源</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LED灯</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12V、0.6W</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32600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组</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电源</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400瓦、12v</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60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台</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PrEx>
        <w:trPr>
          <w:trHeight w:val="289"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模组连接线线</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2.5M2</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2</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盘</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电源连接线</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2.5M2</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4</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盘</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主电源</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5*4M2</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200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米</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配电箱</w:t>
            </w:r>
          </w:p>
        </w:tc>
        <w:tc>
          <w:tcPr>
            <w:tcW w:w="3434" w:type="dxa"/>
            <w:tcBorders>
              <w:top w:val="nil"/>
              <w:left w:val="nil"/>
              <w:bottom w:val="single" w:color="auto" w:sz="4" w:space="0"/>
              <w:right w:val="single" w:color="auto" w:sz="4" w:space="0"/>
            </w:tcBorders>
            <w:shd w:val="clear" w:color="auto" w:fill="auto"/>
            <w:vAlign w:val="center"/>
          </w:tcPr>
          <w:p>
            <w:pPr>
              <w:widowControl/>
              <w:rPr>
                <w:rFonts w:ascii="宋体" w:hAnsi="宋体" w:cs="宋体"/>
              </w:rPr>
            </w:pPr>
            <w:r>
              <w:rPr>
                <w:rFonts w:hint="eastAsia" w:ascii="宋体" w:hAnsi="宋体" w:cs="宋体"/>
              </w:rPr>
              <w:t>600*800</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套</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穿线管</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金属软管</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300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米</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文字组合</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人工费</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PrEx>
        <w:trPr>
          <w:trHeight w:val="270" w:hRule="atLeast"/>
        </w:trPr>
        <w:tc>
          <w:tcPr>
            <w:tcW w:w="14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亚克力面板</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亚克力</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5MM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亚克力吸塑</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rPr>
              <w:t>钢结构</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钢板</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200*200*12MM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60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块</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镀锌角铁</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60*60*5MM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15</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镀锌角铁</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50*50*5MM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60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镀锌角铁</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40*40*4MM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94</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防锈漆</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中灰</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2</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桶</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化学螺栓</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￠160*200MM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240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铝管</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100*25*1.5MM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195</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钢结构焊接</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高空作业人工费</w:t>
            </w:r>
          </w:p>
        </w:tc>
        <w:tc>
          <w:tcPr>
            <w:tcW w:w="3434" w:type="dxa"/>
            <w:tcBorders>
              <w:top w:val="nil"/>
              <w:left w:val="nil"/>
              <w:bottom w:val="nil"/>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nil"/>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nil"/>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nil"/>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nil"/>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文字安装</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高空作业人工费</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其他</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运费及搬运费</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1</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吊篮</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6米</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2</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组</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吊车</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100吨</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台班</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辅料</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1</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安全防护措施费</w:t>
            </w:r>
          </w:p>
        </w:tc>
        <w:tc>
          <w:tcPr>
            <w:tcW w:w="3434" w:type="dxa"/>
            <w:tcBorders>
              <w:top w:val="nil"/>
              <w:left w:val="nil"/>
              <w:bottom w:val="single" w:color="auto" w:sz="4" w:space="0"/>
              <w:right w:val="single" w:color="auto" w:sz="4" w:space="0"/>
            </w:tcBorders>
            <w:shd w:val="clear" w:color="auto" w:fill="auto"/>
            <w:noWrap/>
            <w:vAlign w:val="center"/>
          </w:tcPr>
          <w:p>
            <w:pPr>
              <w:widowControl/>
              <w:ind w:right="110"/>
              <w:jc w:val="right"/>
              <w:rPr>
                <w:rFonts w:ascii="宋体" w:hAnsi="宋体" w:cs="宋体"/>
              </w:rPr>
            </w:pP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检测费</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rPr>
            </w:pP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工程管理费</w:t>
            </w:r>
          </w:p>
        </w:tc>
        <w:tc>
          <w:tcPr>
            <w:tcW w:w="3434" w:type="dxa"/>
            <w:tcBorders>
              <w:top w:val="nil"/>
              <w:left w:val="nil"/>
              <w:bottom w:val="single" w:color="auto" w:sz="4" w:space="0"/>
              <w:right w:val="single" w:color="auto" w:sz="4" w:space="0"/>
            </w:tcBorders>
            <w:shd w:val="clear" w:color="auto" w:fill="auto"/>
            <w:noWrap/>
            <w:vAlign w:val="center"/>
          </w:tcPr>
          <w:p>
            <w:pPr>
              <w:widowControl/>
              <w:ind w:right="220"/>
              <w:jc w:val="right"/>
              <w:rPr>
                <w:rFonts w:ascii="宋体" w:hAnsi="宋体" w:cs="宋体"/>
              </w:rPr>
            </w:pP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利润</w:t>
            </w:r>
          </w:p>
        </w:tc>
        <w:tc>
          <w:tcPr>
            <w:tcW w:w="34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rPr>
            </w:pP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30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　</w:t>
            </w:r>
          </w:p>
        </w:tc>
        <w:tc>
          <w:tcPr>
            <w:tcW w:w="1820" w:type="dxa"/>
            <w:tcBorders>
              <w:top w:val="nil"/>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税</w:t>
            </w:r>
          </w:p>
        </w:tc>
        <w:tc>
          <w:tcPr>
            <w:tcW w:w="3434" w:type="dxa"/>
            <w:tcBorders>
              <w:top w:val="nil"/>
              <w:left w:val="nil"/>
              <w:bottom w:val="single" w:color="auto" w:sz="4" w:space="0"/>
              <w:right w:val="single" w:color="auto" w:sz="4" w:space="0"/>
            </w:tcBorders>
            <w:shd w:val="clear" w:color="auto" w:fill="auto"/>
            <w:noWrap/>
            <w:vAlign w:val="center"/>
          </w:tcPr>
          <w:p>
            <w:pPr>
              <w:widowControl/>
              <w:ind w:right="110"/>
              <w:jc w:val="right"/>
              <w:rPr>
                <w:rFonts w:ascii="宋体" w:hAnsi="宋体" w:cs="宋体"/>
              </w:rPr>
            </w:pP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420" w:hRule="atLeast"/>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p>
        </w:tc>
        <w:tc>
          <w:tcPr>
            <w:tcW w:w="18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原宣传字估价</w:t>
            </w:r>
          </w:p>
        </w:tc>
        <w:tc>
          <w:tcPr>
            <w:tcW w:w="3434" w:type="dxa"/>
            <w:tcBorders>
              <w:top w:val="single" w:color="auto" w:sz="4" w:space="0"/>
              <w:left w:val="nil"/>
              <w:bottom w:val="single" w:color="auto" w:sz="4" w:space="0"/>
              <w:right w:val="single" w:color="auto" w:sz="4" w:space="0"/>
            </w:tcBorders>
            <w:shd w:val="clear" w:color="auto" w:fill="auto"/>
            <w:noWrap/>
            <w:vAlign w:val="center"/>
          </w:tcPr>
          <w:p>
            <w:pPr>
              <w:widowControl/>
              <w:ind w:right="110"/>
              <w:jc w:val="right"/>
              <w:rPr>
                <w:rFonts w:ascii="宋体" w:hAnsi="宋体" w:cs="宋体"/>
              </w:rPr>
            </w:pPr>
          </w:p>
        </w:tc>
        <w:tc>
          <w:tcPr>
            <w:tcW w:w="1101"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扣除</w:t>
            </w:r>
          </w:p>
          <w:p>
            <w:pPr>
              <w:rPr>
                <w:rFonts w:ascii="宋体" w:hAnsi="宋体" w:cs="宋体"/>
              </w:rPr>
            </w:pPr>
          </w:p>
        </w:tc>
        <w:tc>
          <w:tcPr>
            <w:tcW w:w="89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89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r>
      <w:tr>
        <w:tblPrEx>
          <w:tblLayout w:type="fixed"/>
          <w:tblCellMar>
            <w:top w:w="0" w:type="dxa"/>
            <w:left w:w="108" w:type="dxa"/>
            <w:bottom w:w="0" w:type="dxa"/>
            <w:right w:w="108" w:type="dxa"/>
          </w:tblCellMar>
        </w:tblPrEx>
        <w:trPr>
          <w:trHeight w:val="195" w:hRule="atLeast"/>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p>
        </w:tc>
        <w:tc>
          <w:tcPr>
            <w:tcW w:w="18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总报价</w:t>
            </w:r>
          </w:p>
        </w:tc>
        <w:tc>
          <w:tcPr>
            <w:tcW w:w="3434" w:type="dxa"/>
            <w:tcBorders>
              <w:top w:val="single" w:color="auto" w:sz="4" w:space="0"/>
              <w:left w:val="nil"/>
              <w:bottom w:val="single" w:color="auto" w:sz="4" w:space="0"/>
              <w:right w:val="single" w:color="auto" w:sz="4" w:space="0"/>
            </w:tcBorders>
            <w:shd w:val="clear" w:color="auto" w:fill="auto"/>
            <w:noWrap/>
            <w:vAlign w:val="center"/>
          </w:tcPr>
          <w:p>
            <w:pPr>
              <w:widowControl/>
              <w:ind w:right="110"/>
              <w:jc w:val="right"/>
              <w:rPr>
                <w:rFonts w:ascii="宋体" w:hAnsi="宋体" w:cs="宋体"/>
              </w:rPr>
            </w:pPr>
          </w:p>
        </w:tc>
        <w:tc>
          <w:tcPr>
            <w:tcW w:w="1101"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89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89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r>
      <w:tr>
        <w:tblPrEx>
          <w:tblLayout w:type="fixed"/>
          <w:tblCellMar>
            <w:top w:w="0" w:type="dxa"/>
            <w:left w:w="108" w:type="dxa"/>
            <w:bottom w:w="0" w:type="dxa"/>
            <w:right w:w="108" w:type="dxa"/>
          </w:tblCellMar>
        </w:tblPrEx>
        <w:trPr>
          <w:trHeight w:val="195" w:hRule="atLeast"/>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p>
        </w:tc>
        <w:tc>
          <w:tcPr>
            <w:tcW w:w="18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3434" w:type="dxa"/>
            <w:tcBorders>
              <w:top w:val="single" w:color="auto" w:sz="4" w:space="0"/>
              <w:left w:val="nil"/>
              <w:bottom w:val="single" w:color="auto" w:sz="4" w:space="0"/>
              <w:right w:val="single" w:color="auto" w:sz="4" w:space="0"/>
            </w:tcBorders>
            <w:shd w:val="clear" w:color="auto" w:fill="auto"/>
            <w:noWrap/>
            <w:vAlign w:val="center"/>
          </w:tcPr>
          <w:p>
            <w:pPr>
              <w:widowControl/>
              <w:ind w:right="110"/>
              <w:jc w:val="right"/>
              <w:rPr>
                <w:rFonts w:ascii="宋体" w:hAnsi="宋体" w:cs="宋体"/>
              </w:rPr>
            </w:pPr>
          </w:p>
        </w:tc>
        <w:tc>
          <w:tcPr>
            <w:tcW w:w="1101"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89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89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r>
    </w:tbl>
    <w:p>
      <w:pPr>
        <w:pStyle w:val="10"/>
        <w:spacing w:before="0" w:line="275" w:lineRule="exact"/>
        <w:ind w:left="112" w:right="233" w:firstLine="480"/>
        <w:rPr>
          <w:lang w:eastAsia="zh-CN"/>
        </w:rPr>
      </w:pPr>
      <w:r>
        <w:rPr>
          <w:lang w:eastAsia="zh-CN"/>
        </w:rPr>
        <w:t>乙方提交的产品应符合响应文件中所记载的设备的品牌、规格型号、技术参数及使用寿</w:t>
      </w:r>
    </w:p>
    <w:p>
      <w:pPr>
        <w:pStyle w:val="10"/>
        <w:spacing w:before="154" w:line="355" w:lineRule="auto"/>
        <w:ind w:left="112" w:right="3408"/>
        <w:rPr>
          <w:rFonts w:cs="宋体"/>
          <w:lang w:eastAsia="zh-CN"/>
        </w:rPr>
      </w:pPr>
      <w:r>
        <w:rPr>
          <w:lang w:eastAsia="zh-CN"/>
        </w:rPr>
        <w:t xml:space="preserve">命，并应附有此类设备完整、详细的技术资料和说明文件。 </w:t>
      </w:r>
      <w:r>
        <w:rPr>
          <w:rFonts w:cs="宋体"/>
          <w:b/>
          <w:bCs/>
          <w:lang w:eastAsia="zh-CN"/>
        </w:rPr>
        <w:t>四、供货期</w:t>
      </w:r>
    </w:p>
    <w:p>
      <w:pPr>
        <w:pStyle w:val="10"/>
        <w:tabs>
          <w:tab w:val="left" w:pos="7633"/>
        </w:tabs>
        <w:spacing w:before="38" w:line="357" w:lineRule="auto"/>
        <w:ind w:right="233"/>
        <w:rPr>
          <w:lang w:eastAsia="zh-CN"/>
        </w:rPr>
      </w:pPr>
      <w:r>
        <w:rPr>
          <w:lang w:eastAsia="zh-CN"/>
        </w:rPr>
        <w:t>供货及安装期：</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lang w:eastAsia="zh-CN"/>
        </w:rPr>
        <w:t xml:space="preserve"> </w:t>
      </w:r>
      <w:r>
        <w:rPr>
          <w:lang w:eastAsia="zh-CN"/>
        </w:rPr>
        <w:t>乙方应保证将设备按国家或专业标准包装并确保设备安全无损的运抵安装、调试现场或</w:t>
      </w:r>
      <w:r>
        <w:rPr>
          <w:rFonts w:cs="宋体"/>
          <w:lang w:eastAsia="zh-CN"/>
        </w:rPr>
        <w:t xml:space="preserve">使用地。 </w:t>
      </w:r>
    </w:p>
    <w:p>
      <w:pPr>
        <w:spacing w:before="34" w:line="355" w:lineRule="auto"/>
        <w:ind w:left="112" w:right="8192"/>
        <w:rPr>
          <w:rFonts w:ascii="宋体" w:hAnsi="宋体" w:eastAsia="宋体" w:cs="宋体"/>
          <w:sz w:val="24"/>
          <w:szCs w:val="24"/>
          <w:lang w:eastAsia="zh-CN"/>
        </w:rPr>
      </w:pPr>
      <w:r>
        <w:rPr>
          <w:rFonts w:ascii="宋体" w:hAnsi="宋体" w:eastAsia="宋体" w:cs="宋体"/>
          <w:b/>
          <w:bCs/>
          <w:sz w:val="24"/>
          <w:szCs w:val="24"/>
          <w:lang w:eastAsia="zh-CN"/>
        </w:rPr>
        <w:t>五、质保期</w:t>
      </w:r>
    </w:p>
    <w:p>
      <w:pPr>
        <w:pStyle w:val="10"/>
        <w:tabs>
          <w:tab w:val="left" w:pos="2282"/>
        </w:tabs>
        <w:spacing w:before="38" w:line="355" w:lineRule="auto"/>
        <w:ind w:left="112" w:right="233" w:firstLine="480"/>
        <w:rPr>
          <w:lang w:eastAsia="zh-CN"/>
        </w:rPr>
      </w:pPr>
      <w:r>
        <w:rPr>
          <w:lang w:eastAsia="zh-CN"/>
        </w:rPr>
        <w:t>质保期：</w:t>
      </w:r>
      <w:r>
        <w:rPr>
          <w:rFonts w:ascii="Times New Roman" w:hAnsi="Times New Roman" w:eastAsia="Times New Roman" w:cs="Times New Roman"/>
          <w:u w:val="single" w:color="000000"/>
          <w:lang w:eastAsia="zh-CN"/>
        </w:rPr>
        <w:tab/>
      </w:r>
      <w:r>
        <w:rPr>
          <w:lang w:eastAsia="zh-CN"/>
        </w:rPr>
        <w:t>年，质保期内的服务承诺详见乙方投标响应文件，在质保期内，如发现 设备安装等质量问题，由乙方负责修理。</w:t>
      </w:r>
    </w:p>
    <w:p>
      <w:pPr>
        <w:pStyle w:val="10"/>
        <w:spacing w:before="38" w:line="357" w:lineRule="auto"/>
        <w:ind w:left="112" w:right="233" w:firstLine="480"/>
        <w:rPr>
          <w:lang w:eastAsia="zh-CN"/>
        </w:rPr>
      </w:pPr>
      <w:r>
        <w:rPr>
          <w:lang w:eastAsia="zh-CN"/>
        </w:rPr>
        <w:t>质保期起算时间为设备安装、调试完毕，经甲方验收合格之日开始计算。</w:t>
      </w:r>
    </w:p>
    <w:p>
      <w:pPr>
        <w:pStyle w:val="10"/>
        <w:spacing w:before="38" w:line="357" w:lineRule="auto"/>
        <w:ind w:left="0" w:right="233"/>
        <w:rPr>
          <w:rFonts w:cs="宋体"/>
          <w:lang w:eastAsia="zh-CN"/>
        </w:rPr>
      </w:pPr>
      <w:r>
        <w:rPr>
          <w:rFonts w:cs="宋体"/>
          <w:b/>
          <w:bCs/>
          <w:lang w:eastAsia="zh-CN"/>
        </w:rPr>
        <w:t>六、交货安装地点</w:t>
      </w:r>
    </w:p>
    <w:p>
      <w:pPr>
        <w:spacing w:before="34" w:line="357" w:lineRule="auto"/>
        <w:ind w:left="112" w:right="3408" w:firstLine="479"/>
        <w:rPr>
          <w:rFonts w:ascii="宋体" w:hAnsi="宋体" w:eastAsia="宋体" w:cs="宋体"/>
          <w:sz w:val="24"/>
          <w:szCs w:val="24"/>
          <w:lang w:eastAsia="zh-CN"/>
        </w:rPr>
      </w:pPr>
      <w:r>
        <w:rPr>
          <w:rFonts w:ascii="Times New Roman" w:hAnsi="Times New Roman" w:eastAsia="Times New Roman" w:cs="Times New Roman"/>
          <w:sz w:val="24"/>
          <w:szCs w:val="24"/>
          <w:u w:val="single" w:color="000000"/>
          <w:lang w:eastAsia="zh-CN"/>
        </w:rPr>
        <w:t xml:space="preserve">  </w:t>
      </w:r>
      <w:r>
        <w:rPr>
          <w:rFonts w:ascii="宋体" w:hAnsi="宋体" w:eastAsia="宋体" w:cs="宋体"/>
          <w:sz w:val="24"/>
          <w:szCs w:val="24"/>
          <w:u w:val="single" w:color="000000"/>
          <w:lang w:eastAsia="zh-CN"/>
        </w:rPr>
        <w:t>采购人指定地点</w:t>
      </w:r>
      <w:r>
        <w:rPr>
          <w:rFonts w:ascii="宋体" w:hAnsi="宋体" w:eastAsia="宋体" w:cs="宋体"/>
          <w:spacing w:val="120"/>
          <w:sz w:val="24"/>
          <w:szCs w:val="24"/>
          <w:u w:val="single" w:color="000000"/>
          <w:lang w:eastAsia="zh-CN"/>
        </w:rPr>
        <w:t xml:space="preserve"> </w:t>
      </w:r>
      <w:r>
        <w:rPr>
          <w:rFonts w:ascii="宋体" w:hAnsi="宋体" w:eastAsia="宋体" w:cs="宋体"/>
          <w:sz w:val="24"/>
          <w:szCs w:val="24"/>
          <w:lang w:eastAsia="zh-CN"/>
        </w:rPr>
        <w:t>。</w:t>
      </w:r>
    </w:p>
    <w:p>
      <w:pPr>
        <w:spacing w:before="34" w:line="357" w:lineRule="auto"/>
        <w:ind w:right="3408"/>
        <w:rPr>
          <w:rFonts w:ascii="宋体" w:hAnsi="宋体" w:eastAsia="宋体" w:cs="宋体"/>
          <w:sz w:val="24"/>
          <w:szCs w:val="24"/>
          <w:lang w:eastAsia="zh-CN"/>
        </w:rPr>
      </w:pPr>
      <w:r>
        <w:rPr>
          <w:rFonts w:ascii="宋体" w:hAnsi="宋体" w:eastAsia="宋体" w:cs="宋体"/>
          <w:sz w:val="24"/>
          <w:szCs w:val="24"/>
          <w:lang w:eastAsia="zh-CN"/>
        </w:rPr>
        <w:t xml:space="preserve"> </w:t>
      </w:r>
      <w:r>
        <w:rPr>
          <w:rFonts w:ascii="宋体" w:hAnsi="宋体" w:eastAsia="宋体" w:cs="宋体"/>
          <w:b/>
          <w:bCs/>
          <w:sz w:val="24"/>
          <w:szCs w:val="24"/>
          <w:lang w:eastAsia="zh-CN"/>
        </w:rPr>
        <w:t>七、施工安全要求</w:t>
      </w:r>
    </w:p>
    <w:p>
      <w:pPr>
        <w:pStyle w:val="10"/>
        <w:spacing w:before="34" w:line="357" w:lineRule="auto"/>
        <w:ind w:right="111"/>
        <w:rPr>
          <w:lang w:eastAsia="zh-CN"/>
        </w:rPr>
      </w:pPr>
      <w:r>
        <w:rPr>
          <w:lang w:eastAsia="zh-CN"/>
        </w:rPr>
        <w:t xml:space="preserve">(一)楼体发光字安装时施工安全： 1、遵守施工现场安全作业，安全用电和安全防火管理制度，设备操作人员要凭证上岗，严禁无证上岗，严禁无证操作和其他非本岗人员擅自操作机械设备。 </w:t>
      </w:r>
      <w:r>
        <w:rPr>
          <w:spacing w:val="-3"/>
          <w:lang w:eastAsia="zh-CN"/>
        </w:rPr>
        <w:t>2、楼体发光字属于高空作业必须系挂安全带，穿防滑鞋、安全带要高挂低用，不准乱扔</w:t>
      </w:r>
      <w:r>
        <w:rPr>
          <w:lang w:eastAsia="zh-CN"/>
        </w:rPr>
        <w:t>乱投物品。</w:t>
      </w:r>
    </w:p>
    <w:p>
      <w:pPr>
        <w:pStyle w:val="10"/>
        <w:spacing w:before="34" w:line="357" w:lineRule="auto"/>
        <w:ind w:right="111"/>
        <w:rPr>
          <w:lang w:eastAsia="zh-CN"/>
        </w:rPr>
      </w:pPr>
      <w:r>
        <w:rPr>
          <w:lang w:eastAsia="zh-CN"/>
        </w:rPr>
        <w:t>3、焊接点必须远离易燃易爆等危险品。</w:t>
      </w:r>
    </w:p>
    <w:p>
      <w:pPr>
        <w:pStyle w:val="10"/>
        <w:spacing w:before="151"/>
        <w:ind w:right="233"/>
        <w:rPr>
          <w:lang w:eastAsia="zh-CN"/>
        </w:rPr>
      </w:pPr>
      <w:r>
        <w:rPr>
          <w:lang w:eastAsia="zh-CN"/>
        </w:rPr>
        <w:t>4、打磨、清理焊缝时、必须带防护眼镜。</w:t>
      </w:r>
    </w:p>
    <w:p>
      <w:pPr>
        <w:pStyle w:val="10"/>
        <w:spacing w:before="154" w:line="355" w:lineRule="auto"/>
        <w:ind w:left="112" w:right="111" w:firstLine="480"/>
        <w:rPr>
          <w:lang w:eastAsia="zh-CN"/>
        </w:rPr>
      </w:pPr>
      <w:r>
        <w:rPr>
          <w:spacing w:val="-6"/>
          <w:lang w:eastAsia="zh-CN"/>
        </w:rPr>
        <w:t>5、做到安全用电，对易损线路，维修电工要经常检查，及时修补，非电工不得擅自动电，</w:t>
      </w:r>
      <w:r>
        <w:rPr>
          <w:lang w:eastAsia="zh-CN"/>
        </w:rPr>
        <w:t xml:space="preserve"> </w:t>
      </w:r>
      <w:r>
        <w:rPr>
          <w:spacing w:val="-2"/>
          <w:lang w:eastAsia="zh-CN"/>
        </w:rPr>
        <w:t>照明电应采用安全电压。楼体发光字工作结束或下班时，必须切断焊机电源后方能离开现场。</w:t>
      </w:r>
    </w:p>
    <w:p>
      <w:pPr>
        <w:pStyle w:val="10"/>
        <w:spacing w:before="16" w:line="357" w:lineRule="auto"/>
        <w:ind w:left="112" w:right="111" w:firstLine="480"/>
        <w:rPr>
          <w:lang w:eastAsia="zh-CN"/>
        </w:rPr>
      </w:pPr>
      <w:r>
        <w:rPr>
          <w:spacing w:val="-5"/>
          <w:lang w:eastAsia="zh-CN"/>
        </w:rPr>
        <w:t>6、楼体发光字高处作业安全管理，凡+0</w:t>
      </w:r>
      <w:r>
        <w:rPr>
          <w:spacing w:val="-58"/>
          <w:lang w:eastAsia="zh-CN"/>
        </w:rPr>
        <w:t xml:space="preserve"> </w:t>
      </w:r>
      <w:r>
        <w:rPr>
          <w:lang w:eastAsia="zh-CN"/>
        </w:rPr>
        <w:t>基准面</w:t>
      </w:r>
      <w:r>
        <w:rPr>
          <w:spacing w:val="-58"/>
          <w:lang w:eastAsia="zh-CN"/>
        </w:rPr>
        <w:t xml:space="preserve"> </w:t>
      </w:r>
      <w:r>
        <w:rPr>
          <w:lang w:eastAsia="zh-CN"/>
        </w:rPr>
        <w:t>2m</w:t>
      </w:r>
      <w:r>
        <w:rPr>
          <w:spacing w:val="-58"/>
          <w:lang w:eastAsia="zh-CN"/>
        </w:rPr>
        <w:t xml:space="preserve"> </w:t>
      </w:r>
      <w:r>
        <w:rPr>
          <w:lang w:eastAsia="zh-CN"/>
        </w:rPr>
        <w:t>以上(含</w:t>
      </w:r>
      <w:r>
        <w:rPr>
          <w:spacing w:val="-58"/>
          <w:lang w:eastAsia="zh-CN"/>
        </w:rPr>
        <w:t xml:space="preserve"> </w:t>
      </w:r>
      <w:r>
        <w:rPr>
          <w:lang w:eastAsia="zh-CN"/>
        </w:rPr>
        <w:t>2m)位置地行作业的称高处作 业，楼体发光字高处作业的级别和种类按国家《高处作业》GB3608-83</w:t>
      </w:r>
      <w:r>
        <w:rPr>
          <w:spacing w:val="-64"/>
          <w:lang w:eastAsia="zh-CN"/>
        </w:rPr>
        <w:t xml:space="preserve"> </w:t>
      </w:r>
      <w:r>
        <w:rPr>
          <w:lang w:eastAsia="zh-CN"/>
        </w:rPr>
        <w:t>的标准执行。凡</w:t>
      </w:r>
      <w:r>
        <w:rPr>
          <w:spacing w:val="-64"/>
          <w:lang w:eastAsia="zh-CN"/>
        </w:rPr>
        <w:t xml:space="preserve"> </w:t>
      </w:r>
      <w:r>
        <w:rPr>
          <w:lang w:eastAsia="zh-CN"/>
        </w:rPr>
        <w:t>2m</w:t>
      </w:r>
      <w:r>
        <w:rPr>
          <w:spacing w:val="-64"/>
          <w:lang w:eastAsia="zh-CN"/>
        </w:rPr>
        <w:t xml:space="preserve"> </w:t>
      </w:r>
      <w:r>
        <w:rPr>
          <w:lang w:eastAsia="zh-CN"/>
        </w:rPr>
        <w:t xml:space="preserve">以 上作业时，采取可靠的安全措施，指定专人负责、专人监护，并严格履行审批手续。楼体发 光字高处作业必须系牢安全防护绳索，使用的安全防护绳索应符合劳动部有关规定。防护绳 </w:t>
      </w:r>
      <w:r>
        <w:rPr>
          <w:spacing w:val="-6"/>
          <w:lang w:eastAsia="zh-CN"/>
        </w:rPr>
        <w:t xml:space="preserve">索钩挂在构架、管架和牢固的位置。在高处作业下的框架，构架，管架底部标高离地面 </w:t>
      </w:r>
      <w:r>
        <w:rPr>
          <w:lang w:eastAsia="zh-CN"/>
        </w:rPr>
        <w:t>2m</w:t>
      </w:r>
      <w:r>
        <w:rPr>
          <w:spacing w:val="-89"/>
          <w:lang w:eastAsia="zh-CN"/>
        </w:rPr>
        <w:t xml:space="preserve"> </w:t>
      </w:r>
      <w:r>
        <w:rPr>
          <w:lang w:eastAsia="zh-CN"/>
        </w:rPr>
        <w:t>处， 设安全网保护安全。</w:t>
      </w:r>
    </w:p>
    <w:p>
      <w:pPr>
        <w:pStyle w:val="10"/>
        <w:spacing w:line="357" w:lineRule="auto"/>
        <w:ind w:left="112" w:right="231" w:firstLine="480"/>
        <w:jc w:val="both"/>
        <w:rPr>
          <w:lang w:eastAsia="zh-CN"/>
        </w:rPr>
      </w:pPr>
      <w:r>
        <w:rPr>
          <w:spacing w:val="-3"/>
          <w:lang w:eastAsia="zh-CN"/>
        </w:rPr>
        <w:t>7、楼体发光字所有安装工人在工作前进行安全生产教育，作好自我保护方案，以及在生</w:t>
      </w:r>
      <w:r>
        <w:rPr>
          <w:lang w:eastAsia="zh-CN"/>
        </w:rPr>
        <w:t xml:space="preserve"> 产过程中的注意事项。楼体发光字施工中设专职安全检查员，所有施工人员要自觉接受安全 人员的监督检查，安全检查人员必须尽职尽责。</w:t>
      </w:r>
    </w:p>
    <w:p>
      <w:pPr>
        <w:pStyle w:val="10"/>
        <w:spacing w:before="34" w:line="357" w:lineRule="auto"/>
        <w:ind w:right="111" w:hanging="240"/>
        <w:rPr>
          <w:lang w:eastAsia="zh-CN"/>
        </w:rPr>
      </w:pPr>
      <w:r>
        <w:rPr>
          <w:lang w:eastAsia="zh-CN"/>
        </w:rPr>
        <w:t xml:space="preserve">（二）、楼体发光字安装时消防安全： </w:t>
      </w:r>
    </w:p>
    <w:p>
      <w:pPr>
        <w:pStyle w:val="10"/>
        <w:spacing w:before="34" w:line="357" w:lineRule="auto"/>
        <w:ind w:right="111" w:hanging="240"/>
        <w:rPr>
          <w:lang w:eastAsia="zh-CN"/>
        </w:rPr>
      </w:pPr>
      <w:r>
        <w:rPr>
          <w:spacing w:val="-5"/>
          <w:lang w:eastAsia="zh-CN"/>
        </w:rPr>
        <w:t>1、楼体发光字施工现场配备足够的消防器材，合理布局规范安放消防器材并设明显标志，</w:t>
      </w:r>
    </w:p>
    <w:p>
      <w:pPr>
        <w:pStyle w:val="10"/>
        <w:spacing w:before="34" w:line="357" w:lineRule="auto"/>
        <w:ind w:right="233" w:hanging="480"/>
        <w:rPr>
          <w:lang w:eastAsia="zh-CN"/>
        </w:rPr>
      </w:pPr>
      <w:r>
        <w:rPr>
          <w:lang w:eastAsia="zh-CN"/>
        </w:rPr>
        <w:t xml:space="preserve">保证消防器材灵敏有效。 </w:t>
      </w:r>
    </w:p>
    <w:p>
      <w:pPr>
        <w:pStyle w:val="10"/>
        <w:spacing w:before="34" w:line="357" w:lineRule="auto"/>
        <w:ind w:left="110" w:leftChars="50" w:right="233" w:firstLine="117" w:firstLineChars="50"/>
        <w:rPr>
          <w:lang w:eastAsia="zh-CN"/>
        </w:rPr>
      </w:pPr>
      <w:r>
        <w:rPr>
          <w:rFonts w:hint="eastAsia"/>
          <w:spacing w:val="-3"/>
          <w:lang w:eastAsia="zh-CN"/>
        </w:rPr>
        <w:t>2</w:t>
      </w:r>
      <w:r>
        <w:rPr>
          <w:spacing w:val="-3"/>
          <w:lang w:eastAsia="zh-CN"/>
        </w:rPr>
        <w:t>、现场建材的保管要符合防火、防盗要求，库房禁止使用易燃材料搭设，易燃物品设专</w:t>
      </w:r>
    </w:p>
    <w:p>
      <w:pPr>
        <w:pStyle w:val="10"/>
        <w:ind w:left="112" w:right="233"/>
        <w:rPr>
          <w:lang w:eastAsia="zh-CN"/>
        </w:rPr>
      </w:pPr>
      <w:r>
        <w:rPr>
          <w:lang w:eastAsia="zh-CN"/>
        </w:rPr>
        <w:t>库储存。</w:t>
      </w:r>
    </w:p>
    <w:p>
      <w:pPr>
        <w:pStyle w:val="10"/>
        <w:spacing w:before="151"/>
        <w:ind w:left="0" w:right="233" w:firstLine="240" w:firstLineChars="100"/>
        <w:rPr>
          <w:lang w:eastAsia="zh-CN"/>
        </w:rPr>
      </w:pPr>
      <w:r>
        <w:rPr>
          <w:rFonts w:hint="eastAsia"/>
          <w:lang w:eastAsia="zh-CN"/>
        </w:rPr>
        <w:t>3</w:t>
      </w:r>
      <w:r>
        <w:rPr>
          <w:lang w:eastAsia="zh-CN"/>
        </w:rPr>
        <w:t>、建立同入场管理制度，现场保安</w:t>
      </w:r>
      <w:r>
        <w:rPr>
          <w:spacing w:val="-60"/>
          <w:lang w:eastAsia="zh-CN"/>
        </w:rPr>
        <w:t xml:space="preserve"> </w:t>
      </w:r>
      <w:r>
        <w:rPr>
          <w:lang w:eastAsia="zh-CN"/>
        </w:rPr>
        <w:t>24</w:t>
      </w:r>
      <w:r>
        <w:rPr>
          <w:spacing w:val="-60"/>
          <w:lang w:eastAsia="zh-CN"/>
        </w:rPr>
        <w:t xml:space="preserve"> </w:t>
      </w:r>
      <w:r>
        <w:rPr>
          <w:lang w:eastAsia="zh-CN"/>
        </w:rPr>
        <w:t>小时值班，做好值班记录。</w:t>
      </w:r>
    </w:p>
    <w:p>
      <w:pPr>
        <w:pStyle w:val="10"/>
        <w:spacing w:before="154" w:line="355" w:lineRule="auto"/>
        <w:ind w:right="111" w:hanging="240"/>
        <w:rPr>
          <w:lang w:eastAsia="zh-CN"/>
        </w:rPr>
      </w:pPr>
      <w:r>
        <w:rPr>
          <w:lang w:eastAsia="zh-CN"/>
        </w:rPr>
        <w:t xml:space="preserve">（三）、楼体发光字安装时安全管理： </w:t>
      </w:r>
    </w:p>
    <w:p>
      <w:pPr>
        <w:pStyle w:val="10"/>
        <w:spacing w:before="154" w:line="355" w:lineRule="auto"/>
        <w:ind w:right="111" w:hanging="240"/>
        <w:rPr>
          <w:lang w:eastAsia="zh-CN"/>
        </w:rPr>
      </w:pPr>
      <w:r>
        <w:rPr>
          <w:spacing w:val="-5"/>
          <w:lang w:eastAsia="zh-CN"/>
        </w:rPr>
        <w:t>1、建立项目经理直接领导的安全生产管理领导小组，设置由专职安全管理人员监督管理，</w:t>
      </w:r>
    </w:p>
    <w:p>
      <w:pPr>
        <w:pStyle w:val="10"/>
        <w:spacing w:before="38" w:line="355" w:lineRule="auto"/>
        <w:ind w:right="3408" w:hanging="480"/>
        <w:rPr>
          <w:lang w:eastAsia="zh-CN"/>
        </w:rPr>
      </w:pPr>
      <w:r>
        <w:rPr>
          <w:lang w:eastAsia="zh-CN"/>
        </w:rPr>
        <w:t>各级安全操作人员具体负责的多级安全管理网络</w:t>
      </w:r>
      <w:r>
        <w:rPr>
          <w:rFonts w:hint="eastAsia"/>
          <w:lang w:eastAsia="zh-CN"/>
        </w:rPr>
        <w:t>；</w:t>
      </w:r>
    </w:p>
    <w:p>
      <w:pPr>
        <w:pStyle w:val="10"/>
        <w:spacing w:before="38" w:line="355" w:lineRule="auto"/>
        <w:ind w:right="3408" w:hanging="480"/>
        <w:rPr>
          <w:lang w:eastAsia="zh-CN"/>
        </w:rPr>
      </w:pPr>
      <w:r>
        <w:rPr>
          <w:lang w:eastAsia="zh-CN"/>
        </w:rPr>
        <w:t xml:space="preserve"> 2、坚决遵守业主安全管理的有关规定：</w:t>
      </w:r>
    </w:p>
    <w:p>
      <w:pPr>
        <w:pStyle w:val="10"/>
        <w:spacing w:before="38"/>
        <w:ind w:right="233"/>
        <w:rPr>
          <w:lang w:eastAsia="zh-CN"/>
        </w:rPr>
      </w:pPr>
      <w:r>
        <w:rPr>
          <w:lang w:eastAsia="zh-CN"/>
        </w:rPr>
        <w:t>3、制作楼体发光字时采取必要措施保证施工安全。</w:t>
      </w:r>
    </w:p>
    <w:p>
      <w:pPr>
        <w:pStyle w:val="10"/>
        <w:spacing w:before="151"/>
        <w:ind w:right="233"/>
        <w:rPr>
          <w:lang w:eastAsia="zh-CN"/>
        </w:rPr>
      </w:pPr>
      <w:r>
        <w:rPr>
          <w:lang w:eastAsia="zh-CN"/>
        </w:rPr>
        <w:t>4、服从业主对该工程施工时的用火、用电安全管理。</w:t>
      </w:r>
    </w:p>
    <w:p>
      <w:pPr>
        <w:pStyle w:val="10"/>
        <w:spacing w:before="154"/>
        <w:rPr>
          <w:lang w:eastAsia="zh-CN"/>
        </w:rPr>
      </w:pPr>
      <w:r>
        <w:rPr>
          <w:spacing w:val="-5"/>
          <w:lang w:eastAsia="zh-CN"/>
        </w:rPr>
        <w:t>5、服从业主工程指挥部安全管理人员的指令，保证在施工过程中的人身安全和设备安全。</w:t>
      </w:r>
    </w:p>
    <w:p>
      <w:pPr>
        <w:pStyle w:val="10"/>
        <w:spacing w:before="151" w:line="357" w:lineRule="auto"/>
        <w:ind w:right="233" w:hanging="240"/>
        <w:rPr>
          <w:lang w:eastAsia="zh-CN"/>
        </w:rPr>
      </w:pPr>
      <w:r>
        <w:rPr>
          <w:lang w:eastAsia="zh-CN"/>
        </w:rPr>
        <w:t xml:space="preserve">（四）、楼体发光字安装时用电安全： </w:t>
      </w:r>
    </w:p>
    <w:p>
      <w:pPr>
        <w:pStyle w:val="10"/>
        <w:spacing w:before="151" w:line="357" w:lineRule="auto"/>
        <w:ind w:right="233" w:hanging="240"/>
        <w:rPr>
          <w:lang w:eastAsia="zh-CN"/>
        </w:rPr>
      </w:pPr>
      <w:r>
        <w:rPr>
          <w:spacing w:val="-3"/>
          <w:lang w:eastAsia="zh-CN"/>
        </w:rPr>
        <w:t>1、楼体发光字施工现场电气作业人员必须经过专业培训，考核合格、持有电工特种作业</w:t>
      </w:r>
    </w:p>
    <w:p>
      <w:pPr>
        <w:pStyle w:val="10"/>
        <w:spacing w:line="355" w:lineRule="auto"/>
        <w:ind w:right="233" w:hanging="480"/>
        <w:rPr>
          <w:lang w:eastAsia="zh-CN"/>
        </w:rPr>
      </w:pPr>
      <w:r>
        <w:rPr>
          <w:lang w:eastAsia="zh-CN"/>
        </w:rPr>
        <w:t>操作证的人员担任。</w:t>
      </w:r>
    </w:p>
    <w:p>
      <w:pPr>
        <w:pStyle w:val="10"/>
        <w:spacing w:line="355" w:lineRule="auto"/>
        <w:ind w:right="233" w:hanging="480"/>
        <w:rPr>
          <w:lang w:eastAsia="zh-CN"/>
        </w:rPr>
      </w:pPr>
      <w:r>
        <w:rPr>
          <w:lang w:eastAsia="zh-CN"/>
        </w:rPr>
        <w:t xml:space="preserve"> </w:t>
      </w:r>
      <w:r>
        <w:rPr>
          <w:rFonts w:hint="eastAsia"/>
          <w:lang w:eastAsia="zh-CN"/>
        </w:rPr>
        <w:t>2</w:t>
      </w:r>
      <w:r>
        <w:rPr>
          <w:lang w:eastAsia="zh-CN"/>
        </w:rPr>
        <w:t>、楼体发光字施工用的临时电源线应采用绝缘良好的电缆线，不得接触潮湿的地面。</w:t>
      </w:r>
    </w:p>
    <w:p>
      <w:pPr>
        <w:pStyle w:val="10"/>
        <w:spacing w:line="357" w:lineRule="auto"/>
        <w:ind w:left="112" w:right="233"/>
        <w:rPr>
          <w:lang w:eastAsia="zh-CN"/>
        </w:rPr>
      </w:pPr>
      <w:r>
        <w:rPr>
          <w:lang w:eastAsia="zh-CN"/>
        </w:rPr>
        <w:t>电线用竹杆或木杆架高，如采用埋地方式时应做出明显的标记，电缆线如过马路时应设钢管 套保护。</w:t>
      </w:r>
    </w:p>
    <w:p>
      <w:pPr>
        <w:pStyle w:val="10"/>
        <w:spacing w:line="355" w:lineRule="auto"/>
        <w:ind w:left="112" w:right="111" w:firstLine="480"/>
        <w:rPr>
          <w:lang w:eastAsia="zh-CN"/>
        </w:rPr>
      </w:pPr>
      <w:r>
        <w:rPr>
          <w:rFonts w:hint="eastAsia"/>
          <w:spacing w:val="-2"/>
          <w:lang w:eastAsia="zh-CN"/>
        </w:rPr>
        <w:t>3</w:t>
      </w:r>
      <w:r>
        <w:rPr>
          <w:spacing w:val="-2"/>
          <w:lang w:eastAsia="zh-CN"/>
        </w:rPr>
        <w:t>、楼体发光字施工现场及有作业的场所应有足够的照明灯具，主要的通道上安装灯具，</w:t>
      </w:r>
      <w:r>
        <w:rPr>
          <w:lang w:eastAsia="zh-CN"/>
        </w:rPr>
        <w:t xml:space="preserve"> 照明灯具必须绝缘良好、布线整齐，固定牢靠。对线路还应经常进行检查维修。</w:t>
      </w:r>
    </w:p>
    <w:p>
      <w:pPr>
        <w:pStyle w:val="10"/>
        <w:spacing w:before="16" w:line="355" w:lineRule="auto"/>
        <w:ind w:left="112" w:right="233" w:firstLine="480"/>
        <w:rPr>
          <w:lang w:eastAsia="zh-CN"/>
        </w:rPr>
      </w:pPr>
      <w:r>
        <w:rPr>
          <w:rFonts w:hint="eastAsia"/>
          <w:lang w:eastAsia="zh-CN"/>
        </w:rPr>
        <w:t>4</w:t>
      </w:r>
      <w:r>
        <w:rPr>
          <w:lang w:eastAsia="zh-CN"/>
        </w:rPr>
        <w:t>、制作楼体发光字所有电气设备必须保证接线正确，保证接零或接地良好。特别是施 工用电，必须做接零或接地保护，不得一部分设备作保护接零，另一部分设备作保护接地。</w:t>
      </w:r>
    </w:p>
    <w:p>
      <w:pPr>
        <w:pStyle w:val="10"/>
        <w:spacing w:before="38"/>
        <w:ind w:right="233"/>
        <w:rPr>
          <w:lang w:eastAsia="zh-CN"/>
        </w:rPr>
      </w:pPr>
      <w:r>
        <w:rPr>
          <w:rFonts w:hint="eastAsia"/>
          <w:lang w:eastAsia="zh-CN"/>
        </w:rPr>
        <w:t>5</w:t>
      </w:r>
      <w:r>
        <w:rPr>
          <w:lang w:eastAsia="zh-CN"/>
        </w:rPr>
        <w:t>、手持电动工具和移动电器用具必须绝缘良好，并应配置漏电保护装置。</w:t>
      </w:r>
    </w:p>
    <w:p>
      <w:pPr>
        <w:pStyle w:val="10"/>
        <w:spacing w:before="151" w:line="357" w:lineRule="auto"/>
        <w:ind w:left="112" w:right="233" w:firstLine="480"/>
        <w:rPr>
          <w:lang w:eastAsia="zh-CN"/>
        </w:rPr>
      </w:pPr>
      <w:r>
        <w:rPr>
          <w:rFonts w:hint="eastAsia"/>
          <w:lang w:eastAsia="zh-CN"/>
        </w:rPr>
        <w:t>6</w:t>
      </w:r>
      <w:r>
        <w:rPr>
          <w:lang w:eastAsia="zh-CN"/>
        </w:rPr>
        <w:t>、楼体发光字露天配电及配电开关应设防雨设施。外露带电部分，必须具备绝缘防护 措施，并应挂有“带电危险”的警告牌。</w:t>
      </w:r>
    </w:p>
    <w:p>
      <w:pPr>
        <w:pStyle w:val="10"/>
        <w:spacing w:before="34" w:line="357" w:lineRule="auto"/>
        <w:ind w:left="112" w:right="233" w:firstLine="480"/>
        <w:rPr>
          <w:lang w:eastAsia="zh-CN"/>
        </w:rPr>
      </w:pPr>
      <w:r>
        <w:rPr>
          <w:rFonts w:hint="eastAsia"/>
          <w:lang w:eastAsia="zh-CN"/>
        </w:rPr>
        <w:t>7</w:t>
      </w:r>
      <w:r>
        <w:rPr>
          <w:lang w:eastAsia="zh-CN"/>
        </w:rPr>
        <w:t>、楼体发光字禁止在金属脚手架上搭设临时电源线路，必要时应架设绝缘横栏，并架 设绝缘胶带，以防止磨破电源线，导致脚手架带电，脚手架应有良好的接地。</w:t>
      </w:r>
    </w:p>
    <w:p>
      <w:pPr>
        <w:pStyle w:val="10"/>
        <w:spacing w:line="355" w:lineRule="auto"/>
        <w:ind w:left="112" w:right="272" w:firstLine="480"/>
        <w:jc w:val="both"/>
        <w:rPr>
          <w:lang w:eastAsia="zh-CN"/>
        </w:rPr>
      </w:pPr>
      <w:r>
        <w:rPr>
          <w:rFonts w:hint="eastAsia"/>
          <w:lang w:eastAsia="zh-CN"/>
        </w:rPr>
        <w:t>8</w:t>
      </w:r>
      <w:r>
        <w:rPr>
          <w:lang w:eastAsia="zh-CN"/>
        </w:rPr>
        <w:t>、使用电动工具时操作人员应站在绝缘板上或干木板上，如在潮湿的地点或金属结构 架上作业时，应戴绝缘手套，楼体发光字施工现场临时用的电焊机及其它电动工具的电源线 路装设漏电保护器。</w:t>
      </w:r>
    </w:p>
    <w:p>
      <w:pPr>
        <w:pStyle w:val="10"/>
        <w:spacing w:before="38" w:line="355" w:lineRule="auto"/>
        <w:ind w:left="112" w:right="233" w:firstLine="480"/>
        <w:rPr>
          <w:lang w:eastAsia="zh-CN"/>
        </w:rPr>
      </w:pPr>
      <w:r>
        <w:rPr>
          <w:rFonts w:hint="eastAsia"/>
          <w:lang w:eastAsia="zh-CN"/>
        </w:rPr>
        <w:t>9</w:t>
      </w:r>
      <w:r>
        <w:rPr>
          <w:lang w:eastAsia="zh-CN"/>
        </w:rPr>
        <w:t>、楼体发光字施工现场的每台电气设备应使用单独开关(一机一开关)，严禁用同一开 关直接控制两台以上的电气设备。</w:t>
      </w:r>
    </w:p>
    <w:p>
      <w:pPr>
        <w:pStyle w:val="10"/>
        <w:spacing w:before="38" w:line="357" w:lineRule="auto"/>
        <w:ind w:right="233"/>
        <w:rPr>
          <w:lang w:eastAsia="zh-CN"/>
        </w:rPr>
      </w:pPr>
      <w:r>
        <w:rPr>
          <w:lang w:eastAsia="zh-CN"/>
        </w:rPr>
        <w:t>（六）保险 成交供应商应为作业人员缴纳保险，确保作业人员高空安全。施工过程中的所有安全事 故，由成交供应商自行承担。</w:t>
      </w:r>
    </w:p>
    <w:p>
      <w:pPr>
        <w:pStyle w:val="8"/>
        <w:spacing w:before="36"/>
        <w:ind w:left="112" w:right="233"/>
        <w:rPr>
          <w:lang w:eastAsia="zh-CN"/>
        </w:rPr>
      </w:pPr>
      <w:r>
        <w:rPr>
          <w:lang w:eastAsia="zh-CN"/>
        </w:rPr>
        <w:t>八、付款方式</w:t>
      </w:r>
    </w:p>
    <w:p>
      <w:pPr>
        <w:pStyle w:val="8"/>
        <w:spacing w:before="36"/>
        <w:ind w:left="112" w:right="233" w:firstLine="360" w:firstLineChars="150"/>
        <w:rPr>
          <w:b w:val="0"/>
          <w:bCs w:val="0"/>
          <w:lang w:eastAsia="zh-CN"/>
        </w:rPr>
      </w:pPr>
      <w:r>
        <w:rPr>
          <w:rFonts w:hint="eastAsia"/>
          <w:b w:val="0"/>
          <w:bCs w:val="0"/>
          <w:lang w:eastAsia="zh-CN"/>
        </w:rPr>
        <w:t>工程验收合格签字，通过院方工程审计后三个月内一次性支付审计结算工程款的90%，余款作为质量保证金（5%档案保证金，5%质量保证金），质保期满无质量问题无息付清余款。</w:t>
      </w:r>
    </w:p>
    <w:p>
      <w:pPr>
        <w:pStyle w:val="10"/>
        <w:spacing w:before="151" w:line="357" w:lineRule="auto"/>
        <w:ind w:left="0" w:right="111"/>
        <w:rPr>
          <w:rFonts w:cs="宋体"/>
          <w:lang w:eastAsia="zh-CN"/>
        </w:rPr>
      </w:pPr>
      <w:r>
        <w:rPr>
          <w:rFonts w:cs="宋体"/>
          <w:b/>
          <w:bCs/>
          <w:lang w:eastAsia="zh-CN"/>
        </w:rPr>
        <w:t>九、售后服务要求</w:t>
      </w:r>
    </w:p>
    <w:p>
      <w:pPr>
        <w:pStyle w:val="10"/>
        <w:spacing w:line="355" w:lineRule="auto"/>
        <w:ind w:left="583" w:right="233"/>
        <w:rPr>
          <w:lang w:eastAsia="zh-CN"/>
        </w:rPr>
      </w:pPr>
      <w:r>
        <w:rPr>
          <w:lang w:eastAsia="zh-CN"/>
        </w:rPr>
        <w:t>1、服务质量要求 a.保证货物是全新的、未使用过的，并完全符合强制性的国家技术质量规范和合同规定的质量、规格、性能和技术规范等的要求。</w:t>
      </w:r>
    </w:p>
    <w:p>
      <w:pPr>
        <w:pStyle w:val="10"/>
        <w:spacing w:line="355" w:lineRule="auto"/>
        <w:ind w:left="583" w:right="233"/>
        <w:rPr>
          <w:lang w:eastAsia="zh-CN"/>
        </w:rPr>
      </w:pPr>
      <w:r>
        <w:rPr>
          <w:lang w:eastAsia="zh-CN"/>
        </w:rPr>
        <w:t xml:space="preserve"> b.保证所提供的货物经正确安装、正常运转和保养，在其使用寿命期内具有符合质量要求和产品说明书的性能。在货物质量保证期之内，对由于设计、工艺或材料的缺陷而发生的</w:t>
      </w:r>
      <w:r>
        <w:rPr>
          <w:spacing w:val="-89"/>
          <w:lang w:eastAsia="zh-CN"/>
        </w:rPr>
        <w:t xml:space="preserve"> </w:t>
      </w:r>
      <w:r>
        <w:rPr>
          <w:lang w:eastAsia="zh-CN"/>
        </w:rPr>
        <w:t>任何不足或故障负责。</w:t>
      </w:r>
    </w:p>
    <w:p>
      <w:pPr>
        <w:pStyle w:val="10"/>
        <w:spacing w:before="34" w:line="357" w:lineRule="auto"/>
        <w:ind w:left="583" w:right="111"/>
        <w:rPr>
          <w:lang w:eastAsia="zh-CN"/>
        </w:rPr>
      </w:pPr>
      <w:r>
        <w:rPr>
          <w:lang w:eastAsia="zh-CN"/>
        </w:rPr>
        <w:t>c.保证所投产品是全新产品；</w:t>
      </w:r>
    </w:p>
    <w:p>
      <w:pPr>
        <w:pStyle w:val="10"/>
        <w:spacing w:before="34" w:line="357" w:lineRule="auto"/>
        <w:ind w:left="583" w:right="111"/>
        <w:rPr>
          <w:lang w:eastAsia="zh-CN"/>
        </w:rPr>
      </w:pPr>
      <w:r>
        <w:rPr>
          <w:lang w:eastAsia="zh-CN"/>
        </w:rPr>
        <w:t xml:space="preserve"> d.关于产品的零部件：保证所有随机配件都由原生产厂家提供；</w:t>
      </w:r>
    </w:p>
    <w:p>
      <w:pPr>
        <w:pStyle w:val="10"/>
        <w:spacing w:before="34" w:line="357" w:lineRule="auto"/>
        <w:ind w:left="583" w:right="111"/>
        <w:rPr>
          <w:lang w:eastAsia="zh-CN"/>
        </w:rPr>
      </w:pPr>
      <w:r>
        <w:rPr>
          <w:lang w:eastAsia="zh-CN"/>
        </w:rPr>
        <w:t xml:space="preserve"> </w:t>
      </w:r>
      <w:r>
        <w:rPr>
          <w:spacing w:val="-2"/>
          <w:lang w:eastAsia="zh-CN"/>
        </w:rPr>
        <w:t>e.货物质保期：为买卖方签署验收合格证书之日起，期满后提供终身有偿维修保养服务。</w:t>
      </w:r>
      <w:r>
        <w:rPr>
          <w:spacing w:val="-110"/>
          <w:lang w:eastAsia="zh-CN"/>
        </w:rPr>
        <w:t xml:space="preserve"> </w:t>
      </w:r>
      <w:r>
        <w:rPr>
          <w:lang w:eastAsia="zh-CN"/>
        </w:rPr>
        <w:t>f.保证在接到甲方电话后</w:t>
      </w:r>
      <w:r>
        <w:rPr>
          <w:spacing w:val="-60"/>
          <w:lang w:eastAsia="zh-CN"/>
        </w:rPr>
        <w:t xml:space="preserve"> </w:t>
      </w:r>
      <w:r>
        <w:rPr>
          <w:lang w:eastAsia="zh-CN"/>
        </w:rPr>
        <w:t>4</w:t>
      </w:r>
      <w:r>
        <w:rPr>
          <w:spacing w:val="-60"/>
          <w:lang w:eastAsia="zh-CN"/>
        </w:rPr>
        <w:t xml:space="preserve"> </w:t>
      </w:r>
      <w:r>
        <w:rPr>
          <w:lang w:eastAsia="zh-CN"/>
        </w:rPr>
        <w:t>小时到场，并在</w:t>
      </w:r>
      <w:r>
        <w:rPr>
          <w:spacing w:val="-60"/>
          <w:lang w:eastAsia="zh-CN"/>
        </w:rPr>
        <w:t xml:space="preserve"> </w:t>
      </w:r>
      <w:r>
        <w:rPr>
          <w:lang w:eastAsia="zh-CN"/>
        </w:rPr>
        <w:t>48</w:t>
      </w:r>
      <w:r>
        <w:rPr>
          <w:spacing w:val="-60"/>
          <w:lang w:eastAsia="zh-CN"/>
        </w:rPr>
        <w:t xml:space="preserve"> </w:t>
      </w:r>
      <w:r>
        <w:rPr>
          <w:lang w:eastAsia="zh-CN"/>
        </w:rPr>
        <w:t>小时内完成解决方案。</w:t>
      </w:r>
    </w:p>
    <w:p>
      <w:pPr>
        <w:pStyle w:val="8"/>
        <w:spacing w:before="34"/>
        <w:ind w:left="583" w:right="233"/>
        <w:rPr>
          <w:b w:val="0"/>
          <w:bCs w:val="0"/>
          <w:lang w:eastAsia="zh-CN"/>
        </w:rPr>
      </w:pPr>
      <w:r>
        <w:rPr>
          <w:lang w:eastAsia="zh-CN"/>
        </w:rPr>
        <w:t>2、维保服务要求</w:t>
      </w:r>
    </w:p>
    <w:p>
      <w:pPr>
        <w:pStyle w:val="10"/>
        <w:tabs>
          <w:tab w:val="left" w:pos="5983"/>
        </w:tabs>
        <w:spacing w:before="154"/>
        <w:ind w:left="583" w:right="111"/>
        <w:rPr>
          <w:lang w:eastAsia="zh-CN"/>
        </w:rPr>
      </w:pPr>
      <w:r>
        <w:rPr>
          <w:spacing w:val="-1"/>
          <w:lang w:eastAsia="zh-CN"/>
        </w:rPr>
        <w:t>a.本次采购的货物验收合格后免费质量保证期为</w:t>
      </w:r>
      <w:r>
        <w:rPr>
          <w:rFonts w:ascii="Times New Roman" w:hAnsi="Times New Roman" w:eastAsia="Times New Roman" w:cs="Times New Roman"/>
          <w:spacing w:val="-1"/>
          <w:u w:val="single" w:color="000000"/>
          <w:lang w:eastAsia="zh-CN"/>
        </w:rPr>
        <w:tab/>
      </w:r>
      <w:r>
        <w:rPr>
          <w:spacing w:val="-5"/>
          <w:u w:val="single" w:color="000000"/>
          <w:lang w:eastAsia="zh-CN"/>
        </w:rPr>
        <w:t>年</w:t>
      </w:r>
      <w:r>
        <w:rPr>
          <w:spacing w:val="-5"/>
          <w:lang w:eastAsia="zh-CN"/>
        </w:rPr>
        <w:t>（安装调试完毕后开始计算），在</w:t>
      </w:r>
    </w:p>
    <w:p>
      <w:pPr>
        <w:rPr>
          <w:lang w:eastAsia="zh-CN"/>
        </w:rPr>
      </w:pPr>
    </w:p>
    <w:p>
      <w:pPr>
        <w:pStyle w:val="10"/>
        <w:spacing w:before="16" w:line="355" w:lineRule="auto"/>
        <w:ind w:left="583" w:right="111" w:hanging="471"/>
        <w:rPr>
          <w:lang w:eastAsia="zh-CN"/>
        </w:rPr>
      </w:pPr>
      <w:r>
        <w:rPr>
          <w:lang w:eastAsia="zh-CN"/>
        </w:rPr>
        <w:t>免费质量保证期内如出现故障免费提供咨询、维修服务，包括免费更换零部件。</w:t>
      </w:r>
    </w:p>
    <w:p>
      <w:pPr>
        <w:pStyle w:val="10"/>
        <w:spacing w:before="16" w:line="355" w:lineRule="auto"/>
        <w:ind w:left="110" w:leftChars="50" w:right="111" w:firstLine="360" w:firstLineChars="150"/>
        <w:rPr>
          <w:lang w:eastAsia="zh-CN"/>
        </w:rPr>
      </w:pPr>
      <w:r>
        <w:rPr>
          <w:lang w:eastAsia="zh-CN"/>
        </w:rPr>
        <w:t xml:space="preserve"> b.质保期内货物一旦出现故障，响应时间不超过</w:t>
      </w:r>
      <w:r>
        <w:rPr>
          <w:spacing w:val="-67"/>
          <w:lang w:eastAsia="zh-CN"/>
        </w:rPr>
        <w:t xml:space="preserve"> </w:t>
      </w:r>
      <w:r>
        <w:rPr>
          <w:lang w:eastAsia="zh-CN"/>
        </w:rPr>
        <w:t>4</w:t>
      </w:r>
      <w:r>
        <w:rPr>
          <w:spacing w:val="-68"/>
          <w:lang w:eastAsia="zh-CN"/>
        </w:rPr>
        <w:t xml:space="preserve"> </w:t>
      </w:r>
      <w:r>
        <w:rPr>
          <w:spacing w:val="-5"/>
          <w:lang w:eastAsia="zh-CN"/>
        </w:rPr>
        <w:t>小时，检修人员在</w:t>
      </w:r>
      <w:r>
        <w:rPr>
          <w:spacing w:val="-68"/>
          <w:lang w:eastAsia="zh-CN"/>
        </w:rPr>
        <w:t xml:space="preserve"> </w:t>
      </w:r>
      <w:r>
        <w:rPr>
          <w:lang w:eastAsia="zh-CN"/>
        </w:rPr>
        <w:t>48</w:t>
      </w:r>
      <w:r>
        <w:rPr>
          <w:spacing w:val="-68"/>
          <w:lang w:eastAsia="zh-CN"/>
        </w:rPr>
        <w:t xml:space="preserve"> </w:t>
      </w:r>
      <w:r>
        <w:rPr>
          <w:lang w:eastAsia="zh-CN"/>
        </w:rPr>
        <w:t>小时内到设备安</w:t>
      </w:r>
    </w:p>
    <w:p>
      <w:pPr>
        <w:pStyle w:val="10"/>
        <w:spacing w:before="38" w:line="355" w:lineRule="auto"/>
        <w:ind w:left="583" w:right="111" w:hanging="471"/>
        <w:rPr>
          <w:lang w:eastAsia="zh-CN"/>
        </w:rPr>
      </w:pPr>
      <w:r>
        <w:rPr>
          <w:lang w:eastAsia="zh-CN"/>
        </w:rPr>
        <w:t xml:space="preserve">装地点及时排除故障，如故障无法排除，乙方负责使用替代设备，其费用由乙方承担。 </w:t>
      </w:r>
    </w:p>
    <w:p>
      <w:pPr>
        <w:pStyle w:val="10"/>
        <w:spacing w:before="38" w:line="355" w:lineRule="auto"/>
        <w:ind w:left="110" w:leftChars="50" w:right="111" w:firstLine="472" w:firstLineChars="200"/>
        <w:rPr>
          <w:lang w:eastAsia="zh-CN"/>
        </w:rPr>
      </w:pPr>
      <w:r>
        <w:rPr>
          <w:spacing w:val="-2"/>
          <w:lang w:eastAsia="zh-CN"/>
        </w:rPr>
        <w:t>c.质量保证期结束后，提供终身免费咨询；货物一旦出现故障，提供维修所需的零配件，</w:t>
      </w:r>
    </w:p>
    <w:p>
      <w:pPr>
        <w:pStyle w:val="10"/>
        <w:spacing w:before="38" w:line="355" w:lineRule="auto"/>
        <w:ind w:left="112" w:right="111"/>
        <w:rPr>
          <w:rFonts w:cs="宋体"/>
          <w:lang w:eastAsia="zh-CN"/>
        </w:rPr>
      </w:pPr>
      <w:r>
        <w:rPr>
          <w:lang w:eastAsia="zh-CN"/>
        </w:rPr>
        <w:t>并派出检修人员在</w:t>
      </w:r>
      <w:r>
        <w:rPr>
          <w:spacing w:val="-60"/>
          <w:lang w:eastAsia="zh-CN"/>
        </w:rPr>
        <w:t xml:space="preserve"> </w:t>
      </w:r>
      <w:r>
        <w:rPr>
          <w:lang w:eastAsia="zh-CN"/>
        </w:rPr>
        <w:t>24</w:t>
      </w:r>
      <w:r>
        <w:rPr>
          <w:spacing w:val="-60"/>
          <w:lang w:eastAsia="zh-CN"/>
        </w:rPr>
        <w:t xml:space="preserve"> </w:t>
      </w:r>
      <w:r>
        <w:rPr>
          <w:lang w:eastAsia="zh-CN"/>
        </w:rPr>
        <w:t xml:space="preserve">小时内到货物安装现场对设备进行维修，只收取更换的零配件成本费。 </w:t>
      </w:r>
      <w:r>
        <w:rPr>
          <w:rFonts w:cs="宋体"/>
          <w:b/>
          <w:bCs/>
          <w:lang w:eastAsia="zh-CN"/>
        </w:rPr>
        <w:t>十、验收、安装、调试</w:t>
      </w:r>
    </w:p>
    <w:p>
      <w:pPr>
        <w:pStyle w:val="10"/>
        <w:spacing w:before="38" w:line="357" w:lineRule="auto"/>
        <w:ind w:left="112" w:right="233" w:firstLine="355"/>
        <w:rPr>
          <w:lang w:eastAsia="zh-CN"/>
        </w:rPr>
      </w:pPr>
      <w:r>
        <w:rPr>
          <w:lang w:eastAsia="zh-CN"/>
        </w:rPr>
        <w:t>（1）货物到达甲方指定地点后，须甲乙双方共同对货物的数量、规格、型号、质量等进 行验货，清点封存。</w:t>
      </w:r>
    </w:p>
    <w:p>
      <w:pPr>
        <w:pStyle w:val="10"/>
        <w:spacing w:before="34"/>
        <w:ind w:left="468" w:right="233"/>
        <w:rPr>
          <w:lang w:eastAsia="zh-CN"/>
        </w:rPr>
      </w:pPr>
      <w:r>
        <w:rPr>
          <w:lang w:eastAsia="zh-CN"/>
        </w:rPr>
        <w:t>（2）经甲方调查后，如发现货物与合同约定不符，乙方承担全部的责任。</w:t>
      </w:r>
    </w:p>
    <w:p>
      <w:pPr>
        <w:pStyle w:val="10"/>
        <w:spacing w:before="151" w:line="357" w:lineRule="auto"/>
        <w:ind w:left="112" w:right="230" w:firstLine="480"/>
        <w:jc w:val="both"/>
        <w:rPr>
          <w:lang w:eastAsia="zh-CN"/>
        </w:rPr>
      </w:pPr>
      <w:r>
        <w:rPr>
          <w:spacing w:val="-3"/>
          <w:lang w:eastAsia="zh-CN"/>
        </w:rPr>
        <w:t>（3）设备到达指定地点后，根据甲方的要求再组织安装、调试、验收；甲方根据需要聘</w:t>
      </w:r>
      <w:r>
        <w:rPr>
          <w:lang w:eastAsia="zh-CN"/>
        </w:rPr>
        <w:t xml:space="preserve"> 请质量监督检测机构等具备相应资质的专业技术力量的专家验收合格确认后，再按合同约定</w:t>
      </w:r>
      <w:r>
        <w:rPr>
          <w:spacing w:val="-89"/>
          <w:lang w:eastAsia="zh-CN"/>
        </w:rPr>
        <w:t xml:space="preserve"> </w:t>
      </w:r>
      <w:r>
        <w:rPr>
          <w:lang w:eastAsia="zh-CN"/>
        </w:rPr>
        <w:t>予以付款；验收所需费用由乙方承担。</w:t>
      </w:r>
    </w:p>
    <w:p>
      <w:pPr>
        <w:pStyle w:val="10"/>
        <w:spacing w:line="357" w:lineRule="auto"/>
        <w:ind w:right="233" w:hanging="480"/>
        <w:rPr>
          <w:rFonts w:cs="宋体"/>
          <w:b/>
          <w:bCs/>
          <w:w w:val="99"/>
          <w:lang w:eastAsia="zh-CN"/>
        </w:rPr>
      </w:pPr>
      <w:r>
        <w:rPr>
          <w:rFonts w:cs="宋体"/>
          <w:b/>
          <w:bCs/>
          <w:lang w:eastAsia="zh-CN"/>
        </w:rPr>
        <w:t>十一、合同生效</w:t>
      </w:r>
      <w:r>
        <w:rPr>
          <w:rFonts w:cs="宋体"/>
          <w:b/>
          <w:bCs/>
          <w:w w:val="99"/>
          <w:lang w:eastAsia="zh-CN"/>
        </w:rPr>
        <w:t xml:space="preserve"> </w:t>
      </w:r>
    </w:p>
    <w:p>
      <w:pPr>
        <w:pStyle w:val="10"/>
        <w:spacing w:line="357" w:lineRule="auto"/>
        <w:ind w:right="233" w:hanging="480"/>
        <w:rPr>
          <w:lang w:eastAsia="zh-CN"/>
        </w:rPr>
      </w:pPr>
      <w:r>
        <w:rPr>
          <w:lang w:eastAsia="zh-CN"/>
        </w:rPr>
        <w:t>本合同为附条件生效合同，除甲乙双方签章，还应满足以下条件时合同生效： 乙方应向采购代理机构提交中标服务费及相关费用。</w:t>
      </w:r>
    </w:p>
    <w:p>
      <w:pPr>
        <w:pStyle w:val="10"/>
        <w:spacing w:line="355" w:lineRule="auto"/>
        <w:ind w:right="111" w:hanging="480"/>
        <w:rPr>
          <w:rFonts w:cs="宋体"/>
          <w:b/>
          <w:bCs/>
          <w:lang w:eastAsia="zh-CN"/>
        </w:rPr>
      </w:pPr>
      <w:r>
        <w:rPr>
          <w:rFonts w:cs="宋体"/>
          <w:b/>
          <w:bCs/>
          <w:lang w:eastAsia="zh-CN"/>
        </w:rPr>
        <w:t>十二、违约条款</w:t>
      </w:r>
    </w:p>
    <w:p>
      <w:pPr>
        <w:pStyle w:val="10"/>
        <w:spacing w:line="355" w:lineRule="auto"/>
        <w:ind w:right="111" w:hanging="480"/>
        <w:rPr>
          <w:lang w:eastAsia="zh-CN"/>
        </w:rPr>
      </w:pPr>
      <w:r>
        <w:rPr>
          <w:rFonts w:cs="宋体"/>
          <w:b/>
          <w:bCs/>
          <w:w w:val="99"/>
          <w:lang w:eastAsia="zh-CN"/>
        </w:rPr>
        <w:t xml:space="preserve"> </w:t>
      </w:r>
      <w:r>
        <w:rPr>
          <w:lang w:eastAsia="zh-CN"/>
        </w:rPr>
        <w:t>1、合同当事人一方不履行合同义务或者履行合同义务不符合约定，给对方造成损失的，违约方应按照合同标的额的</w:t>
      </w:r>
      <w:r>
        <w:rPr>
          <w:spacing w:val="-60"/>
          <w:lang w:eastAsia="zh-CN"/>
        </w:rPr>
        <w:t xml:space="preserve"> </w:t>
      </w:r>
      <w:r>
        <w:rPr>
          <w:lang w:eastAsia="zh-CN"/>
        </w:rPr>
        <w:t>2％支付违约金给非违约方。</w:t>
      </w:r>
    </w:p>
    <w:p>
      <w:pPr>
        <w:pStyle w:val="10"/>
        <w:spacing w:line="355" w:lineRule="auto"/>
        <w:ind w:right="111" w:hanging="480"/>
        <w:rPr>
          <w:lang w:eastAsia="zh-CN"/>
        </w:rPr>
      </w:pPr>
      <w:r>
        <w:rPr>
          <w:lang w:eastAsia="zh-CN"/>
        </w:rPr>
        <w:t xml:space="preserve"> </w:t>
      </w:r>
      <w:r>
        <w:rPr>
          <w:spacing w:val="-3"/>
          <w:lang w:eastAsia="zh-CN"/>
        </w:rPr>
        <w:t>2、乙方在履行合同过程中，存在有迟延履行、不适当履行、履行方法不当、履行地点不</w:t>
      </w:r>
      <w:r>
        <w:rPr>
          <w:lang w:eastAsia="zh-CN"/>
        </w:rPr>
        <w:t>当等情况的，乙方应对因违约而给甲方造成的实际损失予以一次性补偿。</w:t>
      </w:r>
    </w:p>
    <w:p>
      <w:pPr>
        <w:pStyle w:val="10"/>
        <w:spacing w:line="355" w:lineRule="auto"/>
        <w:ind w:right="111" w:hanging="480"/>
        <w:rPr>
          <w:lang w:eastAsia="zh-CN"/>
        </w:rPr>
      </w:pPr>
      <w:r>
        <w:rPr>
          <w:lang w:eastAsia="zh-CN"/>
        </w:rPr>
        <w:t xml:space="preserve"> </w:t>
      </w:r>
      <w:r>
        <w:rPr>
          <w:spacing w:val="-3"/>
          <w:lang w:eastAsia="zh-CN"/>
        </w:rPr>
        <w:t>3、当事人一方违约后，对方应当采取适当措施防止损失的扩大；没有采取适当措施致使</w:t>
      </w:r>
    </w:p>
    <w:p>
      <w:pPr>
        <w:pStyle w:val="10"/>
        <w:spacing w:before="38" w:line="355" w:lineRule="auto"/>
        <w:ind w:left="112" w:right="233"/>
        <w:rPr>
          <w:lang w:eastAsia="zh-CN"/>
        </w:rPr>
      </w:pPr>
      <w:r>
        <w:rPr>
          <w:lang w:eastAsia="zh-CN"/>
        </w:rPr>
        <w:t>损失扩大的，不得就扩大的损失要求赔偿；当事人因防止损失扩大支出的合理费用，由违约</w:t>
      </w:r>
      <w:r>
        <w:rPr>
          <w:spacing w:val="-89"/>
          <w:lang w:eastAsia="zh-CN"/>
        </w:rPr>
        <w:t xml:space="preserve"> </w:t>
      </w:r>
      <w:r>
        <w:rPr>
          <w:lang w:eastAsia="zh-CN"/>
        </w:rPr>
        <w:t>方承担。</w:t>
      </w:r>
    </w:p>
    <w:p>
      <w:pPr>
        <w:pStyle w:val="10"/>
        <w:spacing w:before="38" w:line="357" w:lineRule="auto"/>
        <w:ind w:left="112" w:right="231" w:firstLine="480"/>
        <w:jc w:val="both"/>
        <w:rPr>
          <w:lang w:eastAsia="zh-CN"/>
        </w:rPr>
      </w:pPr>
      <w:r>
        <w:rPr>
          <w:spacing w:val="-3"/>
          <w:lang w:eastAsia="zh-CN"/>
        </w:rPr>
        <w:t>4、乙方因第三人原因造成违约的，应当向甲方承担违约责任，并根据实际损失支付赔偿</w:t>
      </w:r>
      <w:r>
        <w:rPr>
          <w:lang w:eastAsia="zh-CN"/>
        </w:rPr>
        <w:t xml:space="preserve"> 金。</w:t>
      </w:r>
    </w:p>
    <w:p>
      <w:pPr>
        <w:pStyle w:val="10"/>
        <w:spacing w:before="34" w:line="357" w:lineRule="auto"/>
        <w:ind w:left="112" w:right="231" w:firstLine="480"/>
        <w:jc w:val="both"/>
        <w:rPr>
          <w:lang w:eastAsia="zh-CN"/>
        </w:rPr>
      </w:pPr>
      <w:r>
        <w:rPr>
          <w:spacing w:val="-3"/>
          <w:lang w:eastAsia="zh-CN"/>
        </w:rPr>
        <w:t>5、乙方所供产品存有质量问题，而因此造成瑕疵履行或者加害给付的，乙方应向甲方承</w:t>
      </w:r>
      <w:r>
        <w:rPr>
          <w:lang w:eastAsia="zh-CN"/>
        </w:rPr>
        <w:t xml:space="preserve"> 担赔偿责任，其中：瑕疵履行的乙方按照合同标的额的</w:t>
      </w:r>
      <w:r>
        <w:rPr>
          <w:spacing w:val="-79"/>
          <w:lang w:eastAsia="zh-CN"/>
        </w:rPr>
        <w:t xml:space="preserve"> </w:t>
      </w:r>
      <w:r>
        <w:rPr>
          <w:lang w:eastAsia="zh-CN"/>
        </w:rPr>
        <w:t>20％支付赔偿金，加害给付的乙方应 按照标的额的</w:t>
      </w:r>
      <w:r>
        <w:rPr>
          <w:spacing w:val="-78"/>
          <w:lang w:eastAsia="zh-CN"/>
        </w:rPr>
        <w:t xml:space="preserve"> </w:t>
      </w:r>
      <w:r>
        <w:rPr>
          <w:lang w:eastAsia="zh-CN"/>
        </w:rPr>
        <w:t>40％支付赔偿金，如实际损失超过约定赔偿比例的，应按照实际损失支付赔偿 金。</w:t>
      </w:r>
    </w:p>
    <w:p>
      <w:pPr>
        <w:spacing w:before="34" w:line="357" w:lineRule="auto"/>
        <w:ind w:left="592" w:right="233" w:hanging="480"/>
        <w:rPr>
          <w:lang w:eastAsia="zh-CN"/>
        </w:rPr>
      </w:pPr>
      <w:r>
        <w:rPr>
          <w:rFonts w:ascii="宋体" w:hAnsi="宋体" w:eastAsia="宋体" w:cs="宋体"/>
          <w:b/>
          <w:bCs/>
          <w:sz w:val="24"/>
          <w:szCs w:val="24"/>
          <w:lang w:eastAsia="zh-CN"/>
        </w:rPr>
        <w:t>十三、不可抗力条款</w:t>
      </w:r>
      <w:r>
        <w:rPr>
          <w:rFonts w:ascii="宋体" w:hAnsi="宋体" w:eastAsia="宋体" w:cs="宋体"/>
          <w:b/>
          <w:bCs/>
          <w:w w:val="99"/>
          <w:sz w:val="24"/>
          <w:szCs w:val="24"/>
          <w:lang w:eastAsia="zh-CN"/>
        </w:rPr>
        <w:t xml:space="preserve"> </w:t>
      </w:r>
      <w:r>
        <w:rPr>
          <w:rFonts w:ascii="宋体" w:hAnsi="宋体" w:eastAsia="宋体" w:cs="宋体"/>
          <w:sz w:val="24"/>
          <w:szCs w:val="24"/>
          <w:lang w:eastAsia="zh-CN"/>
        </w:rPr>
        <w:t>因不可抗力致使一方不能及时或完全履行合同的，应及时通知另一方，双方互不承担责</w:t>
      </w:r>
      <w:bookmarkStart w:id="98" w:name="第五章_响应文件格式"/>
      <w:bookmarkEnd w:id="98"/>
      <w:r>
        <w:rPr>
          <w:lang w:eastAsia="zh-CN"/>
        </w:rPr>
        <w:t>任，并在</w:t>
      </w:r>
      <w:r>
        <w:rPr>
          <w:spacing w:val="-60"/>
          <w:lang w:eastAsia="zh-CN"/>
        </w:rPr>
        <w:t xml:space="preserve"> </w:t>
      </w:r>
      <w:r>
        <w:rPr>
          <w:lang w:eastAsia="zh-CN"/>
        </w:rPr>
        <w:t>15</w:t>
      </w:r>
      <w:r>
        <w:rPr>
          <w:spacing w:val="-60"/>
          <w:lang w:eastAsia="zh-CN"/>
        </w:rPr>
        <w:t xml:space="preserve"> </w:t>
      </w:r>
      <w:r>
        <w:rPr>
          <w:lang w:eastAsia="zh-CN"/>
        </w:rPr>
        <w:t>天内提供有关不可抗力的相应证明。 合同未履行部分是否继续履行、如何履行等问题，可由双方以书面形式协商解决。</w:t>
      </w:r>
    </w:p>
    <w:p>
      <w:pPr>
        <w:spacing w:before="38" w:line="355" w:lineRule="auto"/>
        <w:ind w:left="592" w:right="110" w:hanging="480"/>
        <w:rPr>
          <w:spacing w:val="-2"/>
          <w:lang w:eastAsia="zh-CN"/>
        </w:rPr>
      </w:pPr>
      <w:r>
        <w:rPr>
          <w:rFonts w:ascii="宋体" w:hAnsi="宋体" w:eastAsia="宋体" w:cs="宋体"/>
          <w:b/>
          <w:bCs/>
          <w:sz w:val="24"/>
          <w:szCs w:val="24"/>
          <w:lang w:eastAsia="zh-CN"/>
        </w:rPr>
        <w:t>十四、争议的解决方式</w:t>
      </w:r>
      <w:r>
        <w:rPr>
          <w:rFonts w:ascii="宋体" w:hAnsi="宋体" w:eastAsia="宋体" w:cs="宋体"/>
          <w:b/>
          <w:bCs/>
          <w:w w:val="99"/>
          <w:sz w:val="24"/>
          <w:szCs w:val="24"/>
          <w:lang w:eastAsia="zh-CN"/>
        </w:rPr>
        <w:t xml:space="preserve"> </w:t>
      </w:r>
      <w:r>
        <w:rPr>
          <w:rFonts w:ascii="宋体" w:hAnsi="宋体" w:eastAsia="宋体" w:cs="宋体"/>
          <w:spacing w:val="-3"/>
          <w:sz w:val="24"/>
          <w:szCs w:val="24"/>
          <w:lang w:eastAsia="zh-CN"/>
        </w:rPr>
        <w:t>合同发生纠纷时，双方应协商解决，协商不成可以采用下列方式解决：（1）提交济</w:t>
      </w:r>
      <w:r>
        <w:rPr>
          <w:rFonts w:hint="eastAsia" w:ascii="宋体" w:hAnsi="宋体" w:eastAsia="宋体" w:cs="宋体"/>
          <w:spacing w:val="-3"/>
          <w:sz w:val="24"/>
          <w:szCs w:val="24"/>
          <w:lang w:eastAsia="zh-CN"/>
        </w:rPr>
        <w:t>南</w:t>
      </w:r>
      <w:r>
        <w:rPr>
          <w:rFonts w:ascii="宋体" w:hAnsi="宋体" w:eastAsia="宋体" w:cs="宋体"/>
          <w:spacing w:val="-3"/>
          <w:sz w:val="24"/>
          <w:szCs w:val="24"/>
          <w:lang w:eastAsia="zh-CN"/>
        </w:rPr>
        <w:t>仲</w:t>
      </w:r>
      <w:r>
        <w:rPr>
          <w:spacing w:val="-2"/>
          <w:lang w:eastAsia="zh-CN"/>
        </w:rPr>
        <w:t>裁委员会仲裁；</w:t>
      </w:r>
    </w:p>
    <w:p>
      <w:pPr>
        <w:spacing w:before="38" w:line="355" w:lineRule="auto"/>
        <w:ind w:left="110" w:leftChars="50" w:right="110" w:firstLine="432" w:firstLineChars="200"/>
        <w:rPr>
          <w:rFonts w:ascii="宋体" w:hAnsi="宋体" w:eastAsia="宋体" w:cs="宋体"/>
          <w:sz w:val="24"/>
          <w:szCs w:val="24"/>
          <w:lang w:eastAsia="zh-CN"/>
        </w:rPr>
      </w:pPr>
      <w:r>
        <w:rPr>
          <w:spacing w:val="-2"/>
          <w:lang w:eastAsia="zh-CN"/>
        </w:rPr>
        <w:t>（2）向</w:t>
      </w:r>
      <w:r>
        <w:rPr>
          <w:rFonts w:hint="eastAsia"/>
          <w:spacing w:val="-2"/>
          <w:lang w:eastAsia="zh-CN"/>
        </w:rPr>
        <w:t>济南</w:t>
      </w:r>
      <w:r>
        <w:rPr>
          <w:spacing w:val="-2"/>
          <w:lang w:eastAsia="zh-CN"/>
        </w:rPr>
        <w:t>市人民法院起诉。本合同发生纠纷，经双方协商不能解决时，采</w:t>
      </w:r>
      <w:r>
        <w:rPr>
          <w:spacing w:val="-117"/>
          <w:lang w:eastAsia="zh-CN"/>
        </w:rPr>
        <w:t xml:space="preserve"> </w:t>
      </w:r>
      <w:r>
        <w:rPr>
          <w:lang w:eastAsia="zh-CN"/>
        </w:rPr>
        <w:t xml:space="preserve">用第  </w:t>
      </w:r>
      <w:r>
        <w:rPr>
          <w:u w:val="single" w:color="000000"/>
          <w:lang w:eastAsia="zh-CN"/>
        </w:rPr>
        <w:t>1</w:t>
      </w:r>
      <w:r>
        <w:rPr>
          <w:spacing w:val="119"/>
          <w:u w:val="single" w:color="000000"/>
          <w:lang w:eastAsia="zh-CN"/>
        </w:rPr>
        <w:t xml:space="preserve"> </w:t>
      </w:r>
      <w:r>
        <w:rPr>
          <w:lang w:eastAsia="zh-CN"/>
        </w:rPr>
        <w:t>种方式予以解决。</w:t>
      </w:r>
    </w:p>
    <w:p>
      <w:pPr>
        <w:spacing w:before="38" w:line="448" w:lineRule="auto"/>
        <w:ind w:left="592" w:right="110" w:hanging="480"/>
        <w:rPr>
          <w:rFonts w:ascii="宋体" w:hAnsi="宋体" w:eastAsia="宋体" w:cs="宋体"/>
          <w:sz w:val="24"/>
          <w:szCs w:val="24"/>
          <w:lang w:eastAsia="zh-CN"/>
        </w:rPr>
      </w:pPr>
      <w:r>
        <w:rPr>
          <w:rFonts w:ascii="宋体" w:hAnsi="宋体" w:eastAsia="宋体" w:cs="宋体"/>
          <w:b/>
          <w:bCs/>
          <w:sz w:val="24"/>
          <w:szCs w:val="24"/>
          <w:lang w:eastAsia="zh-CN"/>
        </w:rPr>
        <w:t>十五、合同的修改</w:t>
      </w:r>
      <w:r>
        <w:rPr>
          <w:rFonts w:ascii="宋体" w:hAnsi="宋体" w:eastAsia="宋体" w:cs="宋体"/>
          <w:b/>
          <w:bCs/>
          <w:w w:val="99"/>
          <w:sz w:val="24"/>
          <w:szCs w:val="24"/>
          <w:lang w:eastAsia="zh-CN"/>
        </w:rPr>
        <w:t xml:space="preserve"> </w:t>
      </w:r>
      <w:r>
        <w:rPr>
          <w:rFonts w:ascii="宋体" w:hAnsi="宋体" w:eastAsia="宋体" w:cs="宋体"/>
          <w:sz w:val="24"/>
          <w:szCs w:val="24"/>
          <w:lang w:eastAsia="zh-CN"/>
        </w:rPr>
        <w:t>如对本合同进行改动，均由双方签订书面的合同修改书作为本合同的补充。</w:t>
      </w:r>
    </w:p>
    <w:p>
      <w:pPr>
        <w:pStyle w:val="8"/>
        <w:spacing w:before="0" w:line="257" w:lineRule="exact"/>
        <w:ind w:right="110" w:hanging="480"/>
        <w:rPr>
          <w:b w:val="0"/>
          <w:bCs w:val="0"/>
          <w:lang w:eastAsia="zh-CN"/>
        </w:rPr>
      </w:pPr>
      <w:r>
        <w:rPr>
          <w:lang w:eastAsia="zh-CN"/>
        </w:rPr>
        <w:t>十六、合同保存</w:t>
      </w:r>
    </w:p>
    <w:p>
      <w:pPr>
        <w:spacing w:before="10"/>
        <w:rPr>
          <w:rFonts w:ascii="宋体" w:hAnsi="宋体" w:eastAsia="宋体" w:cs="宋体"/>
          <w:b/>
          <w:bCs/>
          <w:sz w:val="20"/>
          <w:szCs w:val="20"/>
          <w:lang w:eastAsia="zh-CN"/>
        </w:rPr>
      </w:pPr>
    </w:p>
    <w:p>
      <w:pPr>
        <w:pStyle w:val="10"/>
        <w:spacing w:before="0" w:line="357" w:lineRule="auto"/>
        <w:ind w:left="112" w:right="110" w:firstLine="480"/>
        <w:rPr>
          <w:lang w:eastAsia="zh-CN"/>
        </w:rPr>
      </w:pPr>
      <w:r>
        <w:rPr>
          <w:lang w:eastAsia="zh-CN"/>
        </w:rPr>
        <w:t>本合同经各方盖章授权代表签署后生效，本合同一式陆份，其中甲、乙双方各执两份， 其余相关监督部门留存，代理机构一份。</w:t>
      </w:r>
    </w:p>
    <w:p>
      <w:pPr>
        <w:rPr>
          <w:rFonts w:ascii="宋体" w:hAnsi="宋体" w:eastAsia="宋体" w:cs="宋体"/>
          <w:sz w:val="24"/>
          <w:szCs w:val="24"/>
          <w:lang w:eastAsia="zh-CN"/>
        </w:rPr>
      </w:pPr>
    </w:p>
    <w:p>
      <w:pPr>
        <w:pStyle w:val="10"/>
        <w:tabs>
          <w:tab w:val="left" w:pos="1312"/>
          <w:tab w:val="left" w:pos="5392"/>
          <w:tab w:val="left" w:pos="6112"/>
        </w:tabs>
        <w:spacing w:before="188"/>
        <w:ind w:right="110"/>
      </w:pPr>
      <w:r>
        <w:t>甲</w:t>
      </w:r>
      <w:r>
        <w:tab/>
      </w:r>
      <w:r>
        <w:t>方（章）：</w:t>
      </w:r>
      <w:r>
        <w:tab/>
      </w:r>
      <w:r>
        <w:t>乙</w:t>
      </w:r>
      <w:r>
        <w:tab/>
      </w:r>
      <w:r>
        <w:t>方（章）：</w:t>
      </w:r>
    </w:p>
    <w:p>
      <w:pPr>
        <w:pStyle w:val="10"/>
        <w:tabs>
          <w:tab w:val="left" w:pos="5392"/>
        </w:tabs>
        <w:spacing w:before="154"/>
        <w:ind w:right="110"/>
        <w:rPr>
          <w:lang w:eastAsia="zh-CN"/>
        </w:rPr>
      </w:pPr>
      <w:r>
        <w:rPr>
          <w:lang w:eastAsia="zh-CN"/>
        </w:rPr>
        <w:t>法定代表人：（签章或签字）</w:t>
      </w:r>
      <w:r>
        <w:rPr>
          <w:lang w:eastAsia="zh-CN"/>
        </w:rPr>
        <w:tab/>
      </w:r>
      <w:r>
        <w:rPr>
          <w:lang w:eastAsia="zh-CN"/>
        </w:rPr>
        <w:t>全权代表：（签章或签字）</w:t>
      </w:r>
    </w:p>
    <w:p>
      <w:pPr>
        <w:spacing w:before="10"/>
        <w:rPr>
          <w:rFonts w:ascii="宋体" w:hAnsi="宋体" w:eastAsia="宋体" w:cs="宋体"/>
          <w:sz w:val="20"/>
          <w:szCs w:val="20"/>
          <w:lang w:eastAsia="zh-CN"/>
        </w:rPr>
      </w:pPr>
    </w:p>
    <w:p>
      <w:pPr>
        <w:pStyle w:val="10"/>
        <w:tabs>
          <w:tab w:val="left" w:pos="1312"/>
          <w:tab w:val="left" w:pos="5272"/>
          <w:tab w:val="left" w:pos="5992"/>
        </w:tabs>
        <w:spacing w:before="0"/>
        <w:ind w:right="110"/>
        <w:rPr>
          <w:lang w:eastAsia="zh-CN"/>
        </w:rPr>
      </w:pPr>
      <w:r>
        <w:rPr>
          <w:lang w:eastAsia="zh-CN"/>
        </w:rPr>
        <w:t>地</w:t>
      </w:r>
      <w:r>
        <w:rPr>
          <w:lang w:eastAsia="zh-CN"/>
        </w:rPr>
        <w:tab/>
      </w:r>
      <w:r>
        <w:rPr>
          <w:lang w:eastAsia="zh-CN"/>
        </w:rPr>
        <w:t>址：</w:t>
      </w:r>
      <w:r>
        <w:rPr>
          <w:lang w:eastAsia="zh-CN"/>
        </w:rPr>
        <w:tab/>
      </w:r>
      <w:r>
        <w:rPr>
          <w:lang w:eastAsia="zh-CN"/>
        </w:rPr>
        <w:t>地</w:t>
      </w:r>
      <w:r>
        <w:rPr>
          <w:lang w:eastAsia="zh-CN"/>
        </w:rPr>
        <w:tab/>
      </w:r>
      <w:r>
        <w:rPr>
          <w:lang w:eastAsia="zh-CN"/>
        </w:rPr>
        <w:t>址：</w:t>
      </w:r>
    </w:p>
    <w:p>
      <w:pPr>
        <w:spacing w:before="12"/>
        <w:rPr>
          <w:rFonts w:ascii="宋体" w:hAnsi="宋体" w:eastAsia="宋体" w:cs="宋体"/>
          <w:sz w:val="20"/>
          <w:szCs w:val="20"/>
          <w:lang w:eastAsia="zh-CN"/>
        </w:rPr>
      </w:pPr>
    </w:p>
    <w:p>
      <w:pPr>
        <w:pStyle w:val="10"/>
        <w:tabs>
          <w:tab w:val="left" w:pos="5272"/>
        </w:tabs>
        <w:spacing w:before="0"/>
        <w:ind w:right="110"/>
        <w:rPr>
          <w:lang w:eastAsia="zh-CN"/>
        </w:rPr>
      </w:pPr>
      <w:r>
        <w:rPr>
          <w:lang w:eastAsia="zh-CN"/>
        </w:rPr>
        <w:t>邮政编码：</w:t>
      </w:r>
      <w:r>
        <w:rPr>
          <w:lang w:eastAsia="zh-CN"/>
        </w:rPr>
        <w:tab/>
      </w:r>
      <w:r>
        <w:rPr>
          <w:lang w:eastAsia="zh-CN"/>
        </w:rPr>
        <w:t>邮政编码：</w:t>
      </w:r>
    </w:p>
    <w:p>
      <w:pPr>
        <w:spacing w:before="10"/>
        <w:rPr>
          <w:rFonts w:ascii="宋体" w:hAnsi="宋体" w:eastAsia="宋体" w:cs="宋体"/>
          <w:sz w:val="20"/>
          <w:szCs w:val="20"/>
          <w:lang w:eastAsia="zh-CN"/>
        </w:rPr>
      </w:pPr>
    </w:p>
    <w:p>
      <w:pPr>
        <w:pStyle w:val="10"/>
        <w:tabs>
          <w:tab w:val="left" w:pos="1312"/>
          <w:tab w:val="left" w:pos="5272"/>
          <w:tab w:val="left" w:pos="5992"/>
        </w:tabs>
        <w:spacing w:before="0"/>
        <w:ind w:right="110"/>
        <w:rPr>
          <w:lang w:eastAsia="zh-CN"/>
        </w:rPr>
      </w:pPr>
      <w:r>
        <w:rPr>
          <w:lang w:eastAsia="zh-CN"/>
        </w:rPr>
        <w:t>电</w:t>
      </w:r>
      <w:r>
        <w:rPr>
          <w:lang w:eastAsia="zh-CN"/>
        </w:rPr>
        <w:tab/>
      </w:r>
      <w:r>
        <w:rPr>
          <w:lang w:eastAsia="zh-CN"/>
        </w:rPr>
        <w:t>话：</w:t>
      </w:r>
      <w:r>
        <w:rPr>
          <w:lang w:eastAsia="zh-CN"/>
        </w:rPr>
        <w:tab/>
      </w:r>
      <w:r>
        <w:rPr>
          <w:lang w:eastAsia="zh-CN"/>
        </w:rPr>
        <w:t>电</w:t>
      </w:r>
      <w:r>
        <w:rPr>
          <w:lang w:eastAsia="zh-CN"/>
        </w:rPr>
        <w:tab/>
      </w:r>
      <w:r>
        <w:rPr>
          <w:lang w:eastAsia="zh-CN"/>
        </w:rPr>
        <w:t>话：</w:t>
      </w:r>
    </w:p>
    <w:p>
      <w:pPr>
        <w:spacing w:before="12"/>
        <w:rPr>
          <w:rFonts w:ascii="宋体" w:hAnsi="宋体" w:eastAsia="宋体" w:cs="宋体"/>
          <w:sz w:val="20"/>
          <w:szCs w:val="20"/>
          <w:lang w:eastAsia="zh-CN"/>
        </w:rPr>
      </w:pPr>
    </w:p>
    <w:p>
      <w:pPr>
        <w:pStyle w:val="10"/>
        <w:tabs>
          <w:tab w:val="left" w:pos="5272"/>
        </w:tabs>
        <w:spacing w:before="0"/>
        <w:ind w:right="110"/>
        <w:rPr>
          <w:lang w:eastAsia="zh-CN"/>
        </w:rPr>
      </w:pPr>
      <w:r>
        <w:rPr>
          <w:lang w:eastAsia="zh-CN"/>
        </w:rPr>
        <w:t>开户单位：</w:t>
      </w:r>
      <w:r>
        <w:rPr>
          <w:lang w:eastAsia="zh-CN"/>
        </w:rPr>
        <w:tab/>
      </w:r>
      <w:r>
        <w:rPr>
          <w:lang w:eastAsia="zh-CN"/>
        </w:rPr>
        <w:t>开户单位：</w:t>
      </w:r>
    </w:p>
    <w:p>
      <w:pPr>
        <w:spacing w:before="10"/>
        <w:rPr>
          <w:rFonts w:ascii="宋体" w:hAnsi="宋体" w:eastAsia="宋体" w:cs="宋体"/>
          <w:sz w:val="20"/>
          <w:szCs w:val="20"/>
          <w:lang w:eastAsia="zh-CN"/>
        </w:rPr>
      </w:pPr>
    </w:p>
    <w:p>
      <w:pPr>
        <w:pStyle w:val="10"/>
        <w:tabs>
          <w:tab w:val="left" w:pos="5272"/>
        </w:tabs>
        <w:spacing w:before="0"/>
        <w:ind w:right="110"/>
        <w:rPr>
          <w:lang w:eastAsia="zh-CN"/>
        </w:rPr>
      </w:pPr>
      <w:r>
        <w:rPr>
          <w:lang w:eastAsia="zh-CN"/>
        </w:rPr>
        <w:t>开户银行：</w:t>
      </w:r>
      <w:r>
        <w:rPr>
          <w:lang w:eastAsia="zh-CN"/>
        </w:rPr>
        <w:tab/>
      </w:r>
      <w:r>
        <w:rPr>
          <w:lang w:eastAsia="zh-CN"/>
        </w:rPr>
        <w:t>开户银行：</w:t>
      </w:r>
    </w:p>
    <w:p>
      <w:pPr>
        <w:spacing w:before="12"/>
        <w:rPr>
          <w:rFonts w:ascii="宋体" w:hAnsi="宋体" w:eastAsia="宋体" w:cs="宋体"/>
          <w:sz w:val="20"/>
          <w:szCs w:val="20"/>
          <w:lang w:eastAsia="zh-CN"/>
        </w:rPr>
      </w:pPr>
    </w:p>
    <w:p>
      <w:pPr>
        <w:pStyle w:val="10"/>
        <w:tabs>
          <w:tab w:val="left" w:pos="1312"/>
          <w:tab w:val="left" w:pos="5272"/>
          <w:tab w:val="left" w:pos="5992"/>
        </w:tabs>
        <w:spacing w:before="0"/>
        <w:ind w:right="110"/>
        <w:rPr>
          <w:lang w:eastAsia="zh-CN"/>
        </w:rPr>
      </w:pPr>
      <w:r>
        <w:rPr>
          <w:lang w:eastAsia="zh-CN"/>
        </w:rPr>
        <w:t>帐</w:t>
      </w:r>
      <w:r>
        <w:rPr>
          <w:lang w:eastAsia="zh-CN"/>
        </w:rPr>
        <w:tab/>
      </w:r>
      <w:r>
        <w:rPr>
          <w:lang w:eastAsia="zh-CN"/>
        </w:rPr>
        <w:t>号：</w:t>
      </w:r>
      <w:r>
        <w:rPr>
          <w:lang w:eastAsia="zh-CN"/>
        </w:rPr>
        <w:tab/>
      </w:r>
      <w:r>
        <w:rPr>
          <w:lang w:eastAsia="zh-CN"/>
        </w:rPr>
        <w:t>帐</w:t>
      </w:r>
      <w:r>
        <w:rPr>
          <w:lang w:eastAsia="zh-CN"/>
        </w:rPr>
        <w:tab/>
      </w:r>
      <w:r>
        <w:rPr>
          <w:lang w:eastAsia="zh-CN"/>
        </w:rPr>
        <w:t>号：</w:t>
      </w:r>
    </w:p>
    <w:p>
      <w:pPr>
        <w:pStyle w:val="10"/>
        <w:tabs>
          <w:tab w:val="left" w:pos="5217"/>
        </w:tabs>
        <w:spacing w:before="151"/>
        <w:ind w:left="537" w:right="110"/>
        <w:rPr>
          <w:lang w:eastAsia="zh-CN"/>
        </w:rPr>
      </w:pPr>
      <w:r>
        <w:rPr>
          <w:lang w:eastAsia="zh-CN"/>
        </w:rPr>
        <w:t>本合同签定时间：</w:t>
      </w:r>
      <w:r>
        <w:rPr>
          <w:lang w:eastAsia="zh-CN"/>
        </w:rPr>
        <w:tab/>
      </w:r>
      <w:r>
        <w:rPr>
          <w:lang w:eastAsia="zh-CN"/>
        </w:rPr>
        <w:t>本合同签定时间：</w:t>
      </w:r>
    </w:p>
    <w:p>
      <w:pPr>
        <w:rPr>
          <w:lang w:eastAsia="zh-CN"/>
        </w:rPr>
        <w:sectPr>
          <w:pgSz w:w="11910" w:h="16840"/>
          <w:pgMar w:top="1080" w:right="1020" w:bottom="960" w:left="1020" w:header="0" w:footer="771" w:gutter="0"/>
          <w:cols w:space="720" w:num="1"/>
        </w:sectPr>
      </w:pPr>
    </w:p>
    <w:p>
      <w:pPr>
        <w:pStyle w:val="2"/>
        <w:spacing w:line="520" w:lineRule="exact"/>
        <w:ind w:left="2179"/>
        <w:rPr>
          <w:b w:val="0"/>
          <w:bCs w:val="0"/>
          <w:lang w:eastAsia="zh-CN"/>
        </w:rPr>
      </w:pPr>
      <w:r>
        <w:rPr>
          <w:lang w:eastAsia="zh-CN"/>
        </w:rPr>
        <w:t>第五章</w:t>
      </w:r>
      <w:r>
        <w:rPr>
          <w:spacing w:val="-10"/>
          <w:lang w:eastAsia="zh-CN"/>
        </w:rPr>
        <w:t xml:space="preserve"> </w:t>
      </w:r>
      <w:r>
        <w:rPr>
          <w:lang w:eastAsia="zh-CN"/>
        </w:rPr>
        <w:t>响应文件格式</w:t>
      </w:r>
    </w:p>
    <w:p>
      <w:pPr>
        <w:spacing w:before="4"/>
        <w:rPr>
          <w:rFonts w:ascii="黑体" w:hAnsi="黑体" w:eastAsia="黑体" w:cs="黑体"/>
          <w:b/>
          <w:bCs/>
          <w:sz w:val="61"/>
          <w:szCs w:val="61"/>
          <w:lang w:eastAsia="zh-CN"/>
        </w:rPr>
      </w:pPr>
    </w:p>
    <w:p>
      <w:pPr>
        <w:ind w:right="330"/>
        <w:jc w:val="right"/>
        <w:rPr>
          <w:rFonts w:ascii="宋体" w:hAnsi="宋体" w:eastAsia="宋体" w:cs="宋体"/>
          <w:sz w:val="44"/>
          <w:szCs w:val="44"/>
          <w:lang w:eastAsia="zh-CN"/>
        </w:rPr>
      </w:pPr>
      <w:r>
        <w:rPr>
          <w:rFonts w:eastAsiaTheme="minorHAnsi"/>
          <w:lang w:eastAsia="zh-CN"/>
        </w:rPr>
        <w:pict>
          <v:group id="Group 71" o:spid="_x0000_s1060" o:spt="203" style="position:absolute;left:0pt;margin-left:394.15pt;margin-top:2.8pt;height:29.5pt;width:45.45pt;mso-position-horizontal-relative:page;z-index:-251661312;mso-width-relative:page;mso-height-relative:page;" coordorigin="7883,56" coordsize="909,59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">
            <o:lock v:ext="edit"/>
            <v:group id="Group 78" o:spid="_x0000_s1061" o:spt="203" style="position:absolute;left:7888;top:65;height:2;width:899;" coordorigin="7888,65" coordsize="8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o:lock v:ext="edit"/>
              <v:shape id="Freeform 79" o:spid="_x0000_s1028" style="position:absolute;left:7888;top:65;height:2;width:899;" filled="f"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syMUA&#10;AADbAAAADwAAAGRycy9kb3ducmV2LnhtbESPQWsCMRSE7wX/Q3gFL6Vm7cHarVEWweJBhKptr4/k&#10;dbPs5mXZRHf996ZQ8DjMzDfMYjW4RlyoC5VnBdNJBoJYe1NxqeB03DzPQYSIbLDxTAquFGC1HD0s&#10;MDe+50+6HGIpEoRDjgpsjG0uZdCWHIaJb4mT9+s7hzHJrpSmwz7BXSNfsmwmHVacFiy2tLak68PZ&#10;KdhZXZ/bfv+jP6onU1+/y9evolBq/DgU7yAiDfEe/m9vjYL5G/x9S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izIxQAAANsAAAAPAAAAAAAAAAAAAAAAAJgCAABkcnMv&#10;ZG93bnJldi54bWxQSwUGAAAAAAQABAD1AAAAigMAAAAA&#10;" path="m0,0l899,0e">
                <v:path arrowok="t" o:connecttype="custom" o:connectlocs="0,0;899,0" o:connectangles="0,0"/>
                <v:fill on="f" focussize="0,0"/>
                <v:stroke weight="0.48pt"/>
                <v:imagedata o:title=""/>
                <o:lock v:ext="edit"/>
              </v:shape>
            </v:group>
            <v:group id="Group 76" o:spid="_x0000_s1029" o:spt="203" style="position:absolute;left:7888;top:635;height:2;width:899;" coordorigin="7888,635" coordsize="8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o:lock v:ext="edit"/>
              <v:shape id="Freeform 77" o:spid="_x0000_s1030" style="position:absolute;left:7888;top:635;height:2;width:899;" filled="f"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2E8UA&#10;AADbAAAADwAAAGRycy9kb3ducmV2LnhtbESPT2sCMRTE7wW/Q3iCl1KzerDt1ihLoeJBhNp/10fy&#10;ull287Jsort+eyMIHoeZ+Q2zXA+uESfqQuVZwWyagSDW3lRcKvj++nh6AREissHGMyk4U4D1avSw&#10;xNz4nj/pdIilSBAOOSqwMba5lEFbchimviVO3r/vHMYku1KaDvsEd42cZ9lCOqw4LVhs6d2Srg9H&#10;p2BndX1s+/2f3lSPpj7/ls8/RaHUZDwUbyAiDfEevrW3RsHrDK5f0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ZbYTxQAAANsAAAAPAAAAAAAAAAAAAAAAAJgCAABkcnMv&#10;ZG93bnJldi54bWxQSwUGAAAAAAQABAD1AAAAigMAAAAA&#10;" path="m0,0l899,0e">
                <v:path arrowok="t" o:connecttype="custom" o:connectlocs="0,0;899,0" o:connectangles="0,0"/>
                <v:fill on="f" focussize="0,0"/>
                <v:stroke weight="0.48pt"/>
                <v:imagedata o:title=""/>
                <o:lock v:ext="edit"/>
              </v:shape>
            </v:group>
            <v:group id="Group 74" o:spid="_x0000_s1031" o:spt="203" style="position:absolute;left:7893;top:61;height:580;width:2;" coordorigin="7893,61" coordsize="2,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o:lock v:ext="edit"/>
              <v:shape id="Freeform 75" o:spid="_x0000_s1032" style="position:absolute;left:7893;top:61;height:580;width:2;" filled="f" coordsize="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3Yv8gA&#10;AADbAAAADwAAAGRycy9kb3ducmV2LnhtbESP3UoDMRSE7wu+QziCN6XNaqGta9MihaIgVfqDtHeH&#10;zXGzujlZkrhd+/RGEHo5zMw3zGzR2Vq05EPlWMHtMANBXDhdcalgv1sNpiBCRNZYOyYFPxRgMb/q&#10;zTDX7sQbarexFAnCIUcFJsYmlzIUhiyGoWuIk/fhvMWYpC+l9nhKcFvLuywbS4sVpwWDDS0NFV/b&#10;b6vg+DJuN58j0z+/vh/q/vrsn978RKmb6+7xAUSkLl7C/+1nreB+BH9f0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zdi/yAAAANsAAAAPAAAAAAAAAAAAAAAAAJgCAABk&#10;cnMvZG93bnJldi54bWxQSwUGAAAAAAQABAD1AAAAjQMAAAAA&#10;" path="m0,0l0,579e">
                <v:path arrowok="t" o:connecttype="custom" o:connectlocs="0,61;0,640" o:connectangles="0,0"/>
                <v:fill on="f" focussize="0,0"/>
                <v:stroke weight="0.48pt"/>
                <v:imagedata o:title=""/>
                <o:lock v:ext="edit"/>
              </v:shape>
            </v:group>
            <v:group id="Group 72" o:spid="_x0000_s1033" o:spt="203" style="position:absolute;left:8782;top:70;height:570;width:2;" coordorigin="8782,70" coordsize="2,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o:lock v:ext="edit"/>
              <v:shape id="Freeform 73" o:spid="_x0000_s1034" style="position:absolute;left:8782;top:70;height:570;width:2;" filled="f" coordsize="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6ZAcUA&#10;AADbAAAADwAAAGRycy9kb3ducmV2LnhtbESPQUvEMBSE74L/ITzBm5sqWte62UVEQQ+yuq6Ct0fz&#10;bIrJS02e2/rvjSB4HGbmG2axmoJXO0q5j2zgeFaBIm6j7bkzsH2+PZqDyoJs0UcmA9+UYbXc31tg&#10;Y+PIT7TbSKcKhHODBpzI0GidW0cB8ywOxMV7jymgFJk6bROOBR68PqmqWgfsuSw4HOjaUfux+QoG&#10;1mO6l+3bef3yePp64z/nD87XYszhwXR1CUpokv/wX/vOGrg4g98v5Qf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7pkBxQAAANsAAAAPAAAAAAAAAAAAAAAAAJgCAABkcnMv&#10;ZG93bnJldi54bWxQSwUGAAAAAAQABAD1AAAAigMAAAAA&#10;" path="m0,0l0,570e">
                <v:path arrowok="t" o:connecttype="custom" o:connectlocs="0,70;0,640" o:connectangles="0,0"/>
                <v:fill on="f" focussize="0,0"/>
                <v:stroke weight="0.48pt"/>
                <v:imagedata o:title=""/>
                <o:lock v:ext="edit"/>
              </v:shape>
            </v:group>
          </v:group>
        </w:pict>
      </w:r>
      <w:r>
        <w:rPr>
          <w:rFonts w:eastAsiaTheme="minorHAnsi"/>
          <w:lang w:eastAsia="zh-CN"/>
        </w:rPr>
        <w:pict>
          <v:group id="Group 62" o:spid="_x0000_s1051" o:spt="203" style="position:absolute;left:0pt;margin-left:450.15pt;margin-top:2.8pt;height:29.5pt;width:45.45pt;mso-position-horizontal-relative:page;z-index:-251660288;mso-width-relative:page;mso-height-relative:page;" coordorigin="9003,56" coordsize="909,59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">
            <o:lock v:ext="edit"/>
            <v:group id="Group 69" o:spid="_x0000_s1058" o:spt="203" style="position:absolute;left:9008;top:65;height:2;width:899;" coordorigin="9008,65" coordsize="8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o:lock v:ext="edit"/>
              <v:shape id="Freeform 70" o:spid="_x0000_s1059" style="position:absolute;left:9008;top:65;height:2;width:899;" filled="f"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FVcEA&#10;AADbAAAADwAAAGRycy9kb3ducmV2LnhtbERPTWvCMBi+D/wP4RW8DE3nYZNqlCJMPIzB/Ly+JK9N&#10;afOmNNHWf78cBjs+PN+rzeAa8aAuVJ4VvM0yEMTam4pLBafj53QBIkRkg41nUvCkAJv16GWFufE9&#10;/9DjEEuRQjjkqMDG2OZSBm3JYZj5ljhxN985jAl2pTQd9incNXKeZe/SYcWpwWJLW0u6Ptydgi+r&#10;63vbf1/1rno19fNSfpyLQqnJeCiWICIN8V/8594bBYu0Pn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whVXBAAAA2wAAAA8AAAAAAAAAAAAAAAAAmAIAAGRycy9kb3du&#10;cmV2LnhtbFBLBQYAAAAABAAEAPUAAACGAwAAAAA=&#10;" path="m0,0l899,0e">
                <v:path arrowok="t" o:connecttype="custom" o:connectlocs="0,0;899,0" o:connectangles="0,0"/>
                <v:fill on="f" focussize="0,0"/>
                <v:stroke weight="0.48pt"/>
                <v:imagedata o:title=""/>
                <o:lock v:ext="edit"/>
              </v:shape>
            </v:group>
            <v:group id="Group 67" o:spid="_x0000_s1056" o:spt="203" style="position:absolute;left:9008;top:635;height:2;width:899;" coordorigin="9008,635" coordsize="8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o:lock v:ext="edit"/>
              <v:shape id="Freeform 68" o:spid="_x0000_s1057" style="position:absolute;left:9008;top:635;height:2;width:899;" filled="f"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6+ucUA&#10;AADbAAAADwAAAGRycy9kb3ducmV2LnhtbESPT2sCMRTE74LfIbxCL1KzerCyNcoiWHooQv3TXh/J&#10;62bZzcuyie767Y1Q6HGYmd8wq83gGnGlLlSeFcymGQhi7U3FpYLTcfeyBBEissHGMym4UYDNejxa&#10;YW58z190PcRSJAiHHBXYGNtcyqAtOQxT3xIn79d3DmOSXSlNh32Cu0bOs2whHVacFiy2tLWk68PF&#10;Kfi0ur60/f5Hv1cTU9++y9dzUSj1/DQUbyAiDfE//Nf+MAqWc3h8S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r65xQAAANsAAAAPAAAAAAAAAAAAAAAAAJgCAABkcnMv&#10;ZG93bnJldi54bWxQSwUGAAAAAAQABAD1AAAAigMAAAAA&#10;" path="m0,0l899,0e">
                <v:path arrowok="t" o:connecttype="custom" o:connectlocs="0,0;899,0" o:connectangles="0,0"/>
                <v:fill on="f" focussize="0,0"/>
                <v:stroke weight="0.48pt"/>
                <v:imagedata o:title=""/>
                <o:lock v:ext="edit"/>
              </v:shape>
            </v:group>
            <v:group id="Group 65" o:spid="_x0000_s1054" o:spt="203" style="position:absolute;left:9013;top:61;height:580;width:2;" coordorigin="9013,61" coordsize="2,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o:lock v:ext="edit"/>
              <v:shape id="Freeform 66" o:spid="_x0000_s1055" style="position:absolute;left:9013;top:61;height:580;width:2;" filled="f" coordsize="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FsgA&#10;AADbAAAADwAAAGRycy9kb3ducmV2LnhtbESP3UoDMRSE74W+QziCN6XNaqUta9MiglgQLf1B9O6w&#10;OW62bk6WJN2uffpGEHo5zMw3zGzR2Vq05EPlWMHtMANBXDhdcalgt30eTEGEiKyxdkwKfinAYt67&#10;mmGu3ZHX1G5iKRKEQ44KTIxNLmUoDFkMQ9cQJ+/beYsxSV9K7fGY4LaWd1k2lhYrTgsGG3oyVPxs&#10;DlbB1+u4Xe9Hpn96//is+28n/7LyE6VurrvHBxCRungJ/7eXWsH0Hv6+pB8g5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dYWyAAAANsAAAAPAAAAAAAAAAAAAAAAAJgCAABk&#10;cnMvZG93bnJldi54bWxQSwUGAAAAAAQABAD1AAAAjQMAAAAA&#10;" path="m0,0l0,579e">
                <v:path arrowok="t" o:connecttype="custom" o:connectlocs="0,61;0,640" o:connectangles="0,0"/>
                <v:fill on="f" focussize="0,0"/>
                <v:stroke weight="0.48pt"/>
                <v:imagedata o:title=""/>
                <o:lock v:ext="edit"/>
              </v:shape>
            </v:group>
            <v:group id="Group 63" o:spid="_x0000_s1052" o:spt="203" style="position:absolute;left:9902;top:70;height:570;width:2;" coordorigin="9902,70" coordsize="2,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o:lock v:ext="edit"/>
              <v:shape id="Freeform 64" o:spid="_x0000_s1053" style="position:absolute;left:9902;top:70;height:570;width:2;" filled="f" coordsize="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Rq8QA&#10;AADbAAAADwAAAGRycy9kb3ducmV2LnhtbESPQUvEMBSE74L/ITzBm5sqUkvd7CKioAfRXVfB26N5&#10;NsXkpSbPbf33RhA8DjPzDbNcz8GrPaU8RDZwuqhAEXfRDtwb2D3fnjSgsiBb9JHJwDdlWK8OD5bY&#10;2jjxhvZb6VWBcG7RgBMZW61z5yhgXsSRuHjvMQWUIlOvbcKpwIPXZ1VV64ADlwWHI1076j62X8HA&#10;45TuZfd2Ub88nb/e+M/mwflajDk+mq8uQQnN8h/+a99ZA00Nv1/KD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kavEAAAA2wAAAA8AAAAAAAAAAAAAAAAAmAIAAGRycy9k&#10;b3ducmV2LnhtbFBLBQYAAAAABAAEAPUAAACJAwAAAAA=&#10;" path="m0,0l0,570e">
                <v:path arrowok="t" o:connecttype="custom" o:connectlocs="0,70;0,640" o:connectangles="0,0"/>
                <v:fill on="f" focussize="0,0"/>
                <v:stroke weight="0.48pt"/>
                <v:imagedata o:title=""/>
                <o:lock v:ext="edit"/>
              </v:shape>
            </v:group>
          </v:group>
        </w:pict>
      </w:r>
      <w:r>
        <w:rPr>
          <w:rFonts w:ascii="宋体" w:hAnsi="宋体" w:eastAsia="宋体" w:cs="宋体"/>
          <w:spacing w:val="4"/>
          <w:w w:val="95"/>
          <w:sz w:val="44"/>
          <w:szCs w:val="44"/>
          <w:lang w:eastAsia="zh-CN"/>
        </w:rPr>
        <w:t>正本/副本</w:t>
      </w:r>
    </w:p>
    <w:p>
      <w:pPr>
        <w:rPr>
          <w:rFonts w:ascii="宋体" w:hAnsi="宋体" w:eastAsia="宋体" w:cs="宋体"/>
          <w:sz w:val="20"/>
          <w:szCs w:val="20"/>
          <w:lang w:eastAsia="zh-CN"/>
        </w:rPr>
      </w:pPr>
    </w:p>
    <w:p>
      <w:pPr>
        <w:spacing w:before="6"/>
        <w:rPr>
          <w:rFonts w:ascii="宋体" w:hAnsi="宋体" w:eastAsia="宋体" w:cs="宋体"/>
          <w:lang w:eastAsia="zh-CN"/>
        </w:rPr>
      </w:pPr>
    </w:p>
    <w:p>
      <w:pPr>
        <w:tabs>
          <w:tab w:val="left" w:pos="4500"/>
        </w:tabs>
        <w:spacing w:line="460" w:lineRule="exact"/>
        <w:jc w:val="center"/>
        <w:rPr>
          <w:rFonts w:ascii="黑体" w:hAnsi="黑体" w:eastAsia="黑体" w:cs="黑体"/>
          <w:sz w:val="36"/>
          <w:szCs w:val="36"/>
          <w:lang w:eastAsia="zh-CN"/>
        </w:rPr>
      </w:pPr>
      <w:r>
        <w:rPr>
          <w:rFonts w:ascii="Times New Roman" w:hAnsi="Times New Roman" w:eastAsia="Times New Roman" w:cs="Times New Roman"/>
          <w:sz w:val="36"/>
          <w:szCs w:val="36"/>
          <w:u w:val="thick" w:color="000000"/>
          <w:lang w:eastAsia="zh-CN"/>
        </w:rPr>
        <w:t xml:space="preserve"> </w:t>
      </w:r>
      <w:r>
        <w:rPr>
          <w:rFonts w:ascii="Times New Roman" w:hAnsi="Times New Roman" w:eastAsia="Times New Roman" w:cs="Times New Roman"/>
          <w:sz w:val="36"/>
          <w:szCs w:val="36"/>
          <w:u w:val="thick" w:color="000000"/>
          <w:lang w:eastAsia="zh-CN"/>
        </w:rPr>
        <w:tab/>
      </w:r>
      <w:r>
        <w:rPr>
          <w:rFonts w:ascii="黑体" w:hAnsi="黑体" w:eastAsia="黑体" w:cs="黑体"/>
          <w:sz w:val="36"/>
          <w:szCs w:val="36"/>
          <w:lang w:eastAsia="zh-CN"/>
        </w:rPr>
        <w:t>（项目名称）</w:t>
      </w:r>
    </w:p>
    <w:p>
      <w:pPr>
        <w:rPr>
          <w:rFonts w:ascii="黑体" w:hAnsi="黑体" w:eastAsia="黑体" w:cs="黑体"/>
          <w:sz w:val="38"/>
          <w:szCs w:val="38"/>
          <w:lang w:eastAsia="zh-CN"/>
        </w:rPr>
      </w:pPr>
    </w:p>
    <w:p>
      <w:pPr>
        <w:rPr>
          <w:rFonts w:ascii="黑体" w:hAnsi="黑体" w:eastAsia="黑体" w:cs="黑体"/>
          <w:sz w:val="38"/>
          <w:szCs w:val="38"/>
          <w:lang w:eastAsia="zh-CN"/>
        </w:rPr>
      </w:pPr>
    </w:p>
    <w:p>
      <w:pPr>
        <w:spacing w:before="1"/>
        <w:rPr>
          <w:rFonts w:ascii="黑体" w:hAnsi="黑体" w:eastAsia="黑体" w:cs="黑体"/>
          <w:sz w:val="44"/>
          <w:szCs w:val="44"/>
          <w:lang w:eastAsia="zh-CN"/>
        </w:rPr>
      </w:pPr>
    </w:p>
    <w:p>
      <w:pPr>
        <w:ind w:left="1"/>
        <w:jc w:val="center"/>
        <w:rPr>
          <w:rFonts w:ascii="宋体" w:hAnsi="宋体" w:eastAsia="宋体" w:cs="宋体"/>
          <w:sz w:val="60"/>
          <w:szCs w:val="60"/>
          <w:lang w:eastAsia="zh-CN"/>
        </w:rPr>
      </w:pPr>
      <w:r>
        <w:rPr>
          <w:rFonts w:ascii="宋体" w:hAnsi="宋体" w:eastAsia="宋体" w:cs="宋体"/>
          <w:b/>
          <w:bCs/>
          <w:spacing w:val="2"/>
          <w:sz w:val="60"/>
          <w:szCs w:val="60"/>
          <w:lang w:eastAsia="zh-CN"/>
        </w:rPr>
        <w:t>竞争性磋商响应文件</w:t>
      </w:r>
    </w:p>
    <w:p>
      <w:pPr>
        <w:rPr>
          <w:rFonts w:ascii="宋体" w:hAnsi="宋体" w:eastAsia="宋体" w:cs="宋体"/>
          <w:b/>
          <w:bCs/>
          <w:sz w:val="60"/>
          <w:szCs w:val="60"/>
          <w:lang w:eastAsia="zh-CN"/>
        </w:rPr>
      </w:pPr>
    </w:p>
    <w:p>
      <w:pPr>
        <w:rPr>
          <w:rFonts w:ascii="宋体" w:hAnsi="宋体" w:eastAsia="宋体" w:cs="宋体"/>
          <w:b/>
          <w:bCs/>
          <w:sz w:val="60"/>
          <w:szCs w:val="60"/>
          <w:lang w:eastAsia="zh-CN"/>
        </w:rPr>
      </w:pPr>
    </w:p>
    <w:p>
      <w:pPr>
        <w:rPr>
          <w:rFonts w:ascii="宋体" w:hAnsi="宋体" w:eastAsia="宋体" w:cs="宋体"/>
          <w:b/>
          <w:bCs/>
          <w:sz w:val="60"/>
          <w:szCs w:val="60"/>
          <w:lang w:eastAsia="zh-CN"/>
        </w:rPr>
      </w:pPr>
    </w:p>
    <w:p>
      <w:pPr>
        <w:rPr>
          <w:rFonts w:ascii="宋体" w:hAnsi="宋体" w:eastAsia="宋体" w:cs="宋体"/>
          <w:b/>
          <w:bCs/>
          <w:sz w:val="60"/>
          <w:szCs w:val="60"/>
          <w:lang w:eastAsia="zh-CN"/>
        </w:rPr>
      </w:pPr>
    </w:p>
    <w:p>
      <w:pPr>
        <w:rPr>
          <w:rFonts w:ascii="宋体" w:hAnsi="宋体" w:eastAsia="宋体" w:cs="宋体"/>
          <w:b/>
          <w:bCs/>
          <w:sz w:val="60"/>
          <w:szCs w:val="60"/>
          <w:lang w:eastAsia="zh-CN"/>
        </w:rPr>
      </w:pPr>
    </w:p>
    <w:p>
      <w:pPr>
        <w:rPr>
          <w:rFonts w:ascii="宋体" w:hAnsi="宋体" w:eastAsia="宋体" w:cs="宋体"/>
          <w:b/>
          <w:bCs/>
          <w:sz w:val="60"/>
          <w:szCs w:val="60"/>
          <w:lang w:eastAsia="zh-CN"/>
        </w:rPr>
      </w:pPr>
    </w:p>
    <w:p>
      <w:pPr>
        <w:spacing w:before="9"/>
        <w:rPr>
          <w:rFonts w:ascii="宋体" w:hAnsi="宋体" w:eastAsia="宋体" w:cs="宋体"/>
          <w:b/>
          <w:bCs/>
          <w:sz w:val="44"/>
          <w:szCs w:val="44"/>
          <w:lang w:eastAsia="zh-CN"/>
        </w:rPr>
      </w:pPr>
    </w:p>
    <w:p>
      <w:pPr>
        <w:pStyle w:val="6"/>
        <w:spacing w:line="1120" w:lineRule="atLeast"/>
        <w:ind w:left="1271" w:firstLine="132"/>
        <w:rPr>
          <w:lang w:eastAsia="zh-CN"/>
        </w:rPr>
      </w:pPr>
      <w:r>
        <w:rPr>
          <w:lang w:eastAsia="zh-CN"/>
        </w:rPr>
        <w:t>供应商：（盖单位公章） 法定代表人或其委托代理人：（签字或盖章）</w:t>
      </w:r>
    </w:p>
    <w:p>
      <w:pPr>
        <w:spacing w:before="8"/>
        <w:rPr>
          <w:rFonts w:ascii="黑体" w:hAnsi="黑体" w:eastAsia="黑体" w:cs="黑体"/>
          <w:sz w:val="27"/>
          <w:szCs w:val="27"/>
          <w:lang w:eastAsia="zh-CN"/>
        </w:rPr>
      </w:pPr>
    </w:p>
    <w:p>
      <w:pPr>
        <w:pStyle w:val="6"/>
        <w:tabs>
          <w:tab w:val="left" w:pos="599"/>
          <w:tab w:val="left" w:pos="1199"/>
        </w:tabs>
        <w:jc w:val="center"/>
        <w:rPr>
          <w:lang w:eastAsia="zh-CN"/>
        </w:rPr>
        <w:sectPr>
          <w:pgSz w:w="11910" w:h="16840"/>
          <w:pgMar w:top="1120" w:right="1680" w:bottom="960" w:left="1680" w:header="0" w:footer="771" w:gutter="0"/>
          <w:cols w:space="720" w:num="1"/>
        </w:sectPr>
      </w:pPr>
      <w:r>
        <w:rPr>
          <w:lang w:eastAsia="zh-CN"/>
        </w:rPr>
        <w:t>年</w:t>
      </w:r>
      <w:r>
        <w:rPr>
          <w:lang w:eastAsia="zh-CN"/>
        </w:rPr>
        <w:tab/>
      </w:r>
      <w:r>
        <w:rPr>
          <w:lang w:eastAsia="zh-CN"/>
        </w:rPr>
        <w:t>月</w:t>
      </w:r>
      <w:r>
        <w:rPr>
          <w:lang w:eastAsia="zh-CN"/>
        </w:rPr>
        <w:tab/>
      </w:r>
      <w:r>
        <w:rPr>
          <w:lang w:eastAsia="zh-CN"/>
        </w:rPr>
        <w:t>日</w:t>
      </w:r>
    </w:p>
    <w:p>
      <w:pPr>
        <w:pStyle w:val="7"/>
        <w:spacing w:before="8"/>
        <w:ind w:left="0" w:right="233"/>
        <w:rPr>
          <w:b w:val="0"/>
          <w:bCs w:val="0"/>
          <w:lang w:eastAsia="zh-CN"/>
        </w:rPr>
      </w:pPr>
      <w:bookmarkStart w:id="99" w:name="附件二：法定代表人授权委托书及身份证明文件"/>
      <w:bookmarkEnd w:id="99"/>
      <w:bookmarkStart w:id="100" w:name="附件一:报价函"/>
      <w:bookmarkEnd w:id="100"/>
      <w:r>
        <w:rPr>
          <w:lang w:eastAsia="zh-CN"/>
        </w:rPr>
        <w:t>附件一:报价函</w:t>
      </w:r>
    </w:p>
    <w:p>
      <w:pPr>
        <w:rPr>
          <w:rFonts w:ascii="宋体" w:hAnsi="宋体" w:eastAsia="宋体" w:cs="宋体"/>
          <w:b/>
          <w:bCs/>
          <w:sz w:val="20"/>
          <w:szCs w:val="20"/>
          <w:lang w:eastAsia="zh-CN"/>
        </w:rPr>
      </w:pPr>
    </w:p>
    <w:p>
      <w:pPr>
        <w:spacing w:before="5"/>
        <w:rPr>
          <w:rFonts w:ascii="宋体" w:hAnsi="宋体" w:eastAsia="宋体" w:cs="宋体"/>
          <w:b/>
          <w:bCs/>
          <w:sz w:val="24"/>
          <w:szCs w:val="24"/>
          <w:lang w:eastAsia="zh-CN"/>
        </w:rPr>
      </w:pPr>
    </w:p>
    <w:p>
      <w:pPr>
        <w:pStyle w:val="10"/>
        <w:tabs>
          <w:tab w:val="left" w:pos="1920"/>
        </w:tabs>
        <w:spacing w:before="26"/>
        <w:ind w:left="0" w:right="7600"/>
        <w:jc w:val="center"/>
        <w:rPr>
          <w:lang w:eastAsia="zh-CN"/>
        </w:rPr>
      </w:pP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lang w:eastAsia="zh-CN"/>
        </w:rPr>
        <w:t>：</w:t>
      </w:r>
    </w:p>
    <w:p>
      <w:pPr>
        <w:rPr>
          <w:rFonts w:ascii="宋体" w:hAnsi="宋体" w:eastAsia="宋体" w:cs="宋体"/>
          <w:sz w:val="24"/>
          <w:szCs w:val="24"/>
          <w:lang w:eastAsia="zh-CN"/>
        </w:rPr>
      </w:pPr>
    </w:p>
    <w:p>
      <w:pPr>
        <w:spacing w:before="10"/>
        <w:rPr>
          <w:rFonts w:ascii="宋体" w:hAnsi="宋体" w:eastAsia="宋体" w:cs="宋体"/>
          <w:sz w:val="18"/>
          <w:szCs w:val="18"/>
          <w:lang w:eastAsia="zh-CN"/>
        </w:rPr>
      </w:pPr>
    </w:p>
    <w:p>
      <w:pPr>
        <w:pStyle w:val="10"/>
        <w:tabs>
          <w:tab w:val="left" w:pos="4072"/>
        </w:tabs>
        <w:spacing w:before="0" w:line="304" w:lineRule="auto"/>
        <w:ind w:left="112" w:right="152" w:firstLine="480"/>
        <w:rPr>
          <w:lang w:eastAsia="zh-CN"/>
        </w:rPr>
      </w:pPr>
      <w:r>
        <w:rPr>
          <w:spacing w:val="-1"/>
          <w:lang w:eastAsia="zh-CN"/>
        </w:rPr>
        <w:t>我方已经认真审阅了</w:t>
      </w:r>
      <w:r>
        <w:rPr>
          <w:rFonts w:ascii="Times New Roman" w:hAnsi="Times New Roman" w:eastAsia="Times New Roman" w:cs="Times New Roman"/>
          <w:spacing w:val="-1"/>
          <w:u w:val="single" w:color="000000"/>
          <w:lang w:eastAsia="zh-CN"/>
        </w:rPr>
        <w:tab/>
      </w:r>
      <w:r>
        <w:rPr>
          <w:lang w:eastAsia="zh-CN"/>
        </w:rPr>
        <w:t>磋商文件（项目编号：</w:t>
      </w:r>
      <w:r>
        <w:rPr>
          <w:spacing w:val="-2"/>
          <w:lang w:eastAsia="zh-CN"/>
        </w:rPr>
        <w:t>），并对其没有任何保留意见，经研究决定参加本项目采购</w:t>
      </w:r>
      <w:r>
        <w:rPr>
          <w:spacing w:val="-106"/>
          <w:lang w:eastAsia="zh-CN"/>
        </w:rPr>
        <w:t xml:space="preserve"> </w:t>
      </w:r>
      <w:r>
        <w:rPr>
          <w:lang w:eastAsia="zh-CN"/>
        </w:rPr>
        <w:t>并提交响应文件。为此，我方承诺如下：</w:t>
      </w:r>
    </w:p>
    <w:p>
      <w:pPr>
        <w:pStyle w:val="10"/>
        <w:spacing w:before="22"/>
        <w:ind w:right="233"/>
        <w:rPr>
          <w:lang w:eastAsia="zh-CN"/>
        </w:rPr>
      </w:pPr>
      <w:r>
        <w:rPr>
          <w:lang w:eastAsia="zh-CN"/>
        </w:rPr>
        <w:t>1、我方提交的响应文件正本一份，副本</w:t>
      </w:r>
      <w:r>
        <w:rPr>
          <w:rFonts w:hint="eastAsia"/>
          <w:lang w:eastAsia="zh-CN"/>
        </w:rPr>
        <w:t>二</w:t>
      </w:r>
      <w:r>
        <w:rPr>
          <w:lang w:eastAsia="zh-CN"/>
        </w:rPr>
        <w:t>份；</w:t>
      </w:r>
    </w:p>
    <w:p>
      <w:pPr>
        <w:pStyle w:val="10"/>
        <w:spacing w:before="84" w:line="307" w:lineRule="auto"/>
        <w:ind w:left="112" w:right="111" w:firstLine="480"/>
        <w:rPr>
          <w:lang w:eastAsia="zh-CN"/>
        </w:rPr>
      </w:pPr>
      <w:r>
        <w:rPr>
          <w:lang w:eastAsia="zh-CN"/>
        </w:rPr>
        <w:t xml:space="preserve">2、我方已详细研究了磋商文件的所有内容，包括澄清及变更内容(如果有)和所有已提供 </w:t>
      </w:r>
      <w:r>
        <w:rPr>
          <w:spacing w:val="-2"/>
          <w:lang w:eastAsia="zh-CN"/>
        </w:rPr>
        <w:t>的参考资料以及有关附件，并完全明白，我方放弃在此方面提出含糊意见或误解的一切权利。</w:t>
      </w:r>
    </w:p>
    <w:p>
      <w:pPr>
        <w:pStyle w:val="10"/>
        <w:spacing w:before="19"/>
        <w:ind w:right="233"/>
        <w:rPr>
          <w:lang w:eastAsia="zh-CN"/>
        </w:rPr>
      </w:pPr>
      <w:r>
        <w:rPr>
          <w:lang w:eastAsia="zh-CN"/>
        </w:rPr>
        <w:t>3、我方承诺响应文件夹中的一切资料、数据是真实的，并承担由此引起的一切责任。</w:t>
      </w:r>
    </w:p>
    <w:p>
      <w:pPr>
        <w:pStyle w:val="10"/>
        <w:spacing w:before="84" w:line="307" w:lineRule="auto"/>
        <w:ind w:left="112" w:right="233" w:firstLine="480"/>
        <w:rPr>
          <w:lang w:eastAsia="zh-CN"/>
        </w:rPr>
      </w:pPr>
      <w:r>
        <w:rPr>
          <w:spacing w:val="-3"/>
          <w:lang w:eastAsia="zh-CN"/>
        </w:rPr>
        <w:t>4、如果我方的响应文件被接受，我方将履行磋商文件中规定的每一项要求，并按我方响</w:t>
      </w:r>
      <w:r>
        <w:rPr>
          <w:lang w:eastAsia="zh-CN"/>
        </w:rPr>
        <w:t xml:space="preserve"> 应文件中的承诺按期、保质、保量完成项目的实施；</w:t>
      </w:r>
    </w:p>
    <w:p>
      <w:pPr>
        <w:pStyle w:val="10"/>
        <w:spacing w:before="19"/>
        <w:ind w:right="233"/>
        <w:rPr>
          <w:lang w:eastAsia="zh-CN"/>
        </w:rPr>
      </w:pPr>
      <w:r>
        <w:rPr>
          <w:lang w:eastAsia="zh-CN"/>
        </w:rPr>
        <w:t>5、我方理解，最低响应报价不是成交的唯一条件和保证；</w:t>
      </w:r>
    </w:p>
    <w:p>
      <w:pPr>
        <w:pStyle w:val="10"/>
        <w:spacing w:before="84"/>
        <w:ind w:right="233"/>
        <w:rPr>
          <w:lang w:eastAsia="zh-CN"/>
        </w:rPr>
      </w:pPr>
      <w:r>
        <w:rPr>
          <w:lang w:eastAsia="zh-CN"/>
        </w:rPr>
        <w:t>6、我方愿按《中华人民共和国合同法》履行自己的全部责任；</w:t>
      </w:r>
    </w:p>
    <w:p>
      <w:pPr>
        <w:pStyle w:val="10"/>
        <w:spacing w:before="86"/>
        <w:ind w:right="233"/>
        <w:rPr>
          <w:lang w:eastAsia="zh-CN"/>
        </w:rPr>
      </w:pPr>
      <w:r>
        <w:rPr>
          <w:lang w:eastAsia="zh-CN"/>
        </w:rPr>
        <w:t>7、我方同意按磋商文件要求，遵守你方对本次磋商招标所做的各项规定；</w:t>
      </w:r>
    </w:p>
    <w:p>
      <w:pPr>
        <w:pStyle w:val="10"/>
        <w:spacing w:before="86"/>
        <w:ind w:right="233"/>
        <w:rPr>
          <w:lang w:eastAsia="zh-CN"/>
        </w:rPr>
      </w:pPr>
      <w:r>
        <w:rPr>
          <w:lang w:eastAsia="zh-CN"/>
        </w:rPr>
        <w:t>8、我方的响应文件自提交之日起有效期为</w:t>
      </w:r>
      <w:r>
        <w:rPr>
          <w:u w:val="single" w:color="000000"/>
          <w:lang w:eastAsia="zh-CN"/>
        </w:rPr>
        <w:t>90</w:t>
      </w:r>
      <w:r>
        <w:rPr>
          <w:lang w:eastAsia="zh-CN"/>
        </w:rPr>
        <w:t>日历天；</w:t>
      </w:r>
    </w:p>
    <w:p>
      <w:pPr>
        <w:pStyle w:val="10"/>
        <w:spacing w:before="84"/>
        <w:ind w:right="233"/>
        <w:rPr>
          <w:lang w:eastAsia="zh-CN"/>
        </w:rPr>
      </w:pPr>
      <w:r>
        <w:rPr>
          <w:lang w:eastAsia="zh-CN"/>
        </w:rPr>
        <w:t>9、我方同意按照你方可能提出的要求而提供与磋商有关的任何其他数据或信息。</w:t>
      </w:r>
    </w:p>
    <w:p>
      <w:pPr>
        <w:pStyle w:val="10"/>
        <w:spacing w:before="86"/>
        <w:ind w:right="233"/>
        <w:rPr>
          <w:lang w:eastAsia="zh-CN"/>
        </w:rPr>
      </w:pPr>
      <w:r>
        <w:rPr>
          <w:lang w:eastAsia="zh-CN"/>
        </w:rPr>
        <w:t>10、与本磋商有关的一切正式往来通讯请寄：</w:t>
      </w: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9"/>
        <w:rPr>
          <w:rFonts w:ascii="宋体" w:hAnsi="宋体" w:eastAsia="宋体" w:cs="宋体"/>
          <w:sz w:val="19"/>
          <w:szCs w:val="19"/>
          <w:lang w:eastAsia="zh-CN"/>
        </w:rPr>
      </w:pPr>
    </w:p>
    <w:p>
      <w:pPr>
        <w:pStyle w:val="10"/>
        <w:tabs>
          <w:tab w:val="left" w:pos="1312"/>
        </w:tabs>
        <w:spacing w:before="0" w:line="304" w:lineRule="auto"/>
        <w:ind w:right="5072"/>
        <w:rPr>
          <w:lang w:eastAsia="zh-CN"/>
        </w:rPr>
      </w:pPr>
      <w:r>
        <w:rPr>
          <w:lang w:eastAsia="zh-CN"/>
        </w:rPr>
        <w:t>供应商代表姓名、职务（印刷体）：</w:t>
      </w:r>
    </w:p>
    <w:p>
      <w:pPr>
        <w:pStyle w:val="10"/>
        <w:tabs>
          <w:tab w:val="left" w:pos="1312"/>
        </w:tabs>
        <w:spacing w:before="0" w:line="304" w:lineRule="auto"/>
        <w:ind w:right="5072"/>
        <w:rPr>
          <w:lang w:eastAsia="zh-CN"/>
        </w:rPr>
      </w:pPr>
      <w:r>
        <w:rPr>
          <w:lang w:eastAsia="zh-CN"/>
        </w:rPr>
        <w:t xml:space="preserve">供应商单位全称（公章） </w:t>
      </w:r>
    </w:p>
    <w:p>
      <w:pPr>
        <w:pStyle w:val="10"/>
        <w:tabs>
          <w:tab w:val="left" w:pos="1312"/>
        </w:tabs>
        <w:spacing w:before="0" w:line="304" w:lineRule="auto"/>
        <w:ind w:right="5072"/>
        <w:rPr>
          <w:lang w:eastAsia="zh-CN"/>
        </w:rPr>
      </w:pPr>
      <w:r>
        <w:rPr>
          <w:lang w:eastAsia="zh-CN"/>
        </w:rPr>
        <w:t>法定代表人或授权代表（签字或盖章）： 地</w:t>
      </w:r>
      <w:r>
        <w:rPr>
          <w:lang w:eastAsia="zh-CN"/>
        </w:rPr>
        <w:tab/>
      </w:r>
      <w:r>
        <w:rPr>
          <w:lang w:eastAsia="zh-CN"/>
        </w:rPr>
        <w:t>址：</w:t>
      </w:r>
    </w:p>
    <w:p>
      <w:pPr>
        <w:pStyle w:val="10"/>
        <w:tabs>
          <w:tab w:val="left" w:pos="1312"/>
        </w:tabs>
        <w:spacing w:before="22" w:line="304" w:lineRule="auto"/>
        <w:ind w:right="8192"/>
        <w:rPr>
          <w:lang w:eastAsia="zh-CN"/>
        </w:rPr>
      </w:pPr>
      <w:r>
        <w:rPr>
          <w:lang w:eastAsia="zh-CN"/>
        </w:rPr>
        <w:t>邮政编码： 电</w:t>
      </w:r>
      <w:r>
        <w:rPr>
          <w:lang w:eastAsia="zh-CN"/>
        </w:rPr>
        <w:tab/>
      </w:r>
      <w:r>
        <w:rPr>
          <w:lang w:eastAsia="zh-CN"/>
        </w:rPr>
        <w:t>话：</w:t>
      </w:r>
    </w:p>
    <w:p>
      <w:pPr>
        <w:pStyle w:val="10"/>
        <w:tabs>
          <w:tab w:val="left" w:pos="1312"/>
        </w:tabs>
        <w:spacing w:before="22"/>
        <w:ind w:right="233"/>
        <w:rPr>
          <w:lang w:eastAsia="zh-CN"/>
        </w:rPr>
      </w:pPr>
      <w:r>
        <w:rPr>
          <w:lang w:eastAsia="zh-CN"/>
        </w:rPr>
        <w:t>传</w:t>
      </w:r>
      <w:r>
        <w:rPr>
          <w:lang w:eastAsia="zh-CN"/>
        </w:rPr>
        <w:tab/>
      </w:r>
      <w:r>
        <w:rPr>
          <w:lang w:eastAsia="zh-CN"/>
        </w:rPr>
        <w:t>真：</w:t>
      </w:r>
    </w:p>
    <w:p>
      <w:pPr>
        <w:rPr>
          <w:rFonts w:ascii="宋体" w:hAnsi="宋体" w:eastAsia="宋体" w:cs="宋体"/>
          <w:sz w:val="24"/>
          <w:szCs w:val="24"/>
          <w:lang w:eastAsia="zh-CN"/>
        </w:rPr>
      </w:pPr>
    </w:p>
    <w:p>
      <w:pPr>
        <w:spacing w:before="10"/>
        <w:rPr>
          <w:rFonts w:ascii="宋体" w:hAnsi="宋体" w:eastAsia="宋体" w:cs="宋体"/>
          <w:sz w:val="16"/>
          <w:szCs w:val="16"/>
          <w:lang w:eastAsia="zh-CN"/>
        </w:rPr>
      </w:pPr>
    </w:p>
    <w:p>
      <w:pPr>
        <w:pStyle w:val="10"/>
        <w:tabs>
          <w:tab w:val="left" w:pos="1403"/>
          <w:tab w:val="left" w:pos="2003"/>
        </w:tabs>
        <w:spacing w:before="0"/>
        <w:ind w:left="804" w:right="233"/>
        <w:rPr>
          <w:lang w:eastAsia="zh-CN"/>
        </w:rPr>
      </w:pPr>
      <w:r>
        <w:rPr>
          <w:lang w:eastAsia="zh-CN"/>
        </w:rPr>
        <w:t>年</w:t>
      </w:r>
      <w:r>
        <w:rPr>
          <w:lang w:eastAsia="zh-CN"/>
        </w:rPr>
        <w:tab/>
      </w:r>
      <w:r>
        <w:rPr>
          <w:lang w:eastAsia="zh-CN"/>
        </w:rPr>
        <w:t>月</w:t>
      </w:r>
      <w:r>
        <w:rPr>
          <w:lang w:eastAsia="zh-CN"/>
        </w:rPr>
        <w:tab/>
      </w:r>
      <w:r>
        <w:rPr>
          <w:lang w:eastAsia="zh-CN"/>
        </w:rPr>
        <w:t>日</w:t>
      </w:r>
    </w:p>
    <w:p>
      <w:pPr>
        <w:rPr>
          <w:lang w:eastAsia="zh-CN"/>
        </w:rPr>
        <w:sectPr>
          <w:pgSz w:w="11910" w:h="16840"/>
          <w:pgMar w:top="1600" w:right="900" w:bottom="960" w:left="1020" w:header="0" w:footer="771" w:gutter="0"/>
          <w:cols w:space="720" w:num="1"/>
        </w:sectPr>
      </w:pPr>
    </w:p>
    <w:p>
      <w:pPr>
        <w:pStyle w:val="7"/>
        <w:spacing w:line="354" w:lineRule="exact"/>
        <w:ind w:right="233"/>
        <w:rPr>
          <w:b w:val="0"/>
          <w:bCs w:val="0"/>
          <w:lang w:eastAsia="zh-CN"/>
        </w:rPr>
      </w:pPr>
      <w:r>
        <w:rPr>
          <w:lang w:eastAsia="zh-CN"/>
        </w:rPr>
        <w:t>附件二：法定代表人授权委托书及身份证明文件</w:t>
      </w:r>
    </w:p>
    <w:p>
      <w:pPr>
        <w:rPr>
          <w:rFonts w:ascii="宋体" w:hAnsi="宋体" w:eastAsia="宋体" w:cs="宋体"/>
          <w:b/>
          <w:bCs/>
          <w:sz w:val="28"/>
          <w:szCs w:val="28"/>
          <w:lang w:eastAsia="zh-CN"/>
        </w:rPr>
      </w:pPr>
    </w:p>
    <w:p>
      <w:pPr>
        <w:spacing w:before="12"/>
        <w:rPr>
          <w:rFonts w:ascii="宋体" w:hAnsi="宋体" w:eastAsia="宋体" w:cs="宋体"/>
          <w:b/>
          <w:bCs/>
          <w:sz w:val="27"/>
          <w:szCs w:val="27"/>
          <w:lang w:eastAsia="zh-CN"/>
        </w:rPr>
      </w:pPr>
    </w:p>
    <w:p>
      <w:pPr>
        <w:pStyle w:val="10"/>
        <w:spacing w:before="0"/>
        <w:ind w:left="112" w:right="233"/>
        <w:rPr>
          <w:lang w:eastAsia="zh-CN"/>
        </w:rPr>
      </w:pPr>
      <w:r>
        <w:rPr>
          <w:u w:val="single" w:color="000000"/>
          <w:lang w:eastAsia="zh-CN"/>
        </w:rPr>
        <w:t>（采购人名称）：</w:t>
      </w:r>
    </w:p>
    <w:p>
      <w:pPr>
        <w:pStyle w:val="10"/>
        <w:tabs>
          <w:tab w:val="left" w:pos="3542"/>
          <w:tab w:val="left" w:pos="6743"/>
        </w:tabs>
        <w:spacing w:before="146" w:line="350" w:lineRule="auto"/>
        <w:ind w:left="112" w:right="152" w:firstLine="480"/>
        <w:rPr>
          <w:lang w:eastAsia="zh-CN"/>
        </w:rPr>
      </w:pPr>
      <w:r>
        <w:rPr>
          <w:u w:val="single" w:color="000000"/>
          <w:lang w:eastAsia="zh-CN"/>
        </w:rPr>
        <w:t>（供应商名称）</w:t>
      </w:r>
      <w:r>
        <w:rPr>
          <w:lang w:eastAsia="zh-CN"/>
        </w:rPr>
        <w:t>法定代表人授权我单位</w:t>
      </w:r>
      <w:r>
        <w:rPr>
          <w:u w:val="single" w:color="000000"/>
          <w:lang w:eastAsia="zh-CN"/>
        </w:rPr>
        <w:t>（职务或职称）（姓名）</w:t>
      </w:r>
      <w:r>
        <w:rPr>
          <w:lang w:eastAsia="zh-CN"/>
        </w:rPr>
        <w:t xml:space="preserve">为我单位本次磋商授权 </w:t>
      </w:r>
      <w:r>
        <w:rPr>
          <w:spacing w:val="-6"/>
          <w:lang w:eastAsia="zh-CN"/>
        </w:rPr>
        <w:t>代表，全权处理此次</w:t>
      </w:r>
      <w:r>
        <w:rPr>
          <w:rFonts w:ascii="Times New Roman" w:hAnsi="Times New Roman" w:eastAsia="Times New Roman" w:cs="Times New Roman"/>
          <w:spacing w:val="-6"/>
          <w:u w:val="single" w:color="000000"/>
          <w:lang w:eastAsia="zh-CN"/>
        </w:rPr>
        <w:tab/>
      </w:r>
      <w:r>
        <w:rPr>
          <w:spacing w:val="-7"/>
          <w:lang w:eastAsia="zh-CN"/>
        </w:rPr>
        <w:t>项目（项目编号</w:t>
      </w:r>
      <w:r>
        <w:rPr>
          <w:spacing w:val="-7"/>
          <w:u w:val="single" w:color="000000"/>
          <w:lang w:eastAsia="zh-CN"/>
        </w:rPr>
        <w:t>：</w:t>
      </w:r>
      <w:r>
        <w:rPr>
          <w:rFonts w:ascii="Times New Roman" w:hAnsi="Times New Roman" w:eastAsia="Times New Roman" w:cs="Times New Roman"/>
          <w:spacing w:val="-7"/>
          <w:u w:val="single" w:color="000000"/>
          <w:lang w:eastAsia="zh-CN"/>
        </w:rPr>
        <w:tab/>
      </w:r>
      <w:r>
        <w:rPr>
          <w:spacing w:val="-4"/>
          <w:lang w:eastAsia="zh-CN"/>
        </w:rPr>
        <w:t>）公开采购活动的一切事宜。</w:t>
      </w: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5"/>
          <w:szCs w:val="25"/>
          <w:lang w:eastAsia="zh-CN"/>
        </w:rPr>
      </w:pPr>
    </w:p>
    <w:p>
      <w:pPr>
        <w:pStyle w:val="10"/>
        <w:spacing w:before="0"/>
        <w:ind w:right="233"/>
      </w:pPr>
      <w:r>
        <w:t>特此授权。</w:t>
      </w:r>
    </w:p>
    <w:p>
      <w:pPr>
        <w:rPr>
          <w:rFonts w:ascii="宋体" w:hAnsi="宋体" w:eastAsia="宋体" w:cs="宋体"/>
          <w:sz w:val="20"/>
          <w:szCs w:val="20"/>
        </w:rPr>
      </w:pPr>
    </w:p>
    <w:p>
      <w:pPr>
        <w:spacing w:before="4"/>
        <w:rPr>
          <w:rFonts w:ascii="宋体" w:hAnsi="宋体" w:eastAsia="宋体" w:cs="宋体"/>
          <w:sz w:val="19"/>
          <w:szCs w:val="19"/>
        </w:rPr>
      </w:pPr>
    </w:p>
    <w:p>
      <w:pPr>
        <w:spacing w:line="5027" w:lineRule="exact"/>
        <w:ind w:left="284"/>
        <w:rPr>
          <w:rFonts w:ascii="宋体" w:hAnsi="宋体" w:eastAsia="宋体" w:cs="宋体"/>
          <w:sz w:val="20"/>
          <w:szCs w:val="20"/>
        </w:rPr>
      </w:pPr>
      <w:r>
        <w:rPr>
          <w:rFonts w:ascii="宋体" w:hAnsi="宋体" w:eastAsia="宋体" w:cs="宋体"/>
          <w:position w:val="-100"/>
          <w:sz w:val="20"/>
          <w:szCs w:val="20"/>
          <w:lang w:eastAsia="zh-CN"/>
        </w:rPr>
        <w:pict>
          <v:group id="Group 49" o:spid="_x0000_s1044" o:spt="203" style="height:251.4pt;width:469pt;" coordsize="9380,5028203">
            <o:lock v:ext="edit"/>
            <v:group id="Group 60" o:spid="_x0000_s1049" o:spt="203" style="position:absolute;left:5;top:10;height:2;width:9370;" coordorigin="5,10" coordsize="9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o:lock v:ext="edit"/>
              <v:shape id="Freeform 61" o:spid="_x0000_s1050" style="position:absolute;left:5;top:10;height:2;width:9370;" filled="f" coordsize="9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hsQA&#10;AADbAAAADwAAAGRycy9kb3ducmV2LnhtbESPQYvCMBSE78L+h/AWvIimK+JKNcoiih682BXE26N5&#10;29ZtXkoStf57Iwgeh5n5hpktWlOLKzlfWVbwNUhAEOdWV1woOPyu+xMQPiBrrC2Tgjt5WMw/OjNM&#10;tb3xnq5ZKESEsE9RQRlCk0rp85IM+oFtiKP3Z53BEKUrpHZ4i3BTy2GSjKXBiuNCiQ0tS8r/s4tR&#10;sAprd6hOm2x0xE1vd87uk3NvqVT3s/2ZggjUhnf41d5qBeNv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54bEAAAA2wAAAA8AAAAAAAAAAAAAAAAAmAIAAGRycy9k&#10;b3ducmV2LnhtbFBLBQYAAAAABAAEAPUAAACJAwAAAAA=&#10;" path="m0,0l9369,0e">
                <v:path arrowok="t" o:connecttype="custom" o:connectlocs="0,0;9369,0" o:connectangles="0,0"/>
                <v:fill on="f" focussize="0,0"/>
                <v:stroke weight="0.48pt"/>
                <v:imagedata o:title=""/>
                <o:lock v:ext="edit"/>
              </v:shape>
            </v:group>
            <v:group id="Group 58" o:spid="_x0000_s1047" o:spt="203" style="position:absolute;left:5;top:2478;height:2;width:9370;" coordorigin="5,2478" coordsize="9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o:lock v:ext="edit"/>
              <v:shape id="Freeform 59" o:spid="_x0000_s1048" style="position:absolute;left:5;top:2478;height:2;width:9370;" filled="f" coordsize="9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Wb8QA&#10;AADbAAAADwAAAGRycy9kb3ducmV2LnhtbESPQYvCMBSE78L+h/AWvMiaroi41SiLKHrwYldYvD2a&#10;Z1ttXkoStf57Iwgeh5n5hpnOW1OLKzlfWVbw3U9AEOdWV1wo2P+tvsYgfEDWWFsmBXfyMJ99dKaY&#10;anvjHV2zUIgIYZ+igjKEJpXS5yUZ9H3bEEfvaJ3BEKUrpHZ4i3BTy0GSjKTBiuNCiQ0tSsrP2cUo&#10;WIaV21eHdTb8x3Vve8ru41NvoVT3s/2dgAjUhnf41d5oBaMfeH6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s1m/EAAAA2wAAAA8AAAAAAAAAAAAAAAAAmAIAAGRycy9k&#10;b3ducmV2LnhtbFBLBQYAAAAABAAEAPUAAACJAwAAAAA=&#10;" path="m0,0l9369,0e">
                <v:path arrowok="t" o:connecttype="custom" o:connectlocs="0,0;9369,0" o:connectangles="0,0"/>
                <v:fill on="f" focussize="0,0"/>
                <v:stroke weight="0.48pt"/>
                <v:imagedata o:title=""/>
                <o:lock v:ext="edit"/>
              </v:shape>
            </v:group>
            <v:group id="Group 56" o:spid="_x0000_s1045" o:spt="203" style="position:absolute;left:5;top:5023;height:2;width:9370;" coordorigin="5,5023" coordsize="9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o:lock v:ext="edit"/>
              <v:shape id="Freeform 57" o:spid="_x0000_s1046" style="position:absolute;left:5;top:5023;height:2;width:9370;" filled="f" coordsize="9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NMtMYA&#10;AADbAAAADwAAAGRycy9kb3ducmV2LnhtbESPQWvCQBSE7wX/w/KEXkQ3llJD6ipFGuyhl8aA9PbI&#10;PpNo9m3Y3Zr477uFgsdhZr5h1tvRdOJKzreWFSwXCQjiyuqWawXlIZ+nIHxA1thZJgU38rDdTB7W&#10;mGk78Bddi1CLCGGfoYImhD6T0lcNGfQL2xNH72SdwRClq6V2OES46eRTkrxIgy3HhQZ72jVUXYof&#10;o+A95K5sv/fF8xH3s89zcUvPs51Sj9Px7RVEoDHcw//tD61gtYS/L/E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NMtMYAAADbAAAADwAAAAAAAAAAAAAAAACYAgAAZHJz&#10;L2Rvd25yZXYueG1sUEsFBgAAAAAEAAQA9QAAAIsDAAAAAA==&#10;" path="m0,0l9369,0e">
                <v:path arrowok="t" o:connecttype="custom" o:connectlocs="0,0;9369,0" o:connectangles="0,0"/>
                <v:fill on="f" focussize="0,0"/>
                <v:stroke weight="0.48pt"/>
                <v:imagedata o:title=""/>
                <o:lock v:ext="edit"/>
              </v:shape>
            </v:group>
            <v:group id="Group 54" o:spid="_x0000_s1035" o:spt="203" style="position:absolute;left:10;top:5;height:5013;width:2;" coordorigin="10,5" coordsize="2,5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o:lock v:ext="edit"/>
              <v:shape id="Freeform 55" o:spid="_x0000_s1036" style="position:absolute;left:10;top:5;height:5013;width:2;" filled="f" coordsize="2,5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scQA&#10;AADbAAAADwAAAGRycy9kb3ducmV2LnhtbESPT4vCMBTE78J+h/AW9qbpWvxDNcqiFvTgQV1YvD2a&#10;Z1tsXkoTbffbG0HwOMzMb5j5sjOVuFPjSssKvgcRCOLM6pJzBb+ntD8F4TyyxsoyKfgnB8vFR2+O&#10;ibYtH+h+9LkIEHYJKii8rxMpXVaQQTewNXHwLrYx6INscqkbbAPcVHIYRWNpsOSwUGBNq4Ky6/Fm&#10;FKSn8wi3+1i37fR2oV18Xf+lG6W+PrufGQhPnX+HX+2tVjCJ4f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yHrHEAAAA2wAAAA8AAAAAAAAAAAAAAAAAmAIAAGRycy9k&#10;b3ducmV2LnhtbFBLBQYAAAAABAAEAPUAAACJAwAAAAA=&#10;" path="m0,0l0,5013e">
                <v:path arrowok="t" o:connecttype="custom" o:connectlocs="0,5;0,5018" o:connectangles="0,0"/>
                <v:fill on="f" focussize="0,0"/>
                <v:stroke weight="0.48pt"/>
                <v:imagedata o:title=""/>
                <o:lock v:ext="edit"/>
              </v:shape>
            </v:group>
            <v:group id="Group 50" o:spid="_x0000_s1037" o:spt="203" style="position:absolute;left:9370;top:5;height:5013;width:2;" coordorigin="9370,5" coordsize="2,5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o:lock v:ext="edit"/>
              <v:shape id="Freeform 53" o:spid="_x0000_s1038" style="position:absolute;left:9370;top:5;height:5013;width:2;" filled="f" coordsize="2,5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jXsQA&#10;AADbAAAADwAAAGRycy9kb3ducmV2LnhtbESPS4vCQBCE74L/YWjBm05c8UF0FHENuIc9+ADx1mTa&#10;JJjpCZnRxH/vLCx4LKrqK2q5bk0pnlS7wrKC0TACQZxaXXCm4HxKBnMQziNrLC2Tghc5WK+6nSXG&#10;2jZ8oOfRZyJA2MWoIPe+iqV0aU4G3dBWxMG72dqgD7LOpK6xCXBTyq8omkqDBYeFHCva5pTejw+j&#10;IDldJ7j/HeummT9u9DO+f1+SnVL9XrtZgPDU+k/4v73XCmYT+PsSfoB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XI17EAAAA2wAAAA8AAAAAAAAAAAAAAAAAmAIAAGRycy9k&#10;b3ducmV2LnhtbFBLBQYAAAAABAAEAPUAAACJAwAAAAA=&#10;" path="m0,0l0,5013e">
                <v:path arrowok="t" o:connecttype="custom" o:connectlocs="0,5;0,5018" o:connectangles="0,0"/>
                <v:fill on="f" focussize="0,0"/>
                <v:stroke weight="0.48pt"/>
                <v:imagedata o:title=""/>
                <o:lock v:ext="edit"/>
              </v:shape>
              <v:shape id="Text Box 52" o:spid="_x0000_s1039" o:spt="202" type="#_x0000_t202" style="position:absolute;left:116;top:671;height:240;width:360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v:path/>
                <v:fill on="f" focussize="0,0"/>
                <v:stroke on="f" joinstyle="miter"/>
                <v:imagedata o:title=""/>
                <o:lock v:ext="edit"/>
                <v:textbox inset="0mm,0mm,0mm,0mm">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（附法定代表人身份证明复印件）</w:t>
                      </w:r>
                    </w:p>
                  </w:txbxContent>
                </v:textbox>
              </v:shape>
              <v:shape id="Text Box 51" o:spid="_x0000_s1040" o:spt="202" type="#_x0000_t202" style="position:absolute;left:116;top:2517;height:240;width:33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v:path/>
                <v:fill on="f" focussize="0,0"/>
                <v:stroke on="f" joinstyle="miter"/>
                <v:imagedata o:title=""/>
                <o:lock v:ext="edit"/>
                <v:textbox inset="0mm,0mm,0mm,0mm">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（附授权代表身份证明复印件）</w:t>
                      </w:r>
                    </w:p>
                  </w:txbxContent>
                </v:textbox>
              </v:shape>
            </v:group>
            <w10:wrap type="none"/>
            <w10:anchorlock/>
          </v:group>
        </w:pict>
      </w:r>
    </w:p>
    <w:p>
      <w:pPr>
        <w:rPr>
          <w:rFonts w:ascii="宋体" w:hAnsi="宋体" w:eastAsia="宋体" w:cs="宋体"/>
          <w:sz w:val="20"/>
          <w:szCs w:val="20"/>
        </w:rPr>
      </w:pPr>
    </w:p>
    <w:p>
      <w:pPr>
        <w:rPr>
          <w:rFonts w:ascii="宋体" w:hAnsi="宋体" w:eastAsia="宋体" w:cs="宋体"/>
          <w:sz w:val="20"/>
          <w:szCs w:val="20"/>
        </w:rPr>
      </w:pPr>
    </w:p>
    <w:p>
      <w:pPr>
        <w:spacing w:before="11"/>
        <w:rPr>
          <w:rFonts w:ascii="宋体" w:hAnsi="宋体" w:eastAsia="宋体" w:cs="宋体"/>
          <w:sz w:val="26"/>
          <w:szCs w:val="26"/>
        </w:rPr>
      </w:pPr>
    </w:p>
    <w:p>
      <w:pPr>
        <w:pStyle w:val="10"/>
        <w:spacing w:before="26" w:line="304" w:lineRule="auto"/>
        <w:ind w:right="5072"/>
        <w:rPr>
          <w:lang w:eastAsia="zh-CN"/>
        </w:rPr>
      </w:pPr>
      <w:r>
        <w:rPr>
          <w:lang w:eastAsia="zh-CN"/>
        </w:rPr>
        <w:t>供应商单位名称（公章）： 法定代表人（签字或盖章）： 授权代表（签字）：</w:t>
      </w:r>
    </w:p>
    <w:p>
      <w:pPr>
        <w:pStyle w:val="8"/>
        <w:spacing w:before="70" w:line="352" w:lineRule="auto"/>
        <w:ind w:left="112" w:right="111" w:firstLine="480"/>
        <w:rPr>
          <w:b w:val="0"/>
          <w:bCs w:val="0"/>
          <w:lang w:eastAsia="zh-CN"/>
        </w:rPr>
      </w:pPr>
      <w:r>
        <w:rPr>
          <w:lang w:eastAsia="zh-CN"/>
        </w:rPr>
        <w:t>备注：本授权必须由法定代表人本人签字或盖章、授权代表本人签字，并加盖供应商公</w:t>
      </w:r>
      <w:r>
        <w:rPr>
          <w:w w:val="99"/>
          <w:lang w:eastAsia="zh-CN"/>
        </w:rPr>
        <w:t xml:space="preserve"> </w:t>
      </w:r>
      <w:r>
        <w:rPr>
          <w:lang w:eastAsia="zh-CN"/>
        </w:rPr>
        <w:t>章，否则视为无效授权，其响应文件按无效响应处理。</w:t>
      </w:r>
    </w:p>
    <w:p>
      <w:pPr>
        <w:rPr>
          <w:rFonts w:ascii="宋体" w:hAnsi="宋体" w:eastAsia="宋体" w:cs="宋体"/>
          <w:b/>
          <w:bCs/>
          <w:sz w:val="24"/>
          <w:szCs w:val="24"/>
          <w:lang w:eastAsia="zh-CN"/>
        </w:rPr>
      </w:pPr>
    </w:p>
    <w:p>
      <w:pPr>
        <w:pStyle w:val="10"/>
        <w:tabs>
          <w:tab w:val="left" w:pos="719"/>
          <w:tab w:val="left" w:pos="1439"/>
        </w:tabs>
        <w:spacing w:before="178"/>
        <w:ind w:left="0" w:right="231"/>
        <w:jc w:val="right"/>
        <w:rPr>
          <w:lang w:eastAsia="zh-CN"/>
        </w:rPr>
      </w:pPr>
      <w:r>
        <w:rPr>
          <w:lang w:eastAsia="zh-CN"/>
        </w:rPr>
        <w:t>年</w:t>
      </w:r>
      <w:r>
        <w:rPr>
          <w:lang w:eastAsia="zh-CN"/>
        </w:rPr>
        <w:tab/>
      </w:r>
      <w:r>
        <w:rPr>
          <w:lang w:eastAsia="zh-CN"/>
        </w:rPr>
        <w:t>月</w:t>
      </w:r>
      <w:r>
        <w:rPr>
          <w:lang w:eastAsia="zh-CN"/>
        </w:rPr>
        <w:tab/>
      </w:r>
      <w:r>
        <w:rPr>
          <w:lang w:eastAsia="zh-CN"/>
        </w:rPr>
        <w:t>日</w:t>
      </w:r>
    </w:p>
    <w:p>
      <w:pPr>
        <w:jc w:val="right"/>
        <w:rPr>
          <w:lang w:eastAsia="zh-CN"/>
        </w:rPr>
        <w:sectPr>
          <w:footerReference r:id="rId9" w:type="default"/>
          <w:pgSz w:w="11910" w:h="16840"/>
          <w:pgMar w:top="1220" w:right="900" w:bottom="960" w:left="1020" w:header="0" w:footer="771" w:gutter="0"/>
          <w:pgNumType w:start="40"/>
          <w:cols w:space="720" w:num="1"/>
        </w:sectPr>
      </w:pPr>
    </w:p>
    <w:p>
      <w:pPr>
        <w:pStyle w:val="7"/>
        <w:spacing w:line="354" w:lineRule="exact"/>
        <w:ind w:left="132"/>
        <w:rPr>
          <w:b w:val="0"/>
          <w:bCs w:val="0"/>
          <w:lang w:eastAsia="zh-CN"/>
        </w:rPr>
      </w:pPr>
      <w:bookmarkStart w:id="101" w:name="附件三:_报价一览表"/>
      <w:bookmarkEnd w:id="101"/>
      <w:r>
        <w:rPr>
          <w:lang w:eastAsia="zh-CN"/>
        </w:rPr>
        <w:t>附件三:</w:t>
      </w:r>
      <w:r>
        <w:rPr>
          <w:spacing w:val="-43"/>
          <w:lang w:eastAsia="zh-CN"/>
        </w:rPr>
        <w:t xml:space="preserve"> </w:t>
      </w:r>
      <w:r>
        <w:rPr>
          <w:lang w:eastAsia="zh-CN"/>
        </w:rPr>
        <w:t>报价一览表</w:t>
      </w:r>
    </w:p>
    <w:p>
      <w:pPr>
        <w:spacing w:before="3"/>
        <w:rPr>
          <w:rFonts w:ascii="宋体" w:hAnsi="宋体" w:eastAsia="宋体" w:cs="宋体"/>
          <w:b/>
          <w:bCs/>
          <w:sz w:val="37"/>
          <w:szCs w:val="37"/>
          <w:lang w:eastAsia="zh-CN"/>
        </w:rPr>
      </w:pPr>
      <w:r>
        <w:rPr>
          <w:lang w:eastAsia="zh-CN"/>
        </w:rPr>
        <w:br w:type="column"/>
      </w:r>
    </w:p>
    <w:p>
      <w:pPr>
        <w:pStyle w:val="7"/>
        <w:ind w:left="132"/>
        <w:rPr>
          <w:b w:val="0"/>
          <w:bCs w:val="0"/>
          <w:lang w:eastAsia="zh-CN"/>
        </w:rPr>
      </w:pPr>
      <w:bookmarkStart w:id="102" w:name="报价一览表"/>
      <w:bookmarkEnd w:id="102"/>
      <w:r>
        <w:rPr>
          <w:lang w:eastAsia="zh-CN"/>
        </w:rPr>
        <w:t>报价一览表</w:t>
      </w:r>
    </w:p>
    <w:p>
      <w:pPr>
        <w:rPr>
          <w:lang w:eastAsia="zh-CN"/>
        </w:rPr>
        <w:sectPr>
          <w:pgSz w:w="11910" w:h="16840"/>
          <w:pgMar w:top="1220" w:right="980" w:bottom="960" w:left="1000" w:header="0" w:footer="771" w:gutter="0"/>
          <w:cols w:equalWidth="0" w:num="2">
            <w:col w:w="2627" w:space="1491"/>
            <w:col w:w="5812"/>
          </w:cols>
        </w:sectPr>
      </w:pPr>
    </w:p>
    <w:p>
      <w:pPr>
        <w:rPr>
          <w:rFonts w:ascii="宋体" w:hAnsi="宋体" w:eastAsia="宋体" w:cs="宋体"/>
          <w:b/>
          <w:bCs/>
          <w:sz w:val="20"/>
          <w:szCs w:val="20"/>
          <w:lang w:eastAsia="zh-CN"/>
        </w:rPr>
      </w:pPr>
    </w:p>
    <w:p>
      <w:pPr>
        <w:spacing w:line="480" w:lineRule="exact"/>
        <w:jc w:val="both"/>
        <w:rPr>
          <w:rFonts w:ascii="宋体" w:hAnsi="宋体" w:eastAsia="宋体" w:cs="Times New Roman"/>
          <w:kern w:val="2"/>
          <w:sz w:val="24"/>
          <w:szCs w:val="24"/>
          <w:lang w:eastAsia="zh-CN"/>
        </w:rPr>
      </w:pPr>
    </w:p>
    <w:p>
      <w:pPr>
        <w:spacing w:line="480" w:lineRule="exact"/>
        <w:ind w:firstLine="960" w:firstLineChars="4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                                                   单  位：元人民币</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2849" w:type="dxa"/>
            <w:vAlign w:val="center"/>
          </w:tcPr>
          <w:p>
            <w:pPr>
              <w:spacing w:line="480" w:lineRule="exact"/>
              <w:jc w:val="center"/>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项目名称</w:t>
            </w:r>
          </w:p>
        </w:tc>
        <w:tc>
          <w:tcPr>
            <w:tcW w:w="6438" w:type="dxa"/>
            <w:vAlign w:val="center"/>
          </w:tcPr>
          <w:p>
            <w:pPr>
              <w:spacing w:line="480" w:lineRule="exact"/>
              <w:jc w:val="both"/>
              <w:rPr>
                <w:rFonts w:ascii="宋体" w:hAnsi="宋体" w:eastAsia="宋体" w:cs="Times New Roman"/>
                <w:bCs/>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2849" w:type="dxa"/>
            <w:vAlign w:val="center"/>
          </w:tcPr>
          <w:p>
            <w:pPr>
              <w:spacing w:line="480" w:lineRule="exact"/>
              <w:jc w:val="center"/>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供应商名称</w:t>
            </w:r>
          </w:p>
        </w:tc>
        <w:tc>
          <w:tcPr>
            <w:tcW w:w="6438" w:type="dxa"/>
            <w:vAlign w:val="center"/>
          </w:tcPr>
          <w:p>
            <w:pPr>
              <w:spacing w:line="480" w:lineRule="exact"/>
              <w:jc w:val="both"/>
              <w:rPr>
                <w:rFonts w:ascii="宋体" w:hAnsi="宋体" w:eastAsia="宋体" w:cs="Times New Roman"/>
                <w:bCs/>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2849" w:type="dxa"/>
            <w:vAlign w:val="center"/>
          </w:tcPr>
          <w:p>
            <w:pPr>
              <w:spacing w:line="480" w:lineRule="exact"/>
              <w:jc w:val="center"/>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总报价</w:t>
            </w:r>
          </w:p>
        </w:tc>
        <w:tc>
          <w:tcPr>
            <w:tcW w:w="6438" w:type="dxa"/>
            <w:vAlign w:val="center"/>
          </w:tcPr>
          <w:p>
            <w:pPr>
              <w:spacing w:line="48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总报价：</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 xml:space="preserve"> 元,大写：</w:t>
            </w:r>
            <w:r>
              <w:rPr>
                <w:rFonts w:hint="eastAsia" w:ascii="宋体" w:hAnsi="宋体" w:eastAsia="宋体" w:cs="Times New Roman"/>
                <w:kern w:val="2"/>
                <w:sz w:val="24"/>
                <w:szCs w:val="24"/>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2849" w:type="dxa"/>
            <w:vAlign w:val="center"/>
          </w:tcPr>
          <w:p>
            <w:pPr>
              <w:spacing w:line="480" w:lineRule="exact"/>
              <w:jc w:val="center"/>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工期</w:t>
            </w:r>
          </w:p>
        </w:tc>
        <w:tc>
          <w:tcPr>
            <w:tcW w:w="6438" w:type="dxa"/>
            <w:vAlign w:val="center"/>
          </w:tcPr>
          <w:p>
            <w:pPr>
              <w:spacing w:line="480" w:lineRule="exact"/>
              <w:jc w:val="both"/>
              <w:rPr>
                <w:rFonts w:ascii="宋体" w:hAnsi="宋体" w:eastAsia="宋体" w:cs="Times New Roman"/>
                <w:bCs/>
                <w:kern w:val="2"/>
                <w:sz w:val="24"/>
                <w:szCs w:val="24"/>
                <w:lang w:eastAsia="zh-CN"/>
              </w:rPr>
            </w:pP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2849" w:type="dxa"/>
            <w:vAlign w:val="center"/>
          </w:tcPr>
          <w:p>
            <w:pPr>
              <w:spacing w:line="48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质保期</w:t>
            </w:r>
          </w:p>
        </w:tc>
        <w:tc>
          <w:tcPr>
            <w:tcW w:w="6438" w:type="dxa"/>
            <w:vAlign w:val="center"/>
          </w:tcPr>
          <w:p>
            <w:pPr>
              <w:spacing w:line="480" w:lineRule="exact"/>
              <w:jc w:val="both"/>
              <w:rPr>
                <w:rFonts w:ascii="宋体" w:hAnsi="宋体" w:eastAsia="宋体"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5" w:hRule="atLeast"/>
        </w:trPr>
        <w:tc>
          <w:tcPr>
            <w:tcW w:w="2849" w:type="dxa"/>
            <w:vAlign w:val="center"/>
          </w:tcPr>
          <w:p>
            <w:pPr>
              <w:spacing w:line="480" w:lineRule="exact"/>
              <w:jc w:val="center"/>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供应商对竞争性磋商文件的认同情况</w:t>
            </w:r>
          </w:p>
        </w:tc>
        <w:tc>
          <w:tcPr>
            <w:tcW w:w="6438" w:type="dxa"/>
            <w:vAlign w:val="center"/>
          </w:tcPr>
          <w:p>
            <w:pPr>
              <w:spacing w:line="480" w:lineRule="exact"/>
              <w:jc w:val="both"/>
              <w:rPr>
                <w:rFonts w:ascii="宋体" w:hAnsi="宋体" w:eastAsia="宋体" w:cs="Times New Roman"/>
                <w:bCs/>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2849" w:type="dxa"/>
            <w:vAlign w:val="center"/>
          </w:tcPr>
          <w:p>
            <w:pPr>
              <w:spacing w:line="480" w:lineRule="exact"/>
              <w:jc w:val="center"/>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备   注</w:t>
            </w:r>
          </w:p>
        </w:tc>
        <w:tc>
          <w:tcPr>
            <w:tcW w:w="6438" w:type="dxa"/>
            <w:vAlign w:val="center"/>
          </w:tcPr>
          <w:p>
            <w:pPr>
              <w:spacing w:line="480" w:lineRule="exact"/>
              <w:jc w:val="both"/>
              <w:rPr>
                <w:rFonts w:ascii="宋体" w:hAnsi="宋体" w:eastAsia="宋体" w:cs="Times New Roman"/>
                <w:bCs/>
                <w:kern w:val="2"/>
                <w:sz w:val="24"/>
                <w:szCs w:val="24"/>
                <w:lang w:eastAsia="zh-CN"/>
              </w:rPr>
            </w:pPr>
          </w:p>
        </w:tc>
      </w:tr>
    </w:tbl>
    <w:p>
      <w:pPr>
        <w:widowControl/>
        <w:spacing w:before="240" w:line="480" w:lineRule="exact"/>
        <w:rPr>
          <w:rFonts w:ascii="宋体" w:hAnsi="宋体" w:eastAsia="宋体" w:cs="Times New Roman"/>
          <w:spacing w:val="6"/>
          <w:kern w:val="2"/>
          <w:sz w:val="24"/>
          <w:szCs w:val="24"/>
          <w:lang w:eastAsia="zh-CN"/>
        </w:rPr>
      </w:pPr>
      <w:r>
        <w:rPr>
          <w:rFonts w:hint="eastAsia" w:ascii="宋体" w:hAnsi="宋体" w:eastAsia="宋体" w:cs="Times New Roman"/>
          <w:spacing w:val="6"/>
          <w:kern w:val="2"/>
          <w:sz w:val="24"/>
          <w:szCs w:val="24"/>
          <w:lang w:eastAsia="zh-CN"/>
        </w:rPr>
        <w:t>供应商名称（盖章）：               授权代表（签字或盖章）：</w:t>
      </w:r>
    </w:p>
    <w:p>
      <w:pPr>
        <w:widowControl/>
        <w:spacing w:before="240" w:line="480" w:lineRule="exact"/>
        <w:ind w:right="94" w:firstLine="7182" w:firstLineChars="2850"/>
        <w:rPr>
          <w:rFonts w:ascii="宋体" w:hAnsi="宋体" w:eastAsia="宋体" w:cs="Times New Roman"/>
          <w:spacing w:val="6"/>
          <w:kern w:val="2"/>
          <w:sz w:val="24"/>
          <w:szCs w:val="24"/>
          <w:lang w:eastAsia="zh-CN"/>
        </w:rPr>
      </w:pPr>
      <w:r>
        <w:rPr>
          <w:rFonts w:hint="eastAsia" w:ascii="宋体" w:hAnsi="宋体" w:eastAsia="宋体" w:cs="Times New Roman"/>
          <w:spacing w:val="6"/>
          <w:kern w:val="2"/>
          <w:sz w:val="24"/>
          <w:szCs w:val="24"/>
          <w:lang w:eastAsia="zh-CN"/>
        </w:rPr>
        <w:t xml:space="preserve">年   月   日 </w:t>
      </w:r>
    </w:p>
    <w:p>
      <w:pPr>
        <w:rPr>
          <w:rFonts w:ascii="宋体" w:hAnsi="宋体" w:eastAsia="宋体" w:cs="宋体"/>
          <w:b/>
          <w:bCs/>
          <w:sz w:val="20"/>
          <w:szCs w:val="20"/>
          <w:lang w:eastAsia="zh-CN"/>
        </w:rPr>
      </w:pPr>
      <w:r>
        <w:rPr>
          <w:rFonts w:hint="eastAsia" w:ascii="宋体" w:hAnsi="宋体" w:eastAsia="宋体" w:cs="Times New Roman"/>
          <w:kern w:val="2"/>
          <w:sz w:val="24"/>
          <w:szCs w:val="24"/>
          <w:lang w:eastAsia="zh-CN"/>
        </w:rPr>
        <w:t>说明：</w:t>
      </w:r>
      <w:r>
        <w:rPr>
          <w:rFonts w:hint="eastAsia" w:ascii="Times New Roman" w:hAnsi="Times New Roman" w:eastAsia="宋体" w:cs="Times New Roman"/>
          <w:kern w:val="2"/>
          <w:sz w:val="24"/>
          <w:szCs w:val="24"/>
          <w:lang w:eastAsia="zh-CN"/>
        </w:rPr>
        <w:t>本报价内容一览表除与竞争性磋商响应文件装订在一起外，应单独密封两份用于唱标，各项内容务必填写详细，可以填满，但不允许添加附页</w:t>
      </w:r>
    </w:p>
    <w:p>
      <w:pPr>
        <w:spacing w:line="304" w:lineRule="auto"/>
        <w:rPr>
          <w:lang w:eastAsia="zh-CN"/>
        </w:rPr>
        <w:sectPr>
          <w:type w:val="continuous"/>
          <w:pgSz w:w="11910" w:h="16840"/>
          <w:pgMar w:top="1580" w:right="980" w:bottom="280" w:left="1000" w:header="720" w:footer="720" w:gutter="0"/>
          <w:cols w:space="720" w:num="1"/>
        </w:sectPr>
      </w:pPr>
    </w:p>
    <w:p>
      <w:pPr>
        <w:pStyle w:val="7"/>
        <w:spacing w:line="354" w:lineRule="exact"/>
        <w:rPr>
          <w:b w:val="0"/>
          <w:bCs w:val="0"/>
          <w:lang w:eastAsia="zh-CN"/>
        </w:rPr>
      </w:pPr>
      <w:bookmarkStart w:id="103" w:name="附件四:_"/>
      <w:bookmarkEnd w:id="103"/>
      <w:r>
        <w:rPr>
          <w:lang w:eastAsia="zh-CN"/>
        </w:rPr>
        <w:t>附件四:</w:t>
      </w:r>
    </w:p>
    <w:p>
      <w:pPr>
        <w:pStyle w:val="10"/>
        <w:spacing w:before="0" w:line="312" w:lineRule="exact"/>
        <w:ind w:left="112"/>
        <w:rPr>
          <w:lang w:eastAsia="zh-CN"/>
        </w:rPr>
      </w:pPr>
      <w:r>
        <w:rPr>
          <w:lang w:eastAsia="zh-CN"/>
        </w:rPr>
        <w:t>项目名称：项目编号：</w:t>
      </w:r>
    </w:p>
    <w:p>
      <w:pPr>
        <w:spacing w:before="1"/>
        <w:rPr>
          <w:rFonts w:ascii="宋体" w:hAnsi="宋体" w:eastAsia="宋体" w:cs="宋体"/>
          <w:sz w:val="28"/>
          <w:szCs w:val="28"/>
          <w:lang w:eastAsia="zh-CN"/>
        </w:rPr>
      </w:pPr>
      <w:r>
        <w:rPr>
          <w:lang w:eastAsia="zh-CN"/>
        </w:rPr>
        <w:br w:type="column"/>
      </w:r>
    </w:p>
    <w:p>
      <w:pPr>
        <w:ind w:left="112"/>
        <w:rPr>
          <w:rFonts w:ascii="宋体" w:hAnsi="宋体" w:eastAsia="宋体" w:cs="宋体"/>
          <w:sz w:val="30"/>
          <w:szCs w:val="30"/>
        </w:rPr>
      </w:pPr>
      <w:r>
        <w:rPr>
          <w:rFonts w:ascii="宋体" w:hAnsi="宋体" w:eastAsia="宋体" w:cs="宋体"/>
          <w:b/>
          <w:bCs/>
          <w:sz w:val="30"/>
          <w:szCs w:val="30"/>
        </w:rPr>
        <w:t>分项价格表</w:t>
      </w:r>
    </w:p>
    <w:p>
      <w:pPr>
        <w:rPr>
          <w:rFonts w:ascii="宋体" w:hAnsi="宋体" w:eastAsia="宋体" w:cs="宋体"/>
          <w:sz w:val="30"/>
          <w:szCs w:val="30"/>
          <w:lang w:eastAsia="zh-CN"/>
        </w:rPr>
        <w:sectPr>
          <w:pgSz w:w="11910" w:h="16840"/>
          <w:pgMar w:top="1220" w:right="1240" w:bottom="960" w:left="1020" w:header="0" w:footer="771" w:gutter="0"/>
          <w:cols w:equalWidth="0" w:num="2">
            <w:col w:w="1313" w:space="2755"/>
            <w:col w:w="5582"/>
          </w:cols>
        </w:sectPr>
      </w:pPr>
    </w:p>
    <w:tbl>
      <w:tblPr>
        <w:tblStyle w:val="16"/>
        <w:tblW w:w="10920" w:type="dxa"/>
        <w:tblInd w:w="-525" w:type="dxa"/>
        <w:tblLayout w:type="fixed"/>
        <w:tblCellMar>
          <w:top w:w="0" w:type="dxa"/>
          <w:left w:w="108" w:type="dxa"/>
          <w:bottom w:w="0" w:type="dxa"/>
          <w:right w:w="108" w:type="dxa"/>
        </w:tblCellMar>
      </w:tblPr>
      <w:tblGrid>
        <w:gridCol w:w="1400"/>
        <w:gridCol w:w="1820"/>
        <w:gridCol w:w="3434"/>
        <w:gridCol w:w="1101"/>
        <w:gridCol w:w="892"/>
        <w:gridCol w:w="893"/>
        <w:gridCol w:w="1380"/>
      </w:tblGrid>
      <w:tr>
        <w:tblPrEx>
          <w:tblLayout w:type="fixed"/>
          <w:tblCellMar>
            <w:top w:w="0" w:type="dxa"/>
            <w:left w:w="108" w:type="dxa"/>
            <w:bottom w:w="0" w:type="dxa"/>
            <w:right w:w="108" w:type="dxa"/>
          </w:tblCellMar>
        </w:tblPrEx>
        <w:trPr>
          <w:trHeight w:val="375" w:hRule="atLeast"/>
        </w:trPr>
        <w:tc>
          <w:tcPr>
            <w:tcW w:w="1092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lang w:eastAsia="zh-CN"/>
              </w:rPr>
            </w:pPr>
            <w:r>
              <w:rPr>
                <w:rFonts w:hint="eastAsia" w:ascii="宋体" w:hAnsi="宋体" w:cs="宋体"/>
                <w:lang w:eastAsia="zh-CN"/>
              </w:rPr>
              <w:t xml:space="preserve">　                                  </w:t>
            </w:r>
            <w:r>
              <w:rPr>
                <w:rFonts w:hint="eastAsia" w:ascii="宋体" w:hAnsi="宋体" w:cs="宋体"/>
                <w:sz w:val="28"/>
                <w:szCs w:val="28"/>
                <w:lang w:eastAsia="zh-CN"/>
              </w:rPr>
              <w:t>亚克力发光字综合报价</w:t>
            </w:r>
          </w:p>
        </w:tc>
      </w:tr>
      <w:tr>
        <w:tblPrEx>
          <w:tblLayout w:type="fixed"/>
          <w:tblCellMar>
            <w:top w:w="0" w:type="dxa"/>
            <w:left w:w="108" w:type="dxa"/>
            <w:bottom w:w="0" w:type="dxa"/>
            <w:right w:w="108" w:type="dxa"/>
          </w:tblCellMar>
        </w:tblPrEx>
        <w:trPr>
          <w:trHeight w:val="34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lang w:eastAsia="zh-CN"/>
              </w:rPr>
              <w:t xml:space="preserve">　  </w:t>
            </w:r>
            <w:r>
              <w:rPr>
                <w:rFonts w:hint="eastAsia" w:ascii="宋体" w:hAnsi="宋体" w:cs="宋体"/>
              </w:rPr>
              <w:t>1</w:t>
            </w:r>
          </w:p>
        </w:tc>
        <w:tc>
          <w:tcPr>
            <w:tcW w:w="9520" w:type="dxa"/>
            <w:gridSpan w:val="6"/>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lang w:eastAsia="zh-CN"/>
              </w:rPr>
            </w:pPr>
            <w:r>
              <w:rPr>
                <w:rFonts w:hint="eastAsia" w:ascii="宋体" w:hAnsi="宋体" w:cs="宋体"/>
                <w:lang w:eastAsia="zh-CN"/>
              </w:rPr>
              <w:t>亚克力发光字：山东大学第二医院4米*4米*8个字*2套=256平方</w:t>
            </w:r>
          </w:p>
        </w:tc>
      </w:tr>
      <w:tr>
        <w:tblPrEx>
          <w:tblLayout w:type="fixed"/>
          <w:tblCellMar>
            <w:top w:w="0" w:type="dxa"/>
            <w:left w:w="108" w:type="dxa"/>
            <w:bottom w:w="0" w:type="dxa"/>
            <w:right w:w="108" w:type="dxa"/>
          </w:tblCellMar>
        </w:tblPrEx>
        <w:trPr>
          <w:trHeight w:val="34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lang w:eastAsia="zh-CN"/>
              </w:rPr>
              <w:t xml:space="preserve">　  </w:t>
            </w:r>
            <w:r>
              <w:rPr>
                <w:rFonts w:hint="eastAsia" w:ascii="宋体" w:hAnsi="宋体" w:cs="宋体"/>
              </w:rPr>
              <w:t>2</w:t>
            </w:r>
          </w:p>
        </w:tc>
        <w:tc>
          <w:tcPr>
            <w:tcW w:w="9520" w:type="dxa"/>
            <w:gridSpan w:val="6"/>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lang w:eastAsia="zh-CN"/>
              </w:rPr>
            </w:pPr>
            <w:r>
              <w:rPr>
                <w:rFonts w:hint="eastAsia" w:ascii="宋体" w:hAnsi="宋体" w:cs="宋体"/>
                <w:lang w:eastAsia="zh-CN"/>
              </w:rPr>
              <w:t>亚克力发光字：医院标识加山大二院4米*4米*5个=80平方</w:t>
            </w:r>
          </w:p>
        </w:tc>
      </w:tr>
      <w:tr>
        <w:tblPrEx>
          <w:tblLayout w:type="fixed"/>
          <w:tblCellMar>
            <w:top w:w="0" w:type="dxa"/>
            <w:left w:w="108" w:type="dxa"/>
            <w:bottom w:w="0" w:type="dxa"/>
            <w:right w:w="108" w:type="dxa"/>
          </w:tblCellMar>
        </w:tblPrEx>
        <w:trPr>
          <w:trHeight w:val="372"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lang w:eastAsia="zh-CN"/>
              </w:rPr>
            </w:pPr>
            <w:r>
              <w:rPr>
                <w:rFonts w:hint="eastAsia" w:ascii="宋体" w:hAnsi="宋体" w:cs="宋体"/>
                <w:lang w:eastAsia="zh-CN"/>
              </w:rPr>
              <w:t>　</w:t>
            </w:r>
          </w:p>
        </w:tc>
        <w:tc>
          <w:tcPr>
            <w:tcW w:w="7247" w:type="dxa"/>
            <w:gridSpan w:val="4"/>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sz w:val="24"/>
                <w:lang w:eastAsia="zh-CN"/>
              </w:rPr>
            </w:pPr>
            <w:r>
              <w:rPr>
                <w:rFonts w:hint="eastAsia" w:ascii="宋体" w:hAnsi="宋体" w:cs="宋体"/>
                <w:sz w:val="24"/>
                <w:lang w:eastAsia="zh-CN"/>
              </w:rPr>
              <w:t>门诊楼铝方管背板、钢结构尺寸；50米*4.2米=210平方。</w:t>
            </w:r>
          </w:p>
        </w:tc>
        <w:tc>
          <w:tcPr>
            <w:tcW w:w="893" w:type="dxa"/>
            <w:tcBorders>
              <w:top w:val="nil"/>
              <w:left w:val="nil"/>
              <w:bottom w:val="single" w:color="auto" w:sz="4" w:space="0"/>
              <w:right w:val="nil"/>
            </w:tcBorders>
            <w:shd w:val="clear" w:color="auto" w:fill="auto"/>
            <w:noWrap/>
            <w:vAlign w:val="center"/>
          </w:tcPr>
          <w:p>
            <w:pPr>
              <w:widowControl/>
              <w:rPr>
                <w:rFonts w:ascii="宋体" w:hAnsi="宋体" w:cs="宋体"/>
                <w:sz w:val="24"/>
                <w:lang w:eastAsia="zh-CN"/>
              </w:rPr>
            </w:pPr>
            <w:r>
              <w:rPr>
                <w:rFonts w:hint="eastAsia" w:ascii="宋体" w:hAnsi="宋体" w:cs="宋体"/>
                <w:sz w:val="24"/>
                <w:lang w:eastAsia="zh-CN"/>
              </w:rPr>
              <w:t>　</w:t>
            </w:r>
          </w:p>
        </w:tc>
        <w:tc>
          <w:tcPr>
            <w:tcW w:w="1380" w:type="dxa"/>
            <w:tcBorders>
              <w:top w:val="nil"/>
              <w:left w:val="nil"/>
              <w:bottom w:val="single" w:color="auto" w:sz="4" w:space="0"/>
              <w:right w:val="nil"/>
            </w:tcBorders>
            <w:shd w:val="clear" w:color="auto" w:fill="auto"/>
            <w:noWrap/>
            <w:vAlign w:val="center"/>
          </w:tcPr>
          <w:p>
            <w:pPr>
              <w:widowControl/>
              <w:rPr>
                <w:rFonts w:ascii="宋体" w:hAnsi="宋体" w:cs="宋体"/>
                <w:sz w:val="24"/>
                <w:lang w:eastAsia="zh-CN"/>
              </w:rPr>
            </w:pPr>
            <w:r>
              <w:rPr>
                <w:rFonts w:hint="eastAsia" w:ascii="宋体" w:hAnsi="宋体" w:cs="宋体"/>
                <w:sz w:val="24"/>
                <w:lang w:eastAsia="zh-CN"/>
              </w:rPr>
              <w:t>　</w:t>
            </w:r>
          </w:p>
        </w:tc>
      </w:tr>
      <w:tr>
        <w:tblPrEx>
          <w:tblLayout w:type="fixed"/>
          <w:tblCellMar>
            <w:top w:w="0" w:type="dxa"/>
            <w:left w:w="108" w:type="dxa"/>
            <w:bottom w:w="0" w:type="dxa"/>
            <w:right w:w="108" w:type="dxa"/>
          </w:tblCellMar>
        </w:tblPrEx>
        <w:trPr>
          <w:trHeight w:val="28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项目</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名称</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规格</w:t>
            </w: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数量</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单位</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单价</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金额</w:t>
            </w:r>
          </w:p>
        </w:tc>
      </w:tr>
      <w:tr>
        <w:tblPrEx>
          <w:tblLayout w:type="fixed"/>
          <w:tblCellMar>
            <w:top w:w="0" w:type="dxa"/>
            <w:left w:w="108" w:type="dxa"/>
            <w:bottom w:w="0" w:type="dxa"/>
            <w:right w:w="108" w:type="dxa"/>
          </w:tblCellMar>
        </w:tblPrEx>
        <w:trPr>
          <w:trHeight w:val="270" w:hRule="atLeast"/>
        </w:trPr>
        <w:tc>
          <w:tcPr>
            <w:tcW w:w="14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字壳</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铝板</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2MM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激光切割</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异形焊接</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汽车烤漆</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光源</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LED灯</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12V、0.6W</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32600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组</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电源</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400瓦、12v</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60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台</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89"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模组连接线线</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2.5M2</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2</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盘</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电源连接线</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2.5M2</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4</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盘</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主电源</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5*4M2</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200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米</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配电箱</w:t>
            </w:r>
          </w:p>
        </w:tc>
        <w:tc>
          <w:tcPr>
            <w:tcW w:w="3434" w:type="dxa"/>
            <w:tcBorders>
              <w:top w:val="nil"/>
              <w:left w:val="nil"/>
              <w:bottom w:val="single" w:color="auto" w:sz="4" w:space="0"/>
              <w:right w:val="single" w:color="auto" w:sz="4" w:space="0"/>
            </w:tcBorders>
            <w:shd w:val="clear" w:color="auto" w:fill="auto"/>
            <w:vAlign w:val="center"/>
          </w:tcPr>
          <w:p>
            <w:pPr>
              <w:widowControl/>
              <w:rPr>
                <w:rFonts w:ascii="宋体" w:hAnsi="宋体" w:cs="宋体"/>
              </w:rPr>
            </w:pPr>
            <w:r>
              <w:rPr>
                <w:rFonts w:hint="eastAsia" w:ascii="宋体" w:hAnsi="宋体" w:cs="宋体"/>
              </w:rPr>
              <w:t>600*800</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套</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穿线管</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金属软管</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300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米</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文字组合</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人工费</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亚克力面板</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亚克力</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5MM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亚克力吸塑</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rPr>
              <w:t>钢结构</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钢板</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200*200*12MM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60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块</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镀锌角铁</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60*60*5MM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15</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镀锌角铁</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50*50*5MM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60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镀锌角铁</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40*40*4MM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94</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防锈漆</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中灰</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2</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桶</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化学螺栓</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￠160*200MM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240</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铝管</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100*25*1.5MM</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195</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支</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钢结构焊接</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高空作业人工费</w:t>
            </w:r>
          </w:p>
        </w:tc>
        <w:tc>
          <w:tcPr>
            <w:tcW w:w="3434" w:type="dxa"/>
            <w:tcBorders>
              <w:top w:val="nil"/>
              <w:left w:val="nil"/>
              <w:bottom w:val="nil"/>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nil"/>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nil"/>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nil"/>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nil"/>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文字安装</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高空作业人工费</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326</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平方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其他</w:t>
            </w: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运费及搬运费</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1</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吊篮</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6米</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2</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组</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吊车</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100吨</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3</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台班</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辅料</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1</w:t>
            </w:r>
          </w:p>
        </w:tc>
        <w:tc>
          <w:tcPr>
            <w:tcW w:w="8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项</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安全防护措施费</w:t>
            </w:r>
          </w:p>
        </w:tc>
        <w:tc>
          <w:tcPr>
            <w:tcW w:w="3434" w:type="dxa"/>
            <w:tcBorders>
              <w:top w:val="nil"/>
              <w:left w:val="nil"/>
              <w:bottom w:val="single" w:color="auto" w:sz="4" w:space="0"/>
              <w:right w:val="single" w:color="auto" w:sz="4" w:space="0"/>
            </w:tcBorders>
            <w:shd w:val="clear" w:color="auto" w:fill="auto"/>
            <w:noWrap/>
            <w:vAlign w:val="center"/>
          </w:tcPr>
          <w:p>
            <w:pPr>
              <w:widowControl/>
              <w:ind w:right="110"/>
              <w:jc w:val="right"/>
              <w:rPr>
                <w:rFonts w:ascii="宋体" w:hAnsi="宋体" w:cs="宋体"/>
              </w:rPr>
            </w:pP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检测费</w:t>
            </w:r>
          </w:p>
        </w:tc>
        <w:tc>
          <w:tcPr>
            <w:tcW w:w="34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rPr>
            </w:pP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工程管理费</w:t>
            </w:r>
          </w:p>
        </w:tc>
        <w:tc>
          <w:tcPr>
            <w:tcW w:w="3434" w:type="dxa"/>
            <w:tcBorders>
              <w:top w:val="nil"/>
              <w:left w:val="nil"/>
              <w:bottom w:val="single" w:color="auto" w:sz="4" w:space="0"/>
              <w:right w:val="single" w:color="auto" w:sz="4" w:space="0"/>
            </w:tcBorders>
            <w:shd w:val="clear" w:color="auto" w:fill="auto"/>
            <w:noWrap/>
            <w:vAlign w:val="center"/>
          </w:tcPr>
          <w:p>
            <w:pPr>
              <w:widowControl/>
              <w:ind w:right="220"/>
              <w:jc w:val="right"/>
              <w:rPr>
                <w:rFonts w:ascii="宋体" w:hAnsi="宋体" w:cs="宋体"/>
              </w:rPr>
            </w:pP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70" w:hRule="atLeast"/>
        </w:trPr>
        <w:tc>
          <w:tcPr>
            <w:tcW w:w="1400" w:type="dxa"/>
            <w:vMerge w:val="continue"/>
            <w:tcBorders>
              <w:top w:val="nil"/>
              <w:left w:val="single" w:color="auto" w:sz="4" w:space="0"/>
              <w:bottom w:val="nil"/>
              <w:right w:val="single" w:color="auto" w:sz="4" w:space="0"/>
            </w:tcBorders>
            <w:vAlign w:val="center"/>
          </w:tcPr>
          <w:p>
            <w:pPr>
              <w:widowControl/>
              <w:rPr>
                <w:rFonts w:ascii="宋体" w:hAnsi="宋体" w:cs="宋体"/>
              </w:rPr>
            </w:pPr>
          </w:p>
        </w:tc>
        <w:tc>
          <w:tcPr>
            <w:tcW w:w="18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利润</w:t>
            </w:r>
          </w:p>
        </w:tc>
        <w:tc>
          <w:tcPr>
            <w:tcW w:w="34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rPr>
            </w:pP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30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rPr>
            </w:pPr>
            <w:r>
              <w:rPr>
                <w:rFonts w:hint="eastAsia" w:ascii="宋体" w:hAnsi="宋体" w:cs="宋体"/>
              </w:rPr>
              <w:t>　</w:t>
            </w:r>
          </w:p>
        </w:tc>
        <w:tc>
          <w:tcPr>
            <w:tcW w:w="1820" w:type="dxa"/>
            <w:tcBorders>
              <w:top w:val="nil"/>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税</w:t>
            </w:r>
          </w:p>
        </w:tc>
        <w:tc>
          <w:tcPr>
            <w:tcW w:w="3434" w:type="dxa"/>
            <w:tcBorders>
              <w:top w:val="nil"/>
              <w:left w:val="nil"/>
              <w:bottom w:val="single" w:color="auto" w:sz="4" w:space="0"/>
              <w:right w:val="single" w:color="auto" w:sz="4" w:space="0"/>
            </w:tcBorders>
            <w:shd w:val="clear" w:color="auto" w:fill="auto"/>
            <w:noWrap/>
            <w:vAlign w:val="center"/>
          </w:tcPr>
          <w:p>
            <w:pPr>
              <w:widowControl/>
              <w:ind w:right="110"/>
              <w:jc w:val="right"/>
              <w:rPr>
                <w:rFonts w:ascii="宋体" w:hAnsi="宋体" w:cs="宋体"/>
              </w:rPr>
            </w:pPr>
          </w:p>
        </w:tc>
        <w:tc>
          <w:tcPr>
            <w:tcW w:w="11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89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420" w:hRule="atLeast"/>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p>
        </w:tc>
        <w:tc>
          <w:tcPr>
            <w:tcW w:w="18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原宣传字估价</w:t>
            </w:r>
          </w:p>
        </w:tc>
        <w:tc>
          <w:tcPr>
            <w:tcW w:w="3434" w:type="dxa"/>
            <w:tcBorders>
              <w:top w:val="single" w:color="auto" w:sz="4" w:space="0"/>
              <w:left w:val="nil"/>
              <w:bottom w:val="single" w:color="auto" w:sz="4" w:space="0"/>
              <w:right w:val="single" w:color="auto" w:sz="4" w:space="0"/>
            </w:tcBorders>
            <w:shd w:val="clear" w:color="auto" w:fill="auto"/>
            <w:noWrap/>
            <w:vAlign w:val="center"/>
          </w:tcPr>
          <w:p>
            <w:pPr>
              <w:widowControl/>
              <w:ind w:right="110"/>
              <w:jc w:val="right"/>
              <w:rPr>
                <w:rFonts w:ascii="宋体" w:hAnsi="宋体" w:cs="宋体"/>
              </w:rPr>
            </w:pPr>
          </w:p>
        </w:tc>
        <w:tc>
          <w:tcPr>
            <w:tcW w:w="1101"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扣除</w:t>
            </w:r>
          </w:p>
          <w:p>
            <w:pPr>
              <w:rPr>
                <w:rFonts w:ascii="宋体" w:hAnsi="宋体" w:cs="宋体"/>
              </w:rPr>
            </w:pPr>
          </w:p>
        </w:tc>
        <w:tc>
          <w:tcPr>
            <w:tcW w:w="89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89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r>
      <w:tr>
        <w:tblPrEx>
          <w:tblLayout w:type="fixed"/>
          <w:tblCellMar>
            <w:top w:w="0" w:type="dxa"/>
            <w:left w:w="108" w:type="dxa"/>
            <w:bottom w:w="0" w:type="dxa"/>
            <w:right w:w="108" w:type="dxa"/>
          </w:tblCellMar>
        </w:tblPrEx>
        <w:trPr>
          <w:trHeight w:val="195" w:hRule="atLeast"/>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p>
        </w:tc>
        <w:tc>
          <w:tcPr>
            <w:tcW w:w="18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总报价</w:t>
            </w:r>
          </w:p>
        </w:tc>
        <w:tc>
          <w:tcPr>
            <w:tcW w:w="3434" w:type="dxa"/>
            <w:tcBorders>
              <w:top w:val="single" w:color="auto" w:sz="4" w:space="0"/>
              <w:left w:val="nil"/>
              <w:bottom w:val="single" w:color="auto" w:sz="4" w:space="0"/>
              <w:right w:val="single" w:color="auto" w:sz="4" w:space="0"/>
            </w:tcBorders>
            <w:shd w:val="clear" w:color="auto" w:fill="auto"/>
            <w:noWrap/>
            <w:vAlign w:val="center"/>
          </w:tcPr>
          <w:p>
            <w:pPr>
              <w:widowControl/>
              <w:ind w:right="110"/>
              <w:jc w:val="right"/>
              <w:rPr>
                <w:rFonts w:ascii="宋体" w:hAnsi="宋体" w:cs="宋体"/>
              </w:rPr>
            </w:pPr>
          </w:p>
        </w:tc>
        <w:tc>
          <w:tcPr>
            <w:tcW w:w="1101"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89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89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r>
      <w:tr>
        <w:tblPrEx>
          <w:tblLayout w:type="fixed"/>
          <w:tblCellMar>
            <w:top w:w="0" w:type="dxa"/>
            <w:left w:w="108" w:type="dxa"/>
            <w:bottom w:w="0" w:type="dxa"/>
            <w:right w:w="108" w:type="dxa"/>
          </w:tblCellMar>
        </w:tblPrEx>
        <w:trPr>
          <w:trHeight w:val="195" w:hRule="atLeast"/>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p>
        </w:tc>
        <w:tc>
          <w:tcPr>
            <w:tcW w:w="18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3434" w:type="dxa"/>
            <w:tcBorders>
              <w:top w:val="single" w:color="auto" w:sz="4" w:space="0"/>
              <w:left w:val="nil"/>
              <w:bottom w:val="single" w:color="auto" w:sz="4" w:space="0"/>
              <w:right w:val="single" w:color="auto" w:sz="4" w:space="0"/>
            </w:tcBorders>
            <w:shd w:val="clear" w:color="auto" w:fill="auto"/>
            <w:noWrap/>
            <w:vAlign w:val="center"/>
          </w:tcPr>
          <w:p>
            <w:pPr>
              <w:widowControl/>
              <w:ind w:right="110"/>
              <w:jc w:val="right"/>
              <w:rPr>
                <w:rFonts w:ascii="宋体" w:hAnsi="宋体" w:cs="宋体"/>
              </w:rPr>
            </w:pPr>
          </w:p>
        </w:tc>
        <w:tc>
          <w:tcPr>
            <w:tcW w:w="1101"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89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89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rPr>
            </w:pPr>
          </w:p>
        </w:tc>
      </w:tr>
    </w:tbl>
    <w:p>
      <w:pPr>
        <w:rPr>
          <w:rFonts w:ascii="宋体" w:hAnsi="宋体" w:eastAsia="宋体" w:cs="宋体"/>
          <w:sz w:val="16"/>
          <w:szCs w:val="16"/>
          <w:lang w:eastAsia="zh-CN"/>
        </w:rPr>
        <w:sectPr>
          <w:type w:val="continuous"/>
          <w:pgSz w:w="11910" w:h="16840"/>
          <w:pgMar w:top="1580" w:right="1240" w:bottom="280" w:left="1020" w:header="720" w:footer="720" w:gutter="0"/>
          <w:cols w:space="720" w:num="1"/>
        </w:sectPr>
      </w:pPr>
    </w:p>
    <w:p>
      <w:pPr>
        <w:pStyle w:val="10"/>
        <w:spacing w:before="26" w:line="304" w:lineRule="auto"/>
        <w:ind w:left="0"/>
        <w:rPr>
          <w:lang w:eastAsia="zh-CN"/>
        </w:rPr>
      </w:pPr>
      <w:r>
        <w:rPr>
          <w:lang w:eastAsia="zh-CN"/>
        </w:rPr>
        <w:t xml:space="preserve">供应商名称（公章）： </w:t>
      </w:r>
    </w:p>
    <w:p>
      <w:pPr>
        <w:pStyle w:val="10"/>
        <w:spacing w:before="26" w:line="304" w:lineRule="auto"/>
        <w:ind w:left="0"/>
        <w:rPr>
          <w:lang w:eastAsia="zh-CN"/>
        </w:rPr>
      </w:pPr>
      <w:r>
        <w:rPr>
          <w:lang w:eastAsia="zh-CN"/>
        </w:rPr>
        <w:t>法定代表人或授权代表（签字或盖章）：</w:t>
      </w:r>
    </w:p>
    <w:p>
      <w:pPr>
        <w:rPr>
          <w:rFonts w:ascii="宋体" w:hAnsi="宋体" w:eastAsia="宋体" w:cs="宋体"/>
          <w:sz w:val="24"/>
          <w:szCs w:val="24"/>
          <w:lang w:eastAsia="zh-CN"/>
        </w:rPr>
      </w:pPr>
      <w:r>
        <w:rPr>
          <w:lang w:eastAsia="zh-CN"/>
        </w:rPr>
        <w:br w:type="column"/>
      </w:r>
    </w:p>
    <w:p>
      <w:pPr>
        <w:rPr>
          <w:rFonts w:ascii="宋体" w:hAnsi="宋体" w:eastAsia="宋体" w:cs="宋体"/>
          <w:sz w:val="24"/>
          <w:szCs w:val="24"/>
          <w:lang w:eastAsia="zh-CN"/>
        </w:rPr>
      </w:pPr>
    </w:p>
    <w:p>
      <w:pPr>
        <w:pStyle w:val="10"/>
        <w:tabs>
          <w:tab w:val="left" w:pos="1192"/>
          <w:tab w:val="left" w:pos="1792"/>
        </w:tabs>
        <w:spacing w:before="197"/>
        <w:rPr>
          <w:lang w:eastAsia="zh-CN"/>
        </w:rPr>
      </w:pPr>
      <w:r>
        <w:rPr>
          <w:lang w:eastAsia="zh-CN"/>
        </w:rPr>
        <w:t>年</w:t>
      </w:r>
      <w:r>
        <w:rPr>
          <w:lang w:eastAsia="zh-CN"/>
        </w:rPr>
        <w:tab/>
      </w:r>
      <w:r>
        <w:rPr>
          <w:lang w:eastAsia="zh-CN"/>
        </w:rPr>
        <w:t>月</w:t>
      </w:r>
      <w:r>
        <w:rPr>
          <w:lang w:eastAsia="zh-CN"/>
        </w:rPr>
        <w:tab/>
      </w:r>
      <w:r>
        <w:rPr>
          <w:lang w:eastAsia="zh-CN"/>
        </w:rPr>
        <w:t>日</w:t>
      </w:r>
    </w:p>
    <w:p>
      <w:pPr>
        <w:rPr>
          <w:lang w:eastAsia="zh-CN"/>
        </w:rPr>
        <w:sectPr>
          <w:type w:val="continuous"/>
          <w:pgSz w:w="11910" w:h="16840"/>
          <w:pgMar w:top="1580" w:right="1240" w:bottom="280" w:left="1020" w:header="720" w:footer="720" w:gutter="0"/>
          <w:cols w:equalWidth="0" w:num="2">
            <w:col w:w="4913" w:space="2167"/>
            <w:col w:w="2570"/>
          </w:cols>
        </w:sectPr>
      </w:pPr>
    </w:p>
    <w:p>
      <w:pPr>
        <w:pStyle w:val="7"/>
        <w:spacing w:line="363" w:lineRule="exact"/>
        <w:ind w:left="0" w:right="1415" w:firstLine="281" w:firstLineChars="100"/>
        <w:rPr>
          <w:b w:val="0"/>
          <w:bCs w:val="0"/>
          <w:lang w:eastAsia="zh-CN"/>
        </w:rPr>
      </w:pPr>
      <w:bookmarkStart w:id="104" w:name="附件五：节能（非强制类产品）标志产品加分明细表"/>
      <w:bookmarkEnd w:id="104"/>
      <w:r>
        <w:rPr>
          <w:lang w:eastAsia="zh-CN"/>
        </w:rPr>
        <w:t>附件五：节能（非强制类产品）标志产品加分明细表</w:t>
      </w:r>
    </w:p>
    <w:p>
      <w:pPr>
        <w:spacing w:before="17"/>
        <w:ind w:left="372" w:right="1415"/>
        <w:rPr>
          <w:rFonts w:ascii="宋体" w:hAnsi="宋体" w:eastAsia="宋体" w:cs="宋体"/>
          <w:sz w:val="21"/>
          <w:szCs w:val="21"/>
          <w:lang w:eastAsia="zh-CN"/>
        </w:rPr>
      </w:pPr>
      <w:r>
        <w:rPr>
          <w:rFonts w:ascii="宋体" w:hAnsi="宋体" w:eastAsia="宋体" w:cs="宋体"/>
          <w:sz w:val="21"/>
          <w:szCs w:val="21"/>
          <w:lang w:eastAsia="zh-CN"/>
        </w:rPr>
        <w:t>注：若有，请按下表要求填报</w:t>
      </w:r>
    </w:p>
    <w:p>
      <w:pPr>
        <w:spacing w:before="3"/>
        <w:rPr>
          <w:rFonts w:ascii="宋体" w:hAnsi="宋体" w:eastAsia="宋体" w:cs="宋体"/>
          <w:sz w:val="23"/>
          <w:szCs w:val="23"/>
          <w:lang w:eastAsia="zh-CN"/>
        </w:rPr>
      </w:pPr>
    </w:p>
    <w:tbl>
      <w:tblPr>
        <w:tblStyle w:val="18"/>
        <w:tblW w:w="9783" w:type="dxa"/>
        <w:tblInd w:w="297" w:type="dxa"/>
        <w:tblLayout w:type="fixed"/>
        <w:tblCellMar>
          <w:top w:w="0" w:type="dxa"/>
          <w:left w:w="0" w:type="dxa"/>
          <w:bottom w:w="0" w:type="dxa"/>
          <w:right w:w="0" w:type="dxa"/>
        </w:tblCellMar>
      </w:tblPr>
      <w:tblGrid>
        <w:gridCol w:w="414"/>
        <w:gridCol w:w="416"/>
        <w:gridCol w:w="1107"/>
        <w:gridCol w:w="1365"/>
        <w:gridCol w:w="1460"/>
        <w:gridCol w:w="1662"/>
        <w:gridCol w:w="1165"/>
        <w:gridCol w:w="1334"/>
        <w:gridCol w:w="860"/>
      </w:tblGrid>
      <w:tr>
        <w:tblPrEx>
          <w:tblLayout w:type="fixed"/>
          <w:tblCellMar>
            <w:top w:w="0" w:type="dxa"/>
            <w:left w:w="0" w:type="dxa"/>
            <w:bottom w:w="0" w:type="dxa"/>
            <w:right w:w="0" w:type="dxa"/>
          </w:tblCellMar>
        </w:tblPrEx>
        <w:trPr>
          <w:trHeight w:val="282" w:hRule="exact"/>
        </w:trPr>
        <w:tc>
          <w:tcPr>
            <w:tcW w:w="830" w:type="dxa"/>
            <w:gridSpan w:val="2"/>
            <w:tcBorders>
              <w:top w:val="single" w:color="000000" w:sz="4" w:space="0"/>
              <w:left w:val="single" w:color="000000" w:sz="4" w:space="0"/>
              <w:bottom w:val="single" w:color="000000" w:sz="4" w:space="0"/>
              <w:right w:val="single" w:color="000000" w:sz="4" w:space="0"/>
            </w:tcBorders>
          </w:tcPr>
          <w:p>
            <w:pPr>
              <w:pStyle w:val="20"/>
              <w:spacing w:line="239" w:lineRule="exact"/>
              <w:ind w:left="461"/>
              <w:rPr>
                <w:rFonts w:ascii="宋体" w:hAnsi="宋体" w:eastAsia="宋体" w:cs="宋体"/>
                <w:sz w:val="21"/>
                <w:szCs w:val="21"/>
              </w:rPr>
            </w:pPr>
            <w:r>
              <w:rPr>
                <w:rFonts w:ascii="宋体"/>
                <w:w w:val="99"/>
                <w:sz w:val="21"/>
              </w:rPr>
              <w:t>1</w:t>
            </w:r>
          </w:p>
        </w:tc>
        <w:tc>
          <w:tcPr>
            <w:tcW w:w="1107" w:type="dxa"/>
            <w:tcBorders>
              <w:top w:val="single" w:color="000000" w:sz="4" w:space="0"/>
              <w:left w:val="single" w:color="000000" w:sz="4" w:space="0"/>
              <w:bottom w:val="single" w:color="000000" w:sz="4" w:space="0"/>
              <w:right w:val="single" w:color="000000" w:sz="4" w:space="0"/>
            </w:tcBorders>
          </w:tcPr>
          <w:p>
            <w:pPr>
              <w:pStyle w:val="20"/>
              <w:spacing w:line="239" w:lineRule="exact"/>
              <w:ind w:left="210"/>
              <w:jc w:val="center"/>
              <w:rPr>
                <w:rFonts w:ascii="宋体" w:hAnsi="宋体" w:eastAsia="宋体" w:cs="宋体"/>
                <w:sz w:val="21"/>
                <w:szCs w:val="21"/>
              </w:rPr>
            </w:pPr>
            <w:r>
              <w:rPr>
                <w:rFonts w:ascii="宋体"/>
                <w:w w:val="99"/>
                <w:sz w:val="21"/>
              </w:rPr>
              <w:t>2</w:t>
            </w:r>
          </w:p>
        </w:tc>
        <w:tc>
          <w:tcPr>
            <w:tcW w:w="1365" w:type="dxa"/>
            <w:tcBorders>
              <w:top w:val="single" w:color="000000" w:sz="4" w:space="0"/>
              <w:left w:val="single" w:color="000000" w:sz="4" w:space="0"/>
              <w:bottom w:val="single" w:color="000000" w:sz="4" w:space="0"/>
              <w:right w:val="single" w:color="000000" w:sz="4" w:space="0"/>
            </w:tcBorders>
          </w:tcPr>
          <w:p>
            <w:pPr>
              <w:pStyle w:val="20"/>
              <w:spacing w:line="239" w:lineRule="exact"/>
              <w:ind w:left="210"/>
              <w:jc w:val="center"/>
              <w:rPr>
                <w:rFonts w:ascii="宋体" w:hAnsi="宋体" w:eastAsia="宋体" w:cs="宋体"/>
                <w:sz w:val="21"/>
                <w:szCs w:val="21"/>
              </w:rPr>
            </w:pPr>
            <w:r>
              <w:rPr>
                <w:rFonts w:ascii="宋体"/>
                <w:w w:val="99"/>
                <w:sz w:val="21"/>
              </w:rPr>
              <w:t>3</w:t>
            </w:r>
          </w:p>
        </w:tc>
        <w:tc>
          <w:tcPr>
            <w:tcW w:w="1460" w:type="dxa"/>
            <w:tcBorders>
              <w:top w:val="single" w:color="000000" w:sz="4" w:space="0"/>
              <w:left w:val="single" w:color="000000" w:sz="4" w:space="0"/>
              <w:bottom w:val="single" w:color="000000" w:sz="4" w:space="0"/>
              <w:right w:val="single" w:color="000000" w:sz="4" w:space="0"/>
            </w:tcBorders>
          </w:tcPr>
          <w:p>
            <w:pPr>
              <w:pStyle w:val="20"/>
              <w:spacing w:line="239" w:lineRule="exact"/>
              <w:ind w:left="313"/>
              <w:jc w:val="center"/>
              <w:rPr>
                <w:rFonts w:ascii="宋体" w:hAnsi="宋体" w:eastAsia="宋体" w:cs="宋体"/>
                <w:sz w:val="21"/>
                <w:szCs w:val="21"/>
              </w:rPr>
            </w:pPr>
            <w:r>
              <w:rPr>
                <w:rFonts w:ascii="宋体"/>
                <w:w w:val="99"/>
                <w:sz w:val="21"/>
              </w:rPr>
              <w:t>4</w:t>
            </w:r>
          </w:p>
        </w:tc>
        <w:tc>
          <w:tcPr>
            <w:tcW w:w="1662" w:type="dxa"/>
            <w:tcBorders>
              <w:top w:val="single" w:color="000000" w:sz="4" w:space="0"/>
              <w:left w:val="single" w:color="000000" w:sz="4" w:space="0"/>
              <w:bottom w:val="single" w:color="000000" w:sz="4" w:space="0"/>
              <w:right w:val="single" w:color="000000" w:sz="4" w:space="0"/>
            </w:tcBorders>
          </w:tcPr>
          <w:p>
            <w:pPr>
              <w:pStyle w:val="20"/>
              <w:spacing w:line="239" w:lineRule="exact"/>
              <w:ind w:left="1013"/>
              <w:rPr>
                <w:rFonts w:ascii="宋体" w:hAnsi="宋体" w:eastAsia="宋体" w:cs="宋体"/>
                <w:sz w:val="21"/>
                <w:szCs w:val="21"/>
              </w:rPr>
            </w:pPr>
            <w:r>
              <w:rPr>
                <w:rFonts w:ascii="宋体"/>
                <w:w w:val="99"/>
                <w:sz w:val="21"/>
              </w:rPr>
              <w:t>5</w:t>
            </w:r>
          </w:p>
        </w:tc>
        <w:tc>
          <w:tcPr>
            <w:tcW w:w="1165" w:type="dxa"/>
            <w:tcBorders>
              <w:top w:val="single" w:color="000000" w:sz="4" w:space="0"/>
              <w:left w:val="single" w:color="000000" w:sz="4" w:space="0"/>
              <w:bottom w:val="single" w:color="000000" w:sz="4" w:space="0"/>
              <w:right w:val="single" w:color="000000" w:sz="4" w:space="0"/>
            </w:tcBorders>
          </w:tcPr>
          <w:p>
            <w:pPr>
              <w:pStyle w:val="20"/>
              <w:spacing w:line="239" w:lineRule="exact"/>
              <w:ind w:left="681"/>
              <w:rPr>
                <w:rFonts w:ascii="宋体" w:hAnsi="宋体" w:eastAsia="宋体" w:cs="宋体"/>
                <w:sz w:val="21"/>
                <w:szCs w:val="21"/>
              </w:rPr>
            </w:pPr>
            <w:r>
              <w:rPr>
                <w:rFonts w:ascii="宋体"/>
                <w:w w:val="99"/>
                <w:sz w:val="21"/>
              </w:rPr>
              <w:t>6</w:t>
            </w:r>
          </w:p>
        </w:tc>
        <w:tc>
          <w:tcPr>
            <w:tcW w:w="1334" w:type="dxa"/>
            <w:tcBorders>
              <w:top w:val="single" w:color="000000" w:sz="4" w:space="0"/>
              <w:left w:val="single" w:color="000000" w:sz="4" w:space="0"/>
              <w:bottom w:val="single" w:color="000000" w:sz="4" w:space="0"/>
              <w:right w:val="single" w:color="000000" w:sz="4" w:space="0"/>
            </w:tcBorders>
          </w:tcPr>
          <w:p>
            <w:pPr>
              <w:pStyle w:val="20"/>
              <w:spacing w:line="239" w:lineRule="exact"/>
              <w:ind w:left="313"/>
              <w:jc w:val="center"/>
              <w:rPr>
                <w:rFonts w:ascii="宋体" w:hAnsi="宋体" w:eastAsia="宋体" w:cs="宋体"/>
                <w:sz w:val="21"/>
                <w:szCs w:val="21"/>
              </w:rPr>
            </w:pPr>
            <w:r>
              <w:rPr>
                <w:rFonts w:ascii="宋体"/>
                <w:w w:val="99"/>
                <w:sz w:val="21"/>
              </w:rPr>
              <w:t>7</w:t>
            </w:r>
          </w:p>
        </w:tc>
        <w:tc>
          <w:tcPr>
            <w:tcW w:w="860" w:type="dxa"/>
            <w:tcBorders>
              <w:top w:val="single" w:color="000000" w:sz="4" w:space="0"/>
              <w:left w:val="single" w:color="000000" w:sz="4" w:space="0"/>
              <w:bottom w:val="single" w:color="000000" w:sz="4" w:space="0"/>
              <w:right w:val="single" w:color="000000" w:sz="4" w:space="0"/>
            </w:tcBorders>
          </w:tcPr>
          <w:p>
            <w:pPr>
              <w:pStyle w:val="20"/>
              <w:spacing w:line="239" w:lineRule="exact"/>
              <w:ind w:left="476"/>
              <w:rPr>
                <w:rFonts w:ascii="宋体" w:hAnsi="宋体" w:eastAsia="宋体" w:cs="宋体"/>
                <w:sz w:val="21"/>
                <w:szCs w:val="21"/>
              </w:rPr>
            </w:pPr>
            <w:r>
              <w:rPr>
                <w:rFonts w:ascii="宋体"/>
                <w:w w:val="99"/>
                <w:sz w:val="21"/>
              </w:rPr>
              <w:t>8</w:t>
            </w:r>
          </w:p>
        </w:tc>
      </w:tr>
      <w:tr>
        <w:tblPrEx>
          <w:tblLayout w:type="fixed"/>
          <w:tblCellMar>
            <w:top w:w="0" w:type="dxa"/>
            <w:left w:w="0" w:type="dxa"/>
            <w:bottom w:w="0" w:type="dxa"/>
            <w:right w:w="0" w:type="dxa"/>
          </w:tblCellMar>
        </w:tblPrEx>
        <w:trPr>
          <w:trHeight w:val="555" w:hRule="exact"/>
        </w:trPr>
        <w:tc>
          <w:tcPr>
            <w:tcW w:w="414" w:type="dxa"/>
            <w:tcBorders>
              <w:top w:val="single" w:color="000000" w:sz="4" w:space="0"/>
              <w:left w:val="single" w:color="000000" w:sz="4" w:space="0"/>
              <w:bottom w:val="single" w:color="000000" w:sz="4" w:space="0"/>
              <w:right w:val="single" w:color="000000" w:sz="4" w:space="0"/>
            </w:tcBorders>
          </w:tcPr>
          <w:p>
            <w:pPr>
              <w:pStyle w:val="20"/>
              <w:spacing w:line="239" w:lineRule="exact"/>
              <w:ind w:left="101"/>
              <w:rPr>
                <w:rFonts w:ascii="宋体" w:hAnsi="宋体" w:eastAsia="宋体" w:cs="宋体"/>
                <w:sz w:val="21"/>
                <w:szCs w:val="21"/>
              </w:rPr>
            </w:pPr>
            <w:r>
              <w:rPr>
                <w:rFonts w:ascii="宋体" w:hAnsi="宋体" w:eastAsia="宋体" w:cs="宋体"/>
                <w:w w:val="99"/>
                <w:sz w:val="21"/>
                <w:szCs w:val="21"/>
              </w:rPr>
              <w:t>包</w:t>
            </w:r>
          </w:p>
          <w:p>
            <w:pPr>
              <w:pStyle w:val="20"/>
              <w:spacing w:line="274" w:lineRule="exact"/>
              <w:ind w:left="101"/>
              <w:rPr>
                <w:rFonts w:ascii="宋体" w:hAnsi="宋体" w:eastAsia="宋体" w:cs="宋体"/>
                <w:sz w:val="21"/>
                <w:szCs w:val="21"/>
              </w:rPr>
            </w:pPr>
            <w:r>
              <w:rPr>
                <w:rFonts w:ascii="宋体" w:hAnsi="宋体" w:eastAsia="宋体" w:cs="宋体"/>
                <w:w w:val="99"/>
                <w:sz w:val="21"/>
                <w:szCs w:val="21"/>
              </w:rPr>
              <w:t>组</w:t>
            </w:r>
          </w:p>
        </w:tc>
        <w:tc>
          <w:tcPr>
            <w:tcW w:w="416" w:type="dxa"/>
            <w:tcBorders>
              <w:top w:val="single" w:color="000000" w:sz="4" w:space="0"/>
              <w:left w:val="single" w:color="000000" w:sz="4" w:space="0"/>
              <w:bottom w:val="single" w:color="000000" w:sz="4" w:space="0"/>
              <w:right w:val="single" w:color="000000" w:sz="4" w:space="0"/>
            </w:tcBorders>
          </w:tcPr>
          <w:p>
            <w:pPr>
              <w:pStyle w:val="20"/>
              <w:spacing w:line="239" w:lineRule="exact"/>
              <w:ind w:left="103"/>
              <w:rPr>
                <w:rFonts w:ascii="宋体" w:hAnsi="宋体" w:eastAsia="宋体" w:cs="宋体"/>
                <w:sz w:val="21"/>
                <w:szCs w:val="21"/>
              </w:rPr>
            </w:pPr>
            <w:r>
              <w:rPr>
                <w:rFonts w:ascii="宋体" w:hAnsi="宋体" w:eastAsia="宋体" w:cs="宋体"/>
                <w:w w:val="99"/>
                <w:sz w:val="21"/>
                <w:szCs w:val="21"/>
              </w:rPr>
              <w:t>序</w:t>
            </w:r>
          </w:p>
          <w:p>
            <w:pPr>
              <w:pStyle w:val="20"/>
              <w:spacing w:line="274" w:lineRule="exact"/>
              <w:ind w:left="103"/>
              <w:rPr>
                <w:rFonts w:ascii="宋体" w:hAnsi="宋体" w:eastAsia="宋体" w:cs="宋体"/>
                <w:sz w:val="21"/>
                <w:szCs w:val="21"/>
              </w:rPr>
            </w:pPr>
            <w:r>
              <w:rPr>
                <w:rFonts w:ascii="宋体" w:hAnsi="宋体" w:eastAsia="宋体" w:cs="宋体"/>
                <w:w w:val="99"/>
                <w:sz w:val="21"/>
                <w:szCs w:val="21"/>
              </w:rPr>
              <w:t>号</w:t>
            </w:r>
          </w:p>
        </w:tc>
        <w:tc>
          <w:tcPr>
            <w:tcW w:w="1107" w:type="dxa"/>
            <w:tcBorders>
              <w:top w:val="single" w:color="000000" w:sz="4" w:space="0"/>
              <w:left w:val="single" w:color="000000" w:sz="4" w:space="0"/>
              <w:bottom w:val="single" w:color="000000" w:sz="4" w:space="0"/>
              <w:right w:val="single" w:color="000000" w:sz="4" w:space="0"/>
            </w:tcBorders>
          </w:tcPr>
          <w:p>
            <w:pPr>
              <w:pStyle w:val="20"/>
              <w:spacing w:before="102"/>
              <w:ind w:left="128"/>
              <w:rPr>
                <w:rFonts w:ascii="宋体" w:hAnsi="宋体" w:eastAsia="宋体" w:cs="宋体"/>
                <w:sz w:val="21"/>
                <w:szCs w:val="21"/>
              </w:rPr>
            </w:pPr>
            <w:r>
              <w:rPr>
                <w:rFonts w:ascii="宋体" w:hAnsi="宋体" w:eastAsia="宋体" w:cs="宋体"/>
                <w:sz w:val="21"/>
                <w:szCs w:val="21"/>
              </w:rPr>
              <w:t>产品名称</w:t>
            </w:r>
          </w:p>
        </w:tc>
        <w:tc>
          <w:tcPr>
            <w:tcW w:w="1365" w:type="dxa"/>
            <w:tcBorders>
              <w:top w:val="single" w:color="000000" w:sz="4" w:space="0"/>
              <w:left w:val="single" w:color="000000" w:sz="4" w:space="0"/>
              <w:bottom w:val="single" w:color="000000" w:sz="4" w:space="0"/>
              <w:right w:val="single" w:color="000000" w:sz="4" w:space="0"/>
            </w:tcBorders>
          </w:tcPr>
          <w:p>
            <w:pPr>
              <w:pStyle w:val="20"/>
              <w:spacing w:before="102"/>
              <w:ind w:left="257"/>
              <w:rPr>
                <w:rFonts w:ascii="宋体" w:hAnsi="宋体" w:eastAsia="宋体" w:cs="宋体"/>
                <w:sz w:val="21"/>
                <w:szCs w:val="21"/>
              </w:rPr>
            </w:pPr>
            <w:r>
              <w:rPr>
                <w:rFonts w:ascii="宋体" w:hAnsi="宋体" w:eastAsia="宋体" w:cs="宋体"/>
                <w:sz w:val="21"/>
                <w:szCs w:val="21"/>
              </w:rPr>
              <w:t>报价金额</w:t>
            </w:r>
          </w:p>
        </w:tc>
        <w:tc>
          <w:tcPr>
            <w:tcW w:w="1460" w:type="dxa"/>
            <w:tcBorders>
              <w:top w:val="single" w:color="000000" w:sz="4" w:space="0"/>
              <w:left w:val="single" w:color="000000" w:sz="4" w:space="0"/>
              <w:bottom w:val="single" w:color="000000" w:sz="4" w:space="0"/>
              <w:right w:val="single" w:color="000000" w:sz="4" w:space="0"/>
            </w:tcBorders>
          </w:tcPr>
          <w:p>
            <w:pPr>
              <w:pStyle w:val="20"/>
              <w:spacing w:line="239" w:lineRule="exact"/>
              <w:jc w:val="center"/>
              <w:rPr>
                <w:rFonts w:ascii="宋体" w:hAnsi="宋体" w:eastAsia="宋体" w:cs="宋体"/>
                <w:sz w:val="21"/>
                <w:szCs w:val="21"/>
              </w:rPr>
            </w:pPr>
            <w:r>
              <w:rPr>
                <w:rFonts w:ascii="宋体" w:hAnsi="宋体" w:eastAsia="宋体" w:cs="宋体"/>
                <w:sz w:val="21"/>
                <w:szCs w:val="21"/>
              </w:rPr>
              <w:t>本包组总报</w:t>
            </w:r>
          </w:p>
          <w:p>
            <w:pPr>
              <w:pStyle w:val="20"/>
              <w:spacing w:line="274" w:lineRule="exact"/>
              <w:jc w:val="center"/>
              <w:rPr>
                <w:rFonts w:ascii="宋体" w:hAnsi="宋体" w:eastAsia="宋体" w:cs="宋体"/>
                <w:sz w:val="21"/>
                <w:szCs w:val="21"/>
              </w:rPr>
            </w:pPr>
            <w:r>
              <w:rPr>
                <w:rFonts w:ascii="宋体" w:hAnsi="宋体" w:eastAsia="宋体" w:cs="宋体"/>
                <w:w w:val="99"/>
                <w:sz w:val="21"/>
                <w:szCs w:val="21"/>
              </w:rPr>
              <w:t>价</w:t>
            </w:r>
          </w:p>
        </w:tc>
        <w:tc>
          <w:tcPr>
            <w:tcW w:w="1662" w:type="dxa"/>
            <w:tcBorders>
              <w:top w:val="single" w:color="000000" w:sz="4" w:space="0"/>
              <w:left w:val="single" w:color="000000" w:sz="4" w:space="0"/>
              <w:bottom w:val="single" w:color="000000" w:sz="4" w:space="0"/>
              <w:right w:val="single" w:color="000000" w:sz="4" w:space="0"/>
            </w:tcBorders>
          </w:tcPr>
          <w:p>
            <w:pPr>
              <w:pStyle w:val="20"/>
              <w:spacing w:line="239" w:lineRule="exact"/>
              <w:ind w:right="2"/>
              <w:jc w:val="center"/>
              <w:rPr>
                <w:rFonts w:ascii="宋体" w:hAnsi="宋体" w:eastAsia="宋体" w:cs="宋体"/>
                <w:sz w:val="21"/>
                <w:szCs w:val="21"/>
                <w:lang w:eastAsia="zh-CN"/>
              </w:rPr>
            </w:pPr>
            <w:r>
              <w:rPr>
                <w:rFonts w:ascii="宋体" w:hAnsi="宋体" w:eastAsia="宋体" w:cs="宋体"/>
                <w:sz w:val="21"/>
                <w:szCs w:val="21"/>
                <w:lang w:eastAsia="zh-CN"/>
              </w:rPr>
              <w:t>本包组总报价</w:t>
            </w:r>
          </w:p>
          <w:p>
            <w:pPr>
              <w:pStyle w:val="20"/>
              <w:spacing w:line="274" w:lineRule="exact"/>
              <w:ind w:right="1"/>
              <w:jc w:val="center"/>
              <w:rPr>
                <w:rFonts w:ascii="宋体" w:hAnsi="宋体" w:eastAsia="宋体" w:cs="宋体"/>
                <w:sz w:val="21"/>
                <w:szCs w:val="21"/>
                <w:lang w:eastAsia="zh-CN"/>
              </w:rPr>
            </w:pPr>
            <w:r>
              <w:rPr>
                <w:rFonts w:ascii="宋体" w:hAnsi="宋体" w:eastAsia="宋体" w:cs="宋体"/>
                <w:sz w:val="21"/>
                <w:szCs w:val="21"/>
                <w:lang w:eastAsia="zh-CN"/>
              </w:rPr>
              <w:t>比率（%）</w:t>
            </w:r>
          </w:p>
        </w:tc>
        <w:tc>
          <w:tcPr>
            <w:tcW w:w="1165" w:type="dxa"/>
            <w:tcBorders>
              <w:top w:val="single" w:color="000000" w:sz="4" w:space="0"/>
              <w:left w:val="single" w:color="000000" w:sz="4" w:space="0"/>
              <w:bottom w:val="single" w:color="000000" w:sz="4" w:space="0"/>
              <w:right w:val="single" w:color="000000" w:sz="4" w:space="0"/>
            </w:tcBorders>
          </w:tcPr>
          <w:p>
            <w:pPr>
              <w:pStyle w:val="20"/>
              <w:spacing w:line="239" w:lineRule="exact"/>
              <w:ind w:right="1"/>
              <w:jc w:val="center"/>
              <w:rPr>
                <w:rFonts w:ascii="宋体" w:hAnsi="宋体" w:eastAsia="宋体" w:cs="宋体"/>
                <w:sz w:val="21"/>
                <w:szCs w:val="21"/>
              </w:rPr>
            </w:pPr>
            <w:r>
              <w:rPr>
                <w:rFonts w:ascii="宋体" w:hAnsi="宋体" w:eastAsia="宋体" w:cs="宋体"/>
                <w:sz w:val="21"/>
                <w:szCs w:val="21"/>
              </w:rPr>
              <w:t>认证证书</w:t>
            </w:r>
          </w:p>
          <w:p>
            <w:pPr>
              <w:pStyle w:val="20"/>
              <w:spacing w:line="274" w:lineRule="exact"/>
              <w:ind w:right="2"/>
              <w:jc w:val="center"/>
              <w:rPr>
                <w:rFonts w:ascii="宋体" w:hAnsi="宋体" w:eastAsia="宋体" w:cs="宋体"/>
                <w:sz w:val="21"/>
                <w:szCs w:val="21"/>
              </w:rPr>
            </w:pPr>
            <w:r>
              <w:rPr>
                <w:rFonts w:ascii="宋体" w:hAnsi="宋体" w:eastAsia="宋体" w:cs="宋体"/>
                <w:sz w:val="21"/>
                <w:szCs w:val="21"/>
              </w:rPr>
              <w:t>编号</w:t>
            </w:r>
          </w:p>
        </w:tc>
        <w:tc>
          <w:tcPr>
            <w:tcW w:w="1334" w:type="dxa"/>
            <w:tcBorders>
              <w:top w:val="single" w:color="000000" w:sz="4" w:space="0"/>
              <w:left w:val="single" w:color="000000" w:sz="4" w:space="0"/>
              <w:bottom w:val="single" w:color="000000" w:sz="4" w:space="0"/>
              <w:right w:val="single" w:color="000000" w:sz="4" w:space="0"/>
            </w:tcBorders>
          </w:tcPr>
          <w:p>
            <w:pPr>
              <w:pStyle w:val="20"/>
              <w:spacing w:line="239" w:lineRule="exact"/>
              <w:jc w:val="center"/>
              <w:rPr>
                <w:rFonts w:ascii="宋体" w:hAnsi="宋体" w:eastAsia="宋体" w:cs="宋体"/>
                <w:sz w:val="21"/>
                <w:szCs w:val="21"/>
              </w:rPr>
            </w:pPr>
            <w:r>
              <w:rPr>
                <w:rFonts w:ascii="宋体" w:hAnsi="宋体" w:eastAsia="宋体" w:cs="宋体"/>
                <w:sz w:val="21"/>
                <w:szCs w:val="21"/>
              </w:rPr>
              <w:t>证书有效截</w:t>
            </w:r>
          </w:p>
          <w:p>
            <w:pPr>
              <w:pStyle w:val="20"/>
              <w:spacing w:line="274" w:lineRule="exact"/>
              <w:jc w:val="center"/>
              <w:rPr>
                <w:rFonts w:ascii="宋体" w:hAnsi="宋体" w:eastAsia="宋体" w:cs="宋体"/>
                <w:sz w:val="21"/>
                <w:szCs w:val="21"/>
              </w:rPr>
            </w:pPr>
            <w:r>
              <w:rPr>
                <w:rFonts w:ascii="宋体" w:hAnsi="宋体" w:eastAsia="宋体" w:cs="宋体"/>
                <w:sz w:val="21"/>
                <w:szCs w:val="21"/>
              </w:rPr>
              <w:t>止日期</w:t>
            </w:r>
          </w:p>
        </w:tc>
        <w:tc>
          <w:tcPr>
            <w:tcW w:w="860" w:type="dxa"/>
            <w:tcBorders>
              <w:top w:val="single" w:color="000000" w:sz="4" w:space="0"/>
              <w:left w:val="single" w:color="000000" w:sz="4" w:space="0"/>
              <w:bottom w:val="single" w:color="000000" w:sz="4" w:space="0"/>
              <w:right w:val="single" w:color="000000" w:sz="4" w:space="0"/>
            </w:tcBorders>
          </w:tcPr>
          <w:p>
            <w:pPr>
              <w:pStyle w:val="20"/>
              <w:spacing w:line="239" w:lineRule="exact"/>
              <w:jc w:val="center"/>
              <w:rPr>
                <w:rFonts w:ascii="宋体" w:hAnsi="宋体" w:eastAsia="宋体" w:cs="宋体"/>
                <w:sz w:val="21"/>
                <w:szCs w:val="21"/>
              </w:rPr>
            </w:pPr>
            <w:r>
              <w:rPr>
                <w:rFonts w:ascii="宋体" w:hAnsi="宋体" w:eastAsia="宋体" w:cs="宋体"/>
                <w:sz w:val="21"/>
                <w:szCs w:val="21"/>
              </w:rPr>
              <w:t>清单页</w:t>
            </w:r>
          </w:p>
          <w:p>
            <w:pPr>
              <w:pStyle w:val="20"/>
              <w:spacing w:line="274" w:lineRule="exact"/>
              <w:jc w:val="center"/>
              <w:rPr>
                <w:rFonts w:ascii="宋体" w:hAnsi="宋体" w:eastAsia="宋体" w:cs="宋体"/>
                <w:sz w:val="21"/>
                <w:szCs w:val="21"/>
              </w:rPr>
            </w:pPr>
            <w:r>
              <w:rPr>
                <w:rFonts w:ascii="宋体" w:hAnsi="宋体" w:eastAsia="宋体" w:cs="宋体"/>
                <w:w w:val="99"/>
                <w:sz w:val="21"/>
                <w:szCs w:val="21"/>
              </w:rPr>
              <w:t>码</w:t>
            </w:r>
          </w:p>
        </w:tc>
      </w:tr>
      <w:tr>
        <w:tblPrEx>
          <w:tblLayout w:type="fixed"/>
          <w:tblCellMar>
            <w:top w:w="0" w:type="dxa"/>
            <w:left w:w="0" w:type="dxa"/>
            <w:bottom w:w="0" w:type="dxa"/>
            <w:right w:w="0" w:type="dxa"/>
          </w:tblCellMar>
        </w:tblPrEx>
        <w:trPr>
          <w:trHeight w:val="282" w:hRule="exact"/>
        </w:trPr>
        <w:tc>
          <w:tcPr>
            <w:tcW w:w="414" w:type="dxa"/>
            <w:vMerge w:val="restart"/>
            <w:tcBorders>
              <w:top w:val="single" w:color="000000" w:sz="4" w:space="0"/>
              <w:left w:val="single" w:color="000000" w:sz="4" w:space="0"/>
              <w:right w:val="single" w:color="000000" w:sz="4" w:space="0"/>
            </w:tcBorders>
          </w:tcPr>
          <w:p>
            <w:pPr>
              <w:pStyle w:val="20"/>
              <w:spacing w:before="12"/>
              <w:rPr>
                <w:rFonts w:ascii="宋体" w:hAnsi="宋体" w:eastAsia="宋体" w:cs="宋体"/>
                <w:sz w:val="18"/>
                <w:szCs w:val="18"/>
              </w:rPr>
            </w:pPr>
          </w:p>
          <w:p>
            <w:pPr>
              <w:pStyle w:val="20"/>
              <w:jc w:val="center"/>
              <w:rPr>
                <w:rFonts w:ascii="宋体" w:hAnsi="宋体" w:eastAsia="宋体" w:cs="宋体"/>
                <w:sz w:val="21"/>
                <w:szCs w:val="21"/>
              </w:rPr>
            </w:pPr>
            <w:r>
              <w:rPr>
                <w:rFonts w:ascii="宋体"/>
                <w:w w:val="99"/>
                <w:sz w:val="21"/>
              </w:rPr>
              <w:t>A</w:t>
            </w:r>
          </w:p>
        </w:tc>
        <w:tc>
          <w:tcPr>
            <w:tcW w:w="416" w:type="dxa"/>
            <w:tcBorders>
              <w:top w:val="single" w:color="000000" w:sz="4" w:space="0"/>
              <w:left w:val="single" w:color="000000" w:sz="4" w:space="0"/>
              <w:bottom w:val="single" w:color="000000" w:sz="4" w:space="0"/>
              <w:right w:val="single" w:color="000000" w:sz="4" w:space="0"/>
            </w:tcBorders>
          </w:tcPr>
          <w:p/>
        </w:tc>
        <w:tc>
          <w:tcPr>
            <w:tcW w:w="1107" w:type="dxa"/>
            <w:tcBorders>
              <w:top w:val="single" w:color="000000" w:sz="4" w:space="0"/>
              <w:left w:val="single" w:color="000000" w:sz="4" w:space="0"/>
              <w:bottom w:val="single" w:color="000000" w:sz="4" w:space="0"/>
              <w:right w:val="single" w:color="000000" w:sz="4" w:space="0"/>
            </w:tcBorders>
          </w:tcPr>
          <w:p/>
        </w:tc>
        <w:tc>
          <w:tcPr>
            <w:tcW w:w="1365" w:type="dxa"/>
            <w:tcBorders>
              <w:top w:val="single" w:color="000000" w:sz="4" w:space="0"/>
              <w:left w:val="single" w:color="000000" w:sz="4" w:space="0"/>
              <w:bottom w:val="single" w:color="000000" w:sz="4" w:space="0"/>
              <w:right w:val="single" w:color="000000" w:sz="4" w:space="0"/>
            </w:tcBorders>
          </w:tcPr>
          <w:p/>
        </w:tc>
        <w:tc>
          <w:tcPr>
            <w:tcW w:w="1460" w:type="dxa"/>
            <w:vMerge w:val="restart"/>
            <w:tcBorders>
              <w:top w:val="single" w:color="000000" w:sz="4" w:space="0"/>
              <w:left w:val="single" w:color="000000" w:sz="4" w:space="0"/>
              <w:right w:val="single" w:color="000000" w:sz="4" w:space="0"/>
            </w:tcBorders>
          </w:tcPr>
          <w:p/>
        </w:tc>
        <w:tc>
          <w:tcPr>
            <w:tcW w:w="1662" w:type="dxa"/>
            <w:vMerge w:val="restart"/>
            <w:tcBorders>
              <w:top w:val="single" w:color="000000" w:sz="4" w:space="0"/>
              <w:left w:val="single" w:color="000000" w:sz="4" w:space="0"/>
              <w:right w:val="single" w:color="000000" w:sz="4" w:space="0"/>
            </w:tcBorders>
          </w:tcPr>
          <w:p/>
        </w:tc>
        <w:tc>
          <w:tcPr>
            <w:tcW w:w="1165" w:type="dxa"/>
            <w:tcBorders>
              <w:top w:val="single" w:color="000000" w:sz="4" w:space="0"/>
              <w:left w:val="single" w:color="000000" w:sz="4" w:space="0"/>
              <w:bottom w:val="single" w:color="000000" w:sz="4" w:space="0"/>
              <w:right w:val="single" w:color="000000" w:sz="4" w:space="0"/>
            </w:tcBorders>
          </w:tcPr>
          <w:p/>
        </w:tc>
        <w:tc>
          <w:tcPr>
            <w:tcW w:w="1334"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82" w:hRule="exact"/>
        </w:trPr>
        <w:tc>
          <w:tcPr>
            <w:tcW w:w="414" w:type="dxa"/>
            <w:vMerge w:val="continue"/>
            <w:tcBorders>
              <w:left w:val="single" w:color="000000" w:sz="4" w:space="0"/>
              <w:right w:val="single" w:color="000000" w:sz="4" w:space="0"/>
            </w:tcBorders>
          </w:tcPr>
          <w:p/>
        </w:tc>
        <w:tc>
          <w:tcPr>
            <w:tcW w:w="416" w:type="dxa"/>
            <w:tcBorders>
              <w:top w:val="single" w:color="000000" w:sz="4" w:space="0"/>
              <w:left w:val="single" w:color="000000" w:sz="4" w:space="0"/>
              <w:bottom w:val="single" w:color="000000" w:sz="4" w:space="0"/>
              <w:right w:val="single" w:color="000000" w:sz="4" w:space="0"/>
            </w:tcBorders>
          </w:tcPr>
          <w:p/>
        </w:tc>
        <w:tc>
          <w:tcPr>
            <w:tcW w:w="1107" w:type="dxa"/>
            <w:tcBorders>
              <w:top w:val="single" w:color="000000" w:sz="4" w:space="0"/>
              <w:left w:val="single" w:color="000000" w:sz="4" w:space="0"/>
              <w:bottom w:val="single" w:color="000000" w:sz="4" w:space="0"/>
              <w:right w:val="single" w:color="000000" w:sz="4" w:space="0"/>
            </w:tcBorders>
          </w:tcPr>
          <w:p/>
        </w:tc>
        <w:tc>
          <w:tcPr>
            <w:tcW w:w="1365" w:type="dxa"/>
            <w:tcBorders>
              <w:top w:val="single" w:color="000000" w:sz="4" w:space="0"/>
              <w:left w:val="single" w:color="000000" w:sz="4" w:space="0"/>
              <w:bottom w:val="single" w:color="000000" w:sz="4" w:space="0"/>
              <w:right w:val="single" w:color="000000" w:sz="4" w:space="0"/>
            </w:tcBorders>
          </w:tcPr>
          <w:p/>
        </w:tc>
        <w:tc>
          <w:tcPr>
            <w:tcW w:w="1460" w:type="dxa"/>
            <w:vMerge w:val="continue"/>
            <w:tcBorders>
              <w:left w:val="single" w:color="000000" w:sz="4" w:space="0"/>
              <w:right w:val="single" w:color="000000" w:sz="4" w:space="0"/>
            </w:tcBorders>
          </w:tcPr>
          <w:p/>
        </w:tc>
        <w:tc>
          <w:tcPr>
            <w:tcW w:w="1662" w:type="dxa"/>
            <w:vMerge w:val="continue"/>
            <w:tcBorders>
              <w:left w:val="single" w:color="000000" w:sz="4" w:space="0"/>
              <w:right w:val="single" w:color="000000" w:sz="4" w:space="0"/>
            </w:tcBorders>
          </w:tcPr>
          <w:p/>
        </w:tc>
        <w:tc>
          <w:tcPr>
            <w:tcW w:w="1165" w:type="dxa"/>
            <w:tcBorders>
              <w:top w:val="single" w:color="000000" w:sz="4" w:space="0"/>
              <w:left w:val="single" w:color="000000" w:sz="4" w:space="0"/>
              <w:bottom w:val="single" w:color="000000" w:sz="4" w:space="0"/>
              <w:right w:val="single" w:color="000000" w:sz="4" w:space="0"/>
            </w:tcBorders>
          </w:tcPr>
          <w:p/>
        </w:tc>
        <w:tc>
          <w:tcPr>
            <w:tcW w:w="1334"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83" w:hRule="exact"/>
        </w:trPr>
        <w:tc>
          <w:tcPr>
            <w:tcW w:w="414" w:type="dxa"/>
            <w:vMerge w:val="continue"/>
            <w:tcBorders>
              <w:left w:val="single" w:color="000000" w:sz="4" w:space="0"/>
              <w:bottom w:val="single" w:color="000000" w:sz="4" w:space="0"/>
              <w:right w:val="single" w:color="000000" w:sz="4" w:space="0"/>
            </w:tcBorders>
          </w:tcPr>
          <w:p/>
        </w:tc>
        <w:tc>
          <w:tcPr>
            <w:tcW w:w="416" w:type="dxa"/>
            <w:tcBorders>
              <w:top w:val="single" w:color="000000" w:sz="4" w:space="0"/>
              <w:left w:val="single" w:color="000000" w:sz="4" w:space="0"/>
              <w:bottom w:val="single" w:color="000000" w:sz="4" w:space="0"/>
              <w:right w:val="single" w:color="000000" w:sz="4" w:space="0"/>
            </w:tcBorders>
          </w:tcPr>
          <w:p/>
        </w:tc>
        <w:tc>
          <w:tcPr>
            <w:tcW w:w="1107" w:type="dxa"/>
            <w:tcBorders>
              <w:top w:val="single" w:color="000000" w:sz="4" w:space="0"/>
              <w:left w:val="single" w:color="000000" w:sz="4" w:space="0"/>
              <w:bottom w:val="single" w:color="000000" w:sz="4" w:space="0"/>
              <w:right w:val="single" w:color="000000" w:sz="4" w:space="0"/>
            </w:tcBorders>
          </w:tcPr>
          <w:p/>
        </w:tc>
        <w:tc>
          <w:tcPr>
            <w:tcW w:w="1365" w:type="dxa"/>
            <w:tcBorders>
              <w:top w:val="single" w:color="000000" w:sz="4" w:space="0"/>
              <w:left w:val="single" w:color="000000" w:sz="4" w:space="0"/>
              <w:bottom w:val="single" w:color="000000" w:sz="4" w:space="0"/>
              <w:right w:val="single" w:color="000000" w:sz="4" w:space="0"/>
            </w:tcBorders>
          </w:tcPr>
          <w:p/>
        </w:tc>
        <w:tc>
          <w:tcPr>
            <w:tcW w:w="1460" w:type="dxa"/>
            <w:vMerge w:val="continue"/>
            <w:tcBorders>
              <w:left w:val="single" w:color="000000" w:sz="4" w:space="0"/>
              <w:bottom w:val="single" w:color="000000" w:sz="4" w:space="0"/>
              <w:right w:val="single" w:color="000000" w:sz="4" w:space="0"/>
            </w:tcBorders>
          </w:tcPr>
          <w:p/>
        </w:tc>
        <w:tc>
          <w:tcPr>
            <w:tcW w:w="1662" w:type="dxa"/>
            <w:vMerge w:val="continue"/>
            <w:tcBorders>
              <w:left w:val="single" w:color="000000" w:sz="4" w:space="0"/>
              <w:bottom w:val="single" w:color="000000" w:sz="4" w:space="0"/>
              <w:right w:val="single" w:color="000000" w:sz="4" w:space="0"/>
            </w:tcBorders>
          </w:tcPr>
          <w:p/>
        </w:tc>
        <w:tc>
          <w:tcPr>
            <w:tcW w:w="1165" w:type="dxa"/>
            <w:tcBorders>
              <w:top w:val="single" w:color="000000" w:sz="4" w:space="0"/>
              <w:left w:val="single" w:color="000000" w:sz="4" w:space="0"/>
              <w:bottom w:val="single" w:color="000000" w:sz="4" w:space="0"/>
              <w:right w:val="single" w:color="000000" w:sz="4" w:space="0"/>
            </w:tcBorders>
          </w:tcPr>
          <w:p/>
        </w:tc>
        <w:tc>
          <w:tcPr>
            <w:tcW w:w="1334"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282" w:hRule="exact"/>
        </w:trPr>
        <w:tc>
          <w:tcPr>
            <w:tcW w:w="414" w:type="dxa"/>
            <w:vMerge w:val="restart"/>
            <w:tcBorders>
              <w:top w:val="single" w:color="000000" w:sz="4" w:space="0"/>
              <w:left w:val="single" w:color="000000" w:sz="4" w:space="0"/>
              <w:right w:val="single" w:color="000000" w:sz="4" w:space="0"/>
            </w:tcBorders>
          </w:tcPr>
          <w:p>
            <w:pPr>
              <w:pStyle w:val="20"/>
              <w:spacing w:before="12"/>
              <w:rPr>
                <w:rFonts w:ascii="宋体" w:hAnsi="宋体" w:eastAsia="宋体" w:cs="宋体"/>
                <w:sz w:val="18"/>
                <w:szCs w:val="18"/>
              </w:rPr>
            </w:pPr>
          </w:p>
          <w:p>
            <w:pPr>
              <w:pStyle w:val="20"/>
              <w:jc w:val="center"/>
              <w:rPr>
                <w:rFonts w:ascii="宋体" w:hAnsi="宋体" w:eastAsia="宋体" w:cs="宋体"/>
                <w:sz w:val="21"/>
                <w:szCs w:val="21"/>
              </w:rPr>
            </w:pPr>
            <w:r>
              <w:rPr>
                <w:rFonts w:ascii="宋体"/>
                <w:w w:val="99"/>
                <w:sz w:val="21"/>
              </w:rPr>
              <w:t>B</w:t>
            </w:r>
          </w:p>
        </w:tc>
        <w:tc>
          <w:tcPr>
            <w:tcW w:w="416" w:type="dxa"/>
            <w:tcBorders>
              <w:top w:val="single" w:color="000000" w:sz="4" w:space="0"/>
              <w:left w:val="single" w:color="000000" w:sz="4" w:space="0"/>
              <w:bottom w:val="single" w:color="000000" w:sz="4" w:space="0"/>
              <w:right w:val="single" w:color="000000" w:sz="4" w:space="0"/>
            </w:tcBorders>
          </w:tcPr>
          <w:p/>
        </w:tc>
        <w:tc>
          <w:tcPr>
            <w:tcW w:w="1107" w:type="dxa"/>
            <w:tcBorders>
              <w:top w:val="single" w:color="000000" w:sz="4" w:space="0"/>
              <w:left w:val="single" w:color="000000" w:sz="4" w:space="0"/>
              <w:bottom w:val="single" w:color="000000" w:sz="4" w:space="0"/>
              <w:right w:val="single" w:color="000000" w:sz="4" w:space="0"/>
            </w:tcBorders>
          </w:tcPr>
          <w:p/>
        </w:tc>
        <w:tc>
          <w:tcPr>
            <w:tcW w:w="1365" w:type="dxa"/>
            <w:tcBorders>
              <w:top w:val="single" w:color="000000" w:sz="4" w:space="0"/>
              <w:left w:val="single" w:color="000000" w:sz="4" w:space="0"/>
              <w:bottom w:val="single" w:color="000000" w:sz="4" w:space="0"/>
              <w:right w:val="single" w:color="000000" w:sz="4" w:space="0"/>
            </w:tcBorders>
          </w:tcPr>
          <w:p/>
        </w:tc>
        <w:tc>
          <w:tcPr>
            <w:tcW w:w="1460" w:type="dxa"/>
            <w:vMerge w:val="restart"/>
            <w:tcBorders>
              <w:top w:val="single" w:color="000000" w:sz="4" w:space="0"/>
              <w:left w:val="single" w:color="000000" w:sz="4" w:space="0"/>
              <w:right w:val="single" w:color="000000" w:sz="4" w:space="0"/>
            </w:tcBorders>
          </w:tcPr>
          <w:p/>
        </w:tc>
        <w:tc>
          <w:tcPr>
            <w:tcW w:w="1662" w:type="dxa"/>
            <w:vMerge w:val="restart"/>
            <w:tcBorders>
              <w:top w:val="single" w:color="000000" w:sz="4" w:space="0"/>
              <w:left w:val="single" w:color="000000" w:sz="4" w:space="0"/>
              <w:right w:val="single" w:color="000000" w:sz="4" w:space="0"/>
            </w:tcBorders>
          </w:tcPr>
          <w:p/>
        </w:tc>
        <w:tc>
          <w:tcPr>
            <w:tcW w:w="1165" w:type="dxa"/>
            <w:tcBorders>
              <w:top w:val="single" w:color="000000" w:sz="4" w:space="0"/>
              <w:left w:val="single" w:color="000000" w:sz="4" w:space="0"/>
              <w:bottom w:val="single" w:color="000000" w:sz="4" w:space="0"/>
              <w:right w:val="single" w:color="000000" w:sz="4" w:space="0"/>
            </w:tcBorders>
          </w:tcPr>
          <w:p/>
        </w:tc>
        <w:tc>
          <w:tcPr>
            <w:tcW w:w="1334"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82" w:hRule="exact"/>
        </w:trPr>
        <w:tc>
          <w:tcPr>
            <w:tcW w:w="414" w:type="dxa"/>
            <w:vMerge w:val="continue"/>
            <w:tcBorders>
              <w:left w:val="single" w:color="000000" w:sz="4" w:space="0"/>
              <w:right w:val="single" w:color="000000" w:sz="4" w:space="0"/>
            </w:tcBorders>
          </w:tcPr>
          <w:p/>
        </w:tc>
        <w:tc>
          <w:tcPr>
            <w:tcW w:w="416" w:type="dxa"/>
            <w:tcBorders>
              <w:top w:val="single" w:color="000000" w:sz="4" w:space="0"/>
              <w:left w:val="single" w:color="000000" w:sz="4" w:space="0"/>
              <w:bottom w:val="single" w:color="000000" w:sz="4" w:space="0"/>
              <w:right w:val="single" w:color="000000" w:sz="4" w:space="0"/>
            </w:tcBorders>
          </w:tcPr>
          <w:p/>
        </w:tc>
        <w:tc>
          <w:tcPr>
            <w:tcW w:w="1107" w:type="dxa"/>
            <w:tcBorders>
              <w:top w:val="single" w:color="000000" w:sz="4" w:space="0"/>
              <w:left w:val="single" w:color="000000" w:sz="4" w:space="0"/>
              <w:bottom w:val="single" w:color="000000" w:sz="4" w:space="0"/>
              <w:right w:val="single" w:color="000000" w:sz="4" w:space="0"/>
            </w:tcBorders>
          </w:tcPr>
          <w:p/>
        </w:tc>
        <w:tc>
          <w:tcPr>
            <w:tcW w:w="1365" w:type="dxa"/>
            <w:tcBorders>
              <w:top w:val="single" w:color="000000" w:sz="4" w:space="0"/>
              <w:left w:val="single" w:color="000000" w:sz="4" w:space="0"/>
              <w:bottom w:val="single" w:color="000000" w:sz="4" w:space="0"/>
              <w:right w:val="single" w:color="000000" w:sz="4" w:space="0"/>
            </w:tcBorders>
          </w:tcPr>
          <w:p/>
        </w:tc>
        <w:tc>
          <w:tcPr>
            <w:tcW w:w="1460" w:type="dxa"/>
            <w:vMerge w:val="continue"/>
            <w:tcBorders>
              <w:left w:val="single" w:color="000000" w:sz="4" w:space="0"/>
              <w:right w:val="single" w:color="000000" w:sz="4" w:space="0"/>
            </w:tcBorders>
          </w:tcPr>
          <w:p/>
        </w:tc>
        <w:tc>
          <w:tcPr>
            <w:tcW w:w="1662" w:type="dxa"/>
            <w:vMerge w:val="continue"/>
            <w:tcBorders>
              <w:left w:val="single" w:color="000000" w:sz="4" w:space="0"/>
              <w:right w:val="single" w:color="000000" w:sz="4" w:space="0"/>
            </w:tcBorders>
          </w:tcPr>
          <w:p/>
        </w:tc>
        <w:tc>
          <w:tcPr>
            <w:tcW w:w="1165" w:type="dxa"/>
            <w:tcBorders>
              <w:top w:val="single" w:color="000000" w:sz="4" w:space="0"/>
              <w:left w:val="single" w:color="000000" w:sz="4" w:space="0"/>
              <w:bottom w:val="single" w:color="000000" w:sz="4" w:space="0"/>
              <w:right w:val="single" w:color="000000" w:sz="4" w:space="0"/>
            </w:tcBorders>
          </w:tcPr>
          <w:p/>
        </w:tc>
        <w:tc>
          <w:tcPr>
            <w:tcW w:w="1334"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83" w:hRule="exact"/>
        </w:trPr>
        <w:tc>
          <w:tcPr>
            <w:tcW w:w="414" w:type="dxa"/>
            <w:vMerge w:val="continue"/>
            <w:tcBorders>
              <w:left w:val="single" w:color="000000" w:sz="4" w:space="0"/>
              <w:bottom w:val="single" w:color="000000" w:sz="4" w:space="0"/>
              <w:right w:val="single" w:color="000000" w:sz="4" w:space="0"/>
            </w:tcBorders>
          </w:tcPr>
          <w:p/>
        </w:tc>
        <w:tc>
          <w:tcPr>
            <w:tcW w:w="416" w:type="dxa"/>
            <w:tcBorders>
              <w:top w:val="single" w:color="000000" w:sz="4" w:space="0"/>
              <w:left w:val="single" w:color="000000" w:sz="4" w:space="0"/>
              <w:bottom w:val="single" w:color="000000" w:sz="4" w:space="0"/>
              <w:right w:val="single" w:color="000000" w:sz="4" w:space="0"/>
            </w:tcBorders>
          </w:tcPr>
          <w:p/>
        </w:tc>
        <w:tc>
          <w:tcPr>
            <w:tcW w:w="1107" w:type="dxa"/>
            <w:tcBorders>
              <w:top w:val="single" w:color="000000" w:sz="4" w:space="0"/>
              <w:left w:val="single" w:color="000000" w:sz="4" w:space="0"/>
              <w:bottom w:val="single" w:color="000000" w:sz="4" w:space="0"/>
              <w:right w:val="single" w:color="000000" w:sz="4" w:space="0"/>
            </w:tcBorders>
          </w:tcPr>
          <w:p/>
        </w:tc>
        <w:tc>
          <w:tcPr>
            <w:tcW w:w="1365" w:type="dxa"/>
            <w:tcBorders>
              <w:top w:val="single" w:color="000000" w:sz="4" w:space="0"/>
              <w:left w:val="single" w:color="000000" w:sz="4" w:space="0"/>
              <w:bottom w:val="single" w:color="000000" w:sz="4" w:space="0"/>
              <w:right w:val="single" w:color="000000" w:sz="4" w:space="0"/>
            </w:tcBorders>
          </w:tcPr>
          <w:p/>
        </w:tc>
        <w:tc>
          <w:tcPr>
            <w:tcW w:w="1460" w:type="dxa"/>
            <w:vMerge w:val="continue"/>
            <w:tcBorders>
              <w:left w:val="single" w:color="000000" w:sz="4" w:space="0"/>
              <w:bottom w:val="single" w:color="000000" w:sz="4" w:space="0"/>
              <w:right w:val="single" w:color="000000" w:sz="4" w:space="0"/>
            </w:tcBorders>
          </w:tcPr>
          <w:p/>
        </w:tc>
        <w:tc>
          <w:tcPr>
            <w:tcW w:w="1662" w:type="dxa"/>
            <w:vMerge w:val="continue"/>
            <w:tcBorders>
              <w:left w:val="single" w:color="000000" w:sz="4" w:space="0"/>
              <w:bottom w:val="single" w:color="000000" w:sz="4" w:space="0"/>
              <w:right w:val="single" w:color="000000" w:sz="4" w:space="0"/>
            </w:tcBorders>
          </w:tcPr>
          <w:p/>
        </w:tc>
        <w:tc>
          <w:tcPr>
            <w:tcW w:w="1165" w:type="dxa"/>
            <w:tcBorders>
              <w:top w:val="single" w:color="000000" w:sz="4" w:space="0"/>
              <w:left w:val="single" w:color="000000" w:sz="4" w:space="0"/>
              <w:bottom w:val="single" w:color="000000" w:sz="4" w:space="0"/>
              <w:right w:val="single" w:color="000000" w:sz="4" w:space="0"/>
            </w:tcBorders>
          </w:tcPr>
          <w:p/>
        </w:tc>
        <w:tc>
          <w:tcPr>
            <w:tcW w:w="1334"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r>
    </w:tbl>
    <w:p>
      <w:pPr>
        <w:spacing w:before="58" w:line="331" w:lineRule="auto"/>
        <w:ind w:left="372" w:right="1415"/>
        <w:rPr>
          <w:rFonts w:ascii="宋体" w:hAnsi="宋体" w:eastAsia="宋体" w:cs="宋体"/>
          <w:sz w:val="21"/>
          <w:szCs w:val="21"/>
          <w:lang w:eastAsia="zh-CN"/>
        </w:rPr>
      </w:pPr>
      <w:r>
        <w:rPr>
          <w:rFonts w:ascii="宋体" w:hAnsi="宋体" w:eastAsia="宋体" w:cs="宋体"/>
          <w:sz w:val="21"/>
          <w:szCs w:val="21"/>
          <w:lang w:eastAsia="zh-CN"/>
        </w:rPr>
        <w:t>注：</w:t>
      </w:r>
      <w:r>
        <w:rPr>
          <w:rFonts w:ascii="宋体" w:hAnsi="宋体" w:eastAsia="宋体" w:cs="宋体"/>
          <w:w w:val="99"/>
          <w:sz w:val="21"/>
          <w:szCs w:val="21"/>
          <w:lang w:eastAsia="zh-CN"/>
        </w:rPr>
        <w:t xml:space="preserve"> </w:t>
      </w:r>
      <w:r>
        <w:rPr>
          <w:rFonts w:ascii="宋体" w:hAnsi="宋体" w:eastAsia="宋体" w:cs="宋体"/>
          <w:w w:val="95"/>
          <w:sz w:val="21"/>
          <w:szCs w:val="21"/>
          <w:lang w:eastAsia="zh-CN"/>
        </w:rPr>
        <w:t>1.当一个合同包内有多个属于清单内产品时，供应商应详细填写并计算出该类产品合计金额。</w:t>
      </w:r>
    </w:p>
    <w:p>
      <w:pPr>
        <w:spacing w:before="24"/>
        <w:ind w:left="372"/>
        <w:rPr>
          <w:rFonts w:ascii="宋体" w:hAnsi="宋体" w:eastAsia="宋体" w:cs="宋体"/>
          <w:sz w:val="21"/>
          <w:szCs w:val="21"/>
          <w:lang w:eastAsia="zh-CN"/>
        </w:rPr>
      </w:pPr>
      <w:r>
        <w:rPr>
          <w:rFonts w:ascii="宋体" w:hAnsi="宋体" w:eastAsia="宋体" w:cs="宋体"/>
          <w:sz w:val="21"/>
          <w:szCs w:val="21"/>
          <w:lang w:eastAsia="zh-CN"/>
        </w:rPr>
        <w:t>2.栏目</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5</w:t>
      </w:r>
      <w:r>
        <w:rPr>
          <w:rFonts w:ascii="宋体" w:hAnsi="宋体" w:eastAsia="宋体" w:cs="宋体"/>
          <w:spacing w:val="-58"/>
          <w:sz w:val="21"/>
          <w:szCs w:val="21"/>
          <w:lang w:eastAsia="zh-CN"/>
        </w:rPr>
        <w:t xml:space="preserve"> </w:t>
      </w:r>
      <w:r>
        <w:rPr>
          <w:rFonts w:ascii="宋体" w:hAnsi="宋体" w:eastAsia="宋体" w:cs="宋体"/>
          <w:sz w:val="21"/>
          <w:szCs w:val="21"/>
          <w:lang w:eastAsia="zh-CN"/>
        </w:rPr>
        <w:t>为栏目</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58"/>
          <w:sz w:val="21"/>
          <w:szCs w:val="21"/>
          <w:lang w:eastAsia="zh-CN"/>
        </w:rPr>
        <w:t xml:space="preserve"> </w:t>
      </w:r>
      <w:r>
        <w:rPr>
          <w:rFonts w:ascii="宋体" w:hAnsi="宋体" w:eastAsia="宋体" w:cs="宋体"/>
          <w:sz w:val="21"/>
          <w:szCs w:val="21"/>
          <w:lang w:eastAsia="zh-CN"/>
        </w:rPr>
        <w:t>中认可的总金额÷栏目</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4。栏目</w:t>
      </w:r>
      <w:r>
        <w:rPr>
          <w:rFonts w:ascii="宋体" w:hAnsi="宋体" w:eastAsia="宋体" w:cs="宋体"/>
          <w:spacing w:val="-57"/>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填报金额必须与报价一览表中的金额一致。</w:t>
      </w:r>
    </w:p>
    <w:p>
      <w:pPr>
        <w:spacing w:before="106" w:line="331" w:lineRule="auto"/>
        <w:ind w:left="372"/>
        <w:rPr>
          <w:rFonts w:ascii="宋体" w:hAnsi="宋体" w:eastAsia="宋体" w:cs="宋体"/>
          <w:sz w:val="21"/>
          <w:szCs w:val="21"/>
          <w:lang w:eastAsia="zh-CN"/>
        </w:rPr>
      </w:pPr>
      <w:r>
        <w:rPr>
          <w:rFonts w:ascii="宋体" w:hAnsi="宋体" w:eastAsia="宋体" w:cs="宋体"/>
          <w:sz w:val="21"/>
          <w:szCs w:val="21"/>
          <w:lang w:eastAsia="zh-CN"/>
        </w:rPr>
        <w:t>3.</w:t>
      </w:r>
      <w:r>
        <w:rPr>
          <w:rFonts w:ascii="宋体" w:hAnsi="宋体" w:eastAsia="宋体" w:cs="宋体"/>
          <w:spacing w:val="-17"/>
          <w:sz w:val="21"/>
          <w:szCs w:val="21"/>
          <w:lang w:eastAsia="zh-CN"/>
        </w:rPr>
        <w:t xml:space="preserve"> </w:t>
      </w:r>
      <w:r>
        <w:rPr>
          <w:rFonts w:ascii="宋体" w:hAnsi="宋体" w:eastAsia="宋体" w:cs="宋体"/>
          <w:spacing w:val="2"/>
          <w:sz w:val="21"/>
          <w:szCs w:val="21"/>
          <w:lang w:eastAsia="zh-CN"/>
        </w:rPr>
        <w:t>以上属节能（</w:t>
      </w:r>
      <w:r>
        <w:rPr>
          <w:rFonts w:ascii="宋体" w:hAnsi="宋体" w:eastAsia="宋体" w:cs="宋体"/>
          <w:b/>
          <w:bCs/>
          <w:spacing w:val="2"/>
          <w:sz w:val="21"/>
          <w:szCs w:val="21"/>
          <w:lang w:eastAsia="zh-CN"/>
        </w:rPr>
        <w:t>非强制类产品</w:t>
      </w:r>
      <w:r>
        <w:rPr>
          <w:rFonts w:ascii="宋体" w:hAnsi="宋体" w:eastAsia="宋体" w:cs="宋体"/>
          <w:spacing w:val="2"/>
          <w:sz w:val="21"/>
          <w:szCs w:val="21"/>
          <w:lang w:eastAsia="zh-CN"/>
        </w:rPr>
        <w:t>）产品须提供清单内产品的证明材料（即所投产品在节能产品政府采购清</w:t>
      </w:r>
      <w:r>
        <w:rPr>
          <w:rFonts w:ascii="宋体" w:hAnsi="宋体" w:eastAsia="宋体" w:cs="宋体"/>
          <w:w w:val="99"/>
          <w:sz w:val="21"/>
          <w:szCs w:val="21"/>
          <w:lang w:eastAsia="zh-CN"/>
        </w:rPr>
        <w:t xml:space="preserve"> </w:t>
      </w:r>
      <w:r>
        <w:rPr>
          <w:rFonts w:ascii="宋体" w:hAnsi="宋体" w:eastAsia="宋体" w:cs="宋体"/>
          <w:sz w:val="21"/>
          <w:szCs w:val="21"/>
          <w:lang w:eastAsia="zh-CN"/>
        </w:rPr>
        <w:t>单中的所在页，节能产品政府采购清单应在中国政府采购网</w:t>
      </w:r>
      <w:r>
        <w:rPr>
          <w:rFonts w:ascii="宋体" w:hAnsi="宋体" w:eastAsia="宋体" w:cs="宋体"/>
          <w:spacing w:val="-76"/>
          <w:sz w:val="21"/>
          <w:szCs w:val="21"/>
          <w:lang w:eastAsia="zh-CN"/>
        </w:rPr>
        <w:t xml:space="preserve"> </w:t>
      </w:r>
      <w:r>
        <w:fldChar w:fldCharType="begin"/>
      </w:r>
      <w:r>
        <w:instrText xml:space="preserve"> HYPERLINK "http://www.ccgp.gov.cn/%E6%9F%A5%E8%AF%A2" \h </w:instrText>
      </w:r>
      <w:r>
        <w:fldChar w:fldCharType="separate"/>
      </w:r>
      <w:r>
        <w:rPr>
          <w:rFonts w:ascii="宋体" w:hAnsi="宋体" w:eastAsia="宋体" w:cs="宋体"/>
          <w:sz w:val="21"/>
          <w:szCs w:val="21"/>
          <w:lang w:eastAsia="zh-CN"/>
        </w:rPr>
        <w:t>http://www.ccgp.gov.cn/查询</w:t>
      </w:r>
      <w:r>
        <w:rPr>
          <w:rFonts w:ascii="宋体" w:hAnsi="宋体" w:eastAsia="宋体" w:cs="宋体"/>
          <w:sz w:val="21"/>
          <w:szCs w:val="21"/>
          <w:lang w:eastAsia="zh-CN"/>
        </w:rPr>
        <w:fldChar w:fldCharType="end"/>
      </w:r>
      <w:r>
        <w:rPr>
          <w:rFonts w:ascii="宋体" w:hAnsi="宋体" w:eastAsia="宋体" w:cs="宋体"/>
          <w:sz w:val="21"/>
          <w:szCs w:val="21"/>
          <w:lang w:eastAsia="zh-CN"/>
        </w:rPr>
        <w:t>）。</w:t>
      </w:r>
    </w:p>
    <w:p>
      <w:pPr>
        <w:spacing w:before="24"/>
        <w:ind w:left="372" w:right="1415"/>
        <w:rPr>
          <w:rFonts w:ascii="宋体" w:hAnsi="宋体" w:eastAsia="宋体" w:cs="宋体"/>
          <w:sz w:val="21"/>
          <w:szCs w:val="21"/>
          <w:lang w:eastAsia="zh-CN"/>
        </w:rPr>
      </w:pPr>
      <w:r>
        <w:rPr>
          <w:rFonts w:ascii="宋体" w:hAnsi="宋体" w:eastAsia="宋体" w:cs="宋体"/>
          <w:sz w:val="21"/>
          <w:szCs w:val="21"/>
          <w:lang w:eastAsia="zh-CN"/>
        </w:rPr>
        <w:t>4.</w:t>
      </w:r>
      <w:r>
        <w:rPr>
          <w:rFonts w:ascii="宋体" w:hAnsi="宋体" w:eastAsia="宋体" w:cs="宋体"/>
          <w:spacing w:val="-9"/>
          <w:sz w:val="21"/>
          <w:szCs w:val="21"/>
          <w:lang w:eastAsia="zh-CN"/>
        </w:rPr>
        <w:t xml:space="preserve"> </w:t>
      </w:r>
      <w:r>
        <w:rPr>
          <w:rFonts w:ascii="宋体" w:hAnsi="宋体" w:eastAsia="宋体" w:cs="宋体"/>
          <w:sz w:val="21"/>
          <w:szCs w:val="21"/>
          <w:lang w:eastAsia="zh-CN"/>
        </w:rPr>
        <w:t>计算分数时四舍五入取小数点后两位。</w:t>
      </w:r>
    </w:p>
    <w:p>
      <w:pPr>
        <w:spacing w:before="13"/>
        <w:ind w:left="852" w:right="1415" w:hanging="480"/>
        <w:rPr>
          <w:rFonts w:ascii="宋体" w:hAnsi="宋体" w:eastAsia="宋体" w:cs="宋体"/>
          <w:sz w:val="21"/>
          <w:szCs w:val="21"/>
          <w:lang w:eastAsia="zh-CN"/>
        </w:rPr>
      </w:pPr>
      <w:r>
        <w:rPr>
          <w:rFonts w:ascii="宋体" w:hAnsi="宋体" w:eastAsia="宋体" w:cs="宋体"/>
          <w:sz w:val="21"/>
          <w:szCs w:val="21"/>
          <w:lang w:eastAsia="zh-CN"/>
        </w:rPr>
        <w:t>5.</w:t>
      </w:r>
      <w:r>
        <w:rPr>
          <w:rFonts w:ascii="宋体" w:hAnsi="宋体" w:eastAsia="宋体" w:cs="宋体"/>
          <w:spacing w:val="-9"/>
          <w:sz w:val="21"/>
          <w:szCs w:val="21"/>
          <w:lang w:eastAsia="zh-CN"/>
        </w:rPr>
        <w:t xml:space="preserve"> </w:t>
      </w:r>
      <w:r>
        <w:rPr>
          <w:rFonts w:ascii="宋体" w:hAnsi="宋体" w:eastAsia="宋体" w:cs="宋体"/>
          <w:sz w:val="21"/>
          <w:szCs w:val="21"/>
          <w:lang w:eastAsia="zh-CN"/>
        </w:rPr>
        <w:t>本表可根据项目包组情况同格式扩展。</w:t>
      </w: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0"/>
        <w:rPr>
          <w:rFonts w:ascii="宋体" w:hAnsi="宋体" w:eastAsia="宋体" w:cs="宋体"/>
          <w:sz w:val="26"/>
          <w:szCs w:val="26"/>
          <w:lang w:eastAsia="zh-CN"/>
        </w:rPr>
      </w:pPr>
    </w:p>
    <w:p>
      <w:pPr>
        <w:pStyle w:val="10"/>
        <w:spacing w:before="0" w:line="304" w:lineRule="auto"/>
        <w:ind w:left="852" w:right="4995"/>
        <w:rPr>
          <w:lang w:eastAsia="zh-CN"/>
        </w:rPr>
      </w:pPr>
      <w:r>
        <w:rPr>
          <w:lang w:eastAsia="zh-CN"/>
        </w:rPr>
        <w:t xml:space="preserve">供应商名称（公章）： </w:t>
      </w:r>
    </w:p>
    <w:p>
      <w:pPr>
        <w:pStyle w:val="10"/>
        <w:spacing w:before="0" w:line="304" w:lineRule="auto"/>
        <w:ind w:left="852" w:right="4995"/>
        <w:rPr>
          <w:lang w:eastAsia="zh-CN"/>
        </w:rPr>
      </w:pPr>
      <w:r>
        <w:rPr>
          <w:lang w:eastAsia="zh-CN"/>
        </w:rPr>
        <w:t>法定代表人或授权代表（签字或盖章）： 年 月 日</w:t>
      </w:r>
    </w:p>
    <w:p>
      <w:pPr>
        <w:spacing w:before="9"/>
        <w:rPr>
          <w:rFonts w:ascii="宋体" w:hAnsi="宋体" w:eastAsia="宋体" w:cs="宋体"/>
          <w:sz w:val="33"/>
          <w:szCs w:val="33"/>
          <w:lang w:eastAsia="zh-CN"/>
        </w:rPr>
      </w:pPr>
    </w:p>
    <w:p>
      <w:pPr>
        <w:rPr>
          <w:rFonts w:ascii="宋体" w:hAnsi="宋体" w:eastAsia="宋体"/>
          <w:b/>
          <w:bCs/>
          <w:sz w:val="28"/>
          <w:szCs w:val="28"/>
          <w:lang w:eastAsia="zh-CN"/>
        </w:rPr>
      </w:pPr>
      <w:bookmarkStart w:id="105" w:name="附件六：节能（非强制类产品）产品证明文件"/>
      <w:bookmarkEnd w:id="105"/>
      <w:r>
        <w:rPr>
          <w:lang w:eastAsia="zh-CN"/>
        </w:rPr>
        <w:br w:type="page"/>
      </w:r>
    </w:p>
    <w:p>
      <w:pPr>
        <w:pStyle w:val="7"/>
        <w:spacing w:line="363" w:lineRule="exact"/>
        <w:ind w:left="172" w:right="233"/>
        <w:rPr>
          <w:b w:val="0"/>
          <w:bCs w:val="0"/>
          <w:lang w:eastAsia="zh-CN"/>
        </w:rPr>
      </w:pPr>
      <w:r>
        <w:rPr>
          <w:lang w:eastAsia="zh-CN"/>
        </w:rPr>
        <w:t>附件六：节能（非强制类产品）产品证明文件</w:t>
      </w:r>
    </w:p>
    <w:p>
      <w:pPr>
        <w:rPr>
          <w:rFonts w:ascii="宋体" w:hAnsi="宋体" w:eastAsia="宋体" w:cs="宋体"/>
          <w:b/>
          <w:bCs/>
          <w:sz w:val="20"/>
          <w:szCs w:val="20"/>
          <w:lang w:eastAsia="zh-CN"/>
        </w:rPr>
      </w:pPr>
    </w:p>
    <w:p>
      <w:pPr>
        <w:spacing w:before="6"/>
        <w:rPr>
          <w:rFonts w:ascii="宋体" w:hAnsi="宋体" w:eastAsia="宋体" w:cs="宋体"/>
          <w:b/>
          <w:bCs/>
          <w:sz w:val="19"/>
          <w:szCs w:val="19"/>
          <w:lang w:eastAsia="zh-CN"/>
        </w:rPr>
      </w:pPr>
    </w:p>
    <w:p>
      <w:pPr>
        <w:spacing w:line="10609" w:lineRule="exact"/>
        <w:ind w:left="114"/>
        <w:rPr>
          <w:rFonts w:ascii="宋体" w:hAnsi="宋体" w:eastAsia="宋体" w:cs="宋体"/>
          <w:sz w:val="20"/>
          <w:szCs w:val="20"/>
        </w:rPr>
      </w:pPr>
      <w:r>
        <w:rPr>
          <w:rFonts w:ascii="宋体" w:hAnsi="宋体" w:eastAsia="宋体" w:cs="宋体"/>
          <w:position w:val="-211"/>
          <w:sz w:val="20"/>
          <w:szCs w:val="20"/>
          <w:lang w:eastAsia="zh-CN"/>
        </w:rPr>
        <w:pict>
          <v:shape id="Text Box 48" o:spid="_x0000_s1064" o:spt="202" type="#_x0000_t202" style="height:530.45pt;width:487.9pt;" filled="f" coordsize="21600,21600">
            <v:path/>
            <v:fill on="f" focussize="0,0"/>
            <v:stroke weight="0.48pt" joinstyle="miter"/>
            <v:imagedata o:title=""/>
            <o:lock v:ext="edit"/>
            <v:textbox inset="0mm,0mm,0mm,0mm">
              <w:txbxContent>
                <w:p>
                  <w:pPr>
                    <w:spacing w:line="275" w:lineRule="exact"/>
                    <w:ind w:left="101"/>
                    <w:rPr>
                      <w:rFonts w:ascii="宋体" w:hAnsi="宋体" w:eastAsia="宋体" w:cs="宋体"/>
                      <w:sz w:val="24"/>
                      <w:szCs w:val="24"/>
                      <w:lang w:eastAsia="zh-CN"/>
                    </w:rPr>
                  </w:pPr>
                  <w:r>
                    <w:rPr>
                      <w:rFonts w:ascii="宋体" w:hAnsi="宋体" w:eastAsia="宋体" w:cs="宋体"/>
                      <w:sz w:val="24"/>
                      <w:szCs w:val="24"/>
                      <w:lang w:eastAsia="zh-CN"/>
                    </w:rPr>
                    <w:t>提供本磋商文件要求的证明材料，并标明所在位置（若有）。</w:t>
                  </w:r>
                </w:p>
              </w:txbxContent>
            </v:textbox>
            <w10:wrap type="none"/>
            <w10:anchorlock/>
          </v:shape>
        </w:pict>
      </w:r>
    </w:p>
    <w:p>
      <w:pPr>
        <w:spacing w:before="3"/>
        <w:rPr>
          <w:rFonts w:ascii="宋体" w:hAnsi="宋体" w:eastAsia="宋体" w:cs="宋体"/>
          <w:b/>
          <w:bCs/>
          <w:sz w:val="16"/>
          <w:szCs w:val="16"/>
        </w:rPr>
      </w:pPr>
    </w:p>
    <w:p>
      <w:pPr>
        <w:pStyle w:val="10"/>
        <w:spacing w:before="28" w:line="237" w:lineRule="auto"/>
        <w:ind w:left="172" w:right="5275"/>
        <w:rPr>
          <w:lang w:eastAsia="zh-CN"/>
        </w:rPr>
      </w:pPr>
      <w:r>
        <w:rPr>
          <w:lang w:eastAsia="zh-CN"/>
        </w:rPr>
        <w:t>供应商名称（公章）： 法定代表人或授权代表（签字或盖章）： 年 月 日</w:t>
      </w:r>
    </w:p>
    <w:p>
      <w:pPr>
        <w:spacing w:line="237" w:lineRule="auto"/>
        <w:rPr>
          <w:lang w:eastAsia="zh-CN"/>
        </w:rPr>
        <w:sectPr>
          <w:pgSz w:w="11910" w:h="16840"/>
          <w:pgMar w:top="1180" w:right="960" w:bottom="960" w:left="960" w:header="0" w:footer="771" w:gutter="0"/>
          <w:cols w:space="720" w:num="1"/>
        </w:sectPr>
      </w:pPr>
    </w:p>
    <w:p>
      <w:pPr>
        <w:pStyle w:val="7"/>
        <w:spacing w:before="34"/>
        <w:ind w:left="332" w:right="1375"/>
        <w:rPr>
          <w:b w:val="0"/>
          <w:bCs w:val="0"/>
          <w:lang w:eastAsia="zh-CN"/>
        </w:rPr>
      </w:pPr>
      <w:bookmarkStart w:id="106" w:name="附件七：环境标志产品加分明细表"/>
      <w:bookmarkEnd w:id="106"/>
      <w:r>
        <w:rPr>
          <w:lang w:eastAsia="zh-CN"/>
        </w:rPr>
        <w:t>附件七：环境标志产品加分明细表</w:t>
      </w:r>
    </w:p>
    <w:p>
      <w:pPr>
        <w:spacing w:before="17"/>
        <w:ind w:left="332" w:right="1375"/>
        <w:rPr>
          <w:rFonts w:ascii="宋体" w:hAnsi="宋体" w:eastAsia="宋体" w:cs="宋体"/>
          <w:sz w:val="21"/>
          <w:szCs w:val="21"/>
          <w:lang w:eastAsia="zh-CN"/>
        </w:rPr>
      </w:pPr>
      <w:r>
        <w:rPr>
          <w:rFonts w:ascii="宋体" w:hAnsi="宋体" w:eastAsia="宋体" w:cs="宋体"/>
          <w:sz w:val="21"/>
          <w:szCs w:val="21"/>
          <w:lang w:eastAsia="zh-CN"/>
        </w:rPr>
        <w:t>注：若有，请按下表要求填报。</w:t>
      </w:r>
    </w:p>
    <w:p>
      <w:pPr>
        <w:spacing w:before="6"/>
        <w:rPr>
          <w:rFonts w:ascii="宋体" w:hAnsi="宋体" w:eastAsia="宋体" w:cs="宋体"/>
          <w:sz w:val="2"/>
          <w:szCs w:val="2"/>
          <w:lang w:eastAsia="zh-CN"/>
        </w:rPr>
      </w:pPr>
    </w:p>
    <w:tbl>
      <w:tblPr>
        <w:tblStyle w:val="18"/>
        <w:tblW w:w="9559" w:type="dxa"/>
        <w:tblInd w:w="369" w:type="dxa"/>
        <w:tblLayout w:type="fixed"/>
        <w:tblCellMar>
          <w:top w:w="0" w:type="dxa"/>
          <w:left w:w="0" w:type="dxa"/>
          <w:bottom w:w="0" w:type="dxa"/>
          <w:right w:w="0" w:type="dxa"/>
        </w:tblCellMar>
      </w:tblPr>
      <w:tblGrid>
        <w:gridCol w:w="406"/>
        <w:gridCol w:w="406"/>
        <w:gridCol w:w="1080"/>
        <w:gridCol w:w="1333"/>
        <w:gridCol w:w="1427"/>
        <w:gridCol w:w="1624"/>
        <w:gridCol w:w="1139"/>
        <w:gridCol w:w="1304"/>
        <w:gridCol w:w="840"/>
      </w:tblGrid>
      <w:tr>
        <w:tblPrEx>
          <w:tblLayout w:type="fixed"/>
          <w:tblCellMar>
            <w:top w:w="0" w:type="dxa"/>
            <w:left w:w="0" w:type="dxa"/>
            <w:bottom w:w="0" w:type="dxa"/>
            <w:right w:w="0" w:type="dxa"/>
          </w:tblCellMar>
        </w:tblPrEx>
        <w:trPr>
          <w:trHeight w:val="290" w:hRule="exact"/>
        </w:trPr>
        <w:tc>
          <w:tcPr>
            <w:tcW w:w="812" w:type="dxa"/>
            <w:gridSpan w:val="2"/>
            <w:tcBorders>
              <w:top w:val="single" w:color="000000" w:sz="4" w:space="0"/>
              <w:left w:val="single" w:color="000000" w:sz="4" w:space="0"/>
              <w:bottom w:val="single" w:color="000000" w:sz="4" w:space="0"/>
              <w:right w:val="single" w:color="000000" w:sz="4" w:space="0"/>
            </w:tcBorders>
          </w:tcPr>
          <w:p>
            <w:pPr>
              <w:pStyle w:val="20"/>
              <w:spacing w:line="244" w:lineRule="exact"/>
              <w:ind w:left="453"/>
              <w:rPr>
                <w:rFonts w:ascii="宋体" w:hAnsi="宋体" w:eastAsia="宋体" w:cs="宋体"/>
                <w:sz w:val="21"/>
                <w:szCs w:val="21"/>
              </w:rPr>
            </w:pPr>
            <w:r>
              <w:rPr>
                <w:rFonts w:ascii="宋体"/>
                <w:w w:val="99"/>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20"/>
              <w:spacing w:line="244" w:lineRule="exact"/>
              <w:ind w:left="207"/>
              <w:jc w:val="center"/>
              <w:rPr>
                <w:rFonts w:ascii="宋体" w:hAnsi="宋体" w:eastAsia="宋体" w:cs="宋体"/>
                <w:sz w:val="21"/>
                <w:szCs w:val="21"/>
              </w:rPr>
            </w:pPr>
            <w:r>
              <w:rPr>
                <w:rFonts w:ascii="宋体"/>
                <w:w w:val="99"/>
                <w:sz w:val="21"/>
              </w:rPr>
              <w:t>2</w:t>
            </w:r>
          </w:p>
        </w:tc>
        <w:tc>
          <w:tcPr>
            <w:tcW w:w="1333" w:type="dxa"/>
            <w:tcBorders>
              <w:top w:val="single" w:color="000000" w:sz="4" w:space="0"/>
              <w:left w:val="single" w:color="000000" w:sz="4" w:space="0"/>
              <w:bottom w:val="single" w:color="000000" w:sz="4" w:space="0"/>
              <w:right w:val="single" w:color="000000" w:sz="4" w:space="0"/>
            </w:tcBorders>
          </w:tcPr>
          <w:p>
            <w:pPr>
              <w:pStyle w:val="20"/>
              <w:spacing w:line="244" w:lineRule="exact"/>
              <w:ind w:left="209"/>
              <w:jc w:val="center"/>
              <w:rPr>
                <w:rFonts w:ascii="宋体" w:hAnsi="宋体" w:eastAsia="宋体" w:cs="宋体"/>
                <w:sz w:val="21"/>
                <w:szCs w:val="21"/>
              </w:rPr>
            </w:pPr>
            <w:r>
              <w:rPr>
                <w:rFonts w:ascii="宋体"/>
                <w:w w:val="99"/>
                <w:sz w:val="21"/>
              </w:rPr>
              <w:t>3</w:t>
            </w:r>
          </w:p>
        </w:tc>
        <w:tc>
          <w:tcPr>
            <w:tcW w:w="1427" w:type="dxa"/>
            <w:tcBorders>
              <w:top w:val="single" w:color="000000" w:sz="4" w:space="0"/>
              <w:left w:val="single" w:color="000000" w:sz="4" w:space="0"/>
              <w:bottom w:val="single" w:color="000000" w:sz="4" w:space="0"/>
              <w:right w:val="single" w:color="000000" w:sz="4" w:space="0"/>
            </w:tcBorders>
          </w:tcPr>
          <w:p>
            <w:pPr>
              <w:pStyle w:val="20"/>
              <w:spacing w:line="244" w:lineRule="exact"/>
              <w:ind w:left="314"/>
              <w:jc w:val="center"/>
              <w:rPr>
                <w:rFonts w:ascii="宋体" w:hAnsi="宋体" w:eastAsia="宋体" w:cs="宋体"/>
                <w:sz w:val="21"/>
                <w:szCs w:val="21"/>
              </w:rPr>
            </w:pPr>
            <w:r>
              <w:rPr>
                <w:rFonts w:ascii="宋体"/>
                <w:w w:val="99"/>
                <w:sz w:val="21"/>
              </w:rPr>
              <w:t>4</w:t>
            </w:r>
          </w:p>
        </w:tc>
        <w:tc>
          <w:tcPr>
            <w:tcW w:w="1624" w:type="dxa"/>
            <w:tcBorders>
              <w:top w:val="single" w:color="000000" w:sz="4" w:space="0"/>
              <w:left w:val="single" w:color="000000" w:sz="4" w:space="0"/>
              <w:bottom w:val="single" w:color="000000" w:sz="4" w:space="0"/>
              <w:right w:val="single" w:color="000000" w:sz="4" w:space="0"/>
            </w:tcBorders>
          </w:tcPr>
          <w:p>
            <w:pPr>
              <w:pStyle w:val="20"/>
              <w:spacing w:line="244" w:lineRule="exact"/>
              <w:ind w:left="994"/>
              <w:rPr>
                <w:rFonts w:ascii="宋体" w:hAnsi="宋体" w:eastAsia="宋体" w:cs="宋体"/>
                <w:sz w:val="21"/>
                <w:szCs w:val="21"/>
              </w:rPr>
            </w:pPr>
            <w:r>
              <w:rPr>
                <w:rFonts w:ascii="宋体"/>
                <w:w w:val="99"/>
                <w:sz w:val="21"/>
              </w:rPr>
              <w:t>5</w:t>
            </w:r>
          </w:p>
        </w:tc>
        <w:tc>
          <w:tcPr>
            <w:tcW w:w="1139" w:type="dxa"/>
            <w:tcBorders>
              <w:top w:val="single" w:color="000000" w:sz="4" w:space="0"/>
              <w:left w:val="single" w:color="000000" w:sz="4" w:space="0"/>
              <w:bottom w:val="single" w:color="000000" w:sz="4" w:space="0"/>
              <w:right w:val="single" w:color="000000" w:sz="4" w:space="0"/>
            </w:tcBorders>
          </w:tcPr>
          <w:p>
            <w:pPr>
              <w:pStyle w:val="20"/>
              <w:spacing w:line="244" w:lineRule="exact"/>
              <w:ind w:left="669"/>
              <w:rPr>
                <w:rFonts w:ascii="宋体" w:hAnsi="宋体" w:eastAsia="宋体" w:cs="宋体"/>
                <w:sz w:val="21"/>
                <w:szCs w:val="21"/>
              </w:rPr>
            </w:pPr>
            <w:r>
              <w:rPr>
                <w:rFonts w:ascii="宋体"/>
                <w:w w:val="99"/>
                <w:sz w:val="21"/>
              </w:rPr>
              <w:t>6</w:t>
            </w:r>
          </w:p>
        </w:tc>
        <w:tc>
          <w:tcPr>
            <w:tcW w:w="1304" w:type="dxa"/>
            <w:tcBorders>
              <w:top w:val="single" w:color="000000" w:sz="4" w:space="0"/>
              <w:left w:val="single" w:color="000000" w:sz="4" w:space="0"/>
              <w:bottom w:val="single" w:color="000000" w:sz="4" w:space="0"/>
              <w:right w:val="single" w:color="000000" w:sz="4" w:space="0"/>
            </w:tcBorders>
          </w:tcPr>
          <w:p>
            <w:pPr>
              <w:pStyle w:val="20"/>
              <w:spacing w:line="244" w:lineRule="exact"/>
              <w:ind w:left="313"/>
              <w:jc w:val="center"/>
              <w:rPr>
                <w:rFonts w:ascii="宋体" w:hAnsi="宋体" w:eastAsia="宋体" w:cs="宋体"/>
                <w:sz w:val="21"/>
                <w:szCs w:val="21"/>
              </w:rPr>
            </w:pPr>
            <w:r>
              <w:rPr>
                <w:rFonts w:ascii="宋体"/>
                <w:w w:val="99"/>
                <w:sz w:val="21"/>
              </w:rPr>
              <w:t>7</w:t>
            </w:r>
          </w:p>
        </w:tc>
        <w:tc>
          <w:tcPr>
            <w:tcW w:w="840" w:type="dxa"/>
            <w:tcBorders>
              <w:top w:val="single" w:color="000000" w:sz="4" w:space="0"/>
              <w:left w:val="single" w:color="000000" w:sz="4" w:space="0"/>
              <w:bottom w:val="single" w:color="000000" w:sz="4" w:space="0"/>
              <w:right w:val="single" w:color="000000" w:sz="4" w:space="0"/>
            </w:tcBorders>
          </w:tcPr>
          <w:p>
            <w:pPr>
              <w:pStyle w:val="20"/>
              <w:spacing w:line="244" w:lineRule="exact"/>
              <w:ind w:left="467"/>
              <w:rPr>
                <w:rFonts w:ascii="宋体" w:hAnsi="宋体" w:eastAsia="宋体" w:cs="宋体"/>
                <w:sz w:val="21"/>
                <w:szCs w:val="21"/>
              </w:rPr>
            </w:pPr>
            <w:r>
              <w:rPr>
                <w:rFonts w:ascii="宋体"/>
                <w:w w:val="99"/>
                <w:sz w:val="21"/>
              </w:rPr>
              <w:t>8</w:t>
            </w:r>
          </w:p>
        </w:tc>
      </w:tr>
      <w:tr>
        <w:tblPrEx>
          <w:tblLayout w:type="fixed"/>
          <w:tblCellMar>
            <w:top w:w="0" w:type="dxa"/>
            <w:left w:w="0" w:type="dxa"/>
            <w:bottom w:w="0" w:type="dxa"/>
            <w:right w:w="0" w:type="dxa"/>
          </w:tblCellMar>
        </w:tblPrEx>
        <w:trPr>
          <w:trHeight w:val="570" w:hRule="exact"/>
        </w:trPr>
        <w:tc>
          <w:tcPr>
            <w:tcW w:w="406" w:type="dxa"/>
            <w:tcBorders>
              <w:top w:val="single" w:color="000000" w:sz="4" w:space="0"/>
              <w:left w:val="single" w:color="000000" w:sz="4" w:space="0"/>
              <w:bottom w:val="single" w:color="000000" w:sz="4" w:space="0"/>
              <w:right w:val="single" w:color="000000" w:sz="4" w:space="0"/>
            </w:tcBorders>
          </w:tcPr>
          <w:p>
            <w:pPr>
              <w:pStyle w:val="20"/>
              <w:spacing w:before="2" w:line="272" w:lineRule="exact"/>
              <w:ind w:left="102" w:right="82"/>
              <w:rPr>
                <w:rFonts w:ascii="宋体" w:hAnsi="宋体" w:eastAsia="宋体" w:cs="宋体"/>
                <w:sz w:val="21"/>
                <w:szCs w:val="21"/>
              </w:rPr>
            </w:pPr>
            <w:r>
              <w:rPr>
                <w:rFonts w:ascii="宋体" w:hAnsi="宋体" w:eastAsia="宋体" w:cs="宋体"/>
                <w:sz w:val="21"/>
                <w:szCs w:val="21"/>
              </w:rPr>
              <w:t>包</w:t>
            </w:r>
            <w:r>
              <w:rPr>
                <w:rFonts w:ascii="宋体" w:hAnsi="宋体" w:eastAsia="宋体" w:cs="宋体"/>
                <w:w w:val="99"/>
                <w:sz w:val="21"/>
                <w:szCs w:val="21"/>
              </w:rPr>
              <w:t xml:space="preserve"> </w:t>
            </w:r>
            <w:r>
              <w:rPr>
                <w:rFonts w:ascii="宋体" w:hAnsi="宋体" w:eastAsia="宋体" w:cs="宋体"/>
                <w:sz w:val="21"/>
                <w:szCs w:val="21"/>
              </w:rPr>
              <w:t>组</w:t>
            </w:r>
          </w:p>
        </w:tc>
        <w:tc>
          <w:tcPr>
            <w:tcW w:w="406" w:type="dxa"/>
            <w:tcBorders>
              <w:top w:val="single" w:color="000000" w:sz="4" w:space="0"/>
              <w:left w:val="single" w:color="000000" w:sz="4" w:space="0"/>
              <w:bottom w:val="single" w:color="000000" w:sz="4" w:space="0"/>
              <w:right w:val="single" w:color="000000" w:sz="4" w:space="0"/>
            </w:tcBorders>
          </w:tcPr>
          <w:p>
            <w:pPr>
              <w:pStyle w:val="20"/>
              <w:spacing w:before="2" w:line="272" w:lineRule="exact"/>
              <w:ind w:left="102" w:right="83"/>
              <w:rPr>
                <w:rFonts w:ascii="宋体" w:hAnsi="宋体" w:eastAsia="宋体" w:cs="宋体"/>
                <w:sz w:val="21"/>
                <w:szCs w:val="21"/>
              </w:rPr>
            </w:pPr>
            <w:r>
              <w:rPr>
                <w:rFonts w:ascii="宋体" w:hAnsi="宋体" w:eastAsia="宋体" w:cs="宋体"/>
                <w:sz w:val="21"/>
                <w:szCs w:val="21"/>
              </w:rPr>
              <w:t>序</w:t>
            </w:r>
            <w:r>
              <w:rPr>
                <w:rFonts w:ascii="宋体" w:hAnsi="宋体" w:eastAsia="宋体" w:cs="宋体"/>
                <w:w w:val="99"/>
                <w:sz w:val="21"/>
                <w:szCs w:val="21"/>
              </w:rPr>
              <w:t xml:space="preserve"> </w:t>
            </w:r>
            <w:r>
              <w:rPr>
                <w:rFonts w:ascii="宋体" w:hAnsi="宋体" w:eastAsia="宋体" w:cs="宋体"/>
                <w:sz w:val="21"/>
                <w:szCs w:val="21"/>
              </w:rPr>
              <w:t>号</w:t>
            </w:r>
          </w:p>
        </w:tc>
        <w:tc>
          <w:tcPr>
            <w:tcW w:w="1080" w:type="dxa"/>
            <w:tcBorders>
              <w:top w:val="single" w:color="000000" w:sz="4" w:space="0"/>
              <w:left w:val="single" w:color="000000" w:sz="4" w:space="0"/>
              <w:bottom w:val="single" w:color="000000" w:sz="4" w:space="0"/>
              <w:right w:val="single" w:color="000000" w:sz="4" w:space="0"/>
            </w:tcBorders>
          </w:tcPr>
          <w:p>
            <w:pPr>
              <w:pStyle w:val="20"/>
              <w:spacing w:before="108"/>
              <w:ind w:left="114"/>
              <w:rPr>
                <w:rFonts w:ascii="宋体" w:hAnsi="宋体" w:eastAsia="宋体" w:cs="宋体"/>
                <w:sz w:val="21"/>
                <w:szCs w:val="21"/>
              </w:rPr>
            </w:pPr>
            <w:r>
              <w:rPr>
                <w:rFonts w:ascii="宋体" w:hAnsi="宋体" w:eastAsia="宋体" w:cs="宋体"/>
                <w:sz w:val="21"/>
                <w:szCs w:val="21"/>
              </w:rPr>
              <w:t>产品名称</w:t>
            </w:r>
          </w:p>
        </w:tc>
        <w:tc>
          <w:tcPr>
            <w:tcW w:w="1333" w:type="dxa"/>
            <w:tcBorders>
              <w:top w:val="single" w:color="000000" w:sz="4" w:space="0"/>
              <w:left w:val="single" w:color="000000" w:sz="4" w:space="0"/>
              <w:bottom w:val="single" w:color="000000" w:sz="4" w:space="0"/>
              <w:right w:val="single" w:color="000000" w:sz="4" w:space="0"/>
            </w:tcBorders>
          </w:tcPr>
          <w:p>
            <w:pPr>
              <w:pStyle w:val="20"/>
              <w:spacing w:before="108"/>
              <w:ind w:left="241"/>
              <w:rPr>
                <w:rFonts w:ascii="宋体" w:hAnsi="宋体" w:eastAsia="宋体" w:cs="宋体"/>
                <w:sz w:val="21"/>
                <w:szCs w:val="21"/>
              </w:rPr>
            </w:pPr>
            <w:r>
              <w:rPr>
                <w:rFonts w:ascii="宋体" w:hAnsi="宋体" w:eastAsia="宋体" w:cs="宋体"/>
                <w:sz w:val="21"/>
                <w:szCs w:val="21"/>
              </w:rPr>
              <w:t>报价金额</w:t>
            </w:r>
          </w:p>
        </w:tc>
        <w:tc>
          <w:tcPr>
            <w:tcW w:w="1427" w:type="dxa"/>
            <w:tcBorders>
              <w:top w:val="single" w:color="000000" w:sz="4" w:space="0"/>
              <w:left w:val="single" w:color="000000" w:sz="4" w:space="0"/>
              <w:bottom w:val="single" w:color="000000" w:sz="4" w:space="0"/>
              <w:right w:val="single" w:color="000000" w:sz="4" w:space="0"/>
            </w:tcBorders>
          </w:tcPr>
          <w:p>
            <w:pPr>
              <w:pStyle w:val="20"/>
              <w:spacing w:before="2" w:line="272" w:lineRule="exact"/>
              <w:ind w:left="602" w:right="183" w:hanging="420"/>
              <w:rPr>
                <w:rFonts w:ascii="宋体" w:hAnsi="宋体" w:eastAsia="宋体" w:cs="宋体"/>
                <w:sz w:val="21"/>
                <w:szCs w:val="21"/>
              </w:rPr>
            </w:pPr>
            <w:r>
              <w:rPr>
                <w:rFonts w:ascii="宋体" w:hAnsi="宋体" w:eastAsia="宋体" w:cs="宋体"/>
                <w:sz w:val="21"/>
                <w:szCs w:val="21"/>
              </w:rPr>
              <w:t>本包组总报</w:t>
            </w:r>
            <w:r>
              <w:rPr>
                <w:rFonts w:ascii="宋体" w:hAnsi="宋体" w:eastAsia="宋体" w:cs="宋体"/>
                <w:w w:val="99"/>
                <w:sz w:val="21"/>
                <w:szCs w:val="21"/>
              </w:rPr>
              <w:t xml:space="preserve"> </w:t>
            </w:r>
            <w:r>
              <w:rPr>
                <w:rFonts w:ascii="宋体" w:hAnsi="宋体" w:eastAsia="宋体" w:cs="宋体"/>
                <w:sz w:val="21"/>
                <w:szCs w:val="21"/>
              </w:rPr>
              <w:t>价</w:t>
            </w:r>
          </w:p>
        </w:tc>
        <w:tc>
          <w:tcPr>
            <w:tcW w:w="1624" w:type="dxa"/>
            <w:tcBorders>
              <w:top w:val="single" w:color="000000" w:sz="4" w:space="0"/>
              <w:left w:val="single" w:color="000000" w:sz="4" w:space="0"/>
              <w:bottom w:val="single" w:color="000000" w:sz="4" w:space="0"/>
              <w:right w:val="single" w:color="000000" w:sz="4" w:space="0"/>
            </w:tcBorders>
          </w:tcPr>
          <w:p>
            <w:pPr>
              <w:pStyle w:val="20"/>
              <w:spacing w:before="2" w:line="272" w:lineRule="exact"/>
              <w:ind w:left="334" w:right="178" w:hanging="159"/>
              <w:rPr>
                <w:rFonts w:ascii="宋体" w:hAnsi="宋体" w:eastAsia="宋体" w:cs="宋体"/>
                <w:sz w:val="21"/>
                <w:szCs w:val="21"/>
                <w:lang w:eastAsia="zh-CN"/>
              </w:rPr>
            </w:pPr>
            <w:r>
              <w:rPr>
                <w:rFonts w:ascii="宋体" w:hAnsi="宋体" w:eastAsia="宋体" w:cs="宋体"/>
                <w:sz w:val="21"/>
                <w:szCs w:val="21"/>
                <w:lang w:eastAsia="zh-CN"/>
              </w:rPr>
              <w:t>本包组总报价</w:t>
            </w:r>
            <w:r>
              <w:rPr>
                <w:rFonts w:ascii="宋体" w:hAnsi="宋体" w:eastAsia="宋体" w:cs="宋体"/>
                <w:w w:val="99"/>
                <w:sz w:val="21"/>
                <w:szCs w:val="21"/>
                <w:lang w:eastAsia="zh-CN"/>
              </w:rPr>
              <w:t xml:space="preserve"> </w:t>
            </w:r>
            <w:r>
              <w:rPr>
                <w:rFonts w:ascii="宋体" w:hAnsi="宋体" w:eastAsia="宋体" w:cs="宋体"/>
                <w:sz w:val="21"/>
                <w:szCs w:val="21"/>
                <w:lang w:eastAsia="zh-CN"/>
              </w:rPr>
              <w:t>比率（%）</w:t>
            </w:r>
          </w:p>
        </w:tc>
        <w:tc>
          <w:tcPr>
            <w:tcW w:w="1139" w:type="dxa"/>
            <w:tcBorders>
              <w:top w:val="single" w:color="000000" w:sz="4" w:space="0"/>
              <w:left w:val="single" w:color="000000" w:sz="4" w:space="0"/>
              <w:bottom w:val="single" w:color="000000" w:sz="4" w:space="0"/>
              <w:right w:val="single" w:color="000000" w:sz="4" w:space="0"/>
            </w:tcBorders>
          </w:tcPr>
          <w:p>
            <w:pPr>
              <w:pStyle w:val="20"/>
              <w:spacing w:before="2" w:line="272" w:lineRule="exact"/>
              <w:ind w:left="354" w:right="146" w:hanging="212"/>
              <w:rPr>
                <w:rFonts w:ascii="宋体" w:hAnsi="宋体" w:eastAsia="宋体" w:cs="宋体"/>
                <w:sz w:val="21"/>
                <w:szCs w:val="21"/>
              </w:rPr>
            </w:pPr>
            <w:r>
              <w:rPr>
                <w:rFonts w:ascii="宋体" w:hAnsi="宋体" w:eastAsia="宋体" w:cs="宋体"/>
                <w:sz w:val="21"/>
                <w:szCs w:val="21"/>
              </w:rPr>
              <w:t>认证证书</w:t>
            </w:r>
            <w:r>
              <w:rPr>
                <w:rFonts w:ascii="宋体" w:hAnsi="宋体" w:eastAsia="宋体" w:cs="宋体"/>
                <w:w w:val="99"/>
                <w:sz w:val="21"/>
                <w:szCs w:val="21"/>
              </w:rPr>
              <w:t xml:space="preserve"> </w:t>
            </w:r>
            <w:r>
              <w:rPr>
                <w:rFonts w:ascii="宋体" w:hAnsi="宋体" w:eastAsia="宋体" w:cs="宋体"/>
                <w:sz w:val="21"/>
                <w:szCs w:val="21"/>
              </w:rPr>
              <w:t>编号</w:t>
            </w:r>
          </w:p>
        </w:tc>
        <w:tc>
          <w:tcPr>
            <w:tcW w:w="1304" w:type="dxa"/>
            <w:tcBorders>
              <w:top w:val="single" w:color="000000" w:sz="4" w:space="0"/>
              <w:left w:val="single" w:color="000000" w:sz="4" w:space="0"/>
              <w:bottom w:val="single" w:color="000000" w:sz="4" w:space="0"/>
              <w:right w:val="single" w:color="000000" w:sz="4" w:space="0"/>
            </w:tcBorders>
          </w:tcPr>
          <w:p>
            <w:pPr>
              <w:pStyle w:val="20"/>
              <w:spacing w:before="2" w:line="272" w:lineRule="exact"/>
              <w:ind w:left="331" w:right="120" w:hanging="209"/>
              <w:rPr>
                <w:rFonts w:ascii="宋体" w:hAnsi="宋体" w:eastAsia="宋体" w:cs="宋体"/>
                <w:sz w:val="21"/>
                <w:szCs w:val="21"/>
              </w:rPr>
            </w:pPr>
            <w:r>
              <w:rPr>
                <w:rFonts w:ascii="宋体" w:hAnsi="宋体" w:eastAsia="宋体" w:cs="宋体"/>
                <w:sz w:val="21"/>
                <w:szCs w:val="21"/>
              </w:rPr>
              <w:t>证书有效截</w:t>
            </w:r>
            <w:r>
              <w:rPr>
                <w:rFonts w:ascii="宋体" w:hAnsi="宋体" w:eastAsia="宋体" w:cs="宋体"/>
                <w:w w:val="99"/>
                <w:sz w:val="21"/>
                <w:szCs w:val="21"/>
              </w:rPr>
              <w:t xml:space="preserve"> </w:t>
            </w:r>
            <w:r>
              <w:rPr>
                <w:rFonts w:ascii="宋体" w:hAnsi="宋体" w:eastAsia="宋体" w:cs="宋体"/>
                <w:sz w:val="21"/>
                <w:szCs w:val="21"/>
              </w:rPr>
              <w:t>止日期</w:t>
            </w:r>
          </w:p>
        </w:tc>
        <w:tc>
          <w:tcPr>
            <w:tcW w:w="840" w:type="dxa"/>
            <w:tcBorders>
              <w:top w:val="single" w:color="000000" w:sz="4" w:space="0"/>
              <w:left w:val="single" w:color="000000" w:sz="4" w:space="0"/>
              <w:bottom w:val="single" w:color="000000" w:sz="4" w:space="0"/>
              <w:right w:val="single" w:color="000000" w:sz="4" w:space="0"/>
            </w:tcBorders>
          </w:tcPr>
          <w:p>
            <w:pPr>
              <w:pStyle w:val="20"/>
              <w:spacing w:before="2" w:line="272" w:lineRule="exact"/>
              <w:ind w:left="151" w:right="151" w:firstLine="55"/>
              <w:rPr>
                <w:rFonts w:ascii="宋体" w:hAnsi="宋体" w:eastAsia="宋体" w:cs="宋体"/>
                <w:sz w:val="21"/>
                <w:szCs w:val="21"/>
              </w:rPr>
            </w:pPr>
            <w:r>
              <w:rPr>
                <w:rFonts w:ascii="宋体" w:hAnsi="宋体" w:eastAsia="宋体" w:cs="宋体"/>
                <w:sz w:val="21"/>
                <w:szCs w:val="21"/>
              </w:rPr>
              <w:t>清单</w:t>
            </w:r>
            <w:r>
              <w:rPr>
                <w:rFonts w:ascii="宋体" w:hAnsi="宋体" w:eastAsia="宋体" w:cs="宋体"/>
                <w:w w:val="99"/>
                <w:sz w:val="21"/>
                <w:szCs w:val="21"/>
              </w:rPr>
              <w:t xml:space="preserve"> </w:t>
            </w:r>
            <w:r>
              <w:rPr>
                <w:rFonts w:ascii="宋体" w:hAnsi="宋体" w:eastAsia="宋体" w:cs="宋体"/>
                <w:sz w:val="21"/>
                <w:szCs w:val="21"/>
              </w:rPr>
              <w:t>页 码</w:t>
            </w:r>
          </w:p>
        </w:tc>
      </w:tr>
      <w:tr>
        <w:tblPrEx>
          <w:tblLayout w:type="fixed"/>
          <w:tblCellMar>
            <w:top w:w="0" w:type="dxa"/>
            <w:left w:w="0" w:type="dxa"/>
            <w:bottom w:w="0" w:type="dxa"/>
            <w:right w:w="0" w:type="dxa"/>
          </w:tblCellMar>
        </w:tblPrEx>
        <w:trPr>
          <w:trHeight w:val="290" w:hRule="exact"/>
        </w:trPr>
        <w:tc>
          <w:tcPr>
            <w:tcW w:w="406" w:type="dxa"/>
            <w:vMerge w:val="restart"/>
            <w:tcBorders>
              <w:top w:val="single" w:color="000000" w:sz="4" w:space="0"/>
              <w:left w:val="single" w:color="000000" w:sz="4" w:space="0"/>
              <w:right w:val="single" w:color="000000" w:sz="4" w:space="0"/>
            </w:tcBorders>
          </w:tcPr>
          <w:p>
            <w:pPr>
              <w:pStyle w:val="20"/>
              <w:spacing w:before="3"/>
              <w:rPr>
                <w:rFonts w:ascii="宋体" w:hAnsi="宋体" w:eastAsia="宋体" w:cs="宋体"/>
                <w:sz w:val="19"/>
                <w:szCs w:val="19"/>
              </w:rPr>
            </w:pPr>
          </w:p>
          <w:p>
            <w:pPr>
              <w:pStyle w:val="20"/>
              <w:jc w:val="center"/>
              <w:rPr>
                <w:rFonts w:ascii="宋体" w:hAnsi="宋体" w:eastAsia="宋体" w:cs="宋体"/>
                <w:sz w:val="21"/>
                <w:szCs w:val="21"/>
              </w:rPr>
            </w:pPr>
            <w:r>
              <w:rPr>
                <w:rFonts w:ascii="宋体"/>
                <w:w w:val="99"/>
                <w:sz w:val="21"/>
              </w:rPr>
              <w:t>A</w:t>
            </w:r>
          </w:p>
        </w:tc>
        <w:tc>
          <w:tcPr>
            <w:tcW w:w="406"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333" w:type="dxa"/>
            <w:tcBorders>
              <w:top w:val="single" w:color="000000" w:sz="4" w:space="0"/>
              <w:left w:val="single" w:color="000000" w:sz="4" w:space="0"/>
              <w:bottom w:val="single" w:color="000000" w:sz="4" w:space="0"/>
              <w:right w:val="single" w:color="000000" w:sz="4" w:space="0"/>
            </w:tcBorders>
          </w:tcPr>
          <w:p/>
        </w:tc>
        <w:tc>
          <w:tcPr>
            <w:tcW w:w="1427" w:type="dxa"/>
            <w:vMerge w:val="restart"/>
            <w:tcBorders>
              <w:top w:val="single" w:color="000000" w:sz="4" w:space="0"/>
              <w:left w:val="single" w:color="000000" w:sz="4" w:space="0"/>
              <w:right w:val="single" w:color="000000" w:sz="4" w:space="0"/>
            </w:tcBorders>
          </w:tcPr>
          <w:p/>
        </w:tc>
        <w:tc>
          <w:tcPr>
            <w:tcW w:w="1624" w:type="dxa"/>
            <w:vMerge w:val="restart"/>
            <w:tcBorders>
              <w:top w:val="single" w:color="000000" w:sz="4" w:space="0"/>
              <w:left w:val="single" w:color="000000" w:sz="4" w:space="0"/>
              <w:right w:val="single" w:color="000000" w:sz="4" w:space="0"/>
            </w:tcBorders>
          </w:tcPr>
          <w:p/>
        </w:tc>
        <w:tc>
          <w:tcPr>
            <w:tcW w:w="1139"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8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83" w:hRule="exact"/>
        </w:trPr>
        <w:tc>
          <w:tcPr>
            <w:tcW w:w="406" w:type="dxa"/>
            <w:vMerge w:val="continue"/>
            <w:tcBorders>
              <w:left w:val="single" w:color="000000" w:sz="4" w:space="0"/>
              <w:right w:val="single" w:color="000000" w:sz="4" w:space="0"/>
            </w:tcBorders>
          </w:tcPr>
          <w:p/>
        </w:tc>
        <w:tc>
          <w:tcPr>
            <w:tcW w:w="406"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333" w:type="dxa"/>
            <w:tcBorders>
              <w:top w:val="single" w:color="000000" w:sz="4" w:space="0"/>
              <w:left w:val="single" w:color="000000" w:sz="4" w:space="0"/>
              <w:bottom w:val="single" w:color="000000" w:sz="4" w:space="0"/>
              <w:right w:val="single" w:color="000000" w:sz="4" w:space="0"/>
            </w:tcBorders>
          </w:tcPr>
          <w:p/>
        </w:tc>
        <w:tc>
          <w:tcPr>
            <w:tcW w:w="1427" w:type="dxa"/>
            <w:vMerge w:val="continue"/>
            <w:tcBorders>
              <w:left w:val="single" w:color="000000" w:sz="4" w:space="0"/>
              <w:right w:val="single" w:color="000000" w:sz="4" w:space="0"/>
            </w:tcBorders>
          </w:tcPr>
          <w:p/>
        </w:tc>
        <w:tc>
          <w:tcPr>
            <w:tcW w:w="1624" w:type="dxa"/>
            <w:vMerge w:val="continue"/>
            <w:tcBorders>
              <w:left w:val="single" w:color="000000" w:sz="4" w:space="0"/>
              <w:right w:val="single" w:color="000000" w:sz="4" w:space="0"/>
            </w:tcBorders>
          </w:tcPr>
          <w:p/>
        </w:tc>
        <w:tc>
          <w:tcPr>
            <w:tcW w:w="1139"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8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82" w:hRule="exact"/>
        </w:trPr>
        <w:tc>
          <w:tcPr>
            <w:tcW w:w="406" w:type="dxa"/>
            <w:vMerge w:val="continue"/>
            <w:tcBorders>
              <w:left w:val="single" w:color="000000" w:sz="4" w:space="0"/>
              <w:bottom w:val="single" w:color="000000" w:sz="4" w:space="0"/>
              <w:right w:val="single" w:color="000000" w:sz="4" w:space="0"/>
            </w:tcBorders>
          </w:tcPr>
          <w:p/>
        </w:tc>
        <w:tc>
          <w:tcPr>
            <w:tcW w:w="406"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333" w:type="dxa"/>
            <w:tcBorders>
              <w:top w:val="single" w:color="000000" w:sz="4" w:space="0"/>
              <w:left w:val="single" w:color="000000" w:sz="4" w:space="0"/>
              <w:bottom w:val="single" w:color="000000" w:sz="4" w:space="0"/>
              <w:right w:val="single" w:color="000000" w:sz="4" w:space="0"/>
            </w:tcBorders>
          </w:tcPr>
          <w:p/>
        </w:tc>
        <w:tc>
          <w:tcPr>
            <w:tcW w:w="1427" w:type="dxa"/>
            <w:vMerge w:val="continue"/>
            <w:tcBorders>
              <w:left w:val="single" w:color="000000" w:sz="4" w:space="0"/>
              <w:bottom w:val="single" w:color="000000" w:sz="4" w:space="0"/>
              <w:right w:val="single" w:color="000000" w:sz="4" w:space="0"/>
            </w:tcBorders>
          </w:tcPr>
          <w:p/>
        </w:tc>
        <w:tc>
          <w:tcPr>
            <w:tcW w:w="1624" w:type="dxa"/>
            <w:vMerge w:val="continue"/>
            <w:tcBorders>
              <w:left w:val="single" w:color="000000" w:sz="4" w:space="0"/>
              <w:bottom w:val="single" w:color="000000" w:sz="4" w:space="0"/>
              <w:right w:val="single" w:color="000000" w:sz="4" w:space="0"/>
            </w:tcBorders>
          </w:tcPr>
          <w:p/>
        </w:tc>
        <w:tc>
          <w:tcPr>
            <w:tcW w:w="1139"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840"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290" w:hRule="exact"/>
        </w:trPr>
        <w:tc>
          <w:tcPr>
            <w:tcW w:w="406" w:type="dxa"/>
            <w:vMerge w:val="restart"/>
            <w:tcBorders>
              <w:top w:val="single" w:color="000000" w:sz="4" w:space="0"/>
              <w:left w:val="single" w:color="000000" w:sz="4" w:space="0"/>
              <w:right w:val="single" w:color="000000" w:sz="4" w:space="0"/>
            </w:tcBorders>
          </w:tcPr>
          <w:p>
            <w:pPr>
              <w:pStyle w:val="20"/>
              <w:spacing w:before="2"/>
              <w:rPr>
                <w:rFonts w:ascii="宋体" w:hAnsi="宋体" w:eastAsia="宋体" w:cs="宋体"/>
                <w:sz w:val="19"/>
                <w:szCs w:val="19"/>
              </w:rPr>
            </w:pPr>
          </w:p>
          <w:p>
            <w:pPr>
              <w:pStyle w:val="20"/>
              <w:jc w:val="center"/>
              <w:rPr>
                <w:rFonts w:ascii="宋体" w:hAnsi="宋体" w:eastAsia="宋体" w:cs="宋体"/>
                <w:sz w:val="21"/>
                <w:szCs w:val="21"/>
              </w:rPr>
            </w:pPr>
            <w:r>
              <w:rPr>
                <w:rFonts w:ascii="宋体"/>
                <w:w w:val="99"/>
                <w:sz w:val="21"/>
              </w:rPr>
              <w:t>B</w:t>
            </w:r>
          </w:p>
        </w:tc>
        <w:tc>
          <w:tcPr>
            <w:tcW w:w="406"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333" w:type="dxa"/>
            <w:tcBorders>
              <w:top w:val="single" w:color="000000" w:sz="4" w:space="0"/>
              <w:left w:val="single" w:color="000000" w:sz="4" w:space="0"/>
              <w:bottom w:val="single" w:color="000000" w:sz="4" w:space="0"/>
              <w:right w:val="single" w:color="000000" w:sz="4" w:space="0"/>
            </w:tcBorders>
          </w:tcPr>
          <w:p/>
        </w:tc>
        <w:tc>
          <w:tcPr>
            <w:tcW w:w="1427" w:type="dxa"/>
            <w:vMerge w:val="restart"/>
            <w:tcBorders>
              <w:top w:val="single" w:color="000000" w:sz="4" w:space="0"/>
              <w:left w:val="single" w:color="000000" w:sz="4" w:space="0"/>
              <w:right w:val="single" w:color="000000" w:sz="4" w:space="0"/>
            </w:tcBorders>
          </w:tcPr>
          <w:p/>
        </w:tc>
        <w:tc>
          <w:tcPr>
            <w:tcW w:w="1624" w:type="dxa"/>
            <w:vMerge w:val="restart"/>
            <w:tcBorders>
              <w:top w:val="single" w:color="000000" w:sz="4" w:space="0"/>
              <w:left w:val="single" w:color="000000" w:sz="4" w:space="0"/>
              <w:right w:val="single" w:color="000000" w:sz="4" w:space="0"/>
            </w:tcBorders>
          </w:tcPr>
          <w:p/>
        </w:tc>
        <w:tc>
          <w:tcPr>
            <w:tcW w:w="1139"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8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82" w:hRule="exact"/>
        </w:trPr>
        <w:tc>
          <w:tcPr>
            <w:tcW w:w="406" w:type="dxa"/>
            <w:vMerge w:val="continue"/>
            <w:tcBorders>
              <w:left w:val="single" w:color="000000" w:sz="4" w:space="0"/>
              <w:right w:val="single" w:color="000000" w:sz="4" w:space="0"/>
            </w:tcBorders>
          </w:tcPr>
          <w:p/>
        </w:tc>
        <w:tc>
          <w:tcPr>
            <w:tcW w:w="406"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333" w:type="dxa"/>
            <w:tcBorders>
              <w:top w:val="single" w:color="000000" w:sz="4" w:space="0"/>
              <w:left w:val="single" w:color="000000" w:sz="4" w:space="0"/>
              <w:bottom w:val="single" w:color="000000" w:sz="4" w:space="0"/>
              <w:right w:val="single" w:color="000000" w:sz="4" w:space="0"/>
            </w:tcBorders>
          </w:tcPr>
          <w:p/>
        </w:tc>
        <w:tc>
          <w:tcPr>
            <w:tcW w:w="1427" w:type="dxa"/>
            <w:vMerge w:val="continue"/>
            <w:tcBorders>
              <w:left w:val="single" w:color="000000" w:sz="4" w:space="0"/>
              <w:right w:val="single" w:color="000000" w:sz="4" w:space="0"/>
            </w:tcBorders>
          </w:tcPr>
          <w:p/>
        </w:tc>
        <w:tc>
          <w:tcPr>
            <w:tcW w:w="1624" w:type="dxa"/>
            <w:vMerge w:val="continue"/>
            <w:tcBorders>
              <w:left w:val="single" w:color="000000" w:sz="4" w:space="0"/>
              <w:right w:val="single" w:color="000000" w:sz="4" w:space="0"/>
            </w:tcBorders>
          </w:tcPr>
          <w:p/>
        </w:tc>
        <w:tc>
          <w:tcPr>
            <w:tcW w:w="1139"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8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83" w:hRule="exact"/>
        </w:trPr>
        <w:tc>
          <w:tcPr>
            <w:tcW w:w="406" w:type="dxa"/>
            <w:vMerge w:val="continue"/>
            <w:tcBorders>
              <w:left w:val="single" w:color="000000" w:sz="4" w:space="0"/>
              <w:bottom w:val="single" w:color="000000" w:sz="4" w:space="0"/>
              <w:right w:val="single" w:color="000000" w:sz="4" w:space="0"/>
            </w:tcBorders>
          </w:tcPr>
          <w:p/>
        </w:tc>
        <w:tc>
          <w:tcPr>
            <w:tcW w:w="406"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333" w:type="dxa"/>
            <w:tcBorders>
              <w:top w:val="single" w:color="000000" w:sz="4" w:space="0"/>
              <w:left w:val="single" w:color="000000" w:sz="4" w:space="0"/>
              <w:bottom w:val="single" w:color="000000" w:sz="4" w:space="0"/>
              <w:right w:val="single" w:color="000000" w:sz="4" w:space="0"/>
            </w:tcBorders>
          </w:tcPr>
          <w:p/>
        </w:tc>
        <w:tc>
          <w:tcPr>
            <w:tcW w:w="1427" w:type="dxa"/>
            <w:vMerge w:val="continue"/>
            <w:tcBorders>
              <w:left w:val="single" w:color="000000" w:sz="4" w:space="0"/>
              <w:bottom w:val="single" w:color="000000" w:sz="4" w:space="0"/>
              <w:right w:val="single" w:color="000000" w:sz="4" w:space="0"/>
            </w:tcBorders>
          </w:tcPr>
          <w:p/>
        </w:tc>
        <w:tc>
          <w:tcPr>
            <w:tcW w:w="1624" w:type="dxa"/>
            <w:vMerge w:val="continue"/>
            <w:tcBorders>
              <w:left w:val="single" w:color="000000" w:sz="4" w:space="0"/>
              <w:bottom w:val="single" w:color="000000" w:sz="4" w:space="0"/>
              <w:right w:val="single" w:color="000000" w:sz="4" w:space="0"/>
            </w:tcBorders>
          </w:tcPr>
          <w:p/>
        </w:tc>
        <w:tc>
          <w:tcPr>
            <w:tcW w:w="1139"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840" w:type="dxa"/>
            <w:tcBorders>
              <w:top w:val="single" w:color="000000" w:sz="4" w:space="0"/>
              <w:left w:val="single" w:color="000000" w:sz="4" w:space="0"/>
              <w:bottom w:val="single" w:color="000000" w:sz="4" w:space="0"/>
              <w:right w:val="single" w:color="000000" w:sz="4" w:space="0"/>
            </w:tcBorders>
          </w:tcPr>
          <w:p/>
        </w:tc>
      </w:tr>
    </w:tbl>
    <w:p>
      <w:pPr>
        <w:rPr>
          <w:rFonts w:ascii="宋体" w:hAnsi="宋体" w:eastAsia="宋体" w:cs="宋体"/>
          <w:sz w:val="20"/>
          <w:szCs w:val="20"/>
        </w:rPr>
      </w:pPr>
    </w:p>
    <w:p>
      <w:pPr>
        <w:spacing w:before="175" w:line="333" w:lineRule="auto"/>
        <w:ind w:left="332" w:right="1375"/>
        <w:rPr>
          <w:rFonts w:ascii="宋体" w:hAnsi="宋体" w:eastAsia="宋体" w:cs="宋体"/>
          <w:sz w:val="21"/>
          <w:szCs w:val="21"/>
          <w:lang w:eastAsia="zh-CN"/>
        </w:rPr>
      </w:pPr>
      <w:r>
        <w:rPr>
          <w:rFonts w:ascii="宋体" w:hAnsi="宋体" w:eastAsia="宋体" w:cs="宋体"/>
          <w:sz w:val="21"/>
          <w:szCs w:val="21"/>
          <w:lang w:eastAsia="zh-CN"/>
        </w:rPr>
        <w:t>注：</w:t>
      </w:r>
      <w:r>
        <w:rPr>
          <w:rFonts w:ascii="宋体" w:hAnsi="宋体" w:eastAsia="宋体" w:cs="宋体"/>
          <w:w w:val="99"/>
          <w:sz w:val="21"/>
          <w:szCs w:val="21"/>
          <w:lang w:eastAsia="zh-CN"/>
        </w:rPr>
        <w:t xml:space="preserve"> </w:t>
      </w:r>
      <w:r>
        <w:rPr>
          <w:rFonts w:ascii="宋体" w:hAnsi="宋体" w:eastAsia="宋体" w:cs="宋体"/>
          <w:w w:val="95"/>
          <w:sz w:val="21"/>
          <w:szCs w:val="21"/>
          <w:lang w:eastAsia="zh-CN"/>
        </w:rPr>
        <w:t>1.当一个合同包内有多个属于清单内产品时，供应商应详细填写并计算出该类产品合计金额。</w:t>
      </w:r>
    </w:p>
    <w:p>
      <w:pPr>
        <w:spacing w:before="22"/>
        <w:ind w:left="332"/>
        <w:rPr>
          <w:rFonts w:ascii="宋体" w:hAnsi="宋体" w:eastAsia="宋体" w:cs="宋体"/>
          <w:sz w:val="21"/>
          <w:szCs w:val="21"/>
          <w:lang w:eastAsia="zh-CN"/>
        </w:rPr>
      </w:pPr>
      <w:r>
        <w:rPr>
          <w:rFonts w:ascii="宋体" w:hAnsi="宋体" w:eastAsia="宋体" w:cs="宋体"/>
          <w:sz w:val="21"/>
          <w:szCs w:val="21"/>
          <w:lang w:eastAsia="zh-CN"/>
        </w:rPr>
        <w:t>2.栏目</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5</w:t>
      </w:r>
      <w:r>
        <w:rPr>
          <w:rFonts w:ascii="宋体" w:hAnsi="宋体" w:eastAsia="宋体" w:cs="宋体"/>
          <w:spacing w:val="-58"/>
          <w:sz w:val="21"/>
          <w:szCs w:val="21"/>
          <w:lang w:eastAsia="zh-CN"/>
        </w:rPr>
        <w:t xml:space="preserve"> </w:t>
      </w:r>
      <w:r>
        <w:rPr>
          <w:rFonts w:ascii="宋体" w:hAnsi="宋体" w:eastAsia="宋体" w:cs="宋体"/>
          <w:sz w:val="21"/>
          <w:szCs w:val="21"/>
          <w:lang w:eastAsia="zh-CN"/>
        </w:rPr>
        <w:t>为栏目</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58"/>
          <w:sz w:val="21"/>
          <w:szCs w:val="21"/>
          <w:lang w:eastAsia="zh-CN"/>
        </w:rPr>
        <w:t xml:space="preserve"> </w:t>
      </w:r>
      <w:r>
        <w:rPr>
          <w:rFonts w:ascii="宋体" w:hAnsi="宋体" w:eastAsia="宋体" w:cs="宋体"/>
          <w:sz w:val="21"/>
          <w:szCs w:val="21"/>
          <w:lang w:eastAsia="zh-CN"/>
        </w:rPr>
        <w:t>中认可的总金额÷栏目</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4。栏目</w:t>
      </w:r>
      <w:r>
        <w:rPr>
          <w:rFonts w:ascii="宋体" w:hAnsi="宋体" w:eastAsia="宋体" w:cs="宋体"/>
          <w:spacing w:val="-57"/>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填报金额必须与报价一览表中的金额一致。</w:t>
      </w:r>
    </w:p>
    <w:p>
      <w:pPr>
        <w:spacing w:before="104" w:line="333" w:lineRule="auto"/>
        <w:ind w:left="332"/>
        <w:rPr>
          <w:rFonts w:ascii="宋体" w:hAnsi="宋体" w:eastAsia="宋体" w:cs="宋体"/>
          <w:sz w:val="21"/>
          <w:szCs w:val="21"/>
          <w:lang w:eastAsia="zh-CN"/>
        </w:rPr>
      </w:pPr>
      <w:r>
        <w:rPr>
          <w:rFonts w:ascii="宋体" w:hAnsi="宋体" w:eastAsia="宋体" w:cs="宋体"/>
          <w:sz w:val="21"/>
          <w:szCs w:val="21"/>
          <w:lang w:eastAsia="zh-CN"/>
        </w:rPr>
        <w:t>3.</w:t>
      </w:r>
      <w:r>
        <w:rPr>
          <w:rFonts w:ascii="宋体" w:hAnsi="宋体" w:eastAsia="宋体" w:cs="宋体"/>
          <w:spacing w:val="-17"/>
          <w:sz w:val="21"/>
          <w:szCs w:val="21"/>
          <w:lang w:eastAsia="zh-CN"/>
        </w:rPr>
        <w:t xml:space="preserve"> </w:t>
      </w:r>
      <w:r>
        <w:rPr>
          <w:rFonts w:ascii="宋体" w:hAnsi="宋体" w:eastAsia="宋体" w:cs="宋体"/>
          <w:spacing w:val="2"/>
          <w:sz w:val="21"/>
          <w:szCs w:val="21"/>
          <w:lang w:eastAsia="zh-CN"/>
        </w:rPr>
        <w:t>以上属环境标志产品须提供清单内产品的证明材料（即所投产品在环境标志产品政府采购清单中的所</w:t>
      </w:r>
      <w:r>
        <w:rPr>
          <w:rFonts w:ascii="宋体" w:hAnsi="宋体" w:eastAsia="宋体" w:cs="宋体"/>
          <w:w w:val="99"/>
          <w:sz w:val="21"/>
          <w:szCs w:val="21"/>
          <w:lang w:eastAsia="zh-CN"/>
        </w:rPr>
        <w:t xml:space="preserve"> </w:t>
      </w:r>
      <w:r>
        <w:rPr>
          <w:rFonts w:ascii="宋体" w:hAnsi="宋体" w:eastAsia="宋体" w:cs="宋体"/>
          <w:sz w:val="21"/>
          <w:szCs w:val="21"/>
          <w:lang w:eastAsia="zh-CN"/>
        </w:rPr>
        <w:t>在页，环境标志产品政府采购清单应在中国政府采购网</w:t>
      </w:r>
      <w:r>
        <w:rPr>
          <w:rFonts w:ascii="宋体" w:hAnsi="宋体" w:eastAsia="宋体" w:cs="宋体"/>
          <w:spacing w:val="-75"/>
          <w:sz w:val="21"/>
          <w:szCs w:val="21"/>
          <w:lang w:eastAsia="zh-CN"/>
        </w:rPr>
        <w:t xml:space="preserve"> </w:t>
      </w:r>
      <w:r>
        <w:fldChar w:fldCharType="begin"/>
      </w:r>
      <w:r>
        <w:instrText xml:space="preserve"> HYPERLINK "http://www.ccgp.gov.cn/%E6%9F%A5%E8%AF%A2" \h </w:instrText>
      </w:r>
      <w:r>
        <w:fldChar w:fldCharType="separate"/>
      </w:r>
      <w:r>
        <w:rPr>
          <w:rFonts w:ascii="宋体" w:hAnsi="宋体" w:eastAsia="宋体" w:cs="宋体"/>
          <w:sz w:val="21"/>
          <w:szCs w:val="21"/>
          <w:lang w:eastAsia="zh-CN"/>
        </w:rPr>
        <w:t>http://www.ccgp.gov.cn/查询</w:t>
      </w:r>
      <w:r>
        <w:rPr>
          <w:rFonts w:ascii="宋体" w:hAnsi="宋体" w:eastAsia="宋体" w:cs="宋体"/>
          <w:sz w:val="21"/>
          <w:szCs w:val="21"/>
          <w:lang w:eastAsia="zh-CN"/>
        </w:rPr>
        <w:fldChar w:fldCharType="end"/>
      </w:r>
      <w:r>
        <w:rPr>
          <w:rFonts w:ascii="宋体" w:hAnsi="宋体" w:eastAsia="宋体" w:cs="宋体"/>
          <w:sz w:val="21"/>
          <w:szCs w:val="21"/>
          <w:lang w:eastAsia="zh-CN"/>
        </w:rPr>
        <w:t>）。</w:t>
      </w:r>
    </w:p>
    <w:p>
      <w:pPr>
        <w:spacing w:before="22"/>
        <w:ind w:left="332" w:right="1375"/>
        <w:rPr>
          <w:rFonts w:ascii="宋体" w:hAnsi="宋体" w:eastAsia="宋体" w:cs="宋体"/>
          <w:sz w:val="21"/>
          <w:szCs w:val="21"/>
          <w:lang w:eastAsia="zh-CN"/>
        </w:rPr>
      </w:pPr>
      <w:r>
        <w:rPr>
          <w:rFonts w:ascii="宋体" w:hAnsi="宋体" w:eastAsia="宋体" w:cs="宋体"/>
          <w:sz w:val="21"/>
          <w:szCs w:val="21"/>
          <w:lang w:eastAsia="zh-CN"/>
        </w:rPr>
        <w:t>4.</w:t>
      </w:r>
      <w:r>
        <w:rPr>
          <w:rFonts w:ascii="宋体" w:hAnsi="宋体" w:eastAsia="宋体" w:cs="宋体"/>
          <w:spacing w:val="-9"/>
          <w:sz w:val="21"/>
          <w:szCs w:val="21"/>
          <w:lang w:eastAsia="zh-CN"/>
        </w:rPr>
        <w:t xml:space="preserve"> </w:t>
      </w:r>
      <w:r>
        <w:rPr>
          <w:rFonts w:ascii="宋体" w:hAnsi="宋体" w:eastAsia="宋体" w:cs="宋体"/>
          <w:sz w:val="21"/>
          <w:szCs w:val="21"/>
          <w:lang w:eastAsia="zh-CN"/>
        </w:rPr>
        <w:t>计算分数时四舍五入取小数点后两位。</w:t>
      </w:r>
    </w:p>
    <w:p>
      <w:pPr>
        <w:spacing w:before="13" w:line="660" w:lineRule="auto"/>
        <w:ind w:left="332" w:right="6005"/>
        <w:rPr>
          <w:rFonts w:ascii="宋体" w:hAnsi="宋体" w:eastAsia="宋体" w:cs="宋体"/>
          <w:w w:val="99"/>
          <w:sz w:val="21"/>
          <w:szCs w:val="21"/>
          <w:lang w:eastAsia="zh-CN"/>
        </w:rPr>
      </w:pPr>
      <w:r>
        <w:rPr>
          <w:rFonts w:ascii="宋体" w:hAnsi="宋体" w:eastAsia="宋体" w:cs="宋体"/>
          <w:sz w:val="21"/>
          <w:szCs w:val="21"/>
          <w:lang w:eastAsia="zh-CN"/>
        </w:rPr>
        <w:t>5.</w:t>
      </w:r>
      <w:r>
        <w:rPr>
          <w:rFonts w:ascii="宋体" w:hAnsi="宋体" w:eastAsia="宋体" w:cs="宋体"/>
          <w:spacing w:val="-7"/>
          <w:sz w:val="21"/>
          <w:szCs w:val="21"/>
          <w:lang w:eastAsia="zh-CN"/>
        </w:rPr>
        <w:t xml:space="preserve"> </w:t>
      </w:r>
      <w:r>
        <w:rPr>
          <w:rFonts w:ascii="宋体" w:hAnsi="宋体" w:eastAsia="宋体" w:cs="宋体"/>
          <w:sz w:val="21"/>
          <w:szCs w:val="21"/>
          <w:lang w:eastAsia="zh-CN"/>
        </w:rPr>
        <w:t>本表可根据项目包组情况同格式</w:t>
      </w:r>
      <w:r>
        <w:rPr>
          <w:rFonts w:hint="eastAsia" w:ascii="宋体" w:hAnsi="宋体" w:eastAsia="宋体" w:cs="宋体"/>
          <w:sz w:val="21"/>
          <w:szCs w:val="21"/>
          <w:lang w:eastAsia="zh-CN"/>
        </w:rPr>
        <w:t>展</w:t>
      </w:r>
      <w:r>
        <w:rPr>
          <w:rFonts w:ascii="宋体" w:hAnsi="宋体" w:eastAsia="宋体" w:cs="宋体"/>
          <w:w w:val="99"/>
          <w:sz w:val="21"/>
          <w:szCs w:val="21"/>
          <w:lang w:eastAsia="zh-CN"/>
        </w:rPr>
        <w:t xml:space="preserve"> </w:t>
      </w:r>
    </w:p>
    <w:p>
      <w:pPr>
        <w:ind w:firstLine="420" w:firstLineChars="200"/>
        <w:rPr>
          <w:rFonts w:ascii="宋体" w:hAnsi="宋体" w:eastAsia="宋体" w:cs="宋体"/>
          <w:sz w:val="21"/>
          <w:szCs w:val="21"/>
          <w:lang w:eastAsia="zh-CN"/>
        </w:rPr>
      </w:pPr>
      <w:r>
        <w:rPr>
          <w:rFonts w:ascii="宋体" w:hAnsi="宋体" w:eastAsia="宋体" w:cs="宋体"/>
          <w:sz w:val="21"/>
          <w:szCs w:val="21"/>
          <w:lang w:eastAsia="zh-CN"/>
        </w:rPr>
        <w:t>供应商名称（公章）：</w:t>
      </w:r>
    </w:p>
    <w:p>
      <w:pPr>
        <w:ind w:firstLine="310" w:firstLineChars="150"/>
        <w:rPr>
          <w:rFonts w:ascii="宋体" w:hAnsi="宋体" w:eastAsia="宋体" w:cs="宋体"/>
          <w:w w:val="99"/>
          <w:sz w:val="21"/>
          <w:szCs w:val="21"/>
          <w:lang w:eastAsia="zh-CN"/>
        </w:rPr>
      </w:pPr>
      <w:r>
        <w:rPr>
          <w:rFonts w:ascii="宋体" w:hAnsi="宋体" w:eastAsia="宋体" w:cs="宋体"/>
          <w:w w:val="99"/>
          <w:sz w:val="21"/>
          <w:szCs w:val="21"/>
          <w:lang w:eastAsia="zh-CN"/>
        </w:rPr>
        <w:t xml:space="preserve"> </w:t>
      </w:r>
      <w:r>
        <w:rPr>
          <w:rFonts w:ascii="宋体" w:hAnsi="宋体" w:eastAsia="宋体" w:cs="宋体"/>
          <w:sz w:val="21"/>
          <w:szCs w:val="21"/>
          <w:lang w:eastAsia="zh-CN"/>
        </w:rPr>
        <w:t>法定代表人或授权代表（签字或盖章）：</w:t>
      </w:r>
    </w:p>
    <w:p>
      <w:pPr>
        <w:spacing w:before="13" w:line="660" w:lineRule="auto"/>
        <w:ind w:left="845" w:leftChars="50" w:right="6005" w:hanging="735" w:hangingChars="350"/>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lang w:eastAsia="zh-CN"/>
        </w:rPr>
        <w:t>年 月</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日</w:t>
      </w:r>
    </w:p>
    <w:p>
      <w:pPr>
        <w:rPr>
          <w:rFonts w:ascii="宋体" w:hAnsi="宋体" w:eastAsia="宋体"/>
          <w:b/>
          <w:bCs/>
          <w:sz w:val="28"/>
          <w:szCs w:val="28"/>
          <w:lang w:eastAsia="zh-CN"/>
        </w:rPr>
      </w:pPr>
      <w:bookmarkStart w:id="107" w:name="附件八：环境标志产品证明文件"/>
      <w:bookmarkEnd w:id="107"/>
      <w:r>
        <w:rPr>
          <w:lang w:eastAsia="zh-CN"/>
        </w:rPr>
        <w:br w:type="page"/>
      </w:r>
    </w:p>
    <w:p>
      <w:pPr>
        <w:pStyle w:val="7"/>
        <w:spacing w:line="362" w:lineRule="exact"/>
        <w:ind w:left="172" w:right="233"/>
        <w:rPr>
          <w:b w:val="0"/>
          <w:bCs w:val="0"/>
          <w:lang w:eastAsia="zh-CN"/>
        </w:rPr>
      </w:pPr>
      <w:r>
        <w:rPr>
          <w:lang w:eastAsia="zh-CN"/>
        </w:rPr>
        <w:t>附件八：环境标志产品证明文件</w:t>
      </w:r>
    </w:p>
    <w:p>
      <w:pPr>
        <w:rPr>
          <w:rFonts w:ascii="宋体" w:hAnsi="宋体" w:eastAsia="宋体" w:cs="宋体"/>
          <w:b/>
          <w:bCs/>
          <w:sz w:val="20"/>
          <w:szCs w:val="20"/>
          <w:lang w:eastAsia="zh-CN"/>
        </w:rPr>
      </w:pPr>
    </w:p>
    <w:p>
      <w:pPr>
        <w:spacing w:before="5"/>
        <w:rPr>
          <w:rFonts w:ascii="宋体" w:hAnsi="宋体" w:eastAsia="宋体" w:cs="宋体"/>
          <w:b/>
          <w:bCs/>
          <w:sz w:val="13"/>
          <w:szCs w:val="13"/>
          <w:lang w:eastAsia="zh-CN"/>
        </w:rPr>
      </w:pPr>
    </w:p>
    <w:p>
      <w:pPr>
        <w:spacing w:line="10609" w:lineRule="exact"/>
        <w:ind w:left="114"/>
        <w:rPr>
          <w:rFonts w:ascii="宋体" w:hAnsi="宋体" w:eastAsia="宋体" w:cs="宋体"/>
          <w:sz w:val="20"/>
          <w:szCs w:val="20"/>
        </w:rPr>
      </w:pPr>
      <w:r>
        <w:rPr>
          <w:rFonts w:ascii="宋体" w:hAnsi="宋体" w:eastAsia="宋体" w:cs="宋体"/>
          <w:position w:val="-211"/>
          <w:sz w:val="20"/>
          <w:szCs w:val="20"/>
          <w:lang w:eastAsia="zh-CN"/>
        </w:rPr>
        <w:pict>
          <v:shape id="Text Box 47" o:spid="_x0000_s1063" o:spt="202" type="#_x0000_t202" style="height:530.45pt;width:487.9pt;" filled="f" coordsize="21600,21600">
            <v:path/>
            <v:fill on="f" focussize="0,0"/>
            <v:stroke weight="0.48pt" joinstyle="miter"/>
            <v:imagedata o:title=""/>
            <o:lock v:ext="edit"/>
            <v:textbox inset="0mm,0mm,0mm,0mm">
              <w:txbxContent>
                <w:p>
                  <w:pPr>
                    <w:spacing w:line="275" w:lineRule="exact"/>
                    <w:ind w:left="101"/>
                    <w:rPr>
                      <w:rFonts w:ascii="宋体" w:hAnsi="宋体" w:eastAsia="宋体" w:cs="宋体"/>
                      <w:sz w:val="24"/>
                      <w:szCs w:val="24"/>
                      <w:lang w:eastAsia="zh-CN"/>
                    </w:rPr>
                  </w:pPr>
                  <w:r>
                    <w:rPr>
                      <w:rFonts w:ascii="宋体" w:hAnsi="宋体" w:eastAsia="宋体" w:cs="宋体"/>
                      <w:sz w:val="24"/>
                      <w:szCs w:val="24"/>
                      <w:lang w:eastAsia="zh-CN"/>
                    </w:rPr>
                    <w:t>提供本磋商文件要求的证明材料，并标明所在位置（若有）。</w:t>
                  </w:r>
                </w:p>
              </w:txbxContent>
            </v:textbox>
            <w10:wrap type="none"/>
            <w10:anchorlock/>
          </v:shape>
        </w:pict>
      </w:r>
    </w:p>
    <w:p>
      <w:pPr>
        <w:spacing w:before="3"/>
        <w:rPr>
          <w:rFonts w:ascii="宋体" w:hAnsi="宋体" w:eastAsia="宋体" w:cs="宋体"/>
          <w:b/>
          <w:bCs/>
          <w:sz w:val="16"/>
          <w:szCs w:val="16"/>
        </w:rPr>
      </w:pPr>
    </w:p>
    <w:p>
      <w:pPr>
        <w:pStyle w:val="10"/>
        <w:spacing w:before="26" w:line="475" w:lineRule="auto"/>
        <w:ind w:left="172" w:right="5275"/>
        <w:rPr>
          <w:lang w:eastAsia="zh-CN"/>
        </w:rPr>
      </w:pPr>
      <w:r>
        <w:rPr>
          <w:lang w:eastAsia="zh-CN"/>
        </w:rPr>
        <w:t>供应商名称（公章）： 法定代表人或授权代表（签字或盖章）： 年 月 日</w:t>
      </w:r>
    </w:p>
    <w:p>
      <w:pPr>
        <w:spacing w:line="475" w:lineRule="auto"/>
        <w:rPr>
          <w:lang w:eastAsia="zh-CN"/>
        </w:rPr>
        <w:sectPr>
          <w:pgSz w:w="11910" w:h="16840"/>
          <w:pgMar w:top="1560" w:right="960" w:bottom="960" w:left="960" w:header="0" w:footer="771" w:gutter="0"/>
          <w:cols w:space="720" w:num="1"/>
        </w:sectPr>
      </w:pPr>
    </w:p>
    <w:p>
      <w:pPr>
        <w:pStyle w:val="7"/>
        <w:spacing w:line="354" w:lineRule="exact"/>
        <w:ind w:left="592" w:right="4992" w:hanging="480"/>
        <w:rPr>
          <w:b w:val="0"/>
          <w:bCs w:val="0"/>
          <w:lang w:eastAsia="zh-CN"/>
        </w:rPr>
      </w:pPr>
      <w:bookmarkStart w:id="108" w:name="附件九：中小企业声明函"/>
      <w:bookmarkEnd w:id="108"/>
      <w:r>
        <w:rPr>
          <w:lang w:eastAsia="zh-CN"/>
        </w:rPr>
        <w:t>附件九：中小企业声明函</w:t>
      </w:r>
    </w:p>
    <w:p>
      <w:pPr>
        <w:rPr>
          <w:rFonts w:ascii="宋体" w:hAnsi="宋体" w:eastAsia="宋体" w:cs="宋体"/>
          <w:b/>
          <w:bCs/>
          <w:sz w:val="28"/>
          <w:szCs w:val="28"/>
          <w:lang w:eastAsia="zh-CN"/>
        </w:rPr>
      </w:pPr>
    </w:p>
    <w:p>
      <w:pPr>
        <w:spacing w:before="9"/>
        <w:rPr>
          <w:rFonts w:ascii="宋体" w:hAnsi="宋体" w:eastAsia="宋体" w:cs="宋体"/>
          <w:b/>
          <w:bCs/>
          <w:sz w:val="41"/>
          <w:szCs w:val="41"/>
          <w:lang w:eastAsia="zh-CN"/>
        </w:rPr>
      </w:pPr>
    </w:p>
    <w:p>
      <w:pPr>
        <w:pStyle w:val="10"/>
        <w:tabs>
          <w:tab w:val="left" w:pos="2752"/>
        </w:tabs>
        <w:spacing w:before="0" w:line="357" w:lineRule="auto"/>
        <w:ind w:left="112" w:right="212" w:firstLine="480"/>
        <w:jc w:val="both"/>
        <w:rPr>
          <w:lang w:eastAsia="zh-CN"/>
        </w:rPr>
      </w:pPr>
      <w:r>
        <w:rPr>
          <w:lang w:eastAsia="zh-CN"/>
        </w:rPr>
        <w:t>本公司郑重声明，根据《政府采购促进中小企业发展暂行办法》（财库[2011]181</w:t>
      </w:r>
      <w:r>
        <w:rPr>
          <w:spacing w:val="-60"/>
          <w:lang w:eastAsia="zh-CN"/>
        </w:rPr>
        <w:t xml:space="preserve"> </w:t>
      </w:r>
      <w:r>
        <w:rPr>
          <w:lang w:eastAsia="zh-CN"/>
        </w:rPr>
        <w:t>号） 的规定，本公司为</w:t>
      </w:r>
      <w:r>
        <w:rPr>
          <w:rFonts w:ascii="Times New Roman" w:hAnsi="Times New Roman" w:eastAsia="Times New Roman" w:cs="Times New Roman"/>
          <w:u w:val="single" w:color="000000"/>
          <w:lang w:eastAsia="zh-CN"/>
        </w:rPr>
        <w:tab/>
      </w:r>
      <w:r>
        <w:rPr>
          <w:lang w:eastAsia="zh-CN"/>
        </w:rPr>
        <w:t>（请填写：中型、小型、微型）企业。即，本公司同时满足以下条 件：</w:t>
      </w:r>
    </w:p>
    <w:p>
      <w:pPr>
        <w:pStyle w:val="10"/>
        <w:tabs>
          <w:tab w:val="left" w:pos="9796"/>
        </w:tabs>
        <w:spacing w:before="34" w:line="357" w:lineRule="auto"/>
        <w:ind w:left="112" w:right="111" w:firstLine="480"/>
        <w:rPr>
          <w:rFonts w:ascii="Times New Roman" w:hAnsi="Times New Roman" w:eastAsia="Times New Roman" w:cs="Times New Roman"/>
          <w:lang w:eastAsia="zh-CN"/>
        </w:rPr>
      </w:pPr>
      <w:r>
        <w:rPr>
          <w:lang w:eastAsia="zh-CN"/>
        </w:rPr>
        <w:t xml:space="preserve">1.根据《工业和信息化部、国家统计局、国家发展和改革委员会、财政部关于印发中小 </w:t>
      </w:r>
      <w:r>
        <w:rPr>
          <w:spacing w:val="-3"/>
          <w:lang w:eastAsia="zh-CN"/>
        </w:rPr>
        <w:t>企业划型标准规定的通知》（工信部联企业[2011]300</w:t>
      </w:r>
      <w:r>
        <w:rPr>
          <w:spacing w:val="-46"/>
          <w:lang w:eastAsia="zh-CN"/>
        </w:rPr>
        <w:t xml:space="preserve"> </w:t>
      </w:r>
      <w:r>
        <w:rPr>
          <w:spacing w:val="-5"/>
          <w:lang w:eastAsia="zh-CN"/>
        </w:rPr>
        <w:t>号）规定的划分标准，本公司为</w:t>
      </w:r>
      <w:r>
        <w:rPr>
          <w:rFonts w:ascii="Times New Roman" w:hAnsi="Times New Roman" w:eastAsia="Times New Roman" w:cs="Times New Roman"/>
          <w:spacing w:val="-5"/>
          <w:u w:val="single" w:color="000000"/>
          <w:lang w:eastAsia="zh-CN"/>
        </w:rPr>
        <w:t xml:space="preserve"> </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w w:val="28"/>
          <w:u w:val="single" w:color="000000"/>
          <w:lang w:eastAsia="zh-CN"/>
        </w:rPr>
        <w:t xml:space="preserve"> </w:t>
      </w:r>
    </w:p>
    <w:p>
      <w:pPr>
        <w:pStyle w:val="10"/>
        <w:ind w:left="112" w:right="4992"/>
        <w:rPr>
          <w:lang w:eastAsia="zh-CN"/>
        </w:rPr>
      </w:pPr>
      <w:r>
        <w:rPr>
          <w:lang w:eastAsia="zh-CN"/>
        </w:rPr>
        <w:t>（请填写：中型、小型、微型）企业。</w:t>
      </w:r>
    </w:p>
    <w:p>
      <w:pPr>
        <w:pStyle w:val="10"/>
        <w:tabs>
          <w:tab w:val="left" w:pos="2752"/>
          <w:tab w:val="left" w:pos="4192"/>
        </w:tabs>
        <w:spacing w:before="151" w:line="357" w:lineRule="auto"/>
        <w:ind w:left="112" w:right="212" w:firstLine="480"/>
        <w:jc w:val="both"/>
        <w:rPr>
          <w:lang w:eastAsia="zh-CN"/>
        </w:rPr>
      </w:pPr>
      <w:r>
        <w:rPr>
          <w:lang w:eastAsia="zh-CN"/>
        </w:rPr>
        <w:t>2.本公司参加</w:t>
      </w:r>
      <w:r>
        <w:rPr>
          <w:rFonts w:ascii="Times New Roman" w:hAnsi="Times New Roman" w:eastAsia="Times New Roman" w:cs="Times New Roman"/>
          <w:u w:val="single" w:color="000000"/>
          <w:lang w:eastAsia="zh-CN"/>
        </w:rPr>
        <w:tab/>
      </w:r>
      <w:r>
        <w:rPr>
          <w:lang w:eastAsia="zh-CN"/>
        </w:rPr>
        <w:t>单位的</w:t>
      </w:r>
      <w:r>
        <w:rPr>
          <w:rFonts w:ascii="Times New Roman" w:hAnsi="Times New Roman" w:eastAsia="Times New Roman" w:cs="Times New Roman"/>
          <w:u w:val="single" w:color="000000"/>
          <w:lang w:eastAsia="zh-CN"/>
        </w:rPr>
        <w:tab/>
      </w:r>
      <w:r>
        <w:rPr>
          <w:lang w:eastAsia="zh-CN"/>
        </w:rPr>
        <w:t>项目采购活动提供本企业制造的货物，由本企业承担 工程、提供服务，或者提供其他</w:t>
      </w:r>
      <w:r>
        <w:rPr>
          <w:rFonts w:ascii="Times New Roman" w:hAnsi="Times New Roman" w:eastAsia="Times New Roman" w:cs="Times New Roman"/>
          <w:u w:val="single" w:color="000000"/>
          <w:lang w:eastAsia="zh-CN"/>
        </w:rPr>
        <w:tab/>
      </w:r>
      <w:r>
        <w:rPr>
          <w:lang w:eastAsia="zh-CN"/>
        </w:rPr>
        <w:t>（请填写：中型、小型、微型）企业制造的货物。本 条所称货物不包括使用大型企业注册商标的货物。</w:t>
      </w:r>
    </w:p>
    <w:p>
      <w:pPr>
        <w:pStyle w:val="10"/>
        <w:spacing w:before="34"/>
        <w:ind w:right="1375"/>
        <w:rPr>
          <w:lang w:eastAsia="zh-CN"/>
        </w:rPr>
      </w:pPr>
      <w:r>
        <w:rPr>
          <w:lang w:eastAsia="zh-CN"/>
        </w:rPr>
        <w:t>本公司对上述声明的真实性负责。如有虚假，将依法承担相应责任。</w:t>
      </w: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11"/>
        <w:rPr>
          <w:rFonts w:ascii="宋体" w:hAnsi="宋体" w:eastAsia="宋体" w:cs="宋体"/>
          <w:sz w:val="31"/>
          <w:szCs w:val="31"/>
          <w:lang w:eastAsia="zh-CN"/>
        </w:rPr>
      </w:pPr>
    </w:p>
    <w:p>
      <w:pPr>
        <w:pStyle w:val="10"/>
        <w:spacing w:before="0" w:line="712" w:lineRule="auto"/>
        <w:ind w:left="6112" w:right="1375" w:hanging="420"/>
        <w:rPr>
          <w:lang w:eastAsia="zh-CN"/>
        </w:rPr>
      </w:pPr>
      <w:r>
        <w:rPr>
          <w:lang w:eastAsia="zh-CN"/>
        </w:rPr>
        <w:t xml:space="preserve">企业名称（公章）： </w:t>
      </w:r>
    </w:p>
    <w:p>
      <w:pPr>
        <w:pStyle w:val="10"/>
        <w:spacing w:before="0" w:line="712" w:lineRule="auto"/>
        <w:ind w:left="6112" w:right="1375" w:hanging="420"/>
        <w:rPr>
          <w:lang w:eastAsia="zh-CN"/>
        </w:rPr>
      </w:pPr>
      <w:r>
        <w:rPr>
          <w:lang w:eastAsia="zh-CN"/>
        </w:rPr>
        <w:t>日期：</w:t>
      </w:r>
    </w:p>
    <w:p>
      <w:pPr>
        <w:spacing w:line="712" w:lineRule="auto"/>
        <w:rPr>
          <w:lang w:eastAsia="zh-CN"/>
        </w:rPr>
        <w:sectPr>
          <w:pgSz w:w="11910" w:h="16840"/>
          <w:pgMar w:top="1220" w:right="960" w:bottom="960" w:left="1020" w:header="0" w:footer="771" w:gutter="0"/>
          <w:cols w:space="720" w:num="1"/>
        </w:sectPr>
      </w:pPr>
    </w:p>
    <w:p>
      <w:pPr>
        <w:pStyle w:val="7"/>
        <w:spacing w:line="326" w:lineRule="auto"/>
        <w:ind w:right="110"/>
        <w:rPr>
          <w:b w:val="0"/>
          <w:bCs w:val="0"/>
          <w:lang w:eastAsia="zh-CN"/>
        </w:rPr>
      </w:pPr>
      <w:bookmarkStart w:id="109" w:name="附件十：企业所在地的县级（含）以上中小企业主管部门出具的属于小型、微型企业的证明"/>
      <w:bookmarkEnd w:id="109"/>
      <w:bookmarkStart w:id="110" w:name="附件十一：监狱企业证明文件"/>
      <w:bookmarkEnd w:id="110"/>
      <w:r>
        <w:rPr>
          <w:spacing w:val="2"/>
          <w:lang w:eastAsia="zh-CN"/>
        </w:rPr>
        <w:t>附件十：企业所在地的县级（含）以上中小企业主管部门出具的属于小型、微</w:t>
      </w:r>
      <w:r>
        <w:rPr>
          <w:spacing w:val="-136"/>
          <w:lang w:eastAsia="zh-CN"/>
        </w:rPr>
        <w:t xml:space="preserve"> </w:t>
      </w:r>
      <w:r>
        <w:rPr>
          <w:lang w:eastAsia="zh-CN"/>
        </w:rPr>
        <w:t>型企业的证明文件</w:t>
      </w:r>
    </w:p>
    <w:p>
      <w:pPr>
        <w:rPr>
          <w:rFonts w:ascii="宋体" w:hAnsi="宋体" w:eastAsia="宋体" w:cs="宋体"/>
          <w:b/>
          <w:bCs/>
          <w:sz w:val="28"/>
          <w:szCs w:val="28"/>
          <w:lang w:eastAsia="zh-CN"/>
        </w:rPr>
      </w:pPr>
    </w:p>
    <w:p>
      <w:pPr>
        <w:rPr>
          <w:rFonts w:ascii="宋体" w:hAnsi="宋体" w:eastAsia="宋体" w:cs="宋体"/>
          <w:b/>
          <w:bCs/>
          <w:sz w:val="28"/>
          <w:szCs w:val="28"/>
          <w:lang w:eastAsia="zh-CN"/>
        </w:rPr>
      </w:pPr>
    </w:p>
    <w:p>
      <w:pPr>
        <w:rPr>
          <w:rFonts w:ascii="宋体" w:hAnsi="宋体" w:eastAsia="宋体" w:cs="宋体"/>
          <w:b/>
          <w:bCs/>
          <w:sz w:val="28"/>
          <w:szCs w:val="28"/>
          <w:lang w:eastAsia="zh-CN"/>
        </w:rPr>
      </w:pPr>
    </w:p>
    <w:p>
      <w:pPr>
        <w:spacing w:before="6"/>
        <w:rPr>
          <w:rFonts w:ascii="宋体" w:hAnsi="宋体" w:eastAsia="宋体" w:cs="宋体"/>
          <w:b/>
          <w:bCs/>
          <w:sz w:val="31"/>
          <w:szCs w:val="31"/>
          <w:lang w:eastAsia="zh-CN"/>
        </w:rPr>
      </w:pPr>
    </w:p>
    <w:p>
      <w:pPr>
        <w:ind w:left="599"/>
        <w:jc w:val="center"/>
        <w:rPr>
          <w:rFonts w:ascii="宋体" w:hAnsi="宋体" w:eastAsia="宋体" w:cs="宋体"/>
          <w:sz w:val="30"/>
          <w:szCs w:val="30"/>
          <w:lang w:eastAsia="zh-CN"/>
        </w:rPr>
      </w:pPr>
      <w:r>
        <w:rPr>
          <w:rFonts w:ascii="宋体" w:hAnsi="宋体" w:eastAsia="宋体" w:cs="宋体"/>
          <w:b/>
          <w:bCs/>
          <w:sz w:val="30"/>
          <w:szCs w:val="30"/>
          <w:lang w:eastAsia="zh-CN"/>
        </w:rPr>
        <w:t>中小企业证明文件</w:t>
      </w:r>
    </w:p>
    <w:p>
      <w:pPr>
        <w:spacing w:before="7"/>
        <w:rPr>
          <w:rFonts w:ascii="宋体" w:hAnsi="宋体" w:eastAsia="宋体" w:cs="宋体"/>
          <w:b/>
          <w:bCs/>
          <w:sz w:val="39"/>
          <w:szCs w:val="39"/>
          <w:lang w:eastAsia="zh-CN"/>
        </w:rPr>
      </w:pPr>
    </w:p>
    <w:p>
      <w:pPr>
        <w:pStyle w:val="10"/>
        <w:spacing w:before="0" w:line="355" w:lineRule="auto"/>
        <w:ind w:left="110" w:leftChars="50" w:right="110" w:firstLine="840" w:firstLineChars="350"/>
        <w:rPr>
          <w:lang w:eastAsia="zh-CN"/>
        </w:rPr>
      </w:pPr>
      <w:r>
        <w:rPr>
          <w:lang w:eastAsia="zh-CN"/>
        </w:rPr>
        <w:t>根据工信部、国家统计局、国家发改委、财政部出台的《关于印发中小企业划型标准规</w:t>
      </w:r>
      <w:r>
        <w:rPr>
          <w:spacing w:val="-1"/>
          <w:lang w:eastAsia="zh-CN"/>
        </w:rPr>
        <w:t>定的通知》（工信部联企业[2011]300</w:t>
      </w:r>
      <w:r>
        <w:rPr>
          <w:spacing w:val="-44"/>
          <w:lang w:eastAsia="zh-CN"/>
        </w:rPr>
        <w:t xml:space="preserve"> </w:t>
      </w:r>
      <w:r>
        <w:rPr>
          <w:spacing w:val="-1"/>
          <w:lang w:eastAsia="zh-CN"/>
        </w:rPr>
        <w:t>号）规定的划分标准，确认</w:t>
      </w:r>
      <w:r>
        <w:rPr>
          <w:spacing w:val="-1"/>
          <w:lang w:eastAsia="zh-CN"/>
        </w:rPr>
        <w:tab/>
      </w:r>
      <w:r>
        <w:rPr>
          <w:spacing w:val="-1"/>
          <w:u w:val="single" w:color="000000"/>
          <w:lang w:eastAsia="zh-CN"/>
        </w:rPr>
        <w:t>某某企业</w:t>
      </w:r>
      <w:r>
        <w:rPr>
          <w:spacing w:val="-1"/>
          <w:lang w:eastAsia="zh-CN"/>
        </w:rPr>
        <w:t>为</w:t>
      </w:r>
      <w:r>
        <w:rPr>
          <w:rFonts w:ascii="Times New Roman" w:hAnsi="Times New Roman" w:eastAsia="Times New Roman" w:cs="Times New Roman"/>
          <w:spacing w:val="-1"/>
          <w:u w:val="single" w:color="000000"/>
          <w:lang w:eastAsia="zh-CN"/>
        </w:rPr>
        <w:tab/>
      </w:r>
      <w:r>
        <w:rPr>
          <w:lang w:eastAsia="zh-CN"/>
        </w:rPr>
        <w:t>（请 填写：中型、小型、微型）企业。</w:t>
      </w:r>
    </w:p>
    <w:p>
      <w:pPr>
        <w:pStyle w:val="10"/>
        <w:spacing w:before="34"/>
        <w:ind w:right="110"/>
        <w:rPr>
          <w:lang w:eastAsia="zh-CN"/>
        </w:rPr>
      </w:pPr>
      <w:r>
        <w:rPr>
          <w:lang w:eastAsia="zh-CN"/>
        </w:rPr>
        <w:t>特此证明。</w:t>
      </w:r>
    </w:p>
    <w:p>
      <w:pPr>
        <w:rPr>
          <w:rFonts w:ascii="宋体" w:hAnsi="宋体" w:eastAsia="宋体" w:cs="宋体"/>
          <w:sz w:val="24"/>
          <w:szCs w:val="24"/>
          <w:lang w:eastAsia="zh-CN"/>
        </w:rPr>
      </w:pPr>
    </w:p>
    <w:p>
      <w:pPr>
        <w:rPr>
          <w:rFonts w:ascii="宋体" w:hAnsi="宋体" w:eastAsia="宋体" w:cs="宋体"/>
          <w:sz w:val="24"/>
          <w:szCs w:val="24"/>
          <w:lang w:eastAsia="zh-CN"/>
        </w:rPr>
      </w:pPr>
    </w:p>
    <w:p>
      <w:pPr>
        <w:pStyle w:val="10"/>
        <w:spacing w:before="183"/>
        <w:ind w:left="0" w:right="591"/>
        <w:jc w:val="right"/>
        <w:rPr>
          <w:lang w:eastAsia="zh-CN"/>
        </w:rPr>
      </w:pPr>
      <w:r>
        <w:rPr>
          <w:lang w:eastAsia="zh-CN"/>
        </w:rPr>
        <w:t>主管部门（公章）：</w:t>
      </w:r>
    </w:p>
    <w:p>
      <w:pPr>
        <w:pStyle w:val="10"/>
        <w:tabs>
          <w:tab w:val="left" w:pos="479"/>
          <w:tab w:val="left" w:pos="959"/>
        </w:tabs>
        <w:spacing w:before="187"/>
        <w:ind w:left="0" w:right="591"/>
        <w:jc w:val="right"/>
        <w:rPr>
          <w:lang w:eastAsia="zh-CN"/>
        </w:rPr>
      </w:pPr>
      <w:r>
        <w:rPr>
          <w:lang w:eastAsia="zh-CN"/>
        </w:rPr>
        <w:t>年</w:t>
      </w:r>
      <w:r>
        <w:rPr>
          <w:lang w:eastAsia="zh-CN"/>
        </w:rPr>
        <w:tab/>
      </w:r>
      <w:r>
        <w:rPr>
          <w:lang w:eastAsia="zh-CN"/>
        </w:rPr>
        <w:t>月</w:t>
      </w:r>
      <w:r>
        <w:rPr>
          <w:lang w:eastAsia="zh-CN"/>
        </w:rPr>
        <w:tab/>
      </w:r>
      <w:r>
        <w:rPr>
          <w:lang w:eastAsia="zh-CN"/>
        </w:rPr>
        <w:t>日</w:t>
      </w:r>
    </w:p>
    <w:p>
      <w:pPr>
        <w:jc w:val="right"/>
        <w:rPr>
          <w:lang w:eastAsia="zh-CN"/>
        </w:rPr>
        <w:sectPr>
          <w:pgSz w:w="11910" w:h="16840"/>
          <w:pgMar w:top="1220" w:right="1020" w:bottom="960" w:left="1020" w:header="0" w:footer="771" w:gutter="0"/>
          <w:cols w:space="720" w:num="1"/>
        </w:sectPr>
      </w:pPr>
    </w:p>
    <w:p>
      <w:pPr>
        <w:pStyle w:val="7"/>
        <w:spacing w:line="354" w:lineRule="exact"/>
        <w:ind w:left="273" w:right="233"/>
        <w:rPr>
          <w:b w:val="0"/>
          <w:bCs w:val="0"/>
          <w:lang w:eastAsia="zh-CN"/>
        </w:rPr>
      </w:pPr>
      <w:bookmarkStart w:id="111" w:name="附件十二：残疾人福利性单位声明函"/>
      <w:bookmarkEnd w:id="111"/>
      <w:r>
        <w:rPr>
          <w:lang w:eastAsia="zh-CN"/>
        </w:rPr>
        <w:t>附件十一：监狱企业证明文件</w:t>
      </w:r>
    </w:p>
    <w:p>
      <w:pPr>
        <w:pStyle w:val="7"/>
        <w:spacing w:before="101"/>
        <w:ind w:left="0"/>
        <w:jc w:val="center"/>
        <w:rPr>
          <w:b w:val="0"/>
          <w:bCs w:val="0"/>
        </w:rPr>
      </w:pPr>
      <w:bookmarkStart w:id="112" w:name="监狱企业证明文件"/>
      <w:bookmarkEnd w:id="112"/>
      <w:r>
        <w:t>监狱企业证明文件</w:t>
      </w:r>
    </w:p>
    <w:p>
      <w:pPr>
        <w:rPr>
          <w:rFonts w:ascii="宋体" w:hAnsi="宋体" w:eastAsia="宋体" w:cs="宋体"/>
          <w:b/>
          <w:bCs/>
          <w:sz w:val="20"/>
          <w:szCs w:val="20"/>
        </w:rPr>
      </w:pPr>
    </w:p>
    <w:p>
      <w:pPr>
        <w:spacing w:before="5"/>
        <w:rPr>
          <w:rFonts w:ascii="宋体" w:hAnsi="宋体" w:eastAsia="宋体" w:cs="宋体"/>
          <w:b/>
          <w:bCs/>
          <w:sz w:val="13"/>
          <w:szCs w:val="13"/>
        </w:rPr>
      </w:pPr>
    </w:p>
    <w:p>
      <w:pPr>
        <w:spacing w:line="10609" w:lineRule="exact"/>
        <w:ind w:left="114"/>
        <w:rPr>
          <w:rFonts w:ascii="宋体" w:hAnsi="宋体" w:eastAsia="宋体" w:cs="宋体"/>
          <w:sz w:val="20"/>
          <w:szCs w:val="20"/>
        </w:rPr>
      </w:pPr>
      <w:r>
        <w:rPr>
          <w:rFonts w:ascii="宋体" w:hAnsi="宋体" w:eastAsia="宋体" w:cs="宋体"/>
          <w:position w:val="-211"/>
          <w:sz w:val="20"/>
          <w:szCs w:val="20"/>
          <w:lang w:eastAsia="zh-CN"/>
        </w:rPr>
        <w:pict>
          <v:shape id="Text Box 46" o:spid="_x0000_s1062" o:spt="202" type="#_x0000_t202" style="height:530.45pt;width:487.9pt;" filled="f" coordsize="21600,21600">
            <v:path/>
            <v:fill on="f" focussize="0,0"/>
            <v:stroke weight="0.48pt" joinstyle="miter"/>
            <v:imagedata o:title=""/>
            <o:lock v:ext="edit"/>
            <v:textbox inset="0mm,0mm,0mm,0mm">
              <w:txbxContent>
                <w:p>
                  <w:pPr>
                    <w:spacing w:line="275" w:lineRule="exact"/>
                    <w:ind w:left="101"/>
                    <w:rPr>
                      <w:rFonts w:ascii="宋体" w:hAnsi="宋体" w:eastAsia="宋体" w:cs="宋体"/>
                      <w:sz w:val="24"/>
                      <w:szCs w:val="24"/>
                      <w:lang w:eastAsia="zh-CN"/>
                    </w:rPr>
                  </w:pPr>
                  <w:r>
                    <w:rPr>
                      <w:rFonts w:ascii="宋体" w:hAnsi="宋体" w:eastAsia="宋体" w:cs="宋体"/>
                      <w:sz w:val="24"/>
                      <w:szCs w:val="24"/>
                      <w:lang w:eastAsia="zh-CN"/>
                    </w:rPr>
                    <w:t>由省级以上监狱管理局</w:t>
                  </w:r>
                  <w:r>
                    <w:rPr>
                      <w:rFonts w:ascii="宋体" w:hAnsi="宋体" w:eastAsia="宋体" w:cs="宋体"/>
                      <w:spacing w:val="-58"/>
                      <w:sz w:val="24"/>
                      <w:szCs w:val="24"/>
                      <w:lang w:eastAsia="zh-CN"/>
                    </w:rPr>
                    <w:t>、</w:t>
                  </w:r>
                  <w:r>
                    <w:rPr>
                      <w:rFonts w:ascii="宋体" w:hAnsi="宋体" w:eastAsia="宋体" w:cs="宋体"/>
                      <w:sz w:val="24"/>
                      <w:szCs w:val="24"/>
                      <w:lang w:eastAsia="zh-CN"/>
                    </w:rPr>
                    <w:t>戒毒管理局(含新疆生产建设兵团)出具的属于监狱企业的证明文件</w:t>
                  </w:r>
                </w:p>
              </w:txbxContent>
            </v:textbox>
            <w10:wrap type="none"/>
            <w10:anchorlock/>
          </v:shape>
        </w:pict>
      </w:r>
    </w:p>
    <w:p>
      <w:pPr>
        <w:spacing w:before="3"/>
        <w:rPr>
          <w:rFonts w:ascii="宋体" w:hAnsi="宋体" w:eastAsia="宋体" w:cs="宋体"/>
          <w:b/>
          <w:bCs/>
          <w:sz w:val="16"/>
          <w:szCs w:val="16"/>
        </w:rPr>
      </w:pPr>
    </w:p>
    <w:p>
      <w:pPr>
        <w:pStyle w:val="10"/>
        <w:spacing w:before="28" w:line="237" w:lineRule="auto"/>
        <w:ind w:left="172" w:right="5275"/>
        <w:rPr>
          <w:lang w:eastAsia="zh-CN"/>
        </w:rPr>
      </w:pPr>
      <w:r>
        <w:rPr>
          <w:lang w:eastAsia="zh-CN"/>
        </w:rPr>
        <w:t xml:space="preserve">供应商名称（公章）： </w:t>
      </w:r>
    </w:p>
    <w:p>
      <w:pPr>
        <w:pStyle w:val="10"/>
        <w:spacing w:before="28" w:line="237" w:lineRule="auto"/>
        <w:ind w:left="172" w:right="5275"/>
        <w:rPr>
          <w:lang w:eastAsia="zh-CN"/>
        </w:rPr>
      </w:pPr>
      <w:r>
        <w:rPr>
          <w:lang w:eastAsia="zh-CN"/>
        </w:rPr>
        <w:t>法定代表人或授权代表（签字或盖章）： 年 月 日</w:t>
      </w:r>
    </w:p>
    <w:p>
      <w:pPr>
        <w:spacing w:line="237" w:lineRule="auto"/>
        <w:rPr>
          <w:lang w:eastAsia="zh-CN"/>
        </w:rPr>
        <w:sectPr>
          <w:pgSz w:w="11910" w:h="16840"/>
          <w:pgMar w:top="1220" w:right="960" w:bottom="960" w:left="960" w:header="0" w:footer="771" w:gutter="0"/>
          <w:cols w:space="720" w:num="1"/>
        </w:sectPr>
      </w:pPr>
    </w:p>
    <w:p>
      <w:pPr>
        <w:pStyle w:val="7"/>
        <w:spacing w:line="354" w:lineRule="exact"/>
        <w:ind w:left="213"/>
        <w:rPr>
          <w:b w:val="0"/>
          <w:bCs w:val="0"/>
          <w:lang w:eastAsia="zh-CN"/>
        </w:rPr>
      </w:pPr>
      <w:bookmarkStart w:id="113" w:name="附件十三：资格、资质证明文件"/>
      <w:bookmarkEnd w:id="113"/>
      <w:r>
        <w:rPr>
          <w:lang w:eastAsia="zh-CN"/>
        </w:rPr>
        <w:t>附件十二：残疾人福利性单位声明函</w:t>
      </w:r>
    </w:p>
    <w:p>
      <w:pPr>
        <w:rPr>
          <w:rFonts w:ascii="宋体" w:hAnsi="宋体" w:eastAsia="宋体" w:cs="宋体"/>
          <w:b/>
          <w:bCs/>
          <w:sz w:val="28"/>
          <w:szCs w:val="28"/>
          <w:lang w:eastAsia="zh-CN"/>
        </w:rPr>
      </w:pPr>
    </w:p>
    <w:p>
      <w:pPr>
        <w:rPr>
          <w:rFonts w:ascii="宋体" w:hAnsi="宋体" w:eastAsia="宋体" w:cs="宋体"/>
          <w:b/>
          <w:bCs/>
          <w:sz w:val="28"/>
          <w:szCs w:val="28"/>
          <w:lang w:eastAsia="zh-CN"/>
        </w:rPr>
      </w:pPr>
    </w:p>
    <w:p>
      <w:pPr>
        <w:rPr>
          <w:rFonts w:ascii="宋体" w:hAnsi="宋体" w:eastAsia="宋体" w:cs="宋体"/>
          <w:b/>
          <w:bCs/>
          <w:sz w:val="28"/>
          <w:szCs w:val="28"/>
          <w:lang w:eastAsia="zh-CN"/>
        </w:rPr>
      </w:pPr>
    </w:p>
    <w:p>
      <w:pPr>
        <w:spacing w:before="235"/>
        <w:ind w:left="3100"/>
        <w:rPr>
          <w:rFonts w:ascii="仿宋" w:hAnsi="仿宋" w:eastAsia="仿宋" w:cs="仿宋"/>
          <w:sz w:val="32"/>
          <w:szCs w:val="32"/>
          <w:lang w:eastAsia="zh-CN"/>
        </w:rPr>
      </w:pPr>
      <w:r>
        <w:rPr>
          <w:rFonts w:ascii="仿宋" w:hAnsi="仿宋" w:eastAsia="仿宋" w:cs="仿宋"/>
          <w:b/>
          <w:bCs/>
          <w:spacing w:val="12"/>
          <w:sz w:val="32"/>
          <w:szCs w:val="32"/>
          <w:lang w:eastAsia="zh-CN"/>
        </w:rPr>
        <w:t>残疾人福利性单位声明函</w:t>
      </w:r>
    </w:p>
    <w:p>
      <w:pPr>
        <w:rPr>
          <w:rFonts w:ascii="仿宋" w:hAnsi="仿宋" w:eastAsia="仿宋" w:cs="仿宋"/>
          <w:b/>
          <w:bCs/>
          <w:sz w:val="32"/>
          <w:szCs w:val="32"/>
          <w:lang w:eastAsia="zh-CN"/>
        </w:rPr>
      </w:pPr>
    </w:p>
    <w:p>
      <w:pPr>
        <w:rPr>
          <w:rFonts w:ascii="仿宋" w:hAnsi="仿宋" w:eastAsia="仿宋" w:cs="仿宋"/>
          <w:b/>
          <w:bCs/>
          <w:sz w:val="33"/>
          <w:szCs w:val="33"/>
          <w:lang w:eastAsia="zh-CN"/>
        </w:rPr>
      </w:pPr>
    </w:p>
    <w:p>
      <w:pPr>
        <w:pStyle w:val="10"/>
        <w:spacing w:before="0" w:line="448" w:lineRule="auto"/>
        <w:ind w:left="112" w:right="103" w:firstLine="504"/>
        <w:jc w:val="both"/>
        <w:rPr>
          <w:lang w:eastAsia="zh-CN"/>
        </w:rPr>
      </w:pPr>
      <w:r>
        <w:rPr>
          <w:spacing w:val="12"/>
          <w:lang w:eastAsia="zh-CN"/>
        </w:rPr>
        <w:t xml:space="preserve">本单位郑重声明，根据《财政部 </w:t>
      </w:r>
      <w:r>
        <w:rPr>
          <w:spacing w:val="8"/>
          <w:lang w:eastAsia="zh-CN"/>
        </w:rPr>
        <w:t>民政部</w:t>
      </w:r>
      <w:r>
        <w:rPr>
          <w:spacing w:val="52"/>
          <w:lang w:eastAsia="zh-CN"/>
        </w:rPr>
        <w:t xml:space="preserve"> </w:t>
      </w:r>
      <w:r>
        <w:rPr>
          <w:spacing w:val="12"/>
          <w:lang w:eastAsia="zh-CN"/>
        </w:rPr>
        <w:t>中国残疾人联合会关于促进残疾人就业政</w:t>
      </w:r>
      <w:r>
        <w:rPr>
          <w:lang w:eastAsia="zh-CN"/>
        </w:rPr>
        <w:t xml:space="preserve"> </w:t>
      </w:r>
      <w:r>
        <w:rPr>
          <w:spacing w:val="9"/>
          <w:lang w:eastAsia="zh-CN"/>
        </w:rPr>
        <w:t xml:space="preserve">府采购政策的通知》（财库〔2017〕 </w:t>
      </w:r>
      <w:r>
        <w:rPr>
          <w:lang w:eastAsia="zh-CN"/>
        </w:rPr>
        <w:t>141</w:t>
      </w:r>
      <w:r>
        <w:rPr>
          <w:spacing w:val="-59"/>
          <w:lang w:eastAsia="zh-CN"/>
        </w:rPr>
        <w:t xml:space="preserve"> </w:t>
      </w:r>
      <w:r>
        <w:rPr>
          <w:spacing w:val="13"/>
          <w:lang w:eastAsia="zh-CN"/>
        </w:rPr>
        <w:t>号）的规定，本单位为符合条件的残疾人福利</w:t>
      </w:r>
      <w:r>
        <w:rPr>
          <w:lang w:eastAsia="zh-CN"/>
        </w:rPr>
        <w:t xml:space="preserve"> </w:t>
      </w:r>
      <w:r>
        <w:rPr>
          <w:spacing w:val="11"/>
          <w:lang w:eastAsia="zh-CN"/>
        </w:rPr>
        <w:t>性单位，且本单位参加______单位的______项目采购活动提供本单位制造的货物（由本</w:t>
      </w:r>
      <w:r>
        <w:rPr>
          <w:spacing w:val="-113"/>
          <w:lang w:eastAsia="zh-CN"/>
        </w:rPr>
        <w:t xml:space="preserve"> </w:t>
      </w:r>
      <w:r>
        <w:rPr>
          <w:spacing w:val="9"/>
          <w:lang w:eastAsia="zh-CN"/>
        </w:rPr>
        <w:t>单位承担工程/提供服务），或者提供其他残疾人福利性单位制造的货物（不包括使用非</w:t>
      </w:r>
      <w:r>
        <w:rPr>
          <w:spacing w:val="-85"/>
          <w:lang w:eastAsia="zh-CN"/>
        </w:rPr>
        <w:t xml:space="preserve"> </w:t>
      </w:r>
      <w:r>
        <w:rPr>
          <w:spacing w:val="11"/>
          <w:lang w:eastAsia="zh-CN"/>
        </w:rPr>
        <w:t>残疾人福利性单位注册商标的货物）。</w:t>
      </w:r>
    </w:p>
    <w:p>
      <w:pPr>
        <w:pStyle w:val="10"/>
        <w:spacing w:before="65"/>
        <w:ind w:left="616"/>
        <w:rPr>
          <w:lang w:eastAsia="zh-CN"/>
        </w:rPr>
      </w:pPr>
      <w:r>
        <w:rPr>
          <w:spacing w:val="11"/>
          <w:lang w:eastAsia="zh-CN"/>
        </w:rPr>
        <w:t>本单位对上述声明的真实性负责。如有虚假，将依法承担相应责任。</w:t>
      </w: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pStyle w:val="10"/>
        <w:tabs>
          <w:tab w:val="left" w:pos="4871"/>
        </w:tabs>
        <w:spacing w:before="193" w:line="448" w:lineRule="auto"/>
        <w:ind w:left="4356" w:right="3330" w:hanging="96"/>
        <w:rPr>
          <w:lang w:eastAsia="zh-CN"/>
        </w:rPr>
      </w:pPr>
      <w:r>
        <w:rPr>
          <w:spacing w:val="10"/>
          <w:lang w:eastAsia="zh-CN"/>
        </w:rPr>
        <w:t>单位名称（盖章）：</w:t>
      </w:r>
      <w:r>
        <w:rPr>
          <w:spacing w:val="-115"/>
          <w:lang w:eastAsia="zh-CN"/>
        </w:rPr>
        <w:t xml:space="preserve"> </w:t>
      </w:r>
      <w:r>
        <w:rPr>
          <w:lang w:eastAsia="zh-CN"/>
        </w:rPr>
        <w:t>日</w:t>
      </w:r>
      <w:r>
        <w:rPr>
          <w:lang w:eastAsia="zh-CN"/>
        </w:rPr>
        <w:tab/>
      </w:r>
      <w:r>
        <w:rPr>
          <w:spacing w:val="6"/>
          <w:lang w:eastAsia="zh-CN"/>
        </w:rPr>
        <w:t>期：</w:t>
      </w:r>
    </w:p>
    <w:p>
      <w:pPr>
        <w:spacing w:line="448" w:lineRule="auto"/>
        <w:rPr>
          <w:lang w:eastAsia="zh-CN"/>
        </w:rPr>
        <w:sectPr>
          <w:footerReference r:id="rId10" w:type="default"/>
          <w:pgSz w:w="11910" w:h="16840"/>
          <w:pgMar w:top="1220" w:right="1040" w:bottom="960" w:left="1020" w:header="0" w:footer="771" w:gutter="0"/>
          <w:pgNumType w:start="50"/>
          <w:cols w:space="720" w:num="1"/>
        </w:sectPr>
      </w:pPr>
    </w:p>
    <w:p>
      <w:pPr>
        <w:spacing w:line="480" w:lineRule="exact"/>
        <w:outlineLvl w:val="0"/>
        <w:rPr>
          <w:rFonts w:ascii="宋体" w:hAnsi="宋体" w:eastAsia="宋体" w:cs="Times New Roman"/>
          <w:kern w:val="2"/>
          <w:sz w:val="24"/>
          <w:szCs w:val="24"/>
          <w:lang w:eastAsia="zh-CN"/>
        </w:rPr>
      </w:pPr>
      <w:bookmarkStart w:id="114" w:name="附件十四：供应商的资格声明"/>
      <w:bookmarkEnd w:id="114"/>
      <w:r>
        <w:rPr>
          <w:lang w:eastAsia="zh-CN"/>
        </w:rPr>
        <w:t>附件十三：</w:t>
      </w:r>
    </w:p>
    <w:p>
      <w:pPr>
        <w:spacing w:line="480" w:lineRule="exact"/>
        <w:ind w:firstLine="720" w:firstLineChars="300"/>
        <w:jc w:val="both"/>
        <w:outlineLvl w:val="0"/>
        <w:rPr>
          <w:rFonts w:ascii="宋体" w:hAnsi="宋体" w:eastAsia="宋体" w:cs="Times New Roman"/>
          <w:b/>
          <w:kern w:val="2"/>
          <w:sz w:val="28"/>
          <w:szCs w:val="24"/>
          <w:lang w:eastAsia="zh-CN"/>
        </w:rPr>
      </w:pPr>
      <w:r>
        <w:rPr>
          <w:rFonts w:hint="eastAsia" w:ascii="宋体" w:hAnsi="宋体" w:eastAsia="宋体" w:cs="Times New Roman"/>
          <w:kern w:val="2"/>
          <w:sz w:val="24"/>
          <w:szCs w:val="24"/>
          <w:lang w:eastAsia="zh-CN"/>
        </w:rPr>
        <w:t xml:space="preserve">   </w:t>
      </w:r>
      <w:r>
        <w:rPr>
          <w:rFonts w:hint="eastAsia" w:ascii="宋体" w:hAnsi="宋体" w:eastAsia="宋体" w:cs="Times New Roman"/>
          <w:kern w:val="2"/>
          <w:sz w:val="21"/>
          <w:szCs w:val="24"/>
          <w:lang w:eastAsia="zh-CN"/>
        </w:rPr>
        <w:t xml:space="preserve">             </w:t>
      </w:r>
      <w:r>
        <w:rPr>
          <w:rFonts w:hint="eastAsia" w:ascii="宋体" w:hAnsi="宋体" w:eastAsia="宋体" w:cs="Times New Roman"/>
          <w:b/>
          <w:kern w:val="2"/>
          <w:sz w:val="28"/>
          <w:szCs w:val="24"/>
          <w:lang w:eastAsia="zh-CN"/>
        </w:rPr>
        <w:t>服务承诺及其它优惠条件</w:t>
      </w:r>
    </w:p>
    <w:p>
      <w:pPr>
        <w:spacing w:line="480" w:lineRule="exact"/>
        <w:ind w:firstLine="3088" w:firstLineChars="1103"/>
        <w:jc w:val="both"/>
        <w:outlineLvl w:val="0"/>
        <w:rPr>
          <w:rFonts w:ascii="宋体" w:hAnsi="宋体" w:eastAsia="宋体" w:cs="Times New Roman"/>
          <w:bCs/>
          <w:kern w:val="2"/>
          <w:sz w:val="28"/>
          <w:szCs w:val="28"/>
          <w:lang w:eastAsia="zh-CN"/>
        </w:rPr>
      </w:pPr>
      <w:r>
        <w:rPr>
          <w:rFonts w:hint="eastAsia" w:ascii="宋体" w:hAnsi="宋体" w:eastAsia="宋体" w:cs="Times New Roman"/>
          <w:bCs/>
          <w:kern w:val="2"/>
          <w:sz w:val="28"/>
          <w:szCs w:val="28"/>
          <w:lang w:eastAsia="zh-CN"/>
        </w:rPr>
        <w:t>（格式自定）</w:t>
      </w:r>
    </w:p>
    <w:p>
      <w:pPr>
        <w:spacing w:line="480" w:lineRule="exact"/>
        <w:jc w:val="center"/>
        <w:outlineLvl w:val="0"/>
        <w:rPr>
          <w:rFonts w:ascii="宋体" w:hAnsi="宋体" w:eastAsia="宋体" w:cs="Times New Roman"/>
          <w:bCs/>
          <w:kern w:val="2"/>
          <w:sz w:val="28"/>
          <w:szCs w:val="28"/>
          <w:lang w:eastAsia="zh-CN"/>
        </w:rPr>
      </w:pPr>
    </w:p>
    <w:p>
      <w:pPr>
        <w:spacing w:line="480" w:lineRule="exact"/>
        <w:jc w:val="center"/>
        <w:outlineLvl w:val="0"/>
        <w:rPr>
          <w:rFonts w:ascii="宋体" w:hAnsi="宋体" w:eastAsia="宋体" w:cs="Times New Roman"/>
          <w:b/>
          <w:kern w:val="2"/>
          <w:sz w:val="28"/>
          <w:szCs w:val="24"/>
          <w:lang w:eastAsia="zh-CN"/>
        </w:rPr>
      </w:pPr>
    </w:p>
    <w:p>
      <w:pPr>
        <w:spacing w:line="480" w:lineRule="exact"/>
        <w:jc w:val="center"/>
        <w:outlineLvl w:val="0"/>
        <w:rPr>
          <w:rFonts w:ascii="宋体" w:hAnsi="宋体" w:eastAsia="宋体" w:cs="Times New Roman"/>
          <w:kern w:val="2"/>
          <w:sz w:val="24"/>
          <w:szCs w:val="24"/>
          <w:lang w:eastAsia="zh-CN"/>
        </w:rPr>
      </w:pPr>
    </w:p>
    <w:p>
      <w:pPr>
        <w:spacing w:line="480" w:lineRule="exact"/>
        <w:jc w:val="center"/>
        <w:outlineLvl w:val="0"/>
        <w:rPr>
          <w:rFonts w:ascii="宋体" w:hAnsi="宋体" w:eastAsia="宋体" w:cs="Times New Roman"/>
          <w:kern w:val="2"/>
          <w:sz w:val="24"/>
          <w:szCs w:val="24"/>
          <w:lang w:eastAsia="zh-CN"/>
        </w:rPr>
      </w:pPr>
    </w:p>
    <w:p>
      <w:pPr>
        <w:spacing w:line="480" w:lineRule="exact"/>
        <w:jc w:val="center"/>
        <w:outlineLvl w:val="0"/>
        <w:rPr>
          <w:rFonts w:ascii="宋体" w:hAnsi="宋体" w:eastAsia="宋体" w:cs="Times New Roman"/>
          <w:kern w:val="2"/>
          <w:sz w:val="24"/>
          <w:szCs w:val="24"/>
          <w:lang w:eastAsia="zh-CN"/>
        </w:rPr>
      </w:pPr>
    </w:p>
    <w:p>
      <w:pPr>
        <w:spacing w:line="480" w:lineRule="exact"/>
        <w:jc w:val="center"/>
        <w:outlineLvl w:val="0"/>
        <w:rPr>
          <w:rFonts w:ascii="宋体" w:hAnsi="宋体" w:eastAsia="宋体" w:cs="Times New Roman"/>
          <w:kern w:val="2"/>
          <w:sz w:val="24"/>
          <w:szCs w:val="24"/>
          <w:lang w:eastAsia="zh-CN"/>
        </w:rPr>
      </w:pPr>
    </w:p>
    <w:p>
      <w:pPr>
        <w:spacing w:line="480" w:lineRule="exact"/>
        <w:jc w:val="both"/>
        <w:outlineLvl w:val="0"/>
        <w:rPr>
          <w:rFonts w:ascii="宋体" w:hAnsi="宋体" w:eastAsia="宋体" w:cs="Times New Roman"/>
          <w:b/>
          <w:kern w:val="2"/>
          <w:sz w:val="28"/>
          <w:szCs w:val="24"/>
          <w:lang w:eastAsia="zh-CN"/>
        </w:rPr>
      </w:pPr>
      <w:r>
        <w:rPr>
          <w:rFonts w:hint="eastAsia" w:ascii="宋体" w:hAnsi="宋体" w:eastAsia="宋体" w:cs="Times New Roman"/>
          <w:kern w:val="2"/>
          <w:sz w:val="24"/>
          <w:szCs w:val="24"/>
          <w:lang w:eastAsia="zh-CN"/>
        </w:rPr>
        <w:t xml:space="preserve">附件十四：            </w:t>
      </w:r>
      <w:r>
        <w:rPr>
          <w:rFonts w:hint="eastAsia" w:ascii="宋体" w:hAnsi="宋体" w:eastAsia="宋体" w:cs="Times New Roman"/>
          <w:b/>
          <w:kern w:val="2"/>
          <w:sz w:val="28"/>
          <w:szCs w:val="24"/>
          <w:lang w:eastAsia="zh-CN"/>
        </w:rPr>
        <w:t>质保期外备品备件、易损件报价表</w:t>
      </w:r>
    </w:p>
    <w:p>
      <w:pPr>
        <w:spacing w:line="480" w:lineRule="exact"/>
        <w:jc w:val="center"/>
        <w:outlineLvl w:val="0"/>
        <w:rPr>
          <w:rFonts w:ascii="宋体" w:hAnsi="宋体" w:eastAsia="宋体" w:cs="Times New Roman"/>
          <w:b/>
          <w:kern w:val="2"/>
          <w:sz w:val="28"/>
          <w:szCs w:val="24"/>
          <w:lang w:eastAsia="zh-CN"/>
        </w:rPr>
      </w:pPr>
      <w:r>
        <w:rPr>
          <w:rFonts w:hint="eastAsia" w:ascii="宋体" w:hAnsi="宋体" w:eastAsia="宋体" w:cs="Times New Roman"/>
          <w:b/>
          <w:kern w:val="2"/>
          <w:sz w:val="28"/>
          <w:szCs w:val="24"/>
          <w:lang w:eastAsia="zh-CN"/>
        </w:rPr>
        <w:t>(不包含在总报价中,</w:t>
      </w:r>
      <w:r>
        <w:rPr>
          <w:rFonts w:hint="eastAsia" w:ascii="宋体" w:hAnsi="宋体" w:eastAsia="宋体" w:cs="Times New Roman"/>
          <w:b/>
          <w:bCs/>
          <w:kern w:val="2"/>
          <w:sz w:val="28"/>
          <w:szCs w:val="28"/>
          <w:lang w:eastAsia="zh-CN"/>
        </w:rPr>
        <w:t>格式自定</w:t>
      </w:r>
      <w:r>
        <w:rPr>
          <w:rFonts w:hint="eastAsia" w:ascii="宋体" w:hAnsi="宋体" w:eastAsia="宋体" w:cs="Times New Roman"/>
          <w:b/>
          <w:kern w:val="2"/>
          <w:sz w:val="28"/>
          <w:szCs w:val="24"/>
          <w:lang w:eastAsia="zh-CN"/>
        </w:rPr>
        <w:t>)</w:t>
      </w:r>
    </w:p>
    <w:p>
      <w:pPr>
        <w:spacing w:line="480" w:lineRule="exact"/>
        <w:jc w:val="center"/>
        <w:outlineLvl w:val="0"/>
        <w:rPr>
          <w:rFonts w:ascii="宋体" w:hAnsi="宋体" w:eastAsia="宋体" w:cs="Times New Roman"/>
          <w:b/>
          <w:kern w:val="2"/>
          <w:sz w:val="28"/>
          <w:szCs w:val="24"/>
          <w:lang w:eastAsia="zh-CN"/>
        </w:rPr>
      </w:pPr>
    </w:p>
    <w:p>
      <w:pPr>
        <w:spacing w:line="480" w:lineRule="exact"/>
        <w:jc w:val="center"/>
        <w:outlineLvl w:val="0"/>
        <w:rPr>
          <w:rFonts w:ascii="宋体" w:hAnsi="宋体" w:eastAsia="宋体" w:cs="Times New Roman"/>
          <w:b/>
          <w:kern w:val="2"/>
          <w:sz w:val="28"/>
          <w:szCs w:val="24"/>
          <w:lang w:eastAsia="zh-CN"/>
        </w:rPr>
      </w:pPr>
    </w:p>
    <w:p>
      <w:pPr>
        <w:spacing w:line="480" w:lineRule="exact"/>
        <w:jc w:val="center"/>
        <w:outlineLvl w:val="0"/>
        <w:rPr>
          <w:rFonts w:ascii="宋体" w:hAnsi="宋体" w:eastAsia="宋体" w:cs="Times New Roman"/>
          <w:b/>
          <w:kern w:val="2"/>
          <w:sz w:val="28"/>
          <w:szCs w:val="24"/>
          <w:lang w:eastAsia="zh-CN"/>
        </w:rPr>
      </w:pPr>
    </w:p>
    <w:p>
      <w:pPr>
        <w:spacing w:line="480" w:lineRule="exact"/>
        <w:jc w:val="center"/>
        <w:outlineLvl w:val="0"/>
        <w:rPr>
          <w:rFonts w:ascii="宋体" w:hAnsi="宋体" w:eastAsia="宋体" w:cs="Times New Roman"/>
          <w:b/>
          <w:kern w:val="2"/>
          <w:sz w:val="28"/>
          <w:szCs w:val="24"/>
          <w:lang w:eastAsia="zh-CN"/>
        </w:rPr>
      </w:pPr>
    </w:p>
    <w:p>
      <w:pPr>
        <w:spacing w:line="480" w:lineRule="exact"/>
        <w:jc w:val="center"/>
        <w:outlineLvl w:val="0"/>
        <w:rPr>
          <w:rFonts w:ascii="宋体" w:hAnsi="宋体" w:eastAsia="宋体" w:cs="Times New Roman"/>
          <w:b/>
          <w:kern w:val="2"/>
          <w:sz w:val="28"/>
          <w:szCs w:val="24"/>
          <w:lang w:eastAsia="zh-CN"/>
        </w:rPr>
      </w:pPr>
    </w:p>
    <w:p>
      <w:pPr>
        <w:spacing w:line="480" w:lineRule="exact"/>
        <w:jc w:val="center"/>
        <w:outlineLvl w:val="0"/>
        <w:rPr>
          <w:rFonts w:ascii="宋体" w:hAnsi="宋体" w:eastAsia="宋体" w:cs="Times New Roman"/>
          <w:b/>
          <w:kern w:val="2"/>
          <w:sz w:val="28"/>
          <w:szCs w:val="24"/>
          <w:lang w:eastAsia="zh-CN"/>
        </w:rPr>
      </w:pPr>
    </w:p>
    <w:p>
      <w:pPr>
        <w:spacing w:line="480" w:lineRule="exact"/>
        <w:jc w:val="center"/>
        <w:outlineLvl w:val="0"/>
        <w:rPr>
          <w:rFonts w:ascii="宋体" w:hAnsi="宋体" w:eastAsia="宋体" w:cs="Times New Roman"/>
          <w:b/>
          <w:kern w:val="2"/>
          <w:sz w:val="28"/>
          <w:szCs w:val="24"/>
          <w:lang w:eastAsia="zh-CN"/>
        </w:rPr>
      </w:pPr>
    </w:p>
    <w:p>
      <w:pPr>
        <w:spacing w:line="480" w:lineRule="exact"/>
        <w:jc w:val="both"/>
        <w:outlineLvl w:val="0"/>
        <w:rPr>
          <w:rFonts w:ascii="宋体" w:hAnsi="宋体" w:eastAsia="宋体" w:cs="Times New Roman"/>
          <w:b/>
          <w:kern w:val="2"/>
          <w:sz w:val="28"/>
          <w:szCs w:val="24"/>
          <w:lang w:eastAsia="zh-CN"/>
        </w:rPr>
      </w:pPr>
      <w:r>
        <w:rPr>
          <w:rFonts w:hint="eastAsia" w:ascii="宋体" w:hAnsi="宋体" w:eastAsia="宋体" w:cs="Times New Roman"/>
          <w:kern w:val="2"/>
          <w:sz w:val="24"/>
          <w:szCs w:val="24"/>
          <w:lang w:eastAsia="zh-CN"/>
        </w:rPr>
        <w:t xml:space="preserve">附件十五：            </w:t>
      </w:r>
      <w:r>
        <w:rPr>
          <w:rFonts w:hint="eastAsia" w:ascii="宋体" w:hAnsi="宋体" w:eastAsia="宋体" w:cs="Times New Roman"/>
          <w:b/>
          <w:kern w:val="2"/>
          <w:sz w:val="28"/>
          <w:szCs w:val="24"/>
          <w:lang w:eastAsia="zh-CN"/>
        </w:rPr>
        <w:t>与所投产品配套耗材的价格表</w:t>
      </w:r>
    </w:p>
    <w:p>
      <w:pPr>
        <w:spacing w:line="480" w:lineRule="exact"/>
        <w:jc w:val="center"/>
        <w:outlineLvl w:val="0"/>
        <w:rPr>
          <w:rFonts w:ascii="宋体" w:hAnsi="宋体" w:eastAsia="宋体" w:cs="Times New Roman"/>
          <w:b/>
          <w:kern w:val="2"/>
          <w:sz w:val="28"/>
          <w:szCs w:val="24"/>
          <w:lang w:eastAsia="zh-CN"/>
        </w:rPr>
      </w:pPr>
      <w:r>
        <w:rPr>
          <w:rFonts w:hint="eastAsia" w:ascii="宋体" w:hAnsi="宋体" w:eastAsia="宋体" w:cs="Times New Roman"/>
          <w:b/>
          <w:kern w:val="2"/>
          <w:sz w:val="28"/>
          <w:szCs w:val="24"/>
          <w:lang w:eastAsia="zh-CN"/>
        </w:rPr>
        <w:t xml:space="preserve">     (耗材报价不包含在总报价中,</w:t>
      </w:r>
      <w:r>
        <w:rPr>
          <w:rFonts w:hint="eastAsia" w:ascii="宋体" w:hAnsi="宋体" w:eastAsia="宋体" w:cs="Times New Roman"/>
          <w:b/>
          <w:bCs/>
          <w:kern w:val="2"/>
          <w:sz w:val="28"/>
          <w:szCs w:val="28"/>
          <w:lang w:eastAsia="zh-CN"/>
        </w:rPr>
        <w:t>格式自定，注明耗材价格几年不变</w:t>
      </w:r>
      <w:r>
        <w:rPr>
          <w:rFonts w:hint="eastAsia" w:ascii="宋体" w:hAnsi="宋体" w:eastAsia="宋体" w:cs="Times New Roman"/>
          <w:b/>
          <w:kern w:val="2"/>
          <w:sz w:val="28"/>
          <w:szCs w:val="24"/>
          <w:lang w:eastAsia="zh-CN"/>
        </w:rPr>
        <w:t>)</w:t>
      </w:r>
    </w:p>
    <w:p>
      <w:pPr>
        <w:spacing w:line="480" w:lineRule="exact"/>
        <w:jc w:val="center"/>
        <w:outlineLvl w:val="0"/>
        <w:rPr>
          <w:rFonts w:ascii="宋体" w:hAnsi="宋体" w:eastAsia="宋体" w:cs="Times New Roman"/>
          <w:b/>
          <w:kern w:val="2"/>
          <w:sz w:val="28"/>
          <w:szCs w:val="24"/>
          <w:lang w:eastAsia="zh-CN"/>
        </w:rPr>
      </w:pPr>
    </w:p>
    <w:p>
      <w:pPr>
        <w:spacing w:line="480" w:lineRule="exact"/>
        <w:jc w:val="center"/>
        <w:outlineLvl w:val="0"/>
        <w:rPr>
          <w:rFonts w:ascii="宋体" w:hAnsi="宋体" w:eastAsia="宋体" w:cs="Times New Roman"/>
          <w:kern w:val="2"/>
          <w:sz w:val="24"/>
          <w:szCs w:val="24"/>
          <w:lang w:eastAsia="zh-CN"/>
        </w:rPr>
      </w:pPr>
    </w:p>
    <w:p>
      <w:pPr>
        <w:spacing w:line="480" w:lineRule="exact"/>
        <w:jc w:val="both"/>
        <w:outlineLvl w:val="0"/>
        <w:rPr>
          <w:rFonts w:ascii="宋体" w:hAnsi="宋体" w:eastAsia="宋体" w:cs="Times New Roman"/>
          <w:kern w:val="2"/>
          <w:sz w:val="24"/>
          <w:szCs w:val="24"/>
          <w:lang w:eastAsia="zh-CN"/>
        </w:rPr>
      </w:pPr>
      <w:r>
        <w:rPr>
          <w:rFonts w:ascii="宋体" w:hAnsi="宋体" w:eastAsia="宋体" w:cs="Times New Roman"/>
          <w:kern w:val="2"/>
          <w:sz w:val="24"/>
          <w:szCs w:val="24"/>
          <w:lang w:eastAsia="zh-CN"/>
        </w:rPr>
        <w:br w:type="page"/>
      </w:r>
    </w:p>
    <w:p>
      <w:pPr>
        <w:spacing w:line="480" w:lineRule="exact"/>
        <w:jc w:val="both"/>
        <w:outlineLvl w:val="0"/>
        <w:rPr>
          <w:rFonts w:ascii="宋体" w:hAnsi="宋体" w:eastAsia="宋体" w:cs="Times New Roman"/>
          <w:b/>
          <w:kern w:val="2"/>
          <w:sz w:val="28"/>
          <w:szCs w:val="24"/>
          <w:lang w:eastAsia="zh-CN"/>
        </w:rPr>
      </w:pPr>
      <w:r>
        <w:rPr>
          <w:rFonts w:hint="eastAsia" w:ascii="宋体" w:hAnsi="宋体" w:eastAsia="宋体" w:cs="Times New Roman"/>
          <w:kern w:val="2"/>
          <w:sz w:val="24"/>
          <w:szCs w:val="24"/>
          <w:lang w:eastAsia="zh-CN"/>
        </w:rPr>
        <w:t xml:space="preserve">附件十六：                  </w:t>
      </w:r>
      <w:r>
        <w:rPr>
          <w:rFonts w:hint="eastAsia" w:ascii="宋体" w:hAnsi="宋体" w:eastAsia="宋体" w:cs="Times New Roman"/>
          <w:b/>
          <w:kern w:val="2"/>
          <w:sz w:val="28"/>
          <w:szCs w:val="24"/>
          <w:lang w:eastAsia="zh-CN"/>
        </w:rPr>
        <w:t>维保方案及维保费用报价表</w:t>
      </w:r>
    </w:p>
    <w:p>
      <w:pPr>
        <w:spacing w:line="480" w:lineRule="exact"/>
        <w:jc w:val="both"/>
        <w:outlineLvl w:val="0"/>
        <w:rPr>
          <w:rFonts w:ascii="宋体" w:hAnsi="宋体" w:eastAsia="宋体" w:cs="Times New Roman"/>
          <w:b/>
          <w:kern w:val="2"/>
          <w:sz w:val="28"/>
          <w:szCs w:val="24"/>
          <w:lang w:eastAsia="zh-CN"/>
        </w:rPr>
      </w:pPr>
    </w:p>
    <w:p>
      <w:pPr>
        <w:spacing w:line="440" w:lineRule="exact"/>
        <w:jc w:val="both"/>
        <w:rPr>
          <w:rFonts w:ascii="宋体" w:hAnsi="宋体" w:eastAsia="宋体" w:cs="Times New Roman"/>
          <w:b/>
          <w:bCs/>
          <w:kern w:val="2"/>
          <w:sz w:val="24"/>
          <w:szCs w:val="24"/>
          <w:lang w:eastAsia="zh-CN"/>
        </w:rPr>
      </w:pPr>
      <w:r>
        <w:rPr>
          <w:rFonts w:hint="eastAsia" w:ascii="宋体" w:hAnsi="宋体" w:eastAsia="宋体" w:cs="Times New Roman"/>
          <w:b/>
          <w:bCs/>
          <w:kern w:val="2"/>
          <w:sz w:val="24"/>
          <w:szCs w:val="24"/>
          <w:lang w:eastAsia="zh-CN"/>
        </w:rPr>
        <w:t xml:space="preserve">保修期内、外维护方案及报价                       </w:t>
      </w: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1、服务范围</w:t>
            </w:r>
          </w:p>
          <w:p>
            <w:p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2、服务期限</w:t>
            </w:r>
          </w:p>
          <w:p>
            <w:p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3、服务内容</w:t>
            </w:r>
          </w:p>
          <w:p>
            <w:p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4、甲乙双方负责的内容</w:t>
            </w:r>
          </w:p>
          <w:p>
            <w:p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3" w:hRule="atLeast"/>
        </w:trPr>
        <w:tc>
          <w:tcPr>
            <w:tcW w:w="9570" w:type="dxa"/>
          </w:tcPr>
          <w:p>
            <w:pPr>
              <w:numPr>
                <w:ilvl w:val="0"/>
                <w:numId w:val="3"/>
              </w:num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保修期内维保费用报价明细：（格式自定）</w:t>
            </w:r>
          </w:p>
          <w:p>
            <w:pPr>
              <w:spacing w:line="440" w:lineRule="exact"/>
              <w:jc w:val="both"/>
              <w:rPr>
                <w:rFonts w:ascii="宋体" w:hAnsi="宋体" w:eastAsia="宋体" w:cs="Times New Roman"/>
                <w:kern w:val="2"/>
                <w:sz w:val="24"/>
                <w:szCs w:val="24"/>
                <w:lang w:eastAsia="zh-CN"/>
              </w:rPr>
            </w:pPr>
          </w:p>
          <w:p>
            <w:pPr>
              <w:spacing w:line="440" w:lineRule="exact"/>
              <w:jc w:val="both"/>
              <w:rPr>
                <w:rFonts w:ascii="宋体" w:hAnsi="宋体" w:eastAsia="宋体" w:cs="Times New Roman"/>
                <w:kern w:val="2"/>
                <w:sz w:val="24"/>
                <w:szCs w:val="24"/>
                <w:lang w:eastAsia="zh-CN"/>
              </w:rPr>
            </w:pPr>
          </w:p>
          <w:p>
            <w:pPr>
              <w:spacing w:line="440" w:lineRule="exact"/>
              <w:jc w:val="both"/>
              <w:rPr>
                <w:rFonts w:ascii="宋体" w:hAnsi="宋体" w:eastAsia="宋体" w:cs="Times New Roman"/>
                <w:kern w:val="2"/>
                <w:sz w:val="24"/>
                <w:szCs w:val="24"/>
                <w:lang w:eastAsia="zh-CN"/>
              </w:rPr>
            </w:pPr>
          </w:p>
          <w:p>
            <w:pPr>
              <w:spacing w:line="440" w:lineRule="exact"/>
              <w:jc w:val="both"/>
              <w:rPr>
                <w:rFonts w:ascii="宋体" w:hAnsi="宋体" w:eastAsia="宋体" w:cs="Times New Roman"/>
                <w:kern w:val="2"/>
                <w:sz w:val="24"/>
                <w:szCs w:val="24"/>
                <w:lang w:eastAsia="zh-CN"/>
              </w:rPr>
            </w:pPr>
          </w:p>
          <w:p>
            <w:pPr>
              <w:spacing w:line="440" w:lineRule="exact"/>
              <w:jc w:val="both"/>
              <w:rPr>
                <w:rFonts w:ascii="宋体" w:hAnsi="宋体" w:eastAsia="宋体" w:cs="Times New Roman"/>
                <w:kern w:val="2"/>
                <w:sz w:val="24"/>
                <w:szCs w:val="24"/>
                <w:lang w:eastAsia="zh-CN"/>
              </w:rPr>
            </w:pPr>
          </w:p>
          <w:p>
            <w:pPr>
              <w:numPr>
                <w:ilvl w:val="0"/>
                <w:numId w:val="3"/>
              </w:numPr>
              <w:spacing w:line="44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保修期外维保费用报价明细：（格式自定）</w:t>
            </w:r>
          </w:p>
          <w:p>
            <w:pPr>
              <w:spacing w:line="440" w:lineRule="exact"/>
              <w:jc w:val="both"/>
              <w:rPr>
                <w:rFonts w:ascii="宋体" w:hAnsi="宋体" w:eastAsia="宋体" w:cs="Times New Roman"/>
                <w:kern w:val="2"/>
                <w:sz w:val="24"/>
                <w:szCs w:val="24"/>
                <w:lang w:eastAsia="zh-CN"/>
              </w:rPr>
            </w:pPr>
          </w:p>
          <w:p>
            <w:pPr>
              <w:spacing w:line="440" w:lineRule="exact"/>
              <w:jc w:val="both"/>
              <w:rPr>
                <w:rFonts w:ascii="宋体" w:hAnsi="宋体" w:eastAsia="宋体" w:cs="Times New Roman"/>
                <w:kern w:val="2"/>
                <w:sz w:val="24"/>
                <w:szCs w:val="24"/>
                <w:lang w:eastAsia="zh-CN"/>
              </w:rPr>
            </w:pPr>
          </w:p>
          <w:p>
            <w:pPr>
              <w:spacing w:line="440" w:lineRule="exact"/>
              <w:jc w:val="both"/>
              <w:rPr>
                <w:rFonts w:ascii="宋体" w:hAnsi="宋体" w:eastAsia="宋体" w:cs="Times New Roman"/>
                <w:kern w:val="2"/>
                <w:sz w:val="24"/>
                <w:szCs w:val="24"/>
                <w:lang w:eastAsia="zh-CN"/>
              </w:rPr>
            </w:pPr>
          </w:p>
          <w:p>
            <w:pPr>
              <w:spacing w:line="440" w:lineRule="exact"/>
              <w:jc w:val="both"/>
              <w:rPr>
                <w:rFonts w:ascii="宋体" w:hAnsi="宋体" w:eastAsia="宋体" w:cs="Times New Roman"/>
                <w:kern w:val="2"/>
                <w:sz w:val="24"/>
                <w:szCs w:val="24"/>
                <w:lang w:eastAsia="zh-CN"/>
              </w:rPr>
            </w:pPr>
          </w:p>
          <w:p>
            <w:pPr>
              <w:spacing w:line="440" w:lineRule="exact"/>
              <w:jc w:val="both"/>
              <w:rPr>
                <w:rFonts w:ascii="宋体" w:hAnsi="宋体" w:eastAsia="宋体" w:cs="Times New Roman"/>
                <w:kern w:val="2"/>
                <w:sz w:val="24"/>
                <w:szCs w:val="24"/>
                <w:lang w:eastAsia="zh-CN"/>
              </w:rPr>
            </w:pPr>
          </w:p>
        </w:tc>
      </w:tr>
    </w:tbl>
    <w:p>
      <w:pPr>
        <w:spacing w:line="52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注：1、保修期内维保费用包含在本次报价中；</w:t>
      </w:r>
    </w:p>
    <w:p>
      <w:pPr>
        <w:spacing w:line="520" w:lineRule="exact"/>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2、保修期外维保费用不包含在本次报价中。</w:t>
      </w:r>
    </w:p>
    <w:p>
      <w:pPr>
        <w:spacing w:line="480" w:lineRule="exact"/>
        <w:jc w:val="both"/>
        <w:outlineLvl w:val="0"/>
        <w:rPr>
          <w:rFonts w:ascii="宋体" w:hAnsi="宋体" w:eastAsia="宋体" w:cs="Times New Roman"/>
          <w:kern w:val="2"/>
          <w:sz w:val="24"/>
          <w:szCs w:val="24"/>
          <w:lang w:eastAsia="zh-CN"/>
        </w:rPr>
      </w:pPr>
      <w:r>
        <w:rPr>
          <w:rFonts w:ascii="宋体" w:hAnsi="宋体" w:eastAsia="宋体" w:cs="Times New Roman"/>
          <w:kern w:val="2"/>
          <w:sz w:val="24"/>
          <w:szCs w:val="24"/>
          <w:lang w:eastAsia="zh-CN"/>
        </w:rPr>
        <w:br w:type="page"/>
      </w:r>
    </w:p>
    <w:p>
      <w:pPr>
        <w:spacing w:line="480" w:lineRule="exact"/>
        <w:jc w:val="both"/>
        <w:outlineLvl w:val="0"/>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附件十七：                   </w:t>
      </w:r>
      <w:r>
        <w:rPr>
          <w:rFonts w:hint="eastAsia" w:ascii="宋体" w:hAnsi="宋体" w:eastAsia="宋体" w:cs="Times New Roman"/>
          <w:b/>
          <w:kern w:val="2"/>
          <w:sz w:val="28"/>
          <w:szCs w:val="24"/>
          <w:lang w:eastAsia="zh-CN"/>
        </w:rPr>
        <w:t xml:space="preserve">  证明文件格式</w:t>
      </w:r>
    </w:p>
    <w:p>
      <w:pPr>
        <w:widowControl/>
        <w:shd w:val="clear" w:color="auto" w:fill="FFFFFF"/>
        <w:spacing w:line="480" w:lineRule="atLeast"/>
        <w:jc w:val="center"/>
        <w:rPr>
          <w:rFonts w:ascii="Times New Roman" w:hAnsi="Times New Roman" w:eastAsia="宋体" w:cs="Times New Roman"/>
          <w:sz w:val="21"/>
          <w:szCs w:val="21"/>
          <w:lang w:eastAsia="zh-CN"/>
        </w:rPr>
      </w:pPr>
      <w:r>
        <w:rPr>
          <w:rFonts w:hint="eastAsia" w:ascii="宋体" w:hAnsi="宋体" w:eastAsia="宋体" w:cs="Times New Roman"/>
          <w:b/>
          <w:bCs/>
          <w:sz w:val="24"/>
          <w:szCs w:val="24"/>
          <w:lang w:eastAsia="zh-CN"/>
        </w:rPr>
        <w:t>格式1  投标截止日期前三年无不良信誉证明</w:t>
      </w:r>
    </w:p>
    <w:p>
      <w:pPr>
        <w:widowControl/>
        <w:shd w:val="clear" w:color="auto" w:fill="FFFFFF"/>
        <w:spacing w:line="48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（需声明供应商近三年未发生重大质量安全事故；无弄虚作假和重大违法违纪行为；无医药购销领域商业贿赂方面的不良记录。新成立公司提交成立之日至今的）</w:t>
      </w:r>
    </w:p>
    <w:p>
      <w:pPr>
        <w:widowControl/>
        <w:shd w:val="clear" w:color="auto" w:fill="FFFFFF"/>
        <w:spacing w:line="48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 </w:t>
      </w:r>
    </w:p>
    <w:p>
      <w:pPr>
        <w:widowControl/>
        <w:shd w:val="clear" w:color="auto" w:fill="FFFFFF"/>
        <w:spacing w:line="48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 </w:t>
      </w:r>
    </w:p>
    <w:p>
      <w:pPr>
        <w:widowControl/>
        <w:shd w:val="clear" w:color="auto" w:fill="FFFFFF"/>
        <w:spacing w:line="480" w:lineRule="atLeast"/>
        <w:jc w:val="center"/>
        <w:rPr>
          <w:rFonts w:ascii="Times New Roman" w:hAnsi="Times New Roman" w:eastAsia="宋体" w:cs="Times New Roman"/>
          <w:sz w:val="21"/>
          <w:szCs w:val="21"/>
          <w:lang w:eastAsia="zh-CN"/>
        </w:rPr>
      </w:pPr>
      <w:r>
        <w:rPr>
          <w:rFonts w:hint="eastAsia" w:ascii="宋体" w:hAnsi="宋体" w:eastAsia="宋体" w:cs="Times New Roman"/>
          <w:b/>
          <w:bCs/>
          <w:sz w:val="24"/>
          <w:szCs w:val="24"/>
          <w:lang w:eastAsia="zh-CN"/>
        </w:rPr>
        <w:t>格式2 财务状况报告</w:t>
      </w:r>
    </w:p>
    <w:p>
      <w:pPr>
        <w:widowControl/>
        <w:shd w:val="clear" w:color="auto" w:fill="FFFFFF"/>
        <w:spacing w:line="48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（附财务报表（含资产负债表、利润表的复印件）或其基本开户银行出具的资信证明（注：须法定代表人或授权代理人签章））</w:t>
      </w:r>
    </w:p>
    <w:p>
      <w:pPr>
        <w:widowControl/>
        <w:shd w:val="clear" w:color="auto" w:fill="FFFFFF"/>
        <w:spacing w:line="48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 </w:t>
      </w:r>
    </w:p>
    <w:p>
      <w:pPr>
        <w:widowControl/>
        <w:shd w:val="clear" w:color="auto" w:fill="FFFFFF"/>
        <w:spacing w:line="48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 </w:t>
      </w:r>
    </w:p>
    <w:p>
      <w:pPr>
        <w:widowControl/>
        <w:shd w:val="clear" w:color="auto" w:fill="FFFFFF"/>
        <w:spacing w:line="480" w:lineRule="atLeast"/>
        <w:jc w:val="center"/>
        <w:rPr>
          <w:rFonts w:ascii="Times New Roman" w:hAnsi="Times New Roman" w:eastAsia="宋体" w:cs="Times New Roman"/>
          <w:sz w:val="21"/>
          <w:szCs w:val="21"/>
          <w:lang w:eastAsia="zh-CN"/>
        </w:rPr>
      </w:pPr>
      <w:r>
        <w:rPr>
          <w:rFonts w:hint="eastAsia" w:ascii="宋体" w:hAnsi="宋体" w:eastAsia="宋体" w:cs="Times New Roman"/>
          <w:b/>
          <w:bCs/>
          <w:sz w:val="24"/>
          <w:szCs w:val="24"/>
          <w:lang w:eastAsia="zh-CN"/>
        </w:rPr>
        <w:t>格式3 依法缴纳税收和社会保障资金的相关材料</w:t>
      </w:r>
    </w:p>
    <w:p>
      <w:pPr>
        <w:widowControl/>
        <w:shd w:val="clear" w:color="auto" w:fill="FFFFFF"/>
        <w:spacing w:line="48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（附缴纳税收的凭据或发票及缴纳社会保险的凭据（专用收据或社会保险缴纳清单）</w:t>
      </w:r>
    </w:p>
    <w:p>
      <w:pPr>
        <w:widowControl/>
        <w:shd w:val="clear" w:color="auto" w:fill="FFFFFF"/>
        <w:spacing w:line="480" w:lineRule="atLeast"/>
        <w:jc w:val="center"/>
        <w:rPr>
          <w:rFonts w:ascii="Times New Roman" w:hAnsi="Times New Roman" w:eastAsia="宋体" w:cs="Times New Roman"/>
          <w:sz w:val="21"/>
          <w:szCs w:val="21"/>
          <w:lang w:eastAsia="zh-CN"/>
        </w:rPr>
      </w:pPr>
      <w:r>
        <w:rPr>
          <w:rFonts w:hint="eastAsia" w:ascii="宋体" w:hAnsi="宋体" w:eastAsia="宋体" w:cs="宋体"/>
          <w:b/>
          <w:bCs/>
          <w:sz w:val="24"/>
          <w:szCs w:val="24"/>
          <w:shd w:val="clear" w:color="auto" w:fill="FFFFFF"/>
          <w:lang w:eastAsia="zh-CN"/>
        </w:rPr>
        <w:br w:type="page"/>
      </w:r>
      <w:r>
        <w:rPr>
          <w:rFonts w:hint="eastAsia" w:ascii="宋体" w:hAnsi="宋体" w:eastAsia="宋体" w:cs="Times New Roman"/>
          <w:b/>
          <w:bCs/>
          <w:sz w:val="28"/>
          <w:szCs w:val="28"/>
          <w:lang w:eastAsia="zh-CN"/>
        </w:rPr>
        <w:t>格式4</w:t>
      </w:r>
      <w:r>
        <w:rPr>
          <w:rFonts w:hint="eastAsia" w:ascii="宋体" w:hAnsi="宋体" w:eastAsia="宋体" w:cs="Times New Roman"/>
          <w:b/>
          <w:bCs/>
          <w:sz w:val="28"/>
          <w:szCs w:val="24"/>
          <w:lang w:eastAsia="zh-CN"/>
        </w:rPr>
        <w:t> </w:t>
      </w:r>
      <w:r>
        <w:rPr>
          <w:rFonts w:hint="eastAsia" w:ascii="宋体" w:hAnsi="宋体" w:eastAsia="宋体" w:cs="Times New Roman"/>
          <w:b/>
          <w:bCs/>
          <w:sz w:val="28"/>
          <w:szCs w:val="28"/>
          <w:lang w:eastAsia="zh-CN"/>
        </w:rPr>
        <w:t>具备履行合同所必需的设备和专业技术能力的证明材料</w:t>
      </w:r>
    </w:p>
    <w:p>
      <w:pPr>
        <w:widowControl/>
        <w:shd w:val="clear" w:color="auto" w:fill="FFFFFF"/>
        <w:spacing w:line="48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8"/>
          <w:szCs w:val="28"/>
          <w:lang w:eastAsia="zh-CN"/>
        </w:rPr>
        <w:t> </w:t>
      </w:r>
    </w:p>
    <w:tbl>
      <w:tblPr>
        <w:tblStyle w:val="16"/>
        <w:tblW w:w="9287" w:type="dxa"/>
        <w:tblInd w:w="0" w:type="dxa"/>
        <w:shd w:val="clear" w:color="auto" w:fill="FFFFFF"/>
        <w:tblLayout w:type="fixed"/>
        <w:tblCellMar>
          <w:top w:w="0" w:type="dxa"/>
          <w:left w:w="0" w:type="dxa"/>
          <w:bottom w:w="0" w:type="dxa"/>
          <w:right w:w="0" w:type="dxa"/>
        </w:tblCellMar>
      </w:tblPr>
      <w:tblGrid>
        <w:gridCol w:w="1021"/>
        <w:gridCol w:w="2786"/>
        <w:gridCol w:w="2415"/>
        <w:gridCol w:w="1393"/>
        <w:gridCol w:w="1672"/>
      </w:tblGrid>
      <w:tr>
        <w:tblPrEx>
          <w:shd w:val="clear" w:color="auto" w:fill="FFFFFF"/>
          <w:tblLayout w:type="fixed"/>
          <w:tblCellMar>
            <w:top w:w="0" w:type="dxa"/>
            <w:left w:w="0" w:type="dxa"/>
            <w:bottom w:w="0" w:type="dxa"/>
            <w:right w:w="0" w:type="dxa"/>
          </w:tblCellMar>
        </w:tblPrEx>
        <w:tc>
          <w:tcPr>
            <w:tcW w:w="9287"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履行合同所必需的设备</w:t>
            </w:r>
          </w:p>
        </w:tc>
      </w:tr>
      <w:tr>
        <w:tblPrEx>
          <w:tblLayout w:type="fixed"/>
          <w:tblCellMar>
            <w:top w:w="0" w:type="dxa"/>
            <w:left w:w="0" w:type="dxa"/>
            <w:bottom w:w="0" w:type="dxa"/>
            <w:right w:w="0" w:type="dxa"/>
          </w:tblCellMar>
        </w:tblPrEx>
        <w:tc>
          <w:tcPr>
            <w:tcW w:w="102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序号</w:t>
            </w:r>
          </w:p>
        </w:tc>
        <w:tc>
          <w:tcPr>
            <w:tcW w:w="2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设备名称</w:t>
            </w:r>
          </w:p>
        </w:tc>
        <w:tc>
          <w:tcPr>
            <w:tcW w:w="2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规格型号</w:t>
            </w:r>
          </w:p>
        </w:tc>
        <w:tc>
          <w:tcPr>
            <w:tcW w:w="13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数量</w:t>
            </w:r>
          </w:p>
        </w:tc>
        <w:tc>
          <w:tcPr>
            <w:tcW w:w="16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备注</w:t>
            </w:r>
          </w:p>
        </w:tc>
      </w:tr>
      <w:tr>
        <w:tblPrEx>
          <w:tblLayout w:type="fixed"/>
          <w:tblCellMar>
            <w:top w:w="0" w:type="dxa"/>
            <w:left w:w="0" w:type="dxa"/>
            <w:bottom w:w="0" w:type="dxa"/>
            <w:right w:w="0" w:type="dxa"/>
          </w:tblCellMar>
        </w:tblPrEx>
        <w:tc>
          <w:tcPr>
            <w:tcW w:w="102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3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6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r>
      <w:tr>
        <w:tblPrEx>
          <w:tblLayout w:type="fixed"/>
          <w:tblCellMar>
            <w:top w:w="0" w:type="dxa"/>
            <w:left w:w="0" w:type="dxa"/>
            <w:bottom w:w="0" w:type="dxa"/>
            <w:right w:w="0" w:type="dxa"/>
          </w:tblCellMar>
        </w:tblPrEx>
        <w:tc>
          <w:tcPr>
            <w:tcW w:w="102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3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6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r>
      <w:tr>
        <w:tblPrEx>
          <w:tblLayout w:type="fixed"/>
          <w:tblCellMar>
            <w:top w:w="0" w:type="dxa"/>
            <w:left w:w="0" w:type="dxa"/>
            <w:bottom w:w="0" w:type="dxa"/>
            <w:right w:w="0" w:type="dxa"/>
          </w:tblCellMar>
        </w:tblPrEx>
        <w:tc>
          <w:tcPr>
            <w:tcW w:w="102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3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6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r>
      <w:tr>
        <w:tblPrEx>
          <w:tblLayout w:type="fixed"/>
          <w:tblCellMar>
            <w:top w:w="0" w:type="dxa"/>
            <w:left w:w="0" w:type="dxa"/>
            <w:bottom w:w="0" w:type="dxa"/>
            <w:right w:w="0" w:type="dxa"/>
          </w:tblCellMar>
        </w:tblPrEx>
        <w:tc>
          <w:tcPr>
            <w:tcW w:w="102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3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6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r>
      <w:tr>
        <w:tblPrEx>
          <w:tblLayout w:type="fixed"/>
          <w:tblCellMar>
            <w:top w:w="0" w:type="dxa"/>
            <w:left w:w="0" w:type="dxa"/>
            <w:bottom w:w="0" w:type="dxa"/>
            <w:right w:w="0" w:type="dxa"/>
          </w:tblCellMar>
        </w:tblPrEx>
        <w:tc>
          <w:tcPr>
            <w:tcW w:w="9287"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专业技术能力</w:t>
            </w:r>
          </w:p>
        </w:tc>
      </w:tr>
      <w:tr>
        <w:tblPrEx>
          <w:tblLayout w:type="fixed"/>
          <w:tblCellMar>
            <w:top w:w="0" w:type="dxa"/>
            <w:left w:w="0" w:type="dxa"/>
            <w:bottom w:w="0" w:type="dxa"/>
            <w:right w:w="0" w:type="dxa"/>
          </w:tblCellMar>
        </w:tblPrEx>
        <w:tc>
          <w:tcPr>
            <w:tcW w:w="102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序号</w:t>
            </w:r>
          </w:p>
        </w:tc>
        <w:tc>
          <w:tcPr>
            <w:tcW w:w="2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技术人员姓名</w:t>
            </w:r>
          </w:p>
        </w:tc>
        <w:tc>
          <w:tcPr>
            <w:tcW w:w="2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职称/岗位证书</w:t>
            </w:r>
          </w:p>
        </w:tc>
        <w:tc>
          <w:tcPr>
            <w:tcW w:w="13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数量</w:t>
            </w:r>
          </w:p>
        </w:tc>
        <w:tc>
          <w:tcPr>
            <w:tcW w:w="16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hint="eastAsia" w:ascii="宋体" w:hAnsi="宋体" w:eastAsia="宋体" w:cs="Times New Roman"/>
                <w:sz w:val="24"/>
                <w:szCs w:val="24"/>
                <w:lang w:eastAsia="zh-CN"/>
              </w:rPr>
              <w:t>备注</w:t>
            </w:r>
          </w:p>
        </w:tc>
      </w:tr>
      <w:tr>
        <w:tblPrEx>
          <w:tblLayout w:type="fixed"/>
          <w:tblCellMar>
            <w:top w:w="0" w:type="dxa"/>
            <w:left w:w="0" w:type="dxa"/>
            <w:bottom w:w="0" w:type="dxa"/>
            <w:right w:w="0" w:type="dxa"/>
          </w:tblCellMar>
        </w:tblPrEx>
        <w:tc>
          <w:tcPr>
            <w:tcW w:w="102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3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6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r>
      <w:tr>
        <w:tblPrEx>
          <w:tblLayout w:type="fixed"/>
          <w:tblCellMar>
            <w:top w:w="0" w:type="dxa"/>
            <w:left w:w="0" w:type="dxa"/>
            <w:bottom w:w="0" w:type="dxa"/>
            <w:right w:w="0" w:type="dxa"/>
          </w:tblCellMar>
        </w:tblPrEx>
        <w:tc>
          <w:tcPr>
            <w:tcW w:w="102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3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6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r>
      <w:tr>
        <w:tblPrEx>
          <w:tblLayout w:type="fixed"/>
          <w:tblCellMar>
            <w:top w:w="0" w:type="dxa"/>
            <w:left w:w="0" w:type="dxa"/>
            <w:bottom w:w="0" w:type="dxa"/>
            <w:right w:w="0" w:type="dxa"/>
          </w:tblCellMar>
        </w:tblPrEx>
        <w:tc>
          <w:tcPr>
            <w:tcW w:w="102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3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6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r>
      <w:tr>
        <w:tblPrEx>
          <w:tblLayout w:type="fixed"/>
          <w:tblCellMar>
            <w:top w:w="0" w:type="dxa"/>
            <w:left w:w="0" w:type="dxa"/>
            <w:bottom w:w="0" w:type="dxa"/>
            <w:right w:w="0" w:type="dxa"/>
          </w:tblCellMar>
        </w:tblPrEx>
        <w:tc>
          <w:tcPr>
            <w:tcW w:w="102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3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6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r>
      <w:tr>
        <w:tblPrEx>
          <w:tblLayout w:type="fixed"/>
          <w:tblCellMar>
            <w:top w:w="0" w:type="dxa"/>
            <w:left w:w="0" w:type="dxa"/>
            <w:bottom w:w="0" w:type="dxa"/>
            <w:right w:w="0" w:type="dxa"/>
          </w:tblCellMar>
        </w:tblPrEx>
        <w:tc>
          <w:tcPr>
            <w:tcW w:w="102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center"/>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2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3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c>
          <w:tcPr>
            <w:tcW w:w="16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20" w:lineRule="atLeast"/>
              <w:jc w:val="both"/>
              <w:rPr>
                <w:rFonts w:ascii="Times New Roman" w:hAnsi="Times New Roman" w:eastAsia="宋体" w:cs="Times New Roman"/>
                <w:sz w:val="21"/>
                <w:szCs w:val="21"/>
                <w:lang w:eastAsia="zh-CN"/>
              </w:rPr>
            </w:pPr>
            <w:r>
              <w:rPr>
                <w:rFonts w:ascii="Times New Roman" w:hAnsi="Times New Roman" w:eastAsia="宋体" w:cs="Times New Roman"/>
                <w:sz w:val="24"/>
                <w:szCs w:val="24"/>
                <w:lang w:eastAsia="zh-CN"/>
              </w:rPr>
              <w:t> </w:t>
            </w:r>
          </w:p>
        </w:tc>
      </w:tr>
    </w:tbl>
    <w:p>
      <w:pPr>
        <w:widowControl/>
        <w:shd w:val="clear" w:color="auto" w:fill="FFFFFF"/>
        <w:spacing w:before="240" w:after="145" w:line="480" w:lineRule="atLeast"/>
        <w:rPr>
          <w:rFonts w:ascii="Times New Roman" w:hAnsi="Times New Roman" w:eastAsia="宋体" w:cs="Times New Roman"/>
          <w:spacing w:val="6"/>
          <w:sz w:val="27"/>
          <w:szCs w:val="27"/>
          <w:lang w:eastAsia="zh-CN"/>
        </w:rPr>
      </w:pPr>
      <w:r>
        <w:rPr>
          <w:rFonts w:hint="eastAsia" w:ascii="宋体" w:hAnsi="宋体" w:eastAsia="宋体" w:cs="Times New Roman"/>
          <w:spacing w:val="6"/>
          <w:sz w:val="27"/>
          <w:szCs w:val="27"/>
          <w:lang w:eastAsia="zh-CN"/>
        </w:rPr>
        <w:t>供应商名称（盖章）：</w:t>
      </w:r>
    </w:p>
    <w:p>
      <w:pPr>
        <w:widowControl/>
        <w:shd w:val="clear" w:color="auto" w:fill="FFFFFF"/>
        <w:spacing w:before="240" w:after="145" w:line="480" w:lineRule="atLeast"/>
        <w:rPr>
          <w:rFonts w:ascii="Times New Roman" w:hAnsi="Times New Roman" w:eastAsia="宋体" w:cs="Times New Roman"/>
          <w:spacing w:val="6"/>
          <w:sz w:val="27"/>
          <w:szCs w:val="27"/>
          <w:lang w:eastAsia="zh-CN"/>
        </w:rPr>
      </w:pPr>
      <w:r>
        <w:rPr>
          <w:rFonts w:hint="eastAsia" w:ascii="宋体" w:hAnsi="宋体" w:eastAsia="宋体" w:cs="Times New Roman"/>
          <w:spacing w:val="6"/>
          <w:sz w:val="27"/>
          <w:szCs w:val="27"/>
          <w:lang w:eastAsia="zh-CN"/>
        </w:rPr>
        <w:t>授权代表（签字或盖章）：</w:t>
      </w:r>
    </w:p>
    <w:p>
      <w:pPr>
        <w:widowControl/>
        <w:shd w:val="clear" w:color="auto" w:fill="FFFFFF"/>
        <w:spacing w:before="240" w:after="145" w:line="480" w:lineRule="atLeast"/>
        <w:rPr>
          <w:rFonts w:ascii="Times New Roman" w:hAnsi="Times New Roman" w:eastAsia="宋体" w:cs="Times New Roman"/>
          <w:spacing w:val="6"/>
          <w:sz w:val="27"/>
          <w:szCs w:val="27"/>
          <w:lang w:eastAsia="zh-CN"/>
        </w:rPr>
      </w:pPr>
      <w:r>
        <w:rPr>
          <w:rFonts w:hint="eastAsia" w:ascii="宋体" w:hAnsi="宋体" w:eastAsia="宋体" w:cs="Times New Roman"/>
          <w:spacing w:val="6"/>
          <w:sz w:val="27"/>
          <w:szCs w:val="27"/>
          <w:lang w:eastAsia="zh-CN"/>
        </w:rPr>
        <w:t>日  </w:t>
      </w:r>
      <w:r>
        <w:rPr>
          <w:rFonts w:hint="eastAsia" w:ascii="宋体" w:hAnsi="宋体" w:eastAsia="宋体" w:cs="Times New Roman"/>
          <w:spacing w:val="6"/>
          <w:sz w:val="27"/>
          <w:szCs w:val="24"/>
          <w:lang w:eastAsia="zh-CN"/>
        </w:rPr>
        <w:t> </w:t>
      </w:r>
      <w:r>
        <w:rPr>
          <w:rFonts w:hint="eastAsia" w:ascii="宋体" w:hAnsi="宋体" w:eastAsia="宋体" w:cs="Times New Roman"/>
          <w:spacing w:val="6"/>
          <w:sz w:val="27"/>
          <w:szCs w:val="27"/>
          <w:lang w:eastAsia="zh-CN"/>
        </w:rPr>
        <w:t>期：</w:t>
      </w:r>
    </w:p>
    <w:p>
      <w:pPr>
        <w:rPr>
          <w:lang w:eastAsia="zh-CN"/>
        </w:rPr>
        <w:sectPr>
          <w:pgSz w:w="11910" w:h="16840"/>
          <w:pgMar w:top="1140" w:right="1680" w:bottom="960" w:left="1020" w:header="0" w:footer="771" w:gutter="0"/>
          <w:cols w:space="720" w:num="1"/>
        </w:sectPr>
      </w:pPr>
    </w:p>
    <w:p>
      <w:pPr>
        <w:spacing w:line="304" w:lineRule="auto"/>
        <w:ind w:left="592" w:right="5872" w:hanging="480"/>
        <w:rPr>
          <w:rFonts w:ascii="宋体" w:hAnsi="宋体" w:eastAsia="宋体" w:cs="宋体"/>
          <w:sz w:val="24"/>
          <w:szCs w:val="24"/>
          <w:lang w:eastAsia="zh-CN"/>
        </w:rPr>
      </w:pPr>
      <w:bookmarkStart w:id="115" w:name="附件十五:"/>
      <w:bookmarkEnd w:id="115"/>
      <w:r>
        <w:rPr>
          <w:rFonts w:ascii="宋体" w:hAnsi="宋体" w:eastAsia="宋体" w:cs="宋体"/>
          <w:b/>
          <w:bCs/>
          <w:w w:val="95"/>
          <w:sz w:val="28"/>
          <w:szCs w:val="28"/>
          <w:lang w:eastAsia="zh-CN"/>
        </w:rPr>
        <w:t>附件十</w:t>
      </w:r>
      <w:r>
        <w:rPr>
          <w:rFonts w:hint="eastAsia" w:ascii="宋体" w:hAnsi="宋体" w:eastAsia="宋体" w:cs="宋体"/>
          <w:b/>
          <w:bCs/>
          <w:w w:val="95"/>
          <w:sz w:val="28"/>
          <w:szCs w:val="28"/>
          <w:lang w:eastAsia="zh-CN"/>
        </w:rPr>
        <w:t>八</w:t>
      </w:r>
      <w:r>
        <w:rPr>
          <w:rFonts w:ascii="宋体" w:hAnsi="宋体" w:eastAsia="宋体" w:cs="宋体"/>
          <w:b/>
          <w:bCs/>
          <w:w w:val="95"/>
          <w:sz w:val="28"/>
          <w:szCs w:val="28"/>
          <w:lang w:eastAsia="zh-CN"/>
        </w:rPr>
        <w:t>：供应商的资格声明</w:t>
      </w:r>
      <w:r>
        <w:rPr>
          <w:rFonts w:ascii="宋体" w:hAnsi="宋体" w:eastAsia="宋体" w:cs="宋体"/>
          <w:b/>
          <w:bCs/>
          <w:spacing w:val="38"/>
          <w:w w:val="95"/>
          <w:sz w:val="28"/>
          <w:szCs w:val="28"/>
          <w:lang w:eastAsia="zh-CN"/>
        </w:rPr>
        <w:t xml:space="preserve"> </w:t>
      </w:r>
      <w:r>
        <w:rPr>
          <w:rFonts w:ascii="宋体" w:hAnsi="宋体" w:eastAsia="宋体" w:cs="宋体"/>
          <w:sz w:val="24"/>
          <w:szCs w:val="24"/>
          <w:lang w:eastAsia="zh-CN"/>
        </w:rPr>
        <w:t>1．供应商概况： Ａ．供应商名称： Ｂ．注册地址：</w:t>
      </w:r>
    </w:p>
    <w:p>
      <w:pPr>
        <w:pStyle w:val="10"/>
        <w:tabs>
          <w:tab w:val="left" w:pos="2272"/>
        </w:tabs>
        <w:spacing w:before="22" w:line="304" w:lineRule="auto"/>
        <w:ind w:right="5872"/>
        <w:rPr>
          <w:lang w:eastAsia="zh-CN"/>
        </w:rPr>
      </w:pPr>
      <w:r>
        <w:rPr>
          <w:lang w:eastAsia="zh-CN"/>
        </w:rPr>
        <w:t>传真：电话：</w:t>
      </w:r>
      <w:r>
        <w:rPr>
          <w:lang w:eastAsia="zh-CN"/>
        </w:rPr>
        <w:tab/>
      </w:r>
      <w:r>
        <w:rPr>
          <w:lang w:eastAsia="zh-CN"/>
        </w:rPr>
        <w:t>邮编： Ｃ．成立或注册日期： D．法定代表人：（姓名、职务） 实收资本：</w:t>
      </w:r>
    </w:p>
    <w:p>
      <w:pPr>
        <w:pStyle w:val="10"/>
        <w:spacing w:before="22" w:line="304" w:lineRule="auto"/>
        <w:ind w:right="5872"/>
        <w:rPr>
          <w:lang w:eastAsia="zh-CN"/>
        </w:rPr>
      </w:pPr>
      <w:r>
        <w:rPr>
          <w:lang w:eastAsia="zh-CN"/>
        </w:rPr>
        <w:t>其中 国家资本： 法人资本： 个人资本： 外商资本：</w:t>
      </w:r>
    </w:p>
    <w:p>
      <w:pPr>
        <w:pStyle w:val="10"/>
        <w:spacing w:before="22" w:line="307" w:lineRule="auto"/>
        <w:ind w:left="712" w:right="3135" w:hanging="120"/>
        <w:rPr>
          <w:lang w:eastAsia="zh-CN"/>
        </w:rPr>
      </w:pPr>
      <w:r>
        <w:rPr>
          <w:lang w:eastAsia="zh-CN"/>
        </w:rPr>
        <w:t>Ｅ．最近资产负债表（到 年月 日为止）。 (1)固定资产合计:</w:t>
      </w:r>
    </w:p>
    <w:p>
      <w:pPr>
        <w:pStyle w:val="10"/>
        <w:spacing w:before="17" w:line="307" w:lineRule="auto"/>
        <w:ind w:left="712" w:right="7312"/>
        <w:jc w:val="both"/>
        <w:rPr>
          <w:lang w:eastAsia="zh-CN"/>
        </w:rPr>
      </w:pPr>
      <w:r>
        <w:rPr>
          <w:lang w:eastAsia="zh-CN"/>
        </w:rPr>
        <w:t>(2)流动资产合计: (3)长期负债合计: (4)流动负债合计:</w:t>
      </w:r>
    </w:p>
    <w:p>
      <w:pPr>
        <w:pStyle w:val="10"/>
        <w:spacing w:before="17" w:line="307" w:lineRule="auto"/>
        <w:ind w:right="3135"/>
        <w:rPr>
          <w:lang w:eastAsia="zh-CN"/>
        </w:rPr>
      </w:pPr>
      <w:r>
        <w:rPr>
          <w:lang w:eastAsia="zh-CN"/>
        </w:rPr>
        <w:t>Ｆ．最近损益表（到年月日为止）。 (1)本年（期）利润总额累计： (2)本年（期）净利润累计：</w:t>
      </w:r>
    </w:p>
    <w:p>
      <w:pPr>
        <w:pStyle w:val="10"/>
        <w:spacing w:before="17" w:line="307" w:lineRule="auto"/>
        <w:ind w:left="112" w:firstLine="480"/>
        <w:rPr>
          <w:lang w:eastAsia="zh-CN"/>
        </w:rPr>
      </w:pPr>
      <w:r>
        <w:rPr>
          <w:lang w:eastAsia="zh-CN"/>
        </w:rPr>
        <w:t>2．我方在此声明，我方具备并满足下列各项条款的规定。本声明如有虚假或不实之处， 我方将失去合格供应商资格且我方的投标保证金将不予退还。</w:t>
      </w:r>
    </w:p>
    <w:p>
      <w:pPr>
        <w:pStyle w:val="10"/>
        <w:spacing w:before="19"/>
        <w:ind w:right="3135"/>
        <w:rPr>
          <w:lang w:eastAsia="zh-CN"/>
        </w:rPr>
      </w:pPr>
      <w:r>
        <w:rPr>
          <w:lang w:eastAsia="zh-CN"/>
        </w:rPr>
        <w:t>（1）具有独立承担民事责任的能力；</w:t>
      </w:r>
    </w:p>
    <w:p>
      <w:pPr>
        <w:pStyle w:val="10"/>
        <w:spacing w:before="84"/>
        <w:ind w:right="3135"/>
        <w:rPr>
          <w:lang w:eastAsia="zh-CN"/>
        </w:rPr>
      </w:pPr>
      <w:r>
        <w:rPr>
          <w:lang w:eastAsia="zh-CN"/>
        </w:rPr>
        <w:t>（2）具有良好的商业信誉和健全的财务会计制度；</w:t>
      </w:r>
    </w:p>
    <w:p>
      <w:pPr>
        <w:pStyle w:val="10"/>
        <w:spacing w:before="86"/>
        <w:ind w:right="3135"/>
        <w:rPr>
          <w:lang w:eastAsia="zh-CN"/>
        </w:rPr>
      </w:pPr>
      <w:r>
        <w:rPr>
          <w:lang w:eastAsia="zh-CN"/>
        </w:rPr>
        <w:t>（3）具有履行合同所必需的设备和专业技术能力；</w:t>
      </w:r>
    </w:p>
    <w:p>
      <w:pPr>
        <w:pStyle w:val="10"/>
        <w:spacing w:before="86"/>
        <w:ind w:right="3135"/>
        <w:rPr>
          <w:lang w:eastAsia="zh-CN"/>
        </w:rPr>
      </w:pPr>
      <w:r>
        <w:rPr>
          <w:lang w:eastAsia="zh-CN"/>
        </w:rPr>
        <w:t>（4）有依法交纳税收和社会保障资金的良好记录；</w:t>
      </w:r>
    </w:p>
    <w:p>
      <w:pPr>
        <w:pStyle w:val="10"/>
        <w:spacing w:before="84" w:line="307" w:lineRule="auto"/>
        <w:rPr>
          <w:lang w:eastAsia="zh-CN"/>
        </w:rPr>
      </w:pPr>
      <w:r>
        <w:rPr>
          <w:lang w:eastAsia="zh-CN"/>
        </w:rPr>
        <w:t>（5）近三年内，在经营活动中没有重大违法记录； 就我方全部所知，兹证明上述声明是真实、正确的， 并已提供了全部现有资料和数据，</w:t>
      </w:r>
    </w:p>
    <w:p>
      <w:pPr>
        <w:pStyle w:val="10"/>
        <w:spacing w:before="19" w:line="609" w:lineRule="auto"/>
        <w:ind w:right="3135" w:hanging="480"/>
        <w:rPr>
          <w:lang w:eastAsia="zh-CN"/>
        </w:rPr>
      </w:pPr>
      <w:r>
        <w:rPr>
          <w:lang w:eastAsia="zh-CN"/>
        </w:rPr>
        <w:t>我方同意根据贵方要求出示文件予以证实。 供应商名称（公章）： 法定代表人或授权代表（签字或盖章）：</w:t>
      </w:r>
    </w:p>
    <w:p>
      <w:pPr>
        <w:pStyle w:val="10"/>
        <w:tabs>
          <w:tab w:val="left" w:pos="1792"/>
          <w:tab w:val="left" w:pos="2512"/>
        </w:tabs>
        <w:spacing w:before="82"/>
        <w:ind w:left="1072" w:right="5872"/>
        <w:rPr>
          <w:lang w:eastAsia="zh-CN"/>
        </w:rPr>
      </w:pPr>
      <w:r>
        <w:rPr>
          <w:lang w:eastAsia="zh-CN"/>
        </w:rPr>
        <w:t>年</w:t>
      </w:r>
      <w:r>
        <w:rPr>
          <w:lang w:eastAsia="zh-CN"/>
        </w:rPr>
        <w:tab/>
      </w:r>
      <w:r>
        <w:rPr>
          <w:lang w:eastAsia="zh-CN"/>
        </w:rPr>
        <w:t>月</w:t>
      </w:r>
      <w:r>
        <w:rPr>
          <w:lang w:eastAsia="zh-CN"/>
        </w:rPr>
        <w:tab/>
      </w:r>
      <w:r>
        <w:rPr>
          <w:lang w:eastAsia="zh-CN"/>
        </w:rPr>
        <w:t>日</w:t>
      </w:r>
    </w:p>
    <w:p>
      <w:pPr>
        <w:rPr>
          <w:lang w:eastAsia="zh-CN"/>
        </w:rPr>
        <w:sectPr>
          <w:pgSz w:w="11910" w:h="16840"/>
          <w:pgMar w:top="1220" w:right="940" w:bottom="960" w:left="1020" w:header="0" w:footer="771" w:gutter="0"/>
          <w:cols w:space="720" w:num="1"/>
        </w:sectPr>
      </w:pPr>
    </w:p>
    <w:p>
      <w:pPr>
        <w:pStyle w:val="7"/>
        <w:spacing w:line="354" w:lineRule="exact"/>
        <w:rPr>
          <w:b w:val="0"/>
          <w:bCs w:val="0"/>
          <w:lang w:eastAsia="zh-CN"/>
        </w:rPr>
      </w:pPr>
      <w:bookmarkStart w:id="116" w:name="附件十六："/>
      <w:bookmarkEnd w:id="116"/>
      <w:r>
        <w:rPr>
          <w:lang w:eastAsia="zh-CN"/>
        </w:rPr>
        <w:t>附件十</w:t>
      </w:r>
      <w:r>
        <w:rPr>
          <w:rFonts w:hint="eastAsia"/>
          <w:lang w:eastAsia="zh-CN"/>
        </w:rPr>
        <w:t>九</w:t>
      </w:r>
      <w:r>
        <w:rPr>
          <w:lang w:eastAsia="zh-CN"/>
        </w:rPr>
        <w:t>:</w:t>
      </w:r>
    </w:p>
    <w:p>
      <w:pPr>
        <w:pStyle w:val="8"/>
        <w:spacing w:before="148"/>
        <w:ind w:left="112"/>
        <w:rPr>
          <w:b w:val="0"/>
          <w:bCs w:val="0"/>
          <w:lang w:eastAsia="zh-CN"/>
        </w:rPr>
      </w:pPr>
      <w:bookmarkStart w:id="117" w:name="1、所投产品的性能、技术指标。"/>
      <w:bookmarkEnd w:id="117"/>
      <w:r>
        <w:rPr>
          <w:lang w:eastAsia="zh-CN"/>
        </w:rPr>
        <w:t>1、所投产品的性能、技术指标。</w:t>
      </w:r>
    </w:p>
    <w:p>
      <w:pPr>
        <w:pStyle w:val="8"/>
        <w:spacing w:before="178"/>
        <w:ind w:left="112"/>
        <w:rPr>
          <w:b w:val="0"/>
          <w:bCs w:val="0"/>
          <w:lang w:eastAsia="zh-CN"/>
        </w:rPr>
      </w:pPr>
      <w:bookmarkStart w:id="118" w:name="2、产品安装方案。"/>
      <w:bookmarkEnd w:id="118"/>
      <w:r>
        <w:rPr>
          <w:rFonts w:ascii="Calibri" w:hAnsi="Calibri" w:eastAsia="Calibri" w:cs="Calibri"/>
          <w:lang w:eastAsia="zh-CN"/>
        </w:rPr>
        <w:t>2</w:t>
      </w:r>
      <w:r>
        <w:rPr>
          <w:lang w:eastAsia="zh-CN"/>
        </w:rPr>
        <w:t>、产品安装方案。</w:t>
      </w:r>
    </w:p>
    <w:p>
      <w:pPr>
        <w:rPr>
          <w:lang w:eastAsia="zh-CN"/>
        </w:rPr>
        <w:sectPr>
          <w:pgSz w:w="11910" w:h="16840"/>
          <w:pgMar w:top="1220" w:right="1680" w:bottom="960" w:left="1020" w:header="0" w:footer="771" w:gutter="0"/>
          <w:cols w:space="720" w:num="1"/>
        </w:sectPr>
      </w:pPr>
    </w:p>
    <w:p>
      <w:pPr>
        <w:pStyle w:val="7"/>
        <w:spacing w:line="354" w:lineRule="exact"/>
        <w:ind w:left="152"/>
        <w:rPr>
          <w:b w:val="0"/>
          <w:bCs w:val="0"/>
          <w:lang w:eastAsia="zh-CN"/>
        </w:rPr>
      </w:pPr>
      <w:r>
        <w:rPr>
          <w:spacing w:val="-1"/>
          <w:lang w:eastAsia="zh-CN"/>
        </w:rPr>
        <w:t>附件</w:t>
      </w:r>
      <w:r>
        <w:rPr>
          <w:rFonts w:hint="eastAsia"/>
          <w:spacing w:val="-1"/>
          <w:lang w:eastAsia="zh-CN"/>
        </w:rPr>
        <w:t>二十</w:t>
      </w:r>
      <w:r>
        <w:rPr>
          <w:spacing w:val="-1"/>
          <w:lang w:eastAsia="zh-CN"/>
        </w:rPr>
        <w:t>：</w:t>
      </w:r>
    </w:p>
    <w:p>
      <w:pPr>
        <w:rPr>
          <w:rFonts w:ascii="宋体" w:hAnsi="宋体" w:eastAsia="宋体" w:cs="宋体"/>
          <w:b/>
          <w:bCs/>
          <w:sz w:val="28"/>
          <w:szCs w:val="28"/>
          <w:lang w:eastAsia="zh-CN"/>
        </w:rPr>
      </w:pPr>
    </w:p>
    <w:p>
      <w:pPr>
        <w:spacing w:before="2"/>
        <w:rPr>
          <w:rFonts w:ascii="宋体" w:hAnsi="宋体" w:eastAsia="宋体" w:cs="宋体"/>
          <w:b/>
          <w:bCs/>
          <w:sz w:val="21"/>
          <w:szCs w:val="21"/>
          <w:lang w:eastAsia="zh-CN"/>
        </w:rPr>
      </w:pPr>
    </w:p>
    <w:p>
      <w:pPr>
        <w:pStyle w:val="10"/>
        <w:spacing w:before="0" w:line="328" w:lineRule="auto"/>
        <w:ind w:left="152"/>
        <w:rPr>
          <w:lang w:eastAsia="zh-CN"/>
        </w:rPr>
      </w:pPr>
      <w:r>
        <w:rPr>
          <w:lang w:eastAsia="zh-CN"/>
        </w:rPr>
        <w:t>项目名称： 项目编号：</w:t>
      </w:r>
    </w:p>
    <w:p>
      <w:pPr>
        <w:spacing w:before="5"/>
        <w:rPr>
          <w:rFonts w:ascii="宋体" w:hAnsi="宋体" w:eastAsia="宋体" w:cs="宋体"/>
          <w:sz w:val="35"/>
          <w:szCs w:val="35"/>
          <w:lang w:eastAsia="zh-CN"/>
        </w:rPr>
      </w:pPr>
      <w:r>
        <w:rPr>
          <w:lang w:eastAsia="zh-CN"/>
        </w:rPr>
        <w:br w:type="column"/>
      </w:r>
    </w:p>
    <w:p>
      <w:pPr>
        <w:ind w:left="152"/>
        <w:rPr>
          <w:rFonts w:ascii="宋体" w:hAnsi="宋体" w:eastAsia="宋体" w:cs="宋体"/>
          <w:sz w:val="30"/>
          <w:szCs w:val="30"/>
          <w:lang w:eastAsia="zh-CN"/>
        </w:rPr>
      </w:pPr>
      <w:bookmarkStart w:id="119" w:name="技术偏离表"/>
      <w:bookmarkEnd w:id="119"/>
      <w:r>
        <w:rPr>
          <w:rFonts w:ascii="宋体" w:hAnsi="宋体" w:eastAsia="宋体" w:cs="宋体"/>
          <w:b/>
          <w:bCs/>
          <w:sz w:val="30"/>
          <w:szCs w:val="30"/>
          <w:lang w:eastAsia="zh-CN"/>
        </w:rPr>
        <w:t>技术偏离表</w:t>
      </w:r>
    </w:p>
    <w:p>
      <w:pPr>
        <w:rPr>
          <w:rFonts w:ascii="宋体" w:hAnsi="宋体" w:eastAsia="宋体" w:cs="宋体"/>
          <w:sz w:val="30"/>
          <w:szCs w:val="30"/>
          <w:lang w:eastAsia="zh-CN"/>
        </w:rPr>
        <w:sectPr>
          <w:pgSz w:w="11910" w:h="16840"/>
          <w:pgMar w:top="1220" w:right="900" w:bottom="960" w:left="980" w:header="0" w:footer="771" w:gutter="0"/>
          <w:cols w:equalWidth="0" w:num="2">
            <w:col w:w="1557" w:space="2511"/>
            <w:col w:w="5962"/>
          </w:cols>
        </w:sectPr>
      </w:pPr>
    </w:p>
    <w:p>
      <w:pPr>
        <w:spacing w:before="10"/>
        <w:rPr>
          <w:rFonts w:ascii="宋体" w:hAnsi="宋体" w:eastAsia="宋体" w:cs="宋体"/>
          <w:b/>
          <w:bCs/>
          <w:sz w:val="19"/>
          <w:szCs w:val="19"/>
          <w:lang w:eastAsia="zh-CN"/>
        </w:rPr>
      </w:pPr>
    </w:p>
    <w:tbl>
      <w:tblPr>
        <w:tblStyle w:val="18"/>
        <w:tblW w:w="9732" w:type="dxa"/>
        <w:tblInd w:w="102" w:type="dxa"/>
        <w:tblLayout w:type="fixed"/>
        <w:tblCellMar>
          <w:top w:w="0" w:type="dxa"/>
          <w:left w:w="0" w:type="dxa"/>
          <w:bottom w:w="0" w:type="dxa"/>
          <w:right w:w="0" w:type="dxa"/>
        </w:tblCellMar>
      </w:tblPr>
      <w:tblGrid>
        <w:gridCol w:w="985"/>
        <w:gridCol w:w="1539"/>
        <w:gridCol w:w="1671"/>
        <w:gridCol w:w="1669"/>
        <w:gridCol w:w="1300"/>
        <w:gridCol w:w="1531"/>
        <w:gridCol w:w="1037"/>
      </w:tblGrid>
      <w:tr>
        <w:tblPrEx>
          <w:tblLayout w:type="fixed"/>
          <w:tblCellMar>
            <w:top w:w="0" w:type="dxa"/>
            <w:left w:w="0" w:type="dxa"/>
            <w:bottom w:w="0" w:type="dxa"/>
            <w:right w:w="0" w:type="dxa"/>
          </w:tblCellMar>
        </w:tblPrEx>
        <w:trPr>
          <w:trHeight w:val="890" w:hRule="exact"/>
        </w:trPr>
        <w:tc>
          <w:tcPr>
            <w:tcW w:w="985" w:type="dxa"/>
            <w:tcBorders>
              <w:top w:val="single" w:color="000000" w:sz="4" w:space="0"/>
              <w:left w:val="single" w:color="000000" w:sz="4" w:space="0"/>
              <w:bottom w:val="single" w:color="000000" w:sz="4" w:space="0"/>
              <w:right w:val="single" w:color="000000" w:sz="4" w:space="0"/>
            </w:tcBorders>
          </w:tcPr>
          <w:p>
            <w:pPr>
              <w:pStyle w:val="20"/>
              <w:spacing w:before="10"/>
              <w:rPr>
                <w:rFonts w:ascii="宋体" w:hAnsi="宋体" w:eastAsia="宋体" w:cs="宋体"/>
                <w:b/>
                <w:bCs/>
                <w:sz w:val="18"/>
                <w:szCs w:val="18"/>
                <w:lang w:eastAsia="zh-CN"/>
              </w:rPr>
            </w:pPr>
          </w:p>
          <w:p>
            <w:pPr>
              <w:pStyle w:val="20"/>
              <w:ind w:left="103"/>
              <w:rPr>
                <w:rFonts w:ascii="宋体" w:hAnsi="宋体" w:eastAsia="宋体" w:cs="宋体"/>
                <w:sz w:val="24"/>
                <w:szCs w:val="24"/>
              </w:rPr>
            </w:pPr>
            <w:r>
              <w:rPr>
                <w:rFonts w:ascii="宋体" w:hAnsi="宋体" w:eastAsia="宋体" w:cs="宋体"/>
                <w:sz w:val="24"/>
                <w:szCs w:val="24"/>
              </w:rPr>
              <w:t>序号</w:t>
            </w:r>
          </w:p>
        </w:tc>
        <w:tc>
          <w:tcPr>
            <w:tcW w:w="1539" w:type="dxa"/>
            <w:tcBorders>
              <w:top w:val="single" w:color="000000" w:sz="4" w:space="0"/>
              <w:left w:val="single" w:color="000000" w:sz="4" w:space="0"/>
              <w:bottom w:val="single" w:color="000000" w:sz="4" w:space="0"/>
              <w:right w:val="single" w:color="000000" w:sz="4" w:space="0"/>
            </w:tcBorders>
          </w:tcPr>
          <w:p>
            <w:pPr>
              <w:pStyle w:val="20"/>
              <w:spacing w:before="10"/>
              <w:rPr>
                <w:rFonts w:ascii="宋体" w:hAnsi="宋体" w:eastAsia="宋体" w:cs="宋体"/>
                <w:b/>
                <w:bCs/>
                <w:sz w:val="18"/>
                <w:szCs w:val="18"/>
              </w:rPr>
            </w:pPr>
          </w:p>
          <w:p>
            <w:pPr>
              <w:pStyle w:val="20"/>
              <w:ind w:left="284"/>
              <w:rPr>
                <w:rFonts w:ascii="宋体" w:hAnsi="宋体" w:eastAsia="宋体" w:cs="宋体"/>
                <w:sz w:val="24"/>
                <w:szCs w:val="24"/>
              </w:rPr>
            </w:pPr>
            <w:r>
              <w:rPr>
                <w:rFonts w:ascii="宋体" w:hAnsi="宋体" w:eastAsia="宋体" w:cs="宋体"/>
                <w:sz w:val="24"/>
                <w:szCs w:val="24"/>
              </w:rPr>
              <w:t>货物名称</w:t>
            </w:r>
          </w:p>
        </w:tc>
        <w:tc>
          <w:tcPr>
            <w:tcW w:w="1671" w:type="dxa"/>
            <w:tcBorders>
              <w:top w:val="single" w:color="000000" w:sz="4" w:space="0"/>
              <w:left w:val="single" w:color="000000" w:sz="4" w:space="0"/>
              <w:bottom w:val="single" w:color="000000" w:sz="4" w:space="0"/>
              <w:right w:val="single" w:color="000000" w:sz="4" w:space="0"/>
            </w:tcBorders>
          </w:tcPr>
          <w:p>
            <w:pPr>
              <w:pStyle w:val="20"/>
              <w:spacing w:before="1" w:line="440" w:lineRule="exact"/>
              <w:ind w:left="468" w:right="350" w:hanging="120"/>
              <w:rPr>
                <w:rFonts w:ascii="宋体" w:hAnsi="宋体" w:eastAsia="宋体" w:cs="宋体"/>
                <w:sz w:val="24"/>
                <w:szCs w:val="24"/>
              </w:rPr>
            </w:pPr>
            <w:r>
              <w:rPr>
                <w:rFonts w:ascii="宋体" w:hAnsi="宋体" w:eastAsia="宋体" w:cs="宋体"/>
                <w:sz w:val="24"/>
                <w:szCs w:val="24"/>
              </w:rPr>
              <w:t>磋商文件 条目号</w:t>
            </w:r>
          </w:p>
        </w:tc>
        <w:tc>
          <w:tcPr>
            <w:tcW w:w="1669" w:type="dxa"/>
            <w:tcBorders>
              <w:top w:val="single" w:color="000000" w:sz="4" w:space="0"/>
              <w:left w:val="single" w:color="000000" w:sz="4" w:space="0"/>
              <w:bottom w:val="single" w:color="000000" w:sz="4" w:space="0"/>
              <w:right w:val="single" w:color="000000" w:sz="4" w:space="0"/>
            </w:tcBorders>
          </w:tcPr>
          <w:p>
            <w:pPr>
              <w:pStyle w:val="20"/>
              <w:spacing w:before="1" w:line="440" w:lineRule="exact"/>
              <w:ind w:left="588" w:right="349" w:hanging="240"/>
              <w:rPr>
                <w:rFonts w:ascii="宋体" w:hAnsi="宋体" w:eastAsia="宋体" w:cs="宋体"/>
                <w:sz w:val="24"/>
                <w:szCs w:val="24"/>
              </w:rPr>
            </w:pPr>
            <w:r>
              <w:rPr>
                <w:rFonts w:ascii="宋体" w:hAnsi="宋体" w:eastAsia="宋体" w:cs="宋体"/>
                <w:sz w:val="24"/>
                <w:szCs w:val="24"/>
              </w:rPr>
              <w:t>磋商文件 要求</w:t>
            </w:r>
          </w:p>
        </w:tc>
        <w:tc>
          <w:tcPr>
            <w:tcW w:w="1300" w:type="dxa"/>
            <w:tcBorders>
              <w:top w:val="single" w:color="000000" w:sz="4" w:space="0"/>
              <w:left w:val="single" w:color="000000" w:sz="4" w:space="0"/>
              <w:bottom w:val="single" w:color="000000" w:sz="4" w:space="0"/>
              <w:right w:val="single" w:color="000000" w:sz="4" w:space="0"/>
            </w:tcBorders>
          </w:tcPr>
          <w:p>
            <w:pPr>
              <w:pStyle w:val="20"/>
              <w:spacing w:before="1" w:line="440" w:lineRule="exact"/>
              <w:ind w:left="165" w:right="163"/>
              <w:rPr>
                <w:rFonts w:ascii="宋体" w:hAnsi="宋体" w:eastAsia="宋体" w:cs="宋体"/>
                <w:sz w:val="24"/>
                <w:szCs w:val="24"/>
              </w:rPr>
            </w:pPr>
            <w:r>
              <w:rPr>
                <w:rFonts w:ascii="宋体" w:hAnsi="宋体" w:eastAsia="宋体" w:cs="宋体"/>
                <w:sz w:val="24"/>
                <w:szCs w:val="24"/>
              </w:rPr>
              <w:t>响应文件 实际情况</w:t>
            </w:r>
          </w:p>
        </w:tc>
        <w:tc>
          <w:tcPr>
            <w:tcW w:w="1531" w:type="dxa"/>
            <w:tcBorders>
              <w:top w:val="single" w:color="000000" w:sz="4" w:space="0"/>
              <w:left w:val="single" w:color="000000" w:sz="4" w:space="0"/>
              <w:bottom w:val="single" w:color="000000" w:sz="4" w:space="0"/>
              <w:right w:val="single" w:color="000000" w:sz="4" w:space="0"/>
            </w:tcBorders>
          </w:tcPr>
          <w:p>
            <w:pPr>
              <w:pStyle w:val="20"/>
              <w:spacing w:before="10"/>
              <w:rPr>
                <w:rFonts w:ascii="宋体" w:hAnsi="宋体" w:eastAsia="宋体" w:cs="宋体"/>
                <w:b/>
                <w:bCs/>
                <w:sz w:val="18"/>
                <w:szCs w:val="18"/>
              </w:rPr>
            </w:pPr>
          </w:p>
          <w:p>
            <w:pPr>
              <w:pStyle w:val="20"/>
              <w:ind w:left="280"/>
              <w:rPr>
                <w:rFonts w:ascii="宋体" w:hAnsi="宋体" w:eastAsia="宋体" w:cs="宋体"/>
                <w:sz w:val="24"/>
                <w:szCs w:val="24"/>
              </w:rPr>
            </w:pPr>
            <w:r>
              <w:rPr>
                <w:rFonts w:ascii="宋体" w:hAnsi="宋体" w:eastAsia="宋体" w:cs="宋体"/>
                <w:sz w:val="24"/>
                <w:szCs w:val="24"/>
              </w:rPr>
              <w:t>偏差内容</w:t>
            </w:r>
          </w:p>
        </w:tc>
        <w:tc>
          <w:tcPr>
            <w:tcW w:w="1037" w:type="dxa"/>
            <w:tcBorders>
              <w:top w:val="single" w:color="000000" w:sz="4" w:space="0"/>
              <w:left w:val="single" w:color="000000" w:sz="4" w:space="0"/>
              <w:bottom w:val="single" w:color="000000" w:sz="4" w:space="0"/>
              <w:right w:val="single" w:color="000000" w:sz="4" w:space="0"/>
            </w:tcBorders>
          </w:tcPr>
          <w:p>
            <w:pPr>
              <w:pStyle w:val="20"/>
              <w:spacing w:before="10"/>
              <w:rPr>
                <w:rFonts w:ascii="宋体" w:hAnsi="宋体" w:eastAsia="宋体" w:cs="宋体"/>
                <w:b/>
                <w:bCs/>
                <w:sz w:val="18"/>
                <w:szCs w:val="18"/>
              </w:rPr>
            </w:pPr>
          </w:p>
          <w:p>
            <w:pPr>
              <w:pStyle w:val="20"/>
              <w:ind w:left="273"/>
              <w:rPr>
                <w:rFonts w:ascii="宋体" w:hAnsi="宋体" w:eastAsia="宋体" w:cs="宋体"/>
                <w:sz w:val="24"/>
                <w:szCs w:val="24"/>
              </w:rPr>
            </w:pPr>
            <w:r>
              <w:rPr>
                <w:rFonts w:ascii="宋体" w:hAnsi="宋体" w:eastAsia="宋体" w:cs="宋体"/>
                <w:sz w:val="24"/>
                <w:szCs w:val="24"/>
              </w:rPr>
              <w:t>说明</w:t>
            </w:r>
          </w:p>
        </w:tc>
      </w:tr>
      <w:tr>
        <w:tblPrEx>
          <w:tblLayout w:type="fixed"/>
          <w:tblCellMar>
            <w:top w:w="0" w:type="dxa"/>
            <w:left w:w="0" w:type="dxa"/>
            <w:bottom w:w="0" w:type="dxa"/>
            <w:right w:w="0" w:type="dxa"/>
          </w:tblCellMar>
        </w:tblPrEx>
        <w:trPr>
          <w:trHeight w:val="728" w:hRule="exact"/>
        </w:trPr>
        <w:tc>
          <w:tcPr>
            <w:tcW w:w="985" w:type="dxa"/>
            <w:tcBorders>
              <w:top w:val="single" w:color="000000" w:sz="4" w:space="0"/>
              <w:left w:val="single" w:color="000000" w:sz="4" w:space="0"/>
              <w:bottom w:val="single" w:color="000000" w:sz="4" w:space="0"/>
              <w:right w:val="single" w:color="000000" w:sz="4" w:space="0"/>
            </w:tcBorders>
          </w:tcPr>
          <w:p/>
        </w:tc>
        <w:tc>
          <w:tcPr>
            <w:tcW w:w="1539" w:type="dxa"/>
            <w:tcBorders>
              <w:top w:val="single" w:color="000000" w:sz="4" w:space="0"/>
              <w:left w:val="single" w:color="000000" w:sz="4" w:space="0"/>
              <w:bottom w:val="single" w:color="000000" w:sz="4" w:space="0"/>
              <w:right w:val="single" w:color="000000" w:sz="4" w:space="0"/>
            </w:tcBorders>
          </w:tcPr>
          <w:p/>
        </w:tc>
        <w:tc>
          <w:tcPr>
            <w:tcW w:w="1671" w:type="dxa"/>
            <w:tcBorders>
              <w:top w:val="single" w:color="000000" w:sz="4" w:space="0"/>
              <w:left w:val="single" w:color="000000" w:sz="4" w:space="0"/>
              <w:bottom w:val="single" w:color="000000" w:sz="4" w:space="0"/>
              <w:right w:val="single" w:color="000000" w:sz="4" w:space="0"/>
            </w:tcBorders>
          </w:tcPr>
          <w:p/>
        </w:tc>
        <w:tc>
          <w:tcPr>
            <w:tcW w:w="1669" w:type="dxa"/>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1531" w:type="dxa"/>
            <w:tcBorders>
              <w:top w:val="single" w:color="000000" w:sz="4" w:space="0"/>
              <w:left w:val="single" w:color="000000" w:sz="4" w:space="0"/>
              <w:bottom w:val="single" w:color="000000" w:sz="4" w:space="0"/>
              <w:right w:val="single" w:color="000000" w:sz="4" w:space="0"/>
            </w:tcBorders>
          </w:tcPr>
          <w:p/>
        </w:tc>
        <w:tc>
          <w:tcPr>
            <w:tcW w:w="1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728" w:hRule="exact"/>
        </w:trPr>
        <w:tc>
          <w:tcPr>
            <w:tcW w:w="985" w:type="dxa"/>
            <w:tcBorders>
              <w:top w:val="single" w:color="000000" w:sz="4" w:space="0"/>
              <w:left w:val="single" w:color="000000" w:sz="4" w:space="0"/>
              <w:bottom w:val="single" w:color="000000" w:sz="4" w:space="0"/>
              <w:right w:val="single" w:color="000000" w:sz="4" w:space="0"/>
            </w:tcBorders>
          </w:tcPr>
          <w:p/>
        </w:tc>
        <w:tc>
          <w:tcPr>
            <w:tcW w:w="1539" w:type="dxa"/>
            <w:tcBorders>
              <w:top w:val="single" w:color="000000" w:sz="4" w:space="0"/>
              <w:left w:val="single" w:color="000000" w:sz="4" w:space="0"/>
              <w:bottom w:val="single" w:color="000000" w:sz="4" w:space="0"/>
              <w:right w:val="single" w:color="000000" w:sz="4" w:space="0"/>
            </w:tcBorders>
          </w:tcPr>
          <w:p/>
        </w:tc>
        <w:tc>
          <w:tcPr>
            <w:tcW w:w="1671" w:type="dxa"/>
            <w:tcBorders>
              <w:top w:val="single" w:color="000000" w:sz="4" w:space="0"/>
              <w:left w:val="single" w:color="000000" w:sz="4" w:space="0"/>
              <w:bottom w:val="single" w:color="000000" w:sz="4" w:space="0"/>
              <w:right w:val="single" w:color="000000" w:sz="4" w:space="0"/>
            </w:tcBorders>
          </w:tcPr>
          <w:p/>
        </w:tc>
        <w:tc>
          <w:tcPr>
            <w:tcW w:w="1669" w:type="dxa"/>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1531" w:type="dxa"/>
            <w:tcBorders>
              <w:top w:val="single" w:color="000000" w:sz="4" w:space="0"/>
              <w:left w:val="single" w:color="000000" w:sz="4" w:space="0"/>
              <w:bottom w:val="single" w:color="000000" w:sz="4" w:space="0"/>
              <w:right w:val="single" w:color="000000" w:sz="4" w:space="0"/>
            </w:tcBorders>
          </w:tcPr>
          <w:p/>
        </w:tc>
        <w:tc>
          <w:tcPr>
            <w:tcW w:w="1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804" w:hRule="exact"/>
        </w:trPr>
        <w:tc>
          <w:tcPr>
            <w:tcW w:w="985" w:type="dxa"/>
            <w:tcBorders>
              <w:top w:val="single" w:color="000000" w:sz="4" w:space="0"/>
              <w:left w:val="single" w:color="000000" w:sz="4" w:space="0"/>
              <w:bottom w:val="single" w:color="000000" w:sz="4" w:space="0"/>
              <w:right w:val="single" w:color="000000" w:sz="4" w:space="0"/>
            </w:tcBorders>
          </w:tcPr>
          <w:p/>
        </w:tc>
        <w:tc>
          <w:tcPr>
            <w:tcW w:w="1539" w:type="dxa"/>
            <w:tcBorders>
              <w:top w:val="single" w:color="000000" w:sz="4" w:space="0"/>
              <w:left w:val="single" w:color="000000" w:sz="4" w:space="0"/>
              <w:bottom w:val="single" w:color="000000" w:sz="4" w:space="0"/>
              <w:right w:val="single" w:color="000000" w:sz="4" w:space="0"/>
            </w:tcBorders>
          </w:tcPr>
          <w:p/>
        </w:tc>
        <w:tc>
          <w:tcPr>
            <w:tcW w:w="1671" w:type="dxa"/>
            <w:tcBorders>
              <w:top w:val="single" w:color="000000" w:sz="4" w:space="0"/>
              <w:left w:val="single" w:color="000000" w:sz="4" w:space="0"/>
              <w:bottom w:val="single" w:color="000000" w:sz="4" w:space="0"/>
              <w:right w:val="single" w:color="000000" w:sz="4" w:space="0"/>
            </w:tcBorders>
          </w:tcPr>
          <w:p/>
        </w:tc>
        <w:tc>
          <w:tcPr>
            <w:tcW w:w="1669" w:type="dxa"/>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1531" w:type="dxa"/>
            <w:tcBorders>
              <w:top w:val="single" w:color="000000" w:sz="4" w:space="0"/>
              <w:left w:val="single" w:color="000000" w:sz="4" w:space="0"/>
              <w:bottom w:val="single" w:color="000000" w:sz="4" w:space="0"/>
              <w:right w:val="single" w:color="000000" w:sz="4" w:space="0"/>
            </w:tcBorders>
          </w:tcPr>
          <w:p/>
        </w:tc>
        <w:tc>
          <w:tcPr>
            <w:tcW w:w="1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804" w:hRule="exact"/>
        </w:trPr>
        <w:tc>
          <w:tcPr>
            <w:tcW w:w="985" w:type="dxa"/>
            <w:tcBorders>
              <w:top w:val="single" w:color="000000" w:sz="4" w:space="0"/>
              <w:left w:val="single" w:color="000000" w:sz="4" w:space="0"/>
              <w:bottom w:val="single" w:color="000000" w:sz="4" w:space="0"/>
              <w:right w:val="single" w:color="000000" w:sz="4" w:space="0"/>
            </w:tcBorders>
          </w:tcPr>
          <w:p/>
        </w:tc>
        <w:tc>
          <w:tcPr>
            <w:tcW w:w="1539" w:type="dxa"/>
            <w:tcBorders>
              <w:top w:val="single" w:color="000000" w:sz="4" w:space="0"/>
              <w:left w:val="single" w:color="000000" w:sz="4" w:space="0"/>
              <w:bottom w:val="single" w:color="000000" w:sz="4" w:space="0"/>
              <w:right w:val="single" w:color="000000" w:sz="4" w:space="0"/>
            </w:tcBorders>
          </w:tcPr>
          <w:p/>
        </w:tc>
        <w:tc>
          <w:tcPr>
            <w:tcW w:w="1671" w:type="dxa"/>
            <w:tcBorders>
              <w:top w:val="single" w:color="000000" w:sz="4" w:space="0"/>
              <w:left w:val="single" w:color="000000" w:sz="4" w:space="0"/>
              <w:bottom w:val="single" w:color="000000" w:sz="4" w:space="0"/>
              <w:right w:val="single" w:color="000000" w:sz="4" w:space="0"/>
            </w:tcBorders>
          </w:tcPr>
          <w:p/>
        </w:tc>
        <w:tc>
          <w:tcPr>
            <w:tcW w:w="1669" w:type="dxa"/>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1531" w:type="dxa"/>
            <w:tcBorders>
              <w:top w:val="single" w:color="000000" w:sz="4" w:space="0"/>
              <w:left w:val="single" w:color="000000" w:sz="4" w:space="0"/>
              <w:bottom w:val="single" w:color="000000" w:sz="4" w:space="0"/>
              <w:right w:val="single" w:color="000000" w:sz="4" w:space="0"/>
            </w:tcBorders>
          </w:tcPr>
          <w:p/>
        </w:tc>
        <w:tc>
          <w:tcPr>
            <w:tcW w:w="1037"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804" w:hRule="exact"/>
        </w:trPr>
        <w:tc>
          <w:tcPr>
            <w:tcW w:w="985" w:type="dxa"/>
            <w:tcBorders>
              <w:top w:val="single" w:color="000000" w:sz="4" w:space="0"/>
              <w:left w:val="single" w:color="000000" w:sz="4" w:space="0"/>
              <w:bottom w:val="single" w:color="000000" w:sz="4" w:space="0"/>
              <w:right w:val="single" w:color="000000" w:sz="4" w:space="0"/>
            </w:tcBorders>
          </w:tcPr>
          <w:p/>
        </w:tc>
        <w:tc>
          <w:tcPr>
            <w:tcW w:w="1539" w:type="dxa"/>
            <w:tcBorders>
              <w:top w:val="single" w:color="000000" w:sz="4" w:space="0"/>
              <w:left w:val="single" w:color="000000" w:sz="4" w:space="0"/>
              <w:bottom w:val="single" w:color="000000" w:sz="4" w:space="0"/>
              <w:right w:val="single" w:color="000000" w:sz="4" w:space="0"/>
            </w:tcBorders>
          </w:tcPr>
          <w:p/>
        </w:tc>
        <w:tc>
          <w:tcPr>
            <w:tcW w:w="1671" w:type="dxa"/>
            <w:tcBorders>
              <w:top w:val="single" w:color="000000" w:sz="4" w:space="0"/>
              <w:left w:val="single" w:color="000000" w:sz="4" w:space="0"/>
              <w:bottom w:val="single" w:color="000000" w:sz="4" w:space="0"/>
              <w:right w:val="single" w:color="000000" w:sz="4" w:space="0"/>
            </w:tcBorders>
          </w:tcPr>
          <w:p/>
        </w:tc>
        <w:tc>
          <w:tcPr>
            <w:tcW w:w="1669" w:type="dxa"/>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1531" w:type="dxa"/>
            <w:tcBorders>
              <w:top w:val="single" w:color="000000" w:sz="4" w:space="0"/>
              <w:left w:val="single" w:color="000000" w:sz="4" w:space="0"/>
              <w:bottom w:val="single" w:color="000000" w:sz="4" w:space="0"/>
              <w:right w:val="single" w:color="000000" w:sz="4" w:space="0"/>
            </w:tcBorders>
          </w:tcPr>
          <w:p/>
        </w:tc>
        <w:tc>
          <w:tcPr>
            <w:tcW w:w="1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804" w:hRule="exact"/>
        </w:trPr>
        <w:tc>
          <w:tcPr>
            <w:tcW w:w="985" w:type="dxa"/>
            <w:tcBorders>
              <w:top w:val="single" w:color="000000" w:sz="4" w:space="0"/>
              <w:left w:val="single" w:color="000000" w:sz="4" w:space="0"/>
              <w:bottom w:val="single" w:color="000000" w:sz="4" w:space="0"/>
              <w:right w:val="single" w:color="000000" w:sz="4" w:space="0"/>
            </w:tcBorders>
          </w:tcPr>
          <w:p/>
        </w:tc>
        <w:tc>
          <w:tcPr>
            <w:tcW w:w="1539" w:type="dxa"/>
            <w:tcBorders>
              <w:top w:val="single" w:color="000000" w:sz="4" w:space="0"/>
              <w:left w:val="single" w:color="000000" w:sz="4" w:space="0"/>
              <w:bottom w:val="single" w:color="000000" w:sz="4" w:space="0"/>
              <w:right w:val="single" w:color="000000" w:sz="4" w:space="0"/>
            </w:tcBorders>
          </w:tcPr>
          <w:p/>
        </w:tc>
        <w:tc>
          <w:tcPr>
            <w:tcW w:w="1671" w:type="dxa"/>
            <w:tcBorders>
              <w:top w:val="single" w:color="000000" w:sz="4" w:space="0"/>
              <w:left w:val="single" w:color="000000" w:sz="4" w:space="0"/>
              <w:bottom w:val="single" w:color="000000" w:sz="4" w:space="0"/>
              <w:right w:val="single" w:color="000000" w:sz="4" w:space="0"/>
            </w:tcBorders>
          </w:tcPr>
          <w:p/>
        </w:tc>
        <w:tc>
          <w:tcPr>
            <w:tcW w:w="1669" w:type="dxa"/>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1531" w:type="dxa"/>
            <w:tcBorders>
              <w:top w:val="single" w:color="000000" w:sz="4" w:space="0"/>
              <w:left w:val="single" w:color="000000" w:sz="4" w:space="0"/>
              <w:bottom w:val="single" w:color="000000" w:sz="4" w:space="0"/>
              <w:right w:val="single" w:color="000000" w:sz="4" w:space="0"/>
            </w:tcBorders>
          </w:tcPr>
          <w:p/>
        </w:tc>
        <w:tc>
          <w:tcPr>
            <w:tcW w:w="1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804" w:hRule="exact"/>
        </w:trPr>
        <w:tc>
          <w:tcPr>
            <w:tcW w:w="985" w:type="dxa"/>
            <w:tcBorders>
              <w:top w:val="single" w:color="000000" w:sz="4" w:space="0"/>
              <w:left w:val="single" w:color="000000" w:sz="4" w:space="0"/>
              <w:bottom w:val="single" w:color="000000" w:sz="4" w:space="0"/>
              <w:right w:val="single" w:color="000000" w:sz="4" w:space="0"/>
            </w:tcBorders>
          </w:tcPr>
          <w:p/>
        </w:tc>
        <w:tc>
          <w:tcPr>
            <w:tcW w:w="1539" w:type="dxa"/>
            <w:tcBorders>
              <w:top w:val="single" w:color="000000" w:sz="4" w:space="0"/>
              <w:left w:val="single" w:color="000000" w:sz="4" w:space="0"/>
              <w:bottom w:val="single" w:color="000000" w:sz="4" w:space="0"/>
              <w:right w:val="single" w:color="000000" w:sz="4" w:space="0"/>
            </w:tcBorders>
          </w:tcPr>
          <w:p/>
        </w:tc>
        <w:tc>
          <w:tcPr>
            <w:tcW w:w="1671" w:type="dxa"/>
            <w:tcBorders>
              <w:top w:val="single" w:color="000000" w:sz="4" w:space="0"/>
              <w:left w:val="single" w:color="000000" w:sz="4" w:space="0"/>
              <w:bottom w:val="single" w:color="000000" w:sz="4" w:space="0"/>
              <w:right w:val="single" w:color="000000" w:sz="4" w:space="0"/>
            </w:tcBorders>
          </w:tcPr>
          <w:p/>
        </w:tc>
        <w:tc>
          <w:tcPr>
            <w:tcW w:w="1669" w:type="dxa"/>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1531" w:type="dxa"/>
            <w:tcBorders>
              <w:top w:val="single" w:color="000000" w:sz="4" w:space="0"/>
              <w:left w:val="single" w:color="000000" w:sz="4" w:space="0"/>
              <w:bottom w:val="single" w:color="000000" w:sz="4" w:space="0"/>
              <w:right w:val="single" w:color="000000" w:sz="4" w:space="0"/>
            </w:tcBorders>
          </w:tcPr>
          <w:p/>
        </w:tc>
        <w:tc>
          <w:tcPr>
            <w:tcW w:w="1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804" w:hRule="exact"/>
        </w:trPr>
        <w:tc>
          <w:tcPr>
            <w:tcW w:w="985" w:type="dxa"/>
            <w:tcBorders>
              <w:top w:val="single" w:color="000000" w:sz="4" w:space="0"/>
              <w:left w:val="single" w:color="000000" w:sz="4" w:space="0"/>
              <w:bottom w:val="single" w:color="000000" w:sz="4" w:space="0"/>
              <w:right w:val="single" w:color="000000" w:sz="4" w:space="0"/>
            </w:tcBorders>
          </w:tcPr>
          <w:p/>
        </w:tc>
        <w:tc>
          <w:tcPr>
            <w:tcW w:w="1539" w:type="dxa"/>
            <w:tcBorders>
              <w:top w:val="single" w:color="000000" w:sz="4" w:space="0"/>
              <w:left w:val="single" w:color="000000" w:sz="4" w:space="0"/>
              <w:bottom w:val="single" w:color="000000" w:sz="4" w:space="0"/>
              <w:right w:val="single" w:color="000000" w:sz="4" w:space="0"/>
            </w:tcBorders>
          </w:tcPr>
          <w:p/>
        </w:tc>
        <w:tc>
          <w:tcPr>
            <w:tcW w:w="1671" w:type="dxa"/>
            <w:tcBorders>
              <w:top w:val="single" w:color="000000" w:sz="4" w:space="0"/>
              <w:left w:val="single" w:color="000000" w:sz="4" w:space="0"/>
              <w:bottom w:val="single" w:color="000000" w:sz="4" w:space="0"/>
              <w:right w:val="single" w:color="000000" w:sz="4" w:space="0"/>
            </w:tcBorders>
          </w:tcPr>
          <w:p/>
        </w:tc>
        <w:tc>
          <w:tcPr>
            <w:tcW w:w="1669" w:type="dxa"/>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1531" w:type="dxa"/>
            <w:tcBorders>
              <w:top w:val="single" w:color="000000" w:sz="4" w:space="0"/>
              <w:left w:val="single" w:color="000000" w:sz="4" w:space="0"/>
              <w:bottom w:val="single" w:color="000000" w:sz="4" w:space="0"/>
              <w:right w:val="single" w:color="000000" w:sz="4" w:space="0"/>
            </w:tcBorders>
          </w:tcPr>
          <w:p/>
        </w:tc>
        <w:tc>
          <w:tcPr>
            <w:tcW w:w="1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804" w:hRule="exact"/>
        </w:trPr>
        <w:tc>
          <w:tcPr>
            <w:tcW w:w="985" w:type="dxa"/>
            <w:tcBorders>
              <w:top w:val="single" w:color="000000" w:sz="4" w:space="0"/>
              <w:left w:val="single" w:color="000000" w:sz="4" w:space="0"/>
              <w:bottom w:val="single" w:color="000000" w:sz="4" w:space="0"/>
              <w:right w:val="single" w:color="000000" w:sz="4" w:space="0"/>
            </w:tcBorders>
          </w:tcPr>
          <w:p/>
        </w:tc>
        <w:tc>
          <w:tcPr>
            <w:tcW w:w="1539" w:type="dxa"/>
            <w:tcBorders>
              <w:top w:val="single" w:color="000000" w:sz="4" w:space="0"/>
              <w:left w:val="single" w:color="000000" w:sz="4" w:space="0"/>
              <w:bottom w:val="single" w:color="000000" w:sz="4" w:space="0"/>
              <w:right w:val="single" w:color="000000" w:sz="4" w:space="0"/>
            </w:tcBorders>
          </w:tcPr>
          <w:p/>
        </w:tc>
        <w:tc>
          <w:tcPr>
            <w:tcW w:w="1671" w:type="dxa"/>
            <w:tcBorders>
              <w:top w:val="single" w:color="000000" w:sz="4" w:space="0"/>
              <w:left w:val="single" w:color="000000" w:sz="4" w:space="0"/>
              <w:bottom w:val="single" w:color="000000" w:sz="4" w:space="0"/>
              <w:right w:val="single" w:color="000000" w:sz="4" w:space="0"/>
            </w:tcBorders>
          </w:tcPr>
          <w:p/>
        </w:tc>
        <w:tc>
          <w:tcPr>
            <w:tcW w:w="1669" w:type="dxa"/>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1531" w:type="dxa"/>
            <w:tcBorders>
              <w:top w:val="single" w:color="000000" w:sz="4" w:space="0"/>
              <w:left w:val="single" w:color="000000" w:sz="4" w:space="0"/>
              <w:bottom w:val="single" w:color="000000" w:sz="4" w:space="0"/>
              <w:right w:val="single" w:color="000000" w:sz="4" w:space="0"/>
            </w:tcBorders>
          </w:tcPr>
          <w:p/>
        </w:tc>
        <w:tc>
          <w:tcPr>
            <w:tcW w:w="1037" w:type="dxa"/>
            <w:tcBorders>
              <w:top w:val="single" w:color="000000" w:sz="4" w:space="0"/>
              <w:left w:val="single" w:color="000000" w:sz="4" w:space="0"/>
              <w:bottom w:val="single" w:color="000000" w:sz="4" w:space="0"/>
              <w:right w:val="single" w:color="000000" w:sz="4" w:space="0"/>
            </w:tcBorders>
          </w:tcPr>
          <w:p/>
        </w:tc>
      </w:tr>
    </w:tbl>
    <w:p>
      <w:pPr>
        <w:pStyle w:val="10"/>
        <w:spacing w:before="40" w:line="307" w:lineRule="auto"/>
        <w:ind w:left="632"/>
        <w:rPr>
          <w:lang w:eastAsia="zh-CN"/>
        </w:rPr>
      </w:pPr>
      <w:r>
        <w:rPr>
          <w:spacing w:val="-3"/>
          <w:lang w:eastAsia="zh-CN"/>
        </w:rPr>
        <w:t>注：1.如响应文件与磋商文件的要求存在正偏离，请在“偏差内容”处填写“正偏离”。</w:t>
      </w:r>
      <w:r>
        <w:rPr>
          <w:spacing w:val="-81"/>
          <w:lang w:eastAsia="zh-CN"/>
        </w:rPr>
        <w:t xml:space="preserve"> </w:t>
      </w:r>
      <w:r>
        <w:rPr>
          <w:lang w:eastAsia="zh-CN"/>
        </w:rPr>
        <w:t>2.如响应文件与磋商文件的要求存在负偏离，请在“偏差内容”处填写“负偏离”。</w:t>
      </w:r>
    </w:p>
    <w:p>
      <w:pPr>
        <w:spacing w:before="17" w:line="307" w:lineRule="auto"/>
        <w:ind w:left="632" w:right="270" w:firstLine="240"/>
        <w:rPr>
          <w:rFonts w:ascii="宋体" w:hAnsi="宋体" w:eastAsia="宋体" w:cs="宋体"/>
          <w:sz w:val="24"/>
          <w:szCs w:val="24"/>
          <w:lang w:eastAsia="zh-CN"/>
        </w:rPr>
      </w:pPr>
      <w:r>
        <w:rPr>
          <w:rFonts w:ascii="宋体" w:hAnsi="宋体" w:eastAsia="宋体" w:cs="宋体"/>
          <w:b/>
          <w:bCs/>
          <w:sz w:val="24"/>
          <w:szCs w:val="24"/>
          <w:lang w:eastAsia="zh-CN"/>
        </w:rPr>
        <w:t>本不接受负偏离。</w:t>
      </w:r>
      <w:r>
        <w:rPr>
          <w:rFonts w:ascii="宋体" w:hAnsi="宋体" w:eastAsia="宋体" w:cs="宋体"/>
          <w:b/>
          <w:bCs/>
          <w:w w:val="99"/>
          <w:sz w:val="24"/>
          <w:szCs w:val="24"/>
          <w:lang w:eastAsia="zh-CN"/>
        </w:rPr>
        <w:t xml:space="preserve"> </w:t>
      </w:r>
      <w:r>
        <w:rPr>
          <w:rFonts w:ascii="宋体" w:hAnsi="宋体" w:eastAsia="宋体" w:cs="宋体"/>
          <w:sz w:val="24"/>
          <w:szCs w:val="24"/>
          <w:lang w:eastAsia="zh-CN"/>
        </w:rPr>
        <w:t>3.如响应文件与磋商文件的要求无偏离，请在“偏差内容”处填写“无”。</w:t>
      </w:r>
    </w:p>
    <w:p>
      <w:pPr>
        <w:pStyle w:val="10"/>
        <w:spacing w:before="19" w:line="609" w:lineRule="auto"/>
        <w:ind w:left="632" w:right="3895"/>
        <w:rPr>
          <w:lang w:eastAsia="zh-CN"/>
        </w:rPr>
      </w:pPr>
      <w:r>
        <w:rPr>
          <w:lang w:eastAsia="zh-CN"/>
        </w:rPr>
        <w:t>4.本表可以按相同格式扩展； 供应商名称（公章）： 法定代表人或授权代表（签字或盖章）：</w:t>
      </w:r>
    </w:p>
    <w:p>
      <w:pPr>
        <w:pStyle w:val="10"/>
        <w:spacing w:before="118"/>
        <w:ind w:left="0" w:right="231"/>
        <w:jc w:val="right"/>
        <w:rPr>
          <w:lang w:eastAsia="zh-CN"/>
        </w:rPr>
      </w:pPr>
      <w:r>
        <w:rPr>
          <w:lang w:eastAsia="zh-CN"/>
        </w:rPr>
        <w:t>年 月 日</w:t>
      </w:r>
    </w:p>
    <w:p>
      <w:pPr>
        <w:jc w:val="right"/>
        <w:rPr>
          <w:lang w:eastAsia="zh-CN"/>
        </w:rPr>
        <w:sectPr>
          <w:type w:val="continuous"/>
          <w:pgSz w:w="11910" w:h="16840"/>
          <w:pgMar w:top="1580" w:right="900" w:bottom="280" w:left="980" w:header="720" w:footer="720" w:gutter="0"/>
          <w:cols w:space="720" w:num="1"/>
        </w:sectPr>
      </w:pPr>
    </w:p>
    <w:p>
      <w:pPr>
        <w:pStyle w:val="7"/>
        <w:spacing w:line="354" w:lineRule="exact"/>
        <w:ind w:left="292" w:right="233" w:hanging="120"/>
        <w:rPr>
          <w:b w:val="0"/>
          <w:bCs w:val="0"/>
          <w:lang w:eastAsia="zh-CN"/>
        </w:rPr>
      </w:pPr>
      <w:bookmarkStart w:id="120" w:name="附件十七：经营业绩一览表"/>
      <w:bookmarkEnd w:id="120"/>
      <w:r>
        <w:rPr>
          <w:lang w:eastAsia="zh-CN"/>
        </w:rPr>
        <w:t>附件</w:t>
      </w:r>
      <w:r>
        <w:rPr>
          <w:rFonts w:hint="eastAsia"/>
          <w:lang w:eastAsia="zh-CN"/>
        </w:rPr>
        <w:t>二十一</w:t>
      </w:r>
      <w:r>
        <w:rPr>
          <w:lang w:eastAsia="zh-CN"/>
        </w:rPr>
        <w:t>：经营业绩一览表</w:t>
      </w:r>
    </w:p>
    <w:p>
      <w:pPr>
        <w:spacing w:before="7"/>
        <w:rPr>
          <w:rFonts w:ascii="宋体" w:hAnsi="宋体" w:eastAsia="宋体" w:cs="宋体"/>
          <w:b/>
          <w:bCs/>
          <w:sz w:val="37"/>
          <w:szCs w:val="37"/>
          <w:lang w:eastAsia="zh-CN"/>
        </w:rPr>
      </w:pPr>
    </w:p>
    <w:p>
      <w:pPr>
        <w:pStyle w:val="10"/>
        <w:spacing w:before="0" w:line="381" w:lineRule="auto"/>
        <w:ind w:left="292" w:right="8192"/>
      </w:pPr>
      <w:r>
        <w:t>项目名称： 项目编号：</w:t>
      </w:r>
    </w:p>
    <w:p>
      <w:pPr>
        <w:spacing w:before="1"/>
        <w:rPr>
          <w:rFonts w:ascii="宋体" w:hAnsi="宋体" w:eastAsia="宋体" w:cs="宋体"/>
          <w:sz w:val="18"/>
          <w:szCs w:val="18"/>
        </w:rPr>
      </w:pPr>
    </w:p>
    <w:tbl>
      <w:tblPr>
        <w:tblStyle w:val="18"/>
        <w:tblW w:w="9765" w:type="dxa"/>
        <w:tblInd w:w="106" w:type="dxa"/>
        <w:tblLayout w:type="fixed"/>
        <w:tblCellMar>
          <w:top w:w="0" w:type="dxa"/>
          <w:left w:w="0" w:type="dxa"/>
          <w:bottom w:w="0" w:type="dxa"/>
          <w:right w:w="0" w:type="dxa"/>
        </w:tblCellMar>
      </w:tblPr>
      <w:tblGrid>
        <w:gridCol w:w="1225"/>
        <w:gridCol w:w="953"/>
        <w:gridCol w:w="956"/>
        <w:gridCol w:w="991"/>
        <w:gridCol w:w="785"/>
        <w:gridCol w:w="767"/>
        <w:gridCol w:w="1440"/>
        <w:gridCol w:w="1208"/>
        <w:gridCol w:w="1440"/>
      </w:tblGrid>
      <w:tr>
        <w:tblPrEx>
          <w:tblLayout w:type="fixed"/>
          <w:tblCellMar>
            <w:top w:w="0" w:type="dxa"/>
            <w:left w:w="0" w:type="dxa"/>
            <w:bottom w:w="0" w:type="dxa"/>
            <w:right w:w="0" w:type="dxa"/>
          </w:tblCellMar>
        </w:tblPrEx>
        <w:trPr>
          <w:trHeight w:val="980" w:hRule="exact"/>
        </w:trPr>
        <w:tc>
          <w:tcPr>
            <w:tcW w:w="1225" w:type="dxa"/>
            <w:tcBorders>
              <w:top w:val="single" w:color="000000" w:sz="4" w:space="0"/>
              <w:left w:val="single" w:color="000000" w:sz="4" w:space="0"/>
              <w:bottom w:val="single" w:color="000000" w:sz="4" w:space="0"/>
              <w:right w:val="single" w:color="000000" w:sz="4" w:space="0"/>
            </w:tcBorders>
          </w:tcPr>
          <w:p>
            <w:pPr>
              <w:pStyle w:val="20"/>
              <w:spacing w:before="1"/>
              <w:rPr>
                <w:rFonts w:ascii="宋体" w:hAnsi="宋体" w:eastAsia="宋体" w:cs="宋体"/>
              </w:rPr>
            </w:pPr>
          </w:p>
          <w:p>
            <w:pPr>
              <w:pStyle w:val="20"/>
              <w:ind w:left="126"/>
              <w:rPr>
                <w:rFonts w:ascii="宋体" w:hAnsi="宋体" w:eastAsia="宋体" w:cs="宋体"/>
                <w:sz w:val="24"/>
                <w:szCs w:val="24"/>
              </w:rPr>
            </w:pPr>
            <w:r>
              <w:rPr>
                <w:rFonts w:ascii="宋体" w:hAnsi="宋体" w:eastAsia="宋体" w:cs="宋体"/>
                <w:sz w:val="24"/>
                <w:szCs w:val="24"/>
              </w:rPr>
              <w:t>项目名称</w:t>
            </w:r>
          </w:p>
        </w:tc>
        <w:tc>
          <w:tcPr>
            <w:tcW w:w="953" w:type="dxa"/>
            <w:tcBorders>
              <w:top w:val="single" w:color="000000" w:sz="4" w:space="0"/>
              <w:left w:val="single" w:color="000000" w:sz="4" w:space="0"/>
              <w:bottom w:val="single" w:color="000000" w:sz="4" w:space="0"/>
              <w:right w:val="single" w:color="000000" w:sz="4" w:space="0"/>
            </w:tcBorders>
          </w:tcPr>
          <w:p>
            <w:pPr>
              <w:pStyle w:val="20"/>
              <w:spacing w:before="164" w:line="312" w:lineRule="exact"/>
              <w:ind w:left="137" w:right="323"/>
              <w:rPr>
                <w:rFonts w:ascii="宋体" w:hAnsi="宋体" w:eastAsia="宋体" w:cs="宋体"/>
                <w:sz w:val="24"/>
                <w:szCs w:val="24"/>
              </w:rPr>
            </w:pPr>
            <w:r>
              <w:rPr>
                <w:rFonts w:ascii="宋体" w:hAnsi="宋体" w:eastAsia="宋体" w:cs="宋体"/>
                <w:sz w:val="24"/>
                <w:szCs w:val="24"/>
              </w:rPr>
              <w:t>项目 简介</w:t>
            </w:r>
          </w:p>
        </w:tc>
        <w:tc>
          <w:tcPr>
            <w:tcW w:w="956" w:type="dxa"/>
            <w:tcBorders>
              <w:top w:val="single" w:color="000000" w:sz="4" w:space="0"/>
              <w:left w:val="single" w:color="000000" w:sz="4" w:space="0"/>
              <w:bottom w:val="single" w:color="000000" w:sz="4" w:space="0"/>
              <w:right w:val="single" w:color="000000" w:sz="4" w:space="0"/>
            </w:tcBorders>
          </w:tcPr>
          <w:p>
            <w:pPr>
              <w:pStyle w:val="20"/>
              <w:spacing w:before="1"/>
              <w:rPr>
                <w:rFonts w:ascii="宋体" w:hAnsi="宋体" w:eastAsia="宋体" w:cs="宋体"/>
              </w:rPr>
            </w:pPr>
          </w:p>
          <w:p>
            <w:pPr>
              <w:pStyle w:val="20"/>
              <w:ind w:left="139"/>
              <w:rPr>
                <w:rFonts w:ascii="宋体" w:hAnsi="宋体" w:eastAsia="宋体" w:cs="宋体"/>
                <w:sz w:val="24"/>
                <w:szCs w:val="24"/>
              </w:rPr>
            </w:pPr>
            <w:r>
              <w:rPr>
                <w:rFonts w:ascii="宋体" w:hAnsi="宋体" w:eastAsia="宋体" w:cs="宋体"/>
                <w:sz w:val="24"/>
                <w:szCs w:val="24"/>
              </w:rPr>
              <w:t>数量</w:t>
            </w:r>
          </w:p>
        </w:tc>
        <w:tc>
          <w:tcPr>
            <w:tcW w:w="991" w:type="dxa"/>
            <w:tcBorders>
              <w:top w:val="single" w:color="000000" w:sz="4" w:space="0"/>
              <w:left w:val="single" w:color="000000" w:sz="4" w:space="0"/>
              <w:bottom w:val="single" w:color="000000" w:sz="4" w:space="0"/>
              <w:right w:val="single" w:color="000000" w:sz="4" w:space="0"/>
            </w:tcBorders>
          </w:tcPr>
          <w:p>
            <w:pPr>
              <w:pStyle w:val="20"/>
              <w:spacing w:before="164" w:line="312" w:lineRule="exact"/>
              <w:ind w:left="278" w:right="341" w:hanging="120"/>
              <w:rPr>
                <w:rFonts w:ascii="宋体" w:hAnsi="宋体" w:eastAsia="宋体" w:cs="宋体"/>
                <w:sz w:val="24"/>
                <w:szCs w:val="24"/>
              </w:rPr>
            </w:pPr>
            <w:r>
              <w:rPr>
                <w:rFonts w:ascii="宋体" w:hAnsi="宋体" w:eastAsia="宋体" w:cs="宋体"/>
                <w:sz w:val="24"/>
                <w:szCs w:val="24"/>
              </w:rPr>
              <w:t>供货 期</w:t>
            </w:r>
          </w:p>
        </w:tc>
        <w:tc>
          <w:tcPr>
            <w:tcW w:w="785" w:type="dxa"/>
            <w:tcBorders>
              <w:top w:val="single" w:color="000000" w:sz="4" w:space="0"/>
              <w:left w:val="single" w:color="000000" w:sz="4" w:space="0"/>
              <w:bottom w:val="single" w:color="000000" w:sz="4" w:space="0"/>
              <w:right w:val="single" w:color="000000" w:sz="4" w:space="0"/>
            </w:tcBorders>
          </w:tcPr>
          <w:p>
            <w:pPr>
              <w:pStyle w:val="20"/>
              <w:spacing w:before="12" w:line="310" w:lineRule="exact"/>
              <w:ind w:left="187" w:right="106"/>
              <w:rPr>
                <w:rFonts w:ascii="宋体" w:hAnsi="宋体" w:eastAsia="宋体" w:cs="宋体"/>
                <w:sz w:val="24"/>
                <w:szCs w:val="24"/>
              </w:rPr>
            </w:pPr>
            <w:r>
              <w:rPr>
                <w:rFonts w:ascii="宋体" w:hAnsi="宋体" w:eastAsia="宋体" w:cs="宋体"/>
                <w:sz w:val="24"/>
                <w:szCs w:val="24"/>
              </w:rPr>
              <w:t>合同 签订</w:t>
            </w:r>
          </w:p>
          <w:p>
            <w:pPr>
              <w:pStyle w:val="20"/>
              <w:spacing w:line="284" w:lineRule="exact"/>
              <w:ind w:left="187"/>
              <w:rPr>
                <w:rFonts w:ascii="宋体" w:hAnsi="宋体" w:eastAsia="宋体" w:cs="宋体"/>
                <w:sz w:val="24"/>
                <w:szCs w:val="24"/>
              </w:rPr>
            </w:pPr>
            <w:r>
              <w:rPr>
                <w:rFonts w:ascii="宋体" w:hAnsi="宋体" w:eastAsia="宋体" w:cs="宋体"/>
                <w:sz w:val="24"/>
                <w:szCs w:val="24"/>
              </w:rPr>
              <w:t>时间</w:t>
            </w:r>
          </w:p>
        </w:tc>
        <w:tc>
          <w:tcPr>
            <w:tcW w:w="767" w:type="dxa"/>
            <w:tcBorders>
              <w:top w:val="single" w:color="000000" w:sz="4" w:space="0"/>
              <w:left w:val="single" w:color="000000" w:sz="4" w:space="0"/>
              <w:bottom w:val="single" w:color="000000" w:sz="4" w:space="0"/>
              <w:right w:val="single" w:color="000000" w:sz="4" w:space="0"/>
            </w:tcBorders>
          </w:tcPr>
          <w:p>
            <w:pPr>
              <w:pStyle w:val="20"/>
              <w:spacing w:before="164" w:line="312" w:lineRule="exact"/>
              <w:ind w:left="220" w:right="54"/>
              <w:rPr>
                <w:rFonts w:ascii="宋体" w:hAnsi="宋体" w:eastAsia="宋体" w:cs="宋体"/>
                <w:sz w:val="24"/>
                <w:szCs w:val="24"/>
              </w:rPr>
            </w:pPr>
            <w:r>
              <w:rPr>
                <w:rFonts w:ascii="宋体" w:hAnsi="宋体" w:eastAsia="宋体" w:cs="宋体"/>
                <w:sz w:val="24"/>
                <w:szCs w:val="24"/>
              </w:rPr>
              <w:t>合同 金额</w:t>
            </w:r>
          </w:p>
        </w:tc>
        <w:tc>
          <w:tcPr>
            <w:tcW w:w="1440" w:type="dxa"/>
            <w:tcBorders>
              <w:top w:val="single" w:color="000000" w:sz="4" w:space="0"/>
              <w:left w:val="single" w:color="000000" w:sz="4" w:space="0"/>
              <w:bottom w:val="single" w:color="000000" w:sz="4" w:space="0"/>
              <w:right w:val="single" w:color="000000" w:sz="4" w:space="0"/>
            </w:tcBorders>
          </w:tcPr>
          <w:p>
            <w:pPr>
              <w:pStyle w:val="20"/>
              <w:spacing w:before="1"/>
              <w:rPr>
                <w:rFonts w:ascii="宋体" w:hAnsi="宋体" w:eastAsia="宋体" w:cs="宋体"/>
              </w:rPr>
            </w:pPr>
          </w:p>
          <w:p>
            <w:pPr>
              <w:pStyle w:val="20"/>
              <w:ind w:left="140"/>
              <w:rPr>
                <w:rFonts w:ascii="宋体" w:hAnsi="宋体" w:eastAsia="宋体" w:cs="宋体"/>
                <w:sz w:val="24"/>
                <w:szCs w:val="24"/>
              </w:rPr>
            </w:pPr>
            <w:r>
              <w:rPr>
                <w:rFonts w:ascii="宋体" w:hAnsi="宋体" w:eastAsia="宋体" w:cs="宋体"/>
                <w:sz w:val="24"/>
                <w:szCs w:val="24"/>
              </w:rPr>
              <w:t>购买单位</w:t>
            </w:r>
          </w:p>
        </w:tc>
        <w:tc>
          <w:tcPr>
            <w:tcW w:w="1208" w:type="dxa"/>
            <w:tcBorders>
              <w:top w:val="single" w:color="000000" w:sz="4" w:space="0"/>
              <w:left w:val="single" w:color="000000" w:sz="4" w:space="0"/>
              <w:bottom w:val="single" w:color="000000" w:sz="4" w:space="0"/>
              <w:right w:val="single" w:color="000000" w:sz="4" w:space="0"/>
            </w:tcBorders>
          </w:tcPr>
          <w:p>
            <w:pPr>
              <w:pStyle w:val="20"/>
              <w:spacing w:before="1"/>
              <w:rPr>
                <w:rFonts w:ascii="宋体" w:hAnsi="宋体" w:eastAsia="宋体" w:cs="宋体"/>
              </w:rPr>
            </w:pPr>
          </w:p>
          <w:p>
            <w:pPr>
              <w:pStyle w:val="20"/>
              <w:ind w:left="144"/>
              <w:rPr>
                <w:rFonts w:ascii="宋体" w:hAnsi="宋体" w:eastAsia="宋体" w:cs="宋体"/>
                <w:sz w:val="24"/>
                <w:szCs w:val="24"/>
              </w:rPr>
            </w:pPr>
            <w:r>
              <w:rPr>
                <w:rFonts w:ascii="宋体" w:hAnsi="宋体" w:eastAsia="宋体" w:cs="宋体"/>
                <w:sz w:val="24"/>
                <w:szCs w:val="24"/>
              </w:rPr>
              <w:t>联系人</w:t>
            </w:r>
          </w:p>
        </w:tc>
        <w:tc>
          <w:tcPr>
            <w:tcW w:w="1440" w:type="dxa"/>
            <w:tcBorders>
              <w:top w:val="single" w:color="000000" w:sz="4" w:space="0"/>
              <w:left w:val="single" w:color="000000" w:sz="4" w:space="0"/>
              <w:bottom w:val="single" w:color="000000" w:sz="4" w:space="0"/>
              <w:right w:val="single" w:color="000000" w:sz="4" w:space="0"/>
            </w:tcBorders>
          </w:tcPr>
          <w:p>
            <w:pPr>
              <w:pStyle w:val="20"/>
              <w:spacing w:before="1"/>
              <w:rPr>
                <w:rFonts w:ascii="宋体" w:hAnsi="宋体" w:eastAsia="宋体" w:cs="宋体"/>
              </w:rPr>
            </w:pPr>
          </w:p>
          <w:p>
            <w:pPr>
              <w:pStyle w:val="20"/>
              <w:ind w:left="141"/>
              <w:rPr>
                <w:rFonts w:ascii="宋体" w:hAnsi="宋体" w:eastAsia="宋体" w:cs="宋体"/>
                <w:sz w:val="24"/>
                <w:szCs w:val="24"/>
              </w:rPr>
            </w:pPr>
            <w:r>
              <w:rPr>
                <w:rFonts w:ascii="宋体" w:hAnsi="宋体" w:eastAsia="宋体" w:cs="宋体"/>
                <w:sz w:val="24"/>
                <w:szCs w:val="24"/>
              </w:rPr>
              <w:t>联系电话</w:t>
            </w:r>
          </w:p>
        </w:tc>
      </w:tr>
      <w:tr>
        <w:tblPrEx>
          <w:tblLayout w:type="fixed"/>
          <w:tblCellMar>
            <w:top w:w="0" w:type="dxa"/>
            <w:left w:w="0" w:type="dxa"/>
            <w:bottom w:w="0" w:type="dxa"/>
            <w:right w:w="0" w:type="dxa"/>
          </w:tblCellMar>
        </w:tblPrEx>
        <w:trPr>
          <w:trHeight w:val="595"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95"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96"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96"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595"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96"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95"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96"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95"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96"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595"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96"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95"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96" w:hRule="exact"/>
        </w:trPr>
        <w:tc>
          <w:tcPr>
            <w:tcW w:w="1225" w:type="dxa"/>
            <w:tcBorders>
              <w:top w:val="single" w:color="000000" w:sz="4" w:space="0"/>
              <w:left w:val="single" w:color="000000" w:sz="4" w:space="0"/>
              <w:bottom w:val="single" w:color="000000" w:sz="4" w:space="0"/>
              <w:right w:val="single" w:color="000000" w:sz="4" w:space="0"/>
            </w:tcBorders>
          </w:tcPr>
          <w:p/>
        </w:tc>
        <w:tc>
          <w:tcPr>
            <w:tcW w:w="953" w:type="dxa"/>
            <w:tcBorders>
              <w:top w:val="single" w:color="000000" w:sz="4" w:space="0"/>
              <w:left w:val="single" w:color="000000" w:sz="4" w:space="0"/>
              <w:bottom w:val="single" w:color="000000" w:sz="4" w:space="0"/>
              <w:right w:val="single" w:color="000000" w:sz="4" w:space="0"/>
            </w:tcBorders>
          </w:tcPr>
          <w:p/>
        </w:tc>
        <w:tc>
          <w:tcPr>
            <w:tcW w:w="956"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76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bl>
    <w:p>
      <w:pPr>
        <w:pStyle w:val="10"/>
        <w:spacing w:before="39" w:line="307" w:lineRule="auto"/>
        <w:ind w:left="652" w:right="3408"/>
        <w:rPr>
          <w:lang w:eastAsia="zh-CN"/>
        </w:rPr>
      </w:pPr>
      <w:r>
        <w:rPr>
          <w:lang w:eastAsia="zh-CN"/>
        </w:rPr>
        <w:t>注：1、表后附合同、中标通知书等证明材料。</w:t>
      </w:r>
    </w:p>
    <w:p>
      <w:pPr>
        <w:pStyle w:val="10"/>
        <w:spacing w:before="39" w:line="307" w:lineRule="auto"/>
        <w:ind w:left="652" w:right="3408"/>
        <w:rPr>
          <w:lang w:eastAsia="zh-CN"/>
        </w:rPr>
      </w:pPr>
      <w:r>
        <w:rPr>
          <w:lang w:eastAsia="zh-CN"/>
        </w:rPr>
        <w:t xml:space="preserve"> 2、本表可按同样格式扩展。</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10"/>
        <w:tabs>
          <w:tab w:val="left" w:pos="719"/>
          <w:tab w:val="left" w:pos="1439"/>
        </w:tabs>
        <w:spacing w:before="172"/>
        <w:ind w:left="0" w:right="171"/>
        <w:jc w:val="right"/>
        <w:rPr>
          <w:lang w:eastAsia="zh-CN"/>
        </w:rPr>
      </w:pPr>
      <w:r>
        <w:rPr>
          <w:lang w:eastAsia="zh-CN"/>
        </w:rPr>
        <w:t>年</w:t>
      </w:r>
      <w:r>
        <w:rPr>
          <w:lang w:eastAsia="zh-CN"/>
        </w:rPr>
        <w:tab/>
      </w:r>
      <w:r>
        <w:rPr>
          <w:lang w:eastAsia="zh-CN"/>
        </w:rPr>
        <w:t>月</w:t>
      </w:r>
      <w:r>
        <w:rPr>
          <w:lang w:eastAsia="zh-CN"/>
        </w:rPr>
        <w:tab/>
      </w:r>
      <w:r>
        <w:rPr>
          <w:lang w:eastAsia="zh-CN"/>
        </w:rPr>
        <w:t>日</w:t>
      </w:r>
    </w:p>
    <w:p>
      <w:pPr>
        <w:jc w:val="right"/>
        <w:rPr>
          <w:lang w:eastAsia="zh-CN"/>
        </w:rPr>
        <w:sectPr>
          <w:footerReference r:id="rId11" w:type="default"/>
          <w:pgSz w:w="11910" w:h="16840"/>
          <w:pgMar w:top="1220" w:right="960" w:bottom="1420" w:left="960" w:header="0" w:footer="1233" w:gutter="0"/>
          <w:pgNumType w:start="55"/>
          <w:cols w:space="720" w:num="1"/>
        </w:sectPr>
      </w:pPr>
    </w:p>
    <w:p>
      <w:pPr>
        <w:pStyle w:val="7"/>
        <w:spacing w:line="362" w:lineRule="exact"/>
        <w:ind w:left="120" w:right="2028"/>
        <w:rPr>
          <w:b w:val="0"/>
          <w:bCs w:val="0"/>
          <w:lang w:eastAsia="zh-CN"/>
        </w:rPr>
      </w:pPr>
      <w:bookmarkStart w:id="121" w:name="附件二十：供应商认为需要说明的其他内容附件二十一：证件清单格式"/>
      <w:bookmarkEnd w:id="121"/>
      <w:bookmarkStart w:id="122" w:name="附件十九：优惠条款及合理化建议"/>
      <w:bookmarkEnd w:id="122"/>
      <w:bookmarkStart w:id="123" w:name="附件十八：售后服务条款及承诺"/>
      <w:bookmarkEnd w:id="123"/>
      <w:r>
        <w:rPr>
          <w:lang w:eastAsia="zh-CN"/>
        </w:rPr>
        <w:t>附件二十</w:t>
      </w:r>
      <w:r>
        <w:rPr>
          <w:rFonts w:hint="eastAsia"/>
          <w:lang w:eastAsia="zh-CN"/>
        </w:rPr>
        <w:t>二</w:t>
      </w:r>
      <w:r>
        <w:rPr>
          <w:lang w:eastAsia="zh-CN"/>
        </w:rPr>
        <w:t>：供应商认为需要说明的其他内容</w:t>
      </w:r>
    </w:p>
    <w:p>
      <w:pPr>
        <w:spacing w:line="362" w:lineRule="exact"/>
        <w:rPr>
          <w:lang w:eastAsia="zh-CN"/>
        </w:rPr>
        <w:sectPr>
          <w:footerReference r:id="rId12" w:type="default"/>
          <w:pgSz w:w="11910" w:h="16840"/>
          <w:pgMar w:top="1420" w:right="1680" w:bottom="1380" w:left="1680" w:header="0" w:footer="1196" w:gutter="0"/>
          <w:cols w:space="720" w:num="1"/>
        </w:sectPr>
      </w:pPr>
    </w:p>
    <w:p>
      <w:pPr>
        <w:rPr>
          <w:lang w:eastAsia="zh-CN"/>
        </w:rPr>
        <w:sectPr>
          <w:type w:val="continuous"/>
          <w:pgSz w:w="11910" w:h="16840"/>
          <w:pgMar w:top="1580" w:right="980" w:bottom="280" w:left="980" w:header="720" w:footer="720" w:gutter="0"/>
          <w:cols w:space="720" w:num="1"/>
        </w:sectPr>
      </w:pPr>
    </w:p>
    <w:p>
      <w:pPr>
        <w:pStyle w:val="7"/>
        <w:spacing w:line="355" w:lineRule="exact"/>
        <w:ind w:left="240"/>
        <w:rPr>
          <w:b w:val="0"/>
          <w:bCs w:val="0"/>
        </w:rPr>
      </w:pPr>
      <w:r>
        <w:t>附件二十</w:t>
      </w:r>
      <w:r>
        <w:rPr>
          <w:rFonts w:hint="eastAsia"/>
          <w:lang w:eastAsia="zh-CN"/>
        </w:rPr>
        <w:t>三</w:t>
      </w:r>
      <w:r>
        <w:t>：封面格式</w:t>
      </w:r>
    </w:p>
    <w:p>
      <w:pPr>
        <w:spacing w:line="480" w:lineRule="exact"/>
        <w:jc w:val="both"/>
        <w:rPr>
          <w:rFonts w:ascii="宋体" w:hAnsi="宋体" w:eastAsia="宋体" w:cs="Times New Roman"/>
          <w:kern w:val="2"/>
          <w:sz w:val="21"/>
          <w:szCs w:val="24"/>
          <w:lang w:eastAsia="zh-CN"/>
        </w:rPr>
      </w:pPr>
      <w:r>
        <w:rPr>
          <w:rFonts w:hint="eastAsia" w:ascii="宋体" w:hAnsi="宋体" w:eastAsia="宋体" w:cs="Times New Roman"/>
          <w:kern w:val="2"/>
          <w:sz w:val="24"/>
          <w:szCs w:val="24"/>
          <w:lang w:eastAsia="zh-CN"/>
        </w:rPr>
        <w:t xml:space="preserve">           </w:t>
      </w:r>
      <w:r>
        <w:rPr>
          <w:rFonts w:hint="eastAsia" w:ascii="宋体" w:hAnsi="宋体" w:eastAsia="宋体" w:cs="Times New Roman"/>
          <w:b/>
          <w:kern w:val="2"/>
          <w:sz w:val="32"/>
          <w:szCs w:val="32"/>
          <w:lang w:eastAsia="zh-CN"/>
        </w:rPr>
        <w:t>封面格式：</w:t>
      </w:r>
    </w:p>
    <w:tbl>
      <w:tblPr>
        <w:tblStyle w:val="16"/>
        <w:tblpPr w:leftFromText="180" w:rightFromText="180" w:vertAnchor="text" w:horzAnchor="margin" w:tblpY="9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spacing w:line="480" w:lineRule="exact"/>
              <w:ind w:left="1830" w:leftChars="832" w:firstLine="470" w:firstLineChars="196"/>
              <w:rPr>
                <w:rFonts w:ascii="宋体" w:hAnsi="宋体" w:eastAsia="宋体" w:cs="Times New Roman"/>
                <w:kern w:val="2"/>
                <w:sz w:val="24"/>
                <w:szCs w:val="24"/>
                <w:lang w:eastAsia="zh-CN"/>
              </w:rPr>
            </w:pPr>
          </w:p>
          <w:p>
            <w:pPr>
              <w:spacing w:line="480" w:lineRule="exact"/>
              <w:jc w:val="center"/>
              <w:rPr>
                <w:rFonts w:ascii="宋体" w:hAnsi="宋体" w:eastAsia="宋体" w:cs="Times New Roman"/>
                <w:b/>
                <w:kern w:val="2"/>
                <w:sz w:val="32"/>
                <w:szCs w:val="32"/>
                <w:lang w:eastAsia="zh-CN"/>
              </w:rPr>
            </w:pPr>
            <w:r>
              <w:rPr>
                <w:rFonts w:hint="eastAsia" w:ascii="宋体" w:hAnsi="宋体" w:eastAsia="宋体" w:cs="Times New Roman"/>
                <w:b/>
                <w:kern w:val="2"/>
                <w:sz w:val="32"/>
                <w:szCs w:val="32"/>
                <w:lang w:eastAsia="zh-CN"/>
              </w:rPr>
              <w:t>响应文件</w:t>
            </w:r>
          </w:p>
          <w:p>
            <w:pPr>
              <w:spacing w:line="480" w:lineRule="exact"/>
              <w:jc w:val="center"/>
              <w:rPr>
                <w:rFonts w:ascii="宋体" w:hAnsi="宋体" w:eastAsia="宋体" w:cs="Times New Roman"/>
                <w:b/>
                <w:kern w:val="2"/>
                <w:sz w:val="32"/>
                <w:szCs w:val="32"/>
                <w:lang w:eastAsia="zh-CN"/>
              </w:rPr>
            </w:pPr>
            <w:r>
              <w:rPr>
                <w:rFonts w:hint="eastAsia" w:ascii="宋体" w:hAnsi="宋体" w:eastAsia="宋体" w:cs="Times New Roman"/>
                <w:b/>
                <w:kern w:val="2"/>
                <w:sz w:val="32"/>
                <w:szCs w:val="32"/>
                <w:lang w:eastAsia="zh-CN"/>
              </w:rPr>
              <w:t>（正本）</w:t>
            </w:r>
          </w:p>
          <w:p>
            <w:pPr>
              <w:spacing w:line="480" w:lineRule="exact"/>
              <w:ind w:left="1830" w:leftChars="832" w:firstLine="352" w:firstLineChars="196"/>
              <w:rPr>
                <w:rFonts w:ascii="宋体" w:hAnsi="宋体" w:eastAsia="宋体" w:cs="Times New Roman"/>
                <w:kern w:val="2"/>
                <w:sz w:val="18"/>
                <w:szCs w:val="24"/>
                <w:lang w:eastAsia="zh-CN"/>
              </w:rPr>
            </w:pP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项目编号：</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项目名称：</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供应商名称（公章）：</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地址：</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邮编：</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电话：</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传真：</w:t>
            </w:r>
          </w:p>
        </w:tc>
        <w:tc>
          <w:tcPr>
            <w:tcW w:w="4775" w:type="dxa"/>
          </w:tcPr>
          <w:p>
            <w:pPr>
              <w:spacing w:line="480" w:lineRule="exact"/>
              <w:ind w:left="1830" w:leftChars="832" w:firstLine="470" w:firstLineChars="196"/>
              <w:rPr>
                <w:rFonts w:ascii="宋体" w:hAnsi="宋体" w:eastAsia="宋体" w:cs="Times New Roman"/>
                <w:kern w:val="2"/>
                <w:sz w:val="24"/>
                <w:szCs w:val="24"/>
                <w:lang w:eastAsia="zh-CN"/>
              </w:rPr>
            </w:pPr>
          </w:p>
          <w:p>
            <w:pPr>
              <w:spacing w:line="480" w:lineRule="exact"/>
              <w:jc w:val="center"/>
              <w:rPr>
                <w:rFonts w:ascii="宋体" w:hAnsi="宋体" w:eastAsia="宋体" w:cs="Times New Roman"/>
                <w:b/>
                <w:kern w:val="2"/>
                <w:sz w:val="32"/>
                <w:szCs w:val="32"/>
                <w:lang w:eastAsia="zh-CN"/>
              </w:rPr>
            </w:pPr>
            <w:r>
              <w:rPr>
                <w:rFonts w:hint="eastAsia" w:ascii="宋体" w:hAnsi="宋体" w:eastAsia="宋体" w:cs="Times New Roman"/>
                <w:b/>
                <w:kern w:val="2"/>
                <w:sz w:val="32"/>
                <w:szCs w:val="32"/>
                <w:lang w:eastAsia="zh-CN"/>
              </w:rPr>
              <w:t>响应文件</w:t>
            </w:r>
          </w:p>
          <w:p>
            <w:pPr>
              <w:spacing w:line="480" w:lineRule="exact"/>
              <w:jc w:val="center"/>
              <w:rPr>
                <w:rFonts w:ascii="宋体" w:hAnsi="宋体" w:eastAsia="宋体" w:cs="Times New Roman"/>
                <w:b/>
                <w:kern w:val="2"/>
                <w:sz w:val="32"/>
                <w:szCs w:val="32"/>
                <w:lang w:eastAsia="zh-CN"/>
              </w:rPr>
            </w:pPr>
            <w:r>
              <w:rPr>
                <w:rFonts w:hint="eastAsia" w:ascii="宋体" w:hAnsi="宋体" w:eastAsia="宋体" w:cs="Times New Roman"/>
                <w:b/>
                <w:kern w:val="2"/>
                <w:sz w:val="32"/>
                <w:szCs w:val="32"/>
                <w:lang w:eastAsia="zh-CN"/>
              </w:rPr>
              <w:t>（副本）</w:t>
            </w:r>
          </w:p>
          <w:p>
            <w:pPr>
              <w:spacing w:line="480" w:lineRule="exact"/>
              <w:ind w:left="1830" w:leftChars="832" w:firstLine="352" w:firstLineChars="196"/>
              <w:rPr>
                <w:rFonts w:ascii="宋体" w:hAnsi="宋体" w:eastAsia="宋体" w:cs="Times New Roman"/>
                <w:kern w:val="2"/>
                <w:sz w:val="18"/>
                <w:szCs w:val="24"/>
                <w:lang w:eastAsia="zh-CN"/>
              </w:rPr>
            </w:pP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项目编号：</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项目名称：</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供应商名称（公章）：</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地址：</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邮编：</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电话：</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传真：</w:t>
            </w:r>
          </w:p>
        </w:tc>
      </w:tr>
    </w:tbl>
    <w:tbl>
      <w:tblPr>
        <w:tblStyle w:val="16"/>
        <w:tblpPr w:leftFromText="180" w:rightFromText="180" w:vertAnchor="text" w:horzAnchor="margin" w:tblpY="580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4285" w:type="dxa"/>
            <w:tcBorders>
              <w:bottom w:val="single" w:color="auto" w:sz="4" w:space="0"/>
            </w:tcBorders>
          </w:tcPr>
          <w:p>
            <w:pPr>
              <w:spacing w:line="480" w:lineRule="exact"/>
              <w:ind w:left="1830" w:leftChars="832" w:firstLine="590" w:firstLineChars="196"/>
              <w:jc w:val="center"/>
              <w:rPr>
                <w:rFonts w:ascii="宋体" w:hAnsi="宋体" w:eastAsia="宋体" w:cs="Times New Roman"/>
                <w:b/>
                <w:kern w:val="2"/>
                <w:sz w:val="30"/>
                <w:szCs w:val="24"/>
                <w:lang w:eastAsia="zh-CN"/>
              </w:rPr>
            </w:pPr>
          </w:p>
          <w:p>
            <w:pPr>
              <w:spacing w:line="480" w:lineRule="exact"/>
              <w:jc w:val="center"/>
              <w:rPr>
                <w:rFonts w:ascii="宋体" w:hAnsi="宋体" w:eastAsia="宋体" w:cs="Times New Roman"/>
                <w:kern w:val="2"/>
                <w:sz w:val="30"/>
                <w:szCs w:val="24"/>
                <w:lang w:eastAsia="zh-CN"/>
              </w:rPr>
            </w:pPr>
            <w:r>
              <w:rPr>
                <w:rFonts w:hint="eastAsia" w:ascii="宋体" w:hAnsi="宋体" w:eastAsia="宋体" w:cs="Times New Roman"/>
                <w:b/>
                <w:kern w:val="2"/>
                <w:sz w:val="32"/>
                <w:szCs w:val="32"/>
                <w:lang w:eastAsia="zh-CN"/>
              </w:rPr>
              <w:t>开标一览表</w:t>
            </w:r>
          </w:p>
          <w:p>
            <w:pPr>
              <w:spacing w:line="480" w:lineRule="exact"/>
              <w:ind w:left="1830" w:leftChars="832" w:firstLine="470" w:firstLineChars="196"/>
              <w:jc w:val="both"/>
              <w:rPr>
                <w:rFonts w:ascii="宋体" w:hAnsi="宋体" w:eastAsia="宋体" w:cs="Times New Roman"/>
                <w:kern w:val="2"/>
                <w:sz w:val="24"/>
                <w:szCs w:val="24"/>
                <w:lang w:eastAsia="zh-CN"/>
              </w:rPr>
            </w:pP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项目编号：</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项目名称：</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供应商名称（公章）：</w:t>
            </w:r>
          </w:p>
          <w:p>
            <w:pPr>
              <w:spacing w:line="480" w:lineRule="exact"/>
              <w:rPr>
                <w:rFonts w:ascii="宋体" w:hAnsi="宋体" w:eastAsia="宋体" w:cs="Times New Roman"/>
                <w:kern w:val="2"/>
                <w:sz w:val="24"/>
                <w:szCs w:val="24"/>
                <w:lang w:eastAsia="zh-CN"/>
              </w:rPr>
            </w:pPr>
          </w:p>
        </w:tc>
        <w:tc>
          <w:tcPr>
            <w:tcW w:w="4775" w:type="dxa"/>
            <w:tcBorders>
              <w:bottom w:val="single" w:color="auto" w:sz="4" w:space="0"/>
            </w:tcBorders>
          </w:tcPr>
          <w:p>
            <w:pPr>
              <w:jc w:val="center"/>
              <w:rPr>
                <w:rFonts w:ascii="宋体" w:hAnsi="宋体" w:eastAsia="宋体" w:cs="宋体"/>
                <w:b/>
                <w:kern w:val="2"/>
                <w:sz w:val="30"/>
                <w:szCs w:val="24"/>
                <w:lang w:eastAsia="zh-CN"/>
              </w:rPr>
            </w:pPr>
          </w:p>
          <w:p>
            <w:pPr>
              <w:spacing w:line="480" w:lineRule="exact"/>
              <w:jc w:val="center"/>
              <w:rPr>
                <w:rFonts w:ascii="宋体" w:hAnsi="宋体" w:eastAsia="宋体" w:cs="Times New Roman"/>
                <w:b/>
                <w:kern w:val="2"/>
                <w:sz w:val="32"/>
                <w:szCs w:val="32"/>
                <w:lang w:eastAsia="zh-CN"/>
              </w:rPr>
            </w:pPr>
            <w:r>
              <w:rPr>
                <w:rFonts w:hint="eastAsia" w:ascii="宋体" w:hAnsi="宋体" w:eastAsia="宋体" w:cs="Times New Roman"/>
                <w:b/>
                <w:kern w:val="2"/>
                <w:sz w:val="32"/>
                <w:szCs w:val="32"/>
                <w:lang w:eastAsia="zh-CN"/>
              </w:rPr>
              <w:t>电子文档</w:t>
            </w:r>
          </w:p>
          <w:p>
            <w:pPr>
              <w:ind w:left="1830" w:leftChars="832" w:firstLine="352" w:firstLineChars="196"/>
              <w:jc w:val="both"/>
              <w:rPr>
                <w:rFonts w:ascii="宋体" w:hAnsi="宋体" w:eastAsia="宋体" w:cs="宋体"/>
                <w:kern w:val="2"/>
                <w:sz w:val="18"/>
                <w:szCs w:val="24"/>
                <w:lang w:eastAsia="zh-CN"/>
              </w:rPr>
            </w:pPr>
          </w:p>
          <w:p>
            <w:pPr>
              <w:spacing w:line="480" w:lineRule="exact"/>
              <w:rPr>
                <w:rFonts w:ascii="宋体" w:hAnsi="宋体" w:eastAsia="宋体" w:cs="Times New Roman"/>
                <w:kern w:val="2"/>
                <w:sz w:val="24"/>
                <w:szCs w:val="24"/>
                <w:lang w:eastAsia="zh-CN"/>
              </w:rPr>
            </w:pP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项目编号：</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项目名称：</w:t>
            </w:r>
          </w:p>
          <w:p>
            <w:pPr>
              <w:spacing w:line="480" w:lineRule="exac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供应商名称（公章）：</w:t>
            </w:r>
          </w:p>
          <w:p>
            <w:pPr>
              <w:spacing w:line="480" w:lineRule="exact"/>
              <w:rPr>
                <w:rFonts w:ascii="宋体" w:hAnsi="宋体" w:eastAsia="宋体" w:cs="Times New Roman"/>
                <w:kern w:val="2"/>
                <w:sz w:val="24"/>
                <w:szCs w:val="24"/>
                <w:lang w:eastAsia="zh-CN"/>
              </w:rPr>
            </w:pPr>
          </w:p>
        </w:tc>
      </w:tr>
    </w:tbl>
    <w:p>
      <w:pPr>
        <w:spacing w:line="480" w:lineRule="exact"/>
        <w:jc w:val="both"/>
        <w:rPr>
          <w:rFonts w:ascii="宋体" w:hAnsi="宋体" w:eastAsia="宋体" w:cs="Times New Roman"/>
          <w:kern w:val="2"/>
          <w:sz w:val="24"/>
          <w:szCs w:val="24"/>
          <w:lang w:eastAsia="zh-CN"/>
        </w:rPr>
      </w:pPr>
    </w:p>
    <w:p>
      <w:pPr>
        <w:spacing w:line="480" w:lineRule="exact"/>
        <w:jc w:val="both"/>
        <w:rPr>
          <w:rFonts w:ascii="宋体" w:hAnsi="宋体" w:eastAsia="宋体" w:cs="Times New Roman"/>
          <w:kern w:val="2"/>
          <w:sz w:val="24"/>
          <w:szCs w:val="24"/>
          <w:lang w:eastAsia="zh-CN"/>
        </w:rPr>
      </w:pPr>
    </w:p>
    <w:p>
      <w:pPr>
        <w:spacing w:line="480" w:lineRule="exact"/>
        <w:jc w:val="both"/>
        <w:rPr>
          <w:rFonts w:ascii="宋体" w:hAnsi="宋体" w:eastAsia="宋体" w:cs="Times New Roman"/>
          <w:b/>
          <w:kern w:val="2"/>
          <w:sz w:val="24"/>
          <w:szCs w:val="24"/>
          <w:lang w:eastAsia="zh-CN"/>
        </w:rPr>
      </w:pPr>
      <w:r>
        <w:rPr>
          <w:rFonts w:hint="eastAsia" w:ascii="宋体" w:hAnsi="宋体" w:eastAsia="宋体" w:cs="Times New Roman"/>
          <w:b/>
          <w:kern w:val="2"/>
          <w:sz w:val="24"/>
          <w:szCs w:val="24"/>
          <w:lang w:eastAsia="zh-CN"/>
        </w:rPr>
        <w:t>封口格式：</w:t>
      </w:r>
    </w:p>
    <w:tbl>
      <w:tblPr>
        <w:tblStyle w:val="1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spacing w:line="480" w:lineRule="exact"/>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………………………于   年  月  日   时之前不准启封（公章）………………………</w:t>
            </w:r>
          </w:p>
        </w:tc>
      </w:tr>
    </w:tbl>
    <w:p>
      <w:pPr>
        <w:spacing w:line="480" w:lineRule="exact"/>
        <w:jc w:val="both"/>
        <w:rPr>
          <w:rFonts w:ascii="宋体" w:hAnsi="宋体" w:eastAsia="宋体" w:cs="Times New Roman"/>
          <w:kern w:val="2"/>
          <w:sz w:val="24"/>
          <w:szCs w:val="24"/>
          <w:lang w:eastAsia="zh-CN"/>
        </w:rPr>
        <w:sectPr>
          <w:pgSz w:w="11907" w:h="16840"/>
          <w:pgMar w:top="1304" w:right="1418" w:bottom="1157" w:left="1418" w:header="851" w:footer="851" w:gutter="0"/>
          <w:pgNumType w:fmt="decimalFullWidth"/>
          <w:cols w:space="720" w:num="1"/>
          <w:docGrid w:type="lines" w:linePitch="290" w:charSpace="-3931"/>
        </w:sectPr>
      </w:pPr>
    </w:p>
    <w:p>
      <w:pPr>
        <w:spacing w:line="385" w:lineRule="exact"/>
        <w:ind w:right="337"/>
        <w:jc w:val="center"/>
        <w:rPr>
          <w:rFonts w:ascii="宋体" w:hAnsi="宋体" w:eastAsia="宋体" w:cs="宋体"/>
          <w:sz w:val="30"/>
          <w:szCs w:val="30"/>
          <w:lang w:eastAsia="zh-CN"/>
        </w:rPr>
      </w:pPr>
      <w:bookmarkStart w:id="124" w:name="第六章_磋商评审办法"/>
      <w:bookmarkEnd w:id="124"/>
      <w:r>
        <w:rPr>
          <w:rFonts w:ascii="宋体" w:hAnsi="宋体" w:eastAsia="宋体" w:cs="宋体"/>
          <w:b/>
          <w:bCs/>
          <w:sz w:val="30"/>
          <w:szCs w:val="30"/>
          <w:lang w:eastAsia="zh-CN"/>
        </w:rPr>
        <w:t>第六章</w:t>
      </w:r>
      <w:r>
        <w:rPr>
          <w:rFonts w:ascii="宋体" w:hAnsi="宋体" w:eastAsia="宋体" w:cs="宋体"/>
          <w:b/>
          <w:bCs/>
          <w:spacing w:val="-5"/>
          <w:sz w:val="30"/>
          <w:szCs w:val="30"/>
          <w:lang w:eastAsia="zh-CN"/>
        </w:rPr>
        <w:t xml:space="preserve"> </w:t>
      </w:r>
      <w:r>
        <w:rPr>
          <w:rFonts w:ascii="宋体" w:hAnsi="宋体" w:eastAsia="宋体" w:cs="宋体"/>
          <w:b/>
          <w:bCs/>
          <w:sz w:val="30"/>
          <w:szCs w:val="30"/>
          <w:lang w:eastAsia="zh-CN"/>
        </w:rPr>
        <w:t>磋商评审办法</w:t>
      </w:r>
    </w:p>
    <w:p>
      <w:pPr>
        <w:spacing w:before="200" w:line="307" w:lineRule="auto"/>
        <w:ind w:left="540" w:right="2239"/>
        <w:rPr>
          <w:rFonts w:ascii="宋体" w:hAnsi="宋体" w:eastAsia="宋体" w:cs="宋体"/>
          <w:sz w:val="24"/>
          <w:szCs w:val="24"/>
          <w:lang w:eastAsia="zh-CN"/>
        </w:rPr>
      </w:pPr>
      <w:r>
        <w:rPr>
          <w:rFonts w:ascii="宋体" w:hAnsi="宋体" w:eastAsia="宋体" w:cs="宋体"/>
          <w:b/>
          <w:bCs/>
          <w:sz w:val="24"/>
          <w:szCs w:val="24"/>
          <w:lang w:eastAsia="zh-CN"/>
        </w:rPr>
        <w:t>（一）评审标准</w:t>
      </w:r>
      <w:r>
        <w:rPr>
          <w:rFonts w:ascii="宋体" w:hAnsi="宋体" w:eastAsia="宋体" w:cs="宋体"/>
          <w:b/>
          <w:bCs/>
          <w:w w:val="99"/>
          <w:sz w:val="24"/>
          <w:szCs w:val="24"/>
          <w:lang w:eastAsia="zh-CN"/>
        </w:rPr>
        <w:t xml:space="preserve"> </w:t>
      </w:r>
      <w:r>
        <w:rPr>
          <w:rFonts w:ascii="宋体" w:hAnsi="宋体" w:eastAsia="宋体" w:cs="宋体"/>
          <w:sz w:val="24"/>
          <w:szCs w:val="24"/>
          <w:lang w:eastAsia="zh-CN"/>
        </w:rPr>
        <w:t>本次评审采用综合评分法（百分制打分法），满分</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100</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w:t>
      </w:r>
    </w:p>
    <w:p>
      <w:pPr>
        <w:spacing w:before="7"/>
        <w:rPr>
          <w:rFonts w:ascii="宋体" w:hAnsi="宋体" w:eastAsia="宋体" w:cs="宋体"/>
          <w:sz w:val="3"/>
          <w:szCs w:val="3"/>
          <w:lang w:eastAsia="zh-CN"/>
        </w:rPr>
      </w:pPr>
    </w:p>
    <w:tbl>
      <w:tblPr>
        <w:tblStyle w:val="18"/>
        <w:tblW w:w="9498" w:type="dxa"/>
        <w:tblInd w:w="109" w:type="dxa"/>
        <w:tblLayout w:type="fixed"/>
        <w:tblCellMar>
          <w:top w:w="0" w:type="dxa"/>
          <w:left w:w="0" w:type="dxa"/>
          <w:bottom w:w="0" w:type="dxa"/>
          <w:right w:w="0" w:type="dxa"/>
        </w:tblCellMar>
      </w:tblPr>
      <w:tblGrid>
        <w:gridCol w:w="1220"/>
        <w:gridCol w:w="1084"/>
        <w:gridCol w:w="6202"/>
        <w:gridCol w:w="992"/>
      </w:tblGrid>
      <w:tr>
        <w:tblPrEx>
          <w:tblLayout w:type="fixed"/>
          <w:tblCellMar>
            <w:top w:w="0" w:type="dxa"/>
            <w:left w:w="0" w:type="dxa"/>
            <w:bottom w:w="0" w:type="dxa"/>
            <w:right w:w="0" w:type="dxa"/>
          </w:tblCellMar>
        </w:tblPrEx>
        <w:trPr>
          <w:trHeight w:val="478" w:hRule="exact"/>
        </w:trPr>
        <w:tc>
          <w:tcPr>
            <w:tcW w:w="1220" w:type="dxa"/>
            <w:tcBorders>
              <w:top w:val="single" w:color="000000" w:sz="4" w:space="0"/>
              <w:left w:val="single" w:color="000000" w:sz="4" w:space="0"/>
              <w:bottom w:val="single" w:color="000000" w:sz="4" w:space="0"/>
              <w:right w:val="single" w:color="000000" w:sz="4" w:space="0"/>
            </w:tcBorders>
          </w:tcPr>
          <w:p>
            <w:pPr>
              <w:pStyle w:val="20"/>
              <w:spacing w:before="40"/>
              <w:ind w:left="125"/>
              <w:rPr>
                <w:rFonts w:ascii="宋体" w:hAnsi="宋体" w:eastAsia="宋体" w:cs="宋体"/>
                <w:sz w:val="24"/>
                <w:szCs w:val="24"/>
              </w:rPr>
            </w:pPr>
            <w:r>
              <w:rPr>
                <w:rFonts w:ascii="宋体" w:hAnsi="宋体" w:eastAsia="宋体" w:cs="宋体"/>
                <w:sz w:val="24"/>
                <w:szCs w:val="24"/>
              </w:rPr>
              <w:t>评审类别</w:t>
            </w:r>
          </w:p>
        </w:tc>
        <w:tc>
          <w:tcPr>
            <w:tcW w:w="1084" w:type="dxa"/>
            <w:tcBorders>
              <w:top w:val="single" w:color="000000" w:sz="4" w:space="0"/>
              <w:left w:val="single" w:color="000000" w:sz="4" w:space="0"/>
              <w:bottom w:val="single" w:color="000000" w:sz="4" w:space="0"/>
              <w:right w:val="single" w:color="000000" w:sz="4" w:space="0"/>
            </w:tcBorders>
          </w:tcPr>
          <w:p>
            <w:pPr>
              <w:pStyle w:val="20"/>
              <w:spacing w:before="40"/>
              <w:ind w:left="178"/>
              <w:rPr>
                <w:rFonts w:ascii="宋体" w:hAnsi="宋体" w:eastAsia="宋体" w:cs="宋体"/>
                <w:sz w:val="24"/>
                <w:szCs w:val="24"/>
              </w:rPr>
            </w:pPr>
            <w:r>
              <w:rPr>
                <w:rFonts w:ascii="宋体" w:hAnsi="宋体" w:eastAsia="宋体" w:cs="宋体"/>
                <w:sz w:val="24"/>
                <w:szCs w:val="24"/>
              </w:rPr>
              <w:t>评审项</w:t>
            </w:r>
          </w:p>
        </w:tc>
        <w:tc>
          <w:tcPr>
            <w:tcW w:w="6202" w:type="dxa"/>
            <w:tcBorders>
              <w:top w:val="single" w:color="000000" w:sz="4" w:space="0"/>
              <w:left w:val="single" w:color="000000" w:sz="4" w:space="0"/>
              <w:bottom w:val="single" w:color="000000" w:sz="4" w:space="0"/>
              <w:right w:val="single" w:color="000000" w:sz="4" w:space="0"/>
            </w:tcBorders>
          </w:tcPr>
          <w:p>
            <w:pPr>
              <w:pStyle w:val="20"/>
              <w:spacing w:before="40"/>
              <w:ind w:left="2"/>
              <w:jc w:val="center"/>
              <w:rPr>
                <w:rFonts w:ascii="宋体" w:hAnsi="宋体" w:eastAsia="宋体" w:cs="宋体"/>
                <w:sz w:val="24"/>
                <w:szCs w:val="24"/>
              </w:rPr>
            </w:pPr>
            <w:r>
              <w:rPr>
                <w:rFonts w:ascii="宋体" w:hAnsi="宋体" w:eastAsia="宋体" w:cs="宋体"/>
                <w:sz w:val="24"/>
                <w:szCs w:val="24"/>
              </w:rPr>
              <w:t>评审规则</w:t>
            </w:r>
          </w:p>
        </w:tc>
        <w:tc>
          <w:tcPr>
            <w:tcW w:w="992" w:type="dxa"/>
            <w:tcBorders>
              <w:top w:val="single" w:color="000000" w:sz="4" w:space="0"/>
              <w:left w:val="single" w:color="000000" w:sz="4" w:space="0"/>
              <w:bottom w:val="single" w:color="000000" w:sz="4" w:space="0"/>
              <w:right w:val="single" w:color="000000" w:sz="4" w:space="0"/>
            </w:tcBorders>
          </w:tcPr>
          <w:p>
            <w:pPr>
              <w:pStyle w:val="20"/>
              <w:spacing w:before="40"/>
              <w:ind w:left="250"/>
              <w:rPr>
                <w:rFonts w:ascii="宋体" w:hAnsi="宋体" w:eastAsia="宋体" w:cs="宋体"/>
                <w:sz w:val="24"/>
                <w:szCs w:val="24"/>
              </w:rPr>
            </w:pPr>
            <w:r>
              <w:rPr>
                <w:rFonts w:ascii="宋体" w:hAnsi="宋体" w:eastAsia="宋体" w:cs="宋体"/>
                <w:sz w:val="24"/>
                <w:szCs w:val="24"/>
              </w:rPr>
              <w:t>分值</w:t>
            </w:r>
          </w:p>
        </w:tc>
      </w:tr>
      <w:tr>
        <w:tblPrEx>
          <w:tblLayout w:type="fixed"/>
          <w:tblCellMar>
            <w:top w:w="0" w:type="dxa"/>
            <w:left w:w="0" w:type="dxa"/>
            <w:bottom w:w="0" w:type="dxa"/>
            <w:right w:w="0" w:type="dxa"/>
          </w:tblCellMar>
        </w:tblPrEx>
        <w:trPr>
          <w:trHeight w:val="1570" w:hRule="exact"/>
        </w:trPr>
        <w:tc>
          <w:tcPr>
            <w:tcW w:w="1220" w:type="dxa"/>
            <w:tcBorders>
              <w:top w:val="single" w:color="000000" w:sz="4" w:space="0"/>
              <w:left w:val="single" w:color="000000" w:sz="4" w:space="0"/>
              <w:bottom w:val="single" w:color="000000" w:sz="4" w:space="0"/>
              <w:right w:val="single" w:color="000000" w:sz="4" w:space="0"/>
            </w:tcBorders>
          </w:tcPr>
          <w:p>
            <w:pPr>
              <w:pStyle w:val="20"/>
              <w:spacing w:before="4"/>
              <w:rPr>
                <w:rFonts w:ascii="宋体" w:hAnsi="宋体" w:eastAsia="宋体" w:cs="宋体"/>
                <w:sz w:val="35"/>
                <w:szCs w:val="35"/>
              </w:rPr>
            </w:pPr>
          </w:p>
          <w:p>
            <w:pPr>
              <w:pStyle w:val="20"/>
              <w:spacing w:line="312" w:lineRule="exact"/>
              <w:ind w:left="214" w:right="122" w:hanging="89"/>
              <w:rPr>
                <w:rFonts w:ascii="宋体" w:hAnsi="宋体" w:eastAsia="宋体" w:cs="宋体"/>
                <w:sz w:val="24"/>
                <w:szCs w:val="24"/>
              </w:rPr>
            </w:pPr>
            <w:r>
              <w:rPr>
                <w:rFonts w:ascii="宋体" w:hAnsi="宋体" w:eastAsia="宋体" w:cs="宋体"/>
                <w:sz w:val="24"/>
                <w:szCs w:val="24"/>
              </w:rPr>
              <w:t>商务报价 (</w:t>
            </w:r>
            <w:r>
              <w:rPr>
                <w:rFonts w:hint="eastAsia" w:ascii="宋体" w:hAnsi="宋体" w:eastAsia="宋体" w:cs="宋体"/>
                <w:sz w:val="24"/>
                <w:szCs w:val="24"/>
                <w:lang w:eastAsia="zh-CN"/>
              </w:rPr>
              <w:t>4</w:t>
            </w:r>
            <w:r>
              <w:rPr>
                <w:rFonts w:ascii="宋体" w:hAnsi="宋体" w:eastAsia="宋体" w:cs="宋体"/>
                <w:sz w:val="24"/>
                <w:szCs w:val="24"/>
              </w:rPr>
              <w:t>0</w:t>
            </w:r>
            <w:r>
              <w:rPr>
                <w:rFonts w:ascii="宋体" w:hAnsi="宋体" w:eastAsia="宋体" w:cs="宋体"/>
                <w:spacing w:val="-60"/>
                <w:sz w:val="24"/>
                <w:szCs w:val="24"/>
              </w:rPr>
              <w:t xml:space="preserve"> </w:t>
            </w:r>
            <w:r>
              <w:rPr>
                <w:rFonts w:ascii="宋体" w:hAnsi="宋体" w:eastAsia="宋体" w:cs="宋体"/>
                <w:sz w:val="24"/>
                <w:szCs w:val="24"/>
              </w:rPr>
              <w:t>分)</w:t>
            </w:r>
          </w:p>
        </w:tc>
        <w:tc>
          <w:tcPr>
            <w:tcW w:w="1084" w:type="dxa"/>
            <w:tcBorders>
              <w:top w:val="single" w:color="000000" w:sz="4" w:space="0"/>
              <w:left w:val="single" w:color="000000" w:sz="4" w:space="0"/>
              <w:bottom w:val="single" w:color="000000" w:sz="4" w:space="0"/>
              <w:right w:val="single" w:color="000000" w:sz="4" w:space="0"/>
            </w:tcBorders>
          </w:tcPr>
          <w:p>
            <w:pPr>
              <w:pStyle w:val="20"/>
              <w:spacing w:before="4"/>
              <w:rPr>
                <w:rFonts w:ascii="宋体" w:hAnsi="宋体" w:eastAsia="宋体" w:cs="宋体"/>
                <w:sz w:val="35"/>
                <w:szCs w:val="35"/>
              </w:rPr>
            </w:pPr>
          </w:p>
          <w:p>
            <w:pPr>
              <w:pStyle w:val="20"/>
              <w:spacing w:line="312" w:lineRule="exact"/>
              <w:ind w:left="182" w:right="169"/>
              <w:rPr>
                <w:rFonts w:ascii="宋体" w:hAnsi="宋体" w:eastAsia="宋体" w:cs="宋体"/>
                <w:sz w:val="24"/>
                <w:szCs w:val="24"/>
              </w:rPr>
            </w:pPr>
            <w:r>
              <w:rPr>
                <w:rFonts w:ascii="宋体" w:hAnsi="宋体" w:eastAsia="宋体" w:cs="宋体"/>
                <w:sz w:val="24"/>
                <w:szCs w:val="24"/>
              </w:rPr>
              <w:t>价格评 审指标</w:t>
            </w:r>
          </w:p>
        </w:tc>
        <w:tc>
          <w:tcPr>
            <w:tcW w:w="6202" w:type="dxa"/>
            <w:tcBorders>
              <w:top w:val="single" w:color="000000" w:sz="4" w:space="0"/>
              <w:left w:val="single" w:color="000000" w:sz="4" w:space="0"/>
              <w:bottom w:val="single" w:color="000000" w:sz="4" w:space="0"/>
              <w:right w:val="single" w:color="000000" w:sz="4" w:space="0"/>
            </w:tcBorders>
          </w:tcPr>
          <w:p>
            <w:pPr>
              <w:pStyle w:val="20"/>
              <w:spacing w:line="277" w:lineRule="exact"/>
              <w:ind w:left="101"/>
              <w:rPr>
                <w:rFonts w:ascii="宋体" w:hAnsi="宋体" w:eastAsia="宋体" w:cs="宋体"/>
                <w:sz w:val="24"/>
                <w:szCs w:val="24"/>
                <w:lang w:eastAsia="zh-CN"/>
              </w:rPr>
            </w:pPr>
            <w:r>
              <w:rPr>
                <w:rFonts w:ascii="宋体" w:hAnsi="宋体" w:eastAsia="宋体" w:cs="宋体"/>
                <w:sz w:val="24"/>
                <w:szCs w:val="24"/>
                <w:lang w:eastAsia="zh-CN"/>
              </w:rPr>
              <w:t>满足磋商文件要求的合格供应商的最终报价最低的价格</w:t>
            </w:r>
          </w:p>
          <w:p>
            <w:pPr>
              <w:pStyle w:val="20"/>
              <w:spacing w:before="29" w:line="312" w:lineRule="exact"/>
              <w:ind w:left="101" w:right="-18"/>
              <w:rPr>
                <w:rFonts w:ascii="宋体" w:hAnsi="宋体" w:eastAsia="宋体" w:cs="宋体"/>
                <w:sz w:val="24"/>
                <w:szCs w:val="24"/>
                <w:lang w:eastAsia="zh-CN"/>
              </w:rPr>
            </w:pPr>
            <w:r>
              <w:rPr>
                <w:rFonts w:ascii="宋体" w:hAnsi="宋体" w:eastAsia="宋体" w:cs="宋体"/>
                <w:sz w:val="24"/>
                <w:szCs w:val="24"/>
                <w:lang w:eastAsia="zh-CN"/>
              </w:rPr>
              <w:t xml:space="preserve">为评审基准价,其价格分为满分。其他供应商的价格分统 一按照下列公式计算：报价得分=(评审基准价/合格供应 </w:t>
            </w:r>
            <w:r>
              <w:rPr>
                <w:rFonts w:ascii="宋体" w:hAnsi="宋体" w:eastAsia="宋体" w:cs="宋体"/>
                <w:spacing w:val="-1"/>
                <w:sz w:val="24"/>
                <w:szCs w:val="24"/>
                <w:lang w:eastAsia="zh-CN"/>
              </w:rPr>
              <w:t>商的最终报价)×50%×100（保留小数点后两位有效数字，</w:t>
            </w:r>
            <w:r>
              <w:rPr>
                <w:rFonts w:ascii="宋体" w:hAnsi="宋体" w:eastAsia="宋体" w:cs="宋体"/>
                <w:spacing w:val="-103"/>
                <w:sz w:val="24"/>
                <w:szCs w:val="24"/>
                <w:lang w:eastAsia="zh-CN"/>
              </w:rPr>
              <w:t xml:space="preserve"> </w:t>
            </w:r>
            <w:r>
              <w:rPr>
                <w:rFonts w:ascii="宋体" w:hAnsi="宋体" w:eastAsia="宋体" w:cs="宋体"/>
                <w:sz w:val="24"/>
                <w:szCs w:val="24"/>
                <w:lang w:eastAsia="zh-CN"/>
              </w:rPr>
              <w:t>按四舍五入计取）。</w:t>
            </w:r>
          </w:p>
        </w:tc>
        <w:tc>
          <w:tcPr>
            <w:tcW w:w="992" w:type="dxa"/>
            <w:tcBorders>
              <w:top w:val="single" w:color="000000" w:sz="4" w:space="0"/>
              <w:left w:val="single" w:color="000000" w:sz="4" w:space="0"/>
              <w:bottom w:val="single" w:color="000000" w:sz="4" w:space="0"/>
              <w:right w:val="single" w:color="000000" w:sz="4" w:space="0"/>
            </w:tcBorders>
          </w:tcPr>
          <w:p>
            <w:pPr>
              <w:pStyle w:val="20"/>
              <w:rPr>
                <w:rFonts w:ascii="宋体" w:hAnsi="宋体" w:eastAsia="宋体" w:cs="宋体"/>
                <w:sz w:val="24"/>
                <w:szCs w:val="24"/>
                <w:lang w:eastAsia="zh-CN"/>
              </w:rPr>
            </w:pPr>
          </w:p>
          <w:p>
            <w:pPr>
              <w:pStyle w:val="20"/>
              <w:spacing w:before="12"/>
              <w:rPr>
                <w:rFonts w:ascii="宋体" w:hAnsi="宋体" w:eastAsia="宋体" w:cs="宋体"/>
                <w:sz w:val="20"/>
                <w:szCs w:val="20"/>
                <w:lang w:eastAsia="zh-CN"/>
              </w:rPr>
            </w:pPr>
          </w:p>
          <w:p>
            <w:pPr>
              <w:pStyle w:val="20"/>
              <w:ind w:left="221"/>
              <w:rPr>
                <w:rFonts w:ascii="宋体" w:hAnsi="宋体" w:eastAsia="宋体" w:cs="宋体"/>
                <w:sz w:val="24"/>
                <w:szCs w:val="24"/>
              </w:rPr>
            </w:pPr>
            <w:r>
              <w:rPr>
                <w:rFonts w:hint="eastAsia" w:ascii="宋体" w:hAnsi="宋体" w:eastAsia="宋体" w:cs="宋体"/>
                <w:sz w:val="24"/>
                <w:szCs w:val="24"/>
                <w:lang w:eastAsia="zh-CN"/>
              </w:rPr>
              <w:t>4</w:t>
            </w:r>
            <w:r>
              <w:rPr>
                <w:rFonts w:ascii="宋体" w:hAnsi="宋体" w:eastAsia="宋体" w:cs="宋体"/>
                <w:sz w:val="24"/>
                <w:szCs w:val="24"/>
              </w:rPr>
              <w:t>0</w:t>
            </w:r>
            <w:r>
              <w:rPr>
                <w:rFonts w:ascii="宋体" w:hAnsi="宋体" w:eastAsia="宋体" w:cs="宋体"/>
                <w:spacing w:val="-60"/>
                <w:sz w:val="24"/>
                <w:szCs w:val="24"/>
              </w:rPr>
              <w:t xml:space="preserve"> </w:t>
            </w:r>
            <w:r>
              <w:rPr>
                <w:rFonts w:ascii="宋体" w:hAnsi="宋体" w:eastAsia="宋体" w:cs="宋体"/>
                <w:sz w:val="24"/>
                <w:szCs w:val="24"/>
              </w:rPr>
              <w:t>分</w:t>
            </w:r>
          </w:p>
        </w:tc>
      </w:tr>
      <w:tr>
        <w:tblPrEx>
          <w:tblLayout w:type="fixed"/>
          <w:tblCellMar>
            <w:top w:w="0" w:type="dxa"/>
            <w:left w:w="0" w:type="dxa"/>
            <w:bottom w:w="0" w:type="dxa"/>
            <w:right w:w="0" w:type="dxa"/>
          </w:tblCellMar>
        </w:tblPrEx>
        <w:trPr>
          <w:trHeight w:val="650" w:hRule="exact"/>
        </w:trPr>
        <w:tc>
          <w:tcPr>
            <w:tcW w:w="1220" w:type="dxa"/>
            <w:vMerge w:val="restart"/>
            <w:tcBorders>
              <w:top w:val="single" w:color="000000" w:sz="4" w:space="0"/>
              <w:left w:val="single" w:color="000000" w:sz="4" w:space="0"/>
              <w:right w:val="single" w:color="000000" w:sz="4" w:space="0"/>
            </w:tcBorders>
          </w:tcPr>
          <w:p>
            <w:pPr>
              <w:pStyle w:val="20"/>
              <w:spacing w:line="312" w:lineRule="exact"/>
              <w:ind w:right="122"/>
              <w:rPr>
                <w:rFonts w:ascii="宋体" w:hAnsi="宋体" w:eastAsia="宋体" w:cs="宋体"/>
                <w:sz w:val="24"/>
                <w:szCs w:val="24"/>
                <w:lang w:eastAsia="zh-CN"/>
              </w:rPr>
            </w:pPr>
          </w:p>
          <w:p>
            <w:pPr>
              <w:pStyle w:val="20"/>
              <w:spacing w:line="312" w:lineRule="exact"/>
              <w:ind w:right="122" w:firstLine="120" w:firstLineChars="50"/>
              <w:rPr>
                <w:rFonts w:ascii="宋体" w:hAnsi="宋体" w:eastAsia="宋体" w:cs="宋体"/>
                <w:sz w:val="24"/>
                <w:szCs w:val="24"/>
                <w:lang w:eastAsia="zh-CN"/>
              </w:rPr>
            </w:pPr>
            <w:r>
              <w:rPr>
                <w:rFonts w:hint="eastAsia" w:ascii="宋体" w:hAnsi="宋体" w:eastAsia="宋体" w:cs="宋体"/>
                <w:sz w:val="24"/>
                <w:szCs w:val="24"/>
                <w:lang w:eastAsia="zh-CN"/>
              </w:rPr>
              <w:t>报批能力</w:t>
            </w:r>
          </w:p>
          <w:p>
            <w:pPr>
              <w:pStyle w:val="20"/>
              <w:spacing w:line="312" w:lineRule="exact"/>
              <w:ind w:right="122"/>
              <w:rPr>
                <w:rFonts w:ascii="宋体" w:hAnsi="宋体" w:eastAsia="宋体" w:cs="宋体"/>
                <w:sz w:val="35"/>
                <w:szCs w:val="35"/>
                <w:lang w:eastAsia="zh-CN"/>
              </w:rPr>
            </w:pPr>
            <w:r>
              <w:rPr>
                <w:rFonts w:hint="eastAsia" w:ascii="宋体" w:hAnsi="宋体" w:eastAsia="宋体" w:cs="宋体"/>
                <w:sz w:val="24"/>
                <w:szCs w:val="24"/>
                <w:lang w:eastAsia="zh-CN"/>
              </w:rPr>
              <w:t>（10分）</w:t>
            </w:r>
          </w:p>
        </w:tc>
        <w:tc>
          <w:tcPr>
            <w:tcW w:w="1084" w:type="dxa"/>
            <w:tcBorders>
              <w:top w:val="single" w:color="000000" w:sz="4" w:space="0"/>
              <w:left w:val="single" w:color="000000" w:sz="4" w:space="0"/>
              <w:bottom w:val="single" w:color="000000" w:sz="4" w:space="0"/>
              <w:right w:val="single" w:color="000000" w:sz="4" w:space="0"/>
            </w:tcBorders>
          </w:tcPr>
          <w:p>
            <w:pPr>
              <w:pStyle w:val="20"/>
              <w:spacing w:line="312" w:lineRule="exact"/>
              <w:ind w:left="182" w:right="169"/>
              <w:rPr>
                <w:rFonts w:ascii="宋体" w:hAnsi="宋体" w:eastAsia="宋体" w:cs="宋体"/>
                <w:sz w:val="35"/>
                <w:szCs w:val="35"/>
                <w:lang w:eastAsia="zh-CN"/>
              </w:rPr>
            </w:pPr>
            <w:r>
              <w:rPr>
                <w:rFonts w:hint="eastAsia" w:ascii="宋体" w:hAnsi="宋体" w:eastAsia="宋体" w:cs="宋体"/>
                <w:sz w:val="24"/>
                <w:szCs w:val="24"/>
              </w:rPr>
              <w:t>报批经验能力</w:t>
            </w:r>
          </w:p>
        </w:tc>
        <w:tc>
          <w:tcPr>
            <w:tcW w:w="6202" w:type="dxa"/>
            <w:tcBorders>
              <w:top w:val="single" w:color="000000" w:sz="4" w:space="0"/>
              <w:left w:val="single" w:color="000000" w:sz="4" w:space="0"/>
              <w:bottom w:val="single" w:color="000000" w:sz="4" w:space="0"/>
              <w:right w:val="single" w:color="000000" w:sz="4" w:space="0"/>
            </w:tcBorders>
          </w:tcPr>
          <w:p>
            <w:pPr>
              <w:pStyle w:val="20"/>
              <w:spacing w:line="277" w:lineRule="exact"/>
              <w:ind w:left="101"/>
              <w:rPr>
                <w:rFonts w:ascii="宋体" w:hAnsi="宋体" w:eastAsia="宋体" w:cs="宋体"/>
                <w:sz w:val="24"/>
                <w:szCs w:val="24"/>
                <w:lang w:eastAsia="zh-CN"/>
              </w:rPr>
            </w:pPr>
            <w:r>
              <w:rPr>
                <w:rFonts w:hint="eastAsia" w:ascii="宋体" w:hAnsi="宋体" w:eastAsia="宋体" w:cs="宋体"/>
                <w:sz w:val="24"/>
                <w:szCs w:val="24"/>
                <w:lang w:eastAsia="zh-CN"/>
              </w:rPr>
              <w:t>根据供应商报批能力和经验，以及递交的能证明报批能力的资料，磋商专家酌情打分，得0-5分。</w:t>
            </w:r>
          </w:p>
        </w:tc>
        <w:tc>
          <w:tcPr>
            <w:tcW w:w="992" w:type="dxa"/>
            <w:tcBorders>
              <w:top w:val="single" w:color="000000" w:sz="4" w:space="0"/>
              <w:left w:val="single" w:color="000000" w:sz="4" w:space="0"/>
              <w:bottom w:val="single" w:color="000000" w:sz="4" w:space="0"/>
              <w:right w:val="single" w:color="000000" w:sz="4" w:space="0"/>
            </w:tcBorders>
          </w:tcPr>
          <w:p>
            <w:pPr>
              <w:pStyle w:val="20"/>
              <w:jc w:val="center"/>
              <w:rPr>
                <w:rFonts w:ascii="宋体" w:hAnsi="宋体" w:eastAsia="宋体" w:cs="宋体"/>
                <w:sz w:val="24"/>
                <w:szCs w:val="24"/>
                <w:lang w:eastAsia="zh-CN"/>
              </w:rPr>
            </w:pPr>
            <w:r>
              <w:rPr>
                <w:rFonts w:hint="eastAsia" w:ascii="宋体" w:hAnsi="宋体" w:eastAsia="宋体" w:cs="宋体"/>
                <w:sz w:val="24"/>
                <w:szCs w:val="24"/>
                <w:lang w:eastAsia="zh-CN"/>
              </w:rPr>
              <w:t>5分</w:t>
            </w:r>
          </w:p>
        </w:tc>
      </w:tr>
      <w:tr>
        <w:tblPrEx>
          <w:tblLayout w:type="fixed"/>
          <w:tblCellMar>
            <w:top w:w="0" w:type="dxa"/>
            <w:left w:w="0" w:type="dxa"/>
            <w:bottom w:w="0" w:type="dxa"/>
            <w:right w:w="0" w:type="dxa"/>
          </w:tblCellMar>
        </w:tblPrEx>
        <w:trPr>
          <w:trHeight w:val="560" w:hRule="exact"/>
        </w:trPr>
        <w:tc>
          <w:tcPr>
            <w:tcW w:w="1220" w:type="dxa"/>
            <w:vMerge w:val="continue"/>
            <w:tcBorders>
              <w:left w:val="single" w:color="000000" w:sz="4" w:space="0"/>
              <w:bottom w:val="single" w:color="000000" w:sz="4" w:space="0"/>
              <w:right w:val="single" w:color="000000" w:sz="4" w:space="0"/>
            </w:tcBorders>
          </w:tcPr>
          <w:p>
            <w:pPr>
              <w:pStyle w:val="20"/>
              <w:spacing w:line="312" w:lineRule="exact"/>
              <w:ind w:right="122" w:firstLine="120" w:firstLineChars="50"/>
              <w:rPr>
                <w:rFonts w:ascii="宋体" w:hAnsi="宋体" w:eastAsia="宋体" w:cs="宋体"/>
                <w:sz w:val="24"/>
                <w:szCs w:val="24"/>
                <w:lang w:eastAsia="zh-CN"/>
              </w:rPr>
            </w:pPr>
          </w:p>
        </w:tc>
        <w:tc>
          <w:tcPr>
            <w:tcW w:w="1084" w:type="dxa"/>
            <w:tcBorders>
              <w:top w:val="single" w:color="000000" w:sz="4" w:space="0"/>
              <w:left w:val="single" w:color="000000" w:sz="4" w:space="0"/>
              <w:bottom w:val="single" w:color="000000" w:sz="4" w:space="0"/>
              <w:right w:val="single" w:color="000000" w:sz="4" w:space="0"/>
            </w:tcBorders>
          </w:tcPr>
          <w:p>
            <w:pPr>
              <w:pStyle w:val="20"/>
              <w:spacing w:line="312" w:lineRule="exact"/>
              <w:ind w:left="110" w:leftChars="50" w:right="169"/>
              <w:rPr>
                <w:rFonts w:ascii="宋体" w:hAnsi="宋体" w:eastAsia="宋体" w:cs="宋体"/>
                <w:sz w:val="35"/>
                <w:szCs w:val="35"/>
                <w:lang w:eastAsia="zh-CN"/>
              </w:rPr>
            </w:pPr>
            <w:r>
              <w:rPr>
                <w:rFonts w:hint="eastAsia" w:ascii="宋体" w:hAnsi="宋体" w:eastAsia="宋体" w:cs="宋体"/>
                <w:sz w:val="24"/>
                <w:szCs w:val="24"/>
              </w:rPr>
              <w:t>报批方案</w:t>
            </w:r>
          </w:p>
        </w:tc>
        <w:tc>
          <w:tcPr>
            <w:tcW w:w="6202" w:type="dxa"/>
            <w:tcBorders>
              <w:top w:val="single" w:color="000000" w:sz="4" w:space="0"/>
              <w:left w:val="single" w:color="000000" w:sz="4" w:space="0"/>
              <w:bottom w:val="single" w:color="000000" w:sz="4" w:space="0"/>
              <w:right w:val="single" w:color="000000" w:sz="4" w:space="0"/>
            </w:tcBorders>
          </w:tcPr>
          <w:p>
            <w:pPr>
              <w:pStyle w:val="20"/>
              <w:spacing w:line="277" w:lineRule="exact"/>
              <w:ind w:left="101"/>
              <w:rPr>
                <w:rFonts w:ascii="宋体" w:hAnsi="宋体" w:eastAsia="宋体" w:cs="宋体"/>
                <w:sz w:val="24"/>
                <w:szCs w:val="24"/>
                <w:lang w:eastAsia="zh-CN"/>
              </w:rPr>
            </w:pPr>
            <w:r>
              <w:rPr>
                <w:rFonts w:hint="eastAsia" w:ascii="宋体" w:hAnsi="宋体" w:eastAsia="宋体" w:cs="宋体"/>
                <w:sz w:val="24"/>
                <w:szCs w:val="24"/>
                <w:lang w:eastAsia="zh-CN"/>
              </w:rPr>
              <w:t>根据供应商提供的报批方案，磋商专家根据详细合理性酌情打分，得0-5分。</w:t>
            </w:r>
          </w:p>
        </w:tc>
        <w:tc>
          <w:tcPr>
            <w:tcW w:w="992" w:type="dxa"/>
            <w:tcBorders>
              <w:top w:val="single" w:color="000000" w:sz="4" w:space="0"/>
              <w:left w:val="single" w:color="000000" w:sz="4" w:space="0"/>
              <w:bottom w:val="single" w:color="000000" w:sz="4" w:space="0"/>
              <w:right w:val="single" w:color="000000" w:sz="4" w:space="0"/>
            </w:tcBorders>
          </w:tcPr>
          <w:p>
            <w:pPr>
              <w:pStyle w:val="20"/>
              <w:jc w:val="center"/>
              <w:rPr>
                <w:rFonts w:ascii="宋体" w:hAnsi="宋体" w:eastAsia="宋体" w:cs="宋体"/>
                <w:sz w:val="24"/>
                <w:szCs w:val="24"/>
                <w:lang w:eastAsia="zh-CN"/>
              </w:rPr>
            </w:pPr>
            <w:r>
              <w:rPr>
                <w:rFonts w:hint="eastAsia" w:ascii="宋体" w:hAnsi="宋体" w:eastAsia="宋体" w:cs="宋体"/>
                <w:sz w:val="24"/>
                <w:szCs w:val="24"/>
                <w:lang w:eastAsia="zh-CN"/>
              </w:rPr>
              <w:t>5分</w:t>
            </w:r>
          </w:p>
        </w:tc>
      </w:tr>
      <w:tr>
        <w:tblPrEx>
          <w:tblLayout w:type="fixed"/>
          <w:tblCellMar>
            <w:top w:w="0" w:type="dxa"/>
            <w:left w:w="0" w:type="dxa"/>
            <w:bottom w:w="0" w:type="dxa"/>
            <w:right w:w="0" w:type="dxa"/>
          </w:tblCellMar>
        </w:tblPrEx>
        <w:trPr>
          <w:trHeight w:val="1359" w:hRule="exact"/>
        </w:trPr>
        <w:tc>
          <w:tcPr>
            <w:tcW w:w="1220" w:type="dxa"/>
            <w:vMerge w:val="restart"/>
            <w:tcBorders>
              <w:top w:val="single" w:color="000000" w:sz="4" w:space="0"/>
              <w:left w:val="single" w:color="000000" w:sz="4" w:space="0"/>
              <w:right w:val="single" w:color="000000" w:sz="4" w:space="0"/>
            </w:tcBorders>
          </w:tcPr>
          <w:p>
            <w:pPr>
              <w:pStyle w:val="20"/>
              <w:rPr>
                <w:rFonts w:ascii="宋体" w:hAnsi="宋体" w:eastAsia="宋体" w:cs="宋体"/>
                <w:sz w:val="24"/>
                <w:szCs w:val="24"/>
              </w:rPr>
            </w:pPr>
          </w:p>
          <w:p>
            <w:pPr>
              <w:pStyle w:val="20"/>
              <w:rPr>
                <w:rFonts w:ascii="宋体" w:hAnsi="宋体" w:eastAsia="宋体" w:cs="宋体"/>
                <w:sz w:val="24"/>
                <w:szCs w:val="24"/>
              </w:rPr>
            </w:pPr>
          </w:p>
          <w:p>
            <w:pPr>
              <w:pStyle w:val="20"/>
              <w:rPr>
                <w:rFonts w:ascii="宋体" w:hAnsi="宋体" w:eastAsia="宋体" w:cs="宋体"/>
                <w:sz w:val="24"/>
                <w:szCs w:val="24"/>
              </w:rPr>
            </w:pPr>
          </w:p>
          <w:p>
            <w:pPr>
              <w:pStyle w:val="20"/>
              <w:rPr>
                <w:rFonts w:ascii="宋体" w:hAnsi="宋体" w:eastAsia="宋体" w:cs="宋体"/>
                <w:sz w:val="24"/>
                <w:szCs w:val="24"/>
              </w:rPr>
            </w:pPr>
          </w:p>
          <w:p>
            <w:pPr>
              <w:pStyle w:val="20"/>
              <w:rPr>
                <w:rFonts w:ascii="宋体" w:hAnsi="宋体" w:eastAsia="宋体" w:cs="宋体"/>
                <w:sz w:val="24"/>
                <w:szCs w:val="24"/>
              </w:rPr>
            </w:pPr>
          </w:p>
          <w:p>
            <w:pPr>
              <w:pStyle w:val="20"/>
              <w:rPr>
                <w:rFonts w:ascii="宋体" w:hAnsi="宋体" w:eastAsia="宋体" w:cs="宋体"/>
                <w:sz w:val="24"/>
                <w:szCs w:val="24"/>
              </w:rPr>
            </w:pPr>
          </w:p>
          <w:p>
            <w:pPr>
              <w:pStyle w:val="20"/>
              <w:rPr>
                <w:rFonts w:ascii="宋体" w:hAnsi="宋体" w:eastAsia="宋体" w:cs="宋体"/>
                <w:sz w:val="24"/>
                <w:szCs w:val="24"/>
              </w:rPr>
            </w:pPr>
          </w:p>
          <w:p>
            <w:pPr>
              <w:pStyle w:val="20"/>
              <w:rPr>
                <w:rFonts w:ascii="宋体" w:hAnsi="宋体" w:eastAsia="宋体" w:cs="宋体"/>
                <w:sz w:val="24"/>
                <w:szCs w:val="24"/>
              </w:rPr>
            </w:pPr>
          </w:p>
          <w:p>
            <w:pPr>
              <w:pStyle w:val="20"/>
              <w:rPr>
                <w:rFonts w:ascii="宋体" w:hAnsi="宋体" w:eastAsia="宋体" w:cs="宋体"/>
                <w:sz w:val="24"/>
                <w:szCs w:val="24"/>
              </w:rPr>
            </w:pPr>
          </w:p>
          <w:p>
            <w:pPr>
              <w:pStyle w:val="20"/>
              <w:spacing w:before="174" w:line="312" w:lineRule="exact"/>
              <w:ind w:left="365" w:right="122" w:hanging="240"/>
              <w:rPr>
                <w:rFonts w:ascii="宋体" w:hAnsi="宋体" w:eastAsia="宋体" w:cs="宋体"/>
                <w:sz w:val="24"/>
                <w:szCs w:val="24"/>
              </w:rPr>
            </w:pPr>
            <w:r>
              <w:rPr>
                <w:rFonts w:ascii="宋体" w:hAnsi="宋体" w:eastAsia="宋体" w:cs="宋体"/>
                <w:sz w:val="24"/>
                <w:szCs w:val="24"/>
              </w:rPr>
              <w:t>产品技术 方面</w:t>
            </w:r>
          </w:p>
          <w:p>
            <w:pPr>
              <w:pStyle w:val="20"/>
              <w:spacing w:line="283" w:lineRule="exact"/>
              <w:ind w:left="102"/>
              <w:rPr>
                <w:rFonts w:ascii="宋体" w:hAnsi="宋体" w:eastAsia="宋体" w:cs="宋体"/>
                <w:sz w:val="24"/>
                <w:szCs w:val="24"/>
              </w:rPr>
            </w:pPr>
            <w:r>
              <w:rPr>
                <w:rFonts w:ascii="宋体" w:hAnsi="宋体" w:eastAsia="宋体" w:cs="宋体"/>
                <w:sz w:val="24"/>
                <w:szCs w:val="24"/>
              </w:rPr>
              <w:t>（41</w:t>
            </w:r>
            <w:r>
              <w:rPr>
                <w:rFonts w:ascii="宋体" w:hAnsi="宋体" w:eastAsia="宋体" w:cs="宋体"/>
                <w:spacing w:val="-60"/>
                <w:sz w:val="24"/>
                <w:szCs w:val="24"/>
              </w:rPr>
              <w:t xml:space="preserve"> </w:t>
            </w:r>
            <w:r>
              <w:rPr>
                <w:rFonts w:ascii="宋体" w:hAnsi="宋体" w:eastAsia="宋体" w:cs="宋体"/>
                <w:sz w:val="24"/>
                <w:szCs w:val="24"/>
              </w:rPr>
              <w:t>分）</w:t>
            </w:r>
          </w:p>
        </w:tc>
        <w:tc>
          <w:tcPr>
            <w:tcW w:w="1084" w:type="dxa"/>
            <w:tcBorders>
              <w:top w:val="single" w:color="000000" w:sz="4" w:space="0"/>
              <w:left w:val="single" w:color="000000" w:sz="4" w:space="0"/>
              <w:bottom w:val="single" w:color="000000" w:sz="4" w:space="0"/>
              <w:right w:val="single" w:color="000000" w:sz="4" w:space="0"/>
            </w:tcBorders>
          </w:tcPr>
          <w:p>
            <w:pPr>
              <w:pStyle w:val="20"/>
              <w:spacing w:before="145" w:line="312" w:lineRule="exact"/>
              <w:ind w:left="302" w:right="289"/>
              <w:rPr>
                <w:rFonts w:ascii="宋体" w:hAnsi="宋体" w:eastAsia="宋体" w:cs="宋体"/>
                <w:sz w:val="24"/>
                <w:szCs w:val="24"/>
              </w:rPr>
            </w:pPr>
            <w:r>
              <w:rPr>
                <w:rFonts w:ascii="宋体" w:hAnsi="宋体" w:eastAsia="宋体" w:cs="宋体"/>
                <w:sz w:val="24"/>
                <w:szCs w:val="24"/>
              </w:rPr>
              <w:t>产品 技术</w:t>
            </w:r>
          </w:p>
        </w:tc>
        <w:tc>
          <w:tcPr>
            <w:tcW w:w="6202" w:type="dxa"/>
            <w:tcBorders>
              <w:top w:val="single" w:color="000000" w:sz="4" w:space="0"/>
              <w:left w:val="single" w:color="000000" w:sz="4" w:space="0"/>
              <w:bottom w:val="single" w:color="000000" w:sz="4" w:space="0"/>
              <w:right w:val="single" w:color="000000" w:sz="4" w:space="0"/>
            </w:tcBorders>
          </w:tcPr>
          <w:p>
            <w:pPr>
              <w:pStyle w:val="20"/>
              <w:spacing w:before="145" w:line="312" w:lineRule="exact"/>
              <w:ind w:left="101" w:right="100"/>
              <w:jc w:val="both"/>
              <w:rPr>
                <w:rFonts w:ascii="宋体" w:hAnsi="宋体" w:eastAsia="宋体" w:cs="宋体"/>
                <w:sz w:val="24"/>
                <w:szCs w:val="24"/>
                <w:lang w:eastAsia="zh-CN"/>
              </w:rPr>
            </w:pPr>
            <w:r>
              <w:rPr>
                <w:rFonts w:ascii="宋体" w:hAnsi="宋体" w:eastAsia="宋体" w:cs="宋体"/>
                <w:spacing w:val="-1"/>
                <w:sz w:val="24"/>
                <w:szCs w:val="24"/>
                <w:lang w:eastAsia="zh-CN"/>
              </w:rPr>
              <w:t>根据供应商制作的①产品稳定性、②防腐蚀性、③防倒塌</w:t>
            </w:r>
            <w:r>
              <w:rPr>
                <w:rFonts w:ascii="宋体" w:hAnsi="宋体" w:eastAsia="宋体" w:cs="宋体"/>
                <w:spacing w:val="-108"/>
                <w:sz w:val="24"/>
                <w:szCs w:val="24"/>
                <w:lang w:eastAsia="zh-CN"/>
              </w:rPr>
              <w:t xml:space="preserve"> </w:t>
            </w:r>
            <w:r>
              <w:rPr>
                <w:rFonts w:ascii="宋体" w:hAnsi="宋体" w:eastAsia="宋体" w:cs="宋体"/>
                <w:spacing w:val="-1"/>
                <w:sz w:val="24"/>
                <w:szCs w:val="24"/>
                <w:lang w:eastAsia="zh-CN"/>
              </w:rPr>
              <w:t>性、④易维护性、⑤使用寿命等内容的描述。每有一条且</w:t>
            </w:r>
            <w:r>
              <w:rPr>
                <w:rFonts w:ascii="宋体" w:hAnsi="宋体" w:eastAsia="宋体" w:cs="宋体"/>
                <w:spacing w:val="-108"/>
                <w:sz w:val="24"/>
                <w:szCs w:val="24"/>
                <w:lang w:eastAsia="zh-CN"/>
              </w:rPr>
              <w:t xml:space="preserve"> </w:t>
            </w:r>
            <w:r>
              <w:rPr>
                <w:rFonts w:ascii="宋体" w:hAnsi="宋体" w:eastAsia="宋体" w:cs="宋体"/>
                <w:sz w:val="24"/>
                <w:szCs w:val="24"/>
                <w:lang w:eastAsia="zh-CN"/>
              </w:rPr>
              <w:t>经磋商专家</w:t>
            </w:r>
            <w:r>
              <w:rPr>
                <w:rFonts w:hint="eastAsia" w:ascii="宋体" w:hAnsi="宋体" w:eastAsia="宋体" w:cs="宋体"/>
                <w:sz w:val="24"/>
                <w:szCs w:val="24"/>
                <w:lang w:eastAsia="zh-CN"/>
              </w:rPr>
              <w:t>认定根据</w:t>
            </w:r>
            <w:r>
              <w:rPr>
                <w:rFonts w:ascii="宋体" w:hAnsi="宋体" w:eastAsia="宋体" w:cs="宋体"/>
                <w:sz w:val="24"/>
                <w:szCs w:val="24"/>
                <w:lang w:eastAsia="zh-CN"/>
              </w:rPr>
              <w:t>详尽合理</w:t>
            </w:r>
            <w:r>
              <w:rPr>
                <w:rFonts w:hint="eastAsia" w:ascii="宋体" w:hAnsi="宋体" w:eastAsia="宋体" w:cs="宋体"/>
                <w:sz w:val="24"/>
                <w:szCs w:val="24"/>
                <w:lang w:eastAsia="zh-CN"/>
              </w:rPr>
              <w:t>性</w:t>
            </w:r>
            <w:r>
              <w:rPr>
                <w:rFonts w:ascii="宋体" w:hAnsi="宋体" w:eastAsia="宋体" w:cs="宋体"/>
                <w:sz w:val="24"/>
                <w:szCs w:val="24"/>
                <w:lang w:eastAsia="zh-CN"/>
              </w:rPr>
              <w:t>，得</w:t>
            </w:r>
            <w:r>
              <w:rPr>
                <w:rFonts w:hint="eastAsia" w:ascii="宋体" w:hAnsi="宋体" w:eastAsia="宋体" w:cs="宋体"/>
                <w:sz w:val="24"/>
                <w:szCs w:val="24"/>
                <w:lang w:eastAsia="zh-CN"/>
              </w:rPr>
              <w:t>0-</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2</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分，本项最多得</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10</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w:t>
            </w:r>
          </w:p>
        </w:tc>
        <w:tc>
          <w:tcPr>
            <w:tcW w:w="992" w:type="dxa"/>
            <w:tcBorders>
              <w:top w:val="single" w:color="000000" w:sz="4" w:space="0"/>
              <w:left w:val="single" w:color="000000" w:sz="4" w:space="0"/>
              <w:bottom w:val="single" w:color="000000" w:sz="4" w:space="0"/>
              <w:right w:val="single" w:color="000000" w:sz="4" w:space="0"/>
            </w:tcBorders>
          </w:tcPr>
          <w:p>
            <w:pPr>
              <w:pStyle w:val="20"/>
              <w:spacing w:before="8"/>
              <w:rPr>
                <w:rFonts w:ascii="宋体" w:hAnsi="宋体" w:eastAsia="宋体" w:cs="宋体"/>
                <w:sz w:val="32"/>
                <w:szCs w:val="32"/>
                <w:lang w:eastAsia="zh-CN"/>
              </w:rPr>
            </w:pPr>
          </w:p>
          <w:p>
            <w:pPr>
              <w:pStyle w:val="20"/>
              <w:ind w:left="221"/>
              <w:rPr>
                <w:rFonts w:ascii="宋体" w:hAnsi="宋体" w:eastAsia="宋体" w:cs="宋体"/>
                <w:sz w:val="24"/>
                <w:szCs w:val="24"/>
              </w:rPr>
            </w:pPr>
            <w:r>
              <w:rPr>
                <w:rFonts w:ascii="宋体" w:hAnsi="宋体" w:eastAsia="宋体" w:cs="宋体"/>
                <w:sz w:val="24"/>
                <w:szCs w:val="24"/>
              </w:rPr>
              <w:t>10</w:t>
            </w:r>
            <w:r>
              <w:rPr>
                <w:rFonts w:ascii="宋体" w:hAnsi="宋体" w:eastAsia="宋体" w:cs="宋体"/>
                <w:spacing w:val="-60"/>
                <w:sz w:val="24"/>
                <w:szCs w:val="24"/>
              </w:rPr>
              <w:t xml:space="preserve"> </w:t>
            </w:r>
            <w:r>
              <w:rPr>
                <w:rFonts w:ascii="宋体" w:hAnsi="宋体" w:eastAsia="宋体" w:cs="宋体"/>
                <w:sz w:val="24"/>
                <w:szCs w:val="24"/>
              </w:rPr>
              <w:t>分</w:t>
            </w:r>
          </w:p>
        </w:tc>
      </w:tr>
      <w:tr>
        <w:tblPrEx>
          <w:tblLayout w:type="fixed"/>
          <w:tblCellMar>
            <w:top w:w="0" w:type="dxa"/>
            <w:left w:w="0" w:type="dxa"/>
            <w:bottom w:w="0" w:type="dxa"/>
            <w:right w:w="0" w:type="dxa"/>
          </w:tblCellMar>
        </w:tblPrEx>
        <w:trPr>
          <w:trHeight w:val="1123" w:hRule="exact"/>
        </w:trPr>
        <w:tc>
          <w:tcPr>
            <w:tcW w:w="1220" w:type="dxa"/>
            <w:vMerge w:val="continue"/>
            <w:tcBorders>
              <w:left w:val="single" w:color="000000" w:sz="4" w:space="0"/>
              <w:right w:val="single" w:color="000000" w:sz="4" w:space="0"/>
            </w:tcBorders>
          </w:tcPr>
          <w:p/>
        </w:tc>
        <w:tc>
          <w:tcPr>
            <w:tcW w:w="1084" w:type="dxa"/>
            <w:tcBorders>
              <w:top w:val="single" w:color="000000" w:sz="4" w:space="0"/>
              <w:left w:val="single" w:color="000000" w:sz="4" w:space="0"/>
              <w:bottom w:val="single" w:color="000000" w:sz="4" w:space="0"/>
              <w:right w:val="single" w:color="000000" w:sz="4" w:space="0"/>
            </w:tcBorders>
          </w:tcPr>
          <w:p>
            <w:pPr>
              <w:pStyle w:val="20"/>
              <w:spacing w:before="28" w:line="312" w:lineRule="exact"/>
              <w:ind w:left="182" w:right="169"/>
              <w:rPr>
                <w:rFonts w:ascii="宋体" w:hAnsi="宋体" w:eastAsia="宋体" w:cs="宋体"/>
                <w:sz w:val="24"/>
                <w:szCs w:val="24"/>
              </w:rPr>
            </w:pPr>
            <w:r>
              <w:rPr>
                <w:rFonts w:ascii="宋体" w:hAnsi="宋体" w:eastAsia="宋体" w:cs="宋体"/>
                <w:sz w:val="24"/>
                <w:szCs w:val="24"/>
              </w:rPr>
              <w:t>安装调 试方案</w:t>
            </w:r>
          </w:p>
        </w:tc>
        <w:tc>
          <w:tcPr>
            <w:tcW w:w="6202" w:type="dxa"/>
            <w:tcBorders>
              <w:top w:val="single" w:color="000000" w:sz="4" w:space="0"/>
              <w:left w:val="single" w:color="000000" w:sz="4" w:space="0"/>
              <w:bottom w:val="single" w:color="000000" w:sz="4" w:space="0"/>
              <w:right w:val="single" w:color="000000" w:sz="4" w:space="0"/>
            </w:tcBorders>
          </w:tcPr>
          <w:p>
            <w:pPr>
              <w:pStyle w:val="20"/>
              <w:spacing w:before="28" w:line="312" w:lineRule="exact"/>
              <w:ind w:left="101" w:right="100"/>
              <w:rPr>
                <w:rFonts w:ascii="宋体" w:hAnsi="宋体" w:eastAsia="宋体" w:cs="宋体"/>
                <w:sz w:val="24"/>
                <w:szCs w:val="24"/>
                <w:lang w:eastAsia="zh-CN"/>
              </w:rPr>
            </w:pPr>
            <w:r>
              <w:rPr>
                <w:rFonts w:ascii="宋体" w:hAnsi="宋体" w:eastAsia="宋体" w:cs="宋体"/>
                <w:spacing w:val="-1"/>
                <w:sz w:val="24"/>
                <w:szCs w:val="24"/>
                <w:lang w:eastAsia="zh-CN"/>
              </w:rPr>
              <w:t>根据供应商的①安装调试方案、②保障措施等内容进行打</w:t>
            </w:r>
            <w:r>
              <w:rPr>
                <w:rFonts w:ascii="宋体" w:hAnsi="宋体" w:eastAsia="宋体" w:cs="宋体"/>
                <w:spacing w:val="-107"/>
                <w:sz w:val="24"/>
                <w:szCs w:val="24"/>
                <w:lang w:eastAsia="zh-CN"/>
              </w:rPr>
              <w:t xml:space="preserve"> </w:t>
            </w:r>
            <w:r>
              <w:rPr>
                <w:rFonts w:ascii="宋体" w:hAnsi="宋体" w:eastAsia="宋体" w:cs="宋体"/>
                <w:sz w:val="24"/>
                <w:szCs w:val="24"/>
                <w:lang w:eastAsia="zh-CN"/>
              </w:rPr>
              <w:t>分，每有一条且经磋商专家认定</w:t>
            </w:r>
            <w:r>
              <w:rPr>
                <w:rFonts w:hint="eastAsia" w:ascii="宋体" w:hAnsi="宋体" w:eastAsia="宋体" w:cs="宋体"/>
                <w:sz w:val="24"/>
                <w:szCs w:val="24"/>
                <w:lang w:eastAsia="zh-CN"/>
              </w:rPr>
              <w:t>根据</w:t>
            </w:r>
            <w:r>
              <w:rPr>
                <w:rFonts w:ascii="宋体" w:hAnsi="宋体" w:eastAsia="宋体" w:cs="宋体"/>
                <w:sz w:val="24"/>
                <w:szCs w:val="24"/>
                <w:lang w:eastAsia="zh-CN"/>
              </w:rPr>
              <w:t>详尽合理</w:t>
            </w:r>
            <w:r>
              <w:rPr>
                <w:rFonts w:hint="eastAsia" w:ascii="宋体" w:hAnsi="宋体" w:eastAsia="宋体" w:cs="宋体"/>
                <w:sz w:val="24"/>
                <w:szCs w:val="24"/>
                <w:lang w:eastAsia="zh-CN"/>
              </w:rPr>
              <w:t>性</w:t>
            </w:r>
            <w:r>
              <w:rPr>
                <w:rFonts w:ascii="宋体" w:hAnsi="宋体" w:eastAsia="宋体" w:cs="宋体"/>
                <w:sz w:val="24"/>
                <w:szCs w:val="24"/>
                <w:lang w:eastAsia="zh-CN"/>
              </w:rPr>
              <w:t>得</w:t>
            </w:r>
            <w:r>
              <w:rPr>
                <w:rFonts w:hint="eastAsia" w:ascii="宋体" w:hAnsi="宋体" w:eastAsia="宋体" w:cs="宋体"/>
                <w:sz w:val="24"/>
                <w:szCs w:val="24"/>
                <w:lang w:eastAsia="zh-CN"/>
              </w:rPr>
              <w:t>0-</w:t>
            </w:r>
            <w:r>
              <w:rPr>
                <w:rFonts w:ascii="宋体" w:hAnsi="宋体" w:eastAsia="宋体" w:cs="宋体"/>
                <w:spacing w:val="-67"/>
                <w:sz w:val="24"/>
                <w:szCs w:val="24"/>
                <w:lang w:eastAsia="zh-CN"/>
              </w:rPr>
              <w:t xml:space="preserve"> </w:t>
            </w:r>
            <w:r>
              <w:rPr>
                <w:rFonts w:ascii="宋体" w:hAnsi="宋体" w:eastAsia="宋体" w:cs="宋体"/>
                <w:sz w:val="24"/>
                <w:szCs w:val="24"/>
                <w:lang w:eastAsia="zh-CN"/>
              </w:rPr>
              <w:t>3</w:t>
            </w:r>
            <w:r>
              <w:rPr>
                <w:rFonts w:ascii="宋体" w:hAnsi="宋体" w:eastAsia="宋体" w:cs="宋体"/>
                <w:spacing w:val="-67"/>
                <w:sz w:val="24"/>
                <w:szCs w:val="24"/>
                <w:lang w:eastAsia="zh-CN"/>
              </w:rPr>
              <w:t xml:space="preserve"> </w:t>
            </w:r>
            <w:r>
              <w:rPr>
                <w:rFonts w:ascii="宋体" w:hAnsi="宋体" w:eastAsia="宋体" w:cs="宋体"/>
                <w:sz w:val="24"/>
                <w:szCs w:val="24"/>
                <w:lang w:eastAsia="zh-CN"/>
              </w:rPr>
              <w:t>分，本项最多得</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6</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w:t>
            </w:r>
          </w:p>
        </w:tc>
        <w:tc>
          <w:tcPr>
            <w:tcW w:w="992" w:type="dxa"/>
            <w:tcBorders>
              <w:top w:val="single" w:color="000000" w:sz="4" w:space="0"/>
              <w:left w:val="single" w:color="000000" w:sz="4" w:space="0"/>
              <w:bottom w:val="single" w:color="000000" w:sz="4" w:space="0"/>
              <w:right w:val="single" w:color="000000" w:sz="4" w:space="0"/>
            </w:tcBorders>
          </w:tcPr>
          <w:p>
            <w:pPr>
              <w:pStyle w:val="20"/>
              <w:spacing w:before="8"/>
              <w:rPr>
                <w:rFonts w:ascii="宋体" w:hAnsi="宋体" w:eastAsia="宋体" w:cs="宋体"/>
                <w:sz w:val="23"/>
                <w:szCs w:val="23"/>
                <w:lang w:eastAsia="zh-CN"/>
              </w:rPr>
            </w:pPr>
          </w:p>
          <w:p>
            <w:pPr>
              <w:pStyle w:val="20"/>
              <w:ind w:left="28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60"/>
                <w:sz w:val="24"/>
                <w:szCs w:val="24"/>
              </w:rPr>
              <w:t xml:space="preserve"> </w:t>
            </w:r>
            <w:r>
              <w:rPr>
                <w:rFonts w:ascii="宋体" w:hAnsi="宋体" w:eastAsia="宋体" w:cs="宋体"/>
                <w:sz w:val="24"/>
                <w:szCs w:val="24"/>
              </w:rPr>
              <w:t>分</w:t>
            </w:r>
          </w:p>
        </w:tc>
      </w:tr>
      <w:tr>
        <w:tblPrEx>
          <w:tblLayout w:type="fixed"/>
          <w:tblCellMar>
            <w:top w:w="0" w:type="dxa"/>
            <w:left w:w="0" w:type="dxa"/>
            <w:bottom w:w="0" w:type="dxa"/>
            <w:right w:w="0" w:type="dxa"/>
          </w:tblCellMar>
        </w:tblPrEx>
        <w:trPr>
          <w:trHeight w:val="1250" w:hRule="exact"/>
        </w:trPr>
        <w:tc>
          <w:tcPr>
            <w:tcW w:w="1220" w:type="dxa"/>
            <w:vMerge w:val="continue"/>
            <w:tcBorders>
              <w:left w:val="single" w:color="000000" w:sz="4" w:space="0"/>
              <w:right w:val="single" w:color="000000" w:sz="4" w:space="0"/>
            </w:tcBorders>
          </w:tcPr>
          <w:p/>
        </w:tc>
        <w:tc>
          <w:tcPr>
            <w:tcW w:w="1084" w:type="dxa"/>
            <w:tcBorders>
              <w:top w:val="single" w:color="000000" w:sz="4" w:space="0"/>
              <w:left w:val="single" w:color="000000" w:sz="4" w:space="0"/>
              <w:bottom w:val="single" w:color="000000" w:sz="4" w:space="0"/>
              <w:right w:val="single" w:color="000000" w:sz="4" w:space="0"/>
            </w:tcBorders>
          </w:tcPr>
          <w:p>
            <w:pPr>
              <w:pStyle w:val="20"/>
              <w:spacing w:before="146" w:line="312" w:lineRule="exact"/>
              <w:ind w:left="422" w:right="169" w:hanging="240"/>
              <w:rPr>
                <w:rFonts w:ascii="宋体" w:hAnsi="宋体" w:eastAsia="宋体" w:cs="宋体"/>
                <w:sz w:val="24"/>
                <w:szCs w:val="24"/>
              </w:rPr>
            </w:pPr>
            <w:r>
              <w:rPr>
                <w:rFonts w:ascii="宋体" w:hAnsi="宋体" w:eastAsia="宋体" w:cs="宋体"/>
                <w:sz w:val="24"/>
                <w:szCs w:val="24"/>
              </w:rPr>
              <w:t>安全措 施</w:t>
            </w:r>
          </w:p>
        </w:tc>
        <w:tc>
          <w:tcPr>
            <w:tcW w:w="6202" w:type="dxa"/>
            <w:tcBorders>
              <w:top w:val="single" w:color="000000" w:sz="4" w:space="0"/>
              <w:left w:val="single" w:color="000000" w:sz="4" w:space="0"/>
              <w:bottom w:val="single" w:color="000000" w:sz="4" w:space="0"/>
              <w:right w:val="single" w:color="000000" w:sz="4" w:space="0"/>
            </w:tcBorders>
          </w:tcPr>
          <w:p>
            <w:pPr>
              <w:pStyle w:val="20"/>
              <w:spacing w:before="146" w:line="312" w:lineRule="exact"/>
              <w:ind w:left="101" w:right="100"/>
              <w:jc w:val="both"/>
              <w:rPr>
                <w:rFonts w:ascii="宋体" w:hAnsi="宋体" w:eastAsia="宋体" w:cs="宋体"/>
                <w:sz w:val="24"/>
                <w:szCs w:val="24"/>
                <w:lang w:eastAsia="zh-CN"/>
              </w:rPr>
            </w:pPr>
            <w:r>
              <w:rPr>
                <w:rFonts w:ascii="宋体" w:hAnsi="宋体" w:eastAsia="宋体" w:cs="宋体"/>
                <w:spacing w:val="-1"/>
                <w:sz w:val="24"/>
                <w:szCs w:val="24"/>
                <w:lang w:eastAsia="zh-CN"/>
              </w:rPr>
              <w:t>根据供应商的安全措施，包括①高空作业安全、②用电安</w:t>
            </w:r>
            <w:r>
              <w:rPr>
                <w:rFonts w:ascii="宋体" w:hAnsi="宋体" w:eastAsia="宋体" w:cs="宋体"/>
                <w:spacing w:val="-108"/>
                <w:sz w:val="24"/>
                <w:szCs w:val="24"/>
                <w:lang w:eastAsia="zh-CN"/>
              </w:rPr>
              <w:t xml:space="preserve"> </w:t>
            </w:r>
            <w:r>
              <w:rPr>
                <w:rFonts w:ascii="宋体" w:hAnsi="宋体" w:eastAsia="宋体" w:cs="宋体"/>
                <w:spacing w:val="-1"/>
                <w:sz w:val="24"/>
                <w:szCs w:val="24"/>
                <w:lang w:eastAsia="zh-CN"/>
              </w:rPr>
              <w:t>全、③消防安全等内容进行打分，每有一条且经磋商专家</w:t>
            </w:r>
            <w:r>
              <w:rPr>
                <w:rFonts w:ascii="宋体" w:hAnsi="宋体" w:eastAsia="宋体" w:cs="宋体"/>
                <w:spacing w:val="-108"/>
                <w:sz w:val="24"/>
                <w:szCs w:val="24"/>
                <w:lang w:eastAsia="zh-CN"/>
              </w:rPr>
              <w:t xml:space="preserve"> </w:t>
            </w:r>
            <w:r>
              <w:rPr>
                <w:rFonts w:ascii="宋体" w:hAnsi="宋体" w:eastAsia="宋体" w:cs="宋体"/>
                <w:sz w:val="24"/>
                <w:szCs w:val="24"/>
                <w:lang w:eastAsia="zh-CN"/>
              </w:rPr>
              <w:t>认定</w:t>
            </w:r>
            <w:r>
              <w:rPr>
                <w:rFonts w:hint="eastAsia" w:ascii="宋体" w:hAnsi="宋体" w:eastAsia="宋体" w:cs="宋体"/>
                <w:sz w:val="24"/>
                <w:szCs w:val="24"/>
                <w:lang w:eastAsia="zh-CN"/>
              </w:rPr>
              <w:t>根据</w:t>
            </w:r>
            <w:r>
              <w:rPr>
                <w:rFonts w:ascii="宋体" w:hAnsi="宋体" w:eastAsia="宋体" w:cs="宋体"/>
                <w:sz w:val="24"/>
                <w:szCs w:val="24"/>
                <w:lang w:eastAsia="zh-CN"/>
              </w:rPr>
              <w:t>详尽合理</w:t>
            </w:r>
            <w:r>
              <w:rPr>
                <w:rFonts w:hint="eastAsia" w:ascii="宋体" w:hAnsi="宋体" w:eastAsia="宋体" w:cs="宋体"/>
                <w:sz w:val="24"/>
                <w:szCs w:val="24"/>
                <w:lang w:eastAsia="zh-CN"/>
              </w:rPr>
              <w:t>性</w:t>
            </w:r>
            <w:r>
              <w:rPr>
                <w:rFonts w:ascii="宋体" w:hAnsi="宋体" w:eastAsia="宋体" w:cs="宋体"/>
                <w:sz w:val="24"/>
                <w:szCs w:val="24"/>
                <w:lang w:eastAsia="zh-CN"/>
              </w:rPr>
              <w:t>得</w:t>
            </w:r>
            <w:r>
              <w:rPr>
                <w:rFonts w:hint="eastAsia" w:ascii="宋体" w:hAnsi="宋体" w:eastAsia="宋体" w:cs="宋体"/>
                <w:sz w:val="24"/>
                <w:szCs w:val="24"/>
                <w:lang w:eastAsia="zh-CN"/>
              </w:rPr>
              <w:t>0-</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3</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分，本项共得</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9</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w:t>
            </w:r>
          </w:p>
        </w:tc>
        <w:tc>
          <w:tcPr>
            <w:tcW w:w="992" w:type="dxa"/>
            <w:tcBorders>
              <w:top w:val="single" w:color="000000" w:sz="4" w:space="0"/>
              <w:left w:val="single" w:color="000000" w:sz="4" w:space="0"/>
              <w:bottom w:val="single" w:color="000000" w:sz="4" w:space="0"/>
              <w:right w:val="single" w:color="000000" w:sz="4" w:space="0"/>
            </w:tcBorders>
          </w:tcPr>
          <w:p>
            <w:pPr>
              <w:pStyle w:val="20"/>
              <w:spacing w:before="9"/>
              <w:rPr>
                <w:rFonts w:ascii="宋体" w:hAnsi="宋体" w:eastAsia="宋体" w:cs="宋体"/>
                <w:sz w:val="32"/>
                <w:szCs w:val="32"/>
                <w:lang w:eastAsia="zh-CN"/>
              </w:rPr>
            </w:pPr>
          </w:p>
          <w:p>
            <w:pPr>
              <w:pStyle w:val="20"/>
              <w:ind w:left="281"/>
              <w:rPr>
                <w:rFonts w:ascii="宋体" w:hAnsi="宋体" w:eastAsia="宋体" w:cs="宋体"/>
                <w:sz w:val="24"/>
                <w:szCs w:val="24"/>
              </w:rPr>
            </w:pPr>
            <w:r>
              <w:rPr>
                <w:rFonts w:ascii="宋体" w:hAnsi="宋体" w:eastAsia="宋体" w:cs="宋体"/>
                <w:sz w:val="24"/>
                <w:szCs w:val="24"/>
              </w:rPr>
              <w:t>9</w:t>
            </w:r>
            <w:r>
              <w:rPr>
                <w:rFonts w:ascii="宋体" w:hAnsi="宋体" w:eastAsia="宋体" w:cs="宋体"/>
                <w:spacing w:val="-60"/>
                <w:sz w:val="24"/>
                <w:szCs w:val="24"/>
              </w:rPr>
              <w:t xml:space="preserve"> </w:t>
            </w:r>
            <w:r>
              <w:rPr>
                <w:rFonts w:ascii="宋体" w:hAnsi="宋体" w:eastAsia="宋体" w:cs="宋体"/>
                <w:sz w:val="24"/>
                <w:szCs w:val="24"/>
              </w:rPr>
              <w:t>分</w:t>
            </w:r>
          </w:p>
        </w:tc>
      </w:tr>
      <w:tr>
        <w:tblPrEx>
          <w:tblLayout w:type="fixed"/>
          <w:tblCellMar>
            <w:top w:w="0" w:type="dxa"/>
            <w:left w:w="0" w:type="dxa"/>
            <w:bottom w:w="0" w:type="dxa"/>
            <w:right w:w="0" w:type="dxa"/>
          </w:tblCellMar>
        </w:tblPrEx>
        <w:trPr>
          <w:trHeight w:val="1250" w:hRule="exact"/>
        </w:trPr>
        <w:tc>
          <w:tcPr>
            <w:tcW w:w="1220" w:type="dxa"/>
            <w:vMerge w:val="continue"/>
            <w:tcBorders>
              <w:left w:val="single" w:color="000000" w:sz="4" w:space="0"/>
              <w:right w:val="single" w:color="000000" w:sz="4" w:space="0"/>
            </w:tcBorders>
          </w:tcPr>
          <w:p/>
        </w:tc>
        <w:tc>
          <w:tcPr>
            <w:tcW w:w="1084" w:type="dxa"/>
            <w:tcBorders>
              <w:top w:val="single" w:color="000000" w:sz="4" w:space="0"/>
              <w:left w:val="single" w:color="000000" w:sz="4" w:space="0"/>
              <w:bottom w:val="single" w:color="000000" w:sz="4" w:space="0"/>
              <w:right w:val="single" w:color="000000" w:sz="4" w:space="0"/>
            </w:tcBorders>
          </w:tcPr>
          <w:p>
            <w:pPr>
              <w:pStyle w:val="20"/>
              <w:spacing w:before="146" w:line="312" w:lineRule="exact"/>
              <w:ind w:left="422" w:right="169" w:hanging="240"/>
              <w:rPr>
                <w:rFonts w:ascii="宋体" w:hAnsi="宋体" w:eastAsia="宋体" w:cs="宋体"/>
                <w:sz w:val="24"/>
                <w:szCs w:val="24"/>
              </w:rPr>
            </w:pPr>
            <w:r>
              <w:rPr>
                <w:rFonts w:ascii="宋体" w:hAnsi="宋体" w:eastAsia="宋体" w:cs="宋体"/>
                <w:sz w:val="24"/>
                <w:szCs w:val="24"/>
              </w:rPr>
              <w:t>质量承 诺</w:t>
            </w:r>
          </w:p>
        </w:tc>
        <w:tc>
          <w:tcPr>
            <w:tcW w:w="6202" w:type="dxa"/>
            <w:tcBorders>
              <w:top w:val="single" w:color="000000" w:sz="4" w:space="0"/>
              <w:left w:val="single" w:color="000000" w:sz="4" w:space="0"/>
              <w:bottom w:val="single" w:color="000000" w:sz="4" w:space="0"/>
              <w:right w:val="single" w:color="000000" w:sz="4" w:space="0"/>
            </w:tcBorders>
          </w:tcPr>
          <w:p>
            <w:pPr>
              <w:pStyle w:val="20"/>
              <w:spacing w:before="146" w:line="312" w:lineRule="exact"/>
              <w:ind w:left="101" w:right="100"/>
              <w:jc w:val="both"/>
              <w:rPr>
                <w:rFonts w:ascii="宋体" w:hAnsi="宋体" w:eastAsia="宋体" w:cs="宋体"/>
                <w:sz w:val="24"/>
                <w:szCs w:val="24"/>
                <w:lang w:eastAsia="zh-CN"/>
              </w:rPr>
            </w:pPr>
            <w:r>
              <w:rPr>
                <w:rFonts w:ascii="宋体" w:hAnsi="宋体" w:eastAsia="宋体" w:cs="宋体"/>
                <w:spacing w:val="-1"/>
                <w:sz w:val="24"/>
                <w:szCs w:val="24"/>
                <w:lang w:eastAsia="zh-CN"/>
              </w:rPr>
              <w:t>根据供应商制作安装所承诺的质量，包含①角钢支架、②</w:t>
            </w:r>
            <w:r>
              <w:rPr>
                <w:rFonts w:ascii="宋体" w:hAnsi="宋体" w:eastAsia="宋体" w:cs="宋体"/>
                <w:spacing w:val="-108"/>
                <w:sz w:val="24"/>
                <w:szCs w:val="24"/>
                <w:lang w:eastAsia="zh-CN"/>
              </w:rPr>
              <w:t xml:space="preserve"> </w:t>
            </w:r>
            <w:r>
              <w:rPr>
                <w:rFonts w:ascii="宋体" w:hAnsi="宋体" w:eastAsia="宋体" w:cs="宋体"/>
                <w:spacing w:val="-1"/>
                <w:sz w:val="24"/>
                <w:szCs w:val="24"/>
                <w:lang w:eastAsia="zh-CN"/>
              </w:rPr>
              <w:t>字体喷塑、③开关电源、④灯组等内容。每有一条且经磋</w:t>
            </w:r>
            <w:r>
              <w:rPr>
                <w:rFonts w:ascii="宋体" w:hAnsi="宋体" w:eastAsia="宋体" w:cs="宋体"/>
                <w:spacing w:val="-108"/>
                <w:sz w:val="24"/>
                <w:szCs w:val="24"/>
                <w:lang w:eastAsia="zh-CN"/>
              </w:rPr>
              <w:t xml:space="preserve"> </w:t>
            </w:r>
            <w:r>
              <w:rPr>
                <w:rFonts w:ascii="宋体" w:hAnsi="宋体" w:eastAsia="宋体" w:cs="宋体"/>
                <w:sz w:val="24"/>
                <w:szCs w:val="24"/>
                <w:lang w:eastAsia="zh-CN"/>
              </w:rPr>
              <w:t>商专家认定</w:t>
            </w:r>
            <w:r>
              <w:rPr>
                <w:rFonts w:hint="eastAsia" w:ascii="宋体" w:hAnsi="宋体" w:eastAsia="宋体" w:cs="宋体"/>
                <w:sz w:val="24"/>
                <w:szCs w:val="24"/>
                <w:lang w:eastAsia="zh-CN"/>
              </w:rPr>
              <w:t>根据</w:t>
            </w:r>
            <w:r>
              <w:rPr>
                <w:rFonts w:ascii="宋体" w:hAnsi="宋体" w:eastAsia="宋体" w:cs="宋体"/>
                <w:sz w:val="24"/>
                <w:szCs w:val="24"/>
                <w:lang w:eastAsia="zh-CN"/>
              </w:rPr>
              <w:t>详尽合理</w:t>
            </w:r>
            <w:r>
              <w:rPr>
                <w:rFonts w:hint="eastAsia" w:ascii="宋体" w:hAnsi="宋体" w:eastAsia="宋体" w:cs="宋体"/>
                <w:sz w:val="24"/>
                <w:szCs w:val="24"/>
                <w:lang w:eastAsia="zh-CN"/>
              </w:rPr>
              <w:t>性</w:t>
            </w:r>
            <w:r>
              <w:rPr>
                <w:rFonts w:ascii="宋体" w:hAnsi="宋体" w:eastAsia="宋体" w:cs="宋体"/>
                <w:sz w:val="24"/>
                <w:szCs w:val="24"/>
                <w:lang w:eastAsia="zh-CN"/>
              </w:rPr>
              <w:t>得</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2</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分，本项最多得</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8</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w:t>
            </w:r>
          </w:p>
        </w:tc>
        <w:tc>
          <w:tcPr>
            <w:tcW w:w="992" w:type="dxa"/>
            <w:tcBorders>
              <w:top w:val="single" w:color="000000" w:sz="4" w:space="0"/>
              <w:left w:val="single" w:color="000000" w:sz="4" w:space="0"/>
              <w:bottom w:val="single" w:color="000000" w:sz="4" w:space="0"/>
              <w:right w:val="single" w:color="000000" w:sz="4" w:space="0"/>
            </w:tcBorders>
          </w:tcPr>
          <w:p>
            <w:pPr>
              <w:pStyle w:val="20"/>
              <w:spacing w:before="9"/>
              <w:rPr>
                <w:rFonts w:ascii="宋体" w:hAnsi="宋体" w:eastAsia="宋体" w:cs="宋体"/>
                <w:sz w:val="32"/>
                <w:szCs w:val="32"/>
                <w:lang w:eastAsia="zh-CN"/>
              </w:rPr>
            </w:pPr>
          </w:p>
          <w:p>
            <w:pPr>
              <w:pStyle w:val="20"/>
              <w:ind w:left="281"/>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60"/>
                <w:sz w:val="24"/>
                <w:szCs w:val="24"/>
              </w:rPr>
              <w:t xml:space="preserve"> </w:t>
            </w:r>
            <w:r>
              <w:rPr>
                <w:rFonts w:ascii="宋体" w:hAnsi="宋体" w:eastAsia="宋体" w:cs="宋体"/>
                <w:sz w:val="24"/>
                <w:szCs w:val="24"/>
              </w:rPr>
              <w:t>分</w:t>
            </w:r>
          </w:p>
        </w:tc>
      </w:tr>
      <w:tr>
        <w:tblPrEx>
          <w:tblLayout w:type="fixed"/>
          <w:tblCellMar>
            <w:top w:w="0" w:type="dxa"/>
            <w:left w:w="0" w:type="dxa"/>
            <w:bottom w:w="0" w:type="dxa"/>
            <w:right w:w="0" w:type="dxa"/>
          </w:tblCellMar>
        </w:tblPrEx>
        <w:trPr>
          <w:trHeight w:val="2194" w:hRule="exact"/>
        </w:trPr>
        <w:tc>
          <w:tcPr>
            <w:tcW w:w="1220" w:type="dxa"/>
            <w:vMerge w:val="continue"/>
            <w:tcBorders>
              <w:left w:val="single" w:color="000000" w:sz="4" w:space="0"/>
              <w:bottom w:val="single" w:color="000000" w:sz="4" w:space="0"/>
              <w:right w:val="single" w:color="000000" w:sz="4" w:space="0"/>
            </w:tcBorders>
          </w:tcPr>
          <w:p/>
        </w:tc>
        <w:tc>
          <w:tcPr>
            <w:tcW w:w="1084" w:type="dxa"/>
            <w:tcBorders>
              <w:top w:val="single" w:color="000000" w:sz="4" w:space="0"/>
              <w:left w:val="single" w:color="000000" w:sz="4" w:space="0"/>
              <w:bottom w:val="single" w:color="000000" w:sz="4" w:space="0"/>
              <w:right w:val="single" w:color="000000" w:sz="4" w:space="0"/>
            </w:tcBorders>
          </w:tcPr>
          <w:p>
            <w:pPr>
              <w:pStyle w:val="20"/>
              <w:spacing w:before="3"/>
              <w:rPr>
                <w:rFonts w:ascii="宋体" w:hAnsi="宋体" w:eastAsia="宋体" w:cs="宋体"/>
                <w:sz w:val="35"/>
                <w:szCs w:val="35"/>
              </w:rPr>
            </w:pPr>
          </w:p>
          <w:p>
            <w:pPr>
              <w:pStyle w:val="20"/>
              <w:spacing w:line="312" w:lineRule="exact"/>
              <w:ind w:left="182" w:right="169"/>
              <w:jc w:val="center"/>
              <w:rPr>
                <w:rFonts w:ascii="宋体" w:hAnsi="宋体" w:eastAsia="宋体" w:cs="宋体"/>
                <w:sz w:val="24"/>
                <w:szCs w:val="24"/>
              </w:rPr>
            </w:pPr>
            <w:r>
              <w:rPr>
                <w:rFonts w:ascii="宋体" w:hAnsi="宋体" w:eastAsia="宋体" w:cs="宋体"/>
                <w:sz w:val="24"/>
                <w:szCs w:val="24"/>
              </w:rPr>
              <w:t>项目组 成员配 备</w:t>
            </w:r>
          </w:p>
        </w:tc>
        <w:tc>
          <w:tcPr>
            <w:tcW w:w="6202" w:type="dxa"/>
            <w:tcBorders>
              <w:top w:val="single" w:color="000000" w:sz="4" w:space="0"/>
              <w:left w:val="single" w:color="000000" w:sz="4" w:space="0"/>
              <w:bottom w:val="single" w:color="000000" w:sz="4" w:space="0"/>
              <w:right w:val="single" w:color="000000" w:sz="4" w:space="0"/>
            </w:tcBorders>
          </w:tcPr>
          <w:p>
            <w:pPr>
              <w:pStyle w:val="20"/>
              <w:spacing w:line="275" w:lineRule="exact"/>
              <w:ind w:left="101"/>
              <w:rPr>
                <w:rFonts w:ascii="宋体" w:hAnsi="宋体" w:eastAsia="宋体" w:cs="宋体"/>
                <w:sz w:val="24"/>
                <w:szCs w:val="24"/>
                <w:lang w:eastAsia="zh-CN"/>
              </w:rPr>
            </w:pPr>
            <w:r>
              <w:rPr>
                <w:rFonts w:ascii="宋体" w:hAnsi="宋体" w:eastAsia="宋体" w:cs="宋体"/>
                <w:sz w:val="24"/>
                <w:szCs w:val="24"/>
                <w:lang w:eastAsia="zh-CN"/>
              </w:rPr>
              <w:t>1、项目组设计人员具务相关证书，得</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3</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w:t>
            </w:r>
          </w:p>
          <w:p>
            <w:pPr>
              <w:pStyle w:val="20"/>
              <w:spacing w:line="312" w:lineRule="exact"/>
              <w:ind w:left="101"/>
              <w:rPr>
                <w:rFonts w:ascii="宋体" w:hAnsi="宋体" w:eastAsia="宋体" w:cs="宋体"/>
                <w:sz w:val="24"/>
                <w:szCs w:val="24"/>
                <w:lang w:eastAsia="zh-CN"/>
              </w:rPr>
            </w:pPr>
            <w:r>
              <w:rPr>
                <w:rFonts w:ascii="宋体" w:hAnsi="宋体" w:eastAsia="宋体" w:cs="宋体"/>
                <w:sz w:val="24"/>
                <w:szCs w:val="24"/>
                <w:lang w:eastAsia="zh-CN"/>
              </w:rPr>
              <w:t>2、项目组作业人员具备高处作业操作证，得 2.5</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分，本</w:t>
            </w:r>
          </w:p>
          <w:p>
            <w:pPr>
              <w:pStyle w:val="20"/>
              <w:spacing w:line="312" w:lineRule="exact"/>
              <w:ind w:left="101"/>
              <w:rPr>
                <w:rFonts w:ascii="宋体" w:hAnsi="宋体" w:eastAsia="宋体" w:cs="宋体"/>
                <w:sz w:val="24"/>
                <w:szCs w:val="24"/>
                <w:lang w:eastAsia="zh-CN"/>
              </w:rPr>
            </w:pPr>
            <w:r>
              <w:rPr>
                <w:rFonts w:ascii="宋体" w:hAnsi="宋体" w:eastAsia="宋体" w:cs="宋体"/>
                <w:sz w:val="24"/>
                <w:szCs w:val="24"/>
                <w:lang w:eastAsia="zh-CN"/>
              </w:rPr>
              <w:t>项共得</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2.5</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w:t>
            </w:r>
          </w:p>
          <w:p>
            <w:pPr>
              <w:pStyle w:val="20"/>
              <w:spacing w:line="312" w:lineRule="exact"/>
              <w:ind w:left="101"/>
              <w:rPr>
                <w:rFonts w:ascii="宋体" w:hAnsi="宋体" w:eastAsia="宋体" w:cs="宋体"/>
                <w:sz w:val="24"/>
                <w:szCs w:val="24"/>
                <w:lang w:eastAsia="zh-CN"/>
              </w:rPr>
            </w:pPr>
            <w:r>
              <w:rPr>
                <w:rFonts w:ascii="宋体" w:hAnsi="宋体" w:eastAsia="宋体" w:cs="宋体"/>
                <w:sz w:val="24"/>
                <w:szCs w:val="24"/>
                <w:lang w:eastAsia="zh-CN"/>
              </w:rPr>
              <w:t>3、项目组作业人员具备电工证，每有一个得 2.5</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分，本</w:t>
            </w:r>
          </w:p>
          <w:p>
            <w:pPr>
              <w:pStyle w:val="20"/>
              <w:spacing w:line="312" w:lineRule="exact"/>
              <w:ind w:left="101"/>
              <w:rPr>
                <w:rFonts w:ascii="宋体" w:hAnsi="宋体" w:eastAsia="宋体" w:cs="宋体"/>
                <w:sz w:val="24"/>
                <w:szCs w:val="24"/>
                <w:lang w:eastAsia="zh-CN"/>
              </w:rPr>
            </w:pPr>
            <w:r>
              <w:rPr>
                <w:rFonts w:ascii="宋体" w:hAnsi="宋体" w:eastAsia="宋体" w:cs="宋体"/>
                <w:sz w:val="24"/>
                <w:szCs w:val="24"/>
                <w:lang w:eastAsia="zh-CN"/>
              </w:rPr>
              <w:t>项共得</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2.5</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w:t>
            </w:r>
          </w:p>
          <w:p>
            <w:pPr>
              <w:pStyle w:val="20"/>
              <w:spacing w:before="29" w:line="312" w:lineRule="exact"/>
              <w:ind w:right="100"/>
              <w:rPr>
                <w:rFonts w:ascii="宋体" w:hAnsi="宋体" w:eastAsia="宋体" w:cs="宋体"/>
                <w:sz w:val="24"/>
                <w:szCs w:val="24"/>
                <w:lang w:eastAsia="zh-CN"/>
              </w:rPr>
            </w:pPr>
            <w:r>
              <w:rPr>
                <w:rFonts w:hint="eastAsia" w:ascii="宋体" w:hAnsi="宋体" w:eastAsia="宋体" w:cs="宋体"/>
                <w:spacing w:val="-1"/>
                <w:sz w:val="24"/>
                <w:szCs w:val="24"/>
                <w:lang w:eastAsia="zh-CN"/>
              </w:rPr>
              <w:t>（提供同一人员具有多个上述证件的只计取一证。复印件须装订在响应文件中，否则不得分）</w:t>
            </w:r>
          </w:p>
        </w:tc>
        <w:tc>
          <w:tcPr>
            <w:tcW w:w="992" w:type="dxa"/>
            <w:tcBorders>
              <w:top w:val="single" w:color="000000" w:sz="4" w:space="0"/>
              <w:left w:val="single" w:color="000000" w:sz="4" w:space="0"/>
              <w:bottom w:val="single" w:color="000000" w:sz="4" w:space="0"/>
              <w:right w:val="single" w:color="000000" w:sz="4" w:space="0"/>
            </w:tcBorders>
          </w:tcPr>
          <w:p>
            <w:pPr>
              <w:pStyle w:val="20"/>
              <w:rPr>
                <w:rFonts w:ascii="宋体" w:hAnsi="宋体" w:eastAsia="宋体" w:cs="宋体"/>
                <w:sz w:val="24"/>
                <w:szCs w:val="24"/>
                <w:lang w:eastAsia="zh-CN"/>
              </w:rPr>
            </w:pPr>
          </w:p>
          <w:p>
            <w:pPr>
              <w:pStyle w:val="20"/>
              <w:rPr>
                <w:rFonts w:ascii="宋体" w:hAnsi="宋体" w:eastAsia="宋体" w:cs="宋体"/>
                <w:sz w:val="24"/>
                <w:szCs w:val="24"/>
                <w:lang w:eastAsia="zh-CN"/>
              </w:rPr>
            </w:pPr>
          </w:p>
          <w:p>
            <w:pPr>
              <w:pStyle w:val="20"/>
              <w:spacing w:before="9"/>
              <w:rPr>
                <w:rFonts w:ascii="宋体" w:hAnsi="宋体" w:eastAsia="宋体" w:cs="宋体"/>
                <w:sz w:val="20"/>
                <w:szCs w:val="20"/>
                <w:lang w:eastAsia="zh-CN"/>
              </w:rPr>
            </w:pPr>
          </w:p>
          <w:p>
            <w:pPr>
              <w:pStyle w:val="20"/>
              <w:ind w:left="281"/>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60"/>
                <w:sz w:val="24"/>
                <w:szCs w:val="24"/>
              </w:rPr>
              <w:t xml:space="preserve"> </w:t>
            </w:r>
            <w:r>
              <w:rPr>
                <w:rFonts w:ascii="宋体" w:hAnsi="宋体" w:eastAsia="宋体" w:cs="宋体"/>
                <w:sz w:val="24"/>
                <w:szCs w:val="24"/>
              </w:rPr>
              <w:t>分</w:t>
            </w:r>
          </w:p>
        </w:tc>
      </w:tr>
      <w:tr>
        <w:tblPrEx>
          <w:tblLayout w:type="fixed"/>
          <w:tblCellMar>
            <w:top w:w="0" w:type="dxa"/>
            <w:left w:w="0" w:type="dxa"/>
            <w:bottom w:w="0" w:type="dxa"/>
            <w:right w:w="0" w:type="dxa"/>
          </w:tblCellMar>
        </w:tblPrEx>
        <w:trPr>
          <w:trHeight w:val="946" w:hRule="exact"/>
        </w:trPr>
        <w:tc>
          <w:tcPr>
            <w:tcW w:w="2304" w:type="dxa"/>
            <w:gridSpan w:val="2"/>
            <w:tcBorders>
              <w:top w:val="single" w:color="000000" w:sz="4" w:space="0"/>
              <w:left w:val="single" w:color="000000" w:sz="4" w:space="0"/>
              <w:bottom w:val="single" w:color="000000" w:sz="4" w:space="0"/>
              <w:right w:val="single" w:color="000000" w:sz="4" w:space="0"/>
            </w:tcBorders>
          </w:tcPr>
          <w:p>
            <w:pPr>
              <w:pStyle w:val="20"/>
              <w:spacing w:before="12"/>
              <w:rPr>
                <w:rFonts w:ascii="宋体" w:hAnsi="宋体" w:eastAsia="宋体" w:cs="宋体"/>
                <w:sz w:val="20"/>
                <w:szCs w:val="20"/>
              </w:rPr>
            </w:pPr>
          </w:p>
          <w:p>
            <w:pPr>
              <w:pStyle w:val="20"/>
              <w:ind w:left="217"/>
              <w:rPr>
                <w:rFonts w:ascii="宋体" w:hAnsi="宋体" w:eastAsia="宋体" w:cs="宋体"/>
                <w:sz w:val="24"/>
                <w:szCs w:val="24"/>
              </w:rPr>
            </w:pPr>
            <w:r>
              <w:rPr>
                <w:rFonts w:ascii="宋体" w:hAnsi="宋体" w:eastAsia="宋体" w:cs="宋体"/>
                <w:sz w:val="24"/>
                <w:szCs w:val="24"/>
              </w:rPr>
              <w:t>售后服务（3</w:t>
            </w:r>
            <w:r>
              <w:rPr>
                <w:rFonts w:ascii="宋体" w:hAnsi="宋体" w:eastAsia="宋体" w:cs="宋体"/>
                <w:spacing w:val="-60"/>
                <w:sz w:val="24"/>
                <w:szCs w:val="24"/>
              </w:rPr>
              <w:t xml:space="preserve"> </w:t>
            </w:r>
            <w:r>
              <w:rPr>
                <w:rFonts w:ascii="宋体" w:hAnsi="宋体" w:eastAsia="宋体" w:cs="宋体"/>
                <w:sz w:val="24"/>
                <w:szCs w:val="24"/>
              </w:rPr>
              <w:t>分）</w:t>
            </w:r>
          </w:p>
        </w:tc>
        <w:tc>
          <w:tcPr>
            <w:tcW w:w="6202" w:type="dxa"/>
            <w:tcBorders>
              <w:top w:val="single" w:color="000000" w:sz="4" w:space="0"/>
              <w:left w:val="single" w:color="000000" w:sz="4" w:space="0"/>
              <w:bottom w:val="single" w:color="000000" w:sz="4" w:space="0"/>
              <w:right w:val="single" w:color="000000" w:sz="4" w:space="0"/>
            </w:tcBorders>
          </w:tcPr>
          <w:p>
            <w:pPr>
              <w:pStyle w:val="20"/>
              <w:spacing w:line="275" w:lineRule="exact"/>
              <w:ind w:left="101" w:right="-18"/>
              <w:rPr>
                <w:rFonts w:ascii="宋体" w:hAnsi="宋体" w:eastAsia="宋体" w:cs="宋体"/>
                <w:sz w:val="24"/>
                <w:szCs w:val="24"/>
                <w:lang w:eastAsia="zh-CN"/>
              </w:rPr>
            </w:pPr>
            <w:r>
              <w:rPr>
                <w:rFonts w:ascii="宋体" w:hAnsi="宋体" w:eastAsia="宋体" w:cs="宋体"/>
                <w:sz w:val="24"/>
                <w:szCs w:val="24"/>
                <w:lang w:eastAsia="zh-CN"/>
              </w:rPr>
              <w:t>1、出现问题在</w:t>
            </w:r>
            <w:r>
              <w:rPr>
                <w:rFonts w:ascii="宋体" w:hAnsi="宋体" w:eastAsia="宋体" w:cs="宋体"/>
                <w:spacing w:val="-55"/>
                <w:sz w:val="24"/>
                <w:szCs w:val="24"/>
                <w:lang w:eastAsia="zh-CN"/>
              </w:rPr>
              <w:t xml:space="preserve"> </w:t>
            </w:r>
            <w:r>
              <w:rPr>
                <w:rFonts w:ascii="宋体" w:hAnsi="宋体" w:eastAsia="宋体" w:cs="宋体"/>
                <w:sz w:val="24"/>
                <w:szCs w:val="24"/>
                <w:lang w:eastAsia="zh-CN"/>
              </w:rPr>
              <w:t>12</w:t>
            </w:r>
            <w:r>
              <w:rPr>
                <w:rFonts w:ascii="宋体" w:hAnsi="宋体" w:eastAsia="宋体" w:cs="宋体"/>
                <w:spacing w:val="-55"/>
                <w:sz w:val="24"/>
                <w:szCs w:val="24"/>
                <w:lang w:eastAsia="zh-CN"/>
              </w:rPr>
              <w:t xml:space="preserve"> </w:t>
            </w:r>
            <w:r>
              <w:rPr>
                <w:rFonts w:ascii="宋体" w:hAnsi="宋体" w:eastAsia="宋体" w:cs="宋体"/>
                <w:spacing w:val="-8"/>
                <w:sz w:val="24"/>
                <w:szCs w:val="24"/>
                <w:lang w:eastAsia="zh-CN"/>
              </w:rPr>
              <w:t>小时内得到响应（电话沟通、到达现场、</w:t>
            </w:r>
          </w:p>
          <w:p>
            <w:pPr>
              <w:pStyle w:val="20"/>
              <w:spacing w:line="312" w:lineRule="exact"/>
              <w:ind w:left="101"/>
              <w:rPr>
                <w:rFonts w:ascii="宋体" w:hAnsi="宋体" w:eastAsia="宋体" w:cs="宋体"/>
                <w:sz w:val="24"/>
                <w:szCs w:val="24"/>
                <w:lang w:eastAsia="zh-CN"/>
              </w:rPr>
            </w:pPr>
            <w:r>
              <w:rPr>
                <w:rFonts w:ascii="宋体" w:hAnsi="宋体" w:eastAsia="宋体" w:cs="宋体"/>
                <w:sz w:val="24"/>
                <w:szCs w:val="24"/>
                <w:lang w:eastAsia="zh-CN"/>
              </w:rPr>
              <w:t>解决问题的时间）得</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2</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w:t>
            </w:r>
          </w:p>
          <w:p>
            <w:pPr>
              <w:pStyle w:val="20"/>
              <w:spacing w:line="313" w:lineRule="exact"/>
              <w:ind w:left="101"/>
              <w:rPr>
                <w:rFonts w:ascii="宋体" w:hAnsi="宋体" w:eastAsia="宋体" w:cs="宋体"/>
                <w:sz w:val="24"/>
                <w:szCs w:val="24"/>
                <w:lang w:eastAsia="zh-CN"/>
              </w:rPr>
            </w:pPr>
            <w:r>
              <w:rPr>
                <w:rFonts w:ascii="宋体" w:hAnsi="宋体" w:eastAsia="宋体" w:cs="宋体"/>
                <w:sz w:val="24"/>
                <w:szCs w:val="24"/>
                <w:lang w:eastAsia="zh-CN"/>
              </w:rPr>
              <w:t>2、质保期内的服务条款完善，得</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1</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分。</w:t>
            </w:r>
          </w:p>
        </w:tc>
        <w:tc>
          <w:tcPr>
            <w:tcW w:w="992" w:type="dxa"/>
            <w:tcBorders>
              <w:top w:val="single" w:color="000000" w:sz="4" w:space="0"/>
              <w:left w:val="single" w:color="000000" w:sz="4" w:space="0"/>
              <w:bottom w:val="single" w:color="000000" w:sz="4" w:space="0"/>
              <w:right w:val="single" w:color="000000" w:sz="4" w:space="0"/>
            </w:tcBorders>
          </w:tcPr>
          <w:p>
            <w:pPr>
              <w:pStyle w:val="20"/>
              <w:spacing w:before="12"/>
              <w:rPr>
                <w:rFonts w:ascii="宋体" w:hAnsi="宋体" w:eastAsia="宋体" w:cs="宋体"/>
                <w:sz w:val="20"/>
                <w:szCs w:val="20"/>
                <w:lang w:eastAsia="zh-CN"/>
              </w:rPr>
            </w:pPr>
          </w:p>
          <w:p>
            <w:pPr>
              <w:pStyle w:val="20"/>
              <w:ind w:left="28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60"/>
                <w:sz w:val="24"/>
                <w:szCs w:val="24"/>
              </w:rPr>
              <w:t xml:space="preserve"> </w:t>
            </w:r>
            <w:r>
              <w:rPr>
                <w:rFonts w:ascii="宋体" w:hAnsi="宋体" w:eastAsia="宋体" w:cs="宋体"/>
                <w:sz w:val="24"/>
                <w:szCs w:val="24"/>
              </w:rPr>
              <w:t>分</w:t>
            </w:r>
          </w:p>
        </w:tc>
      </w:tr>
      <w:tr>
        <w:tblPrEx>
          <w:tblLayout w:type="fixed"/>
          <w:tblCellMar>
            <w:top w:w="0" w:type="dxa"/>
            <w:left w:w="0" w:type="dxa"/>
            <w:bottom w:w="0" w:type="dxa"/>
            <w:right w:w="0" w:type="dxa"/>
          </w:tblCellMar>
        </w:tblPrEx>
        <w:trPr>
          <w:trHeight w:val="1570" w:hRule="exact"/>
        </w:trPr>
        <w:tc>
          <w:tcPr>
            <w:tcW w:w="2304" w:type="dxa"/>
            <w:gridSpan w:val="2"/>
            <w:tcBorders>
              <w:top w:val="single" w:color="000000" w:sz="4" w:space="0"/>
              <w:left w:val="single" w:color="000000" w:sz="4" w:space="0"/>
              <w:bottom w:val="single" w:color="000000" w:sz="4" w:space="0"/>
              <w:right w:val="single" w:color="000000" w:sz="4" w:space="0"/>
            </w:tcBorders>
          </w:tcPr>
          <w:p>
            <w:pPr>
              <w:pStyle w:val="20"/>
              <w:rPr>
                <w:rFonts w:ascii="宋体" w:hAnsi="宋体" w:eastAsia="宋体" w:cs="宋体"/>
                <w:sz w:val="24"/>
                <w:szCs w:val="24"/>
              </w:rPr>
            </w:pPr>
          </w:p>
          <w:p>
            <w:pPr>
              <w:pStyle w:val="20"/>
              <w:spacing w:before="12"/>
              <w:rPr>
                <w:rFonts w:ascii="宋体" w:hAnsi="宋体" w:eastAsia="宋体" w:cs="宋体"/>
                <w:sz w:val="20"/>
                <w:szCs w:val="20"/>
              </w:rPr>
            </w:pPr>
          </w:p>
          <w:p>
            <w:pPr>
              <w:pStyle w:val="20"/>
              <w:ind w:left="217"/>
              <w:rPr>
                <w:rFonts w:ascii="宋体" w:hAnsi="宋体" w:eastAsia="宋体" w:cs="宋体"/>
                <w:sz w:val="24"/>
                <w:szCs w:val="24"/>
              </w:rPr>
            </w:pPr>
            <w:r>
              <w:rPr>
                <w:rFonts w:ascii="宋体" w:hAnsi="宋体" w:eastAsia="宋体" w:cs="宋体"/>
                <w:sz w:val="24"/>
                <w:szCs w:val="24"/>
              </w:rPr>
              <w:t>企业业绩（6</w:t>
            </w:r>
            <w:r>
              <w:rPr>
                <w:rFonts w:ascii="宋体" w:hAnsi="宋体" w:eastAsia="宋体" w:cs="宋体"/>
                <w:spacing w:val="-60"/>
                <w:sz w:val="24"/>
                <w:szCs w:val="24"/>
              </w:rPr>
              <w:t xml:space="preserve"> </w:t>
            </w:r>
            <w:r>
              <w:rPr>
                <w:rFonts w:ascii="宋体" w:hAnsi="宋体" w:eastAsia="宋体" w:cs="宋体"/>
                <w:sz w:val="24"/>
                <w:szCs w:val="24"/>
              </w:rPr>
              <w:t>分）</w:t>
            </w:r>
          </w:p>
        </w:tc>
        <w:tc>
          <w:tcPr>
            <w:tcW w:w="6202" w:type="dxa"/>
            <w:tcBorders>
              <w:top w:val="single" w:color="000000" w:sz="4" w:space="0"/>
              <w:left w:val="single" w:color="000000" w:sz="4" w:space="0"/>
              <w:bottom w:val="single" w:color="000000" w:sz="4" w:space="0"/>
              <w:right w:val="single" w:color="000000" w:sz="4" w:space="0"/>
            </w:tcBorders>
          </w:tcPr>
          <w:p>
            <w:pPr>
              <w:pStyle w:val="20"/>
              <w:spacing w:line="277" w:lineRule="exact"/>
              <w:ind w:left="101"/>
              <w:rPr>
                <w:rFonts w:ascii="宋体" w:hAnsi="宋体" w:eastAsia="宋体" w:cs="宋体"/>
                <w:sz w:val="24"/>
                <w:szCs w:val="24"/>
                <w:lang w:eastAsia="zh-CN"/>
              </w:rPr>
            </w:pPr>
            <w:r>
              <w:rPr>
                <w:rFonts w:ascii="宋体" w:hAnsi="宋体" w:eastAsia="宋体" w:cs="宋体"/>
                <w:sz w:val="24"/>
                <w:szCs w:val="24"/>
                <w:lang w:eastAsia="zh-CN"/>
              </w:rPr>
              <w:t>供应商自</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201</w:t>
            </w:r>
            <w:r>
              <w:rPr>
                <w:rFonts w:hint="eastAsia" w:ascii="宋体" w:hAnsi="宋体" w:eastAsia="宋体" w:cs="宋体"/>
                <w:sz w:val="24"/>
                <w:szCs w:val="24"/>
                <w:lang w:eastAsia="zh-CN"/>
              </w:rPr>
              <w:t>6</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年</w:t>
            </w:r>
            <w:r>
              <w:rPr>
                <w:rFonts w:ascii="宋体" w:hAnsi="宋体" w:eastAsia="宋体" w:cs="宋体"/>
                <w:spacing w:val="-60"/>
                <w:sz w:val="24"/>
                <w:szCs w:val="24"/>
                <w:lang w:eastAsia="zh-CN"/>
              </w:rPr>
              <w:t xml:space="preserve"> </w:t>
            </w:r>
            <w:r>
              <w:rPr>
                <w:rFonts w:hint="eastAsia" w:ascii="宋体" w:hAnsi="宋体" w:eastAsia="宋体" w:cs="宋体"/>
                <w:sz w:val="24"/>
                <w:szCs w:val="24"/>
                <w:lang w:eastAsia="zh-CN"/>
              </w:rPr>
              <w:t>3</w:t>
            </w:r>
            <w:r>
              <w:rPr>
                <w:rFonts w:ascii="宋体" w:hAnsi="宋体" w:eastAsia="宋体" w:cs="宋体"/>
                <w:sz w:val="24"/>
                <w:szCs w:val="24"/>
                <w:lang w:eastAsia="zh-CN"/>
              </w:rPr>
              <w:t>月</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1</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 xml:space="preserve">日以来承担过类似业绩 </w:t>
            </w:r>
            <w:r>
              <w:rPr>
                <w:rFonts w:ascii="宋体" w:hAnsi="宋体" w:eastAsia="宋体" w:cs="宋体"/>
                <w:spacing w:val="-3"/>
                <w:sz w:val="24"/>
                <w:szCs w:val="24"/>
                <w:lang w:eastAsia="zh-CN"/>
              </w:rPr>
              <w:t>，每有一</w:t>
            </w:r>
          </w:p>
          <w:p>
            <w:pPr>
              <w:pStyle w:val="20"/>
              <w:spacing w:before="29" w:line="312" w:lineRule="exact"/>
              <w:ind w:left="101" w:right="100"/>
              <w:rPr>
                <w:rFonts w:ascii="宋体" w:hAnsi="宋体" w:eastAsia="宋体" w:cs="宋体"/>
                <w:sz w:val="24"/>
                <w:szCs w:val="24"/>
                <w:lang w:eastAsia="zh-CN"/>
              </w:rPr>
            </w:pPr>
            <w:r>
              <w:rPr>
                <w:rFonts w:ascii="宋体" w:hAnsi="宋体" w:eastAsia="宋体" w:cs="宋体"/>
                <w:sz w:val="24"/>
                <w:szCs w:val="24"/>
                <w:lang w:eastAsia="zh-CN"/>
              </w:rPr>
              <w:t>项得</w:t>
            </w:r>
            <w:r>
              <w:rPr>
                <w:rFonts w:ascii="宋体" w:hAnsi="宋体" w:eastAsia="宋体" w:cs="宋体"/>
                <w:spacing w:val="-64"/>
                <w:sz w:val="24"/>
                <w:szCs w:val="24"/>
                <w:lang w:eastAsia="zh-CN"/>
              </w:rPr>
              <w:t xml:space="preserve"> </w:t>
            </w:r>
            <w:r>
              <w:rPr>
                <w:rFonts w:ascii="宋体" w:hAnsi="宋体" w:eastAsia="宋体" w:cs="宋体"/>
                <w:sz w:val="24"/>
                <w:szCs w:val="24"/>
                <w:lang w:eastAsia="zh-CN"/>
              </w:rPr>
              <w:t>3</w:t>
            </w:r>
            <w:r>
              <w:rPr>
                <w:rFonts w:ascii="宋体" w:hAnsi="宋体" w:eastAsia="宋体" w:cs="宋体"/>
                <w:spacing w:val="-64"/>
                <w:sz w:val="24"/>
                <w:szCs w:val="24"/>
                <w:lang w:eastAsia="zh-CN"/>
              </w:rPr>
              <w:t xml:space="preserve"> </w:t>
            </w:r>
            <w:r>
              <w:rPr>
                <w:rFonts w:ascii="宋体" w:hAnsi="宋体" w:eastAsia="宋体" w:cs="宋体"/>
                <w:sz w:val="24"/>
                <w:szCs w:val="24"/>
                <w:lang w:eastAsia="zh-CN"/>
              </w:rPr>
              <w:t>分，本项最高得</w:t>
            </w:r>
            <w:r>
              <w:rPr>
                <w:rFonts w:ascii="宋体" w:hAnsi="宋体" w:eastAsia="宋体" w:cs="宋体"/>
                <w:spacing w:val="-64"/>
                <w:sz w:val="24"/>
                <w:szCs w:val="24"/>
                <w:lang w:eastAsia="zh-CN"/>
              </w:rPr>
              <w:t xml:space="preserve"> </w:t>
            </w:r>
            <w:r>
              <w:rPr>
                <w:rFonts w:ascii="宋体" w:hAnsi="宋体" w:eastAsia="宋体" w:cs="宋体"/>
                <w:sz w:val="24"/>
                <w:szCs w:val="24"/>
                <w:lang w:eastAsia="zh-CN"/>
              </w:rPr>
              <w:t>6</w:t>
            </w:r>
            <w:r>
              <w:rPr>
                <w:rFonts w:ascii="宋体" w:hAnsi="宋体" w:eastAsia="宋体" w:cs="宋体"/>
                <w:spacing w:val="-64"/>
                <w:sz w:val="24"/>
                <w:szCs w:val="24"/>
                <w:lang w:eastAsia="zh-CN"/>
              </w:rPr>
              <w:t xml:space="preserve"> </w:t>
            </w:r>
            <w:r>
              <w:rPr>
                <w:rFonts w:ascii="宋体" w:hAnsi="宋体" w:eastAsia="宋体" w:cs="宋体"/>
                <w:sz w:val="24"/>
                <w:szCs w:val="24"/>
                <w:lang w:eastAsia="zh-CN"/>
              </w:rPr>
              <w:t>分。</w:t>
            </w:r>
            <w:r>
              <w:rPr>
                <w:rFonts w:hint="eastAsia" w:ascii="宋体" w:hAnsi="宋体" w:eastAsia="宋体" w:cs="宋体"/>
                <w:sz w:val="24"/>
                <w:szCs w:val="24"/>
                <w:lang w:eastAsia="zh-CN"/>
              </w:rPr>
              <w:t>（必须提供合同，时间以合同签订时为准。复印件须装订在响应文件中，否则不得分。类似业绩指楼体发光宣传字深化设计、报批、制作安装项目）</w:t>
            </w:r>
          </w:p>
        </w:tc>
        <w:tc>
          <w:tcPr>
            <w:tcW w:w="992" w:type="dxa"/>
            <w:tcBorders>
              <w:top w:val="single" w:color="000000" w:sz="4" w:space="0"/>
              <w:left w:val="single" w:color="000000" w:sz="4" w:space="0"/>
              <w:bottom w:val="single" w:color="000000" w:sz="4" w:space="0"/>
              <w:right w:val="single" w:color="000000" w:sz="4" w:space="0"/>
            </w:tcBorders>
          </w:tcPr>
          <w:p>
            <w:pPr>
              <w:pStyle w:val="20"/>
              <w:rPr>
                <w:rFonts w:ascii="宋体" w:hAnsi="宋体" w:eastAsia="宋体" w:cs="宋体"/>
                <w:sz w:val="24"/>
                <w:szCs w:val="24"/>
                <w:lang w:eastAsia="zh-CN"/>
              </w:rPr>
            </w:pPr>
          </w:p>
          <w:p>
            <w:pPr>
              <w:pStyle w:val="20"/>
              <w:spacing w:before="12"/>
              <w:rPr>
                <w:rFonts w:ascii="宋体" w:hAnsi="宋体" w:eastAsia="宋体" w:cs="宋体"/>
                <w:sz w:val="20"/>
                <w:szCs w:val="20"/>
                <w:lang w:eastAsia="zh-CN"/>
              </w:rPr>
            </w:pPr>
          </w:p>
          <w:p>
            <w:pPr>
              <w:pStyle w:val="20"/>
              <w:ind w:left="28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60"/>
                <w:sz w:val="24"/>
                <w:szCs w:val="24"/>
              </w:rPr>
              <w:t xml:space="preserve"> </w:t>
            </w:r>
            <w:r>
              <w:rPr>
                <w:rFonts w:ascii="宋体" w:hAnsi="宋体" w:eastAsia="宋体" w:cs="宋体"/>
                <w:sz w:val="24"/>
                <w:szCs w:val="24"/>
              </w:rPr>
              <w:t>分</w:t>
            </w:r>
          </w:p>
        </w:tc>
      </w:tr>
      <w:tr>
        <w:tblPrEx>
          <w:tblLayout w:type="fixed"/>
          <w:tblCellMar>
            <w:top w:w="0" w:type="dxa"/>
            <w:left w:w="0" w:type="dxa"/>
            <w:bottom w:w="0" w:type="dxa"/>
            <w:right w:w="0" w:type="dxa"/>
          </w:tblCellMar>
        </w:tblPrEx>
        <w:trPr>
          <w:trHeight w:val="426" w:hRule="exact"/>
        </w:trPr>
        <w:tc>
          <w:tcPr>
            <w:tcW w:w="2304" w:type="dxa"/>
            <w:gridSpan w:val="2"/>
            <w:tcBorders>
              <w:top w:val="single" w:color="000000" w:sz="4" w:space="0"/>
              <w:left w:val="single" w:color="000000" w:sz="4" w:space="0"/>
              <w:bottom w:val="single" w:color="000000" w:sz="4" w:space="0"/>
              <w:right w:val="single" w:color="000000" w:sz="4" w:space="0"/>
            </w:tcBorders>
          </w:tcPr>
          <w:p>
            <w:pPr>
              <w:pStyle w:val="20"/>
              <w:spacing w:before="14"/>
              <w:ind w:left="12"/>
              <w:jc w:val="center"/>
              <w:rPr>
                <w:rFonts w:ascii="宋体" w:hAnsi="宋体" w:eastAsia="宋体" w:cs="宋体"/>
                <w:sz w:val="24"/>
                <w:szCs w:val="24"/>
              </w:rPr>
            </w:pPr>
            <w:r>
              <w:rPr>
                <w:rFonts w:ascii="宋体" w:hAnsi="宋体" w:eastAsia="宋体" w:cs="宋体"/>
                <w:sz w:val="24"/>
                <w:szCs w:val="24"/>
              </w:rPr>
              <w:t>合计</w:t>
            </w:r>
          </w:p>
        </w:tc>
        <w:tc>
          <w:tcPr>
            <w:tcW w:w="6202" w:type="dxa"/>
            <w:tcBorders>
              <w:top w:val="single" w:color="000000" w:sz="4" w:space="0"/>
              <w:left w:val="single" w:color="000000" w:sz="4" w:space="0"/>
              <w:bottom w:val="single" w:color="000000" w:sz="4" w:space="0"/>
              <w:right w:val="single" w:color="000000" w:sz="4" w:space="0"/>
            </w:tcBorders>
          </w:tcPr>
          <w:p>
            <w:pPr>
              <w:pStyle w:val="20"/>
              <w:spacing w:before="14"/>
              <w:jc w:val="center"/>
              <w:rPr>
                <w:rFonts w:ascii="宋体" w:hAnsi="宋体" w:eastAsia="宋体" w:cs="宋体"/>
                <w:sz w:val="24"/>
                <w:szCs w:val="24"/>
              </w:rPr>
            </w:pPr>
            <w:r>
              <w:rPr>
                <w:rFonts w:ascii="宋体" w:hAnsi="宋体" w:eastAsia="宋体" w:cs="宋体"/>
                <w:sz w:val="24"/>
                <w:szCs w:val="24"/>
              </w:rPr>
              <w:t>100</w:t>
            </w:r>
            <w:r>
              <w:rPr>
                <w:rFonts w:ascii="宋体" w:hAnsi="宋体" w:eastAsia="宋体" w:cs="宋体"/>
                <w:spacing w:val="-60"/>
                <w:sz w:val="24"/>
                <w:szCs w:val="24"/>
              </w:rPr>
              <w:t xml:space="preserve"> </w:t>
            </w:r>
            <w:r>
              <w:rPr>
                <w:rFonts w:ascii="宋体" w:hAnsi="宋体" w:eastAsia="宋体" w:cs="宋体"/>
                <w:sz w:val="24"/>
                <w:szCs w:val="24"/>
              </w:rPr>
              <w:t>分</w:t>
            </w:r>
          </w:p>
        </w:tc>
        <w:tc>
          <w:tcPr>
            <w:tcW w:w="992" w:type="dxa"/>
            <w:tcBorders>
              <w:top w:val="single" w:color="000000" w:sz="4" w:space="0"/>
              <w:left w:val="single" w:color="000000" w:sz="4" w:space="0"/>
              <w:bottom w:val="single" w:color="000000" w:sz="4" w:space="0"/>
              <w:right w:val="single" w:color="000000" w:sz="4" w:space="0"/>
            </w:tcBorders>
          </w:tcPr>
          <w:p/>
        </w:tc>
      </w:tr>
    </w:tbl>
    <w:p>
      <w:pPr>
        <w:pStyle w:val="10"/>
        <w:spacing w:before="2"/>
        <w:ind w:left="0"/>
        <w:rPr>
          <w:lang w:eastAsia="zh-CN"/>
        </w:rPr>
      </w:pPr>
      <w:r>
        <w:rPr>
          <w:b/>
          <w:lang w:eastAsia="zh-CN"/>
        </w:rPr>
        <w:t>备注</w:t>
      </w:r>
      <w:r>
        <w:rPr>
          <w:rFonts w:hint="eastAsia"/>
          <w:b/>
          <w:lang w:eastAsia="zh-CN"/>
        </w:rPr>
        <w:t>：</w:t>
      </w:r>
      <w:r>
        <w:rPr>
          <w:lang w:eastAsia="zh-CN"/>
        </w:rPr>
        <w:t>1、以上涉及的供应商需提供资料均需真实有效，且在有效期内；</w:t>
      </w:r>
    </w:p>
    <w:p>
      <w:pPr>
        <w:pStyle w:val="10"/>
        <w:spacing w:before="86"/>
        <w:ind w:left="600" w:right="2028" w:firstLine="120" w:firstLineChars="50"/>
        <w:rPr>
          <w:lang w:eastAsia="zh-CN"/>
        </w:rPr>
      </w:pPr>
      <w:r>
        <w:rPr>
          <w:lang w:eastAsia="zh-CN"/>
        </w:rPr>
        <w:t>2、评分标准仅针对供应商；</w:t>
      </w:r>
    </w:p>
    <w:p>
      <w:pPr>
        <w:pStyle w:val="10"/>
        <w:spacing w:before="86" w:line="304" w:lineRule="auto"/>
        <w:ind w:left="120" w:firstLine="600" w:firstLineChars="250"/>
        <w:rPr>
          <w:lang w:eastAsia="zh-CN"/>
        </w:rPr>
      </w:pPr>
      <w:r>
        <w:rPr>
          <w:lang w:eastAsia="zh-CN"/>
        </w:rPr>
        <w:t>3、本项目不接受低于成本报价、本项目不接受负偏离、本项目不接受不平 衡报价（评分如出现小数点，则保留小数点后两位）。</w:t>
      </w:r>
    </w:p>
    <w:p>
      <w:pPr>
        <w:pStyle w:val="10"/>
        <w:spacing w:before="22"/>
        <w:ind w:left="600" w:firstLine="120" w:firstLineChars="50"/>
        <w:rPr>
          <w:lang w:eastAsia="zh-CN"/>
        </w:rPr>
      </w:pPr>
      <w:r>
        <w:rPr>
          <w:lang w:eastAsia="zh-CN"/>
        </w:rPr>
        <w:t>4、各供应商最终得分为所有评审委员会成员所打分数的平均值。</w:t>
      </w:r>
    </w:p>
    <w:p>
      <w:pPr>
        <w:pStyle w:val="10"/>
        <w:spacing w:before="86" w:line="304" w:lineRule="auto"/>
        <w:ind w:left="120" w:firstLine="600" w:firstLineChars="250"/>
        <w:rPr>
          <w:lang w:eastAsia="zh-CN"/>
        </w:rPr>
      </w:pPr>
      <w:r>
        <w:rPr>
          <w:lang w:eastAsia="zh-CN"/>
        </w:rPr>
        <w:t>5、</w:t>
      </w:r>
      <w:r>
        <w:rPr>
          <w:rFonts w:hint="eastAsia"/>
          <w:lang w:eastAsia="zh-CN"/>
        </w:rPr>
        <w:t>供应商投标书中须提供加盖公章的业绩证明（合同中应体现设备类型、合同金额、签订时间等相关信息）供采购人进行核验、计分。否则不得分。</w:t>
      </w:r>
    </w:p>
    <w:p>
      <w:pPr>
        <w:pStyle w:val="10"/>
        <w:spacing w:before="86" w:line="304" w:lineRule="auto"/>
        <w:ind w:left="120" w:firstLine="600" w:firstLineChars="250"/>
        <w:rPr>
          <w:lang w:eastAsia="zh-CN"/>
        </w:rPr>
      </w:pPr>
      <w:r>
        <w:rPr>
          <w:rFonts w:hint="eastAsia"/>
          <w:lang w:eastAsia="zh-CN"/>
        </w:rPr>
        <w:t>6、类似业绩是指：楼体发光宣传字深化设计、报批、制作安装项目。</w:t>
      </w:r>
    </w:p>
    <w:p>
      <w:pPr>
        <w:pStyle w:val="10"/>
        <w:spacing w:before="86" w:line="304" w:lineRule="auto"/>
        <w:ind w:left="120" w:firstLine="600" w:firstLineChars="250"/>
        <w:rPr>
          <w:lang w:eastAsia="zh-CN"/>
        </w:rPr>
      </w:pPr>
      <w:r>
        <w:rPr>
          <w:rFonts w:hint="eastAsia"/>
          <w:lang w:eastAsia="zh-CN"/>
        </w:rPr>
        <w:t>7、提供样品20cm*20cm亚克力面板一块和LED模组一套</w:t>
      </w:r>
    </w:p>
    <w:p>
      <w:pPr>
        <w:pStyle w:val="10"/>
        <w:spacing w:before="86" w:line="304" w:lineRule="auto"/>
        <w:ind w:left="120" w:firstLine="480"/>
        <w:rPr>
          <w:lang w:eastAsia="zh-CN"/>
        </w:rPr>
        <w:sectPr>
          <w:footerReference r:id="rId13" w:type="default"/>
          <w:pgSz w:w="11910" w:h="16840"/>
          <w:pgMar w:top="1500" w:right="920" w:bottom="1380" w:left="1260" w:header="0" w:footer="1196" w:gutter="0"/>
          <w:cols w:space="720" w:num="1"/>
        </w:sectPr>
      </w:pPr>
      <w:r>
        <w:rPr>
          <w:rFonts w:hint="eastAsia"/>
          <w:lang w:eastAsia="zh-CN"/>
        </w:rPr>
        <w:t>注明厂家、产地及相关技术参数，并在样品上注明投标单位名称</w:t>
      </w:r>
    </w:p>
    <w:p>
      <w:pPr>
        <w:pStyle w:val="10"/>
        <w:spacing w:before="2"/>
        <w:ind w:left="0"/>
        <w:rPr>
          <w:lang w:eastAsia="zh-CN"/>
        </w:rPr>
      </w:pPr>
    </w:p>
    <w:sectPr>
      <w:pgSz w:w="11910" w:h="16840"/>
      <w:pgMar w:top="1460" w:right="1680" w:bottom="1380" w:left="168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lang w:eastAsia="zh-CN"/>
      </w:rPr>
      <w:pict>
        <v:shape id="Text Box 13" o:spid="_x0000_s2061" o:spt="202" type="#_x0000_t202" style="position:absolute;left:0pt;margin-left:300.4pt;margin-top:792.35pt;height:11pt;width:8.6pt;mso-position-horizontal-relative:page;mso-position-vertical-relative:pag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3xrg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&#1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7</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1" o:spid="_x0000_s2049" o:spt="202" type="#_x0000_t202" style="position:absolute;left:0pt;margin-left:291.05pt;margin-top:771.1pt;height:11pt;width:13.15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vGrgIAALA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&#1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60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_x0000_s2075" o:spid="_x0000_s2075" o:spt="202" type="#_x0000_t202" style="position:absolute;left:0pt;margin-left:298.1pt;margin-top:792.35pt;height:11pt;width:13.15pt;mso-position-horizontal-relative:page;mso-position-vertical-relative:pag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&#1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11" o:spid="_x0000_s2059" o:spt="202" type="#_x0000_t202" style="position:absolute;left:0pt;margin-left:298.1pt;margin-top:792.35pt;height:11pt;width:13.15pt;mso-position-horizontal-relative:page;mso-position-vertical-relative:pag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n9rgIAALE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&#1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lang w:eastAsia="zh-CN"/>
      </w:rPr>
      <w:pict>
        <v:shape id="Text Box 7" o:spid="_x0000_s2055" o:spt="202" type="#_x0000_t202" style="position:absolute;left:0pt;margin-left:298.1pt;margin-top:792.35pt;height:11pt;width:13.15pt;mso-position-horizontal-relative:page;mso-position-vertical-relative:pag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hYrgIAALA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&#1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30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6" o:spid="_x0000_s2054" o:spt="202" type="#_x0000_t202" style="position:absolute;left:0pt;margin-left:291.05pt;margin-top:792.35pt;height:11.05pt;width:20.2pt;mso-position-horizontal-relative:page;mso-position-vertical-relative:pag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D3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">
          <v:path/>
          <v:fill on="f" focussize="0,0"/>
          <v:stroke on="f" joinstyle="miter"/>
          <v:imagedata o:title=""/>
          <o:lock v:ext="edit"/>
          <v:textbox inset="0mm,0mm,0mm,0mm">
            <w:txbxContent>
              <w:p>
                <w:pPr>
                  <w:spacing w:line="203" w:lineRule="exact"/>
                  <w:ind w:left="181"/>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32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5" o:spid="_x0000_s2053" o:spt="202" type="#_x0000_t202" style="position:absolute;left:0pt;margin-left:291.05pt;margin-top:792.45pt;height:11pt;width:13.15pt;mso-position-horizontal-relative:page;mso-position-vertical-relative:pag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&#1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40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4" o:spid="_x0000_s2052" o:spt="202" type="#_x0000_t202" style="position:absolute;left:0pt;margin-left:291.05pt;margin-top:792.45pt;height:11pt;width:13.15pt;mso-position-horizontal-relative:page;mso-position-vertical-relative:pag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&#1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50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3" o:spid="_x0000_s2051" o:spt="202" type="#_x0000_t202" style="position:absolute;left:0pt;margin-left:291.05pt;margin-top:792.45pt;height:11pt;width:13.1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&#1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55</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2" o:spid="_x0000_s2050" o:spt="202" type="#_x0000_t202" style="position:absolute;left:0pt;margin-left:291.05pt;margin-top:771.1pt;height:11pt;width:13.1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G4rgIAALA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&#1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hint="eastAsia" w:ascii="Calibri"/>
                    <w:w w:val="99"/>
                    <w:sz w:val="18"/>
                  </w:rPr>
                  <w:t>５７</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lang w:eastAsia="zh-CN"/>
      </w:rPr>
    </w:pPr>
    <w:r>
      <w:rPr>
        <w:rFonts w:ascii="Times New Roman" w:hAnsi="Times New Roman" w:eastAsia="宋体" w:cs="Times New Roman"/>
        <w:kern w:val="2"/>
        <w:sz w:val="21"/>
        <w:szCs w:val="24"/>
        <w:lang w:eastAsia="zh-CN"/>
      </w:rPr>
      <w:drawing>
        <wp:inline distT="0" distB="0" distL="0" distR="0">
          <wp:extent cx="323850" cy="228600"/>
          <wp:effectExtent l="0" t="0" r="0" b="0"/>
          <wp:docPr id="99" name="图片 1"/>
          <wp:cNvGraphicFramePr/>
          <a:graphic xmlns:a="http://schemas.openxmlformats.org/drawingml/2006/main">
            <a:graphicData uri="http://schemas.openxmlformats.org/drawingml/2006/picture">
              <pic:pic xmlns:pic="http://schemas.openxmlformats.org/drawingml/2006/picture">
                <pic:nvPicPr>
                  <pic:cNvPr id="99" name="图片 1"/>
                  <pic:cNvPicPr/>
                </pic:nvPicPr>
                <pic:blipFill>
                  <a:blip r:embed="rId1" cstate="print"/>
                  <a:srcRect/>
                  <a:stretch>
                    <a:fillRect/>
                  </a:stretch>
                </pic:blipFill>
                <pic:spPr>
                  <a:xfrm>
                    <a:off x="0" y="0"/>
                    <a:ext cx="331295" cy="233855"/>
                  </a:xfrm>
                  <a:prstGeom prst="rect">
                    <a:avLst/>
                  </a:prstGeom>
                  <a:ln>
                    <a:noFill/>
                  </a:ln>
                </pic:spPr>
              </pic:pic>
            </a:graphicData>
          </a:graphic>
        </wp:inline>
      </w:drawing>
    </w:r>
    <w:r>
      <w:rPr>
        <w:rFonts w:hint="eastAsia" w:ascii="Times New Roman" w:hAnsi="Times New Roman" w:eastAsia="宋体" w:cs="Times New Roman"/>
        <w:kern w:val="2"/>
        <w:sz w:val="20"/>
        <w:szCs w:val="24"/>
        <w:lang w:eastAsia="zh-CN"/>
      </w:rPr>
      <w:t>山东大学第二医院楼体发光宣传字深化设计、报批、制作安装项目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ind w:left="390" w:hanging="390"/>
      </w:pPr>
      <w:rPr>
        <w:rFonts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7DA176C"/>
    <w:multiLevelType w:val="multilevel"/>
    <w:tmpl w:val="27DA176C"/>
    <w:lvl w:ilvl="0" w:tentative="0">
      <w:start w:val="1"/>
      <w:numFmt w:val="japaneseCounting"/>
      <w:lvlText w:val="%1、"/>
      <w:lvlJc w:val="left"/>
      <w:pPr>
        <w:tabs>
          <w:tab w:val="left" w:pos="720"/>
        </w:tabs>
        <w:ind w:left="720" w:hanging="720"/>
      </w:pPr>
      <w:rPr>
        <w:rFonts w:hint="default"/>
      </w:rPr>
    </w:lvl>
    <w:lvl w:ilvl="1" w:tentative="0">
      <w:start w:val="2"/>
      <w:numFmt w:val="decimal"/>
      <w:lvlText w:val="%2、"/>
      <w:lvlJc w:val="left"/>
      <w:pPr>
        <w:tabs>
          <w:tab w:val="left" w:pos="780"/>
        </w:tabs>
        <w:ind w:left="780" w:hanging="360"/>
      </w:pPr>
      <w:rPr>
        <w:rFonts w:hint="default"/>
      </w:rPr>
    </w:lvl>
    <w:lvl w:ilvl="2" w:tentative="0">
      <w:start w:val="1"/>
      <w:numFmt w:val="decimal"/>
      <w:lvlText w:val="%3、"/>
      <w:lvlJc w:val="left"/>
      <w:pPr>
        <w:tabs>
          <w:tab w:val="left" w:pos="1560"/>
        </w:tabs>
        <w:ind w:left="1560" w:hanging="720"/>
      </w:pPr>
      <w:rPr>
        <w:rFonts w:hint="default"/>
        <w:b/>
        <w:color w:val="auto"/>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E533FE"/>
    <w:rsid w:val="00026077"/>
    <w:rsid w:val="00030DC9"/>
    <w:rsid w:val="000418E6"/>
    <w:rsid w:val="000562D0"/>
    <w:rsid w:val="000574D0"/>
    <w:rsid w:val="000832B1"/>
    <w:rsid w:val="000A3ED1"/>
    <w:rsid w:val="000A7F77"/>
    <w:rsid w:val="000C5E43"/>
    <w:rsid w:val="000D0D2E"/>
    <w:rsid w:val="000F0621"/>
    <w:rsid w:val="00122965"/>
    <w:rsid w:val="001418E1"/>
    <w:rsid w:val="001B4192"/>
    <w:rsid w:val="001B5E89"/>
    <w:rsid w:val="002136DB"/>
    <w:rsid w:val="00232E11"/>
    <w:rsid w:val="00260D33"/>
    <w:rsid w:val="002A0B4D"/>
    <w:rsid w:val="002A5CAC"/>
    <w:rsid w:val="00332C24"/>
    <w:rsid w:val="003358B7"/>
    <w:rsid w:val="00347A31"/>
    <w:rsid w:val="003529EE"/>
    <w:rsid w:val="003D1BBF"/>
    <w:rsid w:val="003D29DD"/>
    <w:rsid w:val="003D69D0"/>
    <w:rsid w:val="003F4603"/>
    <w:rsid w:val="00406B46"/>
    <w:rsid w:val="00411134"/>
    <w:rsid w:val="00411B53"/>
    <w:rsid w:val="00464678"/>
    <w:rsid w:val="00471CB5"/>
    <w:rsid w:val="004F1462"/>
    <w:rsid w:val="00501011"/>
    <w:rsid w:val="00556E30"/>
    <w:rsid w:val="005972FB"/>
    <w:rsid w:val="005B7E57"/>
    <w:rsid w:val="005D6F37"/>
    <w:rsid w:val="00641A41"/>
    <w:rsid w:val="00655AD3"/>
    <w:rsid w:val="006A1BFD"/>
    <w:rsid w:val="006A3CDF"/>
    <w:rsid w:val="006B11F8"/>
    <w:rsid w:val="006B5F90"/>
    <w:rsid w:val="006C15AD"/>
    <w:rsid w:val="006D28DD"/>
    <w:rsid w:val="006D79FF"/>
    <w:rsid w:val="006E2011"/>
    <w:rsid w:val="00705CA9"/>
    <w:rsid w:val="007118D9"/>
    <w:rsid w:val="00715B16"/>
    <w:rsid w:val="00767B6E"/>
    <w:rsid w:val="0077430D"/>
    <w:rsid w:val="007875FD"/>
    <w:rsid w:val="007B0559"/>
    <w:rsid w:val="008123EB"/>
    <w:rsid w:val="00823A2E"/>
    <w:rsid w:val="00850106"/>
    <w:rsid w:val="00864B8E"/>
    <w:rsid w:val="008A138B"/>
    <w:rsid w:val="008A6914"/>
    <w:rsid w:val="008C0886"/>
    <w:rsid w:val="008C15DC"/>
    <w:rsid w:val="008C40D0"/>
    <w:rsid w:val="009117C6"/>
    <w:rsid w:val="00921212"/>
    <w:rsid w:val="00954968"/>
    <w:rsid w:val="009577BA"/>
    <w:rsid w:val="00981E40"/>
    <w:rsid w:val="009B634D"/>
    <w:rsid w:val="009B6DFC"/>
    <w:rsid w:val="009C67D7"/>
    <w:rsid w:val="009D3807"/>
    <w:rsid w:val="009D606F"/>
    <w:rsid w:val="009F2197"/>
    <w:rsid w:val="009F3E9F"/>
    <w:rsid w:val="00A04DB3"/>
    <w:rsid w:val="00A41738"/>
    <w:rsid w:val="00A41E45"/>
    <w:rsid w:val="00A72B61"/>
    <w:rsid w:val="00A72D3B"/>
    <w:rsid w:val="00A90BB4"/>
    <w:rsid w:val="00A92B1B"/>
    <w:rsid w:val="00AA4332"/>
    <w:rsid w:val="00AA7067"/>
    <w:rsid w:val="00B4081C"/>
    <w:rsid w:val="00BA2E5D"/>
    <w:rsid w:val="00BB421C"/>
    <w:rsid w:val="00BB7C81"/>
    <w:rsid w:val="00BD1564"/>
    <w:rsid w:val="00BE33AA"/>
    <w:rsid w:val="00BF0BCA"/>
    <w:rsid w:val="00C0293B"/>
    <w:rsid w:val="00C24CC2"/>
    <w:rsid w:val="00C410C1"/>
    <w:rsid w:val="00C646B7"/>
    <w:rsid w:val="00C70CD9"/>
    <w:rsid w:val="00C70FC8"/>
    <w:rsid w:val="00CA2AA5"/>
    <w:rsid w:val="00CA42AA"/>
    <w:rsid w:val="00CC0D67"/>
    <w:rsid w:val="00CF1E95"/>
    <w:rsid w:val="00D00553"/>
    <w:rsid w:val="00D916C4"/>
    <w:rsid w:val="00D92E67"/>
    <w:rsid w:val="00D93B55"/>
    <w:rsid w:val="00D96501"/>
    <w:rsid w:val="00DC724A"/>
    <w:rsid w:val="00E03546"/>
    <w:rsid w:val="00E05E83"/>
    <w:rsid w:val="00E22BBF"/>
    <w:rsid w:val="00E533FE"/>
    <w:rsid w:val="00E64BAE"/>
    <w:rsid w:val="00E9142B"/>
    <w:rsid w:val="00EA10CC"/>
    <w:rsid w:val="00EB0E83"/>
    <w:rsid w:val="00EF6C85"/>
    <w:rsid w:val="00F53BE2"/>
    <w:rsid w:val="00F56113"/>
    <w:rsid w:val="00F61D88"/>
    <w:rsid w:val="00FB73B7"/>
    <w:rsid w:val="17866F69"/>
    <w:rsid w:val="6BA7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outlineLvl w:val="0"/>
    </w:pPr>
    <w:rPr>
      <w:rFonts w:ascii="黑体" w:hAnsi="黑体" w:eastAsia="黑体"/>
      <w:b/>
      <w:bCs/>
      <w:sz w:val="44"/>
      <w:szCs w:val="44"/>
    </w:rPr>
  </w:style>
  <w:style w:type="paragraph" w:styleId="3">
    <w:name w:val="heading 2"/>
    <w:basedOn w:val="1"/>
    <w:next w:val="1"/>
    <w:qFormat/>
    <w:uiPriority w:val="1"/>
    <w:pPr>
      <w:outlineLvl w:val="1"/>
    </w:pPr>
    <w:rPr>
      <w:rFonts w:ascii="黑体" w:hAnsi="黑体" w:eastAsia="黑体"/>
      <w:sz w:val="44"/>
      <w:szCs w:val="44"/>
    </w:rPr>
  </w:style>
  <w:style w:type="paragraph" w:styleId="4">
    <w:name w:val="heading 3"/>
    <w:basedOn w:val="1"/>
    <w:next w:val="1"/>
    <w:qFormat/>
    <w:uiPriority w:val="1"/>
    <w:pPr>
      <w:ind w:left="112"/>
      <w:outlineLvl w:val="2"/>
    </w:pPr>
    <w:rPr>
      <w:rFonts w:ascii="宋体" w:hAnsi="宋体" w:eastAsia="宋体"/>
      <w:b/>
      <w:bCs/>
      <w:sz w:val="32"/>
      <w:szCs w:val="32"/>
    </w:rPr>
  </w:style>
  <w:style w:type="paragraph" w:styleId="5">
    <w:name w:val="heading 4"/>
    <w:basedOn w:val="1"/>
    <w:next w:val="1"/>
    <w:qFormat/>
    <w:uiPriority w:val="1"/>
    <w:pPr>
      <w:outlineLvl w:val="3"/>
    </w:pPr>
    <w:rPr>
      <w:rFonts w:ascii="宋体" w:hAnsi="宋体" w:eastAsia="宋体"/>
      <w:b/>
      <w:bCs/>
      <w:sz w:val="30"/>
      <w:szCs w:val="30"/>
    </w:rPr>
  </w:style>
  <w:style w:type="paragraph" w:styleId="6">
    <w:name w:val="heading 5"/>
    <w:basedOn w:val="1"/>
    <w:next w:val="1"/>
    <w:qFormat/>
    <w:uiPriority w:val="1"/>
    <w:pPr>
      <w:outlineLvl w:val="4"/>
    </w:pPr>
    <w:rPr>
      <w:rFonts w:ascii="黑体" w:hAnsi="黑体" w:eastAsia="黑体"/>
      <w:sz w:val="30"/>
      <w:szCs w:val="30"/>
    </w:rPr>
  </w:style>
  <w:style w:type="paragraph" w:styleId="7">
    <w:name w:val="heading 6"/>
    <w:basedOn w:val="1"/>
    <w:next w:val="1"/>
    <w:qFormat/>
    <w:uiPriority w:val="1"/>
    <w:pPr>
      <w:ind w:left="112"/>
      <w:outlineLvl w:val="5"/>
    </w:pPr>
    <w:rPr>
      <w:rFonts w:ascii="宋体" w:hAnsi="宋体" w:eastAsia="宋体"/>
      <w:b/>
      <w:bCs/>
      <w:sz w:val="28"/>
      <w:szCs w:val="28"/>
    </w:rPr>
  </w:style>
  <w:style w:type="paragraph" w:styleId="8">
    <w:name w:val="heading 7"/>
    <w:basedOn w:val="1"/>
    <w:next w:val="1"/>
    <w:link w:val="25"/>
    <w:qFormat/>
    <w:uiPriority w:val="1"/>
    <w:pPr>
      <w:spacing w:before="115"/>
      <w:ind w:left="592"/>
      <w:outlineLvl w:val="6"/>
    </w:pPr>
    <w:rPr>
      <w:rFonts w:ascii="宋体" w:hAnsi="宋体" w:eastAsia="宋体"/>
      <w:b/>
      <w:bCs/>
      <w:sz w:val="24"/>
      <w:szCs w:val="24"/>
    </w:rPr>
  </w:style>
  <w:style w:type="character" w:default="1" w:styleId="17">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9">
    <w:name w:val="List 3"/>
    <w:basedOn w:val="1"/>
    <w:qFormat/>
    <w:uiPriority w:val="0"/>
    <w:pPr>
      <w:ind w:left="100" w:leftChars="400" w:hanging="200" w:hangingChars="200"/>
      <w:jc w:val="both"/>
    </w:pPr>
    <w:rPr>
      <w:rFonts w:ascii="Times New Roman" w:hAnsi="Times New Roman" w:eastAsia="宋体" w:cs="Times New Roman"/>
      <w:kern w:val="2"/>
      <w:sz w:val="21"/>
      <w:szCs w:val="24"/>
      <w:lang w:eastAsia="zh-CN"/>
    </w:rPr>
  </w:style>
  <w:style w:type="paragraph" w:styleId="10">
    <w:name w:val="Body Text"/>
    <w:basedOn w:val="1"/>
    <w:link w:val="26"/>
    <w:qFormat/>
    <w:uiPriority w:val="1"/>
    <w:pPr>
      <w:spacing w:before="36"/>
      <w:ind w:left="592"/>
    </w:pPr>
    <w:rPr>
      <w:rFonts w:ascii="宋体" w:hAnsi="宋体" w:eastAsia="宋体"/>
      <w:sz w:val="24"/>
      <w:szCs w:val="24"/>
    </w:rPr>
  </w:style>
  <w:style w:type="paragraph" w:styleId="11">
    <w:name w:val="Body Text Indent"/>
    <w:basedOn w:val="1"/>
    <w:link w:val="24"/>
    <w:semiHidden/>
    <w:unhideWhenUsed/>
    <w:qFormat/>
    <w:uiPriority w:val="99"/>
    <w:pPr>
      <w:spacing w:after="120"/>
      <w:ind w:left="420" w:leftChars="200"/>
    </w:pPr>
  </w:style>
  <w:style w:type="paragraph" w:styleId="12">
    <w:name w:val="Balloon Text"/>
    <w:basedOn w:val="1"/>
    <w:link w:val="21"/>
    <w:semiHidden/>
    <w:unhideWhenUsed/>
    <w:qFormat/>
    <w:uiPriority w:val="99"/>
    <w:rPr>
      <w:sz w:val="18"/>
      <w:szCs w:val="18"/>
    </w:rPr>
  </w:style>
  <w:style w:type="paragraph" w:styleId="13">
    <w:name w:val="footer"/>
    <w:basedOn w:val="1"/>
    <w:link w:val="23"/>
    <w:unhideWhenUsed/>
    <w:qFormat/>
    <w:uiPriority w:val="99"/>
    <w:pPr>
      <w:tabs>
        <w:tab w:val="center" w:pos="4153"/>
        <w:tab w:val="right" w:pos="8306"/>
      </w:tabs>
      <w:snapToGrid w:val="0"/>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1"/>
    <w:pPr>
      <w:spacing w:before="482"/>
      <w:ind w:left="112"/>
    </w:pPr>
    <w:rPr>
      <w:rFonts w:ascii="微软雅黑" w:hAnsi="微软雅黑" w:eastAsia="微软雅黑"/>
      <w:sz w:val="30"/>
      <w:szCs w:val="30"/>
    </w:rPr>
  </w:style>
  <w:style w:type="table" w:customStyle="1" w:styleId="18">
    <w:name w:val="Table Normal"/>
    <w:semiHidden/>
    <w:unhideWhenUsed/>
    <w:qFormat/>
    <w:uiPriority w:val="2"/>
    <w:tblPr>
      <w:tblLayout w:type="fixed"/>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批注框文本 Char"/>
    <w:basedOn w:val="17"/>
    <w:link w:val="12"/>
    <w:semiHidden/>
    <w:qFormat/>
    <w:uiPriority w:val="99"/>
    <w:rPr>
      <w:sz w:val="18"/>
      <w:szCs w:val="18"/>
    </w:rPr>
  </w:style>
  <w:style w:type="character" w:customStyle="1" w:styleId="22">
    <w:name w:val="页眉 Char"/>
    <w:basedOn w:val="17"/>
    <w:link w:val="14"/>
    <w:qFormat/>
    <w:uiPriority w:val="99"/>
    <w:rPr>
      <w:sz w:val="18"/>
      <w:szCs w:val="18"/>
    </w:rPr>
  </w:style>
  <w:style w:type="character" w:customStyle="1" w:styleId="23">
    <w:name w:val="页脚 Char"/>
    <w:basedOn w:val="17"/>
    <w:link w:val="13"/>
    <w:qFormat/>
    <w:uiPriority w:val="99"/>
    <w:rPr>
      <w:sz w:val="18"/>
      <w:szCs w:val="18"/>
    </w:rPr>
  </w:style>
  <w:style w:type="character" w:customStyle="1" w:styleId="24">
    <w:name w:val="正文文本缩进 Char"/>
    <w:basedOn w:val="17"/>
    <w:link w:val="11"/>
    <w:semiHidden/>
    <w:qFormat/>
    <w:uiPriority w:val="99"/>
  </w:style>
  <w:style w:type="character" w:customStyle="1" w:styleId="25">
    <w:name w:val="标题 7 Char"/>
    <w:basedOn w:val="17"/>
    <w:link w:val="8"/>
    <w:qFormat/>
    <w:uiPriority w:val="1"/>
    <w:rPr>
      <w:rFonts w:ascii="宋体" w:hAnsi="宋体" w:eastAsia="宋体"/>
      <w:b/>
      <w:bCs/>
      <w:sz w:val="24"/>
      <w:szCs w:val="24"/>
    </w:rPr>
  </w:style>
  <w:style w:type="character" w:customStyle="1" w:styleId="26">
    <w:name w:val="正文文本 Char"/>
    <w:basedOn w:val="17"/>
    <w:link w:val="10"/>
    <w:qFormat/>
    <w:uiPriority w:val="1"/>
    <w:rPr>
      <w:rFonts w:ascii="宋体" w:hAnsi="宋体"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1"/>
    <customShpInfo spid="_x0000_s2075"/>
    <customShpInfo spid="_x0000_s2059"/>
    <customShpInfo spid="_x0000_s2055"/>
    <customShpInfo spid="_x0000_s2054"/>
    <customShpInfo spid="_x0000_s2053"/>
    <customShpInfo spid="_x0000_s2052"/>
    <customShpInfo spid="_x0000_s2051"/>
    <customShpInfo spid="_x0000_s2050"/>
    <customShpInfo spid="_x0000_s2049"/>
    <customShpInfo spid="_x0000_s1028"/>
    <customShpInfo spid="_x0000_s1061"/>
    <customShpInfo spid="_x0000_s1030"/>
    <customShpInfo spid="_x0000_s1029"/>
    <customShpInfo spid="_x0000_s1032"/>
    <customShpInfo spid="_x0000_s1031"/>
    <customShpInfo spid="_x0000_s1034"/>
    <customShpInfo spid="_x0000_s1033"/>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36"/>
    <customShpInfo spid="_x0000_s1035"/>
    <customShpInfo spid="_x0000_s1038"/>
    <customShpInfo spid="_x0000_s1039"/>
    <customShpInfo spid="_x0000_s1040"/>
    <customShpInfo spid="_x0000_s1037"/>
    <customShpInfo spid="_x0000_s1044"/>
    <customShpInfo spid="_x0000_s1064"/>
    <customShpInfo spid="_x0000_s1063"/>
    <customShpInfo spid="_x0000_s106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EA3B4-EBF9-47FD-BD5F-BD3835A1330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63</Pages>
  <Words>5286</Words>
  <Characters>30135</Characters>
  <Lines>251</Lines>
  <Paragraphs>70</Paragraphs>
  <TotalTime>437</TotalTime>
  <ScaleCrop>false</ScaleCrop>
  <LinksUpToDate>false</LinksUpToDate>
  <CharactersWithSpaces>35351</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2019-03-27T08:10:00Z</dcterms:created>
  <dc:creator>Administrator</dc:creator>
  <cp:lastModifiedBy>亚萨1398059354</cp:lastModifiedBy>
  <dcterms:modified xsi:type="dcterms:W3CDTF">2019-04-08T07:46:40Z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WPS Office</vt:lpwstr>
  </property>
  <property fmtid="{D5CDD505-2E9C-101B-9397-08002B2CF9AE}" pid="4" name="LastSaved">
    <vt:filetime>2019-03-26T00:00:00Z</vt:filetime>
  </property>
  <property fmtid="{D5CDD505-2E9C-101B-9397-08002B2CF9AE}" pid="5" name="KSOProductBuildVer">
    <vt:lpwstr>2052-11.1.0.8525</vt:lpwstr>
  </property>
</Properties>
</file>