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6"/>
        <w:rPr>
          <w:rFonts w:hAnsi="宋体"/>
        </w:rPr>
      </w:pPr>
      <w:r>
        <w:rPr>
          <w:rFonts w:hAnsi="宋体"/>
          <w:color w:val="auto"/>
        </w:rPr>
        <w:fldChar w:fldCharType="begin"/>
      </w:r>
      <w:r>
        <w:rPr>
          <w:rFonts w:hAnsi="宋体"/>
          <w:color w:val="auto"/>
        </w:rPr>
        <w:instrText xml:space="preserve">ADDIN CNKISM.UserStyle</w:instrText>
      </w:r>
      <w:r>
        <w:rPr>
          <w:rFonts w:hAnsi="宋体"/>
          <w:color w:val="auto"/>
        </w:rPr>
        <w:fldChar w:fldCharType="end"/>
      </w:r>
      <w:r>
        <w:rPr>
          <w:rFonts w:hAnsi="宋体"/>
          <w:b/>
          <w:sz w:val="32"/>
        </w:rPr>
        <w:tab/>
      </w:r>
      <w:r>
        <w:rPr>
          <w:rFonts w:hAnsi="宋体"/>
        </w:rPr>
        <w:fldChar w:fldCharType="begin"/>
      </w:r>
      <w:r>
        <w:rPr>
          <w:rFonts w:hAnsi="宋体"/>
        </w:rPr>
        <w:instrText xml:space="preserve">ADDIN CNKISM.UserStyle</w:instrText>
      </w:r>
      <w:r>
        <w:rPr>
          <w:rFonts w:hAnsi="宋体"/>
        </w:rPr>
        <w:fldChar w:fldCharType="end"/>
      </w:r>
    </w:p>
    <w:p>
      <w:pPr>
        <w:pStyle w:val="206"/>
        <w:rPr>
          <w:rFonts w:hAnsi="宋体"/>
        </w:rPr>
      </w:pPr>
    </w:p>
    <w:p>
      <w:pPr>
        <w:pStyle w:val="206"/>
        <w:rPr>
          <w:rFonts w:hAnsi="宋体"/>
          <w:b/>
          <w:sz w:val="56"/>
          <w:szCs w:val="56"/>
        </w:rPr>
      </w:pPr>
      <w:r>
        <w:rPr>
          <w:rFonts w:hAnsi="宋体" w:cs="Times New Roman"/>
        </w:rPr>
        <w:drawing>
          <wp:anchor distT="0" distB="0" distL="114300" distR="114300" simplePos="0" relativeHeight="251658240" behindDoc="0" locked="0" layoutInCell="1" allowOverlap="1">
            <wp:simplePos x="0" y="0"/>
            <wp:positionH relativeFrom="column">
              <wp:posOffset>-168910</wp:posOffset>
            </wp:positionH>
            <wp:positionV relativeFrom="paragraph">
              <wp:posOffset>72390</wp:posOffset>
            </wp:positionV>
            <wp:extent cx="1362075" cy="1323975"/>
            <wp:effectExtent l="19050" t="0" r="9525"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7" cstate="print"/>
                    <a:srcRect r="62541"/>
                    <a:stretch>
                      <a:fillRect/>
                    </a:stretch>
                  </pic:blipFill>
                  <pic:spPr>
                    <a:xfrm>
                      <a:off x="0" y="0"/>
                      <a:ext cx="1362075" cy="1323975"/>
                    </a:xfrm>
                    <a:prstGeom prst="rect">
                      <a:avLst/>
                    </a:prstGeom>
                    <a:noFill/>
                    <a:ln w="9525">
                      <a:noFill/>
                      <a:miter lim="800000"/>
                      <a:headEnd/>
                      <a:tailEnd/>
                    </a:ln>
                  </pic:spPr>
                </pic:pic>
              </a:graphicData>
            </a:graphic>
          </wp:anchor>
        </w:drawing>
      </w:r>
    </w:p>
    <w:p>
      <w:pPr>
        <w:tabs>
          <w:tab w:val="left" w:pos="1134"/>
          <w:tab w:val="left" w:pos="5481"/>
          <w:tab w:val="left" w:pos="5859"/>
        </w:tabs>
        <w:jc w:val="center"/>
        <w:rPr>
          <w:rFonts w:hint="eastAsia" w:ascii="宋体" w:hAnsi="宋体"/>
          <w:b/>
          <w:sz w:val="70"/>
          <w:szCs w:val="70"/>
        </w:rPr>
      </w:pPr>
    </w:p>
    <w:p>
      <w:pPr>
        <w:tabs>
          <w:tab w:val="left" w:pos="1134"/>
          <w:tab w:val="left" w:pos="5481"/>
          <w:tab w:val="left" w:pos="5859"/>
        </w:tabs>
        <w:jc w:val="center"/>
        <w:rPr>
          <w:rFonts w:hint="eastAsia" w:ascii="宋体" w:hAnsi="宋体"/>
          <w:b/>
          <w:sz w:val="70"/>
          <w:szCs w:val="70"/>
        </w:rPr>
      </w:pPr>
    </w:p>
    <w:p>
      <w:pPr>
        <w:tabs>
          <w:tab w:val="left" w:pos="1134"/>
          <w:tab w:val="left" w:pos="5481"/>
          <w:tab w:val="left" w:pos="5859"/>
        </w:tabs>
        <w:jc w:val="center"/>
        <w:rPr>
          <w:rFonts w:ascii="宋体" w:hAnsi="宋体"/>
          <w:b/>
          <w:sz w:val="70"/>
          <w:szCs w:val="70"/>
        </w:rPr>
      </w:pPr>
      <w:r>
        <w:rPr>
          <w:rFonts w:hint="eastAsia" w:ascii="宋体" w:hAnsi="宋体"/>
          <w:b/>
          <w:sz w:val="70"/>
          <w:szCs w:val="70"/>
        </w:rPr>
        <w:t>山东大学医疗科研设备</w:t>
      </w:r>
    </w:p>
    <w:p>
      <w:pPr>
        <w:tabs>
          <w:tab w:val="left" w:pos="1134"/>
          <w:tab w:val="left" w:pos="5481"/>
          <w:tab w:val="left" w:pos="5859"/>
        </w:tabs>
        <w:jc w:val="center"/>
        <w:rPr>
          <w:rFonts w:ascii="宋体" w:hAnsi="宋体"/>
          <w:b/>
          <w:sz w:val="70"/>
          <w:szCs w:val="70"/>
        </w:rPr>
      </w:pPr>
      <w:r>
        <w:rPr>
          <w:rFonts w:hint="eastAsia" w:ascii="宋体" w:hAnsi="宋体"/>
          <w:b/>
          <w:sz w:val="70"/>
          <w:szCs w:val="70"/>
        </w:rPr>
        <w:t>采购</w:t>
      </w:r>
      <w:r>
        <w:rPr>
          <w:rFonts w:ascii="宋体" w:hAnsi="宋体"/>
          <w:b/>
          <w:sz w:val="70"/>
          <w:szCs w:val="70"/>
        </w:rPr>
        <w:t xml:space="preserve"> </w:t>
      </w:r>
    </w:p>
    <w:p>
      <w:pPr>
        <w:tabs>
          <w:tab w:val="left" w:pos="1134"/>
          <w:tab w:val="left" w:pos="5481"/>
          <w:tab w:val="left" w:pos="5859"/>
        </w:tabs>
        <w:jc w:val="center"/>
        <w:rPr>
          <w:rFonts w:ascii="宋体" w:hAnsi="宋体"/>
          <w:b/>
          <w:sz w:val="56"/>
          <w:szCs w:val="56"/>
          <w:u w:val="single"/>
        </w:rPr>
      </w:pPr>
    </w:p>
    <w:p>
      <w:pPr>
        <w:tabs>
          <w:tab w:val="left" w:pos="1134"/>
          <w:tab w:val="left" w:pos="5481"/>
          <w:tab w:val="left" w:pos="5859"/>
        </w:tabs>
        <w:jc w:val="center"/>
        <w:rPr>
          <w:rFonts w:ascii="宋体" w:hAnsi="宋体"/>
          <w:b/>
          <w:sz w:val="32"/>
        </w:rPr>
      </w:pPr>
    </w:p>
    <w:p>
      <w:pPr>
        <w:tabs>
          <w:tab w:val="left" w:pos="1134"/>
          <w:tab w:val="left" w:pos="5481"/>
          <w:tab w:val="left" w:pos="5859"/>
        </w:tabs>
        <w:jc w:val="center"/>
        <w:rPr>
          <w:rFonts w:ascii="宋体" w:hAnsi="宋体"/>
          <w:b/>
          <w:sz w:val="80"/>
          <w:szCs w:val="80"/>
        </w:rPr>
      </w:pPr>
      <w:r>
        <w:rPr>
          <w:rFonts w:hint="eastAsia" w:ascii="宋体" w:hAnsi="宋体"/>
          <w:b/>
          <w:sz w:val="80"/>
          <w:szCs w:val="80"/>
        </w:rPr>
        <w:t>招标文件</w:t>
      </w:r>
    </w:p>
    <w:p>
      <w:pPr>
        <w:pStyle w:val="31"/>
        <w:spacing w:line="240" w:lineRule="auto"/>
        <w:ind w:left="0" w:leftChars="0" w:right="-42" w:firstLine="0" w:firstLineChars="0"/>
        <w:jc w:val="center"/>
        <w:rPr>
          <w:rFonts w:ascii="宋体" w:hAnsi="宋体"/>
          <w:b/>
          <w:sz w:val="52"/>
          <w:szCs w:val="52"/>
        </w:rPr>
      </w:pPr>
    </w:p>
    <w:p>
      <w:pPr>
        <w:pStyle w:val="31"/>
        <w:spacing w:line="240" w:lineRule="auto"/>
        <w:ind w:left="1747" w:firstLine="0" w:firstLineChars="0"/>
        <w:rPr>
          <w:rFonts w:ascii="宋体" w:hAnsi="宋体"/>
          <w:b/>
          <w:sz w:val="32"/>
        </w:rPr>
      </w:pPr>
    </w:p>
    <w:p>
      <w:pPr>
        <w:pStyle w:val="31"/>
        <w:spacing w:line="240" w:lineRule="auto"/>
        <w:ind w:left="0" w:leftChars="0" w:right="-42" w:firstLine="0" w:firstLineChars="0"/>
        <w:jc w:val="center"/>
        <w:rPr>
          <w:rFonts w:ascii="宋体" w:hAnsi="宋体"/>
          <w:b/>
          <w:sz w:val="36"/>
          <w:szCs w:val="36"/>
        </w:rPr>
      </w:pPr>
      <w:r>
        <w:rPr>
          <w:rFonts w:hint="eastAsia" w:ascii="宋体" w:hAnsi="宋体"/>
          <w:b/>
          <w:sz w:val="36"/>
          <w:szCs w:val="36"/>
        </w:rPr>
        <w:t>项目编号：</w:t>
      </w:r>
      <w:r>
        <w:rPr>
          <w:rFonts w:ascii="宋体" w:hAnsi="宋体"/>
          <w:b/>
          <w:sz w:val="36"/>
          <w:szCs w:val="36"/>
        </w:rPr>
        <w:t>HYHA2019-0770</w:t>
      </w:r>
    </w:p>
    <w:p>
      <w:pPr>
        <w:tabs>
          <w:tab w:val="left" w:pos="1134"/>
          <w:tab w:val="left" w:pos="5481"/>
          <w:tab w:val="left" w:pos="5859"/>
        </w:tabs>
        <w:jc w:val="center"/>
        <w:rPr>
          <w:rFonts w:ascii="宋体" w:hAnsi="宋体"/>
          <w:b/>
          <w:sz w:val="32"/>
        </w:rPr>
      </w:pPr>
    </w:p>
    <w:p>
      <w:pPr>
        <w:tabs>
          <w:tab w:val="left" w:pos="1134"/>
          <w:tab w:val="left" w:pos="5481"/>
          <w:tab w:val="left" w:pos="5859"/>
        </w:tabs>
        <w:jc w:val="center"/>
        <w:rPr>
          <w:rFonts w:ascii="宋体" w:hAnsi="宋体"/>
          <w:b/>
          <w:sz w:val="32"/>
        </w:rPr>
      </w:pPr>
    </w:p>
    <w:p>
      <w:pPr>
        <w:tabs>
          <w:tab w:val="left" w:pos="1134"/>
          <w:tab w:val="left" w:pos="5481"/>
          <w:tab w:val="left" w:pos="5859"/>
        </w:tabs>
        <w:spacing w:line="360" w:lineRule="auto"/>
        <w:jc w:val="center"/>
        <w:rPr>
          <w:rFonts w:ascii="宋体" w:hAnsi="宋体"/>
          <w:b/>
          <w:sz w:val="32"/>
          <w:szCs w:val="32"/>
        </w:rPr>
      </w:pPr>
    </w:p>
    <w:p>
      <w:pPr>
        <w:tabs>
          <w:tab w:val="left" w:pos="1134"/>
          <w:tab w:val="left" w:pos="5481"/>
          <w:tab w:val="left" w:pos="5859"/>
        </w:tabs>
        <w:spacing w:line="360" w:lineRule="auto"/>
        <w:jc w:val="center"/>
        <w:rPr>
          <w:rFonts w:ascii="宋体" w:hAnsi="宋体"/>
          <w:b/>
          <w:sz w:val="32"/>
          <w:szCs w:val="32"/>
        </w:rPr>
      </w:pPr>
    </w:p>
    <w:p>
      <w:pPr>
        <w:tabs>
          <w:tab w:val="left" w:pos="1134"/>
          <w:tab w:val="left" w:pos="5481"/>
          <w:tab w:val="left" w:pos="5859"/>
        </w:tabs>
        <w:spacing w:line="360" w:lineRule="auto"/>
        <w:jc w:val="center"/>
        <w:rPr>
          <w:rFonts w:ascii="宋体" w:hAnsi="宋体"/>
          <w:b/>
          <w:sz w:val="32"/>
          <w:szCs w:val="32"/>
        </w:rPr>
      </w:pPr>
    </w:p>
    <w:p>
      <w:pPr>
        <w:tabs>
          <w:tab w:val="left" w:pos="1134"/>
          <w:tab w:val="left" w:pos="5481"/>
          <w:tab w:val="left" w:pos="5859"/>
        </w:tabs>
        <w:spacing w:line="360" w:lineRule="auto"/>
        <w:jc w:val="center"/>
        <w:rPr>
          <w:rFonts w:ascii="宋体" w:hAnsi="宋体"/>
          <w:b/>
          <w:sz w:val="32"/>
          <w:szCs w:val="32"/>
        </w:rPr>
      </w:pPr>
    </w:p>
    <w:p>
      <w:pPr>
        <w:tabs>
          <w:tab w:val="left" w:pos="1134"/>
          <w:tab w:val="left" w:pos="5481"/>
          <w:tab w:val="left" w:pos="5859"/>
        </w:tabs>
        <w:spacing w:line="360" w:lineRule="auto"/>
        <w:jc w:val="center"/>
        <w:rPr>
          <w:rFonts w:ascii="宋体" w:hAnsi="宋体"/>
          <w:b/>
          <w:sz w:val="32"/>
          <w:szCs w:val="32"/>
          <w:u w:val="single"/>
        </w:rPr>
      </w:pPr>
      <w:r>
        <w:rPr>
          <w:rFonts w:hint="eastAsia" w:ascii="宋体" w:hAnsi="宋体"/>
          <w:b/>
          <w:sz w:val="32"/>
          <w:szCs w:val="32"/>
        </w:rPr>
        <w:t>采购人：山东大学</w:t>
      </w:r>
    </w:p>
    <w:p>
      <w:pPr>
        <w:tabs>
          <w:tab w:val="left" w:pos="1134"/>
          <w:tab w:val="left" w:pos="5481"/>
          <w:tab w:val="left" w:pos="5859"/>
        </w:tabs>
        <w:spacing w:line="360" w:lineRule="auto"/>
        <w:jc w:val="center"/>
        <w:rPr>
          <w:rFonts w:ascii="宋体" w:hAnsi="宋体"/>
          <w:b/>
          <w:sz w:val="32"/>
          <w:szCs w:val="32"/>
        </w:rPr>
      </w:pPr>
      <w:r>
        <w:rPr>
          <w:rFonts w:hint="eastAsia" w:ascii="宋体" w:hAnsi="宋体"/>
          <w:b/>
          <w:sz w:val="32"/>
          <w:szCs w:val="32"/>
        </w:rPr>
        <w:t>代理机构：海逸恒安项目管理有限公司</w:t>
      </w:r>
    </w:p>
    <w:p>
      <w:pPr>
        <w:pStyle w:val="31"/>
        <w:spacing w:line="240" w:lineRule="auto"/>
        <w:ind w:left="0" w:leftChars="0" w:firstLine="0" w:firstLineChars="0"/>
        <w:jc w:val="center"/>
        <w:rPr>
          <w:rFonts w:ascii="宋体" w:hAnsi="宋体"/>
          <w:b/>
          <w:kern w:val="2"/>
          <w:sz w:val="32"/>
          <w:szCs w:val="32"/>
        </w:rPr>
        <w:sectPr>
          <w:footerReference r:id="rId3" w:type="default"/>
          <w:pgSz w:w="11907" w:h="16840"/>
          <w:pgMar w:top="1097" w:right="1134" w:bottom="1418" w:left="1337" w:header="851" w:footer="822" w:gutter="0"/>
          <w:cols w:space="720" w:num="1"/>
          <w:docGrid w:linePitch="290" w:charSpace="-3931"/>
        </w:sectPr>
      </w:pPr>
      <w:r>
        <w:rPr>
          <w:rFonts w:hint="eastAsia" w:ascii="宋体" w:hAnsi="宋体"/>
          <w:b/>
          <w:kern w:val="2"/>
          <w:sz w:val="32"/>
          <w:szCs w:val="32"/>
        </w:rPr>
        <w:t>时间：二〇一九年六月</w:t>
      </w:r>
    </w:p>
    <w:p>
      <w:pPr>
        <w:pStyle w:val="31"/>
        <w:spacing w:line="240" w:lineRule="auto"/>
        <w:ind w:left="0" w:leftChars="0" w:firstLine="0" w:firstLineChars="0"/>
        <w:jc w:val="center"/>
        <w:rPr>
          <w:rFonts w:ascii="宋体" w:hAnsi="宋体"/>
          <w:b/>
          <w:sz w:val="36"/>
        </w:rPr>
      </w:pPr>
      <w:r>
        <w:rPr>
          <w:rFonts w:hint="eastAsia" w:ascii="宋体" w:hAnsi="宋体"/>
          <w:b/>
          <w:sz w:val="36"/>
        </w:rPr>
        <w:t>目录</w:t>
      </w:r>
    </w:p>
    <w:p>
      <w:pPr>
        <w:pStyle w:val="53"/>
        <w:tabs>
          <w:tab w:val="right" w:leader="dot" w:pos="9426"/>
        </w:tabs>
        <w:rPr>
          <w:rFonts w:ascii="Calibri" w:hAnsi="Calibri"/>
          <w:b w:val="0"/>
          <w:bCs w:val="0"/>
          <w:caps w:val="0"/>
          <w:sz w:val="21"/>
          <w:szCs w:val="22"/>
        </w:rPr>
      </w:pPr>
      <w:r>
        <w:rPr>
          <w:rFonts w:ascii="宋体" w:hAnsi="宋体"/>
          <w:bCs w:val="0"/>
          <w:caps w:val="0"/>
          <w:sz w:val="44"/>
          <w:szCs w:val="24"/>
        </w:rPr>
        <w:fldChar w:fldCharType="begin"/>
      </w:r>
      <w:r>
        <w:rPr>
          <w:rFonts w:ascii="宋体" w:hAnsi="宋体"/>
          <w:bCs w:val="0"/>
          <w:caps w:val="0"/>
          <w:sz w:val="44"/>
          <w:szCs w:val="24"/>
        </w:rPr>
        <w:instrText xml:space="preserve"> TOC \o "1-3" \h \z \u </w:instrText>
      </w:r>
      <w:r>
        <w:rPr>
          <w:rFonts w:ascii="宋体" w:hAnsi="宋体"/>
          <w:bCs w:val="0"/>
          <w:caps w:val="0"/>
          <w:sz w:val="44"/>
          <w:szCs w:val="24"/>
        </w:rPr>
        <w:fldChar w:fldCharType="separate"/>
      </w:r>
      <w:r>
        <w:fldChar w:fldCharType="begin"/>
      </w:r>
      <w:r>
        <w:instrText xml:space="preserve"> HYPERLINK \l "_Toc11850775" </w:instrText>
      </w:r>
      <w:r>
        <w:fldChar w:fldCharType="separate"/>
      </w:r>
      <w:r>
        <w:rPr>
          <w:rStyle w:val="124"/>
          <w:rFonts w:hint="eastAsia" w:ascii="宋体" w:hAnsi="宋体"/>
        </w:rPr>
        <w:t>第一章招标公告</w:t>
      </w:r>
      <w:r>
        <w:tab/>
      </w:r>
      <w:r>
        <w:fldChar w:fldCharType="begin"/>
      </w:r>
      <w:r>
        <w:instrText xml:space="preserve"> PAGEREF _Toc11850775 \h </w:instrText>
      </w:r>
      <w:r>
        <w:fldChar w:fldCharType="separate"/>
      </w:r>
      <w:r>
        <w:t>3</w:t>
      </w:r>
      <w:r>
        <w:fldChar w:fldCharType="end"/>
      </w:r>
      <w:r>
        <w:fldChar w:fldCharType="end"/>
      </w:r>
    </w:p>
    <w:p>
      <w:pPr>
        <w:pStyle w:val="53"/>
        <w:tabs>
          <w:tab w:val="right" w:leader="dot" w:pos="9426"/>
        </w:tabs>
        <w:rPr>
          <w:rFonts w:ascii="Calibri" w:hAnsi="Calibri"/>
          <w:b w:val="0"/>
          <w:bCs w:val="0"/>
          <w:caps w:val="0"/>
          <w:sz w:val="21"/>
          <w:szCs w:val="22"/>
        </w:rPr>
      </w:pPr>
      <w:r>
        <w:fldChar w:fldCharType="begin"/>
      </w:r>
      <w:r>
        <w:instrText xml:space="preserve"> HYPERLINK \l "_Toc11850776" </w:instrText>
      </w:r>
      <w:r>
        <w:fldChar w:fldCharType="separate"/>
      </w:r>
      <w:r>
        <w:rPr>
          <w:rStyle w:val="124"/>
          <w:rFonts w:hint="eastAsia" w:ascii="宋体" w:hAnsi="宋体"/>
        </w:rPr>
        <w:t>第二章供应商须知</w:t>
      </w:r>
      <w:r>
        <w:tab/>
      </w:r>
      <w:r>
        <w:fldChar w:fldCharType="begin"/>
      </w:r>
      <w:r>
        <w:instrText xml:space="preserve"> PAGEREF _Toc11850776 \h </w:instrText>
      </w:r>
      <w:r>
        <w:fldChar w:fldCharType="separate"/>
      </w:r>
      <w:r>
        <w:t>6</w:t>
      </w:r>
      <w:r>
        <w:fldChar w:fldCharType="end"/>
      </w:r>
      <w:r>
        <w:fldChar w:fldCharType="end"/>
      </w:r>
    </w:p>
    <w:p>
      <w:pPr>
        <w:pStyle w:val="53"/>
        <w:tabs>
          <w:tab w:val="right" w:leader="dot" w:pos="9426"/>
        </w:tabs>
        <w:rPr>
          <w:rFonts w:ascii="Calibri" w:hAnsi="Calibri"/>
          <w:b w:val="0"/>
          <w:bCs w:val="0"/>
          <w:caps w:val="0"/>
          <w:sz w:val="21"/>
          <w:szCs w:val="22"/>
        </w:rPr>
      </w:pPr>
      <w:r>
        <w:fldChar w:fldCharType="begin"/>
      </w:r>
      <w:r>
        <w:instrText xml:space="preserve"> HYPERLINK \l "_Toc11850777" </w:instrText>
      </w:r>
      <w:r>
        <w:fldChar w:fldCharType="separate"/>
      </w:r>
      <w:r>
        <w:rPr>
          <w:rStyle w:val="124"/>
          <w:rFonts w:hint="eastAsia" w:ascii="宋体" w:hAnsi="宋体"/>
        </w:rPr>
        <w:t>供应商须知前附表</w:t>
      </w:r>
      <w:r>
        <w:tab/>
      </w:r>
      <w:r>
        <w:fldChar w:fldCharType="begin"/>
      </w:r>
      <w:r>
        <w:instrText xml:space="preserve"> PAGEREF _Toc11850777 \h </w:instrText>
      </w:r>
      <w:r>
        <w:fldChar w:fldCharType="separate"/>
      </w:r>
      <w:r>
        <w:t>6</w:t>
      </w:r>
      <w:r>
        <w:fldChar w:fldCharType="end"/>
      </w:r>
      <w:r>
        <w:fldChar w:fldCharType="end"/>
      </w:r>
    </w:p>
    <w:p>
      <w:pPr>
        <w:pStyle w:val="62"/>
        <w:rPr>
          <w:rFonts w:ascii="Calibri" w:hAnsi="Calibri"/>
          <w:smallCaps w:val="0"/>
          <w:sz w:val="21"/>
          <w:szCs w:val="22"/>
        </w:rPr>
      </w:pPr>
      <w:r>
        <w:fldChar w:fldCharType="begin"/>
      </w:r>
      <w:r>
        <w:instrText xml:space="preserve"> HYPERLINK \l "_Toc11850778" </w:instrText>
      </w:r>
      <w:r>
        <w:fldChar w:fldCharType="separate"/>
      </w:r>
      <w:r>
        <w:rPr>
          <w:rStyle w:val="124"/>
          <w:rFonts w:hint="eastAsia" w:ascii="宋体" w:hAnsi="宋体"/>
        </w:rPr>
        <w:t>一、说明</w:t>
      </w:r>
      <w:r>
        <w:tab/>
      </w:r>
      <w:r>
        <w:fldChar w:fldCharType="begin"/>
      </w:r>
      <w:r>
        <w:instrText xml:space="preserve"> PAGEREF _Toc11850778 \h </w:instrText>
      </w:r>
      <w:r>
        <w:fldChar w:fldCharType="separate"/>
      </w:r>
      <w:r>
        <w:t>13</w:t>
      </w:r>
      <w:r>
        <w:fldChar w:fldCharType="end"/>
      </w:r>
      <w:r>
        <w:fldChar w:fldCharType="end"/>
      </w:r>
    </w:p>
    <w:p>
      <w:pPr>
        <w:pStyle w:val="62"/>
        <w:rPr>
          <w:rFonts w:ascii="Calibri" w:hAnsi="Calibri"/>
          <w:smallCaps w:val="0"/>
          <w:sz w:val="21"/>
          <w:szCs w:val="22"/>
        </w:rPr>
      </w:pPr>
      <w:r>
        <w:fldChar w:fldCharType="begin"/>
      </w:r>
      <w:r>
        <w:instrText xml:space="preserve"> HYPERLINK \l "_Toc11850779" </w:instrText>
      </w:r>
      <w:r>
        <w:fldChar w:fldCharType="separate"/>
      </w:r>
      <w:r>
        <w:rPr>
          <w:rStyle w:val="124"/>
          <w:rFonts w:hint="eastAsia" w:ascii="宋体" w:hAnsi="宋体"/>
        </w:rPr>
        <w:t>二、招标文件</w:t>
      </w:r>
      <w:r>
        <w:tab/>
      </w:r>
      <w:r>
        <w:fldChar w:fldCharType="begin"/>
      </w:r>
      <w:r>
        <w:instrText xml:space="preserve"> PAGEREF _Toc11850779 \h </w:instrText>
      </w:r>
      <w:r>
        <w:fldChar w:fldCharType="separate"/>
      </w:r>
      <w:r>
        <w:t>13</w:t>
      </w:r>
      <w:r>
        <w:fldChar w:fldCharType="end"/>
      </w:r>
      <w:r>
        <w:fldChar w:fldCharType="end"/>
      </w:r>
    </w:p>
    <w:p>
      <w:pPr>
        <w:pStyle w:val="62"/>
        <w:rPr>
          <w:rFonts w:ascii="Calibri" w:hAnsi="Calibri"/>
          <w:smallCaps w:val="0"/>
          <w:sz w:val="21"/>
          <w:szCs w:val="22"/>
        </w:rPr>
      </w:pPr>
      <w:r>
        <w:fldChar w:fldCharType="begin"/>
      </w:r>
      <w:r>
        <w:instrText xml:space="preserve"> HYPERLINK \l "_Toc11850780" </w:instrText>
      </w:r>
      <w:r>
        <w:fldChar w:fldCharType="separate"/>
      </w:r>
      <w:r>
        <w:rPr>
          <w:rStyle w:val="124"/>
          <w:rFonts w:hint="eastAsia" w:ascii="宋体" w:hAnsi="宋体"/>
        </w:rPr>
        <w:t>三、投标文件编写</w:t>
      </w:r>
      <w:r>
        <w:tab/>
      </w:r>
      <w:r>
        <w:fldChar w:fldCharType="begin"/>
      </w:r>
      <w:r>
        <w:instrText xml:space="preserve"> PAGEREF _Toc11850780 \h </w:instrText>
      </w:r>
      <w:r>
        <w:fldChar w:fldCharType="separate"/>
      </w:r>
      <w:r>
        <w:t>14</w:t>
      </w:r>
      <w:r>
        <w:fldChar w:fldCharType="end"/>
      </w:r>
      <w:r>
        <w:fldChar w:fldCharType="end"/>
      </w:r>
    </w:p>
    <w:p>
      <w:pPr>
        <w:pStyle w:val="62"/>
        <w:rPr>
          <w:rFonts w:ascii="Calibri" w:hAnsi="Calibri"/>
          <w:smallCaps w:val="0"/>
          <w:sz w:val="21"/>
          <w:szCs w:val="22"/>
        </w:rPr>
      </w:pPr>
      <w:r>
        <w:fldChar w:fldCharType="begin"/>
      </w:r>
      <w:r>
        <w:instrText xml:space="preserve"> HYPERLINK \l "_Toc11850781" </w:instrText>
      </w:r>
      <w:r>
        <w:fldChar w:fldCharType="separate"/>
      </w:r>
      <w:r>
        <w:rPr>
          <w:rStyle w:val="124"/>
          <w:rFonts w:hint="eastAsia" w:ascii="宋体" w:hAnsi="宋体"/>
        </w:rPr>
        <w:t>四、投标文件递交</w:t>
      </w:r>
      <w:r>
        <w:tab/>
      </w:r>
      <w:r>
        <w:fldChar w:fldCharType="begin"/>
      </w:r>
      <w:r>
        <w:instrText xml:space="preserve"> PAGEREF _Toc11850781 \h </w:instrText>
      </w:r>
      <w:r>
        <w:fldChar w:fldCharType="separate"/>
      </w:r>
      <w:r>
        <w:t>19</w:t>
      </w:r>
      <w:r>
        <w:fldChar w:fldCharType="end"/>
      </w:r>
      <w:r>
        <w:fldChar w:fldCharType="end"/>
      </w:r>
    </w:p>
    <w:p>
      <w:pPr>
        <w:pStyle w:val="62"/>
        <w:rPr>
          <w:rFonts w:ascii="Calibri" w:hAnsi="Calibri"/>
          <w:smallCaps w:val="0"/>
          <w:sz w:val="21"/>
          <w:szCs w:val="22"/>
        </w:rPr>
      </w:pPr>
      <w:r>
        <w:fldChar w:fldCharType="begin"/>
      </w:r>
      <w:r>
        <w:instrText xml:space="preserve"> HYPERLINK \l "_Toc11850782" </w:instrText>
      </w:r>
      <w:r>
        <w:fldChar w:fldCharType="separate"/>
      </w:r>
      <w:r>
        <w:rPr>
          <w:rStyle w:val="124"/>
          <w:rFonts w:hint="eastAsia" w:ascii="宋体" w:hAnsi="宋体"/>
        </w:rPr>
        <w:t>五、开标与评标</w:t>
      </w:r>
      <w:r>
        <w:tab/>
      </w:r>
      <w:r>
        <w:fldChar w:fldCharType="begin"/>
      </w:r>
      <w:r>
        <w:instrText xml:space="preserve"> PAGEREF _Toc11850782 \h </w:instrText>
      </w:r>
      <w:r>
        <w:fldChar w:fldCharType="separate"/>
      </w:r>
      <w:r>
        <w:t>20</w:t>
      </w:r>
      <w:r>
        <w:fldChar w:fldCharType="end"/>
      </w:r>
      <w:r>
        <w:fldChar w:fldCharType="end"/>
      </w:r>
    </w:p>
    <w:p>
      <w:pPr>
        <w:pStyle w:val="62"/>
        <w:rPr>
          <w:rFonts w:ascii="Calibri" w:hAnsi="Calibri"/>
          <w:smallCaps w:val="0"/>
          <w:sz w:val="21"/>
          <w:szCs w:val="22"/>
        </w:rPr>
      </w:pPr>
      <w:r>
        <w:fldChar w:fldCharType="begin"/>
      </w:r>
      <w:r>
        <w:instrText xml:space="preserve"> HYPERLINK \l "_Toc11850783" </w:instrText>
      </w:r>
      <w:r>
        <w:fldChar w:fldCharType="separate"/>
      </w:r>
      <w:r>
        <w:rPr>
          <w:rStyle w:val="124"/>
          <w:rFonts w:hint="eastAsia" w:ascii="宋体" w:hAnsi="宋体" w:cs="宋体"/>
        </w:rPr>
        <w:t>六、询问和质疑</w:t>
      </w:r>
      <w:r>
        <w:tab/>
      </w:r>
      <w:r>
        <w:fldChar w:fldCharType="begin"/>
      </w:r>
      <w:r>
        <w:instrText xml:space="preserve"> PAGEREF _Toc11850783 \h </w:instrText>
      </w:r>
      <w:r>
        <w:fldChar w:fldCharType="separate"/>
      </w:r>
      <w:r>
        <w:t>29</w:t>
      </w:r>
      <w:r>
        <w:fldChar w:fldCharType="end"/>
      </w:r>
      <w:r>
        <w:fldChar w:fldCharType="end"/>
      </w:r>
    </w:p>
    <w:p>
      <w:pPr>
        <w:pStyle w:val="62"/>
        <w:rPr>
          <w:rFonts w:ascii="Calibri" w:hAnsi="Calibri"/>
          <w:smallCaps w:val="0"/>
          <w:sz w:val="21"/>
          <w:szCs w:val="22"/>
        </w:rPr>
      </w:pPr>
      <w:r>
        <w:fldChar w:fldCharType="begin"/>
      </w:r>
      <w:r>
        <w:instrText xml:space="preserve"> HYPERLINK \l "_Toc11850784" </w:instrText>
      </w:r>
      <w:r>
        <w:fldChar w:fldCharType="separate"/>
      </w:r>
      <w:r>
        <w:rPr>
          <w:rStyle w:val="124"/>
          <w:rFonts w:hint="eastAsia" w:ascii="宋体" w:hAnsi="宋体" w:cs="宋体"/>
        </w:rPr>
        <w:t>七、授予合同</w:t>
      </w:r>
      <w:r>
        <w:tab/>
      </w:r>
      <w:r>
        <w:fldChar w:fldCharType="begin"/>
      </w:r>
      <w:r>
        <w:instrText xml:space="preserve"> PAGEREF _Toc11850784 \h </w:instrText>
      </w:r>
      <w:r>
        <w:fldChar w:fldCharType="separate"/>
      </w:r>
      <w:r>
        <w:t>31</w:t>
      </w:r>
      <w:r>
        <w:fldChar w:fldCharType="end"/>
      </w:r>
      <w:r>
        <w:fldChar w:fldCharType="end"/>
      </w:r>
    </w:p>
    <w:p>
      <w:pPr>
        <w:pStyle w:val="62"/>
        <w:rPr>
          <w:rFonts w:ascii="Calibri" w:hAnsi="Calibri"/>
          <w:smallCaps w:val="0"/>
          <w:sz w:val="21"/>
          <w:szCs w:val="22"/>
        </w:rPr>
      </w:pPr>
      <w:r>
        <w:fldChar w:fldCharType="begin"/>
      </w:r>
      <w:r>
        <w:instrText xml:space="preserve"> HYPERLINK \l "_Toc11850785" </w:instrText>
      </w:r>
      <w:r>
        <w:fldChar w:fldCharType="separate"/>
      </w:r>
      <w:r>
        <w:rPr>
          <w:rStyle w:val="124"/>
          <w:rFonts w:hint="eastAsia" w:ascii="宋体" w:hAnsi="宋体" w:cs="宋体"/>
        </w:rPr>
        <w:t>八、履约保证金</w:t>
      </w:r>
      <w:r>
        <w:tab/>
      </w:r>
      <w:r>
        <w:fldChar w:fldCharType="begin"/>
      </w:r>
      <w:r>
        <w:instrText xml:space="preserve"> PAGEREF _Toc11850785 \h </w:instrText>
      </w:r>
      <w:r>
        <w:fldChar w:fldCharType="separate"/>
      </w:r>
      <w:r>
        <w:t>32</w:t>
      </w:r>
      <w:r>
        <w:fldChar w:fldCharType="end"/>
      </w:r>
      <w:r>
        <w:fldChar w:fldCharType="end"/>
      </w:r>
    </w:p>
    <w:p>
      <w:pPr>
        <w:pStyle w:val="62"/>
        <w:rPr>
          <w:rFonts w:ascii="Calibri" w:hAnsi="Calibri"/>
          <w:smallCaps w:val="0"/>
          <w:sz w:val="21"/>
          <w:szCs w:val="22"/>
        </w:rPr>
      </w:pPr>
      <w:r>
        <w:fldChar w:fldCharType="begin"/>
      </w:r>
      <w:r>
        <w:instrText xml:space="preserve"> HYPERLINK \l "_Toc11850786" </w:instrText>
      </w:r>
      <w:r>
        <w:fldChar w:fldCharType="separate"/>
      </w:r>
      <w:r>
        <w:rPr>
          <w:rStyle w:val="124"/>
          <w:rFonts w:hint="eastAsia" w:ascii="宋体" w:hAnsi="宋体" w:cs="宋体"/>
        </w:rPr>
        <w:t>九、中标服务费</w:t>
      </w:r>
      <w:r>
        <w:tab/>
      </w:r>
      <w:r>
        <w:fldChar w:fldCharType="begin"/>
      </w:r>
      <w:r>
        <w:instrText xml:space="preserve"> PAGEREF _Toc11850786 \h </w:instrText>
      </w:r>
      <w:r>
        <w:fldChar w:fldCharType="separate"/>
      </w:r>
      <w:r>
        <w:t>32</w:t>
      </w:r>
      <w:r>
        <w:fldChar w:fldCharType="end"/>
      </w:r>
      <w:r>
        <w:fldChar w:fldCharType="end"/>
      </w:r>
    </w:p>
    <w:p>
      <w:pPr>
        <w:pStyle w:val="62"/>
        <w:rPr>
          <w:rFonts w:ascii="Calibri" w:hAnsi="Calibri"/>
          <w:smallCaps w:val="0"/>
          <w:sz w:val="21"/>
          <w:szCs w:val="22"/>
        </w:rPr>
      </w:pPr>
      <w:r>
        <w:fldChar w:fldCharType="begin"/>
      </w:r>
      <w:r>
        <w:instrText xml:space="preserve"> HYPERLINK \l "_Toc11850787" </w:instrText>
      </w:r>
      <w:r>
        <w:fldChar w:fldCharType="separate"/>
      </w:r>
      <w:r>
        <w:rPr>
          <w:rStyle w:val="124"/>
          <w:rFonts w:hint="eastAsia" w:ascii="宋体" w:hAnsi="宋体" w:cs="宋体"/>
        </w:rPr>
        <w:t>十、解释权</w:t>
      </w:r>
      <w:r>
        <w:tab/>
      </w:r>
      <w:r>
        <w:fldChar w:fldCharType="begin"/>
      </w:r>
      <w:r>
        <w:instrText xml:space="preserve"> PAGEREF _Toc11850787 \h </w:instrText>
      </w:r>
      <w:r>
        <w:fldChar w:fldCharType="separate"/>
      </w:r>
      <w:r>
        <w:t>32</w:t>
      </w:r>
      <w:r>
        <w:fldChar w:fldCharType="end"/>
      </w:r>
      <w:r>
        <w:fldChar w:fldCharType="end"/>
      </w:r>
    </w:p>
    <w:p>
      <w:pPr>
        <w:pStyle w:val="53"/>
        <w:tabs>
          <w:tab w:val="right" w:leader="dot" w:pos="9426"/>
        </w:tabs>
        <w:rPr>
          <w:rFonts w:ascii="Calibri" w:hAnsi="Calibri"/>
          <w:b w:val="0"/>
          <w:bCs w:val="0"/>
          <w:caps w:val="0"/>
          <w:sz w:val="21"/>
          <w:szCs w:val="22"/>
        </w:rPr>
      </w:pPr>
      <w:r>
        <w:fldChar w:fldCharType="begin"/>
      </w:r>
      <w:r>
        <w:instrText xml:space="preserve"> HYPERLINK \l "_Toc11850788" </w:instrText>
      </w:r>
      <w:r>
        <w:fldChar w:fldCharType="separate"/>
      </w:r>
      <w:r>
        <w:rPr>
          <w:rStyle w:val="124"/>
          <w:rFonts w:hint="eastAsia" w:ascii="宋体" w:hAnsi="宋体"/>
        </w:rPr>
        <w:t>第三章</w:t>
      </w:r>
      <w:r>
        <w:rPr>
          <w:rStyle w:val="124"/>
          <w:rFonts w:ascii="宋体" w:hAnsi="宋体"/>
        </w:rPr>
        <w:t xml:space="preserve">  </w:t>
      </w:r>
      <w:r>
        <w:rPr>
          <w:rStyle w:val="124"/>
          <w:rFonts w:hint="eastAsia" w:ascii="宋体" w:hAnsi="宋体"/>
        </w:rPr>
        <w:t>评分办法</w:t>
      </w:r>
      <w:r>
        <w:tab/>
      </w:r>
      <w:r>
        <w:fldChar w:fldCharType="begin"/>
      </w:r>
      <w:r>
        <w:instrText xml:space="preserve"> PAGEREF _Toc11850788 \h </w:instrText>
      </w:r>
      <w:r>
        <w:fldChar w:fldCharType="separate"/>
      </w:r>
      <w:r>
        <w:t>33</w:t>
      </w:r>
      <w:r>
        <w:fldChar w:fldCharType="end"/>
      </w:r>
      <w:r>
        <w:fldChar w:fldCharType="end"/>
      </w:r>
    </w:p>
    <w:p>
      <w:pPr>
        <w:pStyle w:val="53"/>
        <w:tabs>
          <w:tab w:val="right" w:leader="dot" w:pos="9426"/>
        </w:tabs>
        <w:rPr>
          <w:rFonts w:ascii="Calibri" w:hAnsi="Calibri"/>
          <w:b w:val="0"/>
          <w:bCs w:val="0"/>
          <w:caps w:val="0"/>
          <w:sz w:val="21"/>
          <w:szCs w:val="22"/>
        </w:rPr>
      </w:pPr>
      <w:r>
        <w:fldChar w:fldCharType="begin"/>
      </w:r>
      <w:r>
        <w:instrText xml:space="preserve"> HYPERLINK \l "_Toc11850789" </w:instrText>
      </w:r>
      <w:r>
        <w:fldChar w:fldCharType="separate"/>
      </w:r>
      <w:r>
        <w:rPr>
          <w:rStyle w:val="124"/>
          <w:rFonts w:hint="eastAsia" w:ascii="宋体" w:hAnsi="宋体"/>
        </w:rPr>
        <w:t>第四章</w:t>
      </w:r>
      <w:r>
        <w:rPr>
          <w:rStyle w:val="124"/>
          <w:rFonts w:ascii="宋体" w:hAnsi="宋体"/>
        </w:rPr>
        <w:t xml:space="preserve">   </w:t>
      </w:r>
      <w:r>
        <w:rPr>
          <w:rStyle w:val="124"/>
          <w:rFonts w:hint="eastAsia" w:ascii="宋体" w:hAnsi="宋体"/>
        </w:rPr>
        <w:t>采购内容及项目要求</w:t>
      </w:r>
      <w:r>
        <w:tab/>
      </w:r>
      <w:r>
        <w:fldChar w:fldCharType="begin"/>
      </w:r>
      <w:r>
        <w:instrText xml:space="preserve"> PAGEREF _Toc11850789 \h </w:instrText>
      </w:r>
      <w:r>
        <w:fldChar w:fldCharType="separate"/>
      </w:r>
      <w:r>
        <w:t>36</w:t>
      </w:r>
      <w:r>
        <w:fldChar w:fldCharType="end"/>
      </w:r>
      <w:r>
        <w:fldChar w:fldCharType="end"/>
      </w:r>
    </w:p>
    <w:p>
      <w:pPr>
        <w:pStyle w:val="53"/>
        <w:tabs>
          <w:tab w:val="right" w:leader="dot" w:pos="9426"/>
        </w:tabs>
        <w:rPr>
          <w:rFonts w:ascii="Calibri" w:hAnsi="Calibri"/>
          <w:b w:val="0"/>
          <w:bCs w:val="0"/>
          <w:caps w:val="0"/>
          <w:sz w:val="21"/>
          <w:szCs w:val="22"/>
        </w:rPr>
      </w:pPr>
      <w:r>
        <w:fldChar w:fldCharType="begin"/>
      </w:r>
      <w:r>
        <w:instrText xml:space="preserve"> HYPERLINK \l "_Toc11850804" </w:instrText>
      </w:r>
      <w:r>
        <w:fldChar w:fldCharType="separate"/>
      </w:r>
      <w:r>
        <w:rPr>
          <w:rStyle w:val="124"/>
          <w:rFonts w:hint="eastAsia" w:ascii="宋体" w:hAnsi="宋体"/>
        </w:rPr>
        <w:t>第五章合同格式</w:t>
      </w:r>
      <w:r>
        <w:tab/>
      </w:r>
      <w:r>
        <w:fldChar w:fldCharType="begin"/>
      </w:r>
      <w:r>
        <w:instrText xml:space="preserve"> PAGEREF _Toc11850804 \h </w:instrText>
      </w:r>
      <w:r>
        <w:fldChar w:fldCharType="separate"/>
      </w:r>
      <w:r>
        <w:t>44</w:t>
      </w:r>
      <w:r>
        <w:fldChar w:fldCharType="end"/>
      </w:r>
      <w:r>
        <w:fldChar w:fldCharType="end"/>
      </w:r>
    </w:p>
    <w:p>
      <w:pPr>
        <w:pStyle w:val="53"/>
        <w:tabs>
          <w:tab w:val="right" w:leader="dot" w:pos="9426"/>
        </w:tabs>
        <w:rPr>
          <w:rFonts w:ascii="Calibri" w:hAnsi="Calibri"/>
          <w:b w:val="0"/>
          <w:bCs w:val="0"/>
          <w:caps w:val="0"/>
          <w:sz w:val="21"/>
          <w:szCs w:val="22"/>
        </w:rPr>
      </w:pPr>
      <w:r>
        <w:fldChar w:fldCharType="begin"/>
      </w:r>
      <w:r>
        <w:instrText xml:space="preserve"> HYPERLINK \l "_Toc11850805" </w:instrText>
      </w:r>
      <w:r>
        <w:fldChar w:fldCharType="separate"/>
      </w:r>
      <w:r>
        <w:rPr>
          <w:rStyle w:val="124"/>
          <w:rFonts w:hint="eastAsia" w:ascii="宋体" w:hAnsi="宋体"/>
        </w:rPr>
        <w:t>第六章附件（投标文件格式）</w:t>
      </w:r>
      <w:r>
        <w:tab/>
      </w:r>
      <w:r>
        <w:fldChar w:fldCharType="begin"/>
      </w:r>
      <w:r>
        <w:instrText xml:space="preserve"> PAGEREF _Toc11850805 \h </w:instrText>
      </w:r>
      <w:r>
        <w:fldChar w:fldCharType="separate"/>
      </w:r>
      <w:r>
        <w:t>47</w:t>
      </w:r>
      <w:r>
        <w:fldChar w:fldCharType="end"/>
      </w:r>
      <w: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"_Toc11850806" </w:instrText>
      </w:r>
      <w:r>
        <w:fldChar w:fldCharType="separate"/>
      </w:r>
      <w:r>
        <w:rPr>
          <w:rStyle w:val="124"/>
          <w:rFonts w:hint="eastAsia" w:ascii="宋体" w:hAnsi="宋体"/>
          <w:i w:val="0"/>
        </w:rPr>
        <w:t>附件一：投标函</w:t>
      </w:r>
      <w:r>
        <w:rPr>
          <w:i w:val="0"/>
        </w:rPr>
        <w:tab/>
      </w:r>
      <w:r>
        <w:rPr>
          <w:i w:val="0"/>
        </w:rPr>
        <w:fldChar w:fldCharType="begin"/>
      </w:r>
      <w:r>
        <w:rPr>
          <w:i w:val="0"/>
        </w:rPr>
        <w:instrText xml:space="preserve"> PAGEREF _Toc11850806 \h </w:instrText>
      </w:r>
      <w:r>
        <w:rPr>
          <w:i w:val="0"/>
        </w:rPr>
        <w:fldChar w:fldCharType="separate"/>
      </w:r>
      <w:r>
        <w:rPr>
          <w:i w:val="0"/>
        </w:rPr>
        <w:t>48</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"_Toc11850807" </w:instrText>
      </w:r>
      <w:r>
        <w:fldChar w:fldCharType="separate"/>
      </w:r>
      <w:r>
        <w:rPr>
          <w:rStyle w:val="124"/>
          <w:rFonts w:hint="eastAsia" w:ascii="宋体" w:hAnsi="宋体"/>
          <w:i w:val="0"/>
        </w:rPr>
        <w:t>附件二：授权委托书</w:t>
      </w:r>
      <w:r>
        <w:rPr>
          <w:i w:val="0"/>
        </w:rPr>
        <w:tab/>
      </w:r>
      <w:r>
        <w:rPr>
          <w:i w:val="0"/>
        </w:rPr>
        <w:fldChar w:fldCharType="begin"/>
      </w:r>
      <w:r>
        <w:rPr>
          <w:i w:val="0"/>
        </w:rPr>
        <w:instrText xml:space="preserve"> PAGEREF _Toc11850807 \h </w:instrText>
      </w:r>
      <w:r>
        <w:rPr>
          <w:i w:val="0"/>
        </w:rPr>
        <w:fldChar w:fldCharType="separate"/>
      </w:r>
      <w:r>
        <w:rPr>
          <w:i w:val="0"/>
        </w:rPr>
        <w:t>49</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"_Toc11850808" </w:instrText>
      </w:r>
      <w:r>
        <w:fldChar w:fldCharType="separate"/>
      </w:r>
      <w:r>
        <w:rPr>
          <w:rStyle w:val="124"/>
          <w:rFonts w:hint="eastAsia" w:ascii="宋体" w:hAnsi="宋体"/>
          <w:i w:val="0"/>
        </w:rPr>
        <w:t>附件三：开标一览表</w:t>
      </w:r>
      <w:r>
        <w:rPr>
          <w:i w:val="0"/>
        </w:rPr>
        <w:tab/>
      </w:r>
      <w:r>
        <w:rPr>
          <w:i w:val="0"/>
        </w:rPr>
        <w:fldChar w:fldCharType="begin"/>
      </w:r>
      <w:r>
        <w:rPr>
          <w:i w:val="0"/>
        </w:rPr>
        <w:instrText xml:space="preserve"> PAGEREF _Toc11850808 \h </w:instrText>
      </w:r>
      <w:r>
        <w:rPr>
          <w:i w:val="0"/>
        </w:rPr>
        <w:fldChar w:fldCharType="separate"/>
      </w:r>
      <w:r>
        <w:rPr>
          <w:i w:val="0"/>
        </w:rPr>
        <w:t>50</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"_Toc11850809" </w:instrText>
      </w:r>
      <w:r>
        <w:fldChar w:fldCharType="separate"/>
      </w:r>
      <w:r>
        <w:rPr>
          <w:rStyle w:val="124"/>
          <w:rFonts w:hint="eastAsia" w:ascii="宋体" w:hAnsi="宋体"/>
          <w:i w:val="0"/>
        </w:rPr>
        <w:t>附件四：报价明细表</w:t>
      </w:r>
      <w:r>
        <w:rPr>
          <w:i w:val="0"/>
        </w:rPr>
        <w:tab/>
      </w:r>
      <w:r>
        <w:rPr>
          <w:i w:val="0"/>
        </w:rPr>
        <w:fldChar w:fldCharType="begin"/>
      </w:r>
      <w:r>
        <w:rPr>
          <w:i w:val="0"/>
        </w:rPr>
        <w:instrText xml:space="preserve"> PAGEREF _Toc11850809 \h </w:instrText>
      </w:r>
      <w:r>
        <w:rPr>
          <w:i w:val="0"/>
        </w:rPr>
        <w:fldChar w:fldCharType="separate"/>
      </w:r>
      <w:r>
        <w:rPr>
          <w:i w:val="0"/>
        </w:rPr>
        <w:t>51</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"_Toc11850810" </w:instrText>
      </w:r>
      <w:r>
        <w:fldChar w:fldCharType="separate"/>
      </w:r>
      <w:r>
        <w:rPr>
          <w:rStyle w:val="124"/>
          <w:rFonts w:hint="eastAsia" w:ascii="宋体" w:hAnsi="宋体"/>
          <w:i w:val="0"/>
        </w:rPr>
        <w:t>附件五：分项报价表</w:t>
      </w:r>
      <w:r>
        <w:rPr>
          <w:i w:val="0"/>
        </w:rPr>
        <w:tab/>
      </w:r>
      <w:r>
        <w:rPr>
          <w:i w:val="0"/>
        </w:rPr>
        <w:fldChar w:fldCharType="begin"/>
      </w:r>
      <w:r>
        <w:rPr>
          <w:i w:val="0"/>
        </w:rPr>
        <w:instrText xml:space="preserve"> PAGEREF _Toc11850810 \h </w:instrText>
      </w:r>
      <w:r>
        <w:rPr>
          <w:i w:val="0"/>
        </w:rPr>
        <w:fldChar w:fldCharType="separate"/>
      </w:r>
      <w:r>
        <w:rPr>
          <w:i w:val="0"/>
        </w:rPr>
        <w:t>52</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"_Toc11850811" </w:instrText>
      </w:r>
      <w:r>
        <w:fldChar w:fldCharType="separate"/>
      </w:r>
      <w:r>
        <w:rPr>
          <w:rStyle w:val="124"/>
          <w:rFonts w:hint="eastAsia" w:ascii="宋体" w:hAnsi="宋体"/>
          <w:i w:val="0"/>
        </w:rPr>
        <w:t>附件六：主要设备及配件报价明细表</w:t>
      </w:r>
      <w:r>
        <w:rPr>
          <w:i w:val="0"/>
        </w:rPr>
        <w:tab/>
      </w:r>
      <w:r>
        <w:rPr>
          <w:i w:val="0"/>
        </w:rPr>
        <w:fldChar w:fldCharType="begin"/>
      </w:r>
      <w:r>
        <w:rPr>
          <w:i w:val="0"/>
        </w:rPr>
        <w:instrText xml:space="preserve"> PAGEREF _Toc11850811 \h </w:instrText>
      </w:r>
      <w:r>
        <w:rPr>
          <w:i w:val="0"/>
        </w:rPr>
        <w:fldChar w:fldCharType="separate"/>
      </w:r>
      <w:r>
        <w:rPr>
          <w:i w:val="0"/>
        </w:rPr>
        <w:t>53</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"_Toc11850812" </w:instrText>
      </w:r>
      <w:r>
        <w:fldChar w:fldCharType="separate"/>
      </w:r>
      <w:r>
        <w:rPr>
          <w:rStyle w:val="124"/>
          <w:rFonts w:hint="eastAsia" w:ascii="宋体" w:hAnsi="宋体"/>
          <w:i w:val="0"/>
        </w:rPr>
        <w:t>附件七：设备维保明细表（如需）</w:t>
      </w:r>
      <w:r>
        <w:rPr>
          <w:i w:val="0"/>
        </w:rPr>
        <w:tab/>
      </w:r>
      <w:r>
        <w:rPr>
          <w:i w:val="0"/>
        </w:rPr>
        <w:fldChar w:fldCharType="begin"/>
      </w:r>
      <w:r>
        <w:rPr>
          <w:i w:val="0"/>
        </w:rPr>
        <w:instrText xml:space="preserve"> PAGEREF _Toc11850812 \h </w:instrText>
      </w:r>
      <w:r>
        <w:rPr>
          <w:i w:val="0"/>
        </w:rPr>
        <w:fldChar w:fldCharType="separate"/>
      </w:r>
      <w:r>
        <w:rPr>
          <w:i w:val="0"/>
        </w:rPr>
        <w:t>54</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"_Toc11850813" </w:instrText>
      </w:r>
      <w:r>
        <w:fldChar w:fldCharType="separate"/>
      </w:r>
      <w:r>
        <w:rPr>
          <w:rStyle w:val="124"/>
          <w:rFonts w:hint="eastAsia" w:ascii="宋体" w:hAnsi="宋体"/>
          <w:i w:val="0"/>
        </w:rPr>
        <w:t>附件八：质保期内供应的备品备件、易损件、专用工具价格表</w:t>
      </w:r>
      <w:r>
        <w:rPr>
          <w:i w:val="0"/>
        </w:rPr>
        <w:tab/>
      </w:r>
      <w:r>
        <w:rPr>
          <w:i w:val="0"/>
        </w:rPr>
        <w:fldChar w:fldCharType="begin"/>
      </w:r>
      <w:r>
        <w:rPr>
          <w:i w:val="0"/>
        </w:rPr>
        <w:instrText xml:space="preserve"> PAGEREF _Toc11850813 \h </w:instrText>
      </w:r>
      <w:r>
        <w:rPr>
          <w:i w:val="0"/>
        </w:rPr>
        <w:fldChar w:fldCharType="separate"/>
      </w:r>
      <w:r>
        <w:rPr>
          <w:i w:val="0"/>
        </w:rPr>
        <w:t>55</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"_Toc11850814" </w:instrText>
      </w:r>
      <w:r>
        <w:fldChar w:fldCharType="separate"/>
      </w:r>
      <w:r>
        <w:rPr>
          <w:rStyle w:val="124"/>
          <w:rFonts w:hint="eastAsia" w:ascii="宋体" w:hAnsi="宋体"/>
          <w:i w:val="0"/>
        </w:rPr>
        <w:t>附件九：质保期到期后长期供应的备品备件、易损件、专用工具价格表</w:t>
      </w:r>
      <w:r>
        <w:rPr>
          <w:i w:val="0"/>
        </w:rPr>
        <w:tab/>
      </w:r>
      <w:r>
        <w:rPr>
          <w:i w:val="0"/>
        </w:rPr>
        <w:fldChar w:fldCharType="begin"/>
      </w:r>
      <w:r>
        <w:rPr>
          <w:i w:val="0"/>
        </w:rPr>
        <w:instrText xml:space="preserve"> PAGEREF _Toc11850814 \h </w:instrText>
      </w:r>
      <w:r>
        <w:rPr>
          <w:i w:val="0"/>
        </w:rPr>
        <w:fldChar w:fldCharType="separate"/>
      </w:r>
      <w:r>
        <w:rPr>
          <w:i w:val="0"/>
        </w:rPr>
        <w:t>56</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"_Toc11850815" </w:instrText>
      </w:r>
      <w:r>
        <w:fldChar w:fldCharType="separate"/>
      </w:r>
      <w:r>
        <w:rPr>
          <w:rStyle w:val="124"/>
          <w:rFonts w:hint="eastAsia" w:ascii="宋体" w:hAnsi="宋体"/>
          <w:i w:val="0"/>
        </w:rPr>
        <w:t>附件十：商务偏离表</w:t>
      </w:r>
      <w:r>
        <w:rPr>
          <w:i w:val="0"/>
        </w:rPr>
        <w:tab/>
      </w:r>
      <w:r>
        <w:rPr>
          <w:i w:val="0"/>
        </w:rPr>
        <w:fldChar w:fldCharType="begin"/>
      </w:r>
      <w:r>
        <w:rPr>
          <w:i w:val="0"/>
        </w:rPr>
        <w:instrText xml:space="preserve"> PAGEREF _Toc11850815 \h </w:instrText>
      </w:r>
      <w:r>
        <w:rPr>
          <w:i w:val="0"/>
        </w:rPr>
        <w:fldChar w:fldCharType="separate"/>
      </w:r>
      <w:r>
        <w:rPr>
          <w:i w:val="0"/>
        </w:rPr>
        <w:t>57</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"_Toc11850816" </w:instrText>
      </w:r>
      <w:r>
        <w:fldChar w:fldCharType="separate"/>
      </w:r>
      <w:r>
        <w:rPr>
          <w:rStyle w:val="124"/>
          <w:rFonts w:hint="eastAsia" w:ascii="宋体" w:hAnsi="宋体"/>
          <w:i w:val="0"/>
        </w:rPr>
        <w:t>附件十一：技术偏离表</w:t>
      </w:r>
      <w:r>
        <w:rPr>
          <w:i w:val="0"/>
        </w:rPr>
        <w:tab/>
      </w:r>
      <w:r>
        <w:rPr>
          <w:i w:val="0"/>
        </w:rPr>
        <w:fldChar w:fldCharType="begin"/>
      </w:r>
      <w:r>
        <w:rPr>
          <w:i w:val="0"/>
        </w:rPr>
        <w:instrText xml:space="preserve"> PAGEREF _Toc11850816 \h </w:instrText>
      </w:r>
      <w:r>
        <w:rPr>
          <w:i w:val="0"/>
        </w:rPr>
        <w:fldChar w:fldCharType="separate"/>
      </w:r>
      <w:r>
        <w:rPr>
          <w:i w:val="0"/>
        </w:rPr>
        <w:t>58</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"_Toc11850817" </w:instrText>
      </w:r>
      <w:r>
        <w:fldChar w:fldCharType="separate"/>
      </w:r>
      <w:r>
        <w:rPr>
          <w:rStyle w:val="124"/>
          <w:rFonts w:hint="eastAsia" w:ascii="宋体" w:hAnsi="宋体"/>
          <w:i w:val="0"/>
        </w:rPr>
        <w:t>附件十二：近年类似业绩一览表</w:t>
      </w:r>
      <w:r>
        <w:rPr>
          <w:i w:val="0"/>
        </w:rPr>
        <w:tab/>
      </w:r>
      <w:r>
        <w:rPr>
          <w:i w:val="0"/>
        </w:rPr>
        <w:fldChar w:fldCharType="begin"/>
      </w:r>
      <w:r>
        <w:rPr>
          <w:i w:val="0"/>
        </w:rPr>
        <w:instrText xml:space="preserve"> PAGEREF _Toc11850817 \h </w:instrText>
      </w:r>
      <w:r>
        <w:rPr>
          <w:i w:val="0"/>
        </w:rPr>
        <w:fldChar w:fldCharType="separate"/>
      </w:r>
      <w:r>
        <w:rPr>
          <w:i w:val="0"/>
        </w:rPr>
        <w:t>59</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"_Toc11850818" </w:instrText>
      </w:r>
      <w:r>
        <w:fldChar w:fldCharType="separate"/>
      </w:r>
      <w:r>
        <w:rPr>
          <w:rStyle w:val="124"/>
          <w:rFonts w:hint="eastAsia" w:ascii="宋体" w:hAnsi="宋体"/>
          <w:i w:val="0"/>
        </w:rPr>
        <w:t>附件十三：其他</w:t>
      </w:r>
      <w:r>
        <w:rPr>
          <w:i w:val="0"/>
        </w:rPr>
        <w:tab/>
      </w:r>
      <w:r>
        <w:rPr>
          <w:i w:val="0"/>
        </w:rPr>
        <w:fldChar w:fldCharType="begin"/>
      </w:r>
      <w:r>
        <w:rPr>
          <w:i w:val="0"/>
        </w:rPr>
        <w:instrText xml:space="preserve"> PAGEREF _Toc11850818 \h </w:instrText>
      </w:r>
      <w:r>
        <w:rPr>
          <w:i w:val="0"/>
        </w:rPr>
        <w:fldChar w:fldCharType="separate"/>
      </w:r>
      <w:r>
        <w:rPr>
          <w:i w:val="0"/>
        </w:rPr>
        <w:t>60</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"_Toc11850819" </w:instrText>
      </w:r>
      <w:r>
        <w:fldChar w:fldCharType="separate"/>
      </w:r>
      <w:r>
        <w:rPr>
          <w:rStyle w:val="124"/>
          <w:rFonts w:hint="eastAsia" w:ascii="宋体" w:hAnsi="宋体"/>
          <w:i w:val="0"/>
        </w:rPr>
        <w:t>附件十四：中小企业声明函、从业人员声明函</w:t>
      </w:r>
      <w:r>
        <w:rPr>
          <w:i w:val="0"/>
        </w:rPr>
        <w:tab/>
      </w:r>
      <w:r>
        <w:rPr>
          <w:i w:val="0"/>
        </w:rPr>
        <w:fldChar w:fldCharType="begin"/>
      </w:r>
      <w:r>
        <w:rPr>
          <w:i w:val="0"/>
        </w:rPr>
        <w:instrText xml:space="preserve"> PAGEREF _Toc11850819 \h </w:instrText>
      </w:r>
      <w:r>
        <w:rPr>
          <w:i w:val="0"/>
        </w:rPr>
        <w:fldChar w:fldCharType="separate"/>
      </w:r>
      <w:r>
        <w:rPr>
          <w:i w:val="0"/>
        </w:rPr>
        <w:t>61</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"_Toc11850820" </w:instrText>
      </w:r>
      <w:r>
        <w:fldChar w:fldCharType="separate"/>
      </w:r>
      <w:r>
        <w:rPr>
          <w:rStyle w:val="124"/>
          <w:rFonts w:hint="eastAsia" w:ascii="宋体" w:hAnsi="宋体"/>
          <w:i w:val="0"/>
        </w:rPr>
        <w:t>附件十五：投标文件密封封套标记格式</w:t>
      </w:r>
      <w:r>
        <w:rPr>
          <w:i w:val="0"/>
        </w:rPr>
        <w:tab/>
      </w:r>
      <w:r>
        <w:rPr>
          <w:i w:val="0"/>
        </w:rPr>
        <w:fldChar w:fldCharType="begin"/>
      </w:r>
      <w:r>
        <w:rPr>
          <w:i w:val="0"/>
        </w:rPr>
        <w:instrText xml:space="preserve"> PAGEREF _Toc11850820 \h </w:instrText>
      </w:r>
      <w:r>
        <w:rPr>
          <w:i w:val="0"/>
        </w:rPr>
        <w:fldChar w:fldCharType="separate"/>
      </w:r>
      <w:r>
        <w:rPr>
          <w:i w:val="0"/>
        </w:rPr>
        <w:t>62</w:t>
      </w:r>
      <w:r>
        <w:rPr>
          <w:i w:val="0"/>
        </w:rPr>
        <w:fldChar w:fldCharType="end"/>
      </w:r>
      <w:r>
        <w:rPr>
          <w:i w:val="0"/>
        </w:rPr>
        <w:fldChar w:fldCharType="end"/>
      </w:r>
    </w:p>
    <w:p>
      <w:pPr>
        <w:pStyle w:val="40"/>
        <w:tabs>
          <w:tab w:val="right" w:leader="dot" w:pos="9426"/>
        </w:tabs>
        <w:rPr>
          <w:rFonts w:ascii="Calibri" w:hAnsi="Calibri"/>
          <w:i w:val="0"/>
          <w:iCs w:val="0"/>
          <w:sz w:val="21"/>
          <w:szCs w:val="22"/>
        </w:rPr>
      </w:pPr>
      <w:r>
        <w:fldChar w:fldCharType="begin"/>
      </w:r>
      <w:r>
        <w:instrText xml:space="preserve"> HYPERLINK \l "_Toc11850821" </w:instrText>
      </w:r>
      <w:r>
        <w:fldChar w:fldCharType="separate"/>
      </w:r>
      <w:r>
        <w:rPr>
          <w:rStyle w:val="124"/>
          <w:rFonts w:hint="eastAsia"/>
          <w:i w:val="0"/>
        </w:rPr>
        <w:t>附件十六：保证金退还申请表</w:t>
      </w:r>
      <w:r>
        <w:rPr>
          <w:i w:val="0"/>
        </w:rPr>
        <w:tab/>
      </w:r>
      <w:r>
        <w:rPr>
          <w:i w:val="0"/>
        </w:rPr>
        <w:fldChar w:fldCharType="begin"/>
      </w:r>
      <w:r>
        <w:rPr>
          <w:i w:val="0"/>
        </w:rPr>
        <w:instrText xml:space="preserve"> PAGEREF _Toc11850821 \h </w:instrText>
      </w:r>
      <w:r>
        <w:rPr>
          <w:i w:val="0"/>
        </w:rPr>
        <w:fldChar w:fldCharType="separate"/>
      </w:r>
      <w:r>
        <w:rPr>
          <w:i w:val="0"/>
        </w:rPr>
        <w:t>63</w:t>
      </w:r>
      <w:r>
        <w:rPr>
          <w:i w:val="0"/>
        </w:rPr>
        <w:fldChar w:fldCharType="end"/>
      </w:r>
      <w:r>
        <w:rPr>
          <w:i w:val="0"/>
        </w:rPr>
        <w:fldChar w:fldCharType="end"/>
      </w:r>
    </w:p>
    <w:p>
      <w:pPr>
        <w:pStyle w:val="3"/>
        <w:spacing w:before="120" w:after="120" w:line="360" w:lineRule="auto"/>
        <w:jc w:val="center"/>
        <w:rPr>
          <w:rFonts w:ascii="宋体" w:hAnsi="宋体"/>
          <w:kern w:val="2"/>
          <w:sz w:val="32"/>
        </w:rPr>
      </w:pPr>
      <w:r>
        <w:rPr>
          <w:rFonts w:ascii="宋体" w:hAnsi="宋体"/>
          <w:bCs/>
          <w:caps/>
          <w:szCs w:val="24"/>
        </w:rPr>
        <w:fldChar w:fldCharType="end"/>
      </w:r>
      <w:bookmarkStart w:id="0" w:name="_Toc300"/>
      <w:r>
        <w:rPr>
          <w:rFonts w:ascii="宋体" w:hAnsi="宋体"/>
        </w:rPr>
        <w:br w:type="page"/>
      </w:r>
      <w:bookmarkEnd w:id="0"/>
      <w:bookmarkStart w:id="1" w:name="_Toc11850775"/>
      <w:r>
        <w:rPr>
          <w:rFonts w:hint="eastAsia" w:ascii="宋体" w:hAnsi="宋体"/>
          <w:kern w:val="2"/>
          <w:sz w:val="32"/>
        </w:rPr>
        <w:t>第一章招标公告</w:t>
      </w:r>
      <w:bookmarkEnd w:id="1"/>
    </w:p>
    <w:p>
      <w:pPr>
        <w:jc w:val="center"/>
        <w:rPr>
          <w:rFonts w:ascii="宋体" w:hAnsi="宋体"/>
          <w:b/>
          <w:sz w:val="28"/>
          <w:szCs w:val="28"/>
        </w:rPr>
      </w:pPr>
    </w:p>
    <w:p>
      <w:pPr>
        <w:jc w:val="center"/>
        <w:rPr>
          <w:rFonts w:ascii="宋体" w:hAnsi="宋体"/>
          <w:b/>
          <w:sz w:val="28"/>
          <w:szCs w:val="28"/>
        </w:rPr>
      </w:pPr>
      <w:r>
        <w:rPr>
          <w:rFonts w:hint="eastAsia" w:ascii="宋体" w:hAnsi="宋体"/>
          <w:b/>
          <w:sz w:val="28"/>
          <w:szCs w:val="28"/>
        </w:rPr>
        <w:t>山东大学医疗科研设备采购招标公告</w:t>
      </w:r>
    </w:p>
    <w:p>
      <w:pPr>
        <w:spacing w:line="360" w:lineRule="exact"/>
        <w:jc w:val="center"/>
        <w:rPr>
          <w:rFonts w:ascii="宋体" w:hAnsi="宋体"/>
          <w:sz w:val="24"/>
        </w:rPr>
      </w:pPr>
    </w:p>
    <w:p>
      <w:pPr>
        <w:adjustRightInd w:val="0"/>
        <w:snapToGrid w:val="0"/>
        <w:spacing w:line="500" w:lineRule="exact"/>
        <w:rPr>
          <w:rFonts w:ascii="宋体" w:hAnsi="宋体"/>
          <w:sz w:val="24"/>
        </w:rPr>
      </w:pPr>
      <w:r>
        <w:rPr>
          <w:rFonts w:ascii="宋体" w:hAnsi="宋体"/>
          <w:sz w:val="24"/>
        </w:rPr>
        <w:t xml:space="preserve">    </w:t>
      </w:r>
      <w:r>
        <w:rPr>
          <w:rFonts w:hint="eastAsia" w:ascii="宋体" w:hAnsi="宋体"/>
          <w:sz w:val="24"/>
        </w:rPr>
        <w:t>海逸恒安项目管理有限公司受山东大学委托，就山东大学医疗科研设备采购项目采用公开招标的方式进行采购，择优选定中标人。</w:t>
      </w:r>
    </w:p>
    <w:p>
      <w:pPr>
        <w:adjustRightInd w:val="0"/>
        <w:snapToGrid w:val="0"/>
        <w:spacing w:line="360" w:lineRule="auto"/>
        <w:ind w:firstLine="482" w:firstLineChars="200"/>
        <w:rPr>
          <w:rFonts w:hint="eastAsia" w:ascii="宋体" w:hAnsi="宋体" w:cs="仿宋"/>
          <w:b/>
          <w:bCs/>
          <w:kern w:val="0"/>
          <w:sz w:val="24"/>
        </w:rPr>
      </w:pPr>
      <w:r>
        <w:rPr>
          <w:rFonts w:hint="eastAsia" w:ascii="宋体" w:hAnsi="宋体" w:cs="仿宋"/>
          <w:b/>
          <w:bCs/>
          <w:kern w:val="0"/>
          <w:sz w:val="24"/>
        </w:rPr>
        <w:t>一、采购人：山东大学      地址：济南市历城区山大南路27号.</w:t>
      </w:r>
    </w:p>
    <w:p>
      <w:pPr>
        <w:pStyle w:val="2"/>
        <w:spacing w:line="360" w:lineRule="auto"/>
        <w:rPr>
          <w:rFonts w:ascii="宋体" w:hAnsi="宋体" w:cs="仿宋"/>
          <w:b/>
          <w:bCs/>
        </w:rPr>
      </w:pPr>
      <w:r>
        <w:rPr>
          <w:rFonts w:hint="eastAsia" w:ascii="宋体" w:hAnsi="宋体" w:cs="仿宋"/>
          <w:b/>
          <w:bCs/>
          <w:szCs w:val="24"/>
        </w:rPr>
        <w:t xml:space="preserve">       </w:t>
      </w:r>
      <w:r>
        <w:rPr>
          <w:rFonts w:hint="eastAsia" w:ascii="宋体" w:hAnsi="宋体" w:cs="仿宋"/>
          <w:b/>
          <w:bCs/>
        </w:rPr>
        <w:t xml:space="preserve">联系方式：0531-85875076  </w:t>
      </w:r>
    </w:p>
    <w:p>
      <w:pPr>
        <w:adjustRightInd w:val="0"/>
        <w:snapToGrid w:val="0"/>
        <w:spacing w:line="500" w:lineRule="exact"/>
        <w:ind w:firstLine="843" w:firstLineChars="350"/>
        <w:rPr>
          <w:rFonts w:ascii="宋体" w:hAnsi="宋体" w:cs="仿宋"/>
          <w:b/>
          <w:bCs/>
          <w:kern w:val="0"/>
          <w:sz w:val="24"/>
        </w:rPr>
      </w:pPr>
      <w:r>
        <w:rPr>
          <w:rFonts w:hint="eastAsia" w:ascii="宋体" w:hAnsi="宋体" w:cs="仿宋"/>
          <w:b/>
          <w:bCs/>
          <w:kern w:val="0"/>
          <w:sz w:val="24"/>
        </w:rPr>
        <w:t xml:space="preserve">采购代理机构：海逸恒安项目管理有限公司    </w:t>
      </w:r>
    </w:p>
    <w:p>
      <w:pPr>
        <w:adjustRightInd w:val="0"/>
        <w:snapToGrid w:val="0"/>
        <w:spacing w:line="500" w:lineRule="exact"/>
        <w:ind w:firstLine="843" w:firstLineChars="350"/>
        <w:rPr>
          <w:rFonts w:ascii="宋体" w:hAnsi="宋体" w:cs="仿宋"/>
          <w:b/>
          <w:bCs/>
          <w:kern w:val="0"/>
          <w:sz w:val="24"/>
        </w:rPr>
      </w:pPr>
      <w:r>
        <w:rPr>
          <w:rFonts w:hint="eastAsia" w:ascii="宋体" w:hAnsi="宋体" w:cs="仿宋"/>
          <w:b/>
          <w:bCs/>
          <w:kern w:val="0"/>
          <w:sz w:val="24"/>
        </w:rPr>
        <w:t>地址：山东省济南市高新区舜华南路297号汉峪金谷A2-3号楼18层</w:t>
      </w:r>
    </w:p>
    <w:p>
      <w:pPr>
        <w:adjustRightInd w:val="0"/>
        <w:snapToGrid w:val="0"/>
        <w:spacing w:line="500" w:lineRule="exact"/>
        <w:ind w:firstLine="843" w:firstLineChars="350"/>
        <w:rPr>
          <w:rFonts w:ascii="宋体" w:hAnsi="宋体" w:cs="仿宋"/>
          <w:b/>
          <w:bCs/>
          <w:kern w:val="0"/>
          <w:sz w:val="24"/>
        </w:rPr>
      </w:pPr>
      <w:r>
        <w:rPr>
          <w:rFonts w:hint="eastAsia" w:ascii="宋体" w:hAnsi="宋体" w:cs="仿宋"/>
          <w:b/>
          <w:bCs/>
          <w:kern w:val="0"/>
          <w:sz w:val="24"/>
        </w:rPr>
        <w:t>联系人：柴振华、邢生康    联系方式：0531-82661637</w:t>
      </w:r>
    </w:p>
    <w:p>
      <w:pPr>
        <w:adjustRightInd w:val="0"/>
        <w:snapToGrid w:val="0"/>
        <w:spacing w:line="500" w:lineRule="exact"/>
        <w:ind w:firstLine="482" w:firstLineChars="200"/>
        <w:rPr>
          <w:rFonts w:ascii="宋体" w:hAnsi="宋体"/>
          <w:b/>
          <w:sz w:val="24"/>
        </w:rPr>
      </w:pPr>
      <w:r>
        <w:rPr>
          <w:rFonts w:hint="eastAsia" w:ascii="宋体" w:hAnsi="宋体" w:cs="仿宋"/>
          <w:b/>
          <w:bCs/>
          <w:kern w:val="0"/>
          <w:sz w:val="24"/>
        </w:rPr>
        <w:t>二、</w:t>
      </w:r>
      <w:r>
        <w:rPr>
          <w:rFonts w:hint="eastAsia" w:ascii="宋体" w:hAnsi="宋体"/>
          <w:b/>
          <w:sz w:val="24"/>
        </w:rPr>
        <w:t>项目概况：</w:t>
      </w:r>
    </w:p>
    <w:p>
      <w:pPr>
        <w:adjustRightInd w:val="0"/>
        <w:snapToGrid w:val="0"/>
        <w:spacing w:line="500" w:lineRule="exact"/>
        <w:ind w:firstLine="960" w:firstLineChars="400"/>
        <w:rPr>
          <w:rFonts w:ascii="宋体" w:hAnsi="宋体"/>
          <w:sz w:val="24"/>
        </w:rPr>
      </w:pPr>
      <w:r>
        <w:rPr>
          <w:rFonts w:hint="eastAsia" w:ascii="宋体" w:hAnsi="宋体"/>
          <w:sz w:val="24"/>
        </w:rPr>
        <w:t>1、项目名称：山东大学医疗科研设备采购</w:t>
      </w:r>
      <w:r>
        <w:rPr>
          <w:rFonts w:ascii="宋体" w:hAnsi="宋体"/>
          <w:sz w:val="24"/>
        </w:rPr>
        <w:t xml:space="preserve"> </w:t>
      </w:r>
    </w:p>
    <w:p>
      <w:pPr>
        <w:adjustRightInd w:val="0"/>
        <w:snapToGrid w:val="0"/>
        <w:spacing w:line="500" w:lineRule="exact"/>
        <w:ind w:firstLine="960" w:firstLineChars="400"/>
        <w:rPr>
          <w:rFonts w:ascii="宋体" w:hAnsi="宋体"/>
          <w:sz w:val="24"/>
        </w:rPr>
      </w:pPr>
      <w:r>
        <w:rPr>
          <w:rFonts w:hint="eastAsia" w:ascii="宋体" w:hAnsi="宋体"/>
          <w:sz w:val="24"/>
        </w:rPr>
        <w:t>2、项目编号：</w:t>
      </w:r>
      <w:r>
        <w:rPr>
          <w:rFonts w:ascii="宋体" w:hAnsi="宋体"/>
          <w:sz w:val="24"/>
        </w:rPr>
        <w:t>HYHA2019-0770</w:t>
      </w:r>
    </w:p>
    <w:p>
      <w:pPr>
        <w:adjustRightInd w:val="0"/>
        <w:snapToGrid w:val="0"/>
        <w:spacing w:line="500" w:lineRule="exact"/>
        <w:ind w:firstLine="960" w:firstLineChars="400"/>
        <w:rPr>
          <w:rFonts w:ascii="宋体" w:hAnsi="宋体"/>
          <w:sz w:val="24"/>
        </w:rPr>
      </w:pPr>
      <w:r>
        <w:rPr>
          <w:rFonts w:hint="eastAsia" w:ascii="宋体" w:hAnsi="宋体"/>
          <w:sz w:val="24"/>
        </w:rPr>
        <w:t>3、采购内容：</w:t>
      </w:r>
    </w:p>
    <w:tbl>
      <w:tblPr>
        <w:tblStyle w:val="73"/>
        <w:tblW w:w="877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58"/>
        <w:gridCol w:w="2821"/>
        <w:gridCol w:w="1557"/>
        <w:gridCol w:w="1984"/>
        <w:gridCol w:w="155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545" w:hRule="atLeast"/>
          <w:jc w:val="center"/>
        </w:trPr>
        <w:tc>
          <w:tcPr>
            <w:tcW w:w="858" w:type="dxa"/>
            <w:tcBorders>
              <w:top w:val="single" w:color="auto" w:sz="8" w:space="0"/>
              <w:left w:val="single" w:color="auto" w:sz="8" w:space="0"/>
              <w:bottom w:val="single" w:color="auto" w:sz="4" w:space="0"/>
              <w:right w:val="single" w:color="auto" w:sz="8" w:space="0"/>
            </w:tcBorders>
            <w:tcMar>
              <w:top w:w="15" w:type="dxa"/>
              <w:left w:w="15" w:type="dxa"/>
              <w:bottom w:w="15" w:type="dxa"/>
              <w:right w:w="15" w:type="dxa"/>
            </w:tcMar>
            <w:vAlign w:val="center"/>
          </w:tcPr>
          <w:p>
            <w:pPr>
              <w:widowControl/>
              <w:spacing w:line="360" w:lineRule="auto"/>
              <w:jc w:val="center"/>
              <w:rPr>
                <w:rFonts w:ascii="宋体" w:hAnsi="宋体" w:cs="宋体"/>
                <w:kern w:val="0"/>
                <w:szCs w:val="21"/>
              </w:rPr>
            </w:pPr>
            <w:r>
              <w:rPr>
                <w:rFonts w:hint="eastAsia" w:ascii="宋体" w:hAnsi="宋体" w:cs="宋体"/>
                <w:b/>
                <w:bCs/>
                <w:kern w:val="0"/>
                <w:szCs w:val="21"/>
              </w:rPr>
              <w:t>包号</w:t>
            </w:r>
          </w:p>
        </w:tc>
        <w:tc>
          <w:tcPr>
            <w:tcW w:w="2821" w:type="dxa"/>
            <w:tcBorders>
              <w:top w:val="single" w:color="auto" w:sz="8" w:space="0"/>
              <w:left w:val="nil"/>
              <w:bottom w:val="single" w:color="auto" w:sz="4" w:space="0"/>
              <w:right w:val="single" w:color="auto" w:sz="8" w:space="0"/>
            </w:tcBorders>
            <w:tcMar>
              <w:top w:w="15" w:type="dxa"/>
              <w:left w:w="15" w:type="dxa"/>
              <w:bottom w:w="15" w:type="dxa"/>
              <w:right w:w="15" w:type="dxa"/>
            </w:tcMar>
            <w:vAlign w:val="center"/>
          </w:tcPr>
          <w:p>
            <w:pPr>
              <w:widowControl/>
              <w:spacing w:line="360" w:lineRule="auto"/>
              <w:jc w:val="center"/>
              <w:rPr>
                <w:rFonts w:ascii="宋体" w:hAnsi="宋体" w:cs="宋体"/>
                <w:kern w:val="0"/>
                <w:szCs w:val="21"/>
              </w:rPr>
            </w:pPr>
            <w:r>
              <w:rPr>
                <w:rFonts w:hint="eastAsia" w:ascii="宋体" w:hAnsi="宋体" w:cs="宋体"/>
                <w:b/>
                <w:bCs/>
                <w:kern w:val="0"/>
                <w:szCs w:val="21"/>
              </w:rPr>
              <w:t>设备名称</w:t>
            </w:r>
          </w:p>
        </w:tc>
        <w:tc>
          <w:tcPr>
            <w:tcW w:w="1557" w:type="dxa"/>
            <w:tcBorders>
              <w:top w:val="single" w:color="auto" w:sz="8" w:space="0"/>
              <w:left w:val="nil"/>
              <w:bottom w:val="single" w:color="auto" w:sz="4" w:space="0"/>
              <w:right w:val="single" w:color="auto" w:sz="8" w:space="0"/>
            </w:tcBorders>
            <w:tcMar>
              <w:top w:w="15" w:type="dxa"/>
              <w:left w:w="15" w:type="dxa"/>
              <w:bottom w:w="15" w:type="dxa"/>
              <w:right w:w="15" w:type="dxa"/>
            </w:tcMar>
            <w:vAlign w:val="center"/>
          </w:tcPr>
          <w:p>
            <w:pPr>
              <w:widowControl/>
              <w:spacing w:line="360" w:lineRule="auto"/>
              <w:jc w:val="center"/>
              <w:rPr>
                <w:rFonts w:ascii="宋体" w:hAnsi="宋体" w:cs="宋体"/>
                <w:b/>
                <w:bCs/>
                <w:kern w:val="0"/>
                <w:szCs w:val="21"/>
              </w:rPr>
            </w:pPr>
            <w:r>
              <w:rPr>
                <w:rFonts w:hint="eastAsia" w:ascii="宋体" w:hAnsi="宋体" w:cs="宋体"/>
                <w:b/>
                <w:bCs/>
                <w:kern w:val="0"/>
                <w:szCs w:val="21"/>
              </w:rPr>
              <w:t>数量/台</w:t>
            </w:r>
          </w:p>
          <w:p>
            <w:pPr>
              <w:widowControl/>
              <w:spacing w:line="360" w:lineRule="auto"/>
              <w:jc w:val="center"/>
              <w:rPr>
                <w:rFonts w:ascii="宋体" w:hAnsi="宋体" w:cs="宋体"/>
                <w:kern w:val="0"/>
                <w:szCs w:val="21"/>
              </w:rPr>
            </w:pPr>
            <w:r>
              <w:rPr>
                <w:rFonts w:hint="eastAsia" w:ascii="宋体" w:hAnsi="宋体" w:cs="宋体"/>
                <w:b/>
                <w:bCs/>
                <w:kern w:val="0"/>
                <w:szCs w:val="21"/>
              </w:rPr>
              <w:t>（套）</w:t>
            </w:r>
          </w:p>
        </w:tc>
        <w:tc>
          <w:tcPr>
            <w:tcW w:w="1984" w:type="dxa"/>
            <w:tcBorders>
              <w:top w:val="single" w:color="auto" w:sz="8" w:space="0"/>
              <w:left w:val="nil"/>
              <w:bottom w:val="single" w:color="auto" w:sz="4" w:space="0"/>
              <w:right w:val="single" w:color="auto" w:sz="8" w:space="0"/>
            </w:tcBorders>
            <w:tcMar>
              <w:top w:w="15" w:type="dxa"/>
              <w:left w:w="15" w:type="dxa"/>
              <w:bottom w:w="15" w:type="dxa"/>
              <w:right w:w="15" w:type="dxa"/>
            </w:tcMar>
            <w:vAlign w:val="center"/>
          </w:tcPr>
          <w:p>
            <w:pPr>
              <w:widowControl/>
              <w:spacing w:line="360" w:lineRule="auto"/>
              <w:jc w:val="center"/>
              <w:rPr>
                <w:rFonts w:ascii="宋体" w:hAnsi="宋体" w:cs="宋体"/>
                <w:kern w:val="0"/>
                <w:szCs w:val="21"/>
              </w:rPr>
            </w:pPr>
            <w:r>
              <w:rPr>
                <w:rFonts w:hint="eastAsia" w:ascii="宋体" w:hAnsi="宋体" w:cs="宋体"/>
                <w:b/>
                <w:bCs/>
                <w:kern w:val="0"/>
                <w:szCs w:val="21"/>
              </w:rPr>
              <w:t>采购预算（最高限价）</w:t>
            </w:r>
          </w:p>
        </w:tc>
        <w:tc>
          <w:tcPr>
            <w:tcW w:w="1559" w:type="dxa"/>
            <w:tcBorders>
              <w:top w:val="single" w:color="auto" w:sz="8" w:space="0"/>
              <w:left w:val="nil"/>
              <w:bottom w:val="single" w:color="auto" w:sz="4" w:space="0"/>
              <w:right w:val="single" w:color="auto" w:sz="8" w:space="0"/>
            </w:tcBorders>
            <w:vAlign w:val="center"/>
          </w:tcPr>
          <w:p>
            <w:pPr>
              <w:widowControl/>
              <w:spacing w:line="360" w:lineRule="auto"/>
              <w:jc w:val="center"/>
              <w:rPr>
                <w:rFonts w:ascii="宋体" w:hAnsi="宋体" w:cs="宋体"/>
                <w:kern w:val="0"/>
                <w:szCs w:val="21"/>
              </w:rPr>
            </w:pPr>
            <w:r>
              <w:rPr>
                <w:rFonts w:hint="eastAsia" w:ascii="宋体" w:hAnsi="宋体" w:cs="宋体"/>
                <w:b/>
                <w:bCs/>
                <w:kern w:val="0"/>
                <w:szCs w:val="21"/>
              </w:rPr>
              <w:t>是否可采</w:t>
            </w:r>
          </w:p>
          <w:p>
            <w:pPr>
              <w:widowControl/>
              <w:spacing w:line="360" w:lineRule="auto"/>
              <w:jc w:val="center"/>
              <w:rPr>
                <w:rFonts w:ascii="宋体" w:hAnsi="宋体" w:cs="宋体"/>
                <w:kern w:val="0"/>
                <w:szCs w:val="21"/>
                <w:highlight w:val="yellow"/>
              </w:rPr>
            </w:pPr>
            <w:r>
              <w:rPr>
                <w:rFonts w:hint="eastAsia" w:ascii="宋体" w:hAnsi="宋体" w:cs="宋体"/>
                <w:b/>
                <w:bCs/>
                <w:kern w:val="0"/>
                <w:szCs w:val="21"/>
              </w:rPr>
              <w:t>进口</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61" w:hRule="atLeast"/>
          <w:jc w:val="center"/>
        </w:trPr>
        <w:tc>
          <w:tcPr>
            <w:tcW w:w="85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center"/>
              <w:rPr>
                <w:rFonts w:ascii="宋体" w:hAnsi="宋体" w:cs="宋体"/>
                <w:kern w:val="0"/>
                <w:szCs w:val="21"/>
              </w:rPr>
            </w:pPr>
            <w:r>
              <w:rPr>
                <w:rFonts w:hint="eastAsia" w:ascii="宋体" w:hAnsi="宋体" w:cs="宋体"/>
                <w:kern w:val="0"/>
                <w:szCs w:val="21"/>
              </w:rPr>
              <w:t>1</w:t>
            </w:r>
          </w:p>
        </w:tc>
        <w:tc>
          <w:tcPr>
            <w:tcW w:w="2821"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76" w:lineRule="auto"/>
              <w:jc w:val="center"/>
              <w:rPr>
                <w:rFonts w:ascii="宋体" w:hAnsi="宋体" w:cs="宋体"/>
                <w:sz w:val="22"/>
                <w:szCs w:val="22"/>
              </w:rPr>
            </w:pPr>
            <w:r>
              <w:rPr>
                <w:rFonts w:hint="eastAsia" w:ascii="宋体" w:hAnsi="宋体" w:cs="宋体"/>
                <w:sz w:val="22"/>
                <w:szCs w:val="22"/>
              </w:rPr>
              <w:t>彩色多普勒超声诊断仪</w:t>
            </w:r>
          </w:p>
        </w:tc>
        <w:tc>
          <w:tcPr>
            <w:tcW w:w="1557"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76" w:lineRule="auto"/>
              <w:jc w:val="center"/>
              <w:rPr>
                <w:rFonts w:ascii="宋体" w:hAnsi="宋体"/>
                <w:sz w:val="22"/>
                <w:szCs w:val="22"/>
              </w:rPr>
            </w:pPr>
            <w:r>
              <w:rPr>
                <w:rFonts w:hint="eastAsia" w:ascii="宋体" w:hAnsi="宋体" w:cs="宋体"/>
                <w:sz w:val="22"/>
                <w:szCs w:val="22"/>
              </w:rPr>
              <w:t>2套</w:t>
            </w:r>
          </w:p>
        </w:tc>
        <w:tc>
          <w:tcPr>
            <w:tcW w:w="19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76" w:lineRule="auto"/>
              <w:jc w:val="center"/>
              <w:rPr>
                <w:rFonts w:ascii="宋体" w:hAnsi="宋体"/>
                <w:sz w:val="22"/>
                <w:szCs w:val="22"/>
              </w:rPr>
            </w:pPr>
            <w:r>
              <w:rPr>
                <w:rFonts w:hint="eastAsia" w:ascii="宋体" w:hAnsi="宋体"/>
                <w:sz w:val="22"/>
                <w:szCs w:val="22"/>
              </w:rPr>
              <w:t>190万元</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Cs w:val="21"/>
                <w:highlight w:val="yellow"/>
              </w:rPr>
            </w:pPr>
            <w:r>
              <w:rPr>
                <w:rFonts w:hint="eastAsia" w:ascii="宋体" w:hAnsi="宋体" w:cs="宋体"/>
                <w:bCs/>
                <w:kern w:val="0"/>
                <w:szCs w:val="21"/>
              </w:rPr>
              <w:t>是</w:t>
            </w:r>
          </w:p>
        </w:tc>
      </w:tr>
    </w:tbl>
    <w:p>
      <w:pPr>
        <w:spacing w:line="360" w:lineRule="auto"/>
        <w:ind w:firstLine="482" w:firstLineChars="200"/>
        <w:rPr>
          <w:rFonts w:ascii="宋体" w:hAnsi="宋体"/>
          <w:b/>
          <w:sz w:val="24"/>
        </w:rPr>
      </w:pPr>
      <w:r>
        <w:rPr>
          <w:rFonts w:hint="eastAsia" w:ascii="宋体" w:hAnsi="宋体"/>
          <w:b/>
          <w:sz w:val="24"/>
        </w:rPr>
        <w:t>备注：投标人不得对整包进行拆分响应。</w:t>
      </w:r>
    </w:p>
    <w:p>
      <w:pPr>
        <w:adjustRightInd w:val="0"/>
        <w:snapToGrid w:val="0"/>
        <w:spacing w:line="500" w:lineRule="exact"/>
        <w:ind w:firstLine="482" w:firstLineChars="200"/>
        <w:rPr>
          <w:rFonts w:ascii="宋体" w:hAnsi="宋体"/>
          <w:b/>
          <w:sz w:val="24"/>
        </w:rPr>
      </w:pPr>
      <w:r>
        <w:rPr>
          <w:rFonts w:hint="eastAsia" w:ascii="宋体" w:hAnsi="宋体"/>
          <w:b/>
          <w:sz w:val="24"/>
        </w:rPr>
        <w:t>三、投标人资格要求：</w:t>
      </w:r>
    </w:p>
    <w:p>
      <w:pPr>
        <w:adjustRightInd w:val="0"/>
        <w:snapToGrid w:val="0"/>
        <w:spacing w:line="500" w:lineRule="exact"/>
        <w:ind w:firstLine="480" w:firstLineChars="200"/>
        <w:rPr>
          <w:rFonts w:ascii="宋体" w:hAnsi="宋体"/>
          <w:sz w:val="24"/>
        </w:rPr>
      </w:pPr>
      <w:r>
        <w:rPr>
          <w:rFonts w:hint="eastAsia" w:ascii="宋体" w:hAnsi="宋体"/>
          <w:sz w:val="24"/>
        </w:rPr>
        <w:t>1、在中华人民共和国依照《中华人民共和国公司法》注册的具有独立法人资格，有能力提供招标设备的供应商；</w:t>
      </w:r>
    </w:p>
    <w:p>
      <w:pPr>
        <w:adjustRightInd w:val="0"/>
        <w:snapToGrid w:val="0"/>
        <w:spacing w:line="500" w:lineRule="exact"/>
        <w:ind w:firstLine="480" w:firstLineChars="200"/>
        <w:rPr>
          <w:rFonts w:ascii="宋体" w:hAnsi="宋体"/>
          <w:sz w:val="24"/>
        </w:rPr>
      </w:pPr>
      <w:r>
        <w:rPr>
          <w:rFonts w:hint="eastAsia" w:ascii="宋体" w:hAnsi="宋体"/>
          <w:sz w:val="24"/>
        </w:rPr>
        <w:t>2、供应商为制造商的，应具有医疗器械生产许可证；供应商为代理商或经销商的应按照《医疗器械经营监督管理办法》（国家食品药品监督管理总局令第 8 号）的规定提供有效的医疗器械产品经营许可证或经营备案凭证；</w:t>
      </w:r>
    </w:p>
    <w:p>
      <w:pPr>
        <w:adjustRightInd w:val="0"/>
        <w:snapToGrid w:val="0"/>
        <w:spacing w:line="500" w:lineRule="exact"/>
        <w:ind w:firstLine="480" w:firstLineChars="200"/>
        <w:rPr>
          <w:rFonts w:ascii="宋体" w:hAnsi="宋体"/>
          <w:sz w:val="24"/>
        </w:rPr>
      </w:pPr>
      <w:r>
        <w:rPr>
          <w:rFonts w:hint="eastAsia" w:ascii="宋体" w:hAnsi="宋体"/>
          <w:sz w:val="24"/>
        </w:rPr>
        <w:t>3、供应商须按照《医疗器械注册管理办法》（国家食品药品监督管理总局令第4号）的规定提供所投设备的医疗器械注册证（如有附表，需提供附表）或产品备案表；</w:t>
      </w:r>
    </w:p>
    <w:p>
      <w:pPr>
        <w:adjustRightInd w:val="0"/>
        <w:snapToGrid w:val="0"/>
        <w:spacing w:line="500" w:lineRule="exact"/>
        <w:ind w:firstLine="480" w:firstLineChars="200"/>
        <w:jc w:val="left"/>
        <w:rPr>
          <w:rFonts w:ascii="宋体" w:hAnsi="宋体"/>
          <w:sz w:val="24"/>
        </w:rPr>
      </w:pPr>
      <w:r>
        <w:rPr>
          <w:rFonts w:hint="eastAsia" w:ascii="宋体" w:hAnsi="宋体"/>
          <w:sz w:val="24"/>
        </w:rPr>
        <w:t>4、供应商在“信用中国”(www.creditchina.gov.cn)、中国政府采购网(www.ccgp.gov.cn)等网站之一，未被列入“失信被执行人名单”、“重大税收违法案件当事人名单”、“政府采购严重违法失信行为记录名单”；</w:t>
      </w:r>
    </w:p>
    <w:p>
      <w:pPr>
        <w:adjustRightInd w:val="0"/>
        <w:snapToGrid w:val="0"/>
        <w:spacing w:line="500" w:lineRule="exact"/>
        <w:ind w:firstLine="480" w:firstLineChars="200"/>
        <w:rPr>
          <w:rFonts w:ascii="宋体" w:hAnsi="宋体"/>
          <w:sz w:val="24"/>
        </w:rPr>
      </w:pPr>
      <w:r>
        <w:rPr>
          <w:rFonts w:hint="eastAsia" w:ascii="宋体" w:hAnsi="宋体"/>
          <w:sz w:val="24"/>
        </w:rPr>
        <w:t>5、投标产品为进口产品的，须提供制造商授权书；</w:t>
      </w:r>
    </w:p>
    <w:p>
      <w:pPr>
        <w:adjustRightInd w:val="0"/>
        <w:snapToGrid w:val="0"/>
        <w:spacing w:line="500" w:lineRule="exact"/>
        <w:ind w:firstLine="480" w:firstLineChars="200"/>
        <w:rPr>
          <w:rFonts w:ascii="宋体" w:hAnsi="宋体"/>
          <w:sz w:val="24"/>
        </w:rPr>
      </w:pPr>
      <w:r>
        <w:rPr>
          <w:rFonts w:hint="eastAsia" w:ascii="宋体" w:hAnsi="宋体"/>
          <w:sz w:val="24"/>
        </w:rPr>
        <w:t>6、单位负责人为同一人或者存在控股、管理关系的不同单位，不得参加同一包号的项目投标；</w:t>
      </w:r>
    </w:p>
    <w:p>
      <w:pPr>
        <w:adjustRightInd w:val="0"/>
        <w:snapToGrid w:val="0"/>
        <w:spacing w:line="500" w:lineRule="exact"/>
        <w:ind w:firstLine="480" w:firstLineChars="200"/>
        <w:rPr>
          <w:rFonts w:ascii="宋体" w:hAnsi="宋体"/>
          <w:sz w:val="24"/>
        </w:rPr>
      </w:pPr>
      <w:r>
        <w:rPr>
          <w:rFonts w:hint="eastAsia" w:ascii="宋体" w:hAnsi="宋体"/>
          <w:sz w:val="24"/>
        </w:rPr>
        <w:t>7、供应商应符合《中华人民共和国政府采购法》第二十二条第一款规定的条件、并按《政府采购法实施条例》的规定提供相关证明材料；</w:t>
      </w:r>
    </w:p>
    <w:p>
      <w:pPr>
        <w:adjustRightInd w:val="0"/>
        <w:snapToGrid w:val="0"/>
        <w:spacing w:line="500" w:lineRule="exact"/>
        <w:ind w:firstLine="480" w:firstLineChars="200"/>
        <w:rPr>
          <w:rFonts w:ascii="宋体" w:hAnsi="宋体"/>
          <w:sz w:val="24"/>
        </w:rPr>
      </w:pPr>
      <w:r>
        <w:rPr>
          <w:rFonts w:hint="eastAsia" w:ascii="宋体" w:hAnsi="宋体"/>
          <w:sz w:val="24"/>
        </w:rPr>
        <w:t>8、本次采购不接受联合体投标。</w:t>
      </w:r>
    </w:p>
    <w:p>
      <w:pPr>
        <w:spacing w:line="360" w:lineRule="auto"/>
        <w:ind w:firstLine="361" w:firstLineChars="150"/>
        <w:rPr>
          <w:rFonts w:ascii="宋体" w:hAnsi="宋体"/>
          <w:b/>
          <w:sz w:val="24"/>
        </w:rPr>
      </w:pPr>
      <w:r>
        <w:rPr>
          <w:rFonts w:hint="eastAsia" w:ascii="宋体" w:hAnsi="宋体"/>
          <w:b/>
          <w:sz w:val="24"/>
        </w:rPr>
        <w:t>四、需求公示（见“中国政府采购网（</w:t>
      </w:r>
      <w:r>
        <w:rPr>
          <w:rFonts w:ascii="宋体" w:hAnsi="宋体"/>
        </w:rPr>
        <w:t>http://www.ccgp.gov.cn/</w:t>
      </w:r>
      <w:r>
        <w:rPr>
          <w:rFonts w:hint="eastAsia" w:ascii="宋体" w:hAnsi="宋体"/>
          <w:b/>
          <w:sz w:val="24"/>
        </w:rPr>
        <w:t>）</w:t>
      </w:r>
      <w:r>
        <w:rPr>
          <w:rFonts w:ascii="宋体" w:hAnsi="宋体"/>
          <w:b/>
          <w:sz w:val="24"/>
        </w:rPr>
        <w:t>”</w:t>
      </w:r>
      <w:r>
        <w:rPr>
          <w:rFonts w:hint="eastAsia" w:ascii="宋体" w:hAnsi="宋体"/>
          <w:b/>
          <w:sz w:val="24"/>
        </w:rPr>
        <w:t>本项目招标公告”附件）</w:t>
      </w:r>
    </w:p>
    <w:p>
      <w:pPr>
        <w:spacing w:line="360" w:lineRule="auto"/>
        <w:ind w:firstLine="361" w:firstLineChars="150"/>
        <w:rPr>
          <w:rFonts w:ascii="宋体" w:hAnsi="宋体"/>
          <w:b/>
          <w:sz w:val="24"/>
        </w:rPr>
      </w:pPr>
      <w:r>
        <w:rPr>
          <w:rFonts w:hint="eastAsia" w:ascii="宋体" w:hAnsi="宋体"/>
          <w:b/>
          <w:sz w:val="24"/>
        </w:rPr>
        <w:t>五、报名与获取招标文件时间、地点及方式</w:t>
      </w:r>
    </w:p>
    <w:p>
      <w:pPr>
        <w:adjustRightInd w:val="0"/>
        <w:snapToGrid w:val="0"/>
        <w:spacing w:line="500" w:lineRule="exact"/>
        <w:ind w:firstLine="482" w:firstLineChars="200"/>
        <w:rPr>
          <w:rFonts w:ascii="宋体" w:hAnsi="宋体"/>
          <w:sz w:val="24"/>
        </w:rPr>
      </w:pPr>
      <w:r>
        <w:rPr>
          <w:rFonts w:ascii="宋体" w:hAnsi="宋体"/>
          <w:b/>
          <w:sz w:val="24"/>
        </w:rPr>
        <w:t>1</w:t>
      </w:r>
      <w:r>
        <w:rPr>
          <w:rFonts w:hint="eastAsia" w:ascii="宋体" w:hAnsi="宋体"/>
          <w:b/>
          <w:sz w:val="24"/>
        </w:rPr>
        <w:t>、报名及获取招标文件时间：</w:t>
      </w:r>
      <w:r>
        <w:rPr>
          <w:rFonts w:ascii="宋体" w:hAnsi="宋体"/>
          <w:sz w:val="24"/>
        </w:rPr>
        <w:t>201</w:t>
      </w:r>
      <w:r>
        <w:rPr>
          <w:rFonts w:hint="eastAsia" w:ascii="宋体" w:hAnsi="宋体"/>
          <w:sz w:val="24"/>
        </w:rPr>
        <w:t>9年6月21日至</w:t>
      </w:r>
      <w:r>
        <w:rPr>
          <w:rFonts w:ascii="宋体" w:hAnsi="宋体"/>
          <w:sz w:val="24"/>
        </w:rPr>
        <w:t>201</w:t>
      </w:r>
      <w:r>
        <w:rPr>
          <w:rFonts w:hint="eastAsia" w:ascii="宋体" w:hAnsi="宋体"/>
          <w:sz w:val="24"/>
        </w:rPr>
        <w:t>9年6月27日（节假日除外，上午</w:t>
      </w:r>
      <w:r>
        <w:rPr>
          <w:rFonts w:ascii="宋体" w:hAnsi="宋体"/>
          <w:sz w:val="24"/>
        </w:rPr>
        <w:t>09</w:t>
      </w:r>
      <w:r>
        <w:rPr>
          <w:rFonts w:hint="eastAsia" w:ascii="宋体" w:hAnsi="宋体"/>
          <w:sz w:val="24"/>
        </w:rPr>
        <w:t>：</w:t>
      </w:r>
      <w:r>
        <w:rPr>
          <w:rFonts w:ascii="宋体" w:hAnsi="宋体"/>
          <w:sz w:val="24"/>
        </w:rPr>
        <w:t>00-11</w:t>
      </w:r>
      <w:r>
        <w:rPr>
          <w:rFonts w:hint="eastAsia" w:ascii="宋体" w:hAnsi="宋体"/>
          <w:sz w:val="24"/>
        </w:rPr>
        <w:t>：</w:t>
      </w:r>
      <w:r>
        <w:rPr>
          <w:rFonts w:ascii="宋体" w:hAnsi="宋体"/>
          <w:sz w:val="24"/>
        </w:rPr>
        <w:t>30</w:t>
      </w:r>
      <w:r>
        <w:rPr>
          <w:rFonts w:hint="eastAsia" w:ascii="宋体" w:hAnsi="宋体"/>
          <w:sz w:val="24"/>
        </w:rPr>
        <w:t>、下午</w:t>
      </w:r>
      <w:r>
        <w:rPr>
          <w:rFonts w:ascii="宋体" w:hAnsi="宋体"/>
          <w:sz w:val="24"/>
        </w:rPr>
        <w:t>13</w:t>
      </w:r>
      <w:r>
        <w:rPr>
          <w:rFonts w:hint="eastAsia" w:ascii="宋体" w:hAnsi="宋体"/>
          <w:sz w:val="24"/>
        </w:rPr>
        <w:t>：</w:t>
      </w:r>
      <w:r>
        <w:rPr>
          <w:rFonts w:ascii="宋体" w:hAnsi="宋体"/>
          <w:sz w:val="24"/>
        </w:rPr>
        <w:t>00-16</w:t>
      </w:r>
      <w:r>
        <w:rPr>
          <w:rFonts w:hint="eastAsia" w:ascii="宋体" w:hAnsi="宋体"/>
          <w:sz w:val="24"/>
        </w:rPr>
        <w:t>：</w:t>
      </w:r>
      <w:r>
        <w:rPr>
          <w:rFonts w:ascii="宋体" w:hAnsi="宋体"/>
          <w:sz w:val="24"/>
        </w:rPr>
        <w:t>00</w:t>
      </w:r>
      <w:r>
        <w:rPr>
          <w:rFonts w:hint="eastAsia" w:ascii="宋体" w:hAnsi="宋体"/>
          <w:sz w:val="24"/>
        </w:rPr>
        <w:t>）。</w:t>
      </w:r>
    </w:p>
    <w:p>
      <w:pPr>
        <w:adjustRightInd w:val="0"/>
        <w:snapToGrid w:val="0"/>
        <w:spacing w:line="500" w:lineRule="exact"/>
        <w:ind w:firstLine="482" w:firstLineChars="200"/>
        <w:jc w:val="left"/>
        <w:rPr>
          <w:rFonts w:ascii="宋体" w:hAnsi="宋体"/>
          <w:b/>
          <w:sz w:val="24"/>
        </w:rPr>
      </w:pPr>
      <w:r>
        <w:rPr>
          <w:rFonts w:ascii="宋体" w:hAnsi="宋体"/>
          <w:b/>
          <w:sz w:val="24"/>
        </w:rPr>
        <w:t>2</w:t>
      </w:r>
      <w:r>
        <w:rPr>
          <w:rFonts w:hint="eastAsia" w:ascii="宋体" w:hAnsi="宋体"/>
          <w:b/>
          <w:sz w:val="24"/>
        </w:rPr>
        <w:t>、报名方式：</w:t>
      </w:r>
    </w:p>
    <w:p>
      <w:pPr>
        <w:adjustRightInd w:val="0"/>
        <w:snapToGrid w:val="0"/>
        <w:spacing w:line="500" w:lineRule="exact"/>
        <w:ind w:firstLine="480" w:firstLineChars="200"/>
        <w:jc w:val="left"/>
        <w:rPr>
          <w:rFonts w:ascii="宋体" w:hAnsi="宋体"/>
          <w:bCs/>
          <w:sz w:val="24"/>
        </w:rPr>
      </w:pPr>
      <w:r>
        <w:rPr>
          <w:rFonts w:hint="eastAsia" w:ascii="宋体" w:hAnsi="宋体"/>
          <w:bCs/>
          <w:sz w:val="24"/>
        </w:rPr>
        <w:t>第一步：供应商需要在海逸恒安项目管理有限公司网站上进行报名，报名链接：</w:t>
      </w:r>
      <w:r>
        <w:rPr>
          <w:rFonts w:ascii="宋体" w:hAnsi="宋体"/>
          <w:bCs/>
          <w:sz w:val="24"/>
        </w:rPr>
        <w:t> </w:t>
      </w:r>
    </w:p>
    <w:p>
      <w:pPr>
        <w:adjustRightInd w:val="0"/>
        <w:snapToGrid w:val="0"/>
        <w:spacing w:line="500" w:lineRule="exact"/>
        <w:ind w:firstLine="480" w:firstLineChars="200"/>
        <w:jc w:val="left"/>
        <w:rPr>
          <w:rFonts w:ascii="宋体" w:hAnsi="宋体"/>
          <w:bCs/>
          <w:sz w:val="24"/>
        </w:rPr>
      </w:pPr>
      <w:r>
        <w:rPr>
          <w:rFonts w:ascii="宋体" w:hAnsi="宋体"/>
          <w:bCs/>
          <w:sz w:val="24"/>
        </w:rPr>
        <w:t xml:space="preserve"> http://47.93.218.20/qpoaweb/prg/gys/baoming.aspx?id=17204hmCR  </w:t>
      </w:r>
      <w:r>
        <w:rPr>
          <w:rFonts w:hint="eastAsia" w:ascii="宋体" w:hAnsi="宋体"/>
          <w:bCs/>
          <w:sz w:val="24"/>
        </w:rPr>
        <w:t>，供应商须保证所填信息完整无误，否则若因此而造成的报名失败由供应商自行负责。</w:t>
      </w:r>
    </w:p>
    <w:p>
      <w:pPr>
        <w:adjustRightInd w:val="0"/>
        <w:snapToGrid w:val="0"/>
        <w:spacing w:line="500" w:lineRule="exact"/>
        <w:ind w:firstLine="480" w:firstLineChars="200"/>
        <w:jc w:val="left"/>
        <w:rPr>
          <w:rFonts w:ascii="宋体" w:hAnsi="宋体"/>
          <w:bCs/>
          <w:sz w:val="24"/>
        </w:rPr>
      </w:pPr>
      <w:r>
        <w:rPr>
          <w:rFonts w:hint="eastAsia" w:ascii="宋体" w:hAnsi="宋体"/>
          <w:bCs/>
          <w:sz w:val="24"/>
        </w:rPr>
        <w:t>第二步：</w:t>
      </w:r>
      <w:r>
        <w:rPr>
          <w:rFonts w:hint="eastAsia" w:ascii="宋体" w:hAnsi="宋体"/>
          <w:sz w:val="24"/>
        </w:rPr>
        <w:t>供应商请携带营业执照复印件及法人授权委托书或介绍信至海逸恒安项目管理有限公司登记现场购买招标文件。未按上述要求报名及未报名但已获取标书的，报名均无效。</w:t>
      </w:r>
    </w:p>
    <w:p>
      <w:pPr>
        <w:adjustRightInd w:val="0"/>
        <w:snapToGrid w:val="0"/>
        <w:spacing w:line="500" w:lineRule="exact"/>
        <w:ind w:firstLine="482" w:firstLineChars="200"/>
        <w:jc w:val="left"/>
        <w:rPr>
          <w:rFonts w:ascii="宋体" w:hAnsi="宋体"/>
          <w:b/>
          <w:sz w:val="24"/>
        </w:rPr>
      </w:pPr>
      <w:r>
        <w:rPr>
          <w:rFonts w:ascii="宋体" w:hAnsi="宋体"/>
          <w:b/>
          <w:sz w:val="24"/>
        </w:rPr>
        <w:t>3</w:t>
      </w:r>
      <w:r>
        <w:rPr>
          <w:rFonts w:hint="eastAsia" w:ascii="宋体" w:hAnsi="宋体"/>
          <w:b/>
          <w:sz w:val="24"/>
        </w:rPr>
        <w:t>、招标文件售价及获取方式：</w:t>
      </w:r>
    </w:p>
    <w:p>
      <w:pPr>
        <w:adjustRightInd w:val="0"/>
        <w:snapToGrid w:val="0"/>
        <w:spacing w:line="500" w:lineRule="exact"/>
        <w:ind w:firstLine="482" w:firstLineChars="200"/>
        <w:rPr>
          <w:rFonts w:ascii="宋体" w:hAnsi="宋体"/>
          <w:sz w:val="24"/>
        </w:rPr>
      </w:pPr>
      <w:r>
        <w:rPr>
          <w:rFonts w:hint="eastAsia" w:ascii="宋体" w:hAnsi="宋体"/>
          <w:b/>
          <w:sz w:val="24"/>
        </w:rPr>
        <w:t>招标文件售价：300元</w:t>
      </w:r>
      <w:r>
        <w:rPr>
          <w:rFonts w:ascii="宋体" w:hAnsi="宋体"/>
          <w:b/>
          <w:sz w:val="24"/>
        </w:rPr>
        <w:t>/</w:t>
      </w:r>
      <w:r>
        <w:rPr>
          <w:rFonts w:hint="eastAsia" w:ascii="宋体" w:hAnsi="宋体"/>
          <w:b/>
          <w:sz w:val="24"/>
        </w:rPr>
        <w:t>份，招标文件逾期不售，售后不退。</w:t>
      </w:r>
    </w:p>
    <w:p>
      <w:pPr>
        <w:adjustRightInd w:val="0"/>
        <w:snapToGrid w:val="0"/>
        <w:spacing w:line="500" w:lineRule="exact"/>
        <w:ind w:firstLine="480" w:firstLineChars="200"/>
        <w:rPr>
          <w:rFonts w:ascii="宋体" w:hAnsi="宋体"/>
          <w:bCs/>
          <w:sz w:val="24"/>
        </w:rPr>
      </w:pPr>
      <w:r>
        <w:rPr>
          <w:rFonts w:hint="eastAsia" w:ascii="宋体" w:hAnsi="宋体"/>
          <w:bCs/>
          <w:sz w:val="24"/>
        </w:rPr>
        <w:t>本项目实行资格后审，获取招标文件成功不代表资格后审通过。</w:t>
      </w:r>
    </w:p>
    <w:p>
      <w:pPr>
        <w:adjustRightInd w:val="0"/>
        <w:snapToGrid w:val="0"/>
        <w:spacing w:line="500" w:lineRule="exact"/>
        <w:jc w:val="left"/>
        <w:rPr>
          <w:rFonts w:ascii="宋体" w:hAnsi="宋体"/>
          <w:b/>
          <w:sz w:val="24"/>
        </w:rPr>
      </w:pPr>
      <w:r>
        <w:rPr>
          <w:rFonts w:hint="eastAsia" w:ascii="宋体" w:hAnsi="宋体"/>
          <w:b/>
          <w:sz w:val="24"/>
        </w:rPr>
        <w:t>六、公告期限：2019年6月21日 至 2019年6月27日</w:t>
      </w:r>
      <w:r>
        <w:rPr>
          <w:rFonts w:hint="eastAsia" w:ascii="宋体" w:hAnsi="宋体"/>
          <w:b/>
          <w:sz w:val="24"/>
        </w:rPr>
        <w:tab/>
      </w:r>
    </w:p>
    <w:p>
      <w:pPr>
        <w:adjustRightInd w:val="0"/>
        <w:snapToGrid w:val="0"/>
        <w:spacing w:line="500" w:lineRule="exact"/>
        <w:rPr>
          <w:rFonts w:ascii="宋体" w:hAnsi="宋体"/>
          <w:b/>
          <w:sz w:val="24"/>
        </w:rPr>
      </w:pPr>
      <w:r>
        <w:rPr>
          <w:rFonts w:hint="eastAsia" w:ascii="宋体" w:hAnsi="宋体"/>
          <w:b/>
          <w:sz w:val="24"/>
        </w:rPr>
        <w:t>七、投标文件递交截止时间、开标时间及地点：</w:t>
      </w:r>
    </w:p>
    <w:p>
      <w:pPr>
        <w:adjustRightInd w:val="0"/>
        <w:snapToGrid w:val="0"/>
        <w:spacing w:line="500" w:lineRule="exact"/>
        <w:ind w:firstLine="482" w:firstLineChars="200"/>
        <w:rPr>
          <w:rFonts w:ascii="宋体" w:hAnsi="宋体"/>
          <w:b/>
          <w:sz w:val="24"/>
        </w:rPr>
      </w:pPr>
      <w:r>
        <w:rPr>
          <w:rFonts w:ascii="宋体" w:hAnsi="宋体"/>
          <w:b/>
          <w:sz w:val="24"/>
        </w:rPr>
        <w:t>1</w:t>
      </w:r>
      <w:r>
        <w:rPr>
          <w:rFonts w:hint="eastAsia" w:ascii="宋体" w:hAnsi="宋体"/>
          <w:b/>
          <w:sz w:val="24"/>
        </w:rPr>
        <w:t>、投标文件递交时间：</w:t>
      </w:r>
      <w:r>
        <w:rPr>
          <w:rFonts w:ascii="宋体" w:hAnsi="宋体"/>
          <w:b/>
          <w:sz w:val="24"/>
        </w:rPr>
        <w:t>201</w:t>
      </w:r>
      <w:r>
        <w:rPr>
          <w:rFonts w:hint="eastAsia" w:ascii="宋体" w:hAnsi="宋体"/>
          <w:b/>
          <w:sz w:val="24"/>
        </w:rPr>
        <w:t>9年</w:t>
      </w:r>
      <w:bookmarkStart w:id="2" w:name="OLE_LINK1"/>
      <w:r>
        <w:rPr>
          <w:rFonts w:hint="eastAsia" w:ascii="宋体" w:hAnsi="宋体"/>
          <w:b/>
          <w:sz w:val="24"/>
        </w:rPr>
        <w:t>7月17日</w:t>
      </w:r>
      <w:bookmarkEnd w:id="2"/>
      <w:r>
        <w:rPr>
          <w:rFonts w:hint="eastAsia" w:ascii="宋体" w:hAnsi="宋体"/>
          <w:b/>
          <w:sz w:val="24"/>
        </w:rPr>
        <w:t>上午</w:t>
      </w:r>
      <w:r>
        <w:rPr>
          <w:rFonts w:ascii="宋体" w:hAnsi="宋体"/>
          <w:b/>
          <w:sz w:val="24"/>
        </w:rPr>
        <w:t>8:00—9:00</w:t>
      </w:r>
      <w:r>
        <w:rPr>
          <w:rFonts w:hint="eastAsia" w:ascii="宋体" w:hAnsi="宋体"/>
          <w:b/>
          <w:sz w:val="24"/>
        </w:rPr>
        <w:t>整（北京时间）</w:t>
      </w:r>
      <w:r>
        <w:rPr>
          <w:rFonts w:hint="eastAsia" w:ascii="宋体" w:hAnsi="宋体"/>
          <w:sz w:val="24"/>
        </w:rPr>
        <w:t>；</w:t>
      </w:r>
    </w:p>
    <w:p>
      <w:pPr>
        <w:adjustRightInd w:val="0"/>
        <w:snapToGrid w:val="0"/>
        <w:spacing w:line="500" w:lineRule="exact"/>
        <w:ind w:firstLine="482" w:firstLineChars="200"/>
        <w:rPr>
          <w:rFonts w:ascii="宋体" w:hAnsi="宋体"/>
          <w:sz w:val="24"/>
        </w:rPr>
      </w:pPr>
      <w:r>
        <w:rPr>
          <w:rFonts w:ascii="宋体" w:hAnsi="宋体"/>
          <w:b/>
          <w:sz w:val="24"/>
        </w:rPr>
        <w:t>2</w:t>
      </w:r>
      <w:r>
        <w:rPr>
          <w:rFonts w:hint="eastAsia" w:ascii="宋体" w:hAnsi="宋体"/>
          <w:b/>
          <w:sz w:val="24"/>
        </w:rPr>
        <w:t>、投标截止时间：</w:t>
      </w:r>
      <w:r>
        <w:rPr>
          <w:rFonts w:ascii="宋体" w:hAnsi="宋体"/>
          <w:b/>
          <w:sz w:val="24"/>
        </w:rPr>
        <w:t>201</w:t>
      </w:r>
      <w:r>
        <w:rPr>
          <w:rFonts w:hint="eastAsia" w:ascii="宋体" w:hAnsi="宋体"/>
          <w:b/>
          <w:sz w:val="24"/>
        </w:rPr>
        <w:t>9年7 月17日上午</w:t>
      </w:r>
      <w:r>
        <w:rPr>
          <w:rFonts w:ascii="宋体" w:hAnsi="宋体"/>
          <w:b/>
          <w:sz w:val="24"/>
        </w:rPr>
        <w:t>9:00</w:t>
      </w:r>
      <w:r>
        <w:rPr>
          <w:rFonts w:hint="eastAsia" w:ascii="宋体" w:hAnsi="宋体"/>
          <w:b/>
          <w:sz w:val="24"/>
        </w:rPr>
        <w:t>整（北京时间）</w:t>
      </w:r>
      <w:r>
        <w:rPr>
          <w:rFonts w:hint="eastAsia" w:ascii="宋体" w:hAnsi="宋体"/>
          <w:sz w:val="24"/>
        </w:rPr>
        <w:t>；</w:t>
      </w:r>
    </w:p>
    <w:p>
      <w:pPr>
        <w:adjustRightInd w:val="0"/>
        <w:snapToGrid w:val="0"/>
        <w:spacing w:line="500" w:lineRule="exact"/>
        <w:ind w:firstLine="482" w:firstLineChars="200"/>
        <w:rPr>
          <w:rFonts w:ascii="宋体" w:hAnsi="宋体"/>
          <w:b/>
          <w:sz w:val="24"/>
        </w:rPr>
      </w:pPr>
      <w:r>
        <w:rPr>
          <w:rFonts w:ascii="宋体" w:hAnsi="宋体"/>
          <w:b/>
          <w:sz w:val="24"/>
        </w:rPr>
        <w:t>3</w:t>
      </w:r>
      <w:r>
        <w:rPr>
          <w:rFonts w:hint="eastAsia" w:ascii="宋体" w:hAnsi="宋体"/>
          <w:b/>
          <w:sz w:val="24"/>
        </w:rPr>
        <w:t>、开标时间：</w:t>
      </w:r>
      <w:r>
        <w:rPr>
          <w:rFonts w:ascii="宋体" w:hAnsi="宋体"/>
          <w:b/>
          <w:sz w:val="24"/>
        </w:rPr>
        <w:t>201</w:t>
      </w:r>
      <w:r>
        <w:rPr>
          <w:rFonts w:hint="eastAsia" w:ascii="宋体" w:hAnsi="宋体"/>
          <w:b/>
          <w:sz w:val="24"/>
        </w:rPr>
        <w:t>9年7月17日上午</w:t>
      </w:r>
      <w:r>
        <w:rPr>
          <w:rFonts w:ascii="宋体" w:hAnsi="宋体"/>
          <w:b/>
          <w:sz w:val="24"/>
        </w:rPr>
        <w:t>9:00</w:t>
      </w:r>
      <w:r>
        <w:rPr>
          <w:rFonts w:hint="eastAsia" w:ascii="宋体" w:hAnsi="宋体"/>
          <w:b/>
          <w:sz w:val="24"/>
        </w:rPr>
        <w:t>整（北京时间）；</w:t>
      </w:r>
    </w:p>
    <w:p>
      <w:pPr>
        <w:adjustRightInd w:val="0"/>
        <w:snapToGrid w:val="0"/>
        <w:spacing w:line="500" w:lineRule="exact"/>
        <w:ind w:firstLine="482" w:firstLineChars="200"/>
        <w:rPr>
          <w:rFonts w:ascii="宋体" w:hAnsi="宋体"/>
          <w:sz w:val="24"/>
        </w:rPr>
      </w:pPr>
      <w:r>
        <w:rPr>
          <w:rFonts w:ascii="宋体" w:hAnsi="宋体"/>
          <w:b/>
          <w:sz w:val="24"/>
        </w:rPr>
        <w:t>4</w:t>
      </w:r>
      <w:r>
        <w:rPr>
          <w:rFonts w:hint="eastAsia" w:ascii="宋体" w:hAnsi="宋体"/>
          <w:b/>
          <w:sz w:val="24"/>
        </w:rPr>
        <w:t>、开标地点：</w:t>
      </w:r>
      <w:r>
        <w:rPr>
          <w:rFonts w:hint="eastAsia" w:ascii="宋体" w:hAnsi="宋体"/>
          <w:sz w:val="24"/>
        </w:rPr>
        <w:t>济南市北园大街</w:t>
      </w:r>
      <w:r>
        <w:rPr>
          <w:rFonts w:ascii="宋体" w:hAnsi="宋体"/>
          <w:sz w:val="24"/>
        </w:rPr>
        <w:t>247</w:t>
      </w:r>
      <w:r>
        <w:rPr>
          <w:rFonts w:hint="eastAsia" w:ascii="宋体" w:hAnsi="宋体"/>
          <w:sz w:val="24"/>
        </w:rPr>
        <w:t>号</w:t>
      </w:r>
      <w:r>
        <w:rPr>
          <w:rFonts w:hint="eastAsia" w:ascii="宋体" w:hAnsi="宋体" w:cs="宋体"/>
          <w:bCs/>
          <w:sz w:val="24"/>
        </w:rPr>
        <w:t>山东大学第二医院办公楼一楼</w:t>
      </w:r>
      <w:r>
        <w:rPr>
          <w:rFonts w:hint="eastAsia" w:ascii="宋体" w:hAnsi="宋体"/>
          <w:sz w:val="24"/>
        </w:rPr>
        <w:t>会议室（会议室如有变动临时通知）</w:t>
      </w:r>
    </w:p>
    <w:p>
      <w:pPr>
        <w:autoSpaceDE w:val="0"/>
        <w:autoSpaceDN w:val="0"/>
        <w:spacing w:line="360" w:lineRule="auto"/>
        <w:rPr>
          <w:rFonts w:ascii="宋体" w:hAnsi="宋体" w:cs="宋体"/>
          <w:b/>
          <w:sz w:val="24"/>
        </w:rPr>
      </w:pPr>
      <w:r>
        <w:rPr>
          <w:rFonts w:hint="eastAsia" w:ascii="宋体" w:hAnsi="宋体"/>
          <w:b/>
          <w:sz w:val="24"/>
        </w:rPr>
        <w:t>八、</w:t>
      </w:r>
      <w:r>
        <w:rPr>
          <w:rFonts w:hint="eastAsia" w:ascii="宋体" w:hAnsi="宋体" w:cs="宋体"/>
          <w:b/>
          <w:sz w:val="24"/>
        </w:rPr>
        <w:t>公告发布媒介：</w:t>
      </w:r>
    </w:p>
    <w:p>
      <w:pPr>
        <w:spacing w:before="50" w:line="360" w:lineRule="auto"/>
        <w:ind w:firstLine="480" w:firstLineChars="200"/>
        <w:rPr>
          <w:rFonts w:ascii="宋体" w:hAnsi="宋体"/>
          <w:sz w:val="24"/>
        </w:rPr>
      </w:pPr>
      <w:r>
        <w:rPr>
          <w:rFonts w:hint="eastAsia" w:ascii="宋体" w:hAnsi="宋体"/>
          <w:sz w:val="24"/>
        </w:rPr>
        <w:t>本项目在中国政府采购网、中国招标投标公共服务平台、山东大学第二医院网站同时发布。</w:t>
      </w:r>
    </w:p>
    <w:p>
      <w:pPr>
        <w:tabs>
          <w:tab w:val="left" w:pos="9741"/>
        </w:tabs>
        <w:spacing w:line="360" w:lineRule="auto"/>
        <w:rPr>
          <w:rFonts w:ascii="宋体" w:hAnsi="宋体" w:cs="仿宋"/>
          <w:b/>
          <w:bCs/>
          <w:kern w:val="0"/>
          <w:sz w:val="24"/>
        </w:rPr>
      </w:pPr>
      <w:r>
        <w:rPr>
          <w:rFonts w:hint="eastAsia" w:ascii="宋体" w:hAnsi="宋体" w:cs="仿宋"/>
          <w:b/>
          <w:bCs/>
          <w:kern w:val="0"/>
          <w:sz w:val="24"/>
        </w:rPr>
        <w:t>九、采购项目的用途、数量、简要技术要求等</w:t>
      </w:r>
    </w:p>
    <w:p>
      <w:pPr>
        <w:tabs>
          <w:tab w:val="left" w:pos="9741"/>
        </w:tabs>
        <w:spacing w:line="360" w:lineRule="auto"/>
        <w:ind w:left="958" w:leftChars="456"/>
        <w:rPr>
          <w:rFonts w:hint="eastAsia" w:ascii="宋体" w:hAnsi="宋体" w:cs="仿宋"/>
          <w:kern w:val="0"/>
          <w:sz w:val="24"/>
        </w:rPr>
      </w:pPr>
      <w:r>
        <w:rPr>
          <w:rFonts w:hint="eastAsia" w:ascii="宋体" w:hAnsi="宋体" w:cs="仿宋"/>
          <w:kern w:val="0"/>
          <w:sz w:val="24"/>
        </w:rPr>
        <w:t>详见招标文件</w:t>
      </w:r>
    </w:p>
    <w:p>
      <w:pPr>
        <w:tabs>
          <w:tab w:val="left" w:pos="9741"/>
        </w:tabs>
        <w:spacing w:line="360" w:lineRule="auto"/>
        <w:rPr>
          <w:rFonts w:ascii="宋体" w:hAnsi="宋体" w:cs="仿宋"/>
          <w:b/>
          <w:bCs/>
          <w:kern w:val="0"/>
          <w:sz w:val="24"/>
        </w:rPr>
      </w:pPr>
      <w:r>
        <w:rPr>
          <w:rFonts w:hint="eastAsia" w:ascii="宋体" w:hAnsi="宋体" w:cs="仿宋"/>
          <w:b/>
          <w:bCs/>
          <w:kern w:val="0"/>
          <w:sz w:val="24"/>
        </w:rPr>
        <w:t>十、采购项目需要落实的政府采购政策</w:t>
      </w:r>
    </w:p>
    <w:p>
      <w:pPr>
        <w:tabs>
          <w:tab w:val="left" w:pos="9741"/>
        </w:tabs>
        <w:spacing w:line="360" w:lineRule="auto"/>
        <w:rPr>
          <w:rFonts w:ascii="宋体" w:hAnsi="宋体" w:cs="仿宋"/>
          <w:kern w:val="0"/>
          <w:sz w:val="24"/>
        </w:rPr>
      </w:pPr>
      <w:r>
        <w:rPr>
          <w:rFonts w:hint="eastAsia" w:ascii="宋体" w:hAnsi="宋体" w:cs="仿宋"/>
          <w:kern w:val="0"/>
          <w:sz w:val="24"/>
        </w:rPr>
        <w:t>（一）中小微型企业政府采购政策</w:t>
      </w:r>
    </w:p>
    <w:p>
      <w:pPr>
        <w:tabs>
          <w:tab w:val="left" w:pos="9741"/>
        </w:tabs>
        <w:spacing w:line="360" w:lineRule="auto"/>
        <w:rPr>
          <w:rFonts w:ascii="宋体" w:hAnsi="宋体" w:cs="仿宋"/>
          <w:kern w:val="0"/>
          <w:sz w:val="24"/>
        </w:rPr>
      </w:pPr>
      <w:r>
        <w:rPr>
          <w:rFonts w:hint="eastAsia" w:ascii="宋体" w:hAnsi="宋体" w:cs="仿宋"/>
          <w:kern w:val="0"/>
          <w:sz w:val="24"/>
        </w:rPr>
        <w:t>（二）监狱企业政府采购政策</w:t>
      </w:r>
    </w:p>
    <w:p>
      <w:pPr>
        <w:tabs>
          <w:tab w:val="left" w:pos="9741"/>
        </w:tabs>
        <w:spacing w:line="360" w:lineRule="auto"/>
        <w:rPr>
          <w:rFonts w:ascii="宋体" w:hAnsi="宋体" w:cs="仿宋"/>
          <w:kern w:val="0"/>
          <w:sz w:val="24"/>
        </w:rPr>
      </w:pPr>
      <w:r>
        <w:rPr>
          <w:rFonts w:hint="eastAsia" w:ascii="宋体" w:hAnsi="宋体" w:cs="仿宋"/>
          <w:kern w:val="0"/>
          <w:sz w:val="24"/>
        </w:rPr>
        <w:t>（三）残疾人福利性单位政府采购政策</w:t>
      </w:r>
    </w:p>
    <w:p>
      <w:pPr>
        <w:tabs>
          <w:tab w:val="left" w:pos="9741"/>
        </w:tabs>
        <w:spacing w:line="360" w:lineRule="auto"/>
        <w:rPr>
          <w:rFonts w:ascii="宋体" w:hAnsi="宋体" w:cs="仿宋"/>
          <w:kern w:val="0"/>
          <w:sz w:val="24"/>
        </w:rPr>
      </w:pPr>
      <w:r>
        <w:rPr>
          <w:rFonts w:hint="eastAsia" w:ascii="宋体" w:hAnsi="宋体" w:cs="仿宋"/>
          <w:kern w:val="0"/>
          <w:sz w:val="24"/>
        </w:rPr>
        <w:t>（四）节能、环保产品政府采购政策</w:t>
      </w:r>
    </w:p>
    <w:p>
      <w:pPr>
        <w:tabs>
          <w:tab w:val="left" w:pos="9741"/>
        </w:tabs>
        <w:spacing w:line="360" w:lineRule="auto"/>
        <w:ind w:left="958" w:leftChars="456"/>
        <w:rPr>
          <w:rFonts w:ascii="宋体" w:hAnsi="宋体" w:cs="仿宋"/>
          <w:kern w:val="0"/>
          <w:sz w:val="24"/>
        </w:rPr>
      </w:pPr>
      <w:r>
        <w:rPr>
          <w:rFonts w:hint="eastAsia" w:ascii="宋体" w:hAnsi="宋体" w:cs="仿宋"/>
          <w:kern w:val="0"/>
          <w:sz w:val="24"/>
        </w:rPr>
        <w:t>详见招标文件。</w:t>
      </w:r>
    </w:p>
    <w:p>
      <w:pPr>
        <w:adjustRightInd w:val="0"/>
        <w:snapToGrid w:val="0"/>
        <w:spacing w:line="500" w:lineRule="exact"/>
        <w:ind w:firstLine="440" w:firstLineChars="200"/>
        <w:jc w:val="left"/>
        <w:rPr>
          <w:rFonts w:ascii="宋体" w:hAnsi="宋体" w:cs="仿宋"/>
          <w:spacing w:val="-10"/>
          <w:sz w:val="24"/>
        </w:rPr>
      </w:pPr>
    </w:p>
    <w:p>
      <w:pPr>
        <w:pStyle w:val="38"/>
        <w:rPr>
          <w:rFonts w:ascii="宋体" w:hAnsi="宋体" w:eastAsia="宋体"/>
        </w:rPr>
      </w:pPr>
    </w:p>
    <w:p>
      <w:pPr>
        <w:widowControl/>
        <w:spacing w:line="300" w:lineRule="atLeast"/>
        <w:jc w:val="right"/>
        <w:rPr>
          <w:rFonts w:ascii="宋体" w:hAnsi="宋体" w:cs="宋体"/>
          <w:color w:val="000000"/>
          <w:sz w:val="18"/>
          <w:szCs w:val="18"/>
        </w:rPr>
      </w:pPr>
      <w:r>
        <w:rPr>
          <w:rFonts w:hint="eastAsia" w:ascii="宋体" w:hAnsi="宋体" w:cs="仿宋"/>
          <w:kern w:val="0"/>
          <w:sz w:val="24"/>
        </w:rPr>
        <w:t>发布人：海逸恒安项目管理有限公司</w:t>
      </w:r>
    </w:p>
    <w:p>
      <w:pPr>
        <w:widowControl/>
        <w:spacing w:line="300" w:lineRule="atLeast"/>
        <w:jc w:val="right"/>
        <w:rPr>
          <w:rFonts w:ascii="宋体" w:hAnsi="宋体" w:cs="宋体"/>
          <w:color w:val="000000"/>
          <w:sz w:val="18"/>
          <w:szCs w:val="18"/>
        </w:rPr>
      </w:pPr>
      <w:r>
        <w:rPr>
          <w:rFonts w:hint="eastAsia" w:ascii="宋体" w:hAnsi="宋体" w:cs="仿宋"/>
          <w:kern w:val="0"/>
          <w:sz w:val="24"/>
        </w:rPr>
        <w:t>发布时间：2019年6月20日</w:t>
      </w:r>
    </w:p>
    <w:p>
      <w:pPr>
        <w:pStyle w:val="3"/>
        <w:spacing w:before="120" w:after="120" w:line="360" w:lineRule="auto"/>
        <w:jc w:val="center"/>
        <w:rPr>
          <w:rFonts w:ascii="宋体" w:hAnsi="宋体"/>
          <w:kern w:val="2"/>
          <w:sz w:val="32"/>
        </w:rPr>
      </w:pPr>
      <w:r>
        <w:rPr>
          <w:rFonts w:hint="eastAsia" w:ascii="宋体" w:hAnsi="宋体" w:cs="宋体"/>
          <w:bCs/>
          <w:color w:val="0000FF"/>
          <w:kern w:val="0"/>
          <w:sz w:val="24"/>
          <w:highlight w:val="yellow"/>
        </w:rPr>
        <w:br w:type="page"/>
      </w:r>
      <w:bookmarkStart w:id="3" w:name="_Toc11850776"/>
      <w:r>
        <w:rPr>
          <w:rFonts w:hint="eastAsia" w:ascii="宋体" w:hAnsi="宋体"/>
          <w:kern w:val="2"/>
          <w:sz w:val="32"/>
        </w:rPr>
        <w:t>第二章供应商须知</w:t>
      </w:r>
      <w:bookmarkEnd w:id="3"/>
    </w:p>
    <w:p>
      <w:pPr>
        <w:pStyle w:val="3"/>
        <w:spacing w:before="0" w:after="0"/>
        <w:jc w:val="center"/>
        <w:rPr>
          <w:rFonts w:ascii="宋体" w:hAnsi="宋体"/>
          <w:bCs/>
          <w:sz w:val="30"/>
          <w:szCs w:val="30"/>
        </w:rPr>
      </w:pPr>
      <w:bookmarkStart w:id="4" w:name="_Toc11850777"/>
      <w:r>
        <w:rPr>
          <w:rFonts w:hint="eastAsia" w:ascii="宋体" w:hAnsi="宋体"/>
          <w:sz w:val="30"/>
          <w:szCs w:val="30"/>
        </w:rPr>
        <w:t>供应商须知前附表</w:t>
      </w:r>
      <w:bookmarkEnd w:id="4"/>
    </w:p>
    <w:p>
      <w:pPr>
        <w:spacing w:line="360" w:lineRule="auto"/>
        <w:ind w:firstLine="480" w:firstLineChars="200"/>
        <w:rPr>
          <w:rFonts w:ascii="宋体" w:hAnsi="宋体"/>
          <w:sz w:val="24"/>
        </w:rPr>
      </w:pPr>
      <w:r>
        <w:rPr>
          <w:rFonts w:hint="eastAsia" w:ascii="宋体" w:hAnsi="宋体"/>
          <w:sz w:val="24"/>
        </w:rPr>
        <w:t>本表是对“供应商须知”正文的具体补充和修改，如有不一致，以“前附表”为准。</w:t>
      </w:r>
    </w:p>
    <w:tbl>
      <w:tblPr>
        <w:tblStyle w:val="73"/>
        <w:tblW w:w="10018"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504"/>
        <w:gridCol w:w="78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ascii="宋体" w:hAnsi="宋体"/>
                <w:sz w:val="24"/>
              </w:rPr>
            </w:pPr>
            <w:r>
              <w:rPr>
                <w:rFonts w:hint="eastAsia" w:ascii="宋体" w:hAnsi="宋体"/>
                <w:sz w:val="24"/>
              </w:rPr>
              <w:t>序号</w:t>
            </w:r>
          </w:p>
        </w:tc>
        <w:tc>
          <w:tcPr>
            <w:tcW w:w="1504" w:type="dxa"/>
          </w:tcPr>
          <w:p>
            <w:pPr>
              <w:spacing w:line="360" w:lineRule="auto"/>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c>
          <w:tcPr>
            <w:tcW w:w="7895" w:type="dxa"/>
            <w:vAlign w:val="center"/>
          </w:tcPr>
          <w:p>
            <w:pPr>
              <w:spacing w:line="360" w:lineRule="auto"/>
              <w:jc w:val="center"/>
              <w:rPr>
                <w:rFonts w:ascii="宋体" w:hAnsi="宋体"/>
                <w:b/>
                <w:sz w:val="24"/>
              </w:rPr>
            </w:pPr>
            <w:r>
              <w:rPr>
                <w:rFonts w:hint="eastAsia" w:ascii="宋体" w:hAnsi="宋体"/>
                <w:b/>
                <w:sz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380" w:hRule="atLeast"/>
          <w:jc w:val="center"/>
        </w:trPr>
        <w:tc>
          <w:tcPr>
            <w:tcW w:w="619" w:type="dxa"/>
            <w:vAlign w:val="center"/>
          </w:tcPr>
          <w:p>
            <w:pPr>
              <w:spacing w:line="360" w:lineRule="auto"/>
              <w:jc w:val="center"/>
              <w:rPr>
                <w:rFonts w:ascii="宋体" w:hAnsi="宋体"/>
                <w:sz w:val="24"/>
              </w:rPr>
            </w:pPr>
            <w:r>
              <w:rPr>
                <w:rFonts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项目名称</w:t>
            </w:r>
          </w:p>
        </w:tc>
        <w:tc>
          <w:tcPr>
            <w:tcW w:w="7895" w:type="dxa"/>
            <w:vAlign w:val="center"/>
          </w:tcPr>
          <w:p>
            <w:pPr>
              <w:spacing w:line="360" w:lineRule="auto"/>
              <w:ind w:firstLine="523" w:firstLineChars="218"/>
              <w:rPr>
                <w:rFonts w:hint="eastAsia" w:ascii="宋体" w:hAnsi="宋体"/>
                <w:sz w:val="24"/>
              </w:rPr>
            </w:pPr>
            <w:r>
              <w:rPr>
                <w:rFonts w:hint="eastAsia" w:ascii="宋体" w:hAnsi="宋体"/>
                <w:sz w:val="24"/>
              </w:rPr>
              <w:t>项目名称：山东大学医疗科研设备采购</w:t>
            </w:r>
          </w:p>
          <w:p>
            <w:pPr>
              <w:spacing w:line="360" w:lineRule="auto"/>
              <w:ind w:firstLine="523" w:firstLineChars="218"/>
              <w:rPr>
                <w:rFonts w:ascii="宋体" w:hAnsi="宋体"/>
                <w:sz w:val="24"/>
              </w:rPr>
            </w:pPr>
            <w:r>
              <w:rPr>
                <w:rFonts w:hint="eastAsia" w:ascii="宋体" w:hAnsi="宋体"/>
                <w:sz w:val="24"/>
              </w:rPr>
              <w:t>项目编号：HYHA2019-0770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采购人</w:t>
            </w:r>
          </w:p>
        </w:tc>
        <w:tc>
          <w:tcPr>
            <w:tcW w:w="7895" w:type="dxa"/>
            <w:vAlign w:val="center"/>
          </w:tcPr>
          <w:p>
            <w:pPr>
              <w:spacing w:line="360" w:lineRule="auto"/>
              <w:ind w:firstLine="523" w:firstLineChars="218"/>
              <w:rPr>
                <w:rFonts w:hint="eastAsia" w:ascii="宋体" w:hAnsi="宋体"/>
                <w:sz w:val="24"/>
              </w:rPr>
            </w:pPr>
            <w:r>
              <w:rPr>
                <w:rFonts w:hint="eastAsia" w:ascii="宋体" w:hAnsi="宋体"/>
                <w:sz w:val="24"/>
              </w:rPr>
              <w:t>采购人：山东大学      地址：济南市历城区山大南路27号</w:t>
            </w:r>
          </w:p>
          <w:p>
            <w:pPr>
              <w:spacing w:line="360" w:lineRule="auto"/>
              <w:ind w:firstLine="523" w:firstLineChars="218"/>
              <w:rPr>
                <w:rFonts w:hint="eastAsia" w:ascii="宋体" w:hAnsi="宋体"/>
                <w:sz w:val="24"/>
              </w:rPr>
            </w:pPr>
            <w:r>
              <w:rPr>
                <w:rFonts w:hint="eastAsia" w:ascii="宋体" w:hAnsi="宋体"/>
                <w:sz w:val="24"/>
              </w:rPr>
              <w:t>联系人：郭老师</w:t>
            </w:r>
          </w:p>
          <w:p>
            <w:pPr>
              <w:spacing w:line="360" w:lineRule="auto"/>
              <w:ind w:firstLine="523" w:firstLineChars="218"/>
              <w:rPr>
                <w:rFonts w:ascii="宋体" w:hAnsi="宋体"/>
                <w:sz w:val="24"/>
              </w:rPr>
            </w:pPr>
            <w:r>
              <w:rPr>
                <w:rFonts w:hint="eastAsia" w:ascii="宋体" w:hAnsi="宋体"/>
                <w:sz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3</w:t>
            </w:r>
          </w:p>
        </w:tc>
        <w:tc>
          <w:tcPr>
            <w:tcW w:w="1504" w:type="dxa"/>
            <w:vAlign w:val="center"/>
          </w:tcPr>
          <w:p>
            <w:pPr>
              <w:spacing w:line="360" w:lineRule="auto"/>
              <w:jc w:val="center"/>
              <w:rPr>
                <w:rFonts w:ascii="宋体" w:hAnsi="宋体"/>
                <w:sz w:val="24"/>
              </w:rPr>
            </w:pPr>
            <w:r>
              <w:rPr>
                <w:rFonts w:hint="eastAsia" w:ascii="宋体" w:hAnsi="宋体"/>
                <w:sz w:val="24"/>
              </w:rPr>
              <w:t>代理机构</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代理机构：海逸恒安项目管理有限公司</w:t>
            </w:r>
          </w:p>
          <w:p>
            <w:pPr>
              <w:spacing w:line="360" w:lineRule="auto"/>
              <w:ind w:firstLine="523" w:firstLineChars="218"/>
              <w:rPr>
                <w:rFonts w:ascii="宋体" w:hAnsi="宋体"/>
                <w:sz w:val="24"/>
              </w:rPr>
            </w:pPr>
            <w:r>
              <w:rPr>
                <w:rFonts w:hint="eastAsia" w:ascii="宋体" w:hAnsi="宋体"/>
                <w:sz w:val="24"/>
              </w:rPr>
              <w:t>联系人：柴振华、邢生康</w:t>
            </w:r>
          </w:p>
          <w:p>
            <w:pPr>
              <w:spacing w:line="360" w:lineRule="auto"/>
              <w:ind w:firstLine="523" w:firstLineChars="218"/>
              <w:rPr>
                <w:rFonts w:hint="eastAsia" w:ascii="宋体" w:hAnsi="宋体"/>
                <w:sz w:val="24"/>
              </w:rPr>
            </w:pPr>
            <w:r>
              <w:rPr>
                <w:rFonts w:hint="eastAsia" w:ascii="宋体" w:hAnsi="宋体"/>
                <w:sz w:val="24"/>
              </w:rPr>
              <w:t>联系电话：</w:t>
            </w:r>
            <w:r>
              <w:rPr>
                <w:rFonts w:ascii="宋体" w:hAnsi="宋体"/>
                <w:sz w:val="24"/>
              </w:rPr>
              <w:t>0531-82661637</w:t>
            </w:r>
          </w:p>
          <w:p>
            <w:pPr>
              <w:spacing w:line="360" w:lineRule="auto"/>
              <w:ind w:firstLine="523" w:firstLineChars="218"/>
              <w:rPr>
                <w:rFonts w:ascii="宋体" w:hAnsi="宋体"/>
                <w:sz w:val="24"/>
              </w:rPr>
            </w:pPr>
            <w:r>
              <w:rPr>
                <w:rFonts w:hint="eastAsia" w:ascii="宋体" w:hAnsi="宋体"/>
                <w:sz w:val="24"/>
              </w:rPr>
              <w:t>地址：济南市高新区舜华南路汉峪金谷A2-3号楼18楼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4</w:t>
            </w:r>
          </w:p>
        </w:tc>
        <w:tc>
          <w:tcPr>
            <w:tcW w:w="1504" w:type="dxa"/>
            <w:vAlign w:val="center"/>
          </w:tcPr>
          <w:p>
            <w:pPr>
              <w:spacing w:line="360" w:lineRule="auto"/>
              <w:jc w:val="center"/>
              <w:rPr>
                <w:rFonts w:ascii="宋体" w:hAnsi="宋体"/>
                <w:sz w:val="24"/>
              </w:rPr>
            </w:pPr>
            <w:r>
              <w:rPr>
                <w:rFonts w:hint="eastAsia" w:ascii="宋体" w:hAnsi="宋体" w:cs="宋体"/>
                <w:kern w:val="0"/>
                <w:sz w:val="24"/>
              </w:rPr>
              <w:t>供应商应提供的资格证明材料</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供应商资格要求：</w:t>
            </w:r>
          </w:p>
          <w:p>
            <w:pPr>
              <w:snapToGrid w:val="0"/>
              <w:spacing w:line="360" w:lineRule="auto"/>
              <w:ind w:firstLine="480" w:firstLineChars="200"/>
              <w:rPr>
                <w:rFonts w:ascii="宋体" w:hAnsi="宋体"/>
                <w:sz w:val="24"/>
              </w:rPr>
            </w:pPr>
            <w:r>
              <w:rPr>
                <w:rFonts w:hint="eastAsia" w:ascii="宋体" w:hAnsi="宋体"/>
                <w:sz w:val="24"/>
              </w:rPr>
              <w:t>详见第一章招标公告。</w:t>
            </w:r>
          </w:p>
          <w:p>
            <w:pPr>
              <w:pStyle w:val="2"/>
              <w:ind w:firstLine="482" w:firstLineChars="200"/>
              <w:rPr>
                <w:rFonts w:ascii="宋体" w:hAnsi="宋体"/>
                <w:b/>
                <w:kern w:val="2"/>
                <w:szCs w:val="24"/>
                <w:lang w:val="en-US" w:eastAsia="zh-CN"/>
              </w:rPr>
            </w:pPr>
            <w:r>
              <w:rPr>
                <w:rFonts w:hint="eastAsia" w:ascii="宋体" w:hAnsi="宋体"/>
                <w:b/>
                <w:kern w:val="2"/>
                <w:szCs w:val="24"/>
                <w:lang w:val="en-US" w:eastAsia="zh-CN"/>
              </w:rPr>
              <w:t>供应商须提供的资格文件均应为有效文件并加盖本单位公章，否则评标时不予认可。</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供应商应提供能够证明符合上述条件的下列材料：</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（1）</w:t>
            </w:r>
            <w:r>
              <w:rPr>
                <w:rFonts w:hint="eastAsia" w:ascii="宋体" w:hAnsi="宋体" w:cs="宋体"/>
                <w:kern w:val="0"/>
                <w:sz w:val="24"/>
              </w:rPr>
              <w:tab/>
            </w:r>
            <w:r>
              <w:rPr>
                <w:rFonts w:hint="eastAsia" w:ascii="宋体" w:hAnsi="宋体" w:cs="宋体"/>
                <w:kern w:val="0"/>
                <w:sz w:val="24"/>
              </w:rPr>
              <w:t>供应商须在中华人民共和国境内注册，具有独立承担民事责任的能力和经营许可，向采购人提供货物和服务的法人、其他组织或自然人，须提供相关证明材料，其中：</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供应商是企业（包括合伙企业）的，应提供其在工商部门注册的有效“企业法人营业执照”或“营业执照”的复印件；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供应商是事业单位的，应提供其有效的“事业单位法人证书”复印件；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供应商是非企业专业服务机构的，应提供其有效的执业许可证复印件；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供应商是个体工商户的，应提供其有效的“个体工商户营业执照”复印件；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供应商是自然人的，应提供其有效的自然人身份证明。</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（2）</w:t>
            </w:r>
            <w:r>
              <w:rPr>
                <w:rFonts w:hint="eastAsia" w:ascii="宋体" w:hAnsi="宋体" w:cs="宋体"/>
                <w:kern w:val="0"/>
                <w:sz w:val="24"/>
              </w:rPr>
              <w:tab/>
            </w:r>
            <w:r>
              <w:rPr>
                <w:rFonts w:hint="eastAsia" w:ascii="宋体" w:hAnsi="宋体" w:cs="宋体"/>
                <w:kern w:val="0"/>
                <w:sz w:val="24"/>
              </w:rPr>
              <w:t>供应商须具有良好的商业信誉和健全的财务会计制度，须提供相关证明材料，其中：</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供应商是法人的，应提供2017年度或2018年度经审计的财务报告复印件（报告中须包括资产负债表、利润表、现金流量表及财务报表附注），或其基本开户银行出具的资信证明原件；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供应商是其他组织或自然人的，应提供银行出具的资信证明原件。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（3）</w:t>
            </w:r>
            <w:r>
              <w:rPr>
                <w:rFonts w:hint="eastAsia" w:ascii="宋体" w:hAnsi="宋体" w:cs="宋体"/>
                <w:kern w:val="0"/>
                <w:sz w:val="24"/>
              </w:rPr>
              <w:tab/>
            </w:r>
            <w:r>
              <w:rPr>
                <w:rFonts w:hint="eastAsia" w:ascii="宋体" w:hAnsi="宋体" w:cs="宋体"/>
                <w:kern w:val="0"/>
                <w:sz w:val="24"/>
              </w:rPr>
              <w:t xml:space="preserve">供应商须具有履行合同所必需的设备和专业技术能力，须附相关证明材料或书面声明。 </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rPr>
              <w:tab/>
            </w:r>
            <w:r>
              <w:rPr>
                <w:rFonts w:hint="eastAsia" w:ascii="宋体" w:hAnsi="宋体" w:cs="宋体"/>
                <w:kern w:val="0"/>
                <w:sz w:val="24"/>
              </w:rPr>
              <w:t>供应商须具有依法缴纳税收和社会保障资金的良好记录，须提供相关证明材料，其中：①供应商是法人的，缴纳税收的证明材料，应提供开标前三个月内任意一个月的依法缴税凭据复印件；②供应商是法人的，缴纳社会保障资金的证明材料，应提供开标前三个月内任意一个月的缴纳社会保险的凭据（专用收据或社会保险缴纳清单）复印件；③供应商是其他组织和自然人的，需要提供开标前三个月内任意一个月的缴纳税收和社会保险的凭据。</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注：依法免税或不需要缴纳社会保障资金的供应商，须提供相应文件证明其依法免税或不需要缴纳社会保障资金。</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（5）符合本项目要求的资质条件证明材料，或符合本项目要求的经营许可、制造许可、特许经营许可、产品登记</w:t>
            </w:r>
            <w:r>
              <w:rPr>
                <w:rFonts w:ascii="宋体" w:hAnsi="宋体" w:cs="宋体"/>
                <w:kern w:val="0"/>
                <w:sz w:val="24"/>
              </w:rPr>
              <w:t>(</w:t>
            </w:r>
            <w:r>
              <w:rPr>
                <w:rFonts w:hint="eastAsia" w:ascii="宋体" w:hAnsi="宋体" w:cs="宋体"/>
                <w:kern w:val="0"/>
                <w:sz w:val="24"/>
              </w:rPr>
              <w:t>备案</w:t>
            </w:r>
            <w:r>
              <w:rPr>
                <w:rFonts w:ascii="宋体" w:hAnsi="宋体" w:cs="宋体"/>
                <w:kern w:val="0"/>
                <w:sz w:val="24"/>
              </w:rPr>
              <w:t>/</w:t>
            </w:r>
            <w:r>
              <w:rPr>
                <w:rFonts w:hint="eastAsia" w:ascii="宋体" w:hAnsi="宋体" w:cs="宋体"/>
                <w:kern w:val="0"/>
                <w:sz w:val="24"/>
              </w:rPr>
              <w:t>注册</w:t>
            </w:r>
            <w:r>
              <w:rPr>
                <w:rFonts w:ascii="宋体" w:hAnsi="宋体" w:cs="宋体"/>
                <w:kern w:val="0"/>
                <w:sz w:val="24"/>
              </w:rPr>
              <w:t>)</w:t>
            </w:r>
            <w:r>
              <w:rPr>
                <w:rFonts w:hint="eastAsia" w:ascii="宋体" w:hAnsi="宋体" w:cs="宋体"/>
                <w:kern w:val="0"/>
                <w:sz w:val="24"/>
              </w:rPr>
              <w:t>证书、各类认证证书、产品代理授权等证明材料 (如需)；</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（6）</w:t>
            </w:r>
            <w:r>
              <w:rPr>
                <w:rFonts w:hint="eastAsia" w:ascii="宋体" w:hAnsi="宋体" w:cs="宋体"/>
                <w:kern w:val="0"/>
                <w:sz w:val="24"/>
              </w:rPr>
              <w:tab/>
            </w:r>
            <w:r>
              <w:rPr>
                <w:rFonts w:hint="eastAsia" w:ascii="宋体" w:hAnsi="宋体" w:cs="宋体"/>
                <w:kern w:val="0"/>
                <w:sz w:val="24"/>
              </w:rPr>
              <w:t>近三年内（本项目投标截止期前）供应商在经营活动中没有重大违法记录，其中：</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重大违法记录是指供应商因违法经营受到刑事处罚或者责令停产停业、吊销许可证或者执照、较大数额罚款等行政处罚；</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供应商须提供参与本采购活动前三年内在经营活动中没有重大违法记录的书面声明。</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（7）</w:t>
            </w:r>
            <w:r>
              <w:rPr>
                <w:rFonts w:hint="eastAsia" w:ascii="宋体" w:hAnsi="宋体" w:cs="宋体"/>
                <w:kern w:val="0"/>
                <w:sz w:val="24"/>
              </w:rPr>
              <w:tab/>
            </w:r>
            <w:r>
              <w:rPr>
                <w:rFonts w:hint="eastAsia" w:ascii="宋体" w:hAnsi="宋体" w:cs="宋体"/>
                <w:kern w:val="0"/>
                <w:sz w:val="24"/>
              </w:rPr>
              <w:t>供应商在“信用中国”网站（www.creditchina.gov.cn）被列入失信被执行人和重大税收违法案件当事人名单的、在“中国政府采购网”网站（www.ccgp.gov.cn）被列入政府采购严重违法失信行为记录名单（处罚期限尚未届满的），不得参与本项目的政府采购活动，供应商须提供没有上述失信行为和重大税收违法案件记录的书面声明。</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同时，采购代理机构依法对供应商的资格进行审查时，将在“信用中国”和“中国政府采购网”等网站上对供应商进行没有上述失信行为和重大税收违法案件记录查询并打印查询记录，查询截止时点为：本项目投标截止期当日。对经查询被“信用中国”等网站列入失信被执行人和重大税收违法案件当事人名单的、被“中国政府采购网”网站列入政府采购严重违法失信行为记录名单（处罚期限尚未届满的）的供应商，其投标将按无效投标处理。</w:t>
            </w:r>
          </w:p>
          <w:p>
            <w:pPr>
              <w:autoSpaceDE w:val="0"/>
              <w:autoSpaceDN w:val="0"/>
              <w:adjustRightInd w:val="0"/>
              <w:snapToGrid w:val="0"/>
              <w:spacing w:line="560" w:lineRule="exact"/>
              <w:ind w:firstLine="600" w:firstLineChars="250"/>
              <w:jc w:val="left"/>
              <w:rPr>
                <w:rFonts w:hint="eastAsia" w:ascii="宋体" w:hAnsi="宋体" w:cs="宋体"/>
                <w:kern w:val="0"/>
                <w:sz w:val="24"/>
              </w:rPr>
            </w:pPr>
            <w:r>
              <w:rPr>
                <w:rFonts w:hint="eastAsia" w:ascii="宋体" w:hAnsi="宋体" w:cs="宋体"/>
                <w:kern w:val="0"/>
                <w:sz w:val="24"/>
              </w:rPr>
              <w:t>采购代理机构对于查询到的供应商失信行为事由、处理机关名称及处理日期、处理有效期间等，以屏幕截图的方式保存，并承诺查询记录仅用于本次采购活动过程中，不用于其他目的。</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（8）</w:t>
            </w:r>
            <w:r>
              <w:rPr>
                <w:rFonts w:hint="eastAsia" w:ascii="宋体" w:hAnsi="宋体" w:cs="宋体"/>
                <w:kern w:val="0"/>
                <w:sz w:val="24"/>
              </w:rPr>
              <w:tab/>
            </w:r>
            <w:r>
              <w:rPr>
                <w:rFonts w:hint="eastAsia" w:ascii="宋体" w:hAnsi="宋体" w:cs="宋体"/>
                <w:kern w:val="0"/>
                <w:sz w:val="24"/>
              </w:rPr>
              <w:t>单位负责人为同一人或者存在直接控股、管理关系的不同供应商，不得参加同一包的投标或者未划分包的同一招标项目的投标，供应商须提供声明。</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（9）为本采购项目提供过整体设计、规范编制或者项目管理、监理、检测等服务的供应商及其附属机构，不得再参加本采购项目的投标活动，供应商须提供声明。</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（10）供应商已按照招标公告要求购买了招标文件。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（11）供应商符合法律、行政法规规定的其它要求。</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（12）本项目不接受联合体投标。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5</w:t>
            </w:r>
          </w:p>
        </w:tc>
        <w:tc>
          <w:tcPr>
            <w:tcW w:w="1504" w:type="dxa"/>
            <w:vAlign w:val="center"/>
          </w:tcPr>
          <w:p>
            <w:pPr>
              <w:snapToGrid w:val="0"/>
              <w:spacing w:line="360" w:lineRule="auto"/>
              <w:jc w:val="center"/>
              <w:rPr>
                <w:rFonts w:ascii="宋体" w:hAnsi="宋体"/>
                <w:sz w:val="24"/>
              </w:rPr>
            </w:pPr>
            <w:r>
              <w:rPr>
                <w:rFonts w:hint="eastAsia" w:ascii="宋体" w:hAnsi="宋体"/>
                <w:sz w:val="24"/>
              </w:rPr>
              <w:t>对招标文件的疑问</w:t>
            </w:r>
          </w:p>
        </w:tc>
        <w:tc>
          <w:tcPr>
            <w:tcW w:w="7895" w:type="dxa"/>
            <w:vAlign w:val="center"/>
          </w:tcPr>
          <w:p>
            <w:pPr>
              <w:snapToGrid w:val="0"/>
              <w:spacing w:line="360" w:lineRule="auto"/>
              <w:ind w:firstLine="480" w:firstLineChars="200"/>
              <w:rPr>
                <w:rFonts w:ascii="宋体" w:hAnsi="宋体"/>
                <w:sz w:val="24"/>
              </w:rPr>
            </w:pPr>
            <w:r>
              <w:rPr>
                <w:rFonts w:hint="eastAsia" w:ascii="宋体" w:hAnsi="宋体"/>
                <w:sz w:val="24"/>
              </w:rPr>
              <w:t>提交疑问时间：在投标截止时间</w:t>
            </w:r>
            <w:r>
              <w:rPr>
                <w:rFonts w:ascii="宋体" w:hAnsi="宋体"/>
                <w:sz w:val="24"/>
              </w:rPr>
              <w:t>16</w:t>
            </w:r>
            <w:r>
              <w:rPr>
                <w:rFonts w:hint="eastAsia" w:ascii="宋体" w:hAnsi="宋体"/>
                <w:sz w:val="24"/>
              </w:rPr>
              <w:t>天前。</w:t>
            </w:r>
          </w:p>
          <w:p>
            <w:pPr>
              <w:snapToGrid w:val="0"/>
              <w:spacing w:line="360" w:lineRule="auto"/>
              <w:ind w:firstLine="480" w:firstLineChars="200"/>
              <w:rPr>
                <w:rFonts w:ascii="宋体" w:hAnsi="宋体"/>
                <w:sz w:val="24"/>
              </w:rPr>
            </w:pPr>
            <w:r>
              <w:rPr>
                <w:rFonts w:hint="eastAsia" w:ascii="宋体" w:hAnsi="宋体"/>
                <w:sz w:val="24"/>
              </w:rPr>
              <w:t>提交疑问方式：发电子邮件至</w:t>
            </w:r>
            <w:r>
              <w:rPr>
                <w:rFonts w:hint="eastAsia" w:ascii="宋体" w:hAnsi="宋体"/>
                <w:sz w:val="24"/>
                <w:u w:val="single"/>
              </w:rPr>
              <w:t>hyha5299@126.com</w:t>
            </w:r>
            <w:r>
              <w:rPr>
                <w:rFonts w:hint="eastAsia" w:ascii="宋体" w:hAnsi="宋体"/>
                <w:sz w:val="24"/>
              </w:rPr>
              <w:t>（</w:t>
            </w:r>
            <w:r>
              <w:rPr>
                <w:rFonts w:ascii="宋体" w:hAnsi="宋体"/>
                <w:sz w:val="24"/>
              </w:rPr>
              <w:t>word</w:t>
            </w:r>
            <w:r>
              <w:rPr>
                <w:rFonts w:hint="eastAsia" w:ascii="宋体" w:hAnsi="宋体"/>
                <w:sz w:val="24"/>
              </w:rPr>
              <w:t>文档及加盖公章的扫描件各一份），并电话（0531-82661637）通知招标代理机构。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6</w:t>
            </w:r>
          </w:p>
        </w:tc>
        <w:tc>
          <w:tcPr>
            <w:tcW w:w="1504" w:type="dxa"/>
            <w:vAlign w:val="center"/>
          </w:tcPr>
          <w:p>
            <w:pPr>
              <w:snapToGrid w:val="0"/>
              <w:spacing w:line="360" w:lineRule="auto"/>
              <w:jc w:val="center"/>
              <w:rPr>
                <w:rFonts w:ascii="宋体" w:hAnsi="宋体"/>
                <w:sz w:val="24"/>
              </w:rPr>
            </w:pPr>
            <w:r>
              <w:rPr>
                <w:rFonts w:hint="eastAsia" w:ascii="宋体" w:hAnsi="宋体"/>
                <w:sz w:val="24"/>
              </w:rPr>
              <w:t>招标文件答疑</w:t>
            </w:r>
          </w:p>
        </w:tc>
        <w:tc>
          <w:tcPr>
            <w:tcW w:w="7895" w:type="dxa"/>
            <w:vAlign w:val="center"/>
          </w:tcPr>
          <w:p>
            <w:pPr>
              <w:snapToGrid w:val="0"/>
              <w:spacing w:line="360" w:lineRule="auto"/>
              <w:ind w:firstLine="480" w:firstLineChars="200"/>
              <w:rPr>
                <w:rFonts w:ascii="宋体" w:hAnsi="宋体"/>
                <w:sz w:val="24"/>
              </w:rPr>
            </w:pPr>
            <w:r>
              <w:rPr>
                <w:rFonts w:hint="eastAsia" w:ascii="宋体" w:hAnsi="宋体"/>
                <w:sz w:val="24"/>
              </w:rPr>
              <w:t>领取答疑、澄清和修改文件时间：在投标截止时间</w:t>
            </w:r>
            <w:r>
              <w:rPr>
                <w:rFonts w:ascii="宋体" w:hAnsi="宋体"/>
                <w:sz w:val="24"/>
              </w:rPr>
              <w:t>15</w:t>
            </w:r>
            <w:r>
              <w:rPr>
                <w:rFonts w:hint="eastAsia" w:ascii="宋体" w:hAnsi="宋体"/>
                <w:sz w:val="24"/>
              </w:rPr>
              <w:t>天前。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7</w:t>
            </w:r>
          </w:p>
        </w:tc>
        <w:tc>
          <w:tcPr>
            <w:tcW w:w="1504" w:type="dxa"/>
            <w:vAlign w:val="center"/>
          </w:tcPr>
          <w:p>
            <w:pPr>
              <w:pStyle w:val="2"/>
              <w:spacing w:after="0" w:line="360" w:lineRule="auto"/>
              <w:jc w:val="center"/>
              <w:rPr>
                <w:rFonts w:ascii="宋体" w:hAnsi="宋体"/>
                <w:kern w:val="2"/>
                <w:szCs w:val="24"/>
                <w:lang w:val="en-US" w:eastAsia="zh-CN"/>
              </w:rPr>
            </w:pPr>
            <w:r>
              <w:rPr>
                <w:rFonts w:hint="eastAsia" w:ascii="宋体" w:hAnsi="宋体"/>
                <w:kern w:val="2"/>
                <w:szCs w:val="24"/>
                <w:lang w:val="en-US" w:eastAsia="zh-CN"/>
              </w:rPr>
              <w:t>投标文件份数</w:t>
            </w:r>
          </w:p>
        </w:tc>
        <w:tc>
          <w:tcPr>
            <w:tcW w:w="7895" w:type="dxa"/>
            <w:vAlign w:val="center"/>
          </w:tcPr>
          <w:p>
            <w:pPr>
              <w:pStyle w:val="2"/>
              <w:spacing w:after="0" w:line="360" w:lineRule="auto"/>
              <w:ind w:firstLine="600" w:firstLineChars="250"/>
              <w:rPr>
                <w:rFonts w:ascii="宋体" w:hAnsi="宋体"/>
                <w:bCs/>
                <w:kern w:val="2"/>
                <w:szCs w:val="24"/>
                <w:lang w:val="en-US" w:eastAsia="zh-CN"/>
              </w:rPr>
            </w:pPr>
            <w:r>
              <w:rPr>
                <w:rFonts w:hint="eastAsia" w:ascii="宋体" w:hAnsi="宋体"/>
                <w:bCs/>
                <w:kern w:val="2"/>
                <w:szCs w:val="24"/>
                <w:lang w:val="en-US" w:eastAsia="zh-CN"/>
              </w:rPr>
              <w:t>纸质投标文件</w:t>
            </w:r>
            <w:r>
              <w:rPr>
                <w:rFonts w:ascii="宋体" w:hAnsi="宋体"/>
                <w:bCs/>
                <w:kern w:val="2"/>
                <w:szCs w:val="24"/>
                <w:u w:val="single"/>
                <w:lang w:val="en-US" w:eastAsia="zh-CN"/>
              </w:rPr>
              <w:t>4</w:t>
            </w:r>
            <w:r>
              <w:rPr>
                <w:rFonts w:hint="eastAsia" w:ascii="宋体" w:hAnsi="宋体"/>
                <w:bCs/>
                <w:kern w:val="2"/>
                <w:szCs w:val="24"/>
                <w:lang w:val="en-US" w:eastAsia="zh-CN"/>
              </w:rPr>
              <w:t>份，其中正本</w:t>
            </w:r>
            <w:r>
              <w:rPr>
                <w:rFonts w:ascii="宋体" w:hAnsi="宋体"/>
                <w:bCs/>
                <w:kern w:val="2"/>
                <w:szCs w:val="24"/>
                <w:lang w:val="en-US" w:eastAsia="zh-CN"/>
              </w:rPr>
              <w:t>1</w:t>
            </w:r>
            <w:r>
              <w:rPr>
                <w:rFonts w:hint="eastAsia" w:ascii="宋体" w:hAnsi="宋体"/>
                <w:bCs/>
                <w:kern w:val="2"/>
                <w:szCs w:val="24"/>
                <w:lang w:val="en-US" w:eastAsia="zh-CN"/>
              </w:rPr>
              <w:t>份和副本</w:t>
            </w:r>
            <w:r>
              <w:rPr>
                <w:rFonts w:ascii="宋体" w:hAnsi="宋体"/>
                <w:bCs/>
                <w:kern w:val="2"/>
                <w:szCs w:val="24"/>
                <w:u w:val="single"/>
                <w:lang w:val="en-US" w:eastAsia="zh-CN"/>
              </w:rPr>
              <w:t>3</w:t>
            </w:r>
            <w:r>
              <w:rPr>
                <w:rFonts w:hint="eastAsia" w:ascii="宋体" w:hAnsi="宋体"/>
                <w:bCs/>
                <w:kern w:val="2"/>
                <w:szCs w:val="24"/>
                <w:lang w:val="en-US" w:eastAsia="zh-CN"/>
              </w:rPr>
              <w:t>份，电子版一份；</w:t>
            </w:r>
          </w:p>
          <w:p>
            <w:pPr>
              <w:pStyle w:val="2"/>
              <w:spacing w:after="0" w:line="360" w:lineRule="auto"/>
              <w:ind w:firstLine="602" w:firstLineChars="250"/>
              <w:rPr>
                <w:rFonts w:hint="eastAsia" w:ascii="宋体" w:hAnsi="宋体"/>
                <w:b/>
                <w:bCs/>
                <w:kern w:val="2"/>
                <w:lang w:val="en-US" w:eastAsia="zh-CN"/>
              </w:rPr>
            </w:pPr>
            <w:r>
              <w:rPr>
                <w:rFonts w:hint="eastAsia" w:ascii="宋体" w:hAnsi="宋体"/>
                <w:b/>
                <w:bCs/>
                <w:kern w:val="2"/>
                <w:lang w:val="en-US" w:eastAsia="zh-CN"/>
              </w:rPr>
              <w:t>（PDF版投标文件U盘设备存储1份，存储电子投标文件的格式为：word版及PDF版，电子版内容应包含投标文件的全部商务、报价、技术内容及技术资料，和它们的中、英文对照文本）。开标一览表一式三份。</w:t>
            </w:r>
          </w:p>
          <w:p>
            <w:pPr>
              <w:pStyle w:val="2"/>
              <w:spacing w:after="0" w:line="360" w:lineRule="auto"/>
              <w:ind w:firstLine="602" w:firstLineChars="250"/>
              <w:rPr>
                <w:rFonts w:ascii="宋体" w:hAnsi="宋体"/>
                <w:b/>
                <w:bCs/>
                <w:kern w:val="2"/>
                <w:lang w:val="en-US" w:eastAsia="zh-CN"/>
              </w:rPr>
            </w:pPr>
            <w:r>
              <w:rPr>
                <w:rFonts w:hint="eastAsia" w:ascii="宋体" w:hAnsi="宋体"/>
                <w:b/>
                <w:bCs/>
                <w:kern w:val="2"/>
                <w:lang w:val="en-US" w:eastAsia="zh-CN"/>
              </w:rPr>
              <w:t>备注：①每份投标文件的厚度不超过4.5cm，若超过4.5cm，可分上下册装订。</w:t>
            </w:r>
            <w:r>
              <w:rPr>
                <w:rFonts w:hint="eastAsia" w:ascii="宋体" w:hAnsi="宋体"/>
                <w:b/>
                <w:kern w:val="2"/>
                <w:szCs w:val="24"/>
                <w:lang w:val="en-US" w:eastAsia="zh-CN"/>
              </w:rPr>
              <w:t>②为节约成本，投标文件封皮请勿使用硬版纸，每页均应标注页码，装订应牢固、不易拆散和换页。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8</w:t>
            </w:r>
          </w:p>
        </w:tc>
        <w:tc>
          <w:tcPr>
            <w:tcW w:w="1504" w:type="dxa"/>
            <w:vAlign w:val="center"/>
          </w:tcPr>
          <w:p>
            <w:pPr>
              <w:spacing w:line="360" w:lineRule="auto"/>
              <w:jc w:val="center"/>
              <w:rPr>
                <w:rFonts w:ascii="宋体" w:hAnsi="宋体"/>
                <w:sz w:val="24"/>
              </w:rPr>
            </w:pPr>
            <w:r>
              <w:rPr>
                <w:rFonts w:hint="eastAsia" w:ascii="宋体" w:hAnsi="宋体"/>
                <w:sz w:val="24"/>
              </w:rPr>
              <w:t>投标文件密封和标记</w:t>
            </w:r>
          </w:p>
        </w:tc>
        <w:tc>
          <w:tcPr>
            <w:tcW w:w="7895" w:type="dxa"/>
            <w:vAlign w:val="center"/>
          </w:tcPr>
          <w:p>
            <w:pPr>
              <w:spacing w:line="360" w:lineRule="auto"/>
              <w:ind w:firstLine="480" w:firstLineChars="200"/>
              <w:rPr>
                <w:rFonts w:ascii="宋体" w:hAnsi="宋体"/>
                <w:sz w:val="24"/>
              </w:rPr>
            </w:pPr>
            <w:r>
              <w:rPr>
                <w:rFonts w:hint="eastAsia" w:ascii="宋体" w:hAnsi="宋体"/>
                <w:sz w:val="24"/>
              </w:rPr>
              <w:t>供应商应将投标文件正本、副本、电子版及开标一览表分别密封，并在封套明显处注明以下内容：</w:t>
            </w:r>
          </w:p>
          <w:p>
            <w:pPr>
              <w:spacing w:line="360" w:lineRule="auto"/>
              <w:ind w:firstLine="480" w:firstLineChars="200"/>
              <w:rPr>
                <w:rFonts w:ascii="宋体" w:hAnsi="宋体"/>
                <w:sz w:val="24"/>
              </w:rPr>
            </w:pPr>
            <w:r>
              <w:rPr>
                <w:rFonts w:ascii="宋体" w:hAnsi="宋体"/>
                <w:sz w:val="24"/>
              </w:rPr>
              <w:t xml:space="preserve">1) </w:t>
            </w:r>
            <w:r>
              <w:rPr>
                <w:rFonts w:hint="eastAsia" w:ascii="宋体" w:hAnsi="宋体"/>
                <w:sz w:val="24"/>
              </w:rPr>
              <w:t xml:space="preserve">项目编号、项目名称、包号 </w:t>
            </w:r>
          </w:p>
          <w:p>
            <w:pPr>
              <w:spacing w:line="360" w:lineRule="auto"/>
              <w:ind w:firstLine="480" w:firstLineChars="200"/>
              <w:rPr>
                <w:rFonts w:ascii="宋体" w:hAnsi="宋体"/>
                <w:sz w:val="24"/>
              </w:rPr>
            </w:pPr>
            <w:r>
              <w:rPr>
                <w:rFonts w:ascii="宋体" w:hAnsi="宋体"/>
                <w:sz w:val="24"/>
              </w:rPr>
              <w:t xml:space="preserve">2) </w:t>
            </w:r>
            <w:r>
              <w:rPr>
                <w:rFonts w:hint="eastAsia" w:ascii="宋体" w:hAnsi="宋体"/>
                <w:sz w:val="24"/>
              </w:rPr>
              <w:t>正本或副本或电子版或开标一览表</w:t>
            </w:r>
          </w:p>
          <w:p>
            <w:pPr>
              <w:spacing w:line="360" w:lineRule="auto"/>
              <w:ind w:firstLine="480" w:firstLineChars="200"/>
              <w:rPr>
                <w:rFonts w:ascii="宋体" w:hAnsi="宋体"/>
                <w:sz w:val="24"/>
              </w:rPr>
            </w:pPr>
            <w:r>
              <w:rPr>
                <w:rFonts w:ascii="宋体" w:hAnsi="宋体"/>
                <w:sz w:val="24"/>
              </w:rPr>
              <w:t xml:space="preserve">3) </w:t>
            </w:r>
            <w:r>
              <w:rPr>
                <w:rFonts w:hint="eastAsia" w:ascii="宋体" w:hAnsi="宋体"/>
                <w:sz w:val="24"/>
              </w:rPr>
              <w:t>供应商名称（加盖公章）、地址、邮编、电话、传真</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）每一密封件在封口处注明“于</w:t>
            </w:r>
            <w:r>
              <w:rPr>
                <w:rFonts w:hint="eastAsia" w:ascii="宋体" w:hAnsi="宋体"/>
                <w:sz w:val="24"/>
                <w:u w:val="single"/>
              </w:rPr>
              <w:t xml:space="preserve">   </w:t>
            </w:r>
            <w:r>
              <w:rPr>
                <w:rFonts w:hint="eastAsia" w:ascii="宋体" w:hAnsi="宋体"/>
                <w:sz w:val="24"/>
              </w:rPr>
              <w:t>年__月__日时之前不准启封”字样。</w:t>
            </w:r>
          </w:p>
          <w:p>
            <w:pPr>
              <w:spacing w:line="360" w:lineRule="auto"/>
              <w:ind w:firstLine="480" w:firstLineChars="200"/>
              <w:rPr>
                <w:rFonts w:ascii="宋体" w:hAnsi="宋体"/>
                <w:sz w:val="24"/>
              </w:rPr>
            </w:pPr>
            <w:r>
              <w:rPr>
                <w:rFonts w:hint="eastAsia" w:ascii="宋体" w:hAnsi="宋体"/>
                <w:sz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9</w:t>
            </w:r>
          </w:p>
        </w:tc>
        <w:tc>
          <w:tcPr>
            <w:tcW w:w="1504" w:type="dxa"/>
            <w:vAlign w:val="center"/>
          </w:tcPr>
          <w:p>
            <w:pPr>
              <w:pStyle w:val="2"/>
              <w:spacing w:after="0" w:line="360" w:lineRule="auto"/>
              <w:jc w:val="center"/>
              <w:rPr>
                <w:rFonts w:ascii="宋体" w:hAnsi="宋体"/>
                <w:kern w:val="2"/>
                <w:szCs w:val="24"/>
                <w:lang w:val="en-US" w:eastAsia="zh-CN"/>
              </w:rPr>
            </w:pPr>
            <w:r>
              <w:rPr>
                <w:rFonts w:hint="eastAsia" w:ascii="宋体" w:hAnsi="宋体"/>
                <w:kern w:val="2"/>
                <w:szCs w:val="24"/>
                <w:lang w:val="en-US" w:eastAsia="zh-CN"/>
              </w:rPr>
              <w:t>投标文件的装订</w:t>
            </w:r>
          </w:p>
        </w:tc>
        <w:tc>
          <w:tcPr>
            <w:tcW w:w="7895" w:type="dxa"/>
            <w:vAlign w:val="center"/>
          </w:tcPr>
          <w:p>
            <w:pPr>
              <w:pStyle w:val="2"/>
              <w:spacing w:after="0" w:line="360" w:lineRule="auto"/>
              <w:ind w:firstLine="600" w:firstLineChars="250"/>
              <w:rPr>
                <w:rFonts w:ascii="宋体" w:hAnsi="宋体"/>
                <w:kern w:val="2"/>
                <w:szCs w:val="24"/>
                <w:lang w:val="en-US" w:eastAsia="zh-CN"/>
              </w:rPr>
            </w:pPr>
            <w:r>
              <w:rPr>
                <w:rFonts w:hint="eastAsia" w:ascii="宋体" w:hAnsi="宋体"/>
                <w:kern w:val="2"/>
                <w:szCs w:val="24"/>
                <w:lang w:val="en-US" w:eastAsia="zh-CN"/>
              </w:rPr>
              <w:t>投标文件的装订：投标文件（正本、副本）应按照投标文件组成的顺序胶装成册，并在首页编制“投标文件目录”，每页均应标注页码，装订应牢固、不易拆散和换页。</w:t>
            </w:r>
          </w:p>
          <w:p>
            <w:pPr>
              <w:pStyle w:val="2"/>
              <w:spacing w:after="0" w:line="360" w:lineRule="auto"/>
              <w:ind w:firstLine="600" w:firstLineChars="250"/>
              <w:rPr>
                <w:rFonts w:ascii="宋体" w:hAnsi="宋体"/>
                <w:kern w:val="2"/>
                <w:szCs w:val="24"/>
                <w:lang w:val="en-US" w:eastAsia="zh-CN"/>
              </w:rPr>
            </w:pPr>
            <w:r>
              <w:rPr>
                <w:rFonts w:hint="eastAsia" w:ascii="宋体" w:hAnsi="宋体"/>
                <w:kern w:val="2"/>
                <w:szCs w:val="24"/>
                <w:lang w:val="en-US" w:eastAsia="zh-CN"/>
              </w:rPr>
              <w:t>如供应商对多个包进行投标响应，供应商必须将所投各包的投标文件分别编制，并按照附件一的格式在封套注明所投包号。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0</w:t>
            </w:r>
          </w:p>
        </w:tc>
        <w:tc>
          <w:tcPr>
            <w:tcW w:w="1504" w:type="dxa"/>
            <w:vAlign w:val="center"/>
          </w:tcPr>
          <w:p>
            <w:pPr>
              <w:spacing w:line="360" w:lineRule="auto"/>
              <w:jc w:val="center"/>
              <w:rPr>
                <w:rFonts w:ascii="宋体" w:hAnsi="宋体"/>
                <w:sz w:val="24"/>
              </w:rPr>
            </w:pPr>
            <w:r>
              <w:rPr>
                <w:rFonts w:hint="eastAsia" w:ascii="宋体" w:hAnsi="宋体"/>
                <w:sz w:val="24"/>
              </w:rPr>
              <w:t>投标保证金</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投标保证金金额：38000.00元</w:t>
            </w:r>
          </w:p>
          <w:p>
            <w:pPr>
              <w:spacing w:line="360" w:lineRule="auto"/>
              <w:ind w:firstLine="523" w:firstLineChars="218"/>
              <w:rPr>
                <w:rFonts w:ascii="宋体" w:hAnsi="宋体"/>
                <w:sz w:val="24"/>
              </w:rPr>
            </w:pPr>
            <w:r>
              <w:rPr>
                <w:rFonts w:hint="eastAsia" w:ascii="宋体" w:hAnsi="宋体"/>
                <w:sz w:val="24"/>
              </w:rPr>
              <w:t>开户银行及账号如下：</w:t>
            </w:r>
          </w:p>
          <w:p>
            <w:pPr>
              <w:spacing w:line="360" w:lineRule="auto"/>
              <w:ind w:firstLine="525" w:firstLineChars="218"/>
              <w:rPr>
                <w:rFonts w:hint="eastAsia" w:ascii="宋体" w:hAnsi="宋体"/>
                <w:b/>
                <w:sz w:val="24"/>
              </w:rPr>
            </w:pPr>
            <w:r>
              <w:rPr>
                <w:rFonts w:hint="eastAsia" w:ascii="宋体" w:hAnsi="宋体"/>
                <w:b/>
                <w:sz w:val="24"/>
              </w:rPr>
              <w:t>递交方式：电汇或网银形式，递交至以下账户：</w:t>
            </w:r>
          </w:p>
          <w:p>
            <w:pPr>
              <w:spacing w:line="360" w:lineRule="auto"/>
              <w:ind w:firstLine="525" w:firstLineChars="218"/>
              <w:rPr>
                <w:rFonts w:hint="eastAsia" w:ascii="宋体" w:hAnsi="宋体"/>
                <w:b/>
                <w:sz w:val="24"/>
              </w:rPr>
            </w:pPr>
            <w:r>
              <w:rPr>
                <w:rFonts w:hint="eastAsia" w:ascii="宋体" w:hAnsi="宋体"/>
                <w:b/>
                <w:sz w:val="24"/>
              </w:rPr>
              <w:t>单位名称：海逸恒安项目管理有限公司</w:t>
            </w:r>
          </w:p>
          <w:p>
            <w:pPr>
              <w:spacing w:line="360" w:lineRule="auto"/>
              <w:ind w:firstLine="525" w:firstLineChars="218"/>
              <w:rPr>
                <w:rFonts w:hint="eastAsia" w:ascii="宋体" w:hAnsi="宋体"/>
                <w:b/>
                <w:sz w:val="24"/>
              </w:rPr>
            </w:pPr>
            <w:r>
              <w:rPr>
                <w:rFonts w:hint="eastAsia" w:ascii="宋体" w:hAnsi="宋体"/>
                <w:b/>
                <w:sz w:val="24"/>
              </w:rPr>
              <w:t>账号： 239012697057</w:t>
            </w:r>
          </w:p>
          <w:p>
            <w:pPr>
              <w:spacing w:line="360" w:lineRule="auto"/>
              <w:ind w:firstLine="525" w:firstLineChars="218"/>
              <w:rPr>
                <w:rFonts w:hint="eastAsia" w:ascii="宋体" w:hAnsi="宋体"/>
                <w:b/>
                <w:sz w:val="24"/>
              </w:rPr>
            </w:pPr>
            <w:r>
              <w:rPr>
                <w:rFonts w:hint="eastAsia" w:ascii="宋体" w:hAnsi="宋体"/>
                <w:b/>
                <w:sz w:val="24"/>
              </w:rPr>
              <w:t>开户银行：中国银行济南市东支行</w:t>
            </w:r>
          </w:p>
          <w:p>
            <w:pPr>
              <w:spacing w:line="360" w:lineRule="auto"/>
              <w:ind w:firstLine="523" w:firstLineChars="218"/>
              <w:rPr>
                <w:rFonts w:ascii="宋体" w:hAnsi="宋体"/>
                <w:sz w:val="24"/>
              </w:rPr>
            </w:pPr>
            <w:r>
              <w:rPr>
                <w:rFonts w:hint="eastAsia" w:ascii="宋体" w:hAnsi="宋体"/>
                <w:sz w:val="24"/>
              </w:rPr>
              <w:t>联系电话：</w:t>
            </w:r>
            <w:r>
              <w:rPr>
                <w:rFonts w:ascii="宋体" w:hAnsi="宋体"/>
                <w:sz w:val="24"/>
              </w:rPr>
              <w:t>0531-82667500</w:t>
            </w:r>
            <w:r>
              <w:rPr>
                <w:rFonts w:hint="eastAsia" w:ascii="宋体" w:hAnsi="宋体"/>
                <w:sz w:val="24"/>
              </w:rPr>
              <w:t>（财务）</w:t>
            </w:r>
          </w:p>
          <w:p>
            <w:pPr>
              <w:spacing w:line="360" w:lineRule="auto"/>
              <w:ind w:firstLine="523" w:firstLineChars="218"/>
              <w:rPr>
                <w:rFonts w:ascii="宋体" w:hAnsi="宋体"/>
                <w:sz w:val="24"/>
              </w:rPr>
            </w:pPr>
            <w:r>
              <w:rPr>
                <w:rFonts w:hint="eastAsia" w:ascii="宋体" w:hAnsi="宋体"/>
                <w:sz w:val="24"/>
              </w:rPr>
              <w:t>投标保证金缴纳形式：网银转账或电汇。</w:t>
            </w:r>
          </w:p>
          <w:p>
            <w:pPr>
              <w:spacing w:line="360" w:lineRule="auto"/>
              <w:ind w:firstLine="523" w:firstLineChars="218"/>
              <w:rPr>
                <w:rFonts w:ascii="宋体" w:hAnsi="宋体"/>
                <w:sz w:val="24"/>
              </w:rPr>
            </w:pPr>
            <w:r>
              <w:rPr>
                <w:rFonts w:hint="eastAsia" w:ascii="宋体" w:hAnsi="宋体"/>
                <w:sz w:val="24"/>
              </w:rPr>
              <w:t>备注：</w:t>
            </w:r>
          </w:p>
          <w:p>
            <w:pPr>
              <w:spacing w:line="360" w:lineRule="auto"/>
              <w:ind w:firstLine="523" w:firstLineChars="218"/>
              <w:rPr>
                <w:rFonts w:ascii="宋体" w:hAnsi="宋体"/>
                <w:sz w:val="24"/>
              </w:rPr>
            </w:pPr>
            <w:r>
              <w:rPr>
                <w:rFonts w:ascii="宋体" w:hAnsi="宋体"/>
                <w:sz w:val="24"/>
              </w:rPr>
              <w:t>1</w:t>
            </w:r>
            <w:r>
              <w:rPr>
                <w:rFonts w:hint="eastAsia" w:ascii="宋体" w:hAnsi="宋体"/>
                <w:sz w:val="24"/>
              </w:rPr>
              <w:t>、保证金到账时间：2019年7月17日09:00到账，投标保证金到账截止时间为投标截止时间，逾期到账的，被视为“未按规定交纳投标保证金”，其投标文件将按无效投标处理；</w:t>
            </w:r>
          </w:p>
          <w:p>
            <w:pPr>
              <w:spacing w:line="360" w:lineRule="auto"/>
              <w:ind w:firstLine="523" w:firstLineChars="218"/>
              <w:rPr>
                <w:rFonts w:ascii="宋体" w:hAnsi="宋体"/>
                <w:sz w:val="24"/>
              </w:rPr>
            </w:pPr>
            <w:r>
              <w:rPr>
                <w:rFonts w:ascii="宋体" w:hAnsi="宋体"/>
                <w:sz w:val="24"/>
              </w:rPr>
              <w:t>2</w:t>
            </w:r>
            <w:r>
              <w:rPr>
                <w:rFonts w:hint="eastAsia" w:ascii="宋体" w:hAnsi="宋体"/>
                <w:sz w:val="24"/>
              </w:rPr>
              <w:t>、投标保证金必须从投标单位帐户转出，否则无效；未按上述规定递交投标保证金的供应商，其投标文件将按无效投标处理；</w:t>
            </w:r>
          </w:p>
          <w:p>
            <w:pPr>
              <w:spacing w:line="360" w:lineRule="auto"/>
              <w:ind w:firstLine="523" w:firstLineChars="218"/>
              <w:rPr>
                <w:rFonts w:ascii="宋体" w:hAnsi="宋体"/>
                <w:sz w:val="24"/>
              </w:rPr>
            </w:pPr>
            <w:r>
              <w:rPr>
                <w:rFonts w:ascii="宋体" w:hAnsi="宋体"/>
                <w:sz w:val="24"/>
              </w:rPr>
              <w:t>3</w:t>
            </w:r>
            <w:r>
              <w:rPr>
                <w:rFonts w:hint="eastAsia" w:ascii="宋体" w:hAnsi="宋体"/>
                <w:sz w:val="24"/>
              </w:rPr>
              <w:t>、供应商应充分考虑银行信息交换时间，由此带来的保证金不能按时到账的责任由供应商自行承担。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ascii="宋体" w:hAnsi="宋体"/>
                <w:sz w:val="24"/>
              </w:rPr>
            </w:pPr>
            <w:r>
              <w:rPr>
                <w:rFonts w:ascii="宋体" w:hAnsi="宋体"/>
                <w:sz w:val="24"/>
              </w:rPr>
              <w:t>1</w:t>
            </w:r>
            <w:r>
              <w:rPr>
                <w:rFonts w:hint="eastAsia" w:ascii="宋体" w:hAnsi="宋体"/>
                <w:sz w:val="24"/>
              </w:rPr>
              <w:t>1</w:t>
            </w:r>
          </w:p>
        </w:tc>
        <w:tc>
          <w:tcPr>
            <w:tcW w:w="1504" w:type="dxa"/>
            <w:vAlign w:val="center"/>
          </w:tcPr>
          <w:p>
            <w:pPr>
              <w:spacing w:line="360" w:lineRule="auto"/>
              <w:jc w:val="center"/>
              <w:rPr>
                <w:rFonts w:ascii="宋体" w:hAnsi="宋体"/>
                <w:sz w:val="24"/>
              </w:rPr>
            </w:pPr>
            <w:r>
              <w:rPr>
                <w:rFonts w:hint="eastAsia" w:ascii="宋体" w:hAnsi="宋体"/>
                <w:sz w:val="24"/>
              </w:rPr>
              <w:t>投标有效期</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自投标截止之日起</w:t>
            </w:r>
            <w:r>
              <w:rPr>
                <w:rFonts w:ascii="宋体" w:hAnsi="宋体"/>
                <w:sz w:val="24"/>
                <w:u w:val="single"/>
              </w:rPr>
              <w:t>90</w:t>
            </w:r>
            <w:r>
              <w:rPr>
                <w:rFonts w:hint="eastAsia" w:ascii="宋体" w:hAnsi="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cantSplit/>
          <w:trHeight w:val="649" w:hRule="atLeast"/>
          <w:jc w:val="center"/>
        </w:trPr>
        <w:tc>
          <w:tcPr>
            <w:tcW w:w="619" w:type="dxa"/>
            <w:vAlign w:val="center"/>
          </w:tcPr>
          <w:p>
            <w:pPr>
              <w:spacing w:line="360" w:lineRule="auto"/>
              <w:jc w:val="center"/>
              <w:rPr>
                <w:rFonts w:hint="eastAsia" w:ascii="宋体" w:hAnsi="宋体"/>
                <w:sz w:val="24"/>
              </w:rPr>
            </w:pPr>
            <w:r>
              <w:rPr>
                <w:rFonts w:ascii="宋体" w:hAnsi="宋体"/>
                <w:sz w:val="24"/>
              </w:rPr>
              <w:t>1</w:t>
            </w:r>
            <w:r>
              <w:rPr>
                <w:rFonts w:hint="eastAsia" w:ascii="宋体" w:hAnsi="宋体"/>
                <w:sz w:val="24"/>
              </w:rPr>
              <w:t>2</w:t>
            </w:r>
          </w:p>
        </w:tc>
        <w:tc>
          <w:tcPr>
            <w:tcW w:w="1504" w:type="dxa"/>
            <w:vAlign w:val="center"/>
          </w:tcPr>
          <w:p>
            <w:pPr>
              <w:spacing w:line="360" w:lineRule="auto"/>
              <w:jc w:val="center"/>
              <w:rPr>
                <w:rFonts w:ascii="宋体" w:hAnsi="宋体"/>
                <w:sz w:val="24"/>
              </w:rPr>
            </w:pPr>
            <w:r>
              <w:rPr>
                <w:rFonts w:hint="eastAsia" w:ascii="宋体" w:hAnsi="宋体"/>
                <w:sz w:val="24"/>
              </w:rPr>
              <w:t>投标文件递交截止时间、投标文件递交地点</w:t>
            </w:r>
          </w:p>
        </w:tc>
        <w:tc>
          <w:tcPr>
            <w:tcW w:w="7895" w:type="dxa"/>
            <w:vAlign w:val="center"/>
          </w:tcPr>
          <w:p>
            <w:pPr>
              <w:spacing w:line="360" w:lineRule="auto"/>
              <w:ind w:firstLine="525" w:firstLineChars="218"/>
              <w:rPr>
                <w:rFonts w:ascii="宋体" w:hAnsi="宋体"/>
                <w:b/>
                <w:sz w:val="24"/>
              </w:rPr>
            </w:pPr>
            <w:r>
              <w:rPr>
                <w:rFonts w:hint="eastAsia" w:ascii="宋体" w:hAnsi="宋体"/>
                <w:b/>
                <w:sz w:val="24"/>
              </w:rPr>
              <w:t>投标文件递交截止时间：2019年7 月17日09 时00分</w:t>
            </w:r>
          </w:p>
          <w:p>
            <w:pPr>
              <w:spacing w:line="360" w:lineRule="auto"/>
              <w:ind w:firstLine="525" w:firstLineChars="218"/>
              <w:rPr>
                <w:rFonts w:ascii="宋体" w:hAnsi="宋体"/>
                <w:sz w:val="24"/>
              </w:rPr>
            </w:pPr>
            <w:r>
              <w:rPr>
                <w:rFonts w:hint="eastAsia" w:ascii="宋体" w:hAnsi="宋体"/>
                <w:b/>
                <w:sz w:val="24"/>
              </w:rPr>
              <w:t>投标文件递交地点：济南市北园大街</w:t>
            </w:r>
            <w:r>
              <w:rPr>
                <w:rFonts w:ascii="宋体" w:hAnsi="宋体"/>
                <w:b/>
                <w:sz w:val="24"/>
              </w:rPr>
              <w:t>247</w:t>
            </w:r>
            <w:r>
              <w:rPr>
                <w:rFonts w:hint="eastAsia" w:ascii="宋体" w:hAnsi="宋体"/>
                <w:b/>
                <w:sz w:val="24"/>
              </w:rPr>
              <w:t>号</w:t>
            </w:r>
            <w:r>
              <w:rPr>
                <w:rFonts w:hint="eastAsia" w:ascii="宋体" w:hAnsi="宋体" w:cs="宋体"/>
                <w:b/>
                <w:bCs/>
                <w:sz w:val="24"/>
              </w:rPr>
              <w:t>山东大学第二医院办公楼一楼</w:t>
            </w:r>
            <w:r>
              <w:rPr>
                <w:rFonts w:hint="eastAsia" w:ascii="宋体" w:hAnsi="宋体"/>
                <w:b/>
                <w:sz w:val="24"/>
              </w:rPr>
              <w:t>会议室（会议室如有变动临时通知）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13</w:t>
            </w:r>
          </w:p>
        </w:tc>
        <w:tc>
          <w:tcPr>
            <w:tcW w:w="1504" w:type="dxa"/>
            <w:vAlign w:val="center"/>
          </w:tcPr>
          <w:p>
            <w:pPr>
              <w:spacing w:line="360" w:lineRule="auto"/>
              <w:jc w:val="center"/>
              <w:rPr>
                <w:rFonts w:ascii="宋体" w:hAnsi="宋体"/>
                <w:sz w:val="24"/>
              </w:rPr>
            </w:pPr>
            <w:r>
              <w:rPr>
                <w:rFonts w:hint="eastAsia" w:ascii="宋体" w:hAnsi="宋体"/>
                <w:sz w:val="24"/>
              </w:rPr>
              <w:t>开标时间、开标地点</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开标时间：同投标文件递交截止时间；</w:t>
            </w:r>
          </w:p>
          <w:p>
            <w:pPr>
              <w:spacing w:line="360" w:lineRule="auto"/>
              <w:ind w:firstLine="523" w:firstLineChars="218"/>
              <w:rPr>
                <w:rFonts w:ascii="宋体" w:hAnsi="宋体"/>
                <w:sz w:val="24"/>
              </w:rPr>
            </w:pPr>
            <w:r>
              <w:rPr>
                <w:rFonts w:hint="eastAsia" w:ascii="宋体" w:hAnsi="宋体"/>
                <w:sz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宋体" w:hAnsi="宋体"/>
                <w:sz w:val="24"/>
              </w:rPr>
            </w:pPr>
            <w:r>
              <w:rPr>
                <w:rFonts w:ascii="宋体" w:hAnsi="宋体"/>
                <w:sz w:val="24"/>
              </w:rPr>
              <w:t>1</w:t>
            </w:r>
            <w:r>
              <w:rPr>
                <w:rFonts w:hint="eastAsia" w:ascii="宋体" w:hAnsi="宋体"/>
                <w:sz w:val="24"/>
              </w:rPr>
              <w:t>4</w:t>
            </w:r>
          </w:p>
        </w:tc>
        <w:tc>
          <w:tcPr>
            <w:tcW w:w="1504" w:type="dxa"/>
            <w:vAlign w:val="center"/>
          </w:tcPr>
          <w:p>
            <w:pPr>
              <w:spacing w:line="360" w:lineRule="auto"/>
              <w:jc w:val="center"/>
              <w:rPr>
                <w:rFonts w:ascii="宋体" w:hAnsi="宋体"/>
                <w:sz w:val="24"/>
              </w:rPr>
            </w:pPr>
            <w:r>
              <w:rPr>
                <w:rFonts w:hint="eastAsia" w:ascii="宋体" w:hAnsi="宋体"/>
                <w:sz w:val="24"/>
              </w:rPr>
              <w:t>用于评分的证明材料</w:t>
            </w:r>
          </w:p>
          <w:p>
            <w:pPr>
              <w:spacing w:line="360" w:lineRule="auto"/>
              <w:ind w:firstLine="523" w:firstLineChars="218"/>
              <w:jc w:val="center"/>
              <w:rPr>
                <w:rFonts w:ascii="宋体" w:hAnsi="宋体"/>
                <w:sz w:val="24"/>
              </w:rPr>
            </w:pPr>
          </w:p>
        </w:tc>
        <w:tc>
          <w:tcPr>
            <w:tcW w:w="7895" w:type="dxa"/>
            <w:vAlign w:val="center"/>
          </w:tcPr>
          <w:p>
            <w:pPr>
              <w:spacing w:line="360" w:lineRule="auto"/>
              <w:ind w:firstLine="523" w:firstLineChars="218"/>
              <w:rPr>
                <w:rFonts w:ascii="宋体" w:hAnsi="宋体"/>
                <w:sz w:val="24"/>
              </w:rPr>
            </w:pPr>
            <w:r>
              <w:rPr>
                <w:rFonts w:hint="eastAsia" w:ascii="宋体" w:hAnsi="宋体"/>
                <w:sz w:val="24"/>
              </w:rPr>
              <w:t>1)小型、微型企业产品价格需扣除的，须提供：</w:t>
            </w:r>
          </w:p>
          <w:p>
            <w:pPr>
              <w:spacing w:line="360" w:lineRule="auto"/>
              <w:ind w:firstLine="523" w:firstLineChars="218"/>
              <w:rPr>
                <w:rFonts w:ascii="宋体" w:hAnsi="宋体"/>
                <w:sz w:val="24"/>
              </w:rPr>
            </w:pPr>
            <w:r>
              <w:rPr>
                <w:rFonts w:hint="eastAsia" w:ascii="宋体" w:hAnsi="宋体"/>
                <w:sz w:val="24"/>
              </w:rPr>
              <w:t>①《中小企业声明函》、《从业人员声明函》；</w:t>
            </w:r>
          </w:p>
          <w:p>
            <w:pPr>
              <w:spacing w:line="360" w:lineRule="auto"/>
              <w:ind w:firstLine="523" w:firstLineChars="218"/>
              <w:rPr>
                <w:rFonts w:ascii="宋体" w:hAnsi="宋体"/>
                <w:sz w:val="24"/>
              </w:rPr>
            </w:pPr>
            <w:r>
              <w:rPr>
                <w:rFonts w:hint="eastAsia" w:ascii="宋体" w:hAnsi="宋体"/>
                <w:sz w:val="24"/>
              </w:rPr>
              <w:t>②如供应商为监狱企业，须提供省级以上监狱管理局、戒毒管理局（含新疆生产建设兵团）出具的属于监狱企业的证明文件复印件。</w:t>
            </w:r>
          </w:p>
          <w:p>
            <w:pPr>
              <w:spacing w:line="360" w:lineRule="auto"/>
              <w:ind w:firstLine="523" w:firstLineChars="218"/>
              <w:rPr>
                <w:rFonts w:ascii="宋体" w:hAnsi="宋体"/>
                <w:sz w:val="24"/>
              </w:rPr>
            </w:pPr>
            <w:r>
              <w:rPr>
                <w:rFonts w:hint="eastAsia" w:ascii="宋体" w:hAnsi="宋体"/>
                <w:sz w:val="24"/>
              </w:rPr>
              <w:t>③如供应商为残疾人福利性单位，须提供《残疾人福利性单位声明函》。</w:t>
            </w:r>
          </w:p>
          <w:p>
            <w:pPr>
              <w:spacing w:line="360" w:lineRule="auto"/>
              <w:ind w:firstLine="523" w:firstLineChars="218"/>
              <w:rPr>
                <w:rFonts w:ascii="宋体" w:hAnsi="宋体"/>
                <w:sz w:val="24"/>
              </w:rPr>
            </w:pPr>
            <w:r>
              <w:rPr>
                <w:rFonts w:hint="eastAsia" w:ascii="宋体" w:hAnsi="宋体"/>
                <w:sz w:val="24"/>
              </w:rPr>
              <w:t>2)提供评分办法涉及的业绩合同复印件（合同签字盖章页加盖供应商公章，被解约的合同不得填报）。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ascii="宋体" w:hAnsi="宋体"/>
                <w:sz w:val="24"/>
              </w:rPr>
            </w:pPr>
          </w:p>
        </w:tc>
        <w:tc>
          <w:tcPr>
            <w:tcW w:w="1504" w:type="dxa"/>
            <w:vAlign w:val="center"/>
          </w:tcPr>
          <w:p>
            <w:pPr>
              <w:spacing w:line="360" w:lineRule="auto"/>
              <w:jc w:val="center"/>
              <w:rPr>
                <w:rFonts w:ascii="宋体" w:hAnsi="宋体"/>
                <w:sz w:val="24"/>
              </w:rPr>
            </w:pPr>
            <w:r>
              <w:rPr>
                <w:rFonts w:hint="eastAsia" w:ascii="宋体" w:hAnsi="宋体"/>
                <w:b/>
                <w:sz w:val="24"/>
              </w:rPr>
              <w:t>核心产品</w:t>
            </w:r>
          </w:p>
        </w:tc>
        <w:tc>
          <w:tcPr>
            <w:tcW w:w="7895" w:type="dxa"/>
            <w:vAlign w:val="center"/>
          </w:tcPr>
          <w:p>
            <w:pPr>
              <w:spacing w:line="360" w:lineRule="auto"/>
              <w:ind w:firstLine="482" w:firstLineChars="200"/>
              <w:rPr>
                <w:rFonts w:ascii="宋体" w:hAnsi="宋体"/>
                <w:b/>
                <w:sz w:val="24"/>
              </w:rPr>
            </w:pPr>
            <w:r>
              <w:rPr>
                <w:rFonts w:hint="eastAsia" w:ascii="宋体" w:hAnsi="宋体"/>
                <w:b/>
                <w:sz w:val="24"/>
              </w:rPr>
              <w:t>本项目非单一产品采购（如有），核心产品已在招标文件第四章《采购内容及项目要求》中列明，多家供应商提供的核心产品品牌均相同的，属投报相同品牌产品，按下列规定处理：</w:t>
            </w:r>
          </w:p>
          <w:p>
            <w:pPr>
              <w:spacing w:line="360" w:lineRule="auto"/>
              <w:ind w:firstLine="525" w:firstLineChars="218"/>
              <w:rPr>
                <w:rFonts w:ascii="宋体" w:hAnsi="宋体"/>
                <w:sz w:val="24"/>
              </w:rPr>
            </w:pPr>
            <w:r>
              <w:rPr>
                <w:rFonts w:hint="eastAsia" w:ascii="宋体" w:hAnsi="宋体"/>
                <w:b/>
                <w:sz w:val="24"/>
              </w:rPr>
              <w:t>提供相同品牌产品且通过资格审查、符合性审查的不同供应商参加同一合同项下投标的，按一家供应商计算，评审后得分最高的同品牌供应商获得中标人推荐资格；评审得分相同的，由采购人委托评标委员会选择投标报价低的方式确定一个供应商获得中标人推荐资格，其他同品牌供应商不作为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宋体" w:hAnsi="宋体"/>
                <w:bCs/>
                <w:sz w:val="24"/>
              </w:rPr>
            </w:pPr>
            <w:r>
              <w:rPr>
                <w:rFonts w:ascii="宋体" w:hAnsi="宋体"/>
                <w:bCs/>
                <w:sz w:val="24"/>
              </w:rPr>
              <w:t>1</w:t>
            </w:r>
            <w:r>
              <w:rPr>
                <w:rFonts w:hint="eastAsia" w:ascii="宋体" w:hAnsi="宋体"/>
                <w:bCs/>
                <w:sz w:val="24"/>
              </w:rPr>
              <w:t>5</w:t>
            </w:r>
          </w:p>
        </w:tc>
        <w:tc>
          <w:tcPr>
            <w:tcW w:w="1504" w:type="dxa"/>
            <w:vAlign w:val="center"/>
          </w:tcPr>
          <w:p>
            <w:pPr>
              <w:spacing w:line="360" w:lineRule="auto"/>
              <w:jc w:val="center"/>
              <w:rPr>
                <w:rFonts w:ascii="宋体" w:hAnsi="宋体"/>
                <w:sz w:val="24"/>
              </w:rPr>
            </w:pPr>
            <w:r>
              <w:rPr>
                <w:rFonts w:hint="eastAsia" w:ascii="宋体" w:hAnsi="宋体"/>
                <w:sz w:val="24"/>
              </w:rPr>
              <w:t>评标委员会组成</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根据本项目的特点组建评标委员会，其成员由有关技术、经济方面专家和采购人代表等五人或以上单数组成，其中经济、技术等方面的专家不得少于成员总数的三分之二。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bCs/>
                <w:sz w:val="24"/>
              </w:rPr>
            </w:pPr>
            <w:r>
              <w:rPr>
                <w:rFonts w:hint="eastAsia" w:ascii="宋体" w:hAnsi="宋体"/>
                <w:bCs/>
                <w:sz w:val="24"/>
              </w:rPr>
              <w:t>16</w:t>
            </w:r>
          </w:p>
        </w:tc>
        <w:tc>
          <w:tcPr>
            <w:tcW w:w="1504" w:type="dxa"/>
            <w:vAlign w:val="center"/>
          </w:tcPr>
          <w:p>
            <w:pPr>
              <w:spacing w:line="360" w:lineRule="auto"/>
              <w:jc w:val="center"/>
              <w:rPr>
                <w:rFonts w:ascii="宋体" w:hAnsi="宋体"/>
                <w:sz w:val="24"/>
              </w:rPr>
            </w:pPr>
            <w:r>
              <w:rPr>
                <w:rFonts w:hint="eastAsia" w:ascii="宋体" w:hAnsi="宋体"/>
                <w:sz w:val="24"/>
              </w:rPr>
              <w:t>评标方法</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本次评标采用综合评分法，评标委员会成员根据第三章“评分办法”进行打分，按照得分由高到低顺序对各供应商进行排序，提出书面评标报告，依法确定中标人。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17</w:t>
            </w:r>
          </w:p>
        </w:tc>
        <w:tc>
          <w:tcPr>
            <w:tcW w:w="1504" w:type="dxa"/>
            <w:vAlign w:val="center"/>
          </w:tcPr>
          <w:p>
            <w:pPr>
              <w:spacing w:line="360" w:lineRule="auto"/>
              <w:jc w:val="center"/>
              <w:rPr>
                <w:rFonts w:ascii="宋体" w:hAnsi="宋体" w:cs="宋体"/>
                <w:kern w:val="0"/>
                <w:sz w:val="24"/>
              </w:rPr>
            </w:pPr>
            <w:r>
              <w:rPr>
                <w:rFonts w:hint="eastAsia" w:ascii="宋体" w:hAnsi="宋体" w:cs="宋体"/>
                <w:kern w:val="0"/>
                <w:sz w:val="24"/>
              </w:rPr>
              <w:t>中标服务费</w:t>
            </w:r>
          </w:p>
        </w:tc>
        <w:tc>
          <w:tcPr>
            <w:tcW w:w="7895" w:type="dxa"/>
            <w:vAlign w:val="center"/>
          </w:tcPr>
          <w:p>
            <w:pPr>
              <w:pStyle w:val="2"/>
              <w:spacing w:line="360" w:lineRule="auto"/>
              <w:ind w:firstLine="480" w:firstLineChars="200"/>
              <w:rPr>
                <w:rFonts w:ascii="宋体" w:hAnsi="宋体"/>
                <w:color w:val="FF0000"/>
                <w:lang w:val="en-US" w:eastAsia="zh-CN"/>
              </w:rPr>
            </w:pPr>
            <w:r>
              <w:rPr>
                <w:rFonts w:hint="eastAsia" w:ascii="宋体" w:hAnsi="宋体"/>
                <w:kern w:val="2"/>
                <w:szCs w:val="24"/>
                <w:lang w:val="en-US" w:eastAsia="zh-CN"/>
              </w:rPr>
              <w:t>中标人按国家发展改革委员会办公厅发改办[2003]857号文、国家发展计划委员会计价格[2002]1980号文件规定的“货物类”收费标准下浮52%向代理机构交纳。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18</w:t>
            </w:r>
          </w:p>
        </w:tc>
        <w:tc>
          <w:tcPr>
            <w:tcW w:w="1504" w:type="dxa"/>
            <w:vAlign w:val="center"/>
          </w:tcPr>
          <w:p>
            <w:pPr>
              <w:spacing w:line="360" w:lineRule="auto"/>
              <w:jc w:val="center"/>
              <w:rPr>
                <w:rFonts w:ascii="宋体" w:hAnsi="宋体"/>
                <w:b/>
                <w:sz w:val="24"/>
              </w:rPr>
            </w:pPr>
            <w:r>
              <w:rPr>
                <w:rFonts w:hint="eastAsia" w:ascii="宋体" w:hAnsi="宋体"/>
                <w:b/>
                <w:sz w:val="24"/>
              </w:rPr>
              <w:t>交货（交付）</w:t>
            </w:r>
          </w:p>
        </w:tc>
        <w:tc>
          <w:tcPr>
            <w:tcW w:w="7895" w:type="dxa"/>
            <w:vAlign w:val="center"/>
          </w:tcPr>
          <w:p>
            <w:pPr>
              <w:spacing w:line="360" w:lineRule="auto"/>
              <w:ind w:firstLine="523" w:firstLineChars="218"/>
              <w:rPr>
                <w:rFonts w:ascii="宋体" w:hAnsi="宋体"/>
                <w:sz w:val="24"/>
              </w:rPr>
            </w:pPr>
            <w:r>
              <w:rPr>
                <w:rFonts w:hint="eastAsia" w:ascii="宋体" w:hAnsi="宋体"/>
                <w:sz w:val="24"/>
              </w:rPr>
              <w:t>交货（交付）期：</w:t>
            </w:r>
            <w:r>
              <w:rPr>
                <w:rFonts w:hint="eastAsia" w:ascii="宋体" w:hAnsi="宋体"/>
                <w:b/>
                <w:sz w:val="24"/>
              </w:rPr>
              <w:t>签订合同后60日内交货并完成所有设备安装、调试等工作，且检测验收合格。供应商可自报最快交货时间。</w:t>
            </w:r>
          </w:p>
          <w:p>
            <w:pPr>
              <w:spacing w:line="360" w:lineRule="auto"/>
              <w:ind w:firstLine="523" w:firstLineChars="218"/>
              <w:rPr>
                <w:rFonts w:hint="eastAsia" w:ascii="宋体" w:hAnsi="宋体"/>
                <w:b/>
                <w:sz w:val="24"/>
              </w:rPr>
            </w:pPr>
            <w:r>
              <w:rPr>
                <w:rFonts w:hint="eastAsia" w:ascii="宋体" w:hAnsi="宋体"/>
                <w:sz w:val="24"/>
              </w:rPr>
              <w:t>交货（交付）地点：所有产品的交货（交付）地点均由采购人指定（项目现场：山东省境内）。</w:t>
            </w:r>
          </w:p>
          <w:p>
            <w:pPr>
              <w:spacing w:line="360" w:lineRule="auto"/>
              <w:ind w:firstLine="523" w:firstLineChars="218"/>
              <w:rPr>
                <w:rFonts w:hint="eastAsia" w:ascii="宋体" w:hAnsi="宋体"/>
                <w:sz w:val="24"/>
              </w:rPr>
            </w:pPr>
            <w:r>
              <w:rPr>
                <w:rFonts w:hint="eastAsia" w:ascii="宋体" w:hAnsi="宋体"/>
                <w:sz w:val="24"/>
              </w:rPr>
              <w:t>内陆运输、保险及其伴随服务</w:t>
            </w:r>
          </w:p>
          <w:p>
            <w:pPr>
              <w:spacing w:line="360" w:lineRule="auto"/>
              <w:ind w:firstLine="523" w:firstLineChars="218"/>
              <w:rPr>
                <w:rFonts w:ascii="宋体" w:hAnsi="宋体"/>
                <w:b/>
                <w:sz w:val="24"/>
              </w:rPr>
            </w:pPr>
            <w:r>
              <w:rPr>
                <w:rFonts w:hint="eastAsia" w:ascii="宋体" w:hAnsi="宋体"/>
                <w:sz w:val="24"/>
              </w:rPr>
              <w:t>投标人应提供：货物包装数量以及每件包装箱的估计的尺寸和运输重量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76" w:hRule="atLeast"/>
          <w:jc w:val="center"/>
        </w:trPr>
        <w:tc>
          <w:tcPr>
            <w:tcW w:w="619" w:type="dxa"/>
            <w:vAlign w:val="center"/>
          </w:tcPr>
          <w:p>
            <w:pPr>
              <w:spacing w:line="360" w:lineRule="auto"/>
              <w:jc w:val="center"/>
              <w:rPr>
                <w:rFonts w:ascii="宋体" w:hAnsi="宋体"/>
                <w:sz w:val="24"/>
              </w:rPr>
            </w:pPr>
            <w:r>
              <w:rPr>
                <w:rFonts w:hint="eastAsia" w:ascii="宋体" w:hAnsi="宋体"/>
                <w:sz w:val="24"/>
              </w:rPr>
              <w:t>19</w:t>
            </w:r>
          </w:p>
        </w:tc>
        <w:tc>
          <w:tcPr>
            <w:tcW w:w="1504" w:type="dxa"/>
            <w:vAlign w:val="center"/>
          </w:tcPr>
          <w:p>
            <w:pPr>
              <w:spacing w:line="360" w:lineRule="auto"/>
              <w:jc w:val="center"/>
              <w:rPr>
                <w:rFonts w:ascii="宋体" w:hAnsi="宋体"/>
                <w:b/>
                <w:sz w:val="24"/>
              </w:rPr>
            </w:pPr>
            <w:r>
              <w:rPr>
                <w:rFonts w:hint="eastAsia" w:ascii="宋体" w:hAnsi="宋体"/>
                <w:b/>
                <w:sz w:val="24"/>
              </w:rPr>
              <w:t>质量保证期及维修响应时间</w:t>
            </w:r>
          </w:p>
        </w:tc>
        <w:tc>
          <w:tcPr>
            <w:tcW w:w="7895" w:type="dxa"/>
            <w:vAlign w:val="center"/>
          </w:tcPr>
          <w:p>
            <w:pPr>
              <w:spacing w:line="360" w:lineRule="auto"/>
              <w:rPr>
                <w:rFonts w:hint="eastAsia" w:ascii="宋体" w:hAnsi="宋体"/>
                <w:b/>
                <w:sz w:val="24"/>
              </w:rPr>
            </w:pPr>
            <w:r>
              <w:rPr>
                <w:rFonts w:hint="eastAsia" w:ascii="宋体" w:hAnsi="宋体"/>
                <w:b/>
                <w:sz w:val="24"/>
              </w:rPr>
              <w:t>1、设备验收合格之日起≥2年，可竞报最长质保年限。供货厂商在接到用户要求对所购仪器设备进行维修时，应在2小时之内给予答复，并派出维修人员在24小时内到达用户现场进行维修服务。</w:t>
            </w:r>
          </w:p>
          <w:p>
            <w:pPr>
              <w:pStyle w:val="2"/>
              <w:spacing w:line="360" w:lineRule="auto"/>
              <w:rPr>
                <w:rFonts w:ascii="宋体" w:hAnsi="宋体"/>
                <w:b/>
                <w:kern w:val="2"/>
                <w:szCs w:val="24"/>
                <w:lang w:val="en-US" w:eastAsia="zh-CN"/>
              </w:rPr>
            </w:pPr>
            <w:r>
              <w:rPr>
                <w:rFonts w:hint="eastAsia" w:ascii="宋体" w:hAnsi="宋体"/>
                <w:b/>
                <w:kern w:val="2"/>
                <w:szCs w:val="24"/>
                <w:lang w:val="en-US" w:eastAsia="zh-CN"/>
              </w:rPr>
              <w:t>2、维修与更换缺陷部件的期限：投标人在接到招标人电话或传真通知后必须在2小时内迅速响应，如需到达现场的必须在24小时内到达现场。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16"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20</w:t>
            </w:r>
          </w:p>
        </w:tc>
        <w:tc>
          <w:tcPr>
            <w:tcW w:w="1504" w:type="dxa"/>
            <w:tcBorders>
              <w:right w:val="single" w:color="auto" w:sz="4" w:space="0"/>
            </w:tcBorders>
            <w:vAlign w:val="center"/>
          </w:tcPr>
          <w:p>
            <w:pPr>
              <w:spacing w:line="360" w:lineRule="auto"/>
              <w:jc w:val="center"/>
              <w:rPr>
                <w:rFonts w:ascii="宋体" w:hAnsi="宋体" w:cs="宋体"/>
                <w:b/>
                <w:kern w:val="0"/>
                <w:sz w:val="24"/>
              </w:rPr>
            </w:pPr>
            <w:r>
              <w:rPr>
                <w:rFonts w:hint="eastAsia" w:ascii="宋体" w:hAnsi="宋体" w:cs="宋体"/>
                <w:b/>
                <w:kern w:val="0"/>
                <w:sz w:val="24"/>
              </w:rPr>
              <w:t>付款方式</w:t>
            </w:r>
          </w:p>
        </w:tc>
        <w:tc>
          <w:tcPr>
            <w:tcW w:w="7895" w:type="dxa"/>
            <w:tcBorders>
              <w:left w:val="single" w:color="auto" w:sz="4" w:space="0"/>
            </w:tcBorders>
            <w:vAlign w:val="center"/>
          </w:tcPr>
          <w:p>
            <w:pPr>
              <w:spacing w:line="480" w:lineRule="exact"/>
              <w:rPr>
                <w:rFonts w:hint="eastAsia" w:ascii="宋体" w:hAnsi="宋体"/>
                <w:b/>
                <w:sz w:val="24"/>
              </w:rPr>
            </w:pPr>
            <w:r>
              <w:rPr>
                <w:rFonts w:hint="eastAsia" w:ascii="宋体" w:hAnsi="宋体"/>
                <w:b/>
                <w:sz w:val="24"/>
              </w:rPr>
              <w:t>付款方法和条件为：</w:t>
            </w:r>
          </w:p>
          <w:p>
            <w:pPr>
              <w:spacing w:line="480" w:lineRule="exact"/>
              <w:ind w:firstLine="482" w:firstLineChars="200"/>
              <w:rPr>
                <w:rFonts w:hint="eastAsia" w:ascii="宋体" w:hAnsi="宋体"/>
                <w:b/>
                <w:sz w:val="24"/>
              </w:rPr>
            </w:pPr>
            <w:r>
              <w:rPr>
                <w:rFonts w:hint="eastAsia" w:ascii="宋体" w:hAnsi="宋体"/>
                <w:b/>
                <w:sz w:val="24"/>
              </w:rPr>
              <w:t xml:space="preserve">外贸部分：双方签订合同后，由甲方支付指定外贸公司外贸总金额的90%，外贸公司向乙方开具合同总金额90%的不可撤消信用证（L/C）。验收合格签字盖章确认后一年内无质量问题，甲方支付外贸公司10%余款（T/T），外贸公司承诺甲方支付预付款一个月内提供100%发票。所有款项以开具信用证当日汇率折算人民币结算。 </w:t>
            </w:r>
          </w:p>
          <w:p>
            <w:pPr>
              <w:spacing w:line="360" w:lineRule="auto"/>
              <w:ind w:firstLine="482" w:firstLineChars="200"/>
              <w:rPr>
                <w:rFonts w:ascii="宋体" w:hAnsi="宋体"/>
                <w:b/>
                <w:sz w:val="24"/>
              </w:rPr>
            </w:pPr>
            <w:r>
              <w:rPr>
                <w:rFonts w:hint="eastAsia" w:ascii="宋体" w:hAnsi="宋体"/>
                <w:b/>
                <w:sz w:val="24"/>
              </w:rPr>
              <w:t>内贸部分：货物交付后，经双方验收合格签字且财务入账后，支付总金额90%，余款作为质量保证金，自财务入账之日起满12个月后，无质量问题，付清总金额的10%。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597"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21</w:t>
            </w:r>
          </w:p>
        </w:tc>
        <w:tc>
          <w:tcPr>
            <w:tcW w:w="1504" w:type="dxa"/>
            <w:tcBorders>
              <w:right w:val="single" w:color="auto" w:sz="4" w:space="0"/>
            </w:tcBorders>
            <w:vAlign w:val="center"/>
          </w:tcPr>
          <w:p>
            <w:pPr>
              <w:spacing w:line="360" w:lineRule="auto"/>
              <w:jc w:val="center"/>
              <w:rPr>
                <w:rFonts w:ascii="宋体" w:hAnsi="宋体" w:cs="宋体"/>
                <w:b/>
                <w:kern w:val="0"/>
                <w:sz w:val="24"/>
              </w:rPr>
            </w:pPr>
            <w:r>
              <w:rPr>
                <w:rFonts w:hint="eastAsia" w:ascii="宋体" w:hAnsi="宋体" w:cs="宋体"/>
                <w:b/>
                <w:kern w:val="0"/>
                <w:sz w:val="24"/>
              </w:rPr>
              <w:t>履约保证金</w:t>
            </w:r>
          </w:p>
        </w:tc>
        <w:tc>
          <w:tcPr>
            <w:tcW w:w="7895" w:type="dxa"/>
            <w:tcBorders>
              <w:left w:val="single" w:color="auto" w:sz="4" w:space="0"/>
            </w:tcBorders>
            <w:vAlign w:val="center"/>
          </w:tcPr>
          <w:p>
            <w:pPr>
              <w:pStyle w:val="2"/>
              <w:rPr>
                <w:rFonts w:ascii="宋体" w:hAnsi="宋体"/>
                <w:b/>
                <w:lang w:val="en-US" w:eastAsia="zh-CN"/>
              </w:rPr>
            </w:pPr>
            <w:r>
              <w:rPr>
                <w:rFonts w:hint="eastAsia" w:ascii="宋体" w:hAnsi="宋体"/>
                <w:b/>
                <w:lang w:val="en-US" w:eastAsia="zh-CN"/>
              </w:rPr>
              <w:t>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22</w:t>
            </w:r>
          </w:p>
        </w:tc>
        <w:tc>
          <w:tcPr>
            <w:tcW w:w="1504" w:type="dxa"/>
            <w:tcBorders>
              <w:right w:val="single" w:color="auto" w:sz="4" w:space="0"/>
            </w:tcBorders>
            <w:vAlign w:val="center"/>
          </w:tcPr>
          <w:p>
            <w:pPr>
              <w:spacing w:line="360" w:lineRule="auto"/>
              <w:jc w:val="center"/>
              <w:rPr>
                <w:rFonts w:ascii="宋体" w:hAnsi="宋体"/>
                <w:b/>
                <w:sz w:val="24"/>
              </w:rPr>
            </w:pPr>
            <w:r>
              <w:rPr>
                <w:rFonts w:hint="eastAsia" w:ascii="宋体" w:hAnsi="宋体"/>
                <w:b/>
                <w:sz w:val="24"/>
              </w:rPr>
              <w:t>是否统一踏勘现场</w:t>
            </w:r>
          </w:p>
        </w:tc>
        <w:tc>
          <w:tcPr>
            <w:tcW w:w="7895" w:type="dxa"/>
            <w:tcBorders>
              <w:left w:val="single" w:color="auto" w:sz="4" w:space="0"/>
            </w:tcBorders>
            <w:vAlign w:val="center"/>
          </w:tcPr>
          <w:p>
            <w:pPr>
              <w:spacing w:line="360" w:lineRule="auto"/>
              <w:rPr>
                <w:rFonts w:ascii="宋体" w:hAnsi="宋体"/>
                <w:b/>
                <w:sz w:val="24"/>
              </w:rPr>
            </w:pPr>
            <w:r>
              <w:rPr>
                <w:rFonts w:hint="eastAsia" w:ascii="宋体" w:hAnsi="宋体"/>
                <w:b/>
                <w:sz w:val="24"/>
              </w:rPr>
              <w:t>本项目不统一踏勘现场，供应商须自行踏勘现场。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767" w:hRule="atLeast"/>
          <w:jc w:val="center"/>
        </w:trPr>
        <w:tc>
          <w:tcPr>
            <w:tcW w:w="619" w:type="dxa"/>
            <w:tcBorders>
              <w:right w:val="single" w:color="auto" w:sz="4" w:space="0"/>
            </w:tcBorders>
            <w:vAlign w:val="center"/>
          </w:tcPr>
          <w:p>
            <w:pPr>
              <w:spacing w:line="360" w:lineRule="auto"/>
              <w:jc w:val="center"/>
              <w:rPr>
                <w:rFonts w:hint="eastAsia" w:ascii="宋体" w:hAnsi="宋体"/>
                <w:sz w:val="24"/>
              </w:rPr>
            </w:pPr>
            <w:r>
              <w:rPr>
                <w:rFonts w:hint="eastAsia" w:ascii="宋体" w:hAnsi="宋体"/>
                <w:sz w:val="24"/>
              </w:rPr>
              <w:t>23</w:t>
            </w:r>
          </w:p>
        </w:tc>
        <w:tc>
          <w:tcPr>
            <w:tcW w:w="1504" w:type="dxa"/>
            <w:tcBorders>
              <w:right w:val="single" w:color="auto" w:sz="4" w:space="0"/>
            </w:tcBorders>
            <w:vAlign w:val="center"/>
          </w:tcPr>
          <w:p>
            <w:pPr>
              <w:spacing w:line="360" w:lineRule="auto"/>
              <w:jc w:val="center"/>
              <w:rPr>
                <w:rFonts w:hint="eastAsia" w:ascii="宋体" w:hAnsi="宋体"/>
                <w:b/>
                <w:sz w:val="24"/>
              </w:rPr>
            </w:pPr>
            <w:r>
              <w:rPr>
                <w:rFonts w:hint="eastAsia" w:ascii="宋体" w:hAnsi="宋体"/>
                <w:b/>
                <w:sz w:val="24"/>
              </w:rPr>
              <w:t>进口产品授权</w:t>
            </w:r>
          </w:p>
        </w:tc>
        <w:tc>
          <w:tcPr>
            <w:tcW w:w="7895" w:type="dxa"/>
            <w:tcBorders>
              <w:left w:val="single" w:color="auto" w:sz="4" w:space="0"/>
            </w:tcBorders>
            <w:vAlign w:val="center"/>
          </w:tcPr>
          <w:p>
            <w:pPr>
              <w:spacing w:line="360" w:lineRule="auto"/>
              <w:jc w:val="center"/>
              <w:rPr>
                <w:rFonts w:hint="eastAsia" w:ascii="宋体" w:hAnsi="宋体"/>
                <w:b/>
                <w:sz w:val="24"/>
              </w:rPr>
            </w:pPr>
            <w:r>
              <w:rPr>
                <w:rFonts w:hint="eastAsia" w:ascii="宋体" w:hAnsi="宋体"/>
                <w:b/>
                <w:sz w:val="24"/>
              </w:rPr>
              <w:t>★投标人所投产品为进口产品的，须提供制造商授权书。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16"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24</w:t>
            </w:r>
          </w:p>
        </w:tc>
        <w:tc>
          <w:tcPr>
            <w:tcW w:w="1504" w:type="dxa"/>
            <w:tcBorders>
              <w:right w:val="single" w:color="auto" w:sz="4" w:space="0"/>
            </w:tcBorders>
            <w:vAlign w:val="center"/>
          </w:tcPr>
          <w:p>
            <w:pPr>
              <w:spacing w:line="360" w:lineRule="auto"/>
              <w:jc w:val="center"/>
              <w:rPr>
                <w:rFonts w:ascii="宋体" w:hAnsi="宋体"/>
                <w:b/>
                <w:sz w:val="24"/>
              </w:rPr>
            </w:pPr>
            <w:r>
              <w:rPr>
                <w:rFonts w:hint="eastAsia" w:ascii="宋体" w:hAnsi="宋体"/>
                <w:b/>
                <w:sz w:val="24"/>
              </w:rPr>
              <w:t>本项目预算（最高限价）</w:t>
            </w:r>
          </w:p>
        </w:tc>
        <w:tc>
          <w:tcPr>
            <w:tcW w:w="7895" w:type="dxa"/>
            <w:tcBorders>
              <w:left w:val="single" w:color="auto" w:sz="4" w:space="0"/>
            </w:tcBorders>
            <w:vAlign w:val="center"/>
          </w:tcPr>
          <w:p>
            <w:pPr>
              <w:spacing w:line="360" w:lineRule="auto"/>
              <w:ind w:firstLine="482" w:firstLineChars="200"/>
              <w:rPr>
                <w:rFonts w:hint="eastAsia" w:ascii="宋体" w:hAnsi="宋体"/>
                <w:b/>
                <w:sz w:val="24"/>
              </w:rPr>
            </w:pPr>
            <w:r>
              <w:rPr>
                <w:rFonts w:hint="eastAsia" w:ascii="宋体" w:hAnsi="宋体"/>
                <w:b/>
                <w:sz w:val="24"/>
              </w:rPr>
              <w:t>本项目预算（最高限价）：190万元人民币；</w:t>
            </w:r>
          </w:p>
          <w:p>
            <w:pPr>
              <w:spacing w:line="360" w:lineRule="auto"/>
              <w:ind w:firstLine="482" w:firstLineChars="200"/>
              <w:rPr>
                <w:rFonts w:ascii="宋体" w:hAnsi="宋体"/>
                <w:b/>
                <w:sz w:val="24"/>
              </w:rPr>
            </w:pPr>
            <w:r>
              <w:rPr>
                <w:rFonts w:hint="eastAsia" w:ascii="宋体" w:hAnsi="宋体"/>
                <w:b/>
                <w:sz w:val="24"/>
              </w:rPr>
              <w:t>供应商的投标报价高于预算价的，其投标按无效投标处理。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Ex>
        <w:trPr>
          <w:trHeight w:val="816" w:hRule="atLeast"/>
          <w:jc w:val="center"/>
        </w:trPr>
        <w:tc>
          <w:tcPr>
            <w:tcW w:w="619" w:type="dxa"/>
            <w:tcBorders>
              <w:right w:val="single" w:color="auto" w:sz="4" w:space="0"/>
            </w:tcBorders>
            <w:vAlign w:val="center"/>
          </w:tcPr>
          <w:p>
            <w:pPr>
              <w:spacing w:line="360" w:lineRule="auto"/>
              <w:jc w:val="center"/>
              <w:rPr>
                <w:rFonts w:ascii="宋体" w:hAnsi="宋体"/>
                <w:sz w:val="24"/>
              </w:rPr>
            </w:pPr>
            <w:r>
              <w:rPr>
                <w:rFonts w:hint="eastAsia" w:ascii="宋体" w:hAnsi="宋体"/>
                <w:sz w:val="24"/>
              </w:rPr>
              <w:t>25</w:t>
            </w:r>
          </w:p>
        </w:tc>
        <w:tc>
          <w:tcPr>
            <w:tcW w:w="1504" w:type="dxa"/>
            <w:tcBorders>
              <w:right w:val="single" w:color="auto" w:sz="4" w:space="0"/>
            </w:tcBorders>
            <w:vAlign w:val="center"/>
          </w:tcPr>
          <w:p>
            <w:pPr>
              <w:spacing w:line="360" w:lineRule="auto"/>
              <w:jc w:val="center"/>
              <w:rPr>
                <w:rFonts w:hint="eastAsia" w:ascii="宋体" w:hAnsi="宋体"/>
                <w:b/>
                <w:sz w:val="24"/>
              </w:rPr>
            </w:pPr>
            <w:r>
              <w:rPr>
                <w:rFonts w:hint="eastAsia" w:ascii="宋体" w:hAnsi="宋体"/>
                <w:b/>
                <w:sz w:val="24"/>
              </w:rPr>
              <w:t>其他</w:t>
            </w:r>
          </w:p>
        </w:tc>
        <w:tc>
          <w:tcPr>
            <w:tcW w:w="7895" w:type="dxa"/>
            <w:tcBorders>
              <w:left w:val="single" w:color="auto" w:sz="4" w:space="0"/>
            </w:tcBorders>
            <w:vAlign w:val="center"/>
          </w:tcPr>
          <w:p>
            <w:pPr>
              <w:spacing w:line="360" w:lineRule="auto"/>
              <w:ind w:firstLine="480" w:firstLineChars="200"/>
              <w:rPr>
                <w:rFonts w:hint="eastAsia" w:ascii="宋体" w:hAnsi="宋体"/>
                <w:b/>
                <w:sz w:val="24"/>
              </w:rPr>
            </w:pPr>
            <w:r>
              <w:rPr>
                <w:rFonts w:hint="eastAsia" w:ascii="宋体" w:hAnsi="宋体"/>
                <w:bCs/>
                <w:sz w:val="24"/>
              </w:rPr>
              <w:t>中标人不得在中标后无故增加任何费用，否则甲方有权拒绝。</w:t>
            </w:r>
          </w:p>
        </w:tc>
      </w:tr>
    </w:tbl>
    <w:p>
      <w:pPr>
        <w:pStyle w:val="12"/>
        <w:tabs>
          <w:tab w:val="left" w:pos="1146"/>
        </w:tabs>
        <w:spacing w:line="560" w:lineRule="exact"/>
        <w:ind w:left="571" w:leftChars="272" w:firstLine="2" w:firstLineChars="0"/>
        <w:jc w:val="center"/>
        <w:rPr>
          <w:rFonts w:ascii="宋体" w:hAnsi="宋体"/>
          <w:b/>
          <w:sz w:val="30"/>
          <w:szCs w:val="30"/>
        </w:rPr>
      </w:pPr>
      <w:bookmarkStart w:id="5" w:name="_Toc346372875"/>
      <w:r>
        <w:rPr>
          <w:rFonts w:ascii="宋体" w:hAnsi="宋体"/>
          <w:b/>
          <w:sz w:val="28"/>
        </w:rPr>
        <w:br w:type="page"/>
      </w:r>
      <w:bookmarkEnd w:id="5"/>
      <w:r>
        <w:rPr>
          <w:rFonts w:hint="eastAsia" w:ascii="宋体" w:hAnsi="宋体"/>
          <w:b/>
          <w:sz w:val="30"/>
          <w:szCs w:val="30"/>
        </w:rPr>
        <w:t>供应商须知正文</w:t>
      </w:r>
    </w:p>
    <w:p>
      <w:pPr>
        <w:pStyle w:val="4"/>
        <w:spacing w:before="120" w:after="120" w:line="360" w:lineRule="exact"/>
        <w:ind w:firstLine="516" w:firstLineChars="214"/>
        <w:rPr>
          <w:rFonts w:ascii="宋体" w:hAnsi="宋体" w:eastAsia="宋体"/>
          <w:sz w:val="24"/>
          <w:szCs w:val="24"/>
        </w:rPr>
      </w:pPr>
      <w:bookmarkStart w:id="6" w:name="_Toc11850778"/>
      <w:r>
        <w:rPr>
          <w:rFonts w:hint="eastAsia" w:ascii="宋体" w:hAnsi="宋体" w:eastAsia="宋体"/>
          <w:sz w:val="24"/>
          <w:szCs w:val="24"/>
        </w:rPr>
        <w:t>一、说明</w:t>
      </w:r>
      <w:bookmarkEnd w:id="6"/>
    </w:p>
    <w:p>
      <w:pPr>
        <w:pStyle w:val="2"/>
        <w:tabs>
          <w:tab w:val="left" w:pos="955"/>
        </w:tabs>
        <w:spacing w:after="0" w:line="560" w:lineRule="exact"/>
        <w:ind w:left="1146" w:leftChars="273" w:hanging="573" w:hangingChars="238"/>
        <w:rPr>
          <w:rFonts w:ascii="宋体" w:hAnsi="宋体"/>
          <w:b/>
        </w:rPr>
      </w:pPr>
      <w:bookmarkStart w:id="7" w:name="_Toc346372877"/>
      <w:bookmarkStart w:id="8" w:name="_Toc346306730"/>
      <w:bookmarkStart w:id="9" w:name="_Toc352332851"/>
      <w:r>
        <w:rPr>
          <w:rFonts w:ascii="宋体" w:hAnsi="宋体"/>
          <w:b/>
        </w:rPr>
        <w:t xml:space="preserve">1.   </w:t>
      </w:r>
      <w:bookmarkEnd w:id="7"/>
      <w:bookmarkEnd w:id="8"/>
      <w:bookmarkEnd w:id="9"/>
      <w:r>
        <w:rPr>
          <w:rFonts w:hint="eastAsia" w:ascii="宋体" w:hAnsi="宋体"/>
          <w:b/>
        </w:rPr>
        <w:t>采购人</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详见供应商须知前附表。</w:t>
      </w:r>
    </w:p>
    <w:p>
      <w:pPr>
        <w:pStyle w:val="2"/>
        <w:tabs>
          <w:tab w:val="left" w:pos="955"/>
        </w:tabs>
        <w:spacing w:after="0" w:line="560" w:lineRule="exact"/>
        <w:ind w:left="1146" w:leftChars="273" w:hanging="573" w:hangingChars="238"/>
        <w:rPr>
          <w:rFonts w:ascii="宋体" w:hAnsi="宋体"/>
          <w:b/>
        </w:rPr>
      </w:pPr>
      <w:bookmarkStart w:id="10" w:name="_Toc352332852"/>
      <w:bookmarkStart w:id="11" w:name="_Toc346306731"/>
      <w:bookmarkStart w:id="12" w:name="_Toc346372878"/>
      <w:r>
        <w:rPr>
          <w:rFonts w:ascii="宋体" w:hAnsi="宋体"/>
          <w:b/>
        </w:rPr>
        <w:t xml:space="preserve">2.   </w:t>
      </w:r>
      <w:bookmarkEnd w:id="10"/>
      <w:bookmarkEnd w:id="11"/>
      <w:bookmarkEnd w:id="12"/>
      <w:r>
        <w:rPr>
          <w:rFonts w:hint="eastAsia" w:ascii="宋体" w:hAnsi="宋体"/>
          <w:b/>
        </w:rPr>
        <w:t>代理机构</w:t>
      </w:r>
    </w:p>
    <w:p>
      <w:pPr>
        <w:autoSpaceDE w:val="0"/>
        <w:autoSpaceDN w:val="0"/>
        <w:adjustRightInd w:val="0"/>
        <w:snapToGrid w:val="0"/>
        <w:spacing w:line="560" w:lineRule="exact"/>
        <w:ind w:firstLine="600" w:firstLineChars="250"/>
        <w:jc w:val="left"/>
        <w:rPr>
          <w:rFonts w:ascii="宋体" w:hAnsi="宋体" w:cs="TimesNewRomanPSMT"/>
          <w:kern w:val="0"/>
          <w:sz w:val="24"/>
        </w:rPr>
      </w:pPr>
      <w:bookmarkStart w:id="13" w:name="_Toc346306732"/>
      <w:bookmarkStart w:id="14" w:name="_Toc352332853"/>
      <w:bookmarkStart w:id="15" w:name="_Toc346372879"/>
      <w:r>
        <w:rPr>
          <w:rFonts w:hint="eastAsia" w:ascii="宋体" w:hAnsi="宋体" w:cs="TimesNewRomanPSMT"/>
          <w:kern w:val="0"/>
          <w:sz w:val="24"/>
        </w:rPr>
        <w:t>详见供应商须知前附表。</w:t>
      </w:r>
    </w:p>
    <w:p>
      <w:pPr>
        <w:pStyle w:val="2"/>
        <w:tabs>
          <w:tab w:val="left" w:pos="955"/>
        </w:tabs>
        <w:spacing w:after="0" w:line="560" w:lineRule="exact"/>
        <w:ind w:left="1146" w:leftChars="273" w:hanging="573" w:hangingChars="238"/>
        <w:rPr>
          <w:rFonts w:ascii="宋体" w:hAnsi="宋体"/>
          <w:b/>
        </w:rPr>
      </w:pPr>
      <w:r>
        <w:rPr>
          <w:rFonts w:ascii="宋体" w:hAnsi="宋体"/>
          <w:b/>
        </w:rPr>
        <w:t xml:space="preserve">3.   </w:t>
      </w:r>
      <w:r>
        <w:rPr>
          <w:rFonts w:hint="eastAsia" w:ascii="宋体" w:hAnsi="宋体"/>
          <w:b/>
        </w:rPr>
        <w:t>合格供应商</w:t>
      </w:r>
      <w:bookmarkEnd w:id="13"/>
      <w:bookmarkEnd w:id="14"/>
      <w:bookmarkEnd w:id="15"/>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详见供应商须知前附表。</w:t>
      </w:r>
    </w:p>
    <w:p>
      <w:pPr>
        <w:pStyle w:val="2"/>
        <w:tabs>
          <w:tab w:val="left" w:pos="955"/>
        </w:tabs>
        <w:spacing w:after="0" w:line="560" w:lineRule="exact"/>
        <w:ind w:left="1146" w:leftChars="273" w:hanging="573" w:hangingChars="238"/>
        <w:rPr>
          <w:rFonts w:ascii="宋体" w:hAnsi="宋体"/>
          <w:b/>
        </w:rPr>
      </w:pPr>
      <w:bookmarkStart w:id="16" w:name="_Toc352332854"/>
      <w:bookmarkStart w:id="17" w:name="_Toc346372880"/>
      <w:bookmarkStart w:id="18" w:name="_Toc346306733"/>
      <w:r>
        <w:rPr>
          <w:rFonts w:ascii="宋体" w:hAnsi="宋体"/>
          <w:b/>
        </w:rPr>
        <w:t xml:space="preserve">4.   </w:t>
      </w:r>
      <w:r>
        <w:rPr>
          <w:rFonts w:hint="eastAsia" w:ascii="宋体" w:hAnsi="宋体"/>
          <w:b/>
        </w:rPr>
        <w:t>投标费用</w:t>
      </w:r>
      <w:bookmarkEnd w:id="16"/>
      <w:bookmarkEnd w:id="17"/>
      <w:bookmarkEnd w:id="18"/>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无论投标过程中的方法和结果如何，供应商自行承担所有与参加投标有关费用。</w:t>
      </w:r>
    </w:p>
    <w:p>
      <w:pPr>
        <w:pStyle w:val="4"/>
        <w:spacing w:before="120" w:after="120" w:line="360" w:lineRule="exact"/>
        <w:ind w:firstLine="516" w:firstLineChars="214"/>
        <w:rPr>
          <w:rFonts w:ascii="宋体" w:hAnsi="宋体" w:eastAsia="宋体"/>
          <w:sz w:val="24"/>
          <w:szCs w:val="24"/>
        </w:rPr>
      </w:pPr>
      <w:bookmarkStart w:id="19" w:name="_Toc11850779"/>
      <w:r>
        <w:rPr>
          <w:rFonts w:hint="eastAsia" w:ascii="宋体" w:hAnsi="宋体" w:eastAsia="宋体"/>
          <w:sz w:val="24"/>
          <w:szCs w:val="24"/>
        </w:rPr>
        <w:t>二、招标文件</w:t>
      </w:r>
      <w:bookmarkEnd w:id="19"/>
    </w:p>
    <w:p>
      <w:pPr>
        <w:pStyle w:val="2"/>
        <w:tabs>
          <w:tab w:val="left" w:pos="955"/>
        </w:tabs>
        <w:spacing w:after="0" w:line="560" w:lineRule="exact"/>
        <w:ind w:left="1146" w:leftChars="273" w:hanging="573" w:hangingChars="238"/>
        <w:rPr>
          <w:rFonts w:ascii="宋体" w:hAnsi="宋体"/>
          <w:b/>
        </w:rPr>
      </w:pPr>
      <w:bookmarkStart w:id="20" w:name="_Toc346306735"/>
      <w:bookmarkStart w:id="21" w:name="_Toc346372882"/>
      <w:bookmarkStart w:id="22" w:name="_Toc352332856"/>
      <w:r>
        <w:rPr>
          <w:rFonts w:ascii="宋体" w:hAnsi="宋体"/>
          <w:b/>
        </w:rPr>
        <w:t xml:space="preserve">5.   </w:t>
      </w:r>
      <w:r>
        <w:rPr>
          <w:rFonts w:hint="eastAsia" w:ascii="宋体" w:hAnsi="宋体"/>
          <w:b/>
        </w:rPr>
        <w:t>招标文件组成</w:t>
      </w:r>
      <w:bookmarkEnd w:id="20"/>
      <w:bookmarkEnd w:id="21"/>
      <w:bookmarkEnd w:id="22"/>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本招标文件由招标文件目录所列内容及按本招标文件要求发出的澄清、答疑和修改组成。</w:t>
      </w:r>
    </w:p>
    <w:p>
      <w:pPr>
        <w:pStyle w:val="2"/>
        <w:tabs>
          <w:tab w:val="left" w:pos="955"/>
        </w:tabs>
        <w:spacing w:after="0" w:line="560" w:lineRule="exact"/>
        <w:ind w:left="1146" w:leftChars="273" w:hanging="573" w:hangingChars="238"/>
        <w:rPr>
          <w:rFonts w:ascii="宋体" w:hAnsi="宋体"/>
          <w:b/>
        </w:rPr>
      </w:pPr>
      <w:bookmarkStart w:id="23" w:name="_Toc346372883"/>
      <w:bookmarkStart w:id="24" w:name="_Toc352332857"/>
      <w:bookmarkStart w:id="25" w:name="_Toc346306736"/>
      <w:r>
        <w:rPr>
          <w:rFonts w:ascii="宋体" w:hAnsi="宋体"/>
          <w:b/>
        </w:rPr>
        <w:t xml:space="preserve">6.   </w:t>
      </w:r>
      <w:r>
        <w:rPr>
          <w:rFonts w:hint="eastAsia" w:ascii="宋体" w:hAnsi="宋体"/>
          <w:b/>
        </w:rPr>
        <w:t>招标文件答疑</w:t>
      </w:r>
      <w:bookmarkEnd w:id="23"/>
      <w:bookmarkEnd w:id="24"/>
      <w:bookmarkEnd w:id="25"/>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hint="eastAsia" w:ascii="宋体" w:hAnsi="宋体" w:cs="TimesNewRomanPSMT"/>
          <w:kern w:val="0"/>
          <w:sz w:val="24"/>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w:t>
      </w:r>
      <w:r>
        <w:rPr>
          <w:rFonts w:ascii="宋体" w:hAnsi="宋体" w:cs="TimesNewRomanPSMT"/>
          <w:kern w:val="0"/>
          <w:sz w:val="24"/>
        </w:rPr>
        <w:t>24</w:t>
      </w:r>
      <w:r>
        <w:rPr>
          <w:rFonts w:hint="eastAsia" w:ascii="宋体" w:hAnsi="宋体" w:cs="TimesNewRomanPSMT"/>
          <w:kern w:val="0"/>
          <w:sz w:val="24"/>
        </w:rPr>
        <w:t>小时内书面签章回执。</w:t>
      </w:r>
    </w:p>
    <w:p>
      <w:pPr>
        <w:pStyle w:val="2"/>
        <w:tabs>
          <w:tab w:val="left" w:pos="955"/>
        </w:tabs>
        <w:spacing w:after="0" w:line="560" w:lineRule="exact"/>
        <w:ind w:left="1146" w:leftChars="273" w:hanging="573" w:hangingChars="238"/>
        <w:rPr>
          <w:rFonts w:ascii="宋体" w:hAnsi="宋体"/>
          <w:b/>
        </w:rPr>
      </w:pPr>
      <w:bookmarkStart w:id="26" w:name="_Toc346306737"/>
      <w:bookmarkStart w:id="27" w:name="_Toc346372884"/>
      <w:bookmarkStart w:id="28" w:name="_Toc352332858"/>
      <w:r>
        <w:rPr>
          <w:rFonts w:ascii="宋体" w:hAnsi="宋体"/>
          <w:b/>
        </w:rPr>
        <w:t xml:space="preserve">7.   </w:t>
      </w:r>
      <w:r>
        <w:rPr>
          <w:rFonts w:hint="eastAsia" w:ascii="宋体" w:hAnsi="宋体"/>
          <w:b/>
        </w:rPr>
        <w:t>招标文件澄清和修改</w:t>
      </w:r>
      <w:bookmarkEnd w:id="26"/>
      <w:bookmarkEnd w:id="27"/>
      <w:bookmarkEnd w:id="28"/>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 xml:space="preserve">7.1  </w:t>
      </w:r>
      <w:r>
        <w:rPr>
          <w:rFonts w:hint="eastAsia" w:ascii="宋体" w:hAnsi="宋体" w:cs="TimesNewRomanPSMT"/>
          <w:kern w:val="0"/>
          <w:sz w:val="24"/>
        </w:rPr>
        <w:t>代理机构对招标文件有澄清或修改的内容，将以书面补充文件形式通知已购买招标文件的所有供应商。补充文件作为招标文件的组成部分，对所有供应商具有约束力。</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 xml:space="preserve">7.2  </w:t>
      </w:r>
      <w:r>
        <w:rPr>
          <w:rFonts w:hint="eastAsia" w:ascii="宋体" w:hAnsi="宋体" w:cs="TimesNewRomanPSMT"/>
          <w:kern w:val="0"/>
          <w:sz w:val="24"/>
        </w:rPr>
        <w:t>为使供应商有足够的时间按招标文件的要求修改投标文件，代理机构可酌情推迟投标的截止时间与开标时间，并将此变更书面通知各供应商。</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 xml:space="preserve">7.3  </w:t>
      </w:r>
      <w:r>
        <w:rPr>
          <w:rFonts w:hint="eastAsia" w:ascii="宋体" w:hAnsi="宋体" w:cs="TimesNewRomanPSMT"/>
          <w:kern w:val="0"/>
          <w:sz w:val="24"/>
        </w:rPr>
        <w:t>供应商须在收到代理机构的澄清、修改或变更后</w:t>
      </w:r>
      <w:r>
        <w:rPr>
          <w:rFonts w:ascii="宋体" w:hAnsi="宋体" w:cs="TimesNewRomanPSMT"/>
          <w:kern w:val="0"/>
          <w:sz w:val="24"/>
        </w:rPr>
        <w:t>24</w:t>
      </w:r>
      <w:r>
        <w:rPr>
          <w:rFonts w:hint="eastAsia" w:ascii="宋体" w:hAnsi="宋体" w:cs="TimesNewRomanPSMT"/>
          <w:kern w:val="0"/>
          <w:sz w:val="24"/>
        </w:rPr>
        <w:t>小时内书面回执。</w:t>
      </w:r>
    </w:p>
    <w:p>
      <w:pPr>
        <w:pStyle w:val="4"/>
        <w:spacing w:before="120" w:after="120" w:line="360" w:lineRule="exact"/>
        <w:ind w:firstLine="516" w:firstLineChars="214"/>
        <w:rPr>
          <w:rFonts w:ascii="宋体" w:hAnsi="宋体" w:eastAsia="宋体"/>
          <w:sz w:val="24"/>
          <w:szCs w:val="24"/>
        </w:rPr>
      </w:pPr>
      <w:bookmarkStart w:id="29" w:name="_Toc11850780"/>
      <w:r>
        <w:rPr>
          <w:rFonts w:hint="eastAsia" w:ascii="宋体" w:hAnsi="宋体" w:eastAsia="宋体"/>
          <w:sz w:val="24"/>
          <w:szCs w:val="24"/>
        </w:rPr>
        <w:t>三、投标文件编写</w:t>
      </w:r>
      <w:bookmarkEnd w:id="29"/>
    </w:p>
    <w:p>
      <w:pPr>
        <w:pStyle w:val="2"/>
        <w:tabs>
          <w:tab w:val="left" w:pos="955"/>
        </w:tabs>
        <w:spacing w:after="0" w:line="560" w:lineRule="exact"/>
        <w:ind w:left="1146" w:leftChars="273" w:hanging="573" w:hangingChars="238"/>
        <w:rPr>
          <w:rFonts w:ascii="宋体" w:hAnsi="宋体"/>
          <w:b/>
        </w:rPr>
      </w:pPr>
      <w:bookmarkStart w:id="30" w:name="_Toc346372886"/>
      <w:bookmarkStart w:id="31" w:name="_Toc346306739"/>
      <w:bookmarkStart w:id="32" w:name="_Toc352332860"/>
      <w:r>
        <w:rPr>
          <w:rFonts w:ascii="宋体" w:hAnsi="宋体"/>
          <w:b/>
        </w:rPr>
        <w:t xml:space="preserve">8.   </w:t>
      </w:r>
      <w:r>
        <w:rPr>
          <w:rFonts w:hint="eastAsia" w:ascii="宋体" w:hAnsi="宋体"/>
          <w:b/>
        </w:rPr>
        <w:t>投标语言及计量单位</w:t>
      </w:r>
      <w:bookmarkEnd w:id="30"/>
      <w:bookmarkEnd w:id="31"/>
      <w:bookmarkEnd w:id="32"/>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 xml:space="preserve">8.1  </w:t>
      </w:r>
      <w:r>
        <w:rPr>
          <w:rFonts w:hint="eastAsia" w:ascii="宋体" w:hAnsi="宋体" w:cs="TimesNewRomanPSMT"/>
          <w:kern w:val="0"/>
          <w:sz w:val="24"/>
        </w:rPr>
        <w:t>供应商和代理机构就招投标交换的文件和来往信函均使用中文。</w:t>
      </w:r>
    </w:p>
    <w:p>
      <w:pPr>
        <w:autoSpaceDE w:val="0"/>
        <w:autoSpaceDN w:val="0"/>
        <w:adjustRightInd w:val="0"/>
        <w:snapToGrid w:val="0"/>
        <w:spacing w:line="560" w:lineRule="exact"/>
        <w:ind w:firstLine="600" w:firstLineChars="250"/>
        <w:jc w:val="left"/>
        <w:rPr>
          <w:rFonts w:ascii="宋体" w:hAnsi="宋体" w:cs="TimesNewRomanPSMT"/>
          <w:kern w:val="0"/>
          <w:sz w:val="24"/>
        </w:rPr>
      </w:pPr>
      <w:r>
        <w:rPr>
          <w:rFonts w:ascii="宋体" w:hAnsi="宋体" w:cs="TimesNewRomanPSMT"/>
          <w:kern w:val="0"/>
          <w:sz w:val="24"/>
        </w:rPr>
        <w:t xml:space="preserve">8.2  </w:t>
      </w:r>
      <w:r>
        <w:rPr>
          <w:rFonts w:hint="eastAsia" w:ascii="宋体" w:hAnsi="宋体" w:cs="TimesNewRomanPSMT"/>
          <w:kern w:val="0"/>
          <w:sz w:val="24"/>
        </w:rPr>
        <w:t>除招标文件的技术要求中另有规定外，投标文件中所使用的计量单位应使用中华人民共和国法定计量单位。</w:t>
      </w:r>
    </w:p>
    <w:p>
      <w:pPr>
        <w:pStyle w:val="2"/>
        <w:tabs>
          <w:tab w:val="left" w:pos="955"/>
        </w:tabs>
        <w:spacing w:after="0" w:line="560" w:lineRule="exact"/>
        <w:ind w:left="1146" w:leftChars="273" w:hanging="573" w:hangingChars="238"/>
        <w:rPr>
          <w:rFonts w:ascii="宋体" w:hAnsi="宋体"/>
          <w:b/>
        </w:rPr>
      </w:pPr>
      <w:bookmarkStart w:id="33" w:name="_Toc346372887"/>
      <w:bookmarkStart w:id="34" w:name="_Toc352332861"/>
      <w:bookmarkStart w:id="35" w:name="_Toc346306740"/>
      <w:r>
        <w:rPr>
          <w:rFonts w:ascii="宋体" w:hAnsi="宋体"/>
          <w:b/>
        </w:rPr>
        <w:t xml:space="preserve">9.   </w:t>
      </w:r>
      <w:r>
        <w:rPr>
          <w:rFonts w:hint="eastAsia" w:ascii="宋体" w:hAnsi="宋体"/>
          <w:b/>
        </w:rPr>
        <w:t>投标文件组成</w:t>
      </w:r>
      <w:bookmarkEnd w:id="33"/>
      <w:bookmarkEnd w:id="34"/>
      <w:bookmarkEnd w:id="35"/>
    </w:p>
    <w:p>
      <w:pPr>
        <w:pStyle w:val="2"/>
        <w:spacing w:after="0" w:line="560" w:lineRule="exact"/>
        <w:ind w:firstLine="573" w:firstLineChars="238"/>
        <w:rPr>
          <w:rFonts w:ascii="宋体" w:hAnsi="宋体"/>
          <w:b/>
        </w:rPr>
      </w:pPr>
      <w:r>
        <w:rPr>
          <w:rFonts w:hint="eastAsia" w:ascii="宋体" w:hAnsi="宋体"/>
          <w:b/>
        </w:rPr>
        <w:t>投标文件由商务文件、技术文件、资格证明文件三部分组成。</w:t>
      </w:r>
    </w:p>
    <w:p>
      <w:pPr>
        <w:pStyle w:val="2"/>
        <w:spacing w:after="0" w:line="560" w:lineRule="exact"/>
        <w:ind w:firstLine="573" w:firstLineChars="238"/>
        <w:rPr>
          <w:rFonts w:ascii="宋体" w:hAnsi="宋体"/>
          <w:b/>
        </w:rPr>
      </w:pPr>
      <w:r>
        <w:rPr>
          <w:rFonts w:ascii="宋体" w:hAnsi="宋体"/>
          <w:b/>
        </w:rPr>
        <w:t xml:space="preserve">9.1 </w:t>
      </w:r>
      <w:r>
        <w:rPr>
          <w:rFonts w:hint="eastAsia" w:ascii="宋体" w:hAnsi="宋体"/>
          <w:b/>
        </w:rPr>
        <w:t>商务部分</w:t>
      </w:r>
    </w:p>
    <w:p>
      <w:pPr>
        <w:pStyle w:val="46"/>
        <w:spacing w:line="560" w:lineRule="exact"/>
        <w:ind w:left="1144" w:leftChars="272" w:hanging="573" w:hangingChars="239"/>
        <w:rPr>
          <w:rFonts w:ascii="宋体" w:hAnsi="宋体"/>
        </w:rPr>
      </w:pPr>
      <w:bookmarkStart w:id="36" w:name="_Toc352332863"/>
      <w:bookmarkStart w:id="37" w:name="_Toc346372889"/>
      <w:bookmarkStart w:id="38" w:name="_Toc346306742"/>
      <w:r>
        <w:rPr>
          <w:rFonts w:hint="eastAsia" w:ascii="宋体" w:hAnsi="宋体"/>
        </w:rPr>
        <w:t>（</w:t>
      </w:r>
      <w:r>
        <w:rPr>
          <w:rFonts w:ascii="宋体" w:hAnsi="宋体"/>
        </w:rPr>
        <w:t>1</w:t>
      </w:r>
      <w:r>
        <w:rPr>
          <w:rFonts w:hint="eastAsia" w:ascii="宋体" w:hAnsi="宋体"/>
        </w:rPr>
        <w:t>）投标函；</w:t>
      </w:r>
    </w:p>
    <w:p>
      <w:pPr>
        <w:pStyle w:val="2"/>
        <w:spacing w:after="0" w:line="560" w:lineRule="exact"/>
        <w:ind w:firstLine="571" w:firstLineChars="238"/>
        <w:rPr>
          <w:rFonts w:ascii="宋体" w:hAnsi="宋体"/>
        </w:rPr>
      </w:pPr>
      <w:r>
        <w:rPr>
          <w:rFonts w:hint="eastAsia" w:ascii="宋体" w:hAnsi="宋体"/>
        </w:rPr>
        <w:t>（</w:t>
      </w:r>
      <w:r>
        <w:rPr>
          <w:rFonts w:ascii="宋体" w:hAnsi="宋体"/>
        </w:rPr>
        <w:t>2</w:t>
      </w:r>
      <w:r>
        <w:rPr>
          <w:rFonts w:hint="eastAsia" w:ascii="宋体" w:hAnsi="宋体"/>
        </w:rPr>
        <w:t>）法定代表人授权委托书；</w:t>
      </w:r>
    </w:p>
    <w:p>
      <w:pPr>
        <w:pStyle w:val="2"/>
        <w:spacing w:after="0" w:line="560" w:lineRule="exact"/>
        <w:ind w:firstLine="571" w:firstLineChars="238"/>
        <w:rPr>
          <w:rFonts w:ascii="宋体" w:hAnsi="宋体"/>
        </w:rPr>
      </w:pPr>
      <w:r>
        <w:rPr>
          <w:rFonts w:hint="eastAsia" w:ascii="宋体" w:hAnsi="宋体"/>
        </w:rPr>
        <w:t>（3）开标一览表；</w:t>
      </w:r>
    </w:p>
    <w:p>
      <w:pPr>
        <w:pStyle w:val="2"/>
        <w:spacing w:after="0" w:line="560" w:lineRule="exact"/>
        <w:ind w:firstLine="571" w:firstLineChars="238"/>
        <w:rPr>
          <w:rFonts w:ascii="宋体" w:hAnsi="宋体"/>
        </w:rPr>
      </w:pPr>
      <w:r>
        <w:rPr>
          <w:rFonts w:hint="eastAsia" w:ascii="宋体" w:hAnsi="宋体"/>
        </w:rPr>
        <w:t>（4）报价明细表；</w:t>
      </w:r>
    </w:p>
    <w:p>
      <w:pPr>
        <w:pStyle w:val="2"/>
        <w:spacing w:after="0" w:line="560" w:lineRule="exact"/>
        <w:ind w:firstLine="571" w:firstLineChars="238"/>
        <w:rPr>
          <w:rFonts w:ascii="宋体" w:hAnsi="宋体"/>
        </w:rPr>
      </w:pPr>
      <w:r>
        <w:rPr>
          <w:rFonts w:hint="eastAsia" w:ascii="宋体" w:hAnsi="宋体"/>
        </w:rPr>
        <w:t>（5）分项报价表；</w:t>
      </w:r>
    </w:p>
    <w:p>
      <w:pPr>
        <w:pStyle w:val="2"/>
        <w:spacing w:after="0" w:line="560" w:lineRule="exact"/>
        <w:ind w:firstLine="571" w:firstLineChars="238"/>
        <w:rPr>
          <w:rFonts w:ascii="宋体" w:hAnsi="宋体"/>
        </w:rPr>
      </w:pPr>
      <w:r>
        <w:rPr>
          <w:rFonts w:hint="eastAsia" w:ascii="宋体" w:hAnsi="宋体"/>
        </w:rPr>
        <w:t>（6）主要设备及配件报价明细表；</w:t>
      </w:r>
    </w:p>
    <w:p>
      <w:pPr>
        <w:pStyle w:val="2"/>
        <w:spacing w:after="0" w:line="560" w:lineRule="exact"/>
        <w:ind w:firstLine="571" w:firstLineChars="238"/>
        <w:rPr>
          <w:rFonts w:ascii="宋体" w:hAnsi="宋体"/>
        </w:rPr>
      </w:pPr>
      <w:r>
        <w:rPr>
          <w:rFonts w:hint="eastAsia" w:ascii="宋体" w:hAnsi="宋体"/>
        </w:rPr>
        <w:t>（7）商务偏离表；</w:t>
      </w:r>
    </w:p>
    <w:p>
      <w:pPr>
        <w:pStyle w:val="2"/>
        <w:spacing w:after="0" w:line="560" w:lineRule="exact"/>
        <w:ind w:firstLine="571" w:firstLineChars="238"/>
        <w:rPr>
          <w:rFonts w:ascii="宋体" w:hAnsi="宋体"/>
        </w:rPr>
      </w:pPr>
      <w:r>
        <w:rPr>
          <w:rFonts w:hint="eastAsia" w:ascii="宋体" w:hAnsi="宋体"/>
        </w:rPr>
        <w:t>（8）制造方</w:t>
      </w:r>
      <w:r>
        <w:rPr>
          <w:rFonts w:ascii="宋体" w:hAnsi="宋体"/>
        </w:rPr>
        <w:t>/</w:t>
      </w:r>
      <w:r>
        <w:rPr>
          <w:rFonts w:hint="eastAsia" w:ascii="宋体" w:hAnsi="宋体"/>
        </w:rPr>
        <w:t>供应商情况表；</w:t>
      </w:r>
    </w:p>
    <w:p>
      <w:pPr>
        <w:pStyle w:val="2"/>
        <w:spacing w:after="0" w:line="560" w:lineRule="exact"/>
        <w:ind w:firstLine="571" w:firstLineChars="238"/>
        <w:rPr>
          <w:rFonts w:ascii="宋体" w:hAnsi="宋体"/>
        </w:rPr>
      </w:pPr>
      <w:r>
        <w:rPr>
          <w:rFonts w:hint="eastAsia" w:ascii="宋体" w:hAnsi="宋体"/>
        </w:rPr>
        <w:t>（9）类似业绩一览表，附相关合同复印件；</w:t>
      </w:r>
    </w:p>
    <w:p>
      <w:pPr>
        <w:pStyle w:val="2"/>
        <w:spacing w:after="0" w:line="560" w:lineRule="exact"/>
        <w:ind w:firstLine="571" w:firstLineChars="238"/>
        <w:rPr>
          <w:rFonts w:ascii="宋体" w:hAnsi="宋体"/>
        </w:rPr>
      </w:pPr>
      <w:r>
        <w:rPr>
          <w:rFonts w:hint="eastAsia" w:ascii="宋体" w:hAnsi="宋体"/>
        </w:rPr>
        <w:t>（10）供应商认为需要加以说明的其他内容。</w:t>
      </w:r>
    </w:p>
    <w:p>
      <w:pPr>
        <w:pStyle w:val="2"/>
        <w:spacing w:after="0" w:line="560" w:lineRule="exact"/>
        <w:ind w:firstLine="691" w:firstLineChars="287"/>
        <w:rPr>
          <w:rFonts w:ascii="宋体" w:hAnsi="宋体"/>
        </w:rPr>
      </w:pPr>
      <w:r>
        <w:rPr>
          <w:rFonts w:ascii="宋体" w:hAnsi="宋体"/>
          <w:b/>
        </w:rPr>
        <w:t xml:space="preserve">9.2 </w:t>
      </w:r>
      <w:r>
        <w:rPr>
          <w:rFonts w:hint="eastAsia" w:ascii="宋体" w:hAnsi="宋体"/>
          <w:b/>
        </w:rPr>
        <w:t>技术部分：</w:t>
      </w:r>
    </w:p>
    <w:p>
      <w:pPr>
        <w:pStyle w:val="2"/>
        <w:spacing w:after="0" w:line="560" w:lineRule="exact"/>
        <w:ind w:firstLine="571" w:firstLineChars="238"/>
        <w:rPr>
          <w:rFonts w:ascii="宋体" w:hAnsi="宋体"/>
        </w:rPr>
      </w:pPr>
      <w:r>
        <w:rPr>
          <w:rFonts w:hint="eastAsia" w:ascii="宋体" w:hAnsi="宋体"/>
        </w:rPr>
        <w:t>（</w:t>
      </w:r>
      <w:r>
        <w:rPr>
          <w:rFonts w:ascii="宋体" w:hAnsi="宋体"/>
        </w:rPr>
        <w:t>1</w:t>
      </w:r>
      <w:r>
        <w:rPr>
          <w:rFonts w:hint="eastAsia" w:ascii="宋体" w:hAnsi="宋体"/>
        </w:rPr>
        <w:t>）采购清单及技术规范响应一览表；</w:t>
      </w:r>
    </w:p>
    <w:p>
      <w:pPr>
        <w:pStyle w:val="2"/>
        <w:spacing w:after="0" w:line="560" w:lineRule="exact"/>
        <w:ind w:firstLine="571" w:firstLineChars="238"/>
        <w:rPr>
          <w:rFonts w:ascii="宋体" w:hAnsi="宋体"/>
        </w:rPr>
      </w:pPr>
      <w:r>
        <w:rPr>
          <w:rFonts w:hint="eastAsia" w:ascii="宋体" w:hAnsi="宋体"/>
        </w:rPr>
        <w:t>（</w:t>
      </w:r>
      <w:r>
        <w:rPr>
          <w:rFonts w:ascii="宋体" w:hAnsi="宋体"/>
        </w:rPr>
        <w:t>2</w:t>
      </w:r>
      <w:r>
        <w:rPr>
          <w:rFonts w:hint="eastAsia" w:ascii="宋体" w:hAnsi="宋体"/>
        </w:rPr>
        <w:t>）主要技术数据的详细描述；</w:t>
      </w:r>
    </w:p>
    <w:p>
      <w:pPr>
        <w:pStyle w:val="2"/>
        <w:spacing w:after="0" w:line="560" w:lineRule="exact"/>
        <w:ind w:firstLine="571" w:firstLineChars="238"/>
        <w:rPr>
          <w:rFonts w:ascii="宋体" w:hAnsi="宋体"/>
        </w:rPr>
      </w:pPr>
      <w:r>
        <w:rPr>
          <w:rFonts w:hint="eastAsia" w:ascii="宋体" w:hAnsi="宋体"/>
        </w:rPr>
        <w:t>（</w:t>
      </w:r>
      <w:r>
        <w:rPr>
          <w:rFonts w:ascii="宋体" w:hAnsi="宋体"/>
        </w:rPr>
        <w:t>3</w:t>
      </w:r>
      <w:r>
        <w:rPr>
          <w:rFonts w:hint="eastAsia" w:ascii="宋体" w:hAnsi="宋体"/>
        </w:rPr>
        <w:t>）设备配置明细表；</w:t>
      </w:r>
    </w:p>
    <w:p>
      <w:pPr>
        <w:pStyle w:val="2"/>
        <w:spacing w:after="0" w:line="560" w:lineRule="exact"/>
        <w:ind w:firstLine="571" w:firstLineChars="238"/>
        <w:rPr>
          <w:rFonts w:ascii="宋体" w:hAnsi="宋体"/>
        </w:rPr>
      </w:pPr>
      <w:r>
        <w:rPr>
          <w:rFonts w:hint="eastAsia" w:ascii="宋体" w:hAnsi="宋体"/>
        </w:rPr>
        <w:t>（</w:t>
      </w:r>
      <w:r>
        <w:rPr>
          <w:rFonts w:ascii="宋体" w:hAnsi="宋体"/>
        </w:rPr>
        <w:t>4</w:t>
      </w:r>
      <w:r>
        <w:rPr>
          <w:rFonts w:hint="eastAsia" w:ascii="宋体" w:hAnsi="宋体"/>
        </w:rPr>
        <w:t>）产品制造、调试、验收标准；</w:t>
      </w:r>
    </w:p>
    <w:p>
      <w:pPr>
        <w:pStyle w:val="2"/>
        <w:spacing w:after="0" w:line="560" w:lineRule="exact"/>
        <w:ind w:firstLine="571" w:firstLineChars="238"/>
        <w:rPr>
          <w:rFonts w:ascii="宋体" w:hAnsi="宋体"/>
        </w:rPr>
      </w:pPr>
      <w:r>
        <w:rPr>
          <w:rFonts w:hint="eastAsia" w:ascii="宋体" w:hAnsi="宋体"/>
        </w:rPr>
        <w:t>（5）产品的合格证明材料、检验</w:t>
      </w:r>
      <w:r>
        <w:rPr>
          <w:rFonts w:ascii="宋体" w:hAnsi="宋体"/>
        </w:rPr>
        <w:t>/</w:t>
      </w:r>
      <w:r>
        <w:rPr>
          <w:rFonts w:hint="eastAsia" w:ascii="宋体" w:hAnsi="宋体"/>
        </w:rPr>
        <w:t>检测报告或</w:t>
      </w:r>
      <w:r>
        <w:rPr>
          <w:rFonts w:ascii="宋体" w:hAnsi="宋体"/>
        </w:rPr>
        <w:t>3C</w:t>
      </w:r>
      <w:r>
        <w:rPr>
          <w:rFonts w:hint="eastAsia" w:ascii="宋体" w:hAnsi="宋体"/>
        </w:rPr>
        <w:t>认证证书（加盖公章）（如有）；</w:t>
      </w:r>
    </w:p>
    <w:p>
      <w:pPr>
        <w:pStyle w:val="2"/>
        <w:spacing w:after="0" w:line="560" w:lineRule="exact"/>
        <w:ind w:firstLine="571" w:firstLineChars="238"/>
        <w:rPr>
          <w:rFonts w:ascii="宋体" w:hAnsi="宋体"/>
        </w:rPr>
      </w:pPr>
      <w:r>
        <w:rPr>
          <w:rFonts w:hint="eastAsia" w:ascii="宋体" w:hAnsi="宋体"/>
        </w:rPr>
        <w:t>（6）产品的技术服务和售后服务内容及措施；</w:t>
      </w:r>
    </w:p>
    <w:p>
      <w:pPr>
        <w:pStyle w:val="2"/>
        <w:spacing w:after="0" w:line="560" w:lineRule="exact"/>
        <w:ind w:firstLine="571" w:firstLineChars="238"/>
        <w:rPr>
          <w:rFonts w:ascii="宋体" w:hAnsi="宋体"/>
        </w:rPr>
      </w:pPr>
      <w:r>
        <w:rPr>
          <w:rFonts w:hint="eastAsia" w:ascii="宋体" w:hAnsi="宋体"/>
        </w:rPr>
        <w:t>（7）培训方案；</w:t>
      </w:r>
    </w:p>
    <w:p>
      <w:pPr>
        <w:pStyle w:val="2"/>
        <w:spacing w:after="0" w:line="560" w:lineRule="exact"/>
        <w:ind w:firstLine="571" w:firstLineChars="238"/>
        <w:rPr>
          <w:rFonts w:ascii="宋体" w:hAnsi="宋体"/>
        </w:rPr>
      </w:pPr>
      <w:r>
        <w:rPr>
          <w:rFonts w:hint="eastAsia" w:ascii="宋体" w:hAnsi="宋体"/>
        </w:rPr>
        <w:t>（8）进口货物交货时具备报关单、税单、原产地证明、进字号注册证（如有）；</w:t>
      </w:r>
    </w:p>
    <w:p>
      <w:pPr>
        <w:pStyle w:val="2"/>
        <w:spacing w:after="0" w:line="560" w:lineRule="exact"/>
        <w:ind w:firstLine="571" w:firstLineChars="238"/>
        <w:rPr>
          <w:rFonts w:ascii="宋体" w:hAnsi="宋体"/>
        </w:rPr>
      </w:pPr>
      <w:r>
        <w:rPr>
          <w:rFonts w:hint="eastAsia" w:ascii="宋体" w:hAnsi="宋体"/>
        </w:rPr>
        <w:t>（9）技术偏离表（附件八）；</w:t>
      </w:r>
    </w:p>
    <w:p>
      <w:pPr>
        <w:pStyle w:val="2"/>
        <w:spacing w:after="0" w:line="560" w:lineRule="exact"/>
        <w:ind w:firstLine="571" w:firstLineChars="238"/>
        <w:rPr>
          <w:rFonts w:ascii="宋体" w:hAnsi="宋体"/>
        </w:rPr>
      </w:pPr>
      <w:r>
        <w:rPr>
          <w:rFonts w:hint="eastAsia" w:ascii="宋体" w:hAnsi="宋体"/>
        </w:rPr>
        <w:t>（10</w:t>
      </w:r>
      <w:r>
        <w:rPr>
          <w:rFonts w:ascii="宋体" w:hAnsi="宋体"/>
        </w:rPr>
        <w:t>）</w:t>
      </w:r>
      <w:r>
        <w:rPr>
          <w:rFonts w:hint="eastAsia" w:ascii="宋体" w:hAnsi="宋体"/>
        </w:rPr>
        <w:t>产品制造商的白皮书（彩页）、使用说明书</w:t>
      </w:r>
      <w:r>
        <w:rPr>
          <w:rFonts w:hint="eastAsia" w:ascii="宋体" w:hAnsi="宋体" w:cs="宋体"/>
        </w:rPr>
        <w:t>（全文、中英文（如有英文））</w:t>
      </w:r>
      <w:r>
        <w:rPr>
          <w:rFonts w:hint="eastAsia" w:ascii="宋体" w:hAnsi="宋体"/>
        </w:rPr>
        <w:t>、</w:t>
      </w:r>
      <w:r>
        <w:rPr>
          <w:rFonts w:hint="eastAsia" w:ascii="宋体" w:hAnsi="宋体" w:cs="宋体"/>
        </w:rPr>
        <w:t>所投产品的近期检验报告（全本）复印件</w:t>
      </w:r>
      <w:r>
        <w:rPr>
          <w:rFonts w:hint="eastAsia" w:ascii="宋体" w:hAnsi="宋体"/>
        </w:rPr>
        <w:t>；</w:t>
      </w:r>
      <w:r>
        <w:rPr>
          <w:rFonts w:hint="eastAsia" w:ascii="宋体" w:hAnsi="宋体" w:cs="宋体"/>
        </w:rPr>
        <w:t>（如有）</w:t>
      </w:r>
    </w:p>
    <w:p>
      <w:pPr>
        <w:pStyle w:val="2"/>
        <w:spacing w:after="0" w:line="560" w:lineRule="exact"/>
        <w:ind w:firstLine="571" w:firstLineChars="238"/>
        <w:rPr>
          <w:rFonts w:ascii="宋体" w:hAnsi="宋体"/>
        </w:rPr>
      </w:pPr>
      <w:r>
        <w:rPr>
          <w:rFonts w:hint="eastAsia" w:ascii="宋体" w:hAnsi="宋体"/>
        </w:rPr>
        <w:t>（</w:t>
      </w:r>
      <w:r>
        <w:rPr>
          <w:rFonts w:ascii="宋体" w:hAnsi="宋体"/>
        </w:rPr>
        <w:t>1</w:t>
      </w:r>
      <w:r>
        <w:rPr>
          <w:rFonts w:hint="eastAsia" w:ascii="宋体" w:hAnsi="宋体"/>
        </w:rPr>
        <w:t>1）供应商的承诺；</w:t>
      </w:r>
    </w:p>
    <w:p>
      <w:pPr>
        <w:pStyle w:val="2"/>
        <w:spacing w:after="0" w:line="560" w:lineRule="exact"/>
        <w:ind w:firstLine="571" w:firstLineChars="238"/>
        <w:rPr>
          <w:rFonts w:ascii="宋体" w:hAnsi="宋体"/>
        </w:rPr>
      </w:pPr>
      <w:r>
        <w:rPr>
          <w:rFonts w:hint="eastAsia" w:ascii="宋体" w:hAnsi="宋体"/>
        </w:rPr>
        <w:t>（</w:t>
      </w:r>
      <w:r>
        <w:rPr>
          <w:rFonts w:ascii="宋体" w:hAnsi="宋体"/>
        </w:rPr>
        <w:t>1</w:t>
      </w:r>
      <w:r>
        <w:rPr>
          <w:rFonts w:hint="eastAsia" w:ascii="宋体" w:hAnsi="宋体"/>
        </w:rPr>
        <w:t>2）供应商认为需加以说明的其他内容。</w:t>
      </w:r>
    </w:p>
    <w:p>
      <w:pPr>
        <w:pStyle w:val="46"/>
        <w:spacing w:line="560" w:lineRule="exact"/>
        <w:ind w:left="1147" w:leftChars="272" w:hanging="576" w:hangingChars="239"/>
        <w:rPr>
          <w:rFonts w:ascii="宋体" w:hAnsi="宋体"/>
          <w:b/>
        </w:rPr>
      </w:pPr>
      <w:r>
        <w:rPr>
          <w:rFonts w:ascii="宋体" w:hAnsi="宋体"/>
          <w:b/>
        </w:rPr>
        <w:t xml:space="preserve">9.3 </w:t>
      </w:r>
      <w:r>
        <w:rPr>
          <w:rFonts w:hint="eastAsia" w:ascii="宋体" w:hAnsi="宋体"/>
          <w:b/>
        </w:rPr>
        <w:t>资格、资质证明部分：</w:t>
      </w:r>
    </w:p>
    <w:p>
      <w:pPr>
        <w:pStyle w:val="2"/>
        <w:spacing w:after="0" w:line="560" w:lineRule="exact"/>
        <w:ind w:firstLine="571" w:firstLineChars="238"/>
        <w:rPr>
          <w:rFonts w:hint="eastAsia" w:ascii="宋体" w:hAnsi="宋体"/>
          <w:szCs w:val="24"/>
        </w:rPr>
      </w:pPr>
      <w:r>
        <w:rPr>
          <w:rFonts w:hint="eastAsia" w:ascii="宋体" w:hAnsi="宋体"/>
          <w:szCs w:val="24"/>
        </w:rPr>
        <w:t>（</w:t>
      </w:r>
      <w:r>
        <w:rPr>
          <w:rFonts w:ascii="宋体" w:hAnsi="宋体"/>
          <w:szCs w:val="24"/>
        </w:rPr>
        <w:t>1</w:t>
      </w:r>
      <w:r>
        <w:rPr>
          <w:rFonts w:hint="eastAsia" w:ascii="宋体" w:hAnsi="宋体"/>
          <w:szCs w:val="24"/>
        </w:rPr>
        <w:t>）按《政府采购法实施条例》第十七条的规定，应提供的基本资格条件证明材料，详见供应商须知前附表。</w:t>
      </w:r>
    </w:p>
    <w:p>
      <w:pPr>
        <w:pStyle w:val="2"/>
        <w:spacing w:line="560" w:lineRule="exact"/>
        <w:ind w:firstLine="571" w:firstLineChars="238"/>
        <w:rPr>
          <w:rFonts w:hint="eastAsia" w:ascii="宋体" w:hAnsi="宋体"/>
          <w:szCs w:val="24"/>
        </w:rPr>
      </w:pPr>
      <w:r>
        <w:rPr>
          <w:rFonts w:hint="eastAsia" w:ascii="宋体" w:hAnsi="宋体"/>
          <w:szCs w:val="24"/>
        </w:rPr>
        <w:t>（2）法定代表人授权委托书；</w:t>
      </w:r>
    </w:p>
    <w:p>
      <w:pPr>
        <w:pStyle w:val="2"/>
        <w:spacing w:line="560" w:lineRule="exact"/>
        <w:ind w:firstLine="573" w:firstLineChars="238"/>
        <w:rPr>
          <w:rFonts w:hint="eastAsia" w:ascii="宋体" w:hAnsi="宋体"/>
          <w:b/>
          <w:szCs w:val="24"/>
        </w:rPr>
      </w:pPr>
      <w:r>
        <w:rPr>
          <w:rFonts w:hint="eastAsia" w:ascii="宋体" w:hAnsi="宋体"/>
          <w:b/>
          <w:szCs w:val="24"/>
        </w:rPr>
        <w:t>（3）所投产品为进口产品的，须提供</w:t>
      </w:r>
      <w:r>
        <w:rPr>
          <w:rFonts w:hint="eastAsia" w:ascii="宋体" w:hAnsi="宋体"/>
          <w:b/>
          <w:szCs w:val="24"/>
          <w:lang w:eastAsia="zh-CN"/>
        </w:rPr>
        <w:t>制造商的授权书</w:t>
      </w:r>
      <w:r>
        <w:rPr>
          <w:rFonts w:hint="eastAsia" w:ascii="宋体" w:hAnsi="宋体"/>
          <w:b/>
          <w:szCs w:val="24"/>
        </w:rPr>
        <w:t>；</w:t>
      </w:r>
    </w:p>
    <w:p>
      <w:pPr>
        <w:pStyle w:val="2"/>
        <w:spacing w:line="560" w:lineRule="exact"/>
        <w:ind w:firstLine="571" w:firstLineChars="238"/>
        <w:rPr>
          <w:rFonts w:hint="eastAsia" w:ascii="宋体" w:hAnsi="宋体"/>
          <w:szCs w:val="24"/>
        </w:rPr>
      </w:pPr>
      <w:r>
        <w:rPr>
          <w:rFonts w:hint="eastAsia" w:ascii="宋体" w:hAnsi="宋体"/>
          <w:szCs w:val="24"/>
        </w:rPr>
        <w:t xml:space="preserve">（4）所投标医疗设备属国家强制且已开办注册登记业务的，须提供医疗器械注册证（含附表）；所投标医疗科研设备属国家依法管理的计量器具目录（型式批准部分）内的，需提供计量器具型式批准证书；国家或行业主管部门对所属设备有强制性规定的，所投产品必须符合国家或行业主管部门相关规定。 </w:t>
      </w:r>
    </w:p>
    <w:p>
      <w:pPr>
        <w:pStyle w:val="2"/>
        <w:spacing w:line="560" w:lineRule="exact"/>
        <w:ind w:firstLine="571" w:firstLineChars="238"/>
        <w:rPr>
          <w:rFonts w:hint="eastAsia" w:ascii="宋体" w:hAnsi="宋体"/>
          <w:szCs w:val="24"/>
        </w:rPr>
      </w:pPr>
      <w:r>
        <w:rPr>
          <w:rFonts w:hint="eastAsia" w:ascii="宋体" w:hAnsi="宋体"/>
          <w:szCs w:val="24"/>
        </w:rPr>
        <w:t>（5）投标医疗科研设备属国家强制且已开办3C认证业务的，须具有3C认证证书；</w:t>
      </w:r>
    </w:p>
    <w:p>
      <w:pPr>
        <w:pStyle w:val="2"/>
        <w:spacing w:after="0" w:line="560" w:lineRule="exact"/>
        <w:ind w:firstLine="571" w:firstLineChars="238"/>
        <w:rPr>
          <w:rFonts w:hint="eastAsia" w:ascii="宋体" w:hAnsi="宋体"/>
          <w:szCs w:val="24"/>
        </w:rPr>
      </w:pPr>
      <w:r>
        <w:rPr>
          <w:rFonts w:hint="eastAsia" w:ascii="宋体" w:hAnsi="宋体"/>
          <w:szCs w:val="24"/>
        </w:rPr>
        <w:t>（6）医疗器械经营许可证或经营备案凭证（科研设备除外）；</w:t>
      </w:r>
    </w:p>
    <w:p>
      <w:pPr>
        <w:pStyle w:val="2"/>
        <w:spacing w:after="0" w:line="560" w:lineRule="exact"/>
        <w:ind w:firstLine="571" w:firstLineChars="238"/>
        <w:rPr>
          <w:rFonts w:hint="eastAsia" w:ascii="宋体" w:hAnsi="宋体"/>
          <w:szCs w:val="24"/>
        </w:rPr>
      </w:pPr>
      <w:r>
        <w:rPr>
          <w:rFonts w:hint="eastAsia" w:ascii="宋体" w:hAnsi="宋体"/>
          <w:szCs w:val="24"/>
        </w:rPr>
        <w:t>（7）参加政府采购活动前三年内，在经营活动中没有重大违法记录证明的书面承诺；</w:t>
      </w:r>
    </w:p>
    <w:p>
      <w:pPr>
        <w:pStyle w:val="2"/>
        <w:spacing w:after="0" w:line="560" w:lineRule="exact"/>
        <w:ind w:firstLine="571" w:firstLineChars="238"/>
        <w:rPr>
          <w:rFonts w:ascii="宋体" w:hAnsi="宋体"/>
          <w:szCs w:val="24"/>
        </w:rPr>
      </w:pPr>
      <w:r>
        <w:rPr>
          <w:rFonts w:hint="eastAsia" w:ascii="宋体" w:hAnsi="宋体"/>
          <w:szCs w:val="24"/>
        </w:rPr>
        <w:t>（8）“信用中国”、“中国政府采购网”等网站，查询的本供应商未被列入“失信被执行人名单”、“重大税收违法案件当事人名单”、“政府采购严重违法失信行为记录名单”的截图，附在投标文件内；</w:t>
      </w:r>
    </w:p>
    <w:p>
      <w:pPr>
        <w:pStyle w:val="2"/>
        <w:spacing w:after="0" w:line="560" w:lineRule="exact"/>
        <w:ind w:firstLine="571" w:firstLineChars="238"/>
        <w:rPr>
          <w:rFonts w:ascii="宋体" w:hAnsi="宋体"/>
          <w:szCs w:val="24"/>
        </w:rPr>
      </w:pPr>
      <w:r>
        <w:rPr>
          <w:rFonts w:hint="eastAsia" w:ascii="宋体" w:hAnsi="宋体" w:cs="宋体"/>
          <w:szCs w:val="24"/>
        </w:rPr>
        <w:t>（9）符合本项目要求的资质条件证明材料，或符合本项目要求的经营许可、制造许可、特许经营许可、产品登记</w:t>
      </w:r>
      <w:r>
        <w:rPr>
          <w:rFonts w:ascii="宋体" w:hAnsi="宋体" w:cs="宋体"/>
          <w:szCs w:val="24"/>
        </w:rPr>
        <w:t>(</w:t>
      </w:r>
      <w:r>
        <w:rPr>
          <w:rFonts w:hint="eastAsia" w:ascii="宋体" w:hAnsi="宋体" w:cs="宋体"/>
          <w:szCs w:val="24"/>
        </w:rPr>
        <w:t>备案</w:t>
      </w:r>
      <w:r>
        <w:rPr>
          <w:rFonts w:ascii="宋体" w:hAnsi="宋体" w:cs="宋体"/>
          <w:szCs w:val="24"/>
        </w:rPr>
        <w:t>/</w:t>
      </w:r>
      <w:r>
        <w:rPr>
          <w:rFonts w:hint="eastAsia" w:ascii="宋体" w:hAnsi="宋体" w:cs="宋体"/>
          <w:szCs w:val="24"/>
        </w:rPr>
        <w:t>注册</w:t>
      </w:r>
      <w:r>
        <w:rPr>
          <w:rFonts w:ascii="宋体" w:hAnsi="宋体" w:cs="宋体"/>
          <w:szCs w:val="24"/>
        </w:rPr>
        <w:t>)</w:t>
      </w:r>
      <w:r>
        <w:rPr>
          <w:rFonts w:hint="eastAsia" w:ascii="宋体" w:hAnsi="宋体" w:cs="宋体"/>
          <w:szCs w:val="24"/>
        </w:rPr>
        <w:t>证书、各类认证证书等证明材料；</w:t>
      </w:r>
    </w:p>
    <w:p>
      <w:pPr>
        <w:pStyle w:val="2"/>
        <w:spacing w:after="0" w:line="560" w:lineRule="exact"/>
        <w:ind w:firstLine="571" w:firstLineChars="238"/>
        <w:rPr>
          <w:rFonts w:ascii="宋体" w:hAnsi="宋体"/>
        </w:rPr>
      </w:pPr>
      <w:r>
        <w:rPr>
          <w:rFonts w:hint="eastAsia" w:ascii="宋体" w:hAnsi="宋体"/>
        </w:rPr>
        <w:t>（10）供应商认为需要提交的其他相关证明文件。</w:t>
      </w:r>
    </w:p>
    <w:p>
      <w:pPr>
        <w:pStyle w:val="2"/>
        <w:spacing w:after="0" w:line="560" w:lineRule="exact"/>
        <w:ind w:firstLine="573" w:firstLineChars="238"/>
        <w:rPr>
          <w:rFonts w:hint="eastAsia" w:ascii="宋体" w:hAnsi="宋体"/>
          <w:b/>
        </w:rPr>
      </w:pPr>
      <w:r>
        <w:rPr>
          <w:rFonts w:hint="eastAsia" w:ascii="宋体" w:hAnsi="宋体"/>
          <w:b/>
        </w:rPr>
        <w:t>9.4 供应商将上述三个部分胶装装订在一起（双面打印），并在首页编制连续页码。因未按上述顺序装订或投标文件未胶装散页导致无法评审等，由此造成的评审问题由供应商自行承担责任。</w:t>
      </w:r>
    </w:p>
    <w:p>
      <w:pPr>
        <w:pStyle w:val="2"/>
        <w:spacing w:after="0" w:line="560" w:lineRule="exact"/>
        <w:ind w:firstLine="602" w:firstLineChars="250"/>
        <w:rPr>
          <w:rFonts w:ascii="宋体" w:hAnsi="宋体"/>
          <w:b/>
        </w:rPr>
      </w:pPr>
      <w:r>
        <w:rPr>
          <w:rFonts w:hint="eastAsia" w:ascii="宋体" w:hAnsi="宋体"/>
          <w:b/>
          <w:bCs/>
          <w:kern w:val="2"/>
        </w:rPr>
        <w:t>备注：每份投标文件的厚度不超过</w:t>
      </w:r>
      <w:r>
        <w:rPr>
          <w:rFonts w:ascii="宋体" w:hAnsi="宋体"/>
          <w:b/>
          <w:bCs/>
          <w:kern w:val="2"/>
        </w:rPr>
        <w:t>4.5cm</w:t>
      </w:r>
      <w:r>
        <w:rPr>
          <w:rFonts w:hint="eastAsia" w:ascii="宋体" w:hAnsi="宋体"/>
          <w:b/>
          <w:bCs/>
          <w:kern w:val="2"/>
        </w:rPr>
        <w:t>，若超过</w:t>
      </w:r>
      <w:r>
        <w:rPr>
          <w:rFonts w:ascii="宋体" w:hAnsi="宋体"/>
          <w:b/>
          <w:bCs/>
          <w:kern w:val="2"/>
        </w:rPr>
        <w:t>4.5cm</w:t>
      </w:r>
      <w:r>
        <w:rPr>
          <w:rFonts w:hint="eastAsia" w:ascii="宋体" w:hAnsi="宋体"/>
          <w:b/>
          <w:bCs/>
          <w:kern w:val="2"/>
        </w:rPr>
        <w:t>，可分上下册装订。</w:t>
      </w:r>
    </w:p>
    <w:p>
      <w:pPr>
        <w:pStyle w:val="2"/>
        <w:tabs>
          <w:tab w:val="left" w:pos="955"/>
        </w:tabs>
        <w:spacing w:after="0" w:line="560" w:lineRule="exact"/>
        <w:ind w:left="1146" w:leftChars="273" w:hanging="573" w:hangingChars="238"/>
        <w:rPr>
          <w:rFonts w:ascii="宋体" w:hAnsi="宋体"/>
          <w:b/>
        </w:rPr>
      </w:pPr>
      <w:r>
        <w:rPr>
          <w:rFonts w:ascii="宋体" w:hAnsi="宋体"/>
          <w:b/>
        </w:rPr>
        <w:t xml:space="preserve">10.  </w:t>
      </w:r>
      <w:r>
        <w:rPr>
          <w:rFonts w:hint="eastAsia" w:ascii="宋体" w:hAnsi="宋体"/>
          <w:b/>
        </w:rPr>
        <w:t>投标报价</w:t>
      </w:r>
      <w:bookmarkEnd w:id="36"/>
      <w:bookmarkEnd w:id="37"/>
      <w:bookmarkEnd w:id="38"/>
    </w:p>
    <w:p>
      <w:pPr>
        <w:pStyle w:val="2"/>
        <w:spacing w:after="0" w:line="560" w:lineRule="exact"/>
        <w:ind w:firstLine="573" w:firstLineChars="238"/>
        <w:rPr>
          <w:rFonts w:hint="eastAsia" w:ascii="宋体" w:hAnsi="宋体"/>
          <w:b/>
        </w:rPr>
      </w:pPr>
      <w:r>
        <w:rPr>
          <w:rFonts w:ascii="宋体" w:hAnsi="宋体"/>
          <w:b/>
        </w:rPr>
        <w:t>10.1</w:t>
      </w:r>
      <w:r>
        <w:rPr>
          <w:rFonts w:hint="eastAsia" w:ascii="宋体" w:hAnsi="宋体"/>
          <w:b/>
        </w:rPr>
        <w:t>供应商的投标报价应包含货物出厂价格、包装运输费、安装费（如有）、伴随服务费及其他费用等全部费用（包括设备及附件备件制造费、包装费、运输费、卸车费、保管费、检验费、验收费、及其他附带服务的费用、利润、税金、以及质保期内的售后服务及其它相关费用等全部费用）。</w:t>
      </w:r>
    </w:p>
    <w:p>
      <w:pPr>
        <w:pStyle w:val="2"/>
        <w:spacing w:after="0" w:line="560" w:lineRule="exact"/>
        <w:ind w:firstLine="573" w:firstLineChars="238"/>
        <w:rPr>
          <w:rFonts w:ascii="宋体" w:hAnsi="宋体"/>
          <w:b/>
        </w:rPr>
      </w:pPr>
      <w:r>
        <w:rPr>
          <w:rFonts w:hint="eastAsia" w:ascii="宋体" w:hAnsi="宋体"/>
          <w:b/>
        </w:rPr>
        <w:t>设备费，技术服务费，安装及调试费、培训费，设计和技术资料费，专用工具费、备品备件费(列单价和数量)、伴随服务费和海运运费、保险费，分别在分项报价表中予以单列，并列出数量和单价，计入投标总价。</w:t>
      </w:r>
    </w:p>
    <w:p>
      <w:pPr>
        <w:pStyle w:val="2"/>
        <w:spacing w:after="0" w:line="560" w:lineRule="exact"/>
        <w:ind w:firstLine="573" w:firstLineChars="238"/>
        <w:rPr>
          <w:rFonts w:hint="eastAsia" w:ascii="宋体" w:hAnsi="宋体"/>
          <w:b/>
        </w:rPr>
      </w:pPr>
      <w:r>
        <w:rPr>
          <w:rFonts w:hint="eastAsia" w:ascii="宋体" w:hAnsi="宋体"/>
          <w:b/>
        </w:rPr>
        <w:t>供应商所报产品属于进口产品的，应采用CIP用户现场人民币报价（不含税），合同履行付款结算以人民币报价进行支付，汇率波动风险由中标供应商承担。</w:t>
      </w:r>
    </w:p>
    <w:p>
      <w:pPr>
        <w:pStyle w:val="2"/>
        <w:spacing w:after="0" w:line="560" w:lineRule="exact"/>
        <w:ind w:firstLine="573" w:firstLineChars="238"/>
        <w:rPr>
          <w:rFonts w:ascii="宋体" w:hAnsi="宋体"/>
          <w:b/>
        </w:rPr>
      </w:pPr>
      <w:r>
        <w:rPr>
          <w:rFonts w:ascii="宋体" w:hAnsi="宋体"/>
          <w:b/>
        </w:rPr>
        <w:t>10.2</w:t>
      </w:r>
      <w:r>
        <w:rPr>
          <w:rFonts w:hint="eastAsia" w:ascii="宋体" w:hAnsi="宋体"/>
          <w:b/>
        </w:rPr>
        <w:t>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pStyle w:val="2"/>
        <w:spacing w:after="0" w:line="560" w:lineRule="exact"/>
        <w:ind w:firstLine="571" w:firstLineChars="238"/>
        <w:rPr>
          <w:rFonts w:ascii="宋体" w:hAnsi="宋体"/>
          <w:color w:val="7030A0"/>
        </w:rPr>
      </w:pPr>
      <w:r>
        <w:rPr>
          <w:rFonts w:ascii="宋体" w:hAnsi="宋体"/>
        </w:rPr>
        <w:t>10.3供应商应按照招标文件附件提供的</w:t>
      </w:r>
      <w:r>
        <w:rPr>
          <w:rFonts w:hint="eastAsia" w:ascii="宋体" w:hAnsi="宋体"/>
        </w:rPr>
        <w:t>报价表格</w:t>
      </w:r>
      <w:r>
        <w:rPr>
          <w:rFonts w:ascii="宋体" w:hAnsi="宋体"/>
        </w:rPr>
        <w:t>格式填写</w:t>
      </w:r>
      <w:r>
        <w:rPr>
          <w:rFonts w:hint="eastAsia" w:ascii="宋体" w:hAnsi="宋体"/>
          <w:color w:val="7030A0"/>
        </w:rPr>
        <w:t>。</w:t>
      </w:r>
    </w:p>
    <w:p>
      <w:pPr>
        <w:pStyle w:val="2"/>
        <w:spacing w:after="0" w:line="560" w:lineRule="exact"/>
        <w:ind w:firstLine="571" w:firstLineChars="238"/>
        <w:rPr>
          <w:rFonts w:ascii="宋体" w:hAnsi="宋体"/>
        </w:rPr>
      </w:pPr>
      <w:r>
        <w:rPr>
          <w:rFonts w:ascii="宋体" w:hAnsi="宋体"/>
        </w:rPr>
        <w:t>10.</w:t>
      </w:r>
      <w:r>
        <w:rPr>
          <w:rFonts w:hint="eastAsia" w:ascii="宋体" w:hAnsi="宋体"/>
        </w:rPr>
        <w:t>4供应商的投标报价明显低于其他合格供应商的报价的，有可能影响商品质量和不能诚信履约的，评标委员会有权要求其在规定的时间内提供书面文件予以解释说明，并提交相关证明材料；否则，</w:t>
      </w:r>
      <w:r>
        <w:rPr>
          <w:rFonts w:hint="eastAsia" w:ascii="宋体" w:hAnsi="宋体" w:cs="宋体"/>
          <w:b/>
          <w:bCs/>
        </w:rPr>
        <w:t>评标委员会可以认定其投标为低于成本价的投标，按无效投标处理</w:t>
      </w:r>
      <w:r>
        <w:rPr>
          <w:rFonts w:hint="eastAsia" w:ascii="宋体" w:hAnsi="宋体"/>
        </w:rPr>
        <w:t>。</w:t>
      </w:r>
    </w:p>
    <w:p>
      <w:pPr>
        <w:pStyle w:val="2"/>
        <w:spacing w:after="0" w:line="560" w:lineRule="exact"/>
        <w:ind w:firstLine="573" w:firstLineChars="238"/>
        <w:rPr>
          <w:rFonts w:ascii="宋体" w:hAnsi="宋体"/>
          <w:b/>
        </w:rPr>
      </w:pPr>
      <w:r>
        <w:rPr>
          <w:rFonts w:ascii="宋体" w:hAnsi="宋体"/>
          <w:b/>
        </w:rPr>
        <w:t>10.</w:t>
      </w:r>
      <w:r>
        <w:rPr>
          <w:rFonts w:hint="eastAsia" w:ascii="宋体" w:hAnsi="宋体"/>
          <w:b/>
        </w:rPr>
        <w:t>6单独密封的开标一览表与投标文件正本不符，以开标一览表为准，但开标一览表有明确文字错误的除外。正本与副本有不一致之处，以正本为准。</w:t>
      </w:r>
    </w:p>
    <w:p>
      <w:pPr>
        <w:pStyle w:val="2"/>
        <w:spacing w:after="0" w:line="560" w:lineRule="exact"/>
        <w:ind w:firstLine="573" w:firstLineChars="238"/>
        <w:rPr>
          <w:rFonts w:ascii="宋体" w:hAnsi="宋体"/>
          <w:b/>
        </w:rPr>
      </w:pPr>
      <w:r>
        <w:rPr>
          <w:rFonts w:ascii="宋体" w:hAnsi="宋体"/>
          <w:b/>
        </w:rPr>
        <w:t>10.</w:t>
      </w:r>
      <w:r>
        <w:rPr>
          <w:rFonts w:hint="eastAsia" w:ascii="宋体" w:hAnsi="宋体"/>
          <w:b/>
        </w:rPr>
        <w:t>7</w:t>
      </w:r>
      <w:r>
        <w:rPr>
          <w:rFonts w:ascii="宋体" w:hAnsi="宋体"/>
          <w:b/>
        </w:rPr>
        <w:t xml:space="preserve"> </w:t>
      </w:r>
      <w:r>
        <w:rPr>
          <w:rFonts w:hint="eastAsia" w:ascii="宋体" w:hAnsi="宋体"/>
          <w:b/>
        </w:rPr>
        <w:t>如果大写金额和小写金额不一致时，以大写金额为准。</w:t>
      </w:r>
    </w:p>
    <w:p>
      <w:pPr>
        <w:pStyle w:val="2"/>
        <w:spacing w:after="0" w:line="560" w:lineRule="exact"/>
        <w:ind w:left="1146" w:leftChars="273" w:hanging="573" w:hangingChars="238"/>
        <w:rPr>
          <w:rFonts w:ascii="宋体" w:hAnsi="宋体"/>
          <w:b/>
          <w:bCs/>
        </w:rPr>
      </w:pPr>
      <w:bookmarkStart w:id="39" w:name="_Toc346306753"/>
      <w:bookmarkStart w:id="40" w:name="_Toc346372900"/>
      <w:bookmarkStart w:id="41" w:name="_Toc352332874"/>
      <w:r>
        <w:rPr>
          <w:rFonts w:ascii="宋体" w:hAnsi="宋体"/>
          <w:b/>
          <w:bCs/>
        </w:rPr>
        <w:t xml:space="preserve">11.  </w:t>
      </w:r>
      <w:r>
        <w:rPr>
          <w:rFonts w:hint="eastAsia" w:ascii="宋体" w:hAnsi="宋体"/>
          <w:b/>
          <w:bCs/>
        </w:rPr>
        <w:t>投标文件编写</w:t>
      </w:r>
    </w:p>
    <w:p>
      <w:pPr>
        <w:pStyle w:val="2"/>
        <w:spacing w:after="0" w:line="560" w:lineRule="exact"/>
        <w:ind w:firstLine="571" w:firstLineChars="238"/>
        <w:rPr>
          <w:rFonts w:ascii="宋体" w:hAnsi="宋体"/>
        </w:rPr>
      </w:pPr>
      <w:r>
        <w:rPr>
          <w:rFonts w:ascii="宋体" w:hAnsi="宋体"/>
        </w:rPr>
        <w:t>11.1</w:t>
      </w:r>
      <w:r>
        <w:rPr>
          <w:rFonts w:hint="eastAsia" w:ascii="宋体" w:hAnsi="宋体"/>
        </w:rPr>
        <w:t>投标文件应按“投标文件组成”进行编写，如有必要，可以增加附页，作为投标文件的组成部分。</w:t>
      </w:r>
    </w:p>
    <w:p>
      <w:pPr>
        <w:pStyle w:val="2"/>
        <w:spacing w:after="0" w:line="560" w:lineRule="exact"/>
        <w:ind w:firstLine="571" w:firstLineChars="238"/>
        <w:rPr>
          <w:rFonts w:ascii="宋体" w:hAnsi="宋体"/>
        </w:rPr>
      </w:pPr>
      <w:r>
        <w:rPr>
          <w:rFonts w:ascii="宋体" w:hAnsi="宋体"/>
        </w:rPr>
        <w:t>11.2</w:t>
      </w:r>
      <w:r>
        <w:rPr>
          <w:rFonts w:hint="eastAsia" w:ascii="宋体" w:hAnsi="宋体"/>
        </w:rPr>
        <w:t>投标文件应用不褪色的材料打印或复印（</w:t>
      </w:r>
      <w:r>
        <w:rPr>
          <w:rFonts w:ascii="宋体" w:hAnsi="宋体"/>
        </w:rPr>
        <w:t>A4</w:t>
      </w:r>
      <w:r>
        <w:rPr>
          <w:rFonts w:hint="eastAsia" w:ascii="宋体" w:hAnsi="宋体"/>
        </w:rPr>
        <w:t>幅面）。</w:t>
      </w:r>
    </w:p>
    <w:p>
      <w:pPr>
        <w:pStyle w:val="2"/>
        <w:spacing w:after="0" w:line="560" w:lineRule="exact"/>
        <w:ind w:firstLine="573" w:firstLineChars="238"/>
        <w:rPr>
          <w:rFonts w:ascii="宋体" w:hAnsi="宋体"/>
          <w:b/>
        </w:rPr>
      </w:pPr>
      <w:r>
        <w:rPr>
          <w:rFonts w:ascii="宋体" w:hAnsi="宋体"/>
          <w:b/>
        </w:rPr>
        <w:t>11.3</w:t>
      </w:r>
      <w:r>
        <w:rPr>
          <w:rFonts w:hint="eastAsia" w:ascii="宋体" w:hAnsi="宋体"/>
          <w:b/>
        </w:rPr>
        <w:t>投标文件应尽量避免涂改、行间插字或删除。如果出现上述情况，改动之处应加盖单位章或由供应商的法定代表人或其委托代理人签字确认。</w:t>
      </w:r>
    </w:p>
    <w:p>
      <w:pPr>
        <w:pStyle w:val="2"/>
        <w:spacing w:line="560" w:lineRule="exact"/>
        <w:ind w:firstLine="573" w:firstLineChars="238"/>
        <w:rPr>
          <w:rFonts w:ascii="宋体" w:hAnsi="宋体"/>
          <w:b/>
        </w:rPr>
      </w:pPr>
      <w:r>
        <w:rPr>
          <w:rFonts w:ascii="宋体" w:hAnsi="宋体"/>
          <w:b/>
        </w:rPr>
        <w:t>11.4</w:t>
      </w:r>
      <w:r>
        <w:rPr>
          <w:rFonts w:hint="eastAsia" w:ascii="宋体" w:hAnsi="宋体"/>
          <w:b/>
        </w:rPr>
        <w:t>供应商须如实响应招标文件要求，在投标文件中如实提供其技术指标，如必要，应说明其测试条件和测试方法并提供原厂技术资料（</w:t>
      </w:r>
      <w:r>
        <w:rPr>
          <w:rFonts w:ascii="宋体" w:hAnsi="宋体"/>
          <w:b/>
        </w:rPr>
        <w:t>DataSheet</w:t>
      </w:r>
      <w:r>
        <w:rPr>
          <w:rFonts w:hint="eastAsia" w:ascii="宋体" w:hAnsi="宋体"/>
          <w:b/>
        </w:rPr>
        <w:t>）并盖章，作为最终认定证据。供应商不得复制粘贴招标文件中的技术及商务响应一览表中的参数及要求作为其投标文件的响应情况，否则，评标委员会有权作出不利于供应商的认定。</w:t>
      </w:r>
    </w:p>
    <w:p>
      <w:pPr>
        <w:pStyle w:val="2"/>
        <w:spacing w:line="560" w:lineRule="exact"/>
        <w:ind w:firstLine="573" w:firstLineChars="238"/>
        <w:rPr>
          <w:rFonts w:ascii="宋体" w:hAnsi="宋体"/>
          <w:b/>
        </w:rPr>
      </w:pPr>
      <w:r>
        <w:rPr>
          <w:rFonts w:ascii="宋体" w:hAnsi="宋体"/>
          <w:b/>
        </w:rPr>
        <w:t>11.5</w:t>
      </w:r>
      <w:r>
        <w:rPr>
          <w:rFonts w:hint="eastAsia" w:ascii="宋体" w:hAnsi="宋体"/>
          <w:b/>
        </w:rPr>
        <w:t>供应商应提供设备主要技术指标、规格和性能、技术参数值的详细说明，并提供设备制造商的白皮书或制造商对外公布的宣传彩页或加盖制造商公章的其他证明材料，招标代理及评标委员会均不接受上述要求以外的的彩色影印件（或扫描件）、黑白图片或网站截图等其他方式的证明材料，否则，评标委员会有权作出不利于供应商的认定。</w:t>
      </w:r>
    </w:p>
    <w:p>
      <w:pPr>
        <w:pStyle w:val="2"/>
        <w:spacing w:line="560" w:lineRule="exact"/>
        <w:ind w:firstLine="573" w:firstLineChars="238"/>
        <w:rPr>
          <w:rFonts w:ascii="宋体" w:hAnsi="宋体"/>
          <w:b/>
        </w:rPr>
      </w:pPr>
      <w:r>
        <w:rPr>
          <w:rFonts w:ascii="宋体" w:hAnsi="宋体"/>
          <w:b/>
        </w:rPr>
        <w:t xml:space="preserve">11.6 </w:t>
      </w:r>
      <w:r>
        <w:rPr>
          <w:rFonts w:hint="eastAsia" w:ascii="宋体" w:hAnsi="宋体"/>
          <w:b/>
        </w:rPr>
        <w:t>若投标文件中供应商针对商务、技术响应表的响应情况与制造商提供的证明材料不相符，有可能导致其技术响应不满足招标文件要求的，评标委员会有权作出不利于供应商的认定。</w:t>
      </w:r>
    </w:p>
    <w:p>
      <w:pPr>
        <w:pStyle w:val="2"/>
        <w:spacing w:after="0" w:line="560" w:lineRule="exact"/>
        <w:ind w:firstLine="573" w:firstLineChars="238"/>
        <w:rPr>
          <w:rFonts w:ascii="宋体" w:hAnsi="宋体"/>
          <w:b/>
        </w:rPr>
      </w:pPr>
      <w:r>
        <w:rPr>
          <w:rFonts w:ascii="宋体" w:hAnsi="宋体"/>
          <w:b/>
        </w:rPr>
        <w:t>11.7</w:t>
      </w:r>
      <w:r>
        <w:rPr>
          <w:rFonts w:hint="eastAsia" w:ascii="宋体" w:hAnsi="宋体"/>
          <w:b/>
        </w:rPr>
        <w:t>供应商提供的支持资料和已印刷的文献（如有关货物</w:t>
      </w:r>
      <w:r>
        <w:rPr>
          <w:rFonts w:ascii="宋体" w:hAnsi="宋体"/>
          <w:b/>
        </w:rPr>
        <w:t>/</w:t>
      </w:r>
      <w:r>
        <w:rPr>
          <w:rFonts w:hint="eastAsia" w:ascii="宋体" w:hAnsi="宋体"/>
          <w:b/>
        </w:rPr>
        <w:t>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pStyle w:val="2"/>
        <w:spacing w:after="0" w:line="560" w:lineRule="exact"/>
        <w:ind w:firstLine="573" w:firstLineChars="238"/>
        <w:rPr>
          <w:rFonts w:ascii="宋体" w:hAnsi="宋体"/>
          <w:b/>
        </w:rPr>
      </w:pPr>
      <w:r>
        <w:rPr>
          <w:rFonts w:ascii="宋体" w:hAnsi="宋体"/>
          <w:b/>
        </w:rPr>
        <w:t>11.</w:t>
      </w:r>
      <w:r>
        <w:rPr>
          <w:rFonts w:hint="eastAsia" w:ascii="宋体" w:hAnsi="宋体"/>
          <w:b/>
        </w:rPr>
        <w:t>8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任何情况下，对于供应商没有在任何情况下对于供应商没有在偏离表中明确、清楚地披露的事项，包括可能属于被供应商在偏离表中遗漏披露的事项，一旦在评审中被发现存在偏离或被认定为属于偏离，则评标委员会有权视具体情形评分时予以处理，乃至对该投标予以拒绝。</w:t>
      </w:r>
    </w:p>
    <w:p>
      <w:pPr>
        <w:pStyle w:val="2"/>
        <w:spacing w:after="0" w:line="560" w:lineRule="exact"/>
        <w:ind w:left="1146" w:leftChars="273" w:hanging="573" w:hangingChars="238"/>
        <w:rPr>
          <w:rFonts w:ascii="宋体" w:hAnsi="宋体"/>
          <w:b/>
          <w:bCs/>
        </w:rPr>
      </w:pPr>
      <w:r>
        <w:rPr>
          <w:rFonts w:ascii="宋体" w:hAnsi="宋体"/>
          <w:b/>
          <w:bCs/>
        </w:rPr>
        <w:t xml:space="preserve">12.  </w:t>
      </w:r>
      <w:r>
        <w:rPr>
          <w:rFonts w:hint="eastAsia" w:ascii="宋体" w:hAnsi="宋体"/>
          <w:b/>
          <w:bCs/>
        </w:rPr>
        <w:t>投标文件签署</w:t>
      </w:r>
    </w:p>
    <w:p>
      <w:pPr>
        <w:pStyle w:val="2"/>
        <w:spacing w:after="0" w:line="560" w:lineRule="exact"/>
        <w:ind w:firstLine="573" w:firstLineChars="238"/>
        <w:rPr>
          <w:rFonts w:ascii="宋体" w:hAnsi="宋体"/>
          <w:b/>
        </w:rPr>
      </w:pPr>
      <w:r>
        <w:rPr>
          <w:rFonts w:hint="eastAsia" w:ascii="宋体" w:hAnsi="宋体"/>
          <w:b/>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未按招标文件要求签署及盖章的投标文件无效。</w:t>
      </w:r>
    </w:p>
    <w:p>
      <w:pPr>
        <w:pStyle w:val="2"/>
        <w:spacing w:after="0" w:line="560" w:lineRule="exact"/>
        <w:ind w:left="1146" w:leftChars="273" w:hanging="573" w:hangingChars="238"/>
        <w:rPr>
          <w:rFonts w:ascii="宋体" w:hAnsi="宋体"/>
          <w:b/>
          <w:bCs/>
        </w:rPr>
      </w:pPr>
      <w:r>
        <w:rPr>
          <w:rFonts w:ascii="宋体" w:hAnsi="宋体"/>
          <w:b/>
          <w:bCs/>
        </w:rPr>
        <w:t xml:space="preserve">13.  </w:t>
      </w:r>
      <w:r>
        <w:rPr>
          <w:rFonts w:hint="eastAsia" w:ascii="宋体" w:hAnsi="宋体"/>
          <w:b/>
          <w:bCs/>
        </w:rPr>
        <w:t>投标文件密封和标记</w:t>
      </w:r>
    </w:p>
    <w:p>
      <w:pPr>
        <w:pStyle w:val="2"/>
        <w:spacing w:after="0" w:line="560" w:lineRule="exact"/>
        <w:ind w:firstLine="571" w:firstLineChars="238"/>
        <w:rPr>
          <w:rFonts w:ascii="宋体" w:hAnsi="宋体"/>
        </w:rPr>
      </w:pPr>
      <w:r>
        <w:rPr>
          <w:rFonts w:ascii="宋体" w:hAnsi="宋体"/>
        </w:rPr>
        <w:t>13.1</w:t>
      </w:r>
      <w:r>
        <w:rPr>
          <w:rFonts w:hint="eastAsia" w:ascii="宋体" w:hAnsi="宋体"/>
        </w:rPr>
        <w:t>供应商应准备的投标文件份数见供应商须知前附表，供应商应在每一份投标文件上注明“正本”或“副本”字样。</w:t>
      </w:r>
    </w:p>
    <w:p>
      <w:pPr>
        <w:pStyle w:val="2"/>
        <w:spacing w:after="0" w:line="560" w:lineRule="exact"/>
        <w:ind w:firstLine="571" w:firstLineChars="238"/>
        <w:rPr>
          <w:rFonts w:ascii="宋体" w:hAnsi="宋体"/>
        </w:rPr>
      </w:pPr>
      <w:r>
        <w:rPr>
          <w:rFonts w:ascii="宋体" w:hAnsi="宋体"/>
        </w:rPr>
        <w:t>13.2</w:t>
      </w:r>
      <w:r>
        <w:rPr>
          <w:rFonts w:hint="eastAsia" w:ascii="宋体" w:hAnsi="宋体"/>
        </w:rPr>
        <w:t>投标文件的密封和标记详见供应商须知前附表。</w:t>
      </w:r>
    </w:p>
    <w:p>
      <w:pPr>
        <w:pStyle w:val="2"/>
        <w:spacing w:after="0" w:line="560" w:lineRule="exact"/>
        <w:ind w:firstLine="571" w:firstLineChars="238"/>
        <w:rPr>
          <w:rFonts w:ascii="宋体" w:hAnsi="宋体"/>
        </w:rPr>
      </w:pPr>
      <w:r>
        <w:rPr>
          <w:rFonts w:ascii="宋体" w:hAnsi="宋体"/>
        </w:rPr>
        <w:t>13.3</w:t>
      </w:r>
      <w:r>
        <w:rPr>
          <w:rFonts w:hint="eastAsia" w:ascii="宋体" w:hAnsi="宋体"/>
        </w:rPr>
        <w:t>如果供应商未按上述要求对投标文件密封及加写标记，招标人及招标代理对投标文件的误投和提前启封概不负责。对由此造成提前开封的投标文件，招标人及招标代理有权予以拒绝，并退回供应商。</w:t>
      </w:r>
    </w:p>
    <w:p>
      <w:pPr>
        <w:pStyle w:val="2"/>
        <w:spacing w:after="0" w:line="560" w:lineRule="exact"/>
        <w:ind w:left="1146" w:leftChars="273" w:hanging="573" w:hangingChars="238"/>
        <w:rPr>
          <w:rFonts w:ascii="宋体" w:hAnsi="宋体"/>
          <w:b/>
          <w:bCs/>
        </w:rPr>
      </w:pPr>
      <w:r>
        <w:rPr>
          <w:rFonts w:ascii="宋体" w:hAnsi="宋体"/>
          <w:b/>
          <w:bCs/>
        </w:rPr>
        <w:t xml:space="preserve">14.  </w:t>
      </w:r>
      <w:r>
        <w:rPr>
          <w:rFonts w:hint="eastAsia" w:ascii="宋体" w:hAnsi="宋体"/>
          <w:b/>
          <w:bCs/>
        </w:rPr>
        <w:t>投标文件装订</w:t>
      </w:r>
    </w:p>
    <w:p>
      <w:pPr>
        <w:pStyle w:val="2"/>
        <w:spacing w:after="0" w:line="560" w:lineRule="exact"/>
        <w:ind w:firstLine="600" w:firstLineChars="250"/>
        <w:rPr>
          <w:rFonts w:ascii="宋体" w:hAnsi="宋体"/>
        </w:rPr>
      </w:pPr>
      <w:r>
        <w:rPr>
          <w:rFonts w:hint="eastAsia" w:ascii="宋体" w:hAnsi="宋体"/>
        </w:rPr>
        <w:t>详见供应商须知前附表。</w:t>
      </w:r>
    </w:p>
    <w:p>
      <w:pPr>
        <w:pStyle w:val="2"/>
        <w:spacing w:after="0" w:line="560" w:lineRule="exact"/>
        <w:ind w:left="1146" w:leftChars="273" w:hanging="573" w:hangingChars="238"/>
        <w:rPr>
          <w:rFonts w:ascii="宋体" w:hAnsi="宋体"/>
          <w:b/>
          <w:bCs/>
        </w:rPr>
      </w:pPr>
      <w:r>
        <w:rPr>
          <w:rFonts w:ascii="宋体" w:hAnsi="宋体"/>
          <w:b/>
          <w:bCs/>
        </w:rPr>
        <w:t xml:space="preserve">15.  </w:t>
      </w:r>
      <w:r>
        <w:rPr>
          <w:rFonts w:hint="eastAsia" w:ascii="宋体" w:hAnsi="宋体"/>
          <w:b/>
          <w:bCs/>
        </w:rPr>
        <w:t>投标保证金</w:t>
      </w:r>
    </w:p>
    <w:p>
      <w:pPr>
        <w:pStyle w:val="2"/>
        <w:spacing w:after="0" w:line="560" w:lineRule="exact"/>
        <w:ind w:firstLine="571" w:firstLineChars="238"/>
        <w:rPr>
          <w:rFonts w:ascii="宋体" w:hAnsi="宋体"/>
        </w:rPr>
      </w:pPr>
      <w:r>
        <w:rPr>
          <w:rFonts w:ascii="宋体" w:hAnsi="宋体"/>
        </w:rPr>
        <w:t>15.1</w:t>
      </w:r>
      <w:r>
        <w:rPr>
          <w:rFonts w:hint="eastAsia" w:ascii="宋体" w:hAnsi="宋体"/>
        </w:rPr>
        <w:t>供应商应按前附表的规定提交投标保证金，作为其投标文件的一部分。</w:t>
      </w:r>
    </w:p>
    <w:p>
      <w:pPr>
        <w:pStyle w:val="2"/>
        <w:spacing w:after="0" w:line="560" w:lineRule="exact"/>
        <w:ind w:firstLine="571" w:firstLineChars="238"/>
        <w:rPr>
          <w:rFonts w:ascii="宋体" w:hAnsi="宋体"/>
        </w:rPr>
      </w:pPr>
      <w:r>
        <w:rPr>
          <w:rFonts w:ascii="宋体" w:hAnsi="宋体"/>
        </w:rPr>
        <w:t>15.2</w:t>
      </w:r>
      <w:r>
        <w:rPr>
          <w:rFonts w:hint="eastAsia" w:ascii="宋体" w:hAnsi="宋体"/>
          <w:b/>
        </w:rPr>
        <w:t>如供应商有下列情况，投标保证金不予退还，采购人和代理机构有权依法向其提出索赔，供应商应当赔偿因此给采购人造成的全部损失</w:t>
      </w:r>
      <w:r>
        <w:rPr>
          <w:rFonts w:hint="eastAsia" w:ascii="宋体" w:hAnsi="宋体"/>
        </w:rPr>
        <w:t>：</w:t>
      </w:r>
    </w:p>
    <w:p>
      <w:pPr>
        <w:pStyle w:val="2"/>
        <w:spacing w:after="0" w:line="560" w:lineRule="exact"/>
        <w:ind w:firstLine="571" w:firstLineChars="238"/>
        <w:rPr>
          <w:rFonts w:ascii="宋体" w:hAnsi="宋体"/>
        </w:rPr>
      </w:pPr>
      <w:r>
        <w:rPr>
          <w:rFonts w:ascii="宋体" w:hAnsi="宋体"/>
        </w:rPr>
        <w:t>1</w:t>
      </w:r>
      <w:r>
        <w:rPr>
          <w:rFonts w:hint="eastAsia" w:ascii="宋体" w:hAnsi="宋体"/>
        </w:rPr>
        <w:t>）开标后，供应商在投标有效期内撤回投标的；</w:t>
      </w:r>
    </w:p>
    <w:p>
      <w:pPr>
        <w:pStyle w:val="2"/>
        <w:spacing w:after="0" w:line="560" w:lineRule="exact"/>
        <w:ind w:firstLine="571" w:firstLineChars="238"/>
        <w:rPr>
          <w:rFonts w:ascii="宋体" w:hAnsi="宋体"/>
        </w:rPr>
      </w:pPr>
      <w:r>
        <w:rPr>
          <w:rFonts w:ascii="宋体" w:hAnsi="宋体"/>
        </w:rPr>
        <w:t>2</w:t>
      </w:r>
      <w:r>
        <w:rPr>
          <w:rFonts w:hint="eastAsia" w:ascii="宋体" w:hAnsi="宋体"/>
        </w:rPr>
        <w:t>）采取不正当手段诋毁、排挤其他供应商的；</w:t>
      </w:r>
    </w:p>
    <w:p>
      <w:pPr>
        <w:pStyle w:val="2"/>
        <w:spacing w:after="0" w:line="560" w:lineRule="exact"/>
        <w:ind w:firstLine="571" w:firstLineChars="238"/>
        <w:rPr>
          <w:rFonts w:ascii="宋体" w:hAnsi="宋体"/>
        </w:rPr>
      </w:pPr>
      <w:r>
        <w:rPr>
          <w:rFonts w:ascii="宋体" w:hAnsi="宋体"/>
        </w:rPr>
        <w:t>3</w:t>
      </w:r>
      <w:r>
        <w:rPr>
          <w:rFonts w:hint="eastAsia" w:ascii="宋体" w:hAnsi="宋体"/>
        </w:rPr>
        <w:t>）与采购人、其他供应商或者代理机构恶意串通的；</w:t>
      </w:r>
    </w:p>
    <w:p>
      <w:pPr>
        <w:pStyle w:val="2"/>
        <w:spacing w:after="0" w:line="560" w:lineRule="exact"/>
        <w:ind w:firstLine="571" w:firstLineChars="238"/>
        <w:rPr>
          <w:rFonts w:ascii="宋体" w:hAnsi="宋体"/>
        </w:rPr>
      </w:pPr>
      <w:r>
        <w:rPr>
          <w:rFonts w:ascii="宋体" w:hAnsi="宋体"/>
        </w:rPr>
        <w:t>4</w:t>
      </w:r>
      <w:r>
        <w:rPr>
          <w:rFonts w:hint="eastAsia" w:ascii="宋体" w:hAnsi="宋体"/>
        </w:rPr>
        <w:t>）向采购人、代理机构行贿或者提供其他不正当利益的；</w:t>
      </w:r>
    </w:p>
    <w:p>
      <w:pPr>
        <w:pStyle w:val="2"/>
        <w:spacing w:after="0" w:line="560" w:lineRule="exact"/>
        <w:ind w:firstLine="571" w:firstLineChars="238"/>
        <w:rPr>
          <w:rFonts w:ascii="宋体" w:hAnsi="宋体"/>
        </w:rPr>
      </w:pPr>
      <w:r>
        <w:rPr>
          <w:rFonts w:ascii="宋体" w:hAnsi="宋体"/>
        </w:rPr>
        <w:t>5</w:t>
      </w:r>
      <w:r>
        <w:rPr>
          <w:rFonts w:hint="eastAsia" w:ascii="宋体" w:hAnsi="宋体"/>
        </w:rPr>
        <w:t>）供应商在投标文件中提供虚假材料的；</w:t>
      </w:r>
    </w:p>
    <w:p>
      <w:pPr>
        <w:pStyle w:val="2"/>
        <w:spacing w:after="0" w:line="560" w:lineRule="exact"/>
        <w:ind w:firstLine="571" w:firstLineChars="238"/>
        <w:rPr>
          <w:rFonts w:ascii="宋体" w:hAnsi="宋体"/>
        </w:rPr>
      </w:pPr>
      <w:r>
        <w:rPr>
          <w:rFonts w:ascii="宋体" w:hAnsi="宋体"/>
        </w:rPr>
        <w:t>6</w:t>
      </w:r>
      <w:r>
        <w:rPr>
          <w:rFonts w:hint="eastAsia" w:ascii="宋体" w:hAnsi="宋体"/>
        </w:rPr>
        <w:t>）中标人无正当理由未能按规定与采购人签订合同的；</w:t>
      </w:r>
    </w:p>
    <w:p>
      <w:pPr>
        <w:pStyle w:val="2"/>
        <w:spacing w:after="0" w:line="560" w:lineRule="exact"/>
        <w:ind w:firstLine="571" w:firstLineChars="238"/>
        <w:rPr>
          <w:rFonts w:ascii="宋体" w:hAnsi="宋体"/>
        </w:rPr>
      </w:pPr>
      <w:r>
        <w:rPr>
          <w:rFonts w:ascii="宋体" w:hAnsi="宋体"/>
        </w:rPr>
        <w:t>7</w:t>
      </w:r>
      <w:r>
        <w:rPr>
          <w:rFonts w:hint="eastAsia" w:ascii="宋体" w:hAnsi="宋体"/>
        </w:rPr>
        <w:t>）法律法规和招标文件规定的其他情形。</w:t>
      </w:r>
    </w:p>
    <w:p>
      <w:pPr>
        <w:pStyle w:val="2"/>
        <w:spacing w:after="0" w:line="560" w:lineRule="exact"/>
        <w:ind w:firstLine="571" w:firstLineChars="238"/>
        <w:rPr>
          <w:rFonts w:ascii="宋体" w:hAnsi="宋体"/>
        </w:rPr>
      </w:pPr>
      <w:r>
        <w:rPr>
          <w:rFonts w:ascii="宋体" w:hAnsi="宋体"/>
        </w:rPr>
        <w:t>15.3</w:t>
      </w:r>
      <w:r>
        <w:rPr>
          <w:rFonts w:hint="eastAsia" w:ascii="宋体" w:hAnsi="宋体"/>
        </w:rPr>
        <w:t>保证金的退还：</w:t>
      </w:r>
    </w:p>
    <w:p>
      <w:pPr>
        <w:pStyle w:val="2"/>
        <w:spacing w:after="0" w:line="560" w:lineRule="exact"/>
        <w:ind w:firstLine="571" w:firstLineChars="238"/>
        <w:rPr>
          <w:rFonts w:ascii="宋体" w:hAnsi="宋体"/>
        </w:rPr>
      </w:pPr>
      <w:r>
        <w:rPr>
          <w:rFonts w:ascii="宋体" w:hAnsi="宋体"/>
        </w:rPr>
        <w:t>1</w:t>
      </w:r>
      <w:r>
        <w:rPr>
          <w:rFonts w:hint="eastAsia" w:ascii="宋体" w:hAnsi="宋体"/>
        </w:rPr>
        <w:t>）未中标人的投标保证金在中标通知书发出后</w:t>
      </w:r>
      <w:r>
        <w:rPr>
          <w:rFonts w:ascii="宋体" w:hAnsi="宋体"/>
        </w:rPr>
        <w:t>5</w:t>
      </w:r>
      <w:r>
        <w:rPr>
          <w:rFonts w:hint="eastAsia" w:ascii="宋体" w:hAnsi="宋体"/>
        </w:rPr>
        <w:t>个工作日内退还；</w:t>
      </w:r>
    </w:p>
    <w:p>
      <w:pPr>
        <w:pStyle w:val="2"/>
        <w:spacing w:after="0" w:line="560" w:lineRule="exact"/>
        <w:ind w:firstLine="571" w:firstLineChars="238"/>
        <w:rPr>
          <w:rFonts w:ascii="宋体" w:hAnsi="宋体"/>
        </w:rPr>
      </w:pPr>
      <w:r>
        <w:rPr>
          <w:rFonts w:ascii="宋体" w:hAnsi="宋体"/>
        </w:rPr>
        <w:t>2</w:t>
      </w:r>
      <w:r>
        <w:rPr>
          <w:rFonts w:hint="eastAsia" w:ascii="宋体" w:hAnsi="宋体"/>
        </w:rPr>
        <w:t>）中标人的投标保证金在签订合同后</w:t>
      </w:r>
      <w:r>
        <w:rPr>
          <w:rFonts w:ascii="宋体" w:hAnsi="宋体"/>
        </w:rPr>
        <w:t>5</w:t>
      </w:r>
      <w:r>
        <w:rPr>
          <w:rFonts w:hint="eastAsia" w:ascii="宋体" w:hAnsi="宋体"/>
        </w:rPr>
        <w:t>个工作日内予以退还。</w:t>
      </w:r>
    </w:p>
    <w:p>
      <w:pPr>
        <w:pStyle w:val="2"/>
        <w:spacing w:after="0" w:line="560" w:lineRule="exact"/>
        <w:ind w:left="1146" w:leftChars="273" w:hanging="573" w:hangingChars="238"/>
        <w:rPr>
          <w:rFonts w:ascii="宋体" w:hAnsi="宋体"/>
          <w:b/>
          <w:bCs/>
        </w:rPr>
      </w:pPr>
      <w:r>
        <w:rPr>
          <w:rFonts w:ascii="宋体" w:hAnsi="宋体"/>
          <w:b/>
          <w:bCs/>
        </w:rPr>
        <w:t xml:space="preserve">16.  </w:t>
      </w:r>
      <w:r>
        <w:rPr>
          <w:rFonts w:hint="eastAsia" w:ascii="宋体" w:hAnsi="宋体"/>
          <w:b/>
          <w:bCs/>
        </w:rPr>
        <w:t>投标有效期</w:t>
      </w:r>
    </w:p>
    <w:p>
      <w:pPr>
        <w:pStyle w:val="2"/>
        <w:spacing w:after="0" w:line="560" w:lineRule="exact"/>
        <w:ind w:firstLine="573" w:firstLineChars="238"/>
        <w:rPr>
          <w:rFonts w:ascii="宋体" w:hAnsi="宋体"/>
          <w:b/>
        </w:rPr>
      </w:pPr>
      <w:r>
        <w:rPr>
          <w:rFonts w:ascii="宋体" w:hAnsi="宋体"/>
          <w:b/>
        </w:rPr>
        <w:t xml:space="preserve">16.1 </w:t>
      </w:r>
      <w:r>
        <w:rPr>
          <w:rFonts w:hint="eastAsia" w:ascii="宋体" w:hAnsi="宋体"/>
          <w:b/>
        </w:rPr>
        <w:t>本项目投标有效期见供应商须知前附表。投标函的有效期比本须知规定的有效期短的，将被视为非响应性投标，采购人有权拒绝。</w:t>
      </w:r>
    </w:p>
    <w:p>
      <w:pPr>
        <w:pStyle w:val="2"/>
        <w:spacing w:after="0" w:line="560" w:lineRule="exact"/>
        <w:ind w:firstLine="571" w:firstLineChars="238"/>
        <w:rPr>
          <w:rFonts w:ascii="宋体" w:hAnsi="宋体"/>
        </w:rPr>
      </w:pPr>
      <w:r>
        <w:rPr>
          <w:rFonts w:ascii="宋体" w:hAnsi="宋体"/>
        </w:rPr>
        <w:t xml:space="preserve">16.2 </w:t>
      </w:r>
      <w:r>
        <w:rPr>
          <w:rFonts w:hint="eastAsia" w:ascii="宋体" w:hAnsi="宋体"/>
        </w:rPr>
        <w:t>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4"/>
        <w:spacing w:before="120" w:after="120" w:line="360" w:lineRule="exact"/>
        <w:ind w:firstLine="516" w:firstLineChars="214"/>
        <w:rPr>
          <w:rFonts w:ascii="宋体" w:hAnsi="宋体" w:eastAsia="宋体"/>
          <w:sz w:val="24"/>
          <w:szCs w:val="24"/>
        </w:rPr>
      </w:pPr>
      <w:bookmarkStart w:id="42" w:name="_Toc11850781"/>
      <w:r>
        <w:rPr>
          <w:rFonts w:hint="eastAsia" w:ascii="宋体" w:hAnsi="宋体" w:eastAsia="宋体"/>
          <w:sz w:val="24"/>
          <w:szCs w:val="24"/>
        </w:rPr>
        <w:t>四、投标文件递交</w:t>
      </w:r>
      <w:bookmarkEnd w:id="42"/>
    </w:p>
    <w:p>
      <w:pPr>
        <w:pStyle w:val="2"/>
        <w:spacing w:after="0" w:line="560" w:lineRule="exact"/>
        <w:ind w:left="1146" w:leftChars="273" w:hanging="573" w:hangingChars="238"/>
        <w:rPr>
          <w:rFonts w:ascii="宋体" w:hAnsi="宋体"/>
          <w:b/>
          <w:bCs/>
        </w:rPr>
      </w:pPr>
      <w:r>
        <w:rPr>
          <w:rFonts w:ascii="宋体" w:hAnsi="宋体"/>
          <w:b/>
          <w:bCs/>
        </w:rPr>
        <w:t xml:space="preserve">17.  </w:t>
      </w:r>
      <w:r>
        <w:rPr>
          <w:rFonts w:hint="eastAsia" w:ascii="宋体" w:hAnsi="宋体"/>
          <w:b/>
          <w:bCs/>
        </w:rPr>
        <w:t>投标文件递交时间和地点</w:t>
      </w:r>
    </w:p>
    <w:p>
      <w:pPr>
        <w:pStyle w:val="2"/>
        <w:spacing w:after="0" w:line="560" w:lineRule="exact"/>
        <w:ind w:firstLine="571" w:firstLineChars="238"/>
        <w:rPr>
          <w:rFonts w:ascii="宋体" w:hAnsi="宋体"/>
        </w:rPr>
      </w:pPr>
      <w:r>
        <w:rPr>
          <w:rFonts w:ascii="宋体" w:hAnsi="宋体"/>
        </w:rPr>
        <w:t xml:space="preserve">17.1 </w:t>
      </w:r>
      <w:r>
        <w:rPr>
          <w:rFonts w:hint="eastAsia" w:ascii="宋体" w:hAnsi="宋体"/>
        </w:rPr>
        <w:t>投标文件递交截止时间及递交地点详见供应商须知前附表。</w:t>
      </w:r>
    </w:p>
    <w:p>
      <w:pPr>
        <w:pStyle w:val="2"/>
        <w:spacing w:after="0" w:line="560" w:lineRule="exact"/>
        <w:ind w:firstLine="571" w:firstLineChars="238"/>
        <w:rPr>
          <w:rFonts w:ascii="宋体" w:hAnsi="宋体"/>
        </w:rPr>
      </w:pPr>
      <w:r>
        <w:rPr>
          <w:rFonts w:ascii="宋体" w:hAnsi="宋体"/>
        </w:rPr>
        <w:t xml:space="preserve">17.2 </w:t>
      </w:r>
      <w:r>
        <w:rPr>
          <w:rFonts w:hint="eastAsia" w:ascii="宋体" w:hAnsi="宋体"/>
        </w:rPr>
        <w:t>供应商代表必须在投标截止时间前将投标文件送达指定地点。如因招标文件的修改推迟投标截止日期的，则按代理机构另行通知规定的时间递交。</w:t>
      </w:r>
    </w:p>
    <w:p>
      <w:pPr>
        <w:pStyle w:val="2"/>
        <w:spacing w:after="0" w:line="560" w:lineRule="exact"/>
        <w:ind w:firstLine="571" w:firstLineChars="238"/>
        <w:rPr>
          <w:rFonts w:ascii="宋体" w:hAnsi="宋体"/>
        </w:rPr>
      </w:pPr>
      <w:r>
        <w:rPr>
          <w:rFonts w:ascii="宋体" w:hAnsi="宋体"/>
        </w:rPr>
        <w:t xml:space="preserve">17.3 </w:t>
      </w:r>
      <w:r>
        <w:rPr>
          <w:rFonts w:hint="eastAsia" w:ascii="宋体" w:hAnsi="宋体"/>
        </w:rPr>
        <w:t>代理机构不接收投标截止时间后送达的投标文件。</w:t>
      </w:r>
    </w:p>
    <w:p>
      <w:pPr>
        <w:pStyle w:val="2"/>
        <w:spacing w:after="0" w:line="560" w:lineRule="exact"/>
        <w:ind w:left="1146" w:leftChars="273" w:hanging="573" w:hangingChars="238"/>
        <w:rPr>
          <w:rFonts w:ascii="宋体" w:hAnsi="宋体"/>
          <w:b/>
          <w:bCs/>
        </w:rPr>
      </w:pPr>
      <w:r>
        <w:rPr>
          <w:rFonts w:ascii="宋体" w:hAnsi="宋体"/>
          <w:b/>
          <w:bCs/>
        </w:rPr>
        <w:t xml:space="preserve">18.  </w:t>
      </w:r>
      <w:r>
        <w:rPr>
          <w:rFonts w:hint="eastAsia" w:ascii="宋体" w:hAnsi="宋体"/>
          <w:b/>
          <w:bCs/>
        </w:rPr>
        <w:t>投标文件签收</w:t>
      </w:r>
    </w:p>
    <w:p>
      <w:pPr>
        <w:pStyle w:val="2"/>
        <w:spacing w:after="0" w:line="560" w:lineRule="exact"/>
        <w:ind w:firstLine="571" w:firstLineChars="238"/>
        <w:rPr>
          <w:rFonts w:ascii="宋体" w:hAnsi="宋体"/>
        </w:rPr>
      </w:pPr>
      <w:r>
        <w:rPr>
          <w:rFonts w:ascii="宋体" w:hAnsi="宋体"/>
        </w:rPr>
        <w:t xml:space="preserve">18.1 </w:t>
      </w:r>
      <w:r>
        <w:rPr>
          <w:rFonts w:hint="eastAsia" w:ascii="宋体" w:hAnsi="宋体"/>
        </w:rPr>
        <w:t>本项目只接受现场递交书面形式的投标，其他形式的投标不予接收。</w:t>
      </w:r>
    </w:p>
    <w:p>
      <w:pPr>
        <w:pStyle w:val="2"/>
        <w:spacing w:after="0" w:line="560" w:lineRule="exact"/>
        <w:ind w:firstLine="571" w:firstLineChars="238"/>
        <w:rPr>
          <w:rFonts w:ascii="宋体" w:hAnsi="宋体"/>
        </w:rPr>
      </w:pPr>
      <w:r>
        <w:rPr>
          <w:rFonts w:ascii="宋体" w:hAnsi="宋体"/>
        </w:rPr>
        <w:t xml:space="preserve">18.2 </w:t>
      </w:r>
      <w:r>
        <w:rPr>
          <w:rFonts w:hint="eastAsia" w:ascii="宋体" w:hAnsi="宋体"/>
        </w:rPr>
        <w:t>投标截止时间后对供应商已提交的投标文件不予退还。</w:t>
      </w:r>
    </w:p>
    <w:p>
      <w:pPr>
        <w:pStyle w:val="2"/>
        <w:spacing w:after="0" w:line="560" w:lineRule="exact"/>
        <w:ind w:left="1146" w:leftChars="273" w:hanging="573" w:hangingChars="238"/>
        <w:rPr>
          <w:rFonts w:ascii="宋体" w:hAnsi="宋体"/>
          <w:b/>
          <w:bCs/>
        </w:rPr>
      </w:pPr>
      <w:r>
        <w:rPr>
          <w:rFonts w:ascii="宋体" w:hAnsi="宋体"/>
          <w:b/>
          <w:bCs/>
        </w:rPr>
        <w:t xml:space="preserve">19.  </w:t>
      </w:r>
      <w:r>
        <w:rPr>
          <w:rFonts w:hint="eastAsia" w:ascii="宋体" w:hAnsi="宋体"/>
          <w:b/>
          <w:bCs/>
        </w:rPr>
        <w:t>投标文件修改与撤回</w:t>
      </w:r>
    </w:p>
    <w:p>
      <w:pPr>
        <w:pStyle w:val="2"/>
        <w:spacing w:after="0" w:line="560" w:lineRule="exact"/>
        <w:ind w:firstLine="571" w:firstLineChars="238"/>
        <w:rPr>
          <w:rFonts w:ascii="宋体" w:hAnsi="宋体"/>
        </w:rPr>
      </w:pPr>
      <w:r>
        <w:rPr>
          <w:rFonts w:ascii="宋体" w:hAnsi="宋体"/>
        </w:rPr>
        <w:t xml:space="preserve">19.1 </w:t>
      </w:r>
      <w:r>
        <w:rPr>
          <w:rFonts w:hint="eastAsia" w:ascii="宋体" w:hAnsi="宋体"/>
        </w:rPr>
        <w:t>供应商在招标文件要求提交投标文件的截止时间前，可以修改或者撤回已提交的投标文件，并书面形式通知代理机构。</w:t>
      </w:r>
    </w:p>
    <w:p>
      <w:pPr>
        <w:pStyle w:val="2"/>
        <w:spacing w:after="0" w:line="560" w:lineRule="exact"/>
        <w:ind w:firstLine="571" w:firstLineChars="238"/>
        <w:rPr>
          <w:rFonts w:ascii="宋体" w:hAnsi="宋体"/>
        </w:rPr>
      </w:pPr>
      <w:r>
        <w:rPr>
          <w:rFonts w:ascii="宋体" w:hAnsi="宋体"/>
        </w:rPr>
        <w:t xml:space="preserve">19.2 </w:t>
      </w:r>
      <w:r>
        <w:rPr>
          <w:rFonts w:hint="eastAsia" w:ascii="宋体" w:hAnsi="宋体"/>
        </w:rPr>
        <w:t>任何修改内容必须由供应商的法定代表人或其委托代理人签字，不得涂抹。经法定代表人或其委托代理人正式签署的修改文件组成投标文件的一部分，份数和密封要求同投标文件一致。</w:t>
      </w:r>
    </w:p>
    <w:p>
      <w:pPr>
        <w:pStyle w:val="2"/>
        <w:spacing w:after="0" w:line="560" w:lineRule="exact"/>
        <w:ind w:firstLine="571" w:firstLineChars="238"/>
        <w:rPr>
          <w:rFonts w:ascii="宋体" w:hAnsi="宋体"/>
        </w:rPr>
      </w:pPr>
      <w:r>
        <w:rPr>
          <w:rFonts w:ascii="宋体" w:hAnsi="宋体"/>
        </w:rPr>
        <w:t xml:space="preserve">19.3 </w:t>
      </w:r>
      <w:r>
        <w:rPr>
          <w:rFonts w:hint="eastAsia" w:ascii="宋体" w:hAnsi="宋体"/>
        </w:rPr>
        <w:t>投标截止时间后不允许对投标文件做实质性修改。</w:t>
      </w:r>
    </w:p>
    <w:p>
      <w:pPr>
        <w:pStyle w:val="2"/>
        <w:spacing w:after="0" w:line="560" w:lineRule="exact"/>
        <w:ind w:firstLine="571" w:firstLineChars="238"/>
        <w:rPr>
          <w:rFonts w:ascii="宋体" w:hAnsi="宋体"/>
        </w:rPr>
      </w:pPr>
      <w:r>
        <w:rPr>
          <w:rFonts w:ascii="宋体" w:hAnsi="宋体"/>
        </w:rPr>
        <w:t>19.4</w:t>
      </w:r>
      <w:r>
        <w:rPr>
          <w:rFonts w:hint="eastAsia" w:ascii="宋体" w:hAnsi="宋体"/>
        </w:rPr>
        <w:t>投标有效期内不得撤回投标，否则其投标保证金不予退还。</w:t>
      </w:r>
    </w:p>
    <w:p>
      <w:pPr>
        <w:pStyle w:val="4"/>
        <w:spacing w:before="120" w:after="120" w:line="360" w:lineRule="exact"/>
        <w:ind w:firstLine="516" w:firstLineChars="214"/>
        <w:rPr>
          <w:rFonts w:ascii="宋体" w:hAnsi="宋体" w:eastAsia="宋体"/>
          <w:sz w:val="24"/>
          <w:szCs w:val="24"/>
        </w:rPr>
      </w:pPr>
      <w:bookmarkStart w:id="43" w:name="_Toc11850782"/>
      <w:r>
        <w:rPr>
          <w:rFonts w:hint="eastAsia" w:ascii="宋体" w:hAnsi="宋体" w:eastAsia="宋体"/>
          <w:sz w:val="24"/>
          <w:szCs w:val="24"/>
        </w:rPr>
        <w:t>五、开标与评标</w:t>
      </w:r>
      <w:bookmarkEnd w:id="43"/>
    </w:p>
    <w:p>
      <w:pPr>
        <w:pStyle w:val="2"/>
        <w:spacing w:after="0" w:line="560" w:lineRule="exact"/>
        <w:ind w:firstLine="571" w:firstLineChars="238"/>
        <w:rPr>
          <w:rFonts w:ascii="宋体" w:hAnsi="宋体"/>
        </w:rPr>
      </w:pPr>
      <w:r>
        <w:rPr>
          <w:rFonts w:hint="eastAsia" w:ascii="宋体" w:hAnsi="宋体"/>
        </w:rPr>
        <w:t>本次招标的开标、评标由采购人委托的采购代理机构依法组织实施。</w:t>
      </w:r>
    </w:p>
    <w:p>
      <w:pPr>
        <w:pStyle w:val="2"/>
        <w:tabs>
          <w:tab w:val="left" w:pos="955"/>
        </w:tabs>
        <w:spacing w:after="0" w:line="560" w:lineRule="exact"/>
        <w:ind w:left="1146" w:leftChars="273" w:hanging="573" w:hangingChars="238"/>
        <w:rPr>
          <w:rFonts w:ascii="宋体" w:hAnsi="宋体"/>
          <w:b/>
        </w:rPr>
      </w:pPr>
      <w:r>
        <w:rPr>
          <w:rFonts w:ascii="宋体" w:hAnsi="宋体"/>
          <w:b/>
        </w:rPr>
        <w:t xml:space="preserve">20.  </w:t>
      </w:r>
      <w:r>
        <w:rPr>
          <w:rFonts w:hint="eastAsia" w:ascii="宋体" w:hAnsi="宋体"/>
          <w:b/>
        </w:rPr>
        <w:t>开标</w:t>
      </w:r>
      <w:bookmarkEnd w:id="39"/>
      <w:bookmarkEnd w:id="40"/>
      <w:bookmarkEnd w:id="41"/>
    </w:p>
    <w:p>
      <w:pPr>
        <w:pStyle w:val="2"/>
        <w:spacing w:after="0" w:line="560" w:lineRule="exact"/>
        <w:ind w:firstLine="571" w:firstLineChars="238"/>
        <w:rPr>
          <w:rFonts w:ascii="宋体" w:hAnsi="宋体"/>
        </w:rPr>
      </w:pPr>
      <w:r>
        <w:rPr>
          <w:rFonts w:ascii="宋体" w:hAnsi="宋体"/>
        </w:rPr>
        <w:t xml:space="preserve">20.1 </w:t>
      </w:r>
      <w:r>
        <w:rPr>
          <w:rFonts w:hint="eastAsia" w:ascii="宋体" w:hAnsi="宋体"/>
        </w:rPr>
        <w:t>本项目开标时间和地点见供应商须知前附表。开标会议由代理机构组织并主持。参加供应商代表应签名报到，以证明其出席开标会议，未出席开标会议的视同为默认开标结果。采购人授权代理人、供应商授权代理人等有关工作人员参加。</w:t>
      </w:r>
    </w:p>
    <w:p>
      <w:pPr>
        <w:pStyle w:val="2"/>
        <w:spacing w:after="0" w:line="560" w:lineRule="exact"/>
        <w:ind w:firstLine="571" w:firstLineChars="238"/>
        <w:rPr>
          <w:rFonts w:ascii="宋体" w:hAnsi="宋体"/>
        </w:rPr>
      </w:pPr>
      <w:r>
        <w:rPr>
          <w:rFonts w:ascii="宋体" w:hAnsi="宋体"/>
        </w:rPr>
        <w:t>20.2</w:t>
      </w:r>
      <w:r>
        <w:rPr>
          <w:rFonts w:hint="eastAsia" w:ascii="宋体" w:hAnsi="宋体"/>
        </w:rPr>
        <w:t>供应商或供应商推选的代表共同对投标文件的密封情况进行检查，并现场宣布检查结果。</w:t>
      </w:r>
    </w:p>
    <w:p>
      <w:pPr>
        <w:pStyle w:val="2"/>
        <w:spacing w:after="0" w:line="560" w:lineRule="exact"/>
        <w:ind w:firstLine="571" w:firstLineChars="238"/>
        <w:rPr>
          <w:rFonts w:ascii="宋体" w:hAnsi="宋体"/>
        </w:rPr>
      </w:pPr>
      <w:r>
        <w:rPr>
          <w:rFonts w:ascii="宋体" w:hAnsi="宋体"/>
        </w:rPr>
        <w:t>20.3</w:t>
      </w:r>
      <w:r>
        <w:rPr>
          <w:rFonts w:hint="eastAsia" w:ascii="宋体" w:hAnsi="宋体"/>
        </w:rPr>
        <w:t>经检查无误后，由代理机构工作人员现场拆封，由唱标员宣读开标一览表，投标单位授权代表现场确认。供应商若有报价和优惠未被唱出，应在开标时及时声明或提请注意，否则招标代理机构对此不承担任何责任。</w:t>
      </w:r>
    </w:p>
    <w:p>
      <w:pPr>
        <w:pStyle w:val="2"/>
        <w:tabs>
          <w:tab w:val="left" w:pos="955"/>
        </w:tabs>
        <w:spacing w:after="0" w:line="560" w:lineRule="exact"/>
        <w:ind w:left="1146" w:leftChars="273" w:hanging="573" w:hangingChars="238"/>
        <w:rPr>
          <w:rFonts w:ascii="宋体" w:hAnsi="宋体"/>
          <w:b/>
        </w:rPr>
      </w:pPr>
      <w:bookmarkStart w:id="44" w:name="_Toc346372901"/>
      <w:bookmarkStart w:id="45" w:name="_Toc352332875"/>
      <w:bookmarkStart w:id="46" w:name="_Toc346306754"/>
      <w:r>
        <w:rPr>
          <w:rFonts w:ascii="宋体" w:hAnsi="宋体"/>
          <w:b/>
        </w:rPr>
        <w:t xml:space="preserve">21.  </w:t>
      </w:r>
      <w:r>
        <w:rPr>
          <w:rFonts w:hint="eastAsia" w:ascii="宋体" w:hAnsi="宋体"/>
          <w:b/>
        </w:rPr>
        <w:t>评标委员会</w:t>
      </w:r>
      <w:bookmarkEnd w:id="44"/>
      <w:bookmarkEnd w:id="45"/>
      <w:bookmarkEnd w:id="46"/>
    </w:p>
    <w:p>
      <w:pPr>
        <w:pStyle w:val="2"/>
        <w:spacing w:after="0" w:line="560" w:lineRule="exact"/>
        <w:ind w:firstLine="600" w:firstLineChars="250"/>
        <w:rPr>
          <w:rFonts w:ascii="宋体" w:hAnsi="宋体"/>
        </w:rPr>
      </w:pPr>
      <w:r>
        <w:rPr>
          <w:rFonts w:hint="eastAsia" w:ascii="宋体" w:hAnsi="宋体"/>
        </w:rPr>
        <w:t>评标委员会由五人或五人以上单数组成，其中经济、技术等方面的专家不少于三分之二。评标委员会的组成见供应商须知前附表，评标委员会负责对投标文件进行审查、评审，提出书面评标报告。</w:t>
      </w:r>
    </w:p>
    <w:p>
      <w:pPr>
        <w:pStyle w:val="2"/>
        <w:tabs>
          <w:tab w:val="left" w:pos="955"/>
        </w:tabs>
        <w:spacing w:after="0" w:line="560" w:lineRule="exact"/>
        <w:ind w:left="1146" w:leftChars="273" w:hanging="573" w:hangingChars="238"/>
        <w:rPr>
          <w:rFonts w:ascii="宋体" w:hAnsi="宋体"/>
          <w:b/>
        </w:rPr>
      </w:pPr>
      <w:bookmarkStart w:id="47" w:name="_Toc352332876"/>
      <w:bookmarkStart w:id="48" w:name="_Toc346306755"/>
      <w:bookmarkStart w:id="49" w:name="_Toc346372902"/>
      <w:r>
        <w:rPr>
          <w:rFonts w:ascii="宋体" w:hAnsi="宋体"/>
          <w:b/>
        </w:rPr>
        <w:t xml:space="preserve">22.  </w:t>
      </w:r>
      <w:r>
        <w:rPr>
          <w:rFonts w:hint="eastAsia" w:ascii="宋体" w:hAnsi="宋体"/>
          <w:b/>
        </w:rPr>
        <w:t>评标原则</w:t>
      </w:r>
      <w:bookmarkEnd w:id="47"/>
      <w:bookmarkEnd w:id="48"/>
      <w:bookmarkEnd w:id="49"/>
    </w:p>
    <w:p>
      <w:pPr>
        <w:pStyle w:val="2"/>
        <w:spacing w:after="0" w:line="560" w:lineRule="exact"/>
        <w:ind w:firstLine="600" w:firstLineChars="250"/>
        <w:rPr>
          <w:rFonts w:ascii="宋体" w:hAnsi="宋体" w:cs="宋体"/>
        </w:rPr>
      </w:pPr>
      <w:bookmarkStart w:id="50" w:name="_Toc346306756"/>
      <w:bookmarkStart w:id="51" w:name="_Toc352332877"/>
      <w:bookmarkStart w:id="52" w:name="_Toc346372903"/>
      <w:r>
        <w:rPr>
          <w:rFonts w:hint="eastAsia" w:ascii="宋体" w:hAnsi="宋体" w:cs="宋体"/>
        </w:rPr>
        <w:t>“客观、公正、审慎”为本次评标的基本原则，评标小组将按照这一原则公正、平等地对待各供应商，同时在评标过程中遵守以下原则：</w:t>
      </w:r>
    </w:p>
    <w:p>
      <w:pPr>
        <w:pStyle w:val="2"/>
        <w:spacing w:after="0" w:line="560" w:lineRule="exact"/>
        <w:ind w:firstLine="600" w:firstLineChars="250"/>
        <w:rPr>
          <w:rFonts w:ascii="宋体" w:hAnsi="宋体" w:cs="宋体"/>
        </w:rPr>
      </w:pPr>
      <w:r>
        <w:rPr>
          <w:rFonts w:ascii="宋体" w:hAnsi="宋体" w:cs="宋体"/>
        </w:rPr>
        <w:t xml:space="preserve">22.1 </w:t>
      </w:r>
      <w:r>
        <w:rPr>
          <w:rFonts w:hint="eastAsia" w:ascii="宋体" w:hAnsi="宋体" w:cs="宋体"/>
        </w:rPr>
        <w:t>客观性原则；评标委员会将严格按照招标文件的规定，对投标文件的评审仅依据投标文件本身，而不依据投标文件以外的任何因素。</w:t>
      </w:r>
    </w:p>
    <w:p>
      <w:pPr>
        <w:pStyle w:val="2"/>
        <w:spacing w:after="0" w:line="560" w:lineRule="exact"/>
        <w:ind w:firstLine="600" w:firstLineChars="250"/>
        <w:rPr>
          <w:rFonts w:ascii="宋体" w:hAnsi="宋体" w:cs="宋体"/>
        </w:rPr>
      </w:pPr>
      <w:r>
        <w:rPr>
          <w:rFonts w:ascii="宋体" w:hAnsi="宋体" w:cs="宋体"/>
        </w:rPr>
        <w:t xml:space="preserve">22.2 </w:t>
      </w:r>
      <w:r>
        <w:rPr>
          <w:rFonts w:hint="eastAsia" w:ascii="宋体" w:hAnsi="宋体" w:cs="宋体"/>
        </w:rPr>
        <w:t>公正性原则；评标委员会依据招标文件规定的评标程序、评标方法和评标标准按统一方法、同一标准进行独立评审，并对投标文件的各项指标进行综合分析和比较，而不以单项指标的优劣进行评审。</w:t>
      </w:r>
    </w:p>
    <w:p>
      <w:pPr>
        <w:pStyle w:val="2"/>
        <w:spacing w:after="0" w:line="560" w:lineRule="exact"/>
        <w:ind w:firstLine="600" w:firstLineChars="250"/>
        <w:rPr>
          <w:rFonts w:ascii="宋体" w:hAnsi="宋体" w:cs="宋体"/>
        </w:rPr>
      </w:pPr>
      <w:r>
        <w:rPr>
          <w:rFonts w:ascii="宋体" w:hAnsi="宋体" w:cs="宋体"/>
        </w:rPr>
        <w:t xml:space="preserve">22.3 </w:t>
      </w:r>
      <w:r>
        <w:rPr>
          <w:rFonts w:hint="eastAsia" w:ascii="宋体" w:hAnsi="宋体" w:cs="宋体"/>
        </w:rPr>
        <w:t>审慎性原则：评标委员会独立对招标文件进行审阅，依据招标文件规定的评审标准审慎评审。评标委员会的评审不受外界任何因素的干扰和影响，评标委员会成员对出具的评标意见承担个人责任。</w:t>
      </w:r>
    </w:p>
    <w:p>
      <w:pPr>
        <w:pStyle w:val="2"/>
        <w:spacing w:after="0" w:line="560" w:lineRule="exact"/>
        <w:ind w:firstLine="600" w:firstLineChars="250"/>
        <w:rPr>
          <w:rFonts w:ascii="宋体" w:hAnsi="宋体"/>
        </w:rPr>
      </w:pPr>
      <w:r>
        <w:rPr>
          <w:rFonts w:ascii="宋体" w:hAnsi="宋体" w:cs="宋体"/>
        </w:rPr>
        <w:t xml:space="preserve">22.4 </w:t>
      </w:r>
      <w:r>
        <w:rPr>
          <w:rFonts w:hint="eastAsia" w:ascii="宋体" w:hAnsi="宋体" w:cs="宋体"/>
        </w:rPr>
        <w:t>保密性原则：评标委员会及有关工作人员，应当对评标过程及供应商的商业和技术秘密予以保密。</w:t>
      </w:r>
    </w:p>
    <w:p>
      <w:pPr>
        <w:pStyle w:val="2"/>
        <w:tabs>
          <w:tab w:val="left" w:pos="955"/>
        </w:tabs>
        <w:spacing w:after="0" w:line="560" w:lineRule="exact"/>
        <w:ind w:left="1146" w:leftChars="273" w:hanging="573" w:hangingChars="238"/>
        <w:rPr>
          <w:rFonts w:ascii="宋体" w:hAnsi="宋体"/>
          <w:b/>
        </w:rPr>
      </w:pPr>
      <w:r>
        <w:rPr>
          <w:rFonts w:ascii="宋体" w:hAnsi="宋体"/>
          <w:b/>
        </w:rPr>
        <w:t xml:space="preserve">23.  </w:t>
      </w:r>
      <w:r>
        <w:rPr>
          <w:rFonts w:hint="eastAsia" w:ascii="宋体" w:hAnsi="宋体"/>
          <w:b/>
        </w:rPr>
        <w:t>评标方法</w:t>
      </w:r>
      <w:bookmarkEnd w:id="50"/>
      <w:bookmarkEnd w:id="51"/>
      <w:bookmarkEnd w:id="52"/>
    </w:p>
    <w:p>
      <w:pPr>
        <w:pStyle w:val="2"/>
        <w:spacing w:after="0" w:line="560" w:lineRule="exact"/>
        <w:ind w:firstLine="600" w:firstLineChars="250"/>
        <w:rPr>
          <w:rFonts w:ascii="宋体" w:hAnsi="宋体"/>
        </w:rPr>
      </w:pPr>
      <w:r>
        <w:rPr>
          <w:rFonts w:hint="eastAsia" w:ascii="宋体" w:hAnsi="宋体"/>
        </w:rPr>
        <w:t>本项目评标方法见供应商须知前附表。</w:t>
      </w:r>
    </w:p>
    <w:p>
      <w:pPr>
        <w:pStyle w:val="2"/>
        <w:tabs>
          <w:tab w:val="left" w:pos="955"/>
        </w:tabs>
        <w:spacing w:after="0" w:line="560" w:lineRule="exact"/>
        <w:ind w:left="1146" w:leftChars="273" w:hanging="573" w:hangingChars="238"/>
        <w:rPr>
          <w:rFonts w:ascii="宋体" w:hAnsi="宋体"/>
          <w:b/>
        </w:rPr>
      </w:pPr>
      <w:bookmarkStart w:id="53" w:name="_Toc346372904"/>
      <w:bookmarkStart w:id="54" w:name="_Toc346306757"/>
      <w:bookmarkStart w:id="55" w:name="_Toc352332878"/>
      <w:r>
        <w:rPr>
          <w:rFonts w:ascii="宋体" w:hAnsi="宋体"/>
          <w:b/>
        </w:rPr>
        <w:t xml:space="preserve">24.  </w:t>
      </w:r>
      <w:r>
        <w:rPr>
          <w:rFonts w:hint="eastAsia" w:ascii="宋体" w:hAnsi="宋体"/>
          <w:b/>
        </w:rPr>
        <w:t>初步评审</w:t>
      </w:r>
      <w:bookmarkEnd w:id="53"/>
      <w:bookmarkEnd w:id="54"/>
      <w:bookmarkEnd w:id="55"/>
    </w:p>
    <w:p>
      <w:pPr>
        <w:pStyle w:val="2"/>
        <w:spacing w:after="0" w:line="560" w:lineRule="exact"/>
        <w:ind w:firstLine="600" w:firstLineChars="250"/>
        <w:rPr>
          <w:rFonts w:ascii="宋体" w:hAnsi="宋体"/>
        </w:rPr>
      </w:pPr>
      <w:r>
        <w:rPr>
          <w:rFonts w:ascii="宋体" w:hAnsi="宋体"/>
        </w:rPr>
        <w:t xml:space="preserve">24.1 </w:t>
      </w:r>
      <w:r>
        <w:rPr>
          <w:rFonts w:hint="eastAsia" w:ascii="宋体" w:hAnsi="宋体"/>
        </w:rPr>
        <w:t>初步评审是对投标文件的资格和符合性进行审查。在评审活动开始前，招标人及招标代理机构宣布政府采购评审工作纪律。</w:t>
      </w:r>
    </w:p>
    <w:p>
      <w:pPr>
        <w:pStyle w:val="2"/>
        <w:spacing w:after="0" w:line="560" w:lineRule="exact"/>
        <w:ind w:firstLine="600" w:firstLineChars="250"/>
        <w:rPr>
          <w:rFonts w:ascii="宋体" w:hAnsi="宋体"/>
        </w:rPr>
      </w:pPr>
      <w:r>
        <w:rPr>
          <w:rFonts w:hint="eastAsia" w:ascii="宋体" w:hAnsi="宋体"/>
        </w:rPr>
        <w:t>公开招标采购项目开标结束后，采购代理机构应当依法对供应商的资格进行审查。资格审查后，合格供应商不足</w:t>
      </w:r>
      <w:r>
        <w:rPr>
          <w:rFonts w:ascii="宋体" w:hAnsi="宋体"/>
        </w:rPr>
        <w:t>3</w:t>
      </w:r>
      <w:r>
        <w:rPr>
          <w:rFonts w:hint="eastAsia" w:ascii="宋体" w:hAnsi="宋体"/>
        </w:rPr>
        <w:t>家的，不得评标。对供应商的资格进行审查，以确定供应商是否具备投标资格。对于通过资格评审的供应商，评标委员会将进行符合性评审，以确定每一供应商投标文件的有效性、完整性和对招标文件的响应情况，看其是否对招标文件的要求做出了实质性的响应，而没有重大偏离。</w:t>
      </w:r>
    </w:p>
    <w:p>
      <w:pPr>
        <w:pStyle w:val="2"/>
        <w:spacing w:after="0" w:line="560" w:lineRule="exact"/>
        <w:ind w:firstLine="600" w:firstLineChars="250"/>
        <w:rPr>
          <w:rFonts w:ascii="宋体" w:hAnsi="宋体"/>
        </w:rPr>
      </w:pPr>
      <w:r>
        <w:rPr>
          <w:rFonts w:ascii="宋体" w:hAnsi="宋体"/>
        </w:rPr>
        <w:t>24.2</w:t>
      </w:r>
      <w:r>
        <w:rPr>
          <w:rFonts w:hint="eastAsia" w:ascii="宋体" w:hAnsi="宋体"/>
        </w:rPr>
        <w:t>评标委员会应当对符合资格的供应商的投标文件进行符合性审查，以确定其是否满足招标文件的实质性要求。</w:t>
      </w:r>
    </w:p>
    <w:p>
      <w:pPr>
        <w:pStyle w:val="2"/>
        <w:spacing w:after="0" w:line="560" w:lineRule="exact"/>
        <w:ind w:firstLine="602" w:firstLineChars="250"/>
        <w:rPr>
          <w:rFonts w:ascii="宋体" w:hAnsi="宋体"/>
          <w:b/>
        </w:rPr>
      </w:pPr>
      <w:r>
        <w:rPr>
          <w:rFonts w:ascii="宋体" w:hAnsi="宋体"/>
          <w:b/>
        </w:rPr>
        <w:t xml:space="preserve">24.3 </w:t>
      </w:r>
      <w:r>
        <w:rPr>
          <w:rFonts w:hint="eastAsia" w:ascii="宋体" w:hAnsi="宋体"/>
          <w:b/>
        </w:rPr>
        <w:t>如出现下列情形之一的，视为对招标文件没有做出实质性响应，按照无效投标处理。</w:t>
      </w:r>
    </w:p>
    <w:p>
      <w:pPr>
        <w:pStyle w:val="2"/>
        <w:spacing w:after="0" w:line="560" w:lineRule="exact"/>
        <w:ind w:firstLine="602" w:firstLineChars="250"/>
        <w:rPr>
          <w:rFonts w:ascii="宋体" w:hAnsi="宋体"/>
          <w:b/>
        </w:rPr>
      </w:pPr>
      <w:r>
        <w:rPr>
          <w:rFonts w:ascii="宋体" w:hAnsi="宋体"/>
          <w:b/>
        </w:rPr>
        <w:t>1</w:t>
      </w:r>
      <w:r>
        <w:rPr>
          <w:rFonts w:hint="eastAsia" w:ascii="宋体" w:hAnsi="宋体"/>
          <w:b/>
        </w:rPr>
        <w:t>）非法定代表人签字而未提供其有效授权委托书的；</w:t>
      </w:r>
    </w:p>
    <w:p>
      <w:pPr>
        <w:pStyle w:val="2"/>
        <w:spacing w:after="0" w:line="560" w:lineRule="exact"/>
        <w:ind w:firstLine="602" w:firstLineChars="250"/>
        <w:rPr>
          <w:rFonts w:ascii="宋体" w:hAnsi="宋体"/>
          <w:b/>
        </w:rPr>
      </w:pPr>
      <w:r>
        <w:rPr>
          <w:rFonts w:ascii="宋体" w:hAnsi="宋体"/>
          <w:b/>
        </w:rPr>
        <w:t>2</w:t>
      </w:r>
      <w:r>
        <w:rPr>
          <w:rFonts w:hint="eastAsia" w:ascii="宋体" w:hAnsi="宋体"/>
          <w:b/>
        </w:rPr>
        <w:t>）未按招标文件规定要求密封、签署、盖章或投标文件散装或者活页装订的；</w:t>
      </w:r>
    </w:p>
    <w:p>
      <w:pPr>
        <w:pStyle w:val="2"/>
        <w:spacing w:after="0" w:line="560" w:lineRule="exact"/>
        <w:ind w:firstLine="602" w:firstLineChars="250"/>
        <w:rPr>
          <w:rFonts w:ascii="宋体" w:hAnsi="宋体"/>
          <w:b/>
        </w:rPr>
      </w:pPr>
      <w:r>
        <w:rPr>
          <w:rFonts w:ascii="宋体" w:hAnsi="宋体"/>
          <w:b/>
        </w:rPr>
        <w:t>3</w:t>
      </w:r>
      <w:r>
        <w:rPr>
          <w:rFonts w:hint="eastAsia" w:ascii="宋体" w:hAnsi="宋体"/>
          <w:b/>
        </w:rPr>
        <w:t>）未按规定交纳投标保证金的；</w:t>
      </w:r>
    </w:p>
    <w:p>
      <w:pPr>
        <w:pStyle w:val="2"/>
        <w:spacing w:after="0" w:line="560" w:lineRule="exact"/>
        <w:ind w:firstLine="602" w:firstLineChars="250"/>
        <w:rPr>
          <w:rFonts w:ascii="宋体" w:hAnsi="宋体"/>
          <w:b/>
        </w:rPr>
      </w:pPr>
      <w:r>
        <w:rPr>
          <w:rFonts w:ascii="宋体" w:hAnsi="宋体"/>
          <w:b/>
        </w:rPr>
        <w:t>4</w:t>
      </w:r>
      <w:r>
        <w:rPr>
          <w:rFonts w:hint="eastAsia" w:ascii="宋体" w:hAnsi="宋体"/>
          <w:b/>
        </w:rPr>
        <w:t>）招标文件未明确说明允许投报进口产品，而投报了进口产品的；</w:t>
      </w:r>
    </w:p>
    <w:p>
      <w:pPr>
        <w:pStyle w:val="2"/>
        <w:spacing w:after="0" w:line="560" w:lineRule="exact"/>
        <w:ind w:firstLine="602" w:firstLineChars="250"/>
        <w:rPr>
          <w:rFonts w:ascii="宋体" w:hAnsi="宋体"/>
          <w:b/>
        </w:rPr>
      </w:pPr>
      <w:r>
        <w:rPr>
          <w:rFonts w:ascii="宋体" w:hAnsi="宋体"/>
          <w:b/>
        </w:rPr>
        <w:t>5</w:t>
      </w:r>
      <w:r>
        <w:rPr>
          <w:rFonts w:hint="eastAsia" w:ascii="宋体" w:hAnsi="宋体"/>
          <w:b/>
        </w:rPr>
        <w:t>）不符合招标文件中（除技术参数外）任一带★号实质性条款的；</w:t>
      </w:r>
    </w:p>
    <w:p>
      <w:pPr>
        <w:pStyle w:val="2"/>
        <w:spacing w:after="0" w:line="560" w:lineRule="exact"/>
        <w:ind w:firstLine="602" w:firstLineChars="250"/>
        <w:rPr>
          <w:rFonts w:ascii="宋体" w:hAnsi="宋体"/>
          <w:b/>
        </w:rPr>
      </w:pPr>
      <w:r>
        <w:rPr>
          <w:rFonts w:hint="eastAsia" w:ascii="宋体" w:hAnsi="宋体"/>
          <w:b/>
        </w:rPr>
        <w:t>6）投标文件内容不全或未按规定填写或字迹模糊、辨认不清或涂改未加盖公章确认也未经法定代表人或其委托代理人签字确认的；</w:t>
      </w:r>
    </w:p>
    <w:p>
      <w:pPr>
        <w:pStyle w:val="2"/>
        <w:spacing w:after="0" w:line="560" w:lineRule="exact"/>
        <w:ind w:firstLine="602" w:firstLineChars="250"/>
        <w:rPr>
          <w:rFonts w:ascii="宋体" w:hAnsi="宋体"/>
          <w:b/>
        </w:rPr>
      </w:pPr>
      <w:r>
        <w:rPr>
          <w:rFonts w:hint="eastAsia" w:ascii="宋体" w:hAnsi="宋体"/>
          <w:b/>
        </w:rPr>
        <w:t>7）评标委员会认为供应商的报价明显低于其他合格供应商报价的，有可能影响产品质量或者不能诚信履约要求供应商在评审现场合理的时间内提供书面说明，但该供应商未提交相关证明材料以证明其报价合理性的；</w:t>
      </w:r>
    </w:p>
    <w:p>
      <w:pPr>
        <w:pStyle w:val="2"/>
        <w:spacing w:after="0" w:line="560" w:lineRule="exact"/>
        <w:ind w:firstLine="602" w:firstLineChars="250"/>
        <w:rPr>
          <w:rFonts w:ascii="宋体" w:hAnsi="宋体"/>
          <w:b/>
        </w:rPr>
      </w:pPr>
      <w:r>
        <w:rPr>
          <w:rFonts w:hint="eastAsia" w:ascii="宋体" w:hAnsi="宋体"/>
          <w:b/>
        </w:rPr>
        <w:t>8）投标报价超过采购预算或最高限价的；</w:t>
      </w:r>
    </w:p>
    <w:p>
      <w:pPr>
        <w:pStyle w:val="2"/>
        <w:spacing w:after="0" w:line="560" w:lineRule="exact"/>
        <w:ind w:firstLine="602" w:firstLineChars="250"/>
        <w:rPr>
          <w:rFonts w:ascii="宋体" w:hAnsi="宋体"/>
          <w:b/>
        </w:rPr>
      </w:pPr>
      <w:r>
        <w:rPr>
          <w:rFonts w:hint="eastAsia" w:ascii="宋体" w:hAnsi="宋体"/>
          <w:b/>
        </w:rPr>
        <w:t>9）未响应招标文件规定的其他实质性要求的；</w:t>
      </w:r>
    </w:p>
    <w:p>
      <w:pPr>
        <w:pStyle w:val="2"/>
        <w:spacing w:after="0" w:line="560" w:lineRule="exact"/>
        <w:ind w:firstLine="602" w:firstLineChars="250"/>
        <w:jc w:val="left"/>
        <w:rPr>
          <w:rFonts w:ascii="宋体" w:hAnsi="宋体"/>
          <w:b/>
        </w:rPr>
      </w:pPr>
      <w:r>
        <w:rPr>
          <w:rFonts w:hint="eastAsia" w:ascii="宋体" w:hAnsi="宋体"/>
          <w:b/>
        </w:rPr>
        <w:t>10）至递交投标文件截止时间止，在“信用中国”网站（</w:t>
      </w:r>
      <w:r>
        <w:rPr>
          <w:rFonts w:ascii="宋体" w:hAnsi="宋体"/>
          <w:b/>
        </w:rPr>
        <w:t>www.creditchina.gov.cn</w:t>
      </w:r>
      <w:r>
        <w:rPr>
          <w:rFonts w:hint="eastAsia" w:ascii="宋体" w:hAnsi="宋体"/>
          <w:b/>
        </w:rPr>
        <w:t>）、中国政府采购网（</w:t>
      </w:r>
      <w:r>
        <w:rPr>
          <w:rFonts w:ascii="宋体" w:hAnsi="宋体"/>
          <w:b/>
        </w:rPr>
        <w:t>www.ccgp.gov.cn</w:t>
      </w:r>
      <w:r>
        <w:rPr>
          <w:rFonts w:hint="eastAsia" w:ascii="宋体" w:hAnsi="宋体"/>
          <w:b/>
        </w:rPr>
        <w:t>）等网站中被列入失信被执行人、重大税收违法案件当事人名单、政府采购严重违法失信行为记录名单的；</w:t>
      </w:r>
    </w:p>
    <w:p>
      <w:pPr>
        <w:pStyle w:val="2"/>
        <w:spacing w:after="0" w:line="560" w:lineRule="exact"/>
        <w:ind w:firstLine="602" w:firstLineChars="250"/>
        <w:rPr>
          <w:rFonts w:ascii="宋体" w:hAnsi="宋体"/>
          <w:b/>
        </w:rPr>
      </w:pPr>
      <w:r>
        <w:rPr>
          <w:rFonts w:hint="eastAsia" w:ascii="宋体" w:hAnsi="宋体"/>
          <w:b/>
        </w:rPr>
        <w:t>11）以他人名义投标或者在投标文件中提供虚假材料的；</w:t>
      </w:r>
    </w:p>
    <w:p>
      <w:pPr>
        <w:pStyle w:val="2"/>
        <w:spacing w:after="0" w:line="560" w:lineRule="exact"/>
        <w:ind w:firstLine="602" w:firstLineChars="250"/>
        <w:rPr>
          <w:rFonts w:ascii="宋体" w:hAnsi="宋体"/>
          <w:b/>
        </w:rPr>
      </w:pPr>
      <w:r>
        <w:rPr>
          <w:rFonts w:hint="eastAsia" w:ascii="宋体" w:hAnsi="宋体"/>
          <w:b/>
        </w:rPr>
        <w:t>12）供应商在开标后到中标结果确定期间，影响或试图影响采购人、采购代理机构、评标委员会工作的；</w:t>
      </w:r>
    </w:p>
    <w:p>
      <w:pPr>
        <w:pStyle w:val="2"/>
        <w:spacing w:after="0" w:line="560" w:lineRule="exact"/>
        <w:ind w:firstLine="602" w:firstLineChars="250"/>
        <w:rPr>
          <w:rFonts w:ascii="宋体" w:hAnsi="宋体"/>
          <w:b/>
        </w:rPr>
      </w:pPr>
      <w:r>
        <w:rPr>
          <w:rFonts w:hint="eastAsia" w:ascii="宋体" w:hAnsi="宋体"/>
          <w:b/>
        </w:rPr>
        <w:t>13）向采购人、代理机构行贿或者提供其他不正当利益的；</w:t>
      </w:r>
    </w:p>
    <w:p>
      <w:pPr>
        <w:pStyle w:val="2"/>
        <w:spacing w:after="0" w:line="560" w:lineRule="exact"/>
        <w:ind w:firstLine="602" w:firstLineChars="250"/>
        <w:rPr>
          <w:rFonts w:ascii="宋体" w:hAnsi="宋体"/>
          <w:b/>
        </w:rPr>
      </w:pPr>
      <w:r>
        <w:rPr>
          <w:rFonts w:hint="eastAsia" w:ascii="宋体" w:hAnsi="宋体"/>
          <w:b/>
        </w:rPr>
        <w:t>14）法律法规和招标文件规定的其他情形。</w:t>
      </w:r>
    </w:p>
    <w:p>
      <w:pPr>
        <w:spacing w:after="120" w:line="560" w:lineRule="exact"/>
        <w:ind w:firstLine="600" w:firstLineChars="250"/>
        <w:rPr>
          <w:rFonts w:ascii="宋体" w:hAnsi="宋体"/>
          <w:kern w:val="0"/>
          <w:sz w:val="24"/>
        </w:rPr>
      </w:pPr>
      <w:r>
        <w:rPr>
          <w:rFonts w:ascii="宋体" w:hAnsi="宋体"/>
          <w:kern w:val="0"/>
          <w:sz w:val="24"/>
        </w:rPr>
        <w:t>24.4</w:t>
      </w:r>
      <w:r>
        <w:rPr>
          <w:rFonts w:hint="eastAsia" w:ascii="宋体" w:hAnsi="宋体"/>
          <w:kern w:val="0"/>
          <w:sz w:val="24"/>
        </w:rPr>
        <w:t>对于投标文件中含义不明确、同类问题表述不一致或者有明显文字和计算错误的内容，评标委员会应当以书面形式要求供应商作出必要的澄清、说明或者补正。供应商的澄清、说明或者补正应当采用书面形式，并加盖公章，或者由法定代表人或其授权的代表签字。供应商的澄清、说明或者补正不得超出投标文件的范围或者改变投标文件的实质性内容。</w:t>
      </w:r>
    </w:p>
    <w:p>
      <w:pPr>
        <w:spacing w:line="560" w:lineRule="exact"/>
        <w:ind w:firstLine="600" w:firstLineChars="250"/>
        <w:rPr>
          <w:rFonts w:ascii="宋体" w:hAnsi="宋体" w:cs="宋体"/>
          <w:kern w:val="0"/>
          <w:sz w:val="24"/>
        </w:rPr>
      </w:pPr>
      <w:r>
        <w:rPr>
          <w:rFonts w:ascii="宋体" w:hAnsi="宋体" w:cs="宋体"/>
          <w:kern w:val="0"/>
          <w:sz w:val="24"/>
        </w:rPr>
        <w:t xml:space="preserve">24.5 </w:t>
      </w:r>
      <w:r>
        <w:rPr>
          <w:rFonts w:hint="eastAsia" w:ascii="宋体" w:hAnsi="宋体" w:cs="宋体"/>
          <w:kern w:val="0"/>
          <w:sz w:val="24"/>
        </w:rPr>
        <w:t>评标委员会将否决被确定为非实质性响应的投标文件，供应商不能通过修正或撤销投标文件中的不符之处而使其投标成为实质性响应的投标。</w:t>
      </w:r>
    </w:p>
    <w:p>
      <w:pPr>
        <w:spacing w:line="560" w:lineRule="exact"/>
        <w:ind w:firstLine="600" w:firstLineChars="250"/>
        <w:rPr>
          <w:rFonts w:ascii="宋体" w:hAnsi="宋体" w:cs="宋体"/>
          <w:kern w:val="0"/>
          <w:sz w:val="24"/>
        </w:rPr>
      </w:pPr>
      <w:r>
        <w:rPr>
          <w:rFonts w:ascii="宋体" w:hAnsi="宋体" w:cs="宋体"/>
          <w:kern w:val="0"/>
          <w:sz w:val="24"/>
        </w:rPr>
        <w:t>24.</w:t>
      </w:r>
      <w:r>
        <w:rPr>
          <w:rFonts w:hint="eastAsia" w:ascii="宋体" w:hAnsi="宋体" w:cs="宋体"/>
          <w:kern w:val="0"/>
          <w:sz w:val="24"/>
        </w:rPr>
        <w:t>6</w:t>
      </w:r>
      <w:r>
        <w:rPr>
          <w:rFonts w:ascii="宋体" w:hAnsi="宋体" w:cs="宋体"/>
          <w:kern w:val="0"/>
          <w:sz w:val="24"/>
        </w:rPr>
        <w:t xml:space="preserve"> </w:t>
      </w:r>
      <w:r>
        <w:rPr>
          <w:rFonts w:hint="eastAsia" w:ascii="宋体" w:hAnsi="宋体" w:cs="宋体"/>
          <w:kern w:val="0"/>
          <w:sz w:val="24"/>
        </w:rPr>
        <w:t>评标委员会通过上述评审，确定通过初步评审的合格供应商名单，只有通过初步评审的供应商，才能进入综合评审。合格供应商不足</w:t>
      </w:r>
      <w:r>
        <w:rPr>
          <w:rFonts w:ascii="宋体" w:hAnsi="宋体" w:cs="宋体"/>
          <w:kern w:val="0"/>
          <w:sz w:val="24"/>
        </w:rPr>
        <w:t>3</w:t>
      </w:r>
      <w:r>
        <w:rPr>
          <w:rFonts w:hint="eastAsia" w:ascii="宋体" w:hAnsi="宋体" w:cs="宋体"/>
          <w:kern w:val="0"/>
          <w:sz w:val="24"/>
        </w:rPr>
        <w:t>家的，不得评标。</w:t>
      </w:r>
    </w:p>
    <w:p>
      <w:pPr>
        <w:pStyle w:val="2"/>
        <w:spacing w:after="0" w:line="560" w:lineRule="exact"/>
        <w:ind w:firstLine="602" w:firstLineChars="250"/>
        <w:rPr>
          <w:rFonts w:ascii="宋体" w:hAnsi="宋体"/>
          <w:b/>
        </w:rPr>
      </w:pPr>
      <w:r>
        <w:rPr>
          <w:rFonts w:hint="eastAsia" w:ascii="宋体" w:hAnsi="宋体" w:cs="宋体"/>
          <w:b/>
          <w:bCs/>
        </w:rPr>
        <w:t>★</w:t>
      </w:r>
      <w:r>
        <w:rPr>
          <w:rFonts w:hint="eastAsia" w:ascii="宋体" w:hAnsi="宋体"/>
          <w:b/>
        </w:rPr>
        <w:t>25</w:t>
      </w:r>
      <w:r>
        <w:rPr>
          <w:rFonts w:ascii="宋体" w:hAnsi="宋体"/>
          <w:b/>
        </w:rPr>
        <w:t>.</w:t>
      </w:r>
      <w:r>
        <w:rPr>
          <w:rFonts w:hint="eastAsia" w:ascii="宋体" w:hAnsi="宋体"/>
          <w:b/>
        </w:rPr>
        <w:t>串通投标</w:t>
      </w:r>
    </w:p>
    <w:p>
      <w:pPr>
        <w:pStyle w:val="2"/>
        <w:spacing w:after="0" w:line="560" w:lineRule="exact"/>
        <w:ind w:firstLine="600" w:firstLineChars="250"/>
        <w:rPr>
          <w:rFonts w:ascii="宋体" w:hAnsi="宋体"/>
        </w:rPr>
      </w:pPr>
      <w:r>
        <w:rPr>
          <w:rFonts w:hint="eastAsia" w:ascii="宋体" w:hAnsi="宋体"/>
        </w:rPr>
        <w:t>供应商出现串标或影响招标的违法行为时，采购代理机构将严格按照《中华人民共和国政府采购法》及相关法律、法规及规章制度的规定行使权利，给采购人、代理机构造成损失的，采购人、代理机构有索赔的权利，供应商应予以赔偿。</w:t>
      </w:r>
    </w:p>
    <w:p>
      <w:pPr>
        <w:pStyle w:val="2"/>
        <w:spacing w:after="0" w:line="560" w:lineRule="exact"/>
        <w:ind w:firstLine="602" w:firstLineChars="250"/>
        <w:rPr>
          <w:rFonts w:ascii="宋体" w:hAnsi="宋体"/>
          <w:b/>
        </w:rPr>
      </w:pPr>
      <w:r>
        <w:rPr>
          <w:rFonts w:hint="eastAsia" w:ascii="宋体" w:hAnsi="宋体"/>
          <w:b/>
        </w:rPr>
        <w:t>25</w:t>
      </w:r>
      <w:r>
        <w:rPr>
          <w:rFonts w:ascii="宋体" w:hAnsi="宋体"/>
          <w:b/>
        </w:rPr>
        <w:t>.1</w:t>
      </w:r>
      <w:r>
        <w:rPr>
          <w:rFonts w:hint="eastAsia" w:ascii="宋体" w:hAnsi="宋体"/>
          <w:b/>
        </w:rPr>
        <w:t>有下列情形之一的，属于供应商相互串通投标；</w:t>
      </w:r>
    </w:p>
    <w:p>
      <w:pPr>
        <w:pStyle w:val="2"/>
        <w:spacing w:after="0" w:line="560" w:lineRule="exact"/>
        <w:ind w:firstLine="600" w:firstLineChars="250"/>
        <w:rPr>
          <w:rFonts w:ascii="宋体" w:hAnsi="宋体"/>
        </w:rPr>
      </w:pPr>
      <w:r>
        <w:rPr>
          <w:rFonts w:hint="eastAsia" w:ascii="宋体" w:hAnsi="宋体"/>
        </w:rPr>
        <w:t>（</w:t>
      </w:r>
      <w:r>
        <w:rPr>
          <w:rFonts w:ascii="宋体" w:hAnsi="宋体"/>
        </w:rPr>
        <w:t>1</w:t>
      </w:r>
      <w:r>
        <w:rPr>
          <w:rFonts w:hint="eastAsia" w:ascii="宋体" w:hAnsi="宋体"/>
        </w:rPr>
        <w:t>）供应商之间协商投标报价等投标文件的实质性内容；</w:t>
      </w:r>
    </w:p>
    <w:p>
      <w:pPr>
        <w:pStyle w:val="2"/>
        <w:spacing w:after="0" w:line="560" w:lineRule="exact"/>
        <w:ind w:firstLine="600" w:firstLineChars="250"/>
        <w:rPr>
          <w:rFonts w:ascii="宋体" w:hAnsi="宋体"/>
        </w:rPr>
      </w:pPr>
      <w:r>
        <w:rPr>
          <w:rFonts w:hint="eastAsia" w:ascii="宋体" w:hAnsi="宋体"/>
        </w:rPr>
        <w:t>（</w:t>
      </w:r>
      <w:r>
        <w:rPr>
          <w:rFonts w:ascii="宋体" w:hAnsi="宋体"/>
        </w:rPr>
        <w:t>2</w:t>
      </w:r>
      <w:r>
        <w:rPr>
          <w:rFonts w:hint="eastAsia" w:ascii="宋体" w:hAnsi="宋体"/>
        </w:rPr>
        <w:t>）供应商之间约定中标人；</w:t>
      </w:r>
    </w:p>
    <w:p>
      <w:pPr>
        <w:pStyle w:val="2"/>
        <w:spacing w:after="0" w:line="560" w:lineRule="exact"/>
        <w:ind w:firstLine="600" w:firstLineChars="250"/>
        <w:rPr>
          <w:rFonts w:ascii="宋体" w:hAnsi="宋体"/>
        </w:rPr>
      </w:pPr>
      <w:r>
        <w:rPr>
          <w:rFonts w:hint="eastAsia" w:ascii="宋体" w:hAnsi="宋体"/>
        </w:rPr>
        <w:t>（</w:t>
      </w:r>
      <w:r>
        <w:rPr>
          <w:rFonts w:ascii="宋体" w:hAnsi="宋体"/>
        </w:rPr>
        <w:t>3</w:t>
      </w:r>
      <w:r>
        <w:rPr>
          <w:rFonts w:hint="eastAsia" w:ascii="宋体" w:hAnsi="宋体"/>
        </w:rPr>
        <w:t>）供应商之间约定部分供应商放弃投标或者中标；</w:t>
      </w:r>
    </w:p>
    <w:p>
      <w:pPr>
        <w:pStyle w:val="2"/>
        <w:spacing w:after="0" w:line="560" w:lineRule="exact"/>
        <w:ind w:firstLine="600" w:firstLineChars="250"/>
        <w:rPr>
          <w:rFonts w:ascii="宋体" w:hAnsi="宋体"/>
        </w:rPr>
      </w:pPr>
      <w:r>
        <w:rPr>
          <w:rFonts w:hint="eastAsia" w:ascii="宋体" w:hAnsi="宋体"/>
        </w:rPr>
        <w:t>（</w:t>
      </w:r>
      <w:r>
        <w:rPr>
          <w:rFonts w:ascii="宋体" w:hAnsi="宋体"/>
        </w:rPr>
        <w:t>4</w:t>
      </w:r>
      <w:r>
        <w:rPr>
          <w:rFonts w:hint="eastAsia" w:ascii="宋体" w:hAnsi="宋体"/>
        </w:rPr>
        <w:t>）属于同一集团、协会、商会等组织成员的供应商按照该组织要求协同投标；</w:t>
      </w:r>
    </w:p>
    <w:p>
      <w:pPr>
        <w:pStyle w:val="2"/>
        <w:spacing w:after="0" w:line="560" w:lineRule="exact"/>
        <w:ind w:firstLine="600" w:firstLineChars="250"/>
        <w:rPr>
          <w:rFonts w:ascii="宋体" w:hAnsi="宋体"/>
        </w:rPr>
      </w:pPr>
      <w:r>
        <w:rPr>
          <w:rFonts w:hint="eastAsia" w:ascii="宋体" w:hAnsi="宋体"/>
        </w:rPr>
        <w:t>（</w:t>
      </w:r>
      <w:r>
        <w:rPr>
          <w:rFonts w:ascii="宋体" w:hAnsi="宋体"/>
        </w:rPr>
        <w:t>5</w:t>
      </w:r>
      <w:r>
        <w:rPr>
          <w:rFonts w:hint="eastAsia" w:ascii="宋体" w:hAnsi="宋体"/>
        </w:rPr>
        <w:t>）供应商之间为谋取中标或者排斥特定供应商而采取的其他联合行动。</w:t>
      </w:r>
    </w:p>
    <w:p>
      <w:pPr>
        <w:pStyle w:val="2"/>
        <w:spacing w:after="0" w:line="560" w:lineRule="exact"/>
        <w:ind w:firstLine="602" w:firstLineChars="250"/>
        <w:rPr>
          <w:rFonts w:ascii="宋体" w:hAnsi="宋体"/>
          <w:b/>
        </w:rPr>
      </w:pPr>
      <w:r>
        <w:rPr>
          <w:rFonts w:hint="eastAsia" w:ascii="宋体" w:hAnsi="宋体"/>
          <w:b/>
        </w:rPr>
        <w:t>25</w:t>
      </w:r>
      <w:r>
        <w:rPr>
          <w:rFonts w:ascii="宋体" w:hAnsi="宋体"/>
          <w:b/>
        </w:rPr>
        <w:t xml:space="preserve">.2  </w:t>
      </w:r>
      <w:r>
        <w:rPr>
          <w:rFonts w:hint="eastAsia" w:ascii="宋体" w:hAnsi="宋体"/>
          <w:b/>
        </w:rPr>
        <w:t>有下列情形之一的，属于供应商相互串通投标；</w:t>
      </w:r>
    </w:p>
    <w:p>
      <w:pPr>
        <w:pStyle w:val="2"/>
        <w:spacing w:after="0" w:line="560" w:lineRule="exact"/>
        <w:ind w:firstLine="600" w:firstLineChars="250"/>
        <w:rPr>
          <w:rFonts w:ascii="宋体" w:hAnsi="宋体"/>
        </w:rPr>
      </w:pPr>
      <w:r>
        <w:rPr>
          <w:rFonts w:hint="eastAsia" w:ascii="宋体" w:hAnsi="宋体"/>
        </w:rPr>
        <w:t>（</w:t>
      </w:r>
      <w:r>
        <w:rPr>
          <w:rFonts w:ascii="宋体" w:hAnsi="宋体"/>
        </w:rPr>
        <w:t>1</w:t>
      </w:r>
      <w:r>
        <w:rPr>
          <w:rFonts w:hint="eastAsia" w:ascii="宋体" w:hAnsi="宋体"/>
        </w:rPr>
        <w:t>）不同供应商的投标文件由同一单位或者个人编制；</w:t>
      </w:r>
    </w:p>
    <w:p>
      <w:pPr>
        <w:pStyle w:val="2"/>
        <w:spacing w:after="0" w:line="560" w:lineRule="exact"/>
        <w:ind w:firstLine="600" w:firstLineChars="250"/>
        <w:rPr>
          <w:rFonts w:ascii="宋体" w:hAnsi="宋体"/>
        </w:rPr>
      </w:pPr>
      <w:r>
        <w:rPr>
          <w:rFonts w:hint="eastAsia" w:ascii="宋体" w:hAnsi="宋体"/>
        </w:rPr>
        <w:t>（</w:t>
      </w:r>
      <w:r>
        <w:rPr>
          <w:rFonts w:ascii="宋体" w:hAnsi="宋体"/>
        </w:rPr>
        <w:t>2</w:t>
      </w:r>
      <w:r>
        <w:rPr>
          <w:rFonts w:hint="eastAsia" w:ascii="宋体" w:hAnsi="宋体"/>
        </w:rPr>
        <w:t>）不同供应商委托同一单位或者个人办理投标事宜；</w:t>
      </w:r>
    </w:p>
    <w:p>
      <w:pPr>
        <w:pStyle w:val="2"/>
        <w:spacing w:after="0" w:line="560" w:lineRule="exact"/>
        <w:ind w:firstLine="600" w:firstLineChars="250"/>
        <w:rPr>
          <w:rFonts w:ascii="宋体" w:hAnsi="宋体"/>
        </w:rPr>
      </w:pPr>
      <w:r>
        <w:rPr>
          <w:rFonts w:hint="eastAsia" w:ascii="宋体" w:hAnsi="宋体"/>
        </w:rPr>
        <w:t>（</w:t>
      </w:r>
      <w:r>
        <w:rPr>
          <w:rFonts w:ascii="宋体" w:hAnsi="宋体"/>
        </w:rPr>
        <w:t>3</w:t>
      </w:r>
      <w:r>
        <w:rPr>
          <w:rFonts w:hint="eastAsia" w:ascii="宋体" w:hAnsi="宋体"/>
        </w:rPr>
        <w:t>）不同供应商的投标文件载明的项目管理成员为同一人；</w:t>
      </w:r>
    </w:p>
    <w:p>
      <w:pPr>
        <w:pStyle w:val="2"/>
        <w:spacing w:after="0" w:line="560" w:lineRule="exact"/>
        <w:ind w:firstLine="600" w:firstLineChars="250"/>
        <w:rPr>
          <w:rFonts w:ascii="宋体" w:hAnsi="宋体"/>
        </w:rPr>
      </w:pPr>
      <w:r>
        <w:rPr>
          <w:rFonts w:hint="eastAsia" w:ascii="宋体" w:hAnsi="宋体"/>
        </w:rPr>
        <w:t>（</w:t>
      </w:r>
      <w:r>
        <w:rPr>
          <w:rFonts w:ascii="宋体" w:hAnsi="宋体"/>
        </w:rPr>
        <w:t>4</w:t>
      </w:r>
      <w:r>
        <w:rPr>
          <w:rFonts w:hint="eastAsia" w:ascii="宋体" w:hAnsi="宋体"/>
        </w:rPr>
        <w:t>）不同供应商的投标文件异常一致或者投标报价呈规律性差异；</w:t>
      </w:r>
    </w:p>
    <w:p>
      <w:pPr>
        <w:pStyle w:val="2"/>
        <w:spacing w:after="0" w:line="560" w:lineRule="exact"/>
        <w:ind w:firstLine="600" w:firstLineChars="250"/>
        <w:rPr>
          <w:rFonts w:hint="eastAsia" w:ascii="宋体" w:hAnsi="宋体"/>
        </w:rPr>
      </w:pPr>
      <w:r>
        <w:rPr>
          <w:rFonts w:hint="eastAsia" w:ascii="宋体" w:hAnsi="宋体"/>
        </w:rPr>
        <w:t>（</w:t>
      </w:r>
      <w:r>
        <w:rPr>
          <w:rFonts w:ascii="宋体" w:hAnsi="宋体"/>
        </w:rPr>
        <w:t>5</w:t>
      </w:r>
      <w:r>
        <w:rPr>
          <w:rFonts w:hint="eastAsia" w:ascii="宋体" w:hAnsi="宋体"/>
        </w:rPr>
        <w:t>）不同供应商的投标文件相互混装；</w:t>
      </w:r>
    </w:p>
    <w:p>
      <w:pPr>
        <w:pStyle w:val="2"/>
        <w:spacing w:after="0" w:line="560" w:lineRule="exact"/>
        <w:ind w:firstLine="600" w:firstLineChars="250"/>
        <w:rPr>
          <w:rFonts w:ascii="宋体" w:hAnsi="宋体"/>
        </w:rPr>
      </w:pPr>
      <w:r>
        <w:rPr>
          <w:rFonts w:hint="eastAsia" w:ascii="宋体" w:hAnsi="宋体"/>
        </w:rPr>
        <w:t>（</w:t>
      </w:r>
      <w:r>
        <w:rPr>
          <w:rFonts w:ascii="宋体" w:hAnsi="宋体"/>
        </w:rPr>
        <w:t>6</w:t>
      </w:r>
      <w:r>
        <w:rPr>
          <w:rFonts w:hint="eastAsia" w:ascii="宋体" w:hAnsi="宋体"/>
        </w:rPr>
        <w:t>）不同供应商的投标保证金从同一单位或者个人的账户转出。</w:t>
      </w:r>
    </w:p>
    <w:p>
      <w:pPr>
        <w:pStyle w:val="2"/>
        <w:spacing w:after="0" w:line="560" w:lineRule="exact"/>
        <w:ind w:firstLine="602" w:firstLineChars="250"/>
        <w:rPr>
          <w:rFonts w:ascii="宋体" w:hAnsi="宋体"/>
          <w:b/>
        </w:rPr>
      </w:pPr>
      <w:r>
        <w:rPr>
          <w:rFonts w:hint="eastAsia" w:ascii="宋体" w:hAnsi="宋体"/>
          <w:b/>
        </w:rPr>
        <w:t>25</w:t>
      </w:r>
      <w:r>
        <w:rPr>
          <w:rFonts w:ascii="宋体" w:hAnsi="宋体"/>
          <w:b/>
        </w:rPr>
        <w:t xml:space="preserve">.3 </w:t>
      </w:r>
      <w:r>
        <w:rPr>
          <w:rFonts w:hint="eastAsia" w:ascii="宋体" w:hAnsi="宋体"/>
          <w:b/>
        </w:rPr>
        <w:t>有下列情形之一的，属于招标代理及招标人与供应商串通投标；</w:t>
      </w:r>
    </w:p>
    <w:p>
      <w:pPr>
        <w:pStyle w:val="2"/>
        <w:spacing w:after="0" w:line="560" w:lineRule="exact"/>
        <w:ind w:firstLine="600" w:firstLineChars="250"/>
        <w:rPr>
          <w:rFonts w:ascii="宋体" w:hAnsi="宋体"/>
        </w:rPr>
      </w:pPr>
      <w:r>
        <w:rPr>
          <w:rFonts w:hint="eastAsia" w:ascii="宋体" w:hAnsi="宋体"/>
        </w:rPr>
        <w:t>（</w:t>
      </w:r>
      <w:r>
        <w:rPr>
          <w:rFonts w:ascii="宋体" w:hAnsi="宋体"/>
        </w:rPr>
        <w:t>1</w:t>
      </w:r>
      <w:r>
        <w:rPr>
          <w:rFonts w:hint="eastAsia" w:ascii="宋体" w:hAnsi="宋体"/>
        </w:rPr>
        <w:t>）招标代理及招标人在开标前开启投标文件并将有关信息泄露给其他供应商；</w:t>
      </w:r>
    </w:p>
    <w:p>
      <w:pPr>
        <w:pStyle w:val="2"/>
        <w:spacing w:after="0" w:line="560" w:lineRule="exact"/>
        <w:ind w:firstLine="600" w:firstLineChars="250"/>
        <w:rPr>
          <w:rFonts w:ascii="宋体" w:hAnsi="宋体"/>
        </w:rPr>
      </w:pPr>
      <w:r>
        <w:rPr>
          <w:rFonts w:hint="eastAsia" w:ascii="宋体" w:hAnsi="宋体"/>
        </w:rPr>
        <w:t>（</w:t>
      </w:r>
      <w:r>
        <w:rPr>
          <w:rFonts w:ascii="宋体" w:hAnsi="宋体"/>
        </w:rPr>
        <w:t>2</w:t>
      </w:r>
      <w:r>
        <w:rPr>
          <w:rFonts w:hint="eastAsia" w:ascii="宋体" w:hAnsi="宋体"/>
        </w:rPr>
        <w:t>）招标代理及招标人直接或者间接向供应商泄露标底、评标委员会成员信息；</w:t>
      </w:r>
    </w:p>
    <w:p>
      <w:pPr>
        <w:pStyle w:val="2"/>
        <w:spacing w:after="0" w:line="560" w:lineRule="exact"/>
        <w:ind w:firstLine="600" w:firstLineChars="250"/>
        <w:rPr>
          <w:rFonts w:ascii="宋体" w:hAnsi="宋体"/>
        </w:rPr>
      </w:pPr>
      <w:r>
        <w:rPr>
          <w:rFonts w:hint="eastAsia" w:ascii="宋体" w:hAnsi="宋体"/>
        </w:rPr>
        <w:t>（</w:t>
      </w:r>
      <w:r>
        <w:rPr>
          <w:rFonts w:ascii="宋体" w:hAnsi="宋体"/>
        </w:rPr>
        <w:t>3</w:t>
      </w:r>
      <w:r>
        <w:rPr>
          <w:rFonts w:hint="eastAsia" w:ascii="宋体" w:hAnsi="宋体"/>
        </w:rPr>
        <w:t>）招标代理及招标人明示或者暗示供应商压低或者抬高投标报价；</w:t>
      </w:r>
    </w:p>
    <w:p>
      <w:pPr>
        <w:pStyle w:val="2"/>
        <w:spacing w:after="0" w:line="560" w:lineRule="exact"/>
        <w:ind w:firstLine="600" w:firstLineChars="250"/>
        <w:rPr>
          <w:rFonts w:ascii="宋体" w:hAnsi="宋体"/>
        </w:rPr>
      </w:pPr>
      <w:r>
        <w:rPr>
          <w:rFonts w:hint="eastAsia" w:ascii="宋体" w:hAnsi="宋体"/>
        </w:rPr>
        <w:t>（</w:t>
      </w:r>
      <w:r>
        <w:rPr>
          <w:rFonts w:ascii="宋体" w:hAnsi="宋体"/>
        </w:rPr>
        <w:t>4</w:t>
      </w:r>
      <w:r>
        <w:rPr>
          <w:rFonts w:hint="eastAsia" w:ascii="宋体" w:hAnsi="宋体"/>
        </w:rPr>
        <w:t>）招标代理及招标人授意供应商撤换、修改招标文件；</w:t>
      </w:r>
    </w:p>
    <w:p>
      <w:pPr>
        <w:pStyle w:val="2"/>
        <w:spacing w:after="0" w:line="560" w:lineRule="exact"/>
        <w:ind w:firstLine="600" w:firstLineChars="250"/>
        <w:rPr>
          <w:rFonts w:ascii="宋体" w:hAnsi="宋体"/>
        </w:rPr>
      </w:pPr>
      <w:r>
        <w:rPr>
          <w:rFonts w:hint="eastAsia" w:ascii="宋体" w:hAnsi="宋体"/>
        </w:rPr>
        <w:t>（</w:t>
      </w:r>
      <w:r>
        <w:rPr>
          <w:rFonts w:ascii="宋体" w:hAnsi="宋体"/>
        </w:rPr>
        <w:t>5</w:t>
      </w:r>
      <w:r>
        <w:rPr>
          <w:rFonts w:hint="eastAsia" w:ascii="宋体" w:hAnsi="宋体"/>
        </w:rPr>
        <w:t>）招标代理及招标人明示或者暗示供应商为特定供应商中标提供方便；</w:t>
      </w:r>
    </w:p>
    <w:p>
      <w:pPr>
        <w:pStyle w:val="2"/>
        <w:spacing w:after="0" w:line="560" w:lineRule="exact"/>
        <w:ind w:firstLine="600" w:firstLineChars="250"/>
        <w:rPr>
          <w:rFonts w:ascii="宋体" w:hAnsi="宋体"/>
        </w:rPr>
      </w:pPr>
      <w:r>
        <w:rPr>
          <w:rFonts w:hint="eastAsia" w:ascii="宋体" w:hAnsi="宋体"/>
        </w:rPr>
        <w:t>（</w:t>
      </w:r>
      <w:r>
        <w:rPr>
          <w:rFonts w:ascii="宋体" w:hAnsi="宋体"/>
        </w:rPr>
        <w:t>6</w:t>
      </w:r>
      <w:r>
        <w:rPr>
          <w:rFonts w:hint="eastAsia" w:ascii="宋体" w:hAnsi="宋体"/>
        </w:rPr>
        <w:t>）招标代理及招标人与供应商为谋求特定供应商中标而采取的其他串通行为。</w:t>
      </w:r>
    </w:p>
    <w:p>
      <w:pPr>
        <w:pStyle w:val="2"/>
        <w:spacing w:after="0" w:line="560" w:lineRule="exact"/>
        <w:ind w:firstLine="602" w:firstLineChars="250"/>
        <w:rPr>
          <w:rFonts w:ascii="宋体" w:hAnsi="宋体"/>
          <w:b/>
        </w:rPr>
      </w:pPr>
      <w:r>
        <w:rPr>
          <w:rFonts w:hint="eastAsia" w:ascii="宋体" w:hAnsi="宋体"/>
          <w:b/>
        </w:rPr>
        <w:t>25</w:t>
      </w:r>
      <w:r>
        <w:rPr>
          <w:rFonts w:ascii="宋体" w:hAnsi="宋体"/>
          <w:b/>
        </w:rPr>
        <w:t xml:space="preserve">.4 </w:t>
      </w:r>
      <w:r>
        <w:rPr>
          <w:rFonts w:hint="eastAsia" w:ascii="宋体" w:hAnsi="宋体"/>
          <w:b/>
        </w:rPr>
        <w:t>禁止通过受让或者租借等方式获取的资格、资质证书或以他人名义投标。</w:t>
      </w:r>
    </w:p>
    <w:p>
      <w:pPr>
        <w:pStyle w:val="2"/>
        <w:spacing w:after="0" w:line="560" w:lineRule="exact"/>
        <w:ind w:firstLine="602" w:firstLineChars="250"/>
        <w:rPr>
          <w:rFonts w:ascii="宋体" w:hAnsi="宋体"/>
        </w:rPr>
      </w:pPr>
      <w:r>
        <w:rPr>
          <w:rFonts w:hint="eastAsia" w:ascii="宋体" w:hAnsi="宋体"/>
          <w:b/>
        </w:rPr>
        <w:t>25</w:t>
      </w:r>
      <w:r>
        <w:rPr>
          <w:rFonts w:ascii="宋体" w:hAnsi="宋体"/>
          <w:b/>
        </w:rPr>
        <w:t xml:space="preserve">.5 </w:t>
      </w:r>
      <w:r>
        <w:rPr>
          <w:rFonts w:hint="eastAsia" w:ascii="宋体" w:hAnsi="宋体"/>
        </w:rPr>
        <w:t>供应商有下列情形之一的，属于以其他方式弄虚作假的行为：</w:t>
      </w:r>
    </w:p>
    <w:p>
      <w:pPr>
        <w:pStyle w:val="2"/>
        <w:spacing w:after="0" w:line="560" w:lineRule="exact"/>
        <w:ind w:firstLine="600" w:firstLineChars="250"/>
        <w:rPr>
          <w:rFonts w:ascii="宋体" w:hAnsi="宋体"/>
        </w:rPr>
      </w:pPr>
      <w:r>
        <w:rPr>
          <w:rFonts w:hint="eastAsia" w:ascii="宋体" w:hAnsi="宋体"/>
        </w:rPr>
        <w:t>（</w:t>
      </w:r>
      <w:r>
        <w:rPr>
          <w:rFonts w:ascii="宋体" w:hAnsi="宋体"/>
        </w:rPr>
        <w:t>1</w:t>
      </w:r>
      <w:r>
        <w:rPr>
          <w:rFonts w:hint="eastAsia" w:ascii="宋体" w:hAnsi="宋体"/>
        </w:rPr>
        <w:t>）使用伪造、变造的许可证件；</w:t>
      </w:r>
    </w:p>
    <w:p>
      <w:pPr>
        <w:pStyle w:val="2"/>
        <w:spacing w:after="0" w:line="560" w:lineRule="exact"/>
        <w:ind w:firstLine="600" w:firstLineChars="250"/>
        <w:rPr>
          <w:rFonts w:ascii="宋体" w:hAnsi="宋体"/>
        </w:rPr>
      </w:pPr>
      <w:r>
        <w:rPr>
          <w:rFonts w:hint="eastAsia" w:ascii="宋体" w:hAnsi="宋体"/>
        </w:rPr>
        <w:t>（</w:t>
      </w:r>
      <w:r>
        <w:rPr>
          <w:rFonts w:ascii="宋体" w:hAnsi="宋体"/>
        </w:rPr>
        <w:t>2</w:t>
      </w:r>
      <w:r>
        <w:rPr>
          <w:rFonts w:hint="eastAsia" w:ascii="宋体" w:hAnsi="宋体"/>
        </w:rPr>
        <w:t>）提供虚假的财务状况或者业绩；</w:t>
      </w:r>
    </w:p>
    <w:p>
      <w:pPr>
        <w:pStyle w:val="2"/>
        <w:spacing w:after="0" w:line="560" w:lineRule="exact"/>
        <w:ind w:firstLine="600" w:firstLineChars="250"/>
        <w:rPr>
          <w:rFonts w:ascii="宋体" w:hAnsi="宋体"/>
        </w:rPr>
      </w:pPr>
      <w:r>
        <w:rPr>
          <w:rFonts w:hint="eastAsia" w:ascii="宋体" w:hAnsi="宋体"/>
        </w:rPr>
        <w:t>（</w:t>
      </w:r>
      <w:r>
        <w:rPr>
          <w:rFonts w:ascii="宋体" w:hAnsi="宋体"/>
        </w:rPr>
        <w:t>3</w:t>
      </w:r>
      <w:r>
        <w:rPr>
          <w:rFonts w:hint="eastAsia" w:ascii="宋体" w:hAnsi="宋体"/>
        </w:rPr>
        <w:t>）提供虚假的项目负责人或者主要技术人员简历、劳动关系证明；</w:t>
      </w:r>
    </w:p>
    <w:p>
      <w:pPr>
        <w:pStyle w:val="2"/>
        <w:spacing w:after="0" w:line="560" w:lineRule="exact"/>
        <w:ind w:firstLine="600" w:firstLineChars="250"/>
        <w:rPr>
          <w:rFonts w:ascii="宋体" w:hAnsi="宋体"/>
        </w:rPr>
      </w:pPr>
      <w:r>
        <w:rPr>
          <w:rFonts w:hint="eastAsia" w:ascii="宋体" w:hAnsi="宋体"/>
        </w:rPr>
        <w:t>（</w:t>
      </w:r>
      <w:r>
        <w:rPr>
          <w:rFonts w:ascii="宋体" w:hAnsi="宋体"/>
        </w:rPr>
        <w:t>4</w:t>
      </w:r>
      <w:r>
        <w:rPr>
          <w:rFonts w:hint="eastAsia" w:ascii="宋体" w:hAnsi="宋体"/>
        </w:rPr>
        <w:t>）提供虚假的信用状况；</w:t>
      </w:r>
    </w:p>
    <w:p>
      <w:pPr>
        <w:pStyle w:val="2"/>
        <w:spacing w:after="0" w:line="560" w:lineRule="exact"/>
        <w:ind w:firstLine="600" w:firstLineChars="250"/>
        <w:rPr>
          <w:rFonts w:ascii="宋体" w:hAnsi="宋体"/>
        </w:rPr>
      </w:pPr>
      <w:r>
        <w:rPr>
          <w:rFonts w:hint="eastAsia" w:ascii="宋体" w:hAnsi="宋体"/>
        </w:rPr>
        <w:t>（</w:t>
      </w:r>
      <w:r>
        <w:rPr>
          <w:rFonts w:ascii="宋体" w:hAnsi="宋体"/>
        </w:rPr>
        <w:t>5</w:t>
      </w:r>
      <w:r>
        <w:rPr>
          <w:rFonts w:hint="eastAsia" w:ascii="宋体" w:hAnsi="宋体"/>
        </w:rPr>
        <w:t>）其他弄虚作假的行为。</w:t>
      </w:r>
    </w:p>
    <w:p>
      <w:pPr>
        <w:pStyle w:val="2"/>
        <w:spacing w:after="0" w:line="560" w:lineRule="exact"/>
        <w:ind w:left="1146" w:leftChars="273" w:hanging="573" w:hangingChars="238"/>
        <w:rPr>
          <w:rFonts w:ascii="宋体" w:hAnsi="宋体"/>
          <w:b/>
          <w:bCs/>
        </w:rPr>
      </w:pPr>
      <w:r>
        <w:rPr>
          <w:rFonts w:ascii="宋体" w:hAnsi="宋体"/>
          <w:b/>
          <w:bCs/>
        </w:rPr>
        <w:t xml:space="preserve">26.  </w:t>
      </w:r>
      <w:r>
        <w:rPr>
          <w:rFonts w:hint="eastAsia" w:ascii="宋体" w:hAnsi="宋体"/>
          <w:b/>
          <w:bCs/>
        </w:rPr>
        <w:t>投标不一致时的修正和处理</w:t>
      </w:r>
    </w:p>
    <w:p>
      <w:pPr>
        <w:pStyle w:val="2"/>
        <w:spacing w:after="0" w:line="560" w:lineRule="exact"/>
        <w:ind w:firstLine="600" w:firstLineChars="250"/>
        <w:rPr>
          <w:rFonts w:ascii="宋体" w:hAnsi="宋体"/>
        </w:rPr>
      </w:pPr>
      <w:r>
        <w:rPr>
          <w:rFonts w:hint="eastAsia" w:ascii="宋体" w:hAnsi="宋体"/>
        </w:rPr>
        <w:t>（1）投标文件中开标一览表（报价表）内容与投标文件中相应内容不一致的，以开标一览表（报价表）为准；</w:t>
      </w:r>
    </w:p>
    <w:p>
      <w:pPr>
        <w:pStyle w:val="2"/>
        <w:spacing w:after="0" w:line="560" w:lineRule="exact"/>
        <w:ind w:firstLine="600" w:firstLineChars="250"/>
        <w:rPr>
          <w:rFonts w:ascii="宋体" w:hAnsi="宋体"/>
        </w:rPr>
      </w:pPr>
      <w:r>
        <w:rPr>
          <w:rFonts w:hint="eastAsia" w:ascii="宋体" w:hAnsi="宋体"/>
        </w:rPr>
        <w:t>（2）大写金额和小写金额不一致的，以大写金额为准；</w:t>
      </w:r>
    </w:p>
    <w:p>
      <w:pPr>
        <w:pStyle w:val="2"/>
        <w:spacing w:after="0" w:line="560" w:lineRule="exact"/>
        <w:ind w:firstLine="600" w:firstLineChars="250"/>
        <w:rPr>
          <w:rFonts w:ascii="宋体" w:hAnsi="宋体"/>
        </w:rPr>
      </w:pPr>
      <w:r>
        <w:rPr>
          <w:rFonts w:hint="eastAsia" w:ascii="宋体" w:hAnsi="宋体"/>
        </w:rPr>
        <w:t>（3）单价金额小数点或者百分比有明显错位的，以开标一览表的总价为准，并修改单价；</w:t>
      </w:r>
    </w:p>
    <w:p>
      <w:pPr>
        <w:pStyle w:val="2"/>
        <w:spacing w:after="0" w:line="560" w:lineRule="exact"/>
        <w:ind w:firstLine="600" w:firstLineChars="250"/>
        <w:rPr>
          <w:rFonts w:ascii="宋体" w:hAnsi="宋体"/>
        </w:rPr>
      </w:pPr>
      <w:r>
        <w:rPr>
          <w:rFonts w:hint="eastAsia" w:ascii="宋体" w:hAnsi="宋体"/>
        </w:rPr>
        <w:t>（4）总价金额与按单价汇总金额不一致的，以单价金额计算结果为准。</w:t>
      </w:r>
    </w:p>
    <w:p>
      <w:pPr>
        <w:pStyle w:val="2"/>
        <w:spacing w:after="0" w:line="560" w:lineRule="exact"/>
        <w:ind w:firstLine="602" w:firstLineChars="250"/>
        <w:rPr>
          <w:rFonts w:ascii="宋体" w:hAnsi="宋体"/>
          <w:b/>
        </w:rPr>
      </w:pPr>
      <w:r>
        <w:rPr>
          <w:rFonts w:hint="eastAsia" w:ascii="宋体" w:hAnsi="宋体"/>
          <w:b/>
        </w:rPr>
        <w:t>★（5）供应商所投同一个包中，两个或以上开标一览表不一致的，视为投报两个或多个方案，除非招标文件明确规定接受备选方案外，均按未实质性响应招标文件处理。</w:t>
      </w:r>
    </w:p>
    <w:p>
      <w:pPr>
        <w:pStyle w:val="2"/>
        <w:spacing w:after="0" w:line="560" w:lineRule="exact"/>
        <w:ind w:firstLine="600" w:firstLineChars="250"/>
        <w:rPr>
          <w:rFonts w:ascii="宋体" w:hAnsi="宋体"/>
        </w:rPr>
      </w:pPr>
      <w:r>
        <w:rPr>
          <w:rFonts w:hint="eastAsia" w:ascii="宋体" w:hAnsi="宋体"/>
        </w:rPr>
        <w:t>（6）投标文件的正本与副本不一致的，以正本为准；对不同文字文本投标文件的解释发生异议的，以中文文本为准。</w:t>
      </w:r>
    </w:p>
    <w:p>
      <w:pPr>
        <w:pStyle w:val="2"/>
        <w:spacing w:after="0" w:line="560" w:lineRule="exact"/>
        <w:ind w:firstLine="600" w:firstLineChars="250"/>
        <w:rPr>
          <w:rFonts w:ascii="宋体" w:hAnsi="宋体"/>
        </w:rPr>
      </w:pPr>
      <w:r>
        <w:rPr>
          <w:rFonts w:hint="eastAsia" w:ascii="宋体" w:hAnsi="宋体"/>
        </w:rPr>
        <w:t>同时出现两种以上不一致的，按照上述规定的顺序修正。</w:t>
      </w:r>
    </w:p>
    <w:p>
      <w:pPr>
        <w:pStyle w:val="2"/>
        <w:spacing w:after="0" w:line="560" w:lineRule="exact"/>
        <w:ind w:firstLine="602" w:firstLineChars="250"/>
        <w:rPr>
          <w:rFonts w:ascii="宋体" w:hAnsi="宋体"/>
          <w:b/>
        </w:rPr>
      </w:pPr>
      <w:r>
        <w:rPr>
          <w:rFonts w:hint="eastAsia" w:ascii="宋体" w:hAnsi="宋体"/>
          <w:b/>
        </w:rPr>
        <w:t>★评标委员会应要求供应商法定代表人或其委托代理人对修正后的报价签字确认，供应商不确认的，其投标无效。</w:t>
      </w:r>
    </w:p>
    <w:p>
      <w:pPr>
        <w:pStyle w:val="2"/>
        <w:spacing w:after="0" w:line="560" w:lineRule="exact"/>
        <w:ind w:firstLine="602" w:firstLineChars="250"/>
        <w:rPr>
          <w:rFonts w:ascii="宋体" w:hAnsi="宋体"/>
          <w:b/>
          <w:bCs/>
        </w:rPr>
      </w:pPr>
      <w:r>
        <w:rPr>
          <w:rFonts w:ascii="宋体" w:hAnsi="宋体"/>
          <w:b/>
          <w:bCs/>
        </w:rPr>
        <w:t xml:space="preserve">27.  </w:t>
      </w:r>
      <w:r>
        <w:rPr>
          <w:rFonts w:hint="eastAsia" w:ascii="宋体" w:hAnsi="宋体"/>
          <w:b/>
          <w:bCs/>
        </w:rPr>
        <w:t>投标文件的澄清</w:t>
      </w:r>
    </w:p>
    <w:p>
      <w:pPr>
        <w:pStyle w:val="2"/>
        <w:spacing w:after="0" w:line="560" w:lineRule="exact"/>
        <w:ind w:firstLine="600" w:firstLineChars="250"/>
        <w:rPr>
          <w:rFonts w:ascii="宋体" w:hAnsi="宋体"/>
        </w:rPr>
      </w:pPr>
      <w:r>
        <w:rPr>
          <w:rFonts w:ascii="宋体" w:hAnsi="宋体"/>
        </w:rPr>
        <w:t>27.1</w:t>
      </w:r>
      <w:r>
        <w:rPr>
          <w:rFonts w:hint="eastAsia" w:ascii="宋体" w:hAnsi="宋体"/>
        </w:rPr>
        <w:t>为有助于对投标文件进行审查、评估和比较，评标委员会有权向供应商询问。供应商有义务以书面形式对其投标文件中含义不明确、同类问题表述不一致或有明显文字错误的内容进行澄清和说明，但澄清和说明的内容不得超出投标文件的范围或改变投标文件的实质性内容。供应商澄清和说明的内容构成投标文件的组成部分；拒不进行澄清、说明或补正的，评标委员会可以视为供应商未实质性响应投标。</w:t>
      </w:r>
    </w:p>
    <w:p>
      <w:pPr>
        <w:pStyle w:val="2"/>
        <w:spacing w:after="0" w:line="560" w:lineRule="exact"/>
        <w:ind w:firstLine="600" w:firstLineChars="250"/>
        <w:rPr>
          <w:rFonts w:ascii="宋体" w:hAnsi="宋体"/>
        </w:rPr>
      </w:pPr>
      <w:r>
        <w:rPr>
          <w:rFonts w:ascii="宋体" w:hAnsi="宋体"/>
        </w:rPr>
        <w:t>27.2</w:t>
      </w:r>
      <w:r>
        <w:rPr>
          <w:rFonts w:hint="eastAsia" w:ascii="宋体" w:hAnsi="宋体"/>
        </w:rPr>
        <w:t>评标委员会不接受供应商主动提出的澄清，采购人也不接受供应商主动承诺给予采购人赠品、回扣或者与采购无关的其他商品、服务。</w:t>
      </w:r>
    </w:p>
    <w:p>
      <w:pPr>
        <w:pStyle w:val="2"/>
        <w:spacing w:after="0" w:line="560" w:lineRule="exact"/>
        <w:ind w:left="1146" w:leftChars="273" w:hanging="573" w:hangingChars="238"/>
        <w:rPr>
          <w:rFonts w:ascii="宋体" w:hAnsi="宋体"/>
          <w:b/>
          <w:bCs/>
        </w:rPr>
      </w:pPr>
      <w:r>
        <w:rPr>
          <w:rFonts w:ascii="宋体" w:hAnsi="宋体"/>
          <w:b/>
          <w:bCs/>
        </w:rPr>
        <w:t>2</w:t>
      </w:r>
      <w:r>
        <w:rPr>
          <w:rFonts w:hint="eastAsia" w:ascii="宋体" w:hAnsi="宋体"/>
          <w:b/>
          <w:bCs/>
        </w:rPr>
        <w:t>8</w:t>
      </w:r>
      <w:r>
        <w:rPr>
          <w:rFonts w:ascii="宋体" w:hAnsi="宋体"/>
          <w:b/>
          <w:bCs/>
        </w:rPr>
        <w:t xml:space="preserve">.  </w:t>
      </w:r>
      <w:r>
        <w:rPr>
          <w:rFonts w:hint="eastAsia" w:ascii="宋体" w:hAnsi="宋体"/>
          <w:b/>
          <w:bCs/>
        </w:rPr>
        <w:t>综合评审</w:t>
      </w:r>
    </w:p>
    <w:p>
      <w:pPr>
        <w:pStyle w:val="2"/>
        <w:spacing w:line="560" w:lineRule="exact"/>
        <w:ind w:firstLine="600" w:firstLineChars="250"/>
        <w:rPr>
          <w:rFonts w:ascii="宋体" w:hAnsi="宋体"/>
        </w:rPr>
      </w:pPr>
      <w:r>
        <w:rPr>
          <w:rFonts w:ascii="宋体" w:hAnsi="宋体"/>
        </w:rPr>
        <w:t>2</w:t>
      </w:r>
      <w:r>
        <w:rPr>
          <w:rFonts w:hint="eastAsia" w:ascii="宋体" w:hAnsi="宋体"/>
        </w:rPr>
        <w:t>8</w:t>
      </w:r>
      <w:r>
        <w:rPr>
          <w:rFonts w:ascii="宋体" w:hAnsi="宋体"/>
        </w:rPr>
        <w:t xml:space="preserve">.1 </w:t>
      </w:r>
      <w:r>
        <w:rPr>
          <w:rFonts w:hint="eastAsia" w:ascii="宋体" w:hAnsi="宋体"/>
        </w:rPr>
        <w:t>使用综合评分法的采购项目，提供相同品牌产品且通过资格审查、符合性审查的不同供应商参加同一合同项下投标的，按一家供应商计算，评审后得分最高的同品牌供应商获得中标人推荐资格；评审得分相同的，评标委员会按照供应商依次按技术得分高、报价得分高进行排序，确定排名在前的一个供应商获得中标人推荐资格，其他同品牌供应商不作为中标候选人。</w:t>
      </w:r>
    </w:p>
    <w:p>
      <w:pPr>
        <w:pStyle w:val="2"/>
        <w:spacing w:after="0" w:line="560" w:lineRule="exact"/>
        <w:ind w:firstLine="600" w:firstLineChars="250"/>
        <w:rPr>
          <w:rFonts w:ascii="宋体" w:hAnsi="宋体"/>
        </w:rPr>
      </w:pPr>
      <w:r>
        <w:rPr>
          <w:rFonts w:ascii="宋体" w:hAnsi="宋体"/>
        </w:rPr>
        <w:t>2</w:t>
      </w:r>
      <w:r>
        <w:rPr>
          <w:rFonts w:hint="eastAsia" w:ascii="宋体" w:hAnsi="宋体"/>
        </w:rPr>
        <w:t>8</w:t>
      </w:r>
      <w:r>
        <w:rPr>
          <w:rFonts w:ascii="宋体" w:hAnsi="宋体"/>
        </w:rPr>
        <w:t xml:space="preserve">.2 </w:t>
      </w:r>
      <w:r>
        <w:rPr>
          <w:rFonts w:hint="eastAsia" w:ascii="宋体" w:hAnsi="宋体"/>
        </w:rPr>
        <w:t>如本项目采购内容包括多种产品，即非单一产品采购项目，应在招标采购清单中标注核心产品，多家供应商提供的核心产品品牌相同的，按前款规定处理。</w:t>
      </w:r>
    </w:p>
    <w:p>
      <w:pPr>
        <w:pStyle w:val="2"/>
        <w:tabs>
          <w:tab w:val="left" w:pos="955"/>
        </w:tabs>
        <w:spacing w:after="0" w:line="560" w:lineRule="exact"/>
        <w:ind w:left="1146" w:leftChars="273" w:hanging="573" w:hangingChars="238"/>
        <w:rPr>
          <w:rFonts w:ascii="宋体" w:hAnsi="宋体" w:cs="宋体"/>
          <w:b/>
          <w:bCs/>
        </w:rPr>
      </w:pPr>
      <w:r>
        <w:rPr>
          <w:rFonts w:ascii="宋体" w:hAnsi="宋体" w:cs="宋体"/>
          <w:b/>
          <w:bCs/>
        </w:rPr>
        <w:t>2</w:t>
      </w:r>
      <w:r>
        <w:rPr>
          <w:rFonts w:hint="eastAsia" w:ascii="宋体" w:hAnsi="宋体" w:cs="宋体"/>
          <w:b/>
          <w:bCs/>
        </w:rPr>
        <w:t>9</w:t>
      </w:r>
      <w:r>
        <w:rPr>
          <w:rFonts w:ascii="宋体" w:hAnsi="宋体" w:cs="宋体"/>
          <w:b/>
          <w:bCs/>
        </w:rPr>
        <w:t>.</w:t>
      </w:r>
      <w:r>
        <w:rPr>
          <w:rFonts w:hint="eastAsia" w:ascii="宋体" w:hAnsi="宋体" w:cs="宋体"/>
          <w:b/>
          <w:bCs/>
        </w:rPr>
        <w:t>政府采购政策</w:t>
      </w:r>
    </w:p>
    <w:p>
      <w:pPr>
        <w:pStyle w:val="2"/>
        <w:tabs>
          <w:tab w:val="left" w:pos="955"/>
        </w:tabs>
        <w:spacing w:after="0" w:line="560" w:lineRule="exact"/>
        <w:ind w:left="1144" w:leftChars="273" w:hanging="571" w:hangingChars="238"/>
        <w:rPr>
          <w:rFonts w:ascii="宋体" w:hAnsi="宋体"/>
          <w:kern w:val="2"/>
        </w:rPr>
      </w:pPr>
      <w:r>
        <w:rPr>
          <w:rFonts w:ascii="宋体" w:hAnsi="宋体"/>
        </w:rPr>
        <w:t>2</w:t>
      </w:r>
      <w:r>
        <w:rPr>
          <w:rFonts w:hint="eastAsia" w:ascii="宋体" w:hAnsi="宋体"/>
        </w:rPr>
        <w:t>9</w:t>
      </w:r>
      <w:r>
        <w:rPr>
          <w:rFonts w:ascii="宋体" w:hAnsi="宋体"/>
        </w:rPr>
        <w:t xml:space="preserve">.1 </w:t>
      </w:r>
      <w:r>
        <w:rPr>
          <w:rFonts w:hint="eastAsia" w:ascii="宋体" w:hAnsi="宋体"/>
        </w:rPr>
        <w:t>中</w:t>
      </w:r>
      <w:r>
        <w:rPr>
          <w:rFonts w:hint="eastAsia" w:ascii="宋体" w:hAnsi="宋体"/>
          <w:kern w:val="2"/>
        </w:rPr>
        <w:t>小企业优惠办法</w:t>
      </w:r>
    </w:p>
    <w:p>
      <w:pPr>
        <w:pStyle w:val="2"/>
        <w:spacing w:after="0" w:line="560" w:lineRule="exact"/>
        <w:ind w:firstLine="571" w:firstLineChars="238"/>
        <w:rPr>
          <w:rFonts w:ascii="宋体" w:hAnsi="宋体" w:cs="宋体"/>
        </w:rPr>
      </w:pPr>
      <w:r>
        <w:rPr>
          <w:rFonts w:ascii="宋体" w:hAnsi="宋体" w:cs="宋体"/>
        </w:rPr>
        <w:t xml:space="preserve">1) </w:t>
      </w:r>
      <w:r>
        <w:rPr>
          <w:rFonts w:hint="eastAsia" w:ascii="宋体" w:hAnsi="宋体" w:cs="宋体"/>
        </w:rPr>
        <w:t>根据《财政部工业和信息化部关于印发</w:t>
      </w:r>
      <w:r>
        <w:rPr>
          <w:rFonts w:ascii="宋体" w:hAnsi="宋体" w:cs="宋体"/>
        </w:rPr>
        <w:t>&lt;</w:t>
      </w:r>
      <w:r>
        <w:rPr>
          <w:rFonts w:hint="eastAsia" w:ascii="宋体" w:hAnsi="宋体" w:cs="宋体"/>
        </w:rPr>
        <w:t>政府采购促进中小企业发展暂行办法</w:t>
      </w:r>
      <w:r>
        <w:rPr>
          <w:rFonts w:ascii="宋体" w:hAnsi="宋体" w:cs="宋体"/>
        </w:rPr>
        <w:t>&gt;</w:t>
      </w:r>
      <w:r>
        <w:rPr>
          <w:rFonts w:hint="eastAsia" w:ascii="宋体" w:hAnsi="宋体" w:cs="宋体"/>
        </w:rPr>
        <w:t>的通知》</w:t>
      </w:r>
      <w:r>
        <w:rPr>
          <w:rFonts w:ascii="宋体" w:hAnsi="宋体" w:cs="宋体"/>
        </w:rPr>
        <w:t>(</w:t>
      </w:r>
      <w:r>
        <w:rPr>
          <w:rFonts w:hint="eastAsia" w:ascii="宋体" w:hAnsi="宋体" w:cs="宋体"/>
        </w:rPr>
        <w:t>财库〔</w:t>
      </w:r>
      <w:r>
        <w:rPr>
          <w:rFonts w:ascii="宋体" w:hAnsi="宋体" w:cs="宋体"/>
        </w:rPr>
        <w:t>2011</w:t>
      </w:r>
      <w:r>
        <w:rPr>
          <w:rFonts w:hint="eastAsia" w:ascii="宋体" w:hAnsi="宋体" w:cs="宋体"/>
        </w:rPr>
        <w:t>〕</w:t>
      </w:r>
      <w:r>
        <w:rPr>
          <w:rFonts w:ascii="宋体" w:hAnsi="宋体" w:cs="宋体"/>
        </w:rPr>
        <w:t>181</w:t>
      </w:r>
      <w:r>
        <w:rPr>
          <w:rFonts w:hint="eastAsia" w:ascii="宋体" w:hAnsi="宋体" w:cs="宋体"/>
        </w:rPr>
        <w:t>号</w:t>
      </w:r>
      <w:r>
        <w:rPr>
          <w:rFonts w:ascii="宋体" w:hAnsi="宋体" w:cs="宋体"/>
        </w:rPr>
        <w:t>)</w:t>
      </w:r>
      <w:r>
        <w:rPr>
          <w:rFonts w:hint="eastAsia" w:ascii="宋体" w:hAnsi="宋体" w:cs="宋体"/>
        </w:rPr>
        <w:t>文件的规定，对小型和微型企业产品的价格给予</w:t>
      </w:r>
      <w:r>
        <w:rPr>
          <w:rFonts w:ascii="宋体" w:hAnsi="宋体" w:cs="宋体"/>
        </w:rPr>
        <w:t>6%-10%</w:t>
      </w:r>
      <w:r>
        <w:rPr>
          <w:rFonts w:hint="eastAsia" w:ascii="宋体" w:hAnsi="宋体" w:cs="宋体"/>
        </w:rPr>
        <w:t>的扣除，用扣除后的评标价格参与价格得分的计算及评审，具体扣除比例见招标文件评标办法。</w:t>
      </w:r>
    </w:p>
    <w:p>
      <w:pPr>
        <w:pStyle w:val="2"/>
        <w:spacing w:after="0" w:line="560" w:lineRule="exact"/>
        <w:ind w:firstLine="571" w:firstLineChars="238"/>
        <w:rPr>
          <w:rFonts w:ascii="宋体" w:hAnsi="宋体" w:cs="宋体"/>
        </w:rPr>
      </w:pPr>
      <w:r>
        <w:rPr>
          <w:rFonts w:ascii="宋体" w:hAnsi="宋体" w:cs="宋体"/>
        </w:rPr>
        <w:t xml:space="preserve">2) </w:t>
      </w:r>
      <w:r>
        <w:rPr>
          <w:rFonts w:hint="eastAsia" w:ascii="宋体" w:hAnsi="宋体" w:cs="宋体"/>
        </w:rPr>
        <w:t>小微企业评标价格的计算：</w:t>
      </w:r>
    </w:p>
    <w:p>
      <w:pPr>
        <w:pStyle w:val="2"/>
        <w:spacing w:after="0" w:line="560" w:lineRule="exact"/>
        <w:ind w:firstLine="571" w:firstLineChars="238"/>
        <w:rPr>
          <w:rFonts w:ascii="宋体" w:hAnsi="宋体" w:cs="宋体"/>
        </w:rPr>
      </w:pPr>
      <w:r>
        <w:rPr>
          <w:rFonts w:hint="eastAsia" w:ascii="宋体" w:hAnsi="宋体" w:cs="宋体"/>
        </w:rPr>
        <w:t>小微企业的评标价格</w:t>
      </w:r>
      <w:r>
        <w:rPr>
          <w:rFonts w:ascii="宋体" w:hAnsi="宋体" w:cs="宋体"/>
        </w:rPr>
        <w:t>=</w:t>
      </w:r>
      <w:r>
        <w:rPr>
          <w:rFonts w:hint="eastAsia" w:ascii="宋体" w:hAnsi="宋体" w:cs="宋体"/>
        </w:rPr>
        <w:t>投标报价×（</w:t>
      </w:r>
      <w:r>
        <w:rPr>
          <w:rFonts w:ascii="宋体" w:hAnsi="宋体" w:cs="宋体"/>
        </w:rPr>
        <w:t>1—</w:t>
      </w:r>
      <w:r>
        <w:rPr>
          <w:rFonts w:hint="eastAsia" w:ascii="宋体" w:hAnsi="宋体" w:cs="宋体"/>
        </w:rPr>
        <w:t>扣除比例）；</w:t>
      </w:r>
    </w:p>
    <w:p>
      <w:pPr>
        <w:pStyle w:val="2"/>
        <w:spacing w:after="0" w:line="560" w:lineRule="exact"/>
        <w:ind w:firstLine="571" w:firstLineChars="238"/>
        <w:rPr>
          <w:rFonts w:ascii="宋体" w:hAnsi="宋体" w:cs="宋体"/>
        </w:rPr>
      </w:pPr>
      <w:r>
        <w:rPr>
          <w:rFonts w:ascii="宋体" w:hAnsi="宋体" w:cs="宋体"/>
        </w:rPr>
        <w:t xml:space="preserve">3) </w:t>
      </w:r>
      <w:r>
        <w:rPr>
          <w:rFonts w:hint="eastAsia" w:ascii="宋体" w:hAnsi="宋体" w:cs="宋体"/>
        </w:rPr>
        <w:t>如供应商为小微企业，应根据工业和信息化部、国家统计局、国家发展改革委、财政部《关于印发中小企业划型标准规定的通知》（工信部联企业〔</w:t>
      </w:r>
      <w:r>
        <w:rPr>
          <w:rFonts w:ascii="宋体" w:hAnsi="宋体" w:cs="宋体"/>
        </w:rPr>
        <w:t>2011</w:t>
      </w:r>
      <w:r>
        <w:rPr>
          <w:rFonts w:hint="eastAsia" w:ascii="宋体" w:hAnsi="宋体" w:cs="宋体"/>
        </w:rPr>
        <w:t>〕</w:t>
      </w:r>
      <w:r>
        <w:rPr>
          <w:rFonts w:ascii="宋体" w:hAnsi="宋体" w:cs="宋体"/>
        </w:rPr>
        <w:t>300</w:t>
      </w:r>
      <w:r>
        <w:rPr>
          <w:rFonts w:hint="eastAsia" w:ascii="宋体" w:hAnsi="宋体" w:cs="宋体"/>
        </w:rPr>
        <w:t>号），结合本公司实际情况如实填写中小企业声明函，并在投标文件正本中提供声明函原件及相关证明材料原件；未按要求提供声明函原件及证明材料原件的，或者经审查不符合中小企业划型标准的，将不给予价格扣除的政策优惠；</w:t>
      </w:r>
    </w:p>
    <w:p>
      <w:pPr>
        <w:autoSpaceDE w:val="0"/>
        <w:autoSpaceDN w:val="0"/>
        <w:adjustRightInd w:val="0"/>
        <w:snapToGrid w:val="0"/>
        <w:spacing w:line="560" w:lineRule="exact"/>
        <w:ind w:firstLine="600" w:firstLineChars="25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9</w:t>
      </w:r>
      <w:r>
        <w:rPr>
          <w:rFonts w:ascii="宋体" w:hAnsi="宋体" w:cs="宋体"/>
          <w:kern w:val="0"/>
          <w:sz w:val="24"/>
        </w:rPr>
        <w:t xml:space="preserve">.2 </w:t>
      </w:r>
      <w:r>
        <w:rPr>
          <w:rFonts w:hint="eastAsia" w:ascii="宋体" w:hAnsi="宋体" w:cs="宋体"/>
          <w:kern w:val="0"/>
          <w:sz w:val="24"/>
        </w:rPr>
        <w:t>政府采购支持监狱企业发展的政策</w:t>
      </w:r>
    </w:p>
    <w:p>
      <w:pPr>
        <w:autoSpaceDE w:val="0"/>
        <w:autoSpaceDN w:val="0"/>
        <w:adjustRightInd w:val="0"/>
        <w:snapToGrid w:val="0"/>
        <w:spacing w:line="560" w:lineRule="exact"/>
        <w:ind w:firstLine="600" w:firstLineChars="250"/>
        <w:jc w:val="left"/>
        <w:rPr>
          <w:rFonts w:ascii="宋体" w:hAnsi="宋体" w:cs="宋体"/>
          <w:kern w:val="0"/>
          <w:sz w:val="24"/>
        </w:rPr>
      </w:pPr>
      <w:r>
        <w:rPr>
          <w:rFonts w:ascii="宋体" w:hAnsi="宋体" w:cs="宋体"/>
          <w:kern w:val="0"/>
          <w:sz w:val="24"/>
        </w:rPr>
        <w:t>1</w:t>
      </w:r>
      <w:r>
        <w:rPr>
          <w:rFonts w:hint="eastAsia" w:ascii="宋体" w:hAnsi="宋体" w:cs="宋体"/>
          <w:kern w:val="0"/>
          <w:sz w:val="24"/>
        </w:rPr>
        <w:t>）根据山东省司法厅《关于转发财政部司法部</w:t>
      </w:r>
      <w:r>
        <w:rPr>
          <w:rFonts w:ascii="宋体" w:hAnsi="宋体" w:cs="宋体"/>
          <w:kern w:val="0"/>
          <w:sz w:val="24"/>
        </w:rPr>
        <w:t>&lt;</w:t>
      </w:r>
      <w:r>
        <w:rPr>
          <w:rFonts w:hint="eastAsia" w:ascii="宋体" w:hAnsi="宋体" w:cs="宋体"/>
          <w:kern w:val="0"/>
          <w:sz w:val="24"/>
        </w:rPr>
        <w:t>关于政府采购支持监狱企业发展有关问题的通知</w:t>
      </w:r>
      <w:r>
        <w:rPr>
          <w:rFonts w:ascii="宋体" w:hAnsi="宋体" w:cs="宋体"/>
          <w:kern w:val="0"/>
          <w:sz w:val="24"/>
        </w:rPr>
        <w:t>&gt;</w:t>
      </w:r>
      <w:r>
        <w:rPr>
          <w:rFonts w:hint="eastAsia" w:ascii="宋体" w:hAnsi="宋体" w:cs="宋体"/>
          <w:kern w:val="0"/>
          <w:sz w:val="24"/>
        </w:rPr>
        <w:t>的通知》（鲁财采〔</w:t>
      </w:r>
      <w:r>
        <w:rPr>
          <w:rFonts w:ascii="宋体" w:hAnsi="宋体" w:cs="宋体"/>
          <w:kern w:val="0"/>
          <w:sz w:val="24"/>
        </w:rPr>
        <w:t>2014</w:t>
      </w:r>
      <w:r>
        <w:rPr>
          <w:rFonts w:hint="eastAsia" w:ascii="宋体" w:hAnsi="宋体" w:cs="宋体"/>
          <w:kern w:val="0"/>
          <w:sz w:val="24"/>
        </w:rPr>
        <w:t>〕</w:t>
      </w:r>
      <w:r>
        <w:rPr>
          <w:rFonts w:ascii="宋体" w:hAnsi="宋体" w:cs="宋体"/>
          <w:kern w:val="0"/>
          <w:sz w:val="24"/>
        </w:rPr>
        <w:t>33</w:t>
      </w:r>
      <w:r>
        <w:rPr>
          <w:rFonts w:hint="eastAsia" w:ascii="宋体" w:hAnsi="宋体" w:cs="宋体"/>
          <w:kern w:val="0"/>
          <w:sz w:val="24"/>
        </w:rPr>
        <w:t>号）文件规定，对监狱企业生产的产品价格或提供服务的价格给予</w:t>
      </w:r>
      <w:r>
        <w:rPr>
          <w:rFonts w:ascii="宋体" w:hAnsi="宋体" w:cs="宋体"/>
          <w:kern w:val="0"/>
          <w:sz w:val="24"/>
        </w:rPr>
        <w:t>6%</w:t>
      </w:r>
      <w:r>
        <w:rPr>
          <w:rFonts w:hint="eastAsia" w:ascii="宋体" w:hAnsi="宋体" w:cs="宋体"/>
          <w:kern w:val="0"/>
          <w:sz w:val="24"/>
        </w:rPr>
        <w:t>的价格扣除，用扣除后的价格参与评审</w:t>
      </w:r>
      <w:r>
        <w:rPr>
          <w:rFonts w:hint="eastAsia" w:ascii="宋体" w:hAnsi="宋体" w:cs="宋体"/>
          <w:color w:val="7030A0"/>
          <w:kern w:val="0"/>
          <w:sz w:val="24"/>
        </w:rPr>
        <w:t>，</w:t>
      </w:r>
      <w:r>
        <w:rPr>
          <w:rFonts w:hint="eastAsia" w:ascii="宋体" w:hAnsi="宋体" w:cs="宋体"/>
          <w:kern w:val="0"/>
          <w:sz w:val="24"/>
        </w:rPr>
        <w:t>具体扣除比例见评标办法；</w:t>
      </w:r>
    </w:p>
    <w:p>
      <w:pPr>
        <w:autoSpaceDE w:val="0"/>
        <w:autoSpaceDN w:val="0"/>
        <w:adjustRightInd w:val="0"/>
        <w:snapToGrid w:val="0"/>
        <w:spacing w:line="560" w:lineRule="exact"/>
        <w:ind w:firstLine="600" w:firstLineChars="25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）参加政府采购活动的监狱企业应当在投标文件中提供监狱企业证明复印件，否则不予认定。监狱企业证明须由省级以上监狱管理局、戒毒管理局（含新疆生产建设兵团）出具。</w:t>
      </w:r>
    </w:p>
    <w:p>
      <w:pPr>
        <w:pStyle w:val="2"/>
        <w:spacing w:line="560" w:lineRule="exact"/>
        <w:ind w:firstLine="600" w:firstLineChars="250"/>
        <w:rPr>
          <w:rFonts w:ascii="宋体" w:hAnsi="宋体"/>
          <w:szCs w:val="22"/>
        </w:rPr>
      </w:pPr>
      <w:r>
        <w:rPr>
          <w:rFonts w:ascii="宋体" w:hAnsi="宋体" w:cs="宋体"/>
        </w:rPr>
        <w:t>2</w:t>
      </w:r>
      <w:r>
        <w:rPr>
          <w:rFonts w:hint="eastAsia" w:ascii="宋体" w:hAnsi="宋体" w:cs="宋体"/>
        </w:rPr>
        <w:t>9</w:t>
      </w:r>
      <w:r>
        <w:rPr>
          <w:rFonts w:ascii="宋体" w:hAnsi="宋体" w:cs="宋体"/>
        </w:rPr>
        <w:t xml:space="preserve">.3 </w:t>
      </w:r>
      <w:r>
        <w:rPr>
          <w:rFonts w:hint="eastAsia" w:ascii="宋体" w:hAnsi="宋体"/>
          <w:kern w:val="2"/>
          <w:szCs w:val="22"/>
        </w:rPr>
        <w:t>促进残疾人就业政府采购政策</w:t>
      </w:r>
    </w:p>
    <w:p>
      <w:pPr>
        <w:pStyle w:val="2"/>
        <w:spacing w:after="0" w:line="560" w:lineRule="exact"/>
        <w:ind w:firstLine="571" w:firstLineChars="238"/>
        <w:rPr>
          <w:rFonts w:ascii="宋体" w:hAnsi="宋体" w:cs="宋体"/>
        </w:rPr>
      </w:pPr>
      <w:r>
        <w:rPr>
          <w:rFonts w:ascii="宋体" w:hAnsi="宋体"/>
        </w:rPr>
        <w:t>1</w:t>
      </w:r>
      <w:r>
        <w:rPr>
          <w:rFonts w:hint="eastAsia" w:ascii="宋体" w:hAnsi="宋体"/>
        </w:rPr>
        <w:t>）依据《三部门联合发布关于促进残疾人就业政府采购政策的通知》</w:t>
      </w:r>
      <w:r>
        <w:rPr>
          <w:rFonts w:ascii="宋体" w:hAnsi="宋体"/>
        </w:rPr>
        <w:t>(</w:t>
      </w:r>
      <w:r>
        <w:rPr>
          <w:rFonts w:hint="eastAsia" w:ascii="宋体" w:hAnsi="宋体"/>
        </w:rPr>
        <w:t>财库〔</w:t>
      </w:r>
      <w:r>
        <w:rPr>
          <w:rFonts w:ascii="宋体" w:hAnsi="宋体"/>
        </w:rPr>
        <w:t>2017</w:t>
      </w:r>
      <w:r>
        <w:rPr>
          <w:rFonts w:hint="eastAsia" w:ascii="宋体" w:hAnsi="宋体"/>
        </w:rPr>
        <w:t>〕</w:t>
      </w:r>
      <w:r>
        <w:rPr>
          <w:rFonts w:ascii="宋体" w:hAnsi="宋体"/>
        </w:rPr>
        <w:t>141</w:t>
      </w:r>
      <w:r>
        <w:rPr>
          <w:rFonts w:hint="eastAsia" w:ascii="宋体" w:hAnsi="宋体"/>
        </w:rPr>
        <w:t>号</w:t>
      </w:r>
      <w:r>
        <w:rPr>
          <w:rFonts w:ascii="宋体" w:hAnsi="宋体"/>
        </w:rPr>
        <w:t>)</w:t>
      </w:r>
      <w:r>
        <w:rPr>
          <w:rFonts w:hint="eastAsia" w:ascii="宋体" w:hAnsi="宋体"/>
        </w:rPr>
        <w:t>文件规定，残疾人福利性单位视同小型、微型企业，</w:t>
      </w:r>
      <w:r>
        <w:rPr>
          <w:rFonts w:hint="eastAsia" w:ascii="宋体" w:hAnsi="宋体" w:cs="宋体"/>
        </w:rPr>
        <w:t>对</w:t>
      </w:r>
      <w:r>
        <w:rPr>
          <w:rFonts w:hint="eastAsia" w:ascii="宋体" w:hAnsi="宋体"/>
        </w:rPr>
        <w:t>残疾人福利性单位</w:t>
      </w:r>
      <w:r>
        <w:rPr>
          <w:rFonts w:hint="eastAsia" w:ascii="宋体" w:hAnsi="宋体" w:cs="宋体"/>
        </w:rPr>
        <w:t>的报价给予</w:t>
      </w:r>
      <w:r>
        <w:rPr>
          <w:rFonts w:ascii="宋体" w:hAnsi="宋体" w:cs="宋体"/>
        </w:rPr>
        <w:t>6%-10%</w:t>
      </w:r>
      <w:r>
        <w:rPr>
          <w:rFonts w:hint="eastAsia" w:ascii="宋体" w:hAnsi="宋体" w:cs="宋体"/>
        </w:rPr>
        <w:t>的扣除，用扣除后的评标价格参与价格得分的计算及评审，具体扣除比例见招标文件评标办法；</w:t>
      </w:r>
    </w:p>
    <w:p>
      <w:pPr>
        <w:pStyle w:val="2"/>
        <w:spacing w:after="0" w:line="560" w:lineRule="exact"/>
        <w:ind w:firstLine="571" w:firstLineChars="238"/>
        <w:rPr>
          <w:rFonts w:ascii="宋体" w:hAnsi="宋体"/>
        </w:rPr>
      </w:pPr>
      <w:r>
        <w:rPr>
          <w:rFonts w:ascii="宋体" w:hAnsi="宋体" w:cs="宋体"/>
        </w:rPr>
        <w:t xml:space="preserve">2) </w:t>
      </w:r>
      <w:r>
        <w:rPr>
          <w:rFonts w:hint="eastAsia" w:ascii="宋体" w:hAnsi="宋体"/>
        </w:rPr>
        <w:t>残疾人福利性单位</w:t>
      </w:r>
      <w:r>
        <w:rPr>
          <w:rFonts w:hint="eastAsia" w:ascii="宋体" w:hAnsi="宋体" w:cs="宋体"/>
        </w:rPr>
        <w:t>评标价格的计算：</w:t>
      </w:r>
      <w:r>
        <w:rPr>
          <w:rFonts w:hint="eastAsia" w:ascii="宋体" w:hAnsi="宋体"/>
        </w:rPr>
        <w:t>残疾人福利性单位</w:t>
      </w:r>
      <w:r>
        <w:rPr>
          <w:rFonts w:hint="eastAsia" w:ascii="宋体" w:hAnsi="宋体" w:cs="宋体"/>
        </w:rPr>
        <w:t>的评标价格</w:t>
      </w:r>
      <w:r>
        <w:rPr>
          <w:rFonts w:ascii="宋体" w:hAnsi="宋体" w:cs="宋体"/>
        </w:rPr>
        <w:t>=</w:t>
      </w:r>
      <w:r>
        <w:rPr>
          <w:rFonts w:hint="eastAsia" w:ascii="宋体" w:hAnsi="宋体" w:cs="宋体"/>
        </w:rPr>
        <w:t>投标报价×（</w:t>
      </w:r>
      <w:r>
        <w:rPr>
          <w:rFonts w:ascii="宋体" w:hAnsi="宋体" w:cs="宋体"/>
        </w:rPr>
        <w:t>1—</w:t>
      </w:r>
      <w:r>
        <w:rPr>
          <w:rFonts w:hint="eastAsia" w:ascii="宋体" w:hAnsi="宋体" w:cs="宋体"/>
        </w:rPr>
        <w:t>扣除比例）；</w:t>
      </w:r>
      <w:r>
        <w:rPr>
          <w:rFonts w:hint="eastAsia" w:ascii="宋体" w:hAnsi="宋体"/>
        </w:rPr>
        <w:t>供应商属于享受政府采购支持政策的“残疾人福利性单位”的，</w:t>
      </w:r>
      <w:r>
        <w:rPr>
          <w:rFonts w:hint="eastAsia" w:ascii="宋体" w:hAnsi="宋体"/>
          <w:bCs/>
        </w:rPr>
        <w:t>只需</w:t>
      </w:r>
      <w:r>
        <w:rPr>
          <w:rFonts w:hint="eastAsia" w:ascii="宋体" w:hAnsi="宋体"/>
        </w:rPr>
        <w:t>提供《残疾人福利性单位声明函》，并对声明的真实性负责。中标供应商为残疾人福利性单位的，采购代理机构将随成交结果同时公告其《残疾人福利性单位声明函》。</w:t>
      </w:r>
    </w:p>
    <w:p>
      <w:pPr>
        <w:autoSpaceDE w:val="0"/>
        <w:autoSpaceDN w:val="0"/>
        <w:adjustRightInd w:val="0"/>
        <w:snapToGrid w:val="0"/>
        <w:spacing w:line="560" w:lineRule="exact"/>
        <w:ind w:firstLine="600" w:firstLineChars="250"/>
        <w:jc w:val="left"/>
        <w:rPr>
          <w:rFonts w:ascii="宋体" w:hAnsi="宋体" w:cs="宋体"/>
          <w:kern w:val="0"/>
          <w:sz w:val="24"/>
        </w:rPr>
      </w:pPr>
      <w:r>
        <w:rPr>
          <w:rFonts w:ascii="宋体" w:hAnsi="宋体" w:cs="宋体"/>
          <w:kern w:val="0"/>
          <w:sz w:val="24"/>
        </w:rPr>
        <w:t>3</w:t>
      </w:r>
      <w:r>
        <w:rPr>
          <w:rFonts w:hint="eastAsia" w:ascii="宋体" w:hAnsi="宋体" w:cs="宋体"/>
          <w:kern w:val="0"/>
          <w:sz w:val="24"/>
        </w:rPr>
        <w:t>）享受政府采购支持政策的残疾人福利性单位应当同时满足以下条件：</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sym w:font="Wingdings" w:char="F081"/>
      </w:r>
      <w:r>
        <w:rPr>
          <w:rFonts w:hint="eastAsia" w:ascii="宋体" w:hAnsi="宋体" w:cs="宋体"/>
          <w:kern w:val="0"/>
          <w:sz w:val="24"/>
        </w:rPr>
        <w:t>安置的残疾人占本单位在职职工人数的比例不低于</w:t>
      </w:r>
      <w:r>
        <w:rPr>
          <w:rFonts w:ascii="宋体" w:hAnsi="宋体" w:cs="宋体"/>
          <w:kern w:val="0"/>
          <w:sz w:val="24"/>
        </w:rPr>
        <w:t>25%</w:t>
      </w:r>
      <w:r>
        <w:rPr>
          <w:rFonts w:hint="eastAsia" w:ascii="宋体" w:hAnsi="宋体" w:cs="宋体"/>
          <w:kern w:val="0"/>
          <w:sz w:val="24"/>
        </w:rPr>
        <w:t>（含</w:t>
      </w:r>
      <w:r>
        <w:rPr>
          <w:rFonts w:ascii="宋体" w:hAnsi="宋体" w:cs="宋体"/>
          <w:kern w:val="0"/>
          <w:sz w:val="24"/>
        </w:rPr>
        <w:t>25%</w:t>
      </w:r>
      <w:r>
        <w:rPr>
          <w:rFonts w:hint="eastAsia" w:ascii="宋体" w:hAnsi="宋体" w:cs="宋体"/>
          <w:kern w:val="0"/>
          <w:sz w:val="24"/>
        </w:rPr>
        <w:t>），并且安置的残疾人人数不少于</w:t>
      </w:r>
      <w:r>
        <w:rPr>
          <w:rFonts w:ascii="宋体" w:hAnsi="宋体" w:cs="宋体"/>
          <w:kern w:val="0"/>
          <w:sz w:val="24"/>
        </w:rPr>
        <w:t>10</w:t>
      </w:r>
      <w:r>
        <w:rPr>
          <w:rFonts w:hint="eastAsia" w:ascii="宋体" w:hAnsi="宋体" w:cs="宋体"/>
          <w:kern w:val="0"/>
          <w:sz w:val="24"/>
        </w:rPr>
        <w:t>人（含</w:t>
      </w:r>
      <w:r>
        <w:rPr>
          <w:rFonts w:ascii="宋体" w:hAnsi="宋体" w:cs="宋体"/>
          <w:kern w:val="0"/>
          <w:sz w:val="24"/>
        </w:rPr>
        <w:t>10</w:t>
      </w:r>
      <w:r>
        <w:rPr>
          <w:rFonts w:hint="eastAsia" w:ascii="宋体" w:hAnsi="宋体" w:cs="宋体"/>
          <w:kern w:val="0"/>
          <w:sz w:val="24"/>
        </w:rPr>
        <w:t>人）；</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sym w:font="Wingdings" w:char="F082"/>
      </w:r>
      <w:r>
        <w:rPr>
          <w:rFonts w:hint="eastAsia" w:ascii="宋体" w:hAnsi="宋体" w:cs="宋体"/>
          <w:kern w:val="0"/>
          <w:sz w:val="24"/>
        </w:rPr>
        <w:t>依法与安置的每位残疾人签订了一年以上（含一年）的劳动合同或服务协议；</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sym w:font="Wingdings" w:char="F083"/>
      </w:r>
      <w:r>
        <w:rPr>
          <w:rFonts w:hint="eastAsia" w:ascii="宋体" w:hAnsi="宋体" w:cs="宋体"/>
          <w:kern w:val="0"/>
          <w:sz w:val="24"/>
        </w:rPr>
        <w:t>为安置的每位残疾人按月足额缴纳了基本养老保险、基本医疗保险、失业保险、工伤保险和生育保险等社会保险费；</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④通过银行等金融机构向安置的每位残疾人，按月支付了不低于单位所在区县适用的经省级人民政府批准的月最低工资标准的工资；</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⑤提供本单位制造的货物、承担的工程或者服务（以下简称产品），或者提供其他残疾人福利性单位制造的货物（不包括使用非残疾人福利性单位注册商标的货物）。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前款所称残疾人是指法定劳动年龄内，持有《中华人民共和国残疾人证》或者《中华人民共和国残疾军人证（</w:t>
      </w:r>
      <w:r>
        <w:rPr>
          <w:rFonts w:ascii="宋体" w:hAnsi="宋体" w:cs="宋体"/>
          <w:kern w:val="0"/>
          <w:sz w:val="24"/>
        </w:rPr>
        <w:t>1</w:t>
      </w:r>
      <w:r>
        <w:rPr>
          <w:rFonts w:hint="eastAsia" w:ascii="宋体" w:hAnsi="宋体" w:cs="宋体"/>
          <w:kern w:val="0"/>
          <w:sz w:val="24"/>
        </w:rPr>
        <w:t>至</w:t>
      </w:r>
      <w:r>
        <w:rPr>
          <w:rFonts w:ascii="宋体" w:hAnsi="宋体" w:cs="宋体"/>
          <w:kern w:val="0"/>
          <w:sz w:val="24"/>
        </w:rPr>
        <w:t>8</w:t>
      </w:r>
      <w:r>
        <w:rPr>
          <w:rFonts w:hint="eastAsia" w:ascii="宋体" w:hAnsi="宋体" w:cs="宋体"/>
          <w:kern w:val="0"/>
          <w:sz w:val="24"/>
        </w:rPr>
        <w:t>级）》的自然人，包括具有劳动条件和劳动意愿的精神残疾人。在职职工人数是指与残疾人福利性单位建立劳动关系并依法签订劳动合同或者服务协议的雇员人数。</w:t>
      </w:r>
    </w:p>
    <w:p>
      <w:pPr>
        <w:autoSpaceDE w:val="0"/>
        <w:autoSpaceDN w:val="0"/>
        <w:adjustRightInd w:val="0"/>
        <w:snapToGrid w:val="0"/>
        <w:spacing w:line="560" w:lineRule="exact"/>
        <w:ind w:firstLine="600" w:firstLineChars="250"/>
        <w:jc w:val="left"/>
        <w:rPr>
          <w:rFonts w:ascii="宋体" w:hAnsi="宋体" w:cs="宋体"/>
          <w:kern w:val="0"/>
          <w:sz w:val="24"/>
        </w:rPr>
      </w:pPr>
      <w:r>
        <w:rPr>
          <w:rFonts w:ascii="宋体" w:hAnsi="宋体" w:cs="宋体"/>
          <w:kern w:val="0"/>
          <w:sz w:val="24"/>
        </w:rPr>
        <w:t>2</w:t>
      </w:r>
      <w:r>
        <w:rPr>
          <w:rFonts w:hint="eastAsia" w:ascii="宋体" w:hAnsi="宋体" w:cs="宋体"/>
          <w:kern w:val="0"/>
          <w:sz w:val="24"/>
        </w:rPr>
        <w:t>9</w:t>
      </w:r>
      <w:r>
        <w:rPr>
          <w:rFonts w:ascii="宋体" w:hAnsi="宋体" w:cs="宋体"/>
          <w:kern w:val="0"/>
          <w:sz w:val="24"/>
        </w:rPr>
        <w:t>.4</w:t>
      </w:r>
      <w:r>
        <w:rPr>
          <w:rFonts w:hint="eastAsia" w:ascii="宋体" w:hAnsi="宋体" w:cs="宋体"/>
          <w:kern w:val="0"/>
          <w:sz w:val="24"/>
        </w:rPr>
        <w:t xml:space="preserve"> 环保节能产品执行政府采购优惠政策</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29.4.1 所投产品为环保节能产品的，应在投标文件中附</w:t>
      </w:r>
      <w:r>
        <w:rPr>
          <w:rFonts w:hint="eastAsia" w:ascii="宋体" w:hAnsi="宋体" w:cs="宋体"/>
          <w:b/>
          <w:kern w:val="0"/>
          <w:sz w:val="24"/>
        </w:rPr>
        <w:t>国家节能产品认证证书或中国环境标志产品认证证书。</w:t>
      </w:r>
    </w:p>
    <w:p>
      <w:pPr>
        <w:autoSpaceDE w:val="0"/>
        <w:autoSpaceDN w:val="0"/>
        <w:adjustRightInd w:val="0"/>
        <w:snapToGrid w:val="0"/>
        <w:spacing w:line="560" w:lineRule="exact"/>
        <w:ind w:firstLine="600" w:firstLineChars="250"/>
        <w:jc w:val="left"/>
        <w:rPr>
          <w:rFonts w:ascii="宋体" w:hAnsi="宋体" w:cs="宋体"/>
          <w:kern w:val="0"/>
          <w:sz w:val="24"/>
        </w:rPr>
      </w:pPr>
      <w:r>
        <w:rPr>
          <w:rFonts w:hint="eastAsia" w:ascii="宋体" w:hAnsi="宋体" w:cs="宋体"/>
          <w:kern w:val="0"/>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w:t>
      </w:r>
      <w:r>
        <w:rPr>
          <w:rFonts w:hint="eastAsia" w:ascii="宋体" w:hAnsi="宋体" w:cs="宋体"/>
          <w:b/>
          <w:kern w:val="0"/>
          <w:sz w:val="24"/>
        </w:rPr>
        <w:t>在投标文件中附国家节能产品认证证书或中国环境标志产品认证证书，并在开标一览表中注明(或在报价明细表中注明)</w:t>
      </w:r>
      <w:r>
        <w:rPr>
          <w:rFonts w:hint="eastAsia" w:ascii="宋体" w:hAnsi="宋体" w:cs="宋体"/>
          <w:kern w:val="0"/>
          <w:sz w:val="24"/>
        </w:rPr>
        <w:t>，未按要求提供和注明的，将不给予加分。其中，</w:t>
      </w:r>
      <w:r>
        <w:rPr>
          <w:rFonts w:hint="eastAsia" w:ascii="宋体" w:hAnsi="宋体" w:cs="宋体"/>
          <w:b/>
          <w:kern w:val="0"/>
          <w:sz w:val="24"/>
        </w:rPr>
        <w:t>所报产品为政府强制采购产品的（《节能产品政府采购品目清单》中以“★”标注的产品品目）而未提供国家节能产品认证证书的，按无效投标处理</w:t>
      </w:r>
      <w:r>
        <w:rPr>
          <w:rFonts w:hint="eastAsia" w:ascii="宋体" w:hAnsi="宋体" w:cs="宋体"/>
          <w:kern w:val="0"/>
          <w:sz w:val="24"/>
        </w:rPr>
        <w:t>。</w:t>
      </w:r>
    </w:p>
    <w:p>
      <w:pPr>
        <w:pStyle w:val="2"/>
        <w:spacing w:after="0" w:line="560" w:lineRule="exact"/>
        <w:ind w:firstLine="571" w:firstLineChars="238"/>
        <w:rPr>
          <w:rFonts w:ascii="宋体" w:hAnsi="宋体" w:cs="宋体"/>
        </w:rPr>
      </w:pPr>
      <w:r>
        <w:rPr>
          <w:rFonts w:ascii="宋体" w:hAnsi="宋体" w:cs="宋体"/>
        </w:rPr>
        <w:t>2</w:t>
      </w:r>
      <w:r>
        <w:rPr>
          <w:rFonts w:hint="eastAsia" w:ascii="宋体" w:hAnsi="宋体" w:cs="宋体"/>
        </w:rPr>
        <w:t>9</w:t>
      </w:r>
      <w:r>
        <w:rPr>
          <w:rFonts w:ascii="宋体" w:hAnsi="宋体" w:cs="宋体"/>
        </w:rPr>
        <w:t>.5</w:t>
      </w:r>
      <w:r>
        <w:rPr>
          <w:rFonts w:hint="eastAsia" w:ascii="宋体" w:hAnsi="宋体" w:cs="宋体"/>
        </w:rPr>
        <w:t>执行政府采购政策对投标报价进行扣除后的评标价格仅用于评标过程的报价得分计算或评标价格的比较，不作为最终的中标价格。</w:t>
      </w:r>
    </w:p>
    <w:p>
      <w:pPr>
        <w:pStyle w:val="2"/>
        <w:spacing w:after="0" w:line="560" w:lineRule="exact"/>
        <w:ind w:left="1146" w:leftChars="273" w:hanging="573" w:hangingChars="238"/>
        <w:rPr>
          <w:rFonts w:ascii="宋体" w:hAnsi="宋体"/>
          <w:b/>
          <w:bCs/>
        </w:rPr>
      </w:pPr>
      <w:r>
        <w:rPr>
          <w:rFonts w:hint="eastAsia" w:ascii="宋体" w:hAnsi="宋体"/>
          <w:b/>
          <w:bCs/>
        </w:rPr>
        <w:t>30</w:t>
      </w:r>
      <w:r>
        <w:rPr>
          <w:rFonts w:ascii="宋体" w:hAnsi="宋体"/>
          <w:b/>
          <w:bCs/>
        </w:rPr>
        <w:t xml:space="preserve">.  </w:t>
      </w:r>
      <w:r>
        <w:rPr>
          <w:rFonts w:hint="eastAsia" w:ascii="宋体" w:hAnsi="宋体"/>
          <w:b/>
          <w:bCs/>
        </w:rPr>
        <w:t>特殊情况下的评标方法</w:t>
      </w:r>
    </w:p>
    <w:p>
      <w:pPr>
        <w:pStyle w:val="2"/>
        <w:spacing w:after="0" w:line="560" w:lineRule="exact"/>
        <w:ind w:firstLine="600" w:firstLineChars="250"/>
        <w:rPr>
          <w:rFonts w:ascii="宋体" w:hAnsi="宋体"/>
        </w:rPr>
      </w:pPr>
      <w:r>
        <w:rPr>
          <w:rFonts w:hint="eastAsia" w:ascii="宋体" w:hAnsi="宋体"/>
        </w:rPr>
        <w:t>30</w:t>
      </w:r>
      <w:r>
        <w:rPr>
          <w:rFonts w:ascii="宋体" w:hAnsi="宋体"/>
        </w:rPr>
        <w:t>.1</w:t>
      </w:r>
      <w:r>
        <w:rPr>
          <w:rFonts w:hint="eastAsia" w:ascii="宋体" w:hAnsi="宋体"/>
        </w:rPr>
        <w:t>如出现有效投标供应商达不到法定数量、串通投标以及供应商互相诋毁，导致评标委员会无法评标时，评标委员会有权否决所有投标。</w:t>
      </w:r>
    </w:p>
    <w:p>
      <w:pPr>
        <w:pStyle w:val="2"/>
        <w:spacing w:after="0" w:line="560" w:lineRule="exact"/>
        <w:ind w:firstLine="600" w:firstLineChars="250"/>
        <w:rPr>
          <w:rFonts w:ascii="宋体" w:hAnsi="宋体"/>
        </w:rPr>
      </w:pPr>
      <w:r>
        <w:rPr>
          <w:rFonts w:hint="eastAsia" w:ascii="宋体" w:hAnsi="宋体"/>
        </w:rPr>
        <w:t>30</w:t>
      </w:r>
      <w:r>
        <w:rPr>
          <w:rFonts w:ascii="宋体" w:hAnsi="宋体"/>
        </w:rPr>
        <w:t>.2</w:t>
      </w:r>
      <w:r>
        <w:rPr>
          <w:rFonts w:hint="eastAsia" w:ascii="宋体" w:hAnsi="宋体"/>
        </w:rPr>
        <w:t>评标委员会发现招标文件存在歧义、重大缺陷导致评标工作无法进行，或者招标文件内容违反国家有关强制性规定的，应当停止评标工作，与采购代理机构沟通并作书面记录。采购代理机构确认后，应当修改招标文件，重新组织采购活动。</w:t>
      </w:r>
    </w:p>
    <w:p>
      <w:pPr>
        <w:pStyle w:val="2"/>
        <w:spacing w:after="0" w:line="560" w:lineRule="exact"/>
        <w:ind w:left="1146" w:leftChars="273" w:hanging="573" w:hangingChars="238"/>
        <w:rPr>
          <w:rFonts w:ascii="宋体" w:hAnsi="宋体"/>
          <w:b/>
          <w:bCs/>
        </w:rPr>
      </w:pPr>
      <w:r>
        <w:rPr>
          <w:rFonts w:ascii="宋体" w:hAnsi="宋体"/>
          <w:b/>
          <w:bCs/>
        </w:rPr>
        <w:t>3</w:t>
      </w:r>
      <w:r>
        <w:rPr>
          <w:rFonts w:hint="eastAsia" w:ascii="宋体" w:hAnsi="宋体"/>
          <w:b/>
          <w:bCs/>
        </w:rPr>
        <w:t>1</w:t>
      </w:r>
      <w:r>
        <w:rPr>
          <w:rFonts w:ascii="宋体" w:hAnsi="宋体"/>
          <w:b/>
          <w:bCs/>
        </w:rPr>
        <w:t xml:space="preserve">. </w:t>
      </w:r>
      <w:r>
        <w:rPr>
          <w:rFonts w:hint="eastAsia" w:ascii="宋体" w:hAnsi="宋体"/>
          <w:b/>
          <w:bCs/>
        </w:rPr>
        <w:t>供应商投标瑕疵滞后的处理</w:t>
      </w:r>
    </w:p>
    <w:p>
      <w:pPr>
        <w:pStyle w:val="2"/>
        <w:spacing w:after="0" w:line="560" w:lineRule="exact"/>
        <w:ind w:firstLine="600" w:firstLineChars="250"/>
        <w:rPr>
          <w:rFonts w:ascii="宋体" w:hAnsi="宋体"/>
        </w:rPr>
      </w:pPr>
      <w:r>
        <w:rPr>
          <w:rFonts w:hint="eastAsia" w:ascii="宋体" w:hAnsi="宋体"/>
        </w:rPr>
        <w:t>无论基于何种原因，各项本应作拒绝处理的情形即便未被及时发现而使该供应商进入初审、综合评审或其它后续程序，包括已经签订合同的情形，一旦发现，招标代理均有权随时视情形决定是否取消该供应商的此前评议结果，或随时视情形决定是否对该投标予以拒绝，并有权决定采取相应的补救或纠正措施。一旦该供应商被拒绝或被取消该供应商的此前评议结果，相关的一切损失均由该供应商自行承担。</w:t>
      </w:r>
    </w:p>
    <w:p>
      <w:pPr>
        <w:pStyle w:val="2"/>
        <w:spacing w:after="0" w:line="560" w:lineRule="exact"/>
        <w:ind w:left="1146" w:leftChars="273" w:hanging="573" w:hangingChars="238"/>
        <w:rPr>
          <w:rFonts w:ascii="宋体" w:hAnsi="宋体"/>
          <w:b/>
          <w:bCs/>
        </w:rPr>
      </w:pPr>
      <w:r>
        <w:rPr>
          <w:rFonts w:hint="eastAsia" w:ascii="宋体" w:hAnsi="宋体" w:cs="宋体"/>
          <w:b/>
          <w:bCs/>
        </w:rPr>
        <w:t>★</w:t>
      </w:r>
      <w:r>
        <w:rPr>
          <w:rFonts w:ascii="宋体" w:hAnsi="宋体"/>
          <w:b/>
          <w:bCs/>
        </w:rPr>
        <w:t>3</w:t>
      </w:r>
      <w:r>
        <w:rPr>
          <w:rFonts w:hint="eastAsia" w:ascii="宋体" w:hAnsi="宋体"/>
          <w:b/>
          <w:bCs/>
        </w:rPr>
        <w:t>2</w:t>
      </w:r>
      <w:r>
        <w:rPr>
          <w:rFonts w:ascii="宋体" w:hAnsi="宋体"/>
          <w:b/>
          <w:bCs/>
        </w:rPr>
        <w:t xml:space="preserve">.  </w:t>
      </w:r>
      <w:r>
        <w:rPr>
          <w:rFonts w:hint="eastAsia" w:ascii="宋体" w:hAnsi="宋体"/>
          <w:b/>
          <w:bCs/>
        </w:rPr>
        <w:t>废标</w:t>
      </w:r>
    </w:p>
    <w:p>
      <w:pPr>
        <w:pStyle w:val="2"/>
        <w:spacing w:after="0" w:line="560" w:lineRule="exact"/>
        <w:ind w:firstLine="602" w:firstLineChars="250"/>
        <w:rPr>
          <w:rFonts w:ascii="宋体" w:hAnsi="宋体"/>
          <w:b/>
        </w:rPr>
      </w:pPr>
      <w:r>
        <w:rPr>
          <w:rFonts w:hint="eastAsia" w:ascii="宋体" w:hAnsi="宋体"/>
          <w:b/>
        </w:rPr>
        <w:t>有下列情形之一，本项目将予以废标：</w:t>
      </w:r>
    </w:p>
    <w:p>
      <w:pPr>
        <w:pStyle w:val="2"/>
        <w:spacing w:after="0" w:line="560" w:lineRule="exact"/>
        <w:ind w:firstLine="602" w:firstLineChars="250"/>
        <w:rPr>
          <w:rFonts w:ascii="宋体" w:hAnsi="宋体"/>
          <w:b/>
        </w:rPr>
      </w:pPr>
      <w:r>
        <w:rPr>
          <w:rFonts w:ascii="宋体" w:hAnsi="宋体"/>
          <w:b/>
        </w:rPr>
        <w:t>1</w:t>
      </w:r>
      <w:r>
        <w:rPr>
          <w:rFonts w:hint="eastAsia" w:ascii="宋体" w:hAnsi="宋体"/>
          <w:b/>
        </w:rPr>
        <w:t>）在投标截止时间结束后参加投标的供应商不足</w:t>
      </w:r>
      <w:r>
        <w:rPr>
          <w:rFonts w:ascii="宋体" w:hAnsi="宋体"/>
          <w:b/>
        </w:rPr>
        <w:t>3</w:t>
      </w:r>
      <w:r>
        <w:rPr>
          <w:rFonts w:hint="eastAsia" w:ascii="宋体" w:hAnsi="宋体"/>
          <w:b/>
        </w:rPr>
        <w:t>家的；</w:t>
      </w:r>
    </w:p>
    <w:p>
      <w:pPr>
        <w:pStyle w:val="2"/>
        <w:spacing w:after="0" w:line="560" w:lineRule="exact"/>
        <w:ind w:firstLine="602" w:firstLineChars="250"/>
        <w:rPr>
          <w:rFonts w:ascii="宋体" w:hAnsi="宋体"/>
          <w:b/>
        </w:rPr>
      </w:pPr>
      <w:r>
        <w:rPr>
          <w:rFonts w:ascii="宋体" w:hAnsi="宋体"/>
          <w:b/>
        </w:rPr>
        <w:t>2</w:t>
      </w:r>
      <w:r>
        <w:rPr>
          <w:rFonts w:hint="eastAsia" w:ascii="宋体" w:hAnsi="宋体"/>
          <w:b/>
        </w:rPr>
        <w:t>）符合招标文件规定条件的供应商不足</w:t>
      </w:r>
      <w:r>
        <w:rPr>
          <w:rFonts w:ascii="宋体" w:hAnsi="宋体"/>
          <w:b/>
        </w:rPr>
        <w:t>3</w:t>
      </w:r>
      <w:r>
        <w:rPr>
          <w:rFonts w:hint="eastAsia" w:ascii="宋体" w:hAnsi="宋体"/>
          <w:b/>
        </w:rPr>
        <w:t>家或者对招标文件作实质性响应的供应商不足</w:t>
      </w:r>
      <w:r>
        <w:rPr>
          <w:rFonts w:ascii="宋体" w:hAnsi="宋体"/>
          <w:b/>
        </w:rPr>
        <w:t>3</w:t>
      </w:r>
      <w:r>
        <w:rPr>
          <w:rFonts w:hint="eastAsia" w:ascii="宋体" w:hAnsi="宋体"/>
          <w:b/>
        </w:rPr>
        <w:t>家的；使用综合评分法的采购项目，提供相同品牌产品且通过资格审查、符合性审查的不同供应商参加同一合同项下投标的，按一家供应商计算。</w:t>
      </w:r>
    </w:p>
    <w:p>
      <w:pPr>
        <w:pStyle w:val="2"/>
        <w:spacing w:after="0" w:line="560" w:lineRule="exact"/>
        <w:ind w:firstLine="602" w:firstLineChars="250"/>
        <w:rPr>
          <w:rFonts w:ascii="宋体" w:hAnsi="宋体"/>
          <w:b/>
        </w:rPr>
      </w:pPr>
      <w:r>
        <w:rPr>
          <w:rFonts w:ascii="宋体" w:hAnsi="宋体"/>
          <w:b/>
        </w:rPr>
        <w:t>3</w:t>
      </w:r>
      <w:r>
        <w:rPr>
          <w:rFonts w:hint="eastAsia" w:ascii="宋体" w:hAnsi="宋体"/>
          <w:b/>
        </w:rPr>
        <w:t>）出现影响采购公正的违法违规行为的；</w:t>
      </w:r>
    </w:p>
    <w:p>
      <w:pPr>
        <w:pStyle w:val="2"/>
        <w:spacing w:after="0" w:line="560" w:lineRule="exact"/>
        <w:ind w:firstLine="602" w:firstLineChars="250"/>
        <w:rPr>
          <w:rFonts w:ascii="宋体" w:hAnsi="宋体"/>
          <w:b/>
        </w:rPr>
      </w:pPr>
      <w:r>
        <w:rPr>
          <w:rFonts w:ascii="宋体" w:hAnsi="宋体"/>
          <w:b/>
        </w:rPr>
        <w:t>4</w:t>
      </w:r>
      <w:r>
        <w:rPr>
          <w:rFonts w:hint="eastAsia" w:ascii="宋体" w:hAnsi="宋体"/>
          <w:b/>
        </w:rPr>
        <w:t>）供应商的报价均超过采购预算的；</w:t>
      </w:r>
    </w:p>
    <w:p>
      <w:pPr>
        <w:pStyle w:val="2"/>
        <w:spacing w:after="0" w:line="560" w:lineRule="exact"/>
        <w:ind w:firstLine="602" w:firstLineChars="250"/>
        <w:rPr>
          <w:rFonts w:ascii="宋体" w:hAnsi="宋体"/>
          <w:b/>
        </w:rPr>
      </w:pPr>
      <w:r>
        <w:rPr>
          <w:rFonts w:ascii="宋体" w:hAnsi="宋体"/>
          <w:b/>
        </w:rPr>
        <w:t>5</w:t>
      </w:r>
      <w:r>
        <w:rPr>
          <w:rFonts w:hint="eastAsia" w:ascii="宋体" w:hAnsi="宋体"/>
          <w:b/>
        </w:rPr>
        <w:t>）因重大变故，采购任务取消的；</w:t>
      </w:r>
    </w:p>
    <w:p>
      <w:pPr>
        <w:pStyle w:val="2"/>
        <w:spacing w:after="0" w:line="560" w:lineRule="exact"/>
        <w:ind w:firstLine="602" w:firstLineChars="250"/>
        <w:rPr>
          <w:rFonts w:ascii="宋体" w:hAnsi="宋体"/>
          <w:b/>
        </w:rPr>
      </w:pPr>
      <w:r>
        <w:rPr>
          <w:rFonts w:ascii="宋体" w:hAnsi="宋体"/>
          <w:b/>
        </w:rPr>
        <w:t>6</w:t>
      </w:r>
      <w:r>
        <w:rPr>
          <w:rFonts w:hint="eastAsia" w:ascii="宋体" w:hAnsi="宋体"/>
          <w:b/>
        </w:rPr>
        <w:t>）法律、法规及招标文件规定的其他情况。</w:t>
      </w:r>
    </w:p>
    <w:p>
      <w:pPr>
        <w:pStyle w:val="69"/>
        <w:widowControl w:val="0"/>
        <w:tabs>
          <w:tab w:val="left" w:pos="955"/>
        </w:tabs>
        <w:spacing w:before="0" w:beforeAutospacing="0" w:after="0" w:afterAutospacing="0" w:line="560" w:lineRule="exact"/>
        <w:ind w:left="1146" w:leftChars="273" w:hanging="573" w:hangingChars="238"/>
        <w:jc w:val="both"/>
        <w:rPr>
          <w:b/>
        </w:rPr>
      </w:pPr>
      <w:r>
        <w:rPr>
          <w:b/>
        </w:rPr>
        <w:t xml:space="preserve">33.  </w:t>
      </w:r>
      <w:r>
        <w:rPr>
          <w:rFonts w:hint="eastAsia"/>
          <w:b/>
        </w:rPr>
        <w:t>中标公告</w:t>
      </w:r>
    </w:p>
    <w:p>
      <w:pPr>
        <w:pStyle w:val="2"/>
        <w:spacing w:after="0" w:line="560" w:lineRule="exact"/>
        <w:ind w:firstLine="600" w:firstLineChars="250"/>
        <w:rPr>
          <w:rFonts w:ascii="宋体" w:hAnsi="宋体" w:cs="宋体"/>
        </w:rPr>
      </w:pPr>
      <w:r>
        <w:rPr>
          <w:rFonts w:ascii="宋体" w:hAnsi="宋体" w:cs="宋体"/>
        </w:rPr>
        <w:t xml:space="preserve">33.1 </w:t>
      </w:r>
      <w:r>
        <w:rPr>
          <w:rFonts w:hint="eastAsia" w:ascii="宋体" w:hAnsi="宋体" w:cs="宋体"/>
        </w:rPr>
        <w:t>确定中标人后，采购代理机构将在发布招标公告的同一媒体发布中标公告。</w:t>
      </w:r>
    </w:p>
    <w:p>
      <w:pPr>
        <w:pStyle w:val="2"/>
        <w:spacing w:after="0" w:line="560" w:lineRule="exact"/>
        <w:ind w:firstLine="600" w:firstLineChars="250"/>
        <w:rPr>
          <w:rFonts w:ascii="宋体" w:hAnsi="宋体" w:cs="宋体"/>
        </w:rPr>
      </w:pPr>
      <w:r>
        <w:rPr>
          <w:rFonts w:ascii="宋体" w:hAnsi="宋体" w:cs="宋体"/>
        </w:rPr>
        <w:t xml:space="preserve">33.2 </w:t>
      </w:r>
      <w:r>
        <w:rPr>
          <w:rFonts w:hint="eastAsia" w:ascii="宋体" w:hAnsi="宋体" w:cs="宋体"/>
        </w:rPr>
        <w:t>中标公告内容应当包括采购人和采购代理机构的名称、地址、联系方式，项目名称和项目编号，中标人名称、地址和中标金额，主要中标标的的名称、规格型号、数量、单价、服务要求以及评审专家名单。</w:t>
      </w:r>
    </w:p>
    <w:p>
      <w:pPr>
        <w:pStyle w:val="4"/>
        <w:widowControl/>
        <w:spacing w:before="120" w:after="120" w:line="360" w:lineRule="exact"/>
        <w:ind w:firstLine="516" w:firstLineChars="214"/>
        <w:rPr>
          <w:rFonts w:ascii="宋体" w:hAnsi="宋体" w:eastAsia="宋体" w:cs="宋体"/>
          <w:sz w:val="24"/>
          <w:szCs w:val="24"/>
        </w:rPr>
      </w:pPr>
      <w:bookmarkStart w:id="56" w:name="_Toc508784352"/>
      <w:bookmarkStart w:id="57" w:name="_Toc11850783"/>
      <w:r>
        <w:rPr>
          <w:rFonts w:hint="eastAsia" w:ascii="宋体" w:hAnsi="宋体" w:eastAsia="宋体" w:cs="宋体"/>
          <w:sz w:val="24"/>
          <w:szCs w:val="24"/>
        </w:rPr>
        <w:t>六、询问和质疑</w:t>
      </w:r>
      <w:bookmarkEnd w:id="56"/>
      <w:bookmarkEnd w:id="57"/>
    </w:p>
    <w:p>
      <w:pPr>
        <w:pStyle w:val="2"/>
        <w:spacing w:after="0" w:line="560" w:lineRule="exact"/>
        <w:ind w:firstLine="600" w:firstLineChars="250"/>
        <w:rPr>
          <w:rFonts w:ascii="宋体" w:hAnsi="宋体" w:cs="宋体"/>
        </w:rPr>
      </w:pPr>
      <w:r>
        <w:rPr>
          <w:rFonts w:ascii="宋体" w:hAnsi="宋体" w:cs="宋体"/>
        </w:rPr>
        <w:t>34.1</w:t>
      </w:r>
      <w:r>
        <w:rPr>
          <w:rFonts w:hint="eastAsia" w:ascii="宋体" w:hAnsi="宋体"/>
        </w:rPr>
        <w:t>供应商可向采购人或者采购代理机构就招标文件的内容依法提出询问，采购人或者采购代理机构将在收到询问后3个工作日内作出答复。</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2</w:t>
      </w:r>
      <w:r>
        <w:rPr>
          <w:rFonts w:ascii="宋体" w:hAnsi="宋体" w:cs="宋体"/>
        </w:rPr>
        <w:t xml:space="preserve"> </w:t>
      </w:r>
      <w:r>
        <w:rPr>
          <w:rFonts w:hint="eastAsia" w:ascii="宋体" w:hAnsi="宋体" w:cs="宋体"/>
        </w:rPr>
        <w:t>供应商认为本招标文件的条款，或采购需求中的技术、服务要求，或政府采购合同草案条款内容表述不明确的，可以按本项目招标公告中载明的联系人、联系方式以电话或书面（电子邮件等）方式与采购代理机构项目负责人联系。</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3</w:t>
      </w:r>
      <w:r>
        <w:rPr>
          <w:rFonts w:ascii="宋体" w:hAnsi="宋体" w:cs="宋体"/>
        </w:rPr>
        <w:t xml:space="preserve"> </w:t>
      </w:r>
      <w:r>
        <w:rPr>
          <w:rFonts w:hint="eastAsia" w:ascii="宋体" w:hAnsi="宋体" w:cs="宋体"/>
        </w:rPr>
        <w:t>供应商认为招标文件、采购过程和中标结果使自己的权益受到损害的，可以在知道或者应知其权益受到损害之日起七个工作日内，以书面形式向采购人或采购代理机构提出询问或质疑。</w:t>
      </w:r>
    </w:p>
    <w:p>
      <w:pPr>
        <w:pStyle w:val="2"/>
        <w:spacing w:after="0" w:line="560" w:lineRule="exact"/>
        <w:ind w:firstLine="600" w:firstLineChars="250"/>
        <w:rPr>
          <w:rFonts w:ascii="宋体" w:hAnsi="宋体" w:cs="宋体"/>
        </w:rPr>
      </w:pPr>
      <w:r>
        <w:rPr>
          <w:rFonts w:hint="eastAsia" w:ascii="宋体" w:hAnsi="宋体" w:cs="宋体"/>
        </w:rPr>
        <w:t>供应商应知其权益受到损害之日，是指：</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）对可以质疑的招标文件提出质疑的，为收到招标文件之日或者招标文件公告期限届满之日；</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）对采购过程提出质疑的，为各采购程序环节结束之日；</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3</w:t>
      </w:r>
      <w:r>
        <w:rPr>
          <w:rFonts w:hint="eastAsia" w:ascii="宋体" w:hAnsi="宋体" w:cs="宋体"/>
        </w:rPr>
        <w:t>）对中标结果提出质疑的，为中标结果公告期限届满之日。</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4</w:t>
      </w:r>
      <w:r>
        <w:rPr>
          <w:rFonts w:ascii="宋体" w:hAnsi="宋体" w:cs="宋体"/>
        </w:rPr>
        <w:t xml:space="preserve"> </w:t>
      </w:r>
      <w:r>
        <w:rPr>
          <w:rFonts w:hint="eastAsia" w:ascii="宋体" w:hAnsi="宋体" w:cs="宋体"/>
        </w:rPr>
        <w:t>采购人或采购代理机构应当在收到供应商的书面质疑后七个工作日内作出答复，并以书面形式通知质疑供应商和其他有关供应商，但答复的内容不得涉及商业秘密。</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5</w:t>
      </w:r>
      <w:r>
        <w:rPr>
          <w:rFonts w:ascii="宋体" w:hAnsi="宋体" w:cs="宋体"/>
        </w:rPr>
        <w:t xml:space="preserve"> </w:t>
      </w:r>
      <w:r>
        <w:rPr>
          <w:rFonts w:hint="eastAsia" w:ascii="宋体" w:hAnsi="宋体" w:cs="宋体"/>
        </w:rPr>
        <w:t>采购人或采购代理机构接收质疑函的联系人、联系电话和通讯地址等信息详见本招标文件第五章“招标公告”中的联系方式相关内容、第六章“供应商须知附表”中载明的采购人、采购代理机构联系方式和联系人。</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6</w:t>
      </w:r>
      <w:r>
        <w:rPr>
          <w:rFonts w:ascii="宋体" w:hAnsi="宋体" w:cs="宋体"/>
        </w:rPr>
        <w:t xml:space="preserve"> </w:t>
      </w:r>
      <w:r>
        <w:rPr>
          <w:rFonts w:hint="eastAsia" w:ascii="宋体" w:hAnsi="宋体" w:cs="宋体"/>
        </w:rPr>
        <w:t>依据《政府采购质疑和投诉办法》（财政部令第</w:t>
      </w:r>
      <w:r>
        <w:rPr>
          <w:rFonts w:ascii="宋体" w:hAnsi="宋体" w:cs="宋体"/>
        </w:rPr>
        <w:t>94</w:t>
      </w:r>
      <w:r>
        <w:rPr>
          <w:rFonts w:hint="eastAsia" w:ascii="宋体" w:hAnsi="宋体" w:cs="宋体"/>
        </w:rPr>
        <w:t>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2"/>
        <w:spacing w:after="0" w:line="560" w:lineRule="exact"/>
        <w:ind w:firstLine="480" w:firstLineChars="200"/>
        <w:rPr>
          <w:rFonts w:ascii="宋体" w:hAnsi="宋体" w:cs="宋体"/>
        </w:rPr>
      </w:pPr>
      <w:r>
        <w:rPr>
          <w:rFonts w:hint="eastAsia" w:ascii="宋体" w:hAnsi="宋体" w:cs="宋体"/>
        </w:rPr>
        <w:t>代理人提出质疑和投诉，应当提交供应商签署的授权委托书。</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7</w:t>
      </w:r>
      <w:r>
        <w:rPr>
          <w:rFonts w:ascii="宋体" w:hAnsi="宋体" w:cs="宋体"/>
        </w:rPr>
        <w:t xml:space="preserve"> </w:t>
      </w:r>
      <w:r>
        <w:rPr>
          <w:rFonts w:hint="eastAsia" w:ascii="宋体" w:hAnsi="宋体" w:cs="宋体"/>
        </w:rPr>
        <w:t>提出质疑的供应商应当是参与所质疑项目采购活动的供应商。</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8</w:t>
      </w:r>
      <w:r>
        <w:rPr>
          <w:rFonts w:ascii="宋体" w:hAnsi="宋体" w:cs="宋体"/>
        </w:rPr>
        <w:t xml:space="preserve"> </w:t>
      </w:r>
      <w:r>
        <w:rPr>
          <w:rFonts w:hint="eastAsia" w:ascii="宋体" w:hAnsi="宋体" w:cs="宋体"/>
        </w:rPr>
        <w:t>潜在供应商已依法获取其可质疑的招标文件的，可以对该文件提出质疑。对招标文件提出质疑的，应当在获取招标文件或者招标文件公告期限届满之日起</w:t>
      </w:r>
      <w:r>
        <w:rPr>
          <w:rFonts w:ascii="宋体" w:hAnsi="宋体" w:cs="宋体"/>
        </w:rPr>
        <w:t>7</w:t>
      </w:r>
      <w:r>
        <w:rPr>
          <w:rFonts w:hint="eastAsia" w:ascii="宋体" w:hAnsi="宋体" w:cs="宋体"/>
        </w:rPr>
        <w:t>个工作日内提出。。</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9</w:t>
      </w:r>
      <w:r>
        <w:rPr>
          <w:rFonts w:ascii="宋体" w:hAnsi="宋体" w:cs="宋体"/>
        </w:rPr>
        <w:t xml:space="preserve"> </w:t>
      </w:r>
      <w:r>
        <w:rPr>
          <w:rFonts w:hint="eastAsia" w:ascii="宋体" w:hAnsi="宋体" w:cs="宋体"/>
        </w:rPr>
        <w:t>供应商提出质疑应当提交质疑函和必要的证明材料。质疑函应当包括下列内容：</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1</w:t>
      </w:r>
      <w:r>
        <w:rPr>
          <w:rFonts w:hint="eastAsia" w:ascii="宋体" w:hAnsi="宋体" w:cs="宋体"/>
        </w:rPr>
        <w:t>）供应商的姓名或者名称、地址、邮编、联系人及联系电话；</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2</w:t>
      </w:r>
      <w:r>
        <w:rPr>
          <w:rFonts w:hint="eastAsia" w:ascii="宋体" w:hAnsi="宋体" w:cs="宋体"/>
        </w:rPr>
        <w:t>）质疑项目的名称、编号；</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3</w:t>
      </w:r>
      <w:r>
        <w:rPr>
          <w:rFonts w:hint="eastAsia" w:ascii="宋体" w:hAnsi="宋体" w:cs="宋体"/>
        </w:rPr>
        <w:t>）具体、明确的质疑事项和与质疑事项相关的请求；</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）事实依据；</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）必要的法律依据；</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）提出质疑的日期。</w:t>
      </w:r>
    </w:p>
    <w:p>
      <w:pPr>
        <w:pStyle w:val="2"/>
        <w:spacing w:after="0" w:line="560" w:lineRule="exact"/>
        <w:ind w:firstLine="600" w:firstLineChars="250"/>
        <w:rPr>
          <w:rFonts w:ascii="宋体" w:hAnsi="宋体" w:cs="宋体"/>
        </w:rPr>
      </w:pPr>
      <w:r>
        <w:rPr>
          <w:rFonts w:hint="eastAsia" w:ascii="宋体" w:hAnsi="宋体" w:cs="宋体"/>
        </w:rPr>
        <w:t>供应商为自然人的，应当由本人签字；供应商为法人或者其他组织的，应当由法定代表人、主要负责人，或者其授权代表签字或者盖章，并加盖公章。</w:t>
      </w:r>
    </w:p>
    <w:p>
      <w:pPr>
        <w:pStyle w:val="2"/>
        <w:spacing w:after="0" w:line="560" w:lineRule="exact"/>
        <w:ind w:firstLine="600" w:firstLineChars="250"/>
        <w:rPr>
          <w:rFonts w:ascii="宋体" w:hAnsi="宋体" w:cs="宋体"/>
        </w:rPr>
      </w:pPr>
      <w:r>
        <w:rPr>
          <w:rFonts w:ascii="宋体" w:hAnsi="宋体" w:cs="宋体"/>
        </w:rPr>
        <w:t>34.</w:t>
      </w:r>
      <w:r>
        <w:rPr>
          <w:rFonts w:hint="eastAsia" w:ascii="宋体" w:hAnsi="宋体" w:cs="宋体"/>
        </w:rPr>
        <w:t>10</w:t>
      </w:r>
      <w:r>
        <w:rPr>
          <w:rFonts w:ascii="宋体" w:hAnsi="宋体" w:cs="宋体"/>
        </w:rPr>
        <w:t xml:space="preserve"> </w:t>
      </w:r>
      <w:r>
        <w:rPr>
          <w:rFonts w:hint="eastAsia" w:ascii="宋体" w:hAnsi="宋体" w:cs="宋体"/>
        </w:rPr>
        <w:t>采购人、采购代理机构认为供应商质疑不成立，或者成立但未对中标、成交结果构成影响的，继续开展采购活动；认为供应商质疑成立且影响或者可能影响中标、成交结果的，按照下列情况处理：</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1</w:t>
      </w:r>
      <w:r>
        <w:rPr>
          <w:rFonts w:hint="eastAsia" w:ascii="宋体" w:hAnsi="宋体" w:cs="宋体"/>
        </w:rPr>
        <w:t>）对招标文件提出的质疑，依法通过澄清或者修改可以继续开展采购活动的，澄清或者修改招标文件后继续开展采购活动；否则应当修改招标文件后重新开展采购活动。</w:t>
      </w:r>
    </w:p>
    <w:p>
      <w:pPr>
        <w:pStyle w:val="2"/>
        <w:spacing w:after="0" w:line="560" w:lineRule="exact"/>
        <w:ind w:firstLine="600" w:firstLineChars="250"/>
        <w:rPr>
          <w:rFonts w:ascii="宋体" w:hAnsi="宋体" w:cs="宋体"/>
        </w:rPr>
      </w:pPr>
      <w:r>
        <w:rPr>
          <w:rFonts w:hint="eastAsia" w:ascii="宋体" w:hAnsi="宋体" w:cs="宋体"/>
        </w:rPr>
        <w:t>（</w:t>
      </w:r>
      <w:r>
        <w:rPr>
          <w:rFonts w:ascii="宋体" w:hAnsi="宋体" w:cs="宋体"/>
        </w:rPr>
        <w:t>2</w:t>
      </w:r>
      <w:r>
        <w:rPr>
          <w:rFonts w:hint="eastAsia" w:ascii="宋体" w:hAnsi="宋体" w:cs="宋体"/>
        </w:rPr>
        <w:t>）对采购过程、中标或者成交结果提出的质疑，合格供应商符合法定数量时，可以从合格的中标候选人中另行确定中标候选人的，应当依法另行确定中标候选人；否则应当重新开展采购活动。</w:t>
      </w:r>
    </w:p>
    <w:p>
      <w:pPr>
        <w:pStyle w:val="2"/>
        <w:spacing w:after="0" w:line="560" w:lineRule="exact"/>
        <w:ind w:firstLine="600" w:firstLineChars="250"/>
        <w:rPr>
          <w:rFonts w:ascii="宋体" w:hAnsi="宋体" w:cs="宋体"/>
        </w:rPr>
      </w:pPr>
      <w:r>
        <w:rPr>
          <w:rFonts w:ascii="宋体" w:hAnsi="宋体" w:cs="宋体"/>
        </w:rPr>
        <w:t>34.1</w:t>
      </w:r>
      <w:r>
        <w:rPr>
          <w:rFonts w:hint="eastAsia" w:ascii="宋体" w:hAnsi="宋体" w:cs="宋体"/>
        </w:rPr>
        <w:t>1</w:t>
      </w:r>
      <w:r>
        <w:rPr>
          <w:rFonts w:ascii="宋体" w:hAnsi="宋体" w:cs="宋体"/>
        </w:rPr>
        <w:t xml:space="preserve"> </w:t>
      </w:r>
      <w:r>
        <w:rPr>
          <w:rFonts w:hint="eastAsia" w:ascii="宋体" w:hAnsi="宋体" w:cs="宋体"/>
        </w:rPr>
        <w:t>质疑供应商对采购人、采购代理机构的答复不满意或者采购人、采购代理机构未在规定的时间内作出答复的，可以在答复期满后十五个工作日内向同级政府采购监督管理部门投诉。</w:t>
      </w:r>
    </w:p>
    <w:p>
      <w:pPr>
        <w:pStyle w:val="4"/>
        <w:spacing w:before="120" w:after="120" w:line="360" w:lineRule="exact"/>
        <w:ind w:firstLine="516" w:firstLineChars="214"/>
        <w:rPr>
          <w:rFonts w:ascii="宋体" w:hAnsi="宋体" w:eastAsia="宋体"/>
          <w:sz w:val="24"/>
          <w:szCs w:val="24"/>
        </w:rPr>
      </w:pPr>
      <w:bookmarkStart w:id="58" w:name="_Toc508784353"/>
      <w:bookmarkStart w:id="59" w:name="_Toc11850784"/>
      <w:r>
        <w:rPr>
          <w:rFonts w:hint="eastAsia" w:ascii="宋体" w:hAnsi="宋体" w:eastAsia="宋体" w:cs="宋体"/>
          <w:sz w:val="24"/>
          <w:szCs w:val="24"/>
        </w:rPr>
        <w:t>七、授予合同</w:t>
      </w:r>
      <w:bookmarkEnd w:id="58"/>
      <w:bookmarkEnd w:id="59"/>
    </w:p>
    <w:p>
      <w:pPr>
        <w:pStyle w:val="2"/>
        <w:tabs>
          <w:tab w:val="left" w:pos="955"/>
        </w:tabs>
        <w:spacing w:after="0" w:line="560" w:lineRule="exact"/>
        <w:ind w:left="1146" w:leftChars="273" w:hanging="573" w:hangingChars="238"/>
        <w:rPr>
          <w:rFonts w:ascii="宋体" w:hAnsi="宋体"/>
          <w:b/>
          <w:bCs/>
        </w:rPr>
      </w:pPr>
      <w:bookmarkStart w:id="60" w:name="_Toc352332883"/>
      <w:bookmarkStart w:id="61" w:name="_Toc346372909"/>
      <w:bookmarkStart w:id="62" w:name="_Toc346306762"/>
      <w:r>
        <w:rPr>
          <w:rFonts w:ascii="宋体" w:hAnsi="宋体" w:cs="宋体"/>
          <w:b/>
          <w:bCs/>
        </w:rPr>
        <w:t xml:space="preserve">35.  </w:t>
      </w:r>
      <w:r>
        <w:rPr>
          <w:rFonts w:hint="eastAsia" w:ascii="宋体" w:hAnsi="宋体" w:cs="宋体"/>
          <w:b/>
          <w:bCs/>
        </w:rPr>
        <w:t>拒绝任何或所有投标的权力</w:t>
      </w:r>
      <w:bookmarkEnd w:id="60"/>
      <w:bookmarkEnd w:id="61"/>
      <w:bookmarkEnd w:id="62"/>
    </w:p>
    <w:p>
      <w:pPr>
        <w:pStyle w:val="2"/>
        <w:spacing w:after="0" w:line="560" w:lineRule="exact"/>
        <w:ind w:firstLine="600" w:firstLineChars="250"/>
        <w:rPr>
          <w:rFonts w:ascii="宋体" w:hAnsi="宋体"/>
        </w:rPr>
      </w:pPr>
      <w:r>
        <w:rPr>
          <w:rFonts w:hint="eastAsia" w:ascii="宋体" w:hAnsi="宋体" w:cs="宋体"/>
        </w:rPr>
        <w:t>为维护国家公共利益，采购人在授予合同之前可依法做出选择或拒绝任何或全部投标的决定。</w:t>
      </w:r>
    </w:p>
    <w:p>
      <w:pPr>
        <w:pStyle w:val="2"/>
        <w:tabs>
          <w:tab w:val="left" w:pos="955"/>
        </w:tabs>
        <w:spacing w:after="0" w:line="560" w:lineRule="exact"/>
        <w:ind w:left="1146" w:leftChars="273" w:hanging="573" w:hangingChars="238"/>
        <w:rPr>
          <w:rFonts w:ascii="宋体" w:hAnsi="宋体"/>
          <w:b/>
          <w:bCs/>
        </w:rPr>
      </w:pPr>
      <w:bookmarkStart w:id="63" w:name="_Toc352332884"/>
      <w:bookmarkStart w:id="64" w:name="_Toc346372910"/>
      <w:bookmarkStart w:id="65" w:name="_Toc346306763"/>
      <w:r>
        <w:rPr>
          <w:rFonts w:ascii="宋体" w:hAnsi="宋体" w:cs="宋体"/>
          <w:b/>
          <w:bCs/>
        </w:rPr>
        <w:t xml:space="preserve">36.  </w:t>
      </w:r>
      <w:r>
        <w:rPr>
          <w:rFonts w:hint="eastAsia" w:ascii="宋体" w:hAnsi="宋体" w:cs="宋体"/>
          <w:b/>
          <w:bCs/>
        </w:rPr>
        <w:t>中标通知书</w:t>
      </w:r>
      <w:bookmarkEnd w:id="63"/>
      <w:bookmarkEnd w:id="64"/>
      <w:bookmarkEnd w:id="65"/>
    </w:p>
    <w:p>
      <w:pPr>
        <w:pStyle w:val="2"/>
        <w:spacing w:after="0" w:line="560" w:lineRule="exact"/>
        <w:ind w:firstLine="600" w:firstLineChars="250"/>
        <w:rPr>
          <w:rFonts w:ascii="宋体" w:hAnsi="宋体" w:cs="宋体"/>
        </w:rPr>
      </w:pPr>
      <w:bookmarkStart w:id="66" w:name="_Toc346306764"/>
      <w:bookmarkStart w:id="67" w:name="_Toc352332885"/>
      <w:bookmarkStart w:id="68" w:name="_Toc346372911"/>
      <w:r>
        <w:rPr>
          <w:rFonts w:ascii="宋体" w:hAnsi="宋体" w:cs="宋体"/>
        </w:rPr>
        <w:t>36.1</w:t>
      </w:r>
      <w:r>
        <w:rPr>
          <w:rFonts w:hint="eastAsia" w:ascii="宋体" w:hAnsi="宋体" w:cs="宋体"/>
        </w:rPr>
        <w:t>在发布中标结果的同时，采购代理机构向中标人签发《中标通知书》。</w:t>
      </w:r>
    </w:p>
    <w:p>
      <w:pPr>
        <w:pStyle w:val="2"/>
        <w:spacing w:after="0" w:line="560" w:lineRule="exact"/>
        <w:ind w:firstLine="600" w:firstLineChars="250"/>
        <w:rPr>
          <w:rFonts w:ascii="宋体" w:hAnsi="宋体" w:cs="宋体"/>
        </w:rPr>
      </w:pPr>
      <w:r>
        <w:rPr>
          <w:rFonts w:ascii="宋体" w:hAnsi="宋体" w:cs="宋体"/>
        </w:rPr>
        <w:t xml:space="preserve">36.2 </w:t>
      </w:r>
      <w:r>
        <w:rPr>
          <w:rFonts w:hint="eastAsia" w:ascii="宋体" w:hAnsi="宋体" w:cs="宋体"/>
        </w:rPr>
        <w:t>中标通知书是合同的一个组成部分。</w:t>
      </w:r>
    </w:p>
    <w:p>
      <w:pPr>
        <w:pStyle w:val="2"/>
        <w:spacing w:after="0" w:line="560" w:lineRule="exact"/>
        <w:ind w:firstLine="600" w:firstLineChars="250"/>
        <w:jc w:val="left"/>
        <w:rPr>
          <w:rFonts w:ascii="宋体" w:hAnsi="宋体" w:cs="宋体"/>
        </w:rPr>
      </w:pPr>
      <w:r>
        <w:rPr>
          <w:rFonts w:ascii="宋体" w:hAnsi="宋体" w:cs="宋体"/>
        </w:rPr>
        <w:t xml:space="preserve">36.3 </w:t>
      </w:r>
      <w:r>
        <w:rPr>
          <w:rFonts w:hint="eastAsia" w:ascii="宋体" w:hAnsi="宋体" w:cs="宋体"/>
        </w:rPr>
        <w:t>在发布中标通知书前，采购代理机构在“信用中国”</w:t>
      </w:r>
      <w:r>
        <w:rPr>
          <w:rFonts w:ascii="宋体" w:hAnsi="宋体" w:cs="宋体"/>
        </w:rPr>
        <w:t>(www.creditchina.gov.cn)</w:t>
      </w:r>
      <w:r>
        <w:rPr>
          <w:rFonts w:hint="eastAsia" w:ascii="宋体" w:hAnsi="宋体" w:cs="宋体"/>
        </w:rPr>
        <w:t>、中国政府采购网</w:t>
      </w:r>
      <w:r>
        <w:rPr>
          <w:rFonts w:ascii="宋体" w:hAnsi="宋体" w:cs="宋体"/>
          <w:spacing w:val="-20"/>
        </w:rPr>
        <w:t>(www.ccgp.gov.cn)</w:t>
      </w:r>
      <w:r>
        <w:rPr>
          <w:rFonts w:hint="eastAsia" w:ascii="宋体" w:hAnsi="宋体" w:cs="宋体"/>
        </w:rPr>
        <w:t>等网站查询，中标人被列入“失信被执行人名单”、“重大税收违法案件当事人名单”、“政府采购严重违法失信行为记录名单”，采购人有权取消其中标资格，重新开展政府采购活动。</w:t>
      </w:r>
    </w:p>
    <w:p>
      <w:pPr>
        <w:pStyle w:val="2"/>
        <w:tabs>
          <w:tab w:val="left" w:pos="955"/>
        </w:tabs>
        <w:spacing w:after="0" w:line="560" w:lineRule="exact"/>
        <w:ind w:left="1146" w:leftChars="273" w:hanging="573" w:hangingChars="238"/>
        <w:rPr>
          <w:rFonts w:ascii="宋体" w:hAnsi="宋体"/>
          <w:b/>
          <w:bCs/>
        </w:rPr>
      </w:pPr>
      <w:r>
        <w:rPr>
          <w:rFonts w:ascii="宋体" w:hAnsi="宋体" w:cs="宋体"/>
          <w:b/>
          <w:bCs/>
        </w:rPr>
        <w:t xml:space="preserve">37.  </w:t>
      </w:r>
      <w:r>
        <w:rPr>
          <w:rFonts w:hint="eastAsia" w:ascii="宋体" w:hAnsi="宋体" w:cs="宋体"/>
          <w:b/>
          <w:bCs/>
        </w:rPr>
        <w:t>签订合同</w:t>
      </w:r>
      <w:bookmarkEnd w:id="66"/>
      <w:bookmarkEnd w:id="67"/>
      <w:bookmarkEnd w:id="68"/>
    </w:p>
    <w:p>
      <w:pPr>
        <w:pStyle w:val="2"/>
        <w:spacing w:line="560" w:lineRule="exact"/>
        <w:ind w:firstLine="600" w:firstLineChars="250"/>
        <w:rPr>
          <w:rFonts w:ascii="宋体" w:hAnsi="宋体" w:cs="宋体"/>
        </w:rPr>
      </w:pPr>
      <w:bookmarkStart w:id="69" w:name="_Toc475090309"/>
      <w:r>
        <w:rPr>
          <w:rFonts w:ascii="宋体" w:hAnsi="宋体" w:cs="宋体"/>
        </w:rPr>
        <w:t>37.1</w:t>
      </w:r>
      <w:r>
        <w:rPr>
          <w:rFonts w:hint="eastAsia" w:ascii="宋体" w:hAnsi="宋体" w:cs="宋体"/>
        </w:rPr>
        <w:t>在签订合同之前，采购代理机构在“信用中国”、“中国政府采购网”等网站查询，中标人被列入“失信被执行人名单”、“重大税收违法案件当事人名单”、“政府采购严重违法失信行为记录名单”，有权取消其中标资格，重新开展政府采购活动。</w:t>
      </w:r>
    </w:p>
    <w:p>
      <w:pPr>
        <w:pStyle w:val="2"/>
        <w:spacing w:line="560" w:lineRule="exact"/>
        <w:ind w:firstLine="600" w:firstLineChars="250"/>
        <w:rPr>
          <w:rFonts w:ascii="宋体" w:hAnsi="宋体" w:cs="宋体"/>
        </w:rPr>
      </w:pPr>
      <w:r>
        <w:rPr>
          <w:rFonts w:ascii="宋体" w:hAnsi="宋体" w:cs="宋体"/>
        </w:rPr>
        <w:t>37.2</w:t>
      </w:r>
      <w:r>
        <w:rPr>
          <w:rFonts w:hint="eastAsia" w:ascii="宋体" w:hAnsi="宋体" w:cs="宋体"/>
        </w:rPr>
        <w:t>中标通知书发出之日起</w:t>
      </w:r>
      <w:r>
        <w:rPr>
          <w:rFonts w:ascii="宋体" w:hAnsi="宋体" w:cs="宋体"/>
        </w:rPr>
        <w:t>30</w:t>
      </w:r>
      <w:r>
        <w:rPr>
          <w:rFonts w:hint="eastAsia" w:ascii="宋体" w:hAnsi="宋体" w:cs="宋体"/>
        </w:rPr>
        <w:t>日内，双方按照招标文件确定的事项签订合同。中标通知书发出后，中标人按招标文件要求提交履约保证金后，双方按规定签订合同。</w:t>
      </w:r>
      <w:bookmarkEnd w:id="69"/>
    </w:p>
    <w:p>
      <w:pPr>
        <w:pStyle w:val="2"/>
        <w:spacing w:line="560" w:lineRule="exact"/>
        <w:ind w:firstLine="600" w:firstLineChars="250"/>
        <w:rPr>
          <w:rFonts w:ascii="宋体" w:hAnsi="宋体" w:cs="宋体"/>
        </w:rPr>
      </w:pPr>
      <w:bookmarkStart w:id="70" w:name="_Toc475090310"/>
      <w:r>
        <w:rPr>
          <w:rFonts w:ascii="宋体" w:hAnsi="宋体" w:cs="宋体"/>
        </w:rPr>
        <w:t xml:space="preserve">37.3 </w:t>
      </w:r>
      <w:r>
        <w:rPr>
          <w:rFonts w:hint="eastAsia" w:ascii="宋体" w:hAnsi="宋体" w:cs="宋体"/>
        </w:rPr>
        <w:t>招标文件、中标人的投标文件以及评标过程中的有关澄清、承诺文件均为合同的组成部分。</w:t>
      </w:r>
      <w:bookmarkEnd w:id="70"/>
    </w:p>
    <w:p>
      <w:pPr>
        <w:pStyle w:val="2"/>
        <w:spacing w:after="0" w:line="560" w:lineRule="exact"/>
        <w:ind w:firstLine="600" w:firstLineChars="250"/>
        <w:rPr>
          <w:rFonts w:ascii="宋体" w:hAnsi="宋体" w:cs="宋体"/>
        </w:rPr>
      </w:pPr>
      <w:r>
        <w:rPr>
          <w:rFonts w:ascii="宋体" w:hAnsi="宋体" w:cs="宋体"/>
        </w:rPr>
        <w:t>37.4</w:t>
      </w:r>
      <w:r>
        <w:rPr>
          <w:rFonts w:hint="eastAsia" w:ascii="宋体" w:hAnsi="宋体" w:cs="宋体"/>
        </w:rPr>
        <w:t>中标人拒绝与采购人签订合同的，</w:t>
      </w:r>
      <w:r>
        <w:rPr>
          <w:rFonts w:ascii="宋体" w:hAnsi="宋体" w:cs="宋体"/>
        </w:rPr>
        <w:t>采购人可以按照评审报告推荐的中标候选人名单排序，确定下一候选人为中标供应商，也可以重新开展政府采购活动。</w:t>
      </w:r>
    </w:p>
    <w:p>
      <w:pPr>
        <w:pStyle w:val="2"/>
        <w:spacing w:after="0" w:line="560" w:lineRule="exact"/>
        <w:ind w:firstLine="600" w:firstLineChars="250"/>
        <w:rPr>
          <w:rFonts w:ascii="宋体" w:hAnsi="宋体" w:cs="宋体"/>
        </w:rPr>
      </w:pPr>
      <w:r>
        <w:rPr>
          <w:rFonts w:ascii="宋体" w:hAnsi="宋体" w:cs="宋体"/>
        </w:rPr>
        <w:t xml:space="preserve">37.5 </w:t>
      </w:r>
      <w:r>
        <w:rPr>
          <w:rFonts w:hint="eastAsia" w:ascii="宋体" w:hAnsi="宋体" w:cs="宋体"/>
        </w:rPr>
        <w:t>在评标结束后至政府采购合同签订前，经查询中标人存在本章第</w:t>
      </w:r>
      <w:r>
        <w:rPr>
          <w:rFonts w:ascii="宋体" w:hAnsi="宋体" w:cs="宋体"/>
        </w:rPr>
        <w:t>3.5</w:t>
      </w:r>
      <w:r>
        <w:rPr>
          <w:rFonts w:hint="eastAsia" w:ascii="宋体" w:hAnsi="宋体" w:cs="宋体"/>
        </w:rPr>
        <w:t>条所述不良信用记录的，采购人有权取消中标人的中标资格、收回中标通知书、不与中标人签订政府采购合同而不承担违约责任，可以重新开展政府采购活动。</w:t>
      </w:r>
    </w:p>
    <w:p>
      <w:pPr>
        <w:pStyle w:val="2"/>
        <w:spacing w:after="0" w:line="560" w:lineRule="exact"/>
        <w:ind w:firstLine="602" w:firstLineChars="250"/>
        <w:rPr>
          <w:rFonts w:ascii="宋体" w:hAnsi="宋体" w:cs="宋体"/>
          <w:b/>
        </w:rPr>
      </w:pPr>
      <w:r>
        <w:rPr>
          <w:rFonts w:hint="eastAsia" w:ascii="宋体" w:hAnsi="宋体" w:cs="宋体"/>
          <w:b/>
        </w:rPr>
        <w:t>37.6 中标人有下列情形之一的，采购人有权取消其中标资格：</w:t>
      </w:r>
    </w:p>
    <w:p>
      <w:pPr>
        <w:pStyle w:val="2"/>
        <w:spacing w:after="0" w:line="560" w:lineRule="exact"/>
        <w:ind w:firstLine="600" w:firstLineChars="250"/>
        <w:rPr>
          <w:rFonts w:ascii="宋体" w:hAnsi="宋体"/>
        </w:rPr>
      </w:pPr>
      <w:r>
        <w:rPr>
          <w:rFonts w:hint="eastAsia" w:ascii="宋体" w:hAnsi="宋体"/>
        </w:rPr>
        <w:t>（</w:t>
      </w:r>
      <w:r>
        <w:rPr>
          <w:rFonts w:ascii="宋体" w:hAnsi="宋体"/>
        </w:rPr>
        <w:t>1</w:t>
      </w:r>
      <w:r>
        <w:rPr>
          <w:rFonts w:hint="eastAsia" w:ascii="宋体" w:hAnsi="宋体"/>
        </w:rPr>
        <w:t>）中标后无正当理由不按规定与采购人或者采购代理机构签订合同的；</w:t>
      </w:r>
    </w:p>
    <w:p>
      <w:pPr>
        <w:pStyle w:val="2"/>
        <w:spacing w:after="0" w:line="560" w:lineRule="exact"/>
        <w:ind w:firstLine="600" w:firstLineChars="250"/>
        <w:rPr>
          <w:rFonts w:ascii="宋体" w:hAnsi="宋体"/>
        </w:rPr>
      </w:pPr>
      <w:r>
        <w:rPr>
          <w:rFonts w:hint="eastAsia" w:ascii="宋体" w:hAnsi="宋体"/>
        </w:rPr>
        <w:t>（2）将中标项目转让给他人，或者在投标文件中未说明，且未经采购招标机构同意，将中标项目分包给他人的；</w:t>
      </w:r>
    </w:p>
    <w:p>
      <w:pPr>
        <w:pStyle w:val="2"/>
        <w:spacing w:after="0" w:line="560" w:lineRule="exact"/>
        <w:ind w:firstLine="600" w:firstLineChars="250"/>
        <w:rPr>
          <w:rFonts w:ascii="宋体" w:hAnsi="宋体"/>
        </w:rPr>
      </w:pPr>
      <w:r>
        <w:rPr>
          <w:rFonts w:hint="eastAsia" w:ascii="宋体" w:hAnsi="宋体"/>
        </w:rPr>
        <w:t>（3）拒绝履行合同义务的。</w:t>
      </w:r>
    </w:p>
    <w:p>
      <w:pPr>
        <w:pStyle w:val="4"/>
        <w:widowControl/>
        <w:spacing w:before="120" w:after="120" w:line="360" w:lineRule="exact"/>
        <w:ind w:firstLine="516" w:firstLineChars="214"/>
        <w:rPr>
          <w:rFonts w:ascii="宋体" w:hAnsi="宋体" w:eastAsia="宋体" w:cs="宋体"/>
          <w:sz w:val="24"/>
          <w:szCs w:val="24"/>
        </w:rPr>
      </w:pPr>
      <w:bookmarkStart w:id="71" w:name="_Toc11850785"/>
      <w:r>
        <w:rPr>
          <w:rFonts w:hint="eastAsia" w:ascii="宋体" w:hAnsi="宋体" w:eastAsia="宋体" w:cs="宋体"/>
          <w:sz w:val="24"/>
          <w:szCs w:val="24"/>
        </w:rPr>
        <w:t>八、履约保证金</w:t>
      </w:r>
      <w:bookmarkEnd w:id="71"/>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8</w:t>
      </w:r>
      <w:r>
        <w:rPr>
          <w:rFonts w:ascii="宋体" w:hAnsi="宋体" w:cs="宋体"/>
        </w:rPr>
        <w:t>.1</w:t>
      </w:r>
      <w:r>
        <w:rPr>
          <w:rFonts w:hint="eastAsia" w:ascii="宋体" w:hAnsi="宋体" w:cs="宋体"/>
        </w:rPr>
        <w:t>本项目中标人在签订合同前，应提交履约</w:t>
      </w:r>
      <w:r>
        <w:rPr>
          <w:rFonts w:hint="eastAsia" w:ascii="宋体" w:hAnsi="宋体" w:cs="宋体"/>
          <w:szCs w:val="24"/>
        </w:rPr>
        <w:t>保证金</w:t>
      </w:r>
      <w:r>
        <w:rPr>
          <w:rFonts w:hint="eastAsia" w:ascii="宋体" w:hAnsi="宋体" w:cs="宋体"/>
        </w:rPr>
        <w:t>，除非招标文件“供应商须知附表”明确说明不要求中标人提交履约</w:t>
      </w:r>
      <w:r>
        <w:rPr>
          <w:rFonts w:hint="eastAsia" w:ascii="宋体" w:hAnsi="宋体" w:cs="宋体"/>
          <w:szCs w:val="24"/>
        </w:rPr>
        <w:t>保证金</w:t>
      </w:r>
      <w:r>
        <w:rPr>
          <w:rFonts w:hint="eastAsia" w:ascii="宋体" w:hAnsi="宋体" w:cs="宋体"/>
        </w:rPr>
        <w:t>。履约</w:t>
      </w:r>
      <w:r>
        <w:rPr>
          <w:rFonts w:hint="eastAsia" w:ascii="宋体" w:hAnsi="宋体" w:cs="宋体"/>
          <w:szCs w:val="24"/>
        </w:rPr>
        <w:t>保证金</w:t>
      </w:r>
      <w:r>
        <w:rPr>
          <w:rFonts w:hint="eastAsia" w:ascii="宋体" w:hAnsi="宋体" w:cs="宋体"/>
        </w:rPr>
        <w:t>的形式和金额见招标文件 “供应商须知附表”。</w:t>
      </w:r>
    </w:p>
    <w:p>
      <w:pPr>
        <w:pStyle w:val="2"/>
        <w:spacing w:after="0" w:line="560" w:lineRule="exact"/>
        <w:ind w:firstLine="600" w:firstLineChars="250"/>
        <w:rPr>
          <w:rFonts w:ascii="宋体" w:hAnsi="宋体" w:cs="宋体"/>
        </w:rPr>
      </w:pPr>
      <w:r>
        <w:rPr>
          <w:rFonts w:ascii="宋体" w:hAnsi="宋体" w:cs="宋体"/>
        </w:rPr>
        <w:t>3</w:t>
      </w:r>
      <w:r>
        <w:rPr>
          <w:rFonts w:hint="eastAsia" w:ascii="宋体" w:hAnsi="宋体" w:cs="宋体"/>
        </w:rPr>
        <w:t>8</w:t>
      </w:r>
      <w:r>
        <w:rPr>
          <w:rFonts w:ascii="宋体" w:hAnsi="宋体" w:cs="宋体"/>
        </w:rPr>
        <w:t>.2</w:t>
      </w:r>
      <w:r>
        <w:rPr>
          <w:rFonts w:hint="eastAsia" w:ascii="宋体" w:hAnsi="宋体" w:cs="宋体"/>
        </w:rPr>
        <w:t>中标人未足额缴纳或未缴纳履约</w:t>
      </w:r>
      <w:r>
        <w:rPr>
          <w:rFonts w:hint="eastAsia" w:ascii="宋体" w:hAnsi="宋体" w:cs="宋体"/>
          <w:szCs w:val="24"/>
        </w:rPr>
        <w:t>保证金</w:t>
      </w:r>
      <w:r>
        <w:rPr>
          <w:rFonts w:hint="eastAsia" w:ascii="宋体" w:hAnsi="宋体" w:cs="宋体"/>
        </w:rPr>
        <w:t>的，不得签订政府采购合同。中标人因未缴纳或未足额缴纳履约</w:t>
      </w:r>
      <w:r>
        <w:rPr>
          <w:rFonts w:hint="eastAsia" w:ascii="宋体" w:hAnsi="宋体" w:cs="宋体"/>
          <w:szCs w:val="24"/>
        </w:rPr>
        <w:t>保证金</w:t>
      </w:r>
      <w:r>
        <w:rPr>
          <w:rFonts w:hint="eastAsia" w:ascii="宋体" w:hAnsi="宋体" w:cs="宋体"/>
        </w:rPr>
        <w:t>的，致使不能按本章第</w:t>
      </w:r>
      <w:r>
        <w:rPr>
          <w:rFonts w:ascii="宋体" w:hAnsi="宋体" w:cs="宋体"/>
        </w:rPr>
        <w:t>37.</w:t>
      </w:r>
      <w:r>
        <w:rPr>
          <w:rFonts w:hint="eastAsia" w:ascii="宋体" w:hAnsi="宋体" w:cs="宋体"/>
        </w:rPr>
        <w:t>2条规定的时限签订合同的，将被视为放弃中标资格、拒绝与采购人签订合同。</w:t>
      </w:r>
    </w:p>
    <w:p>
      <w:pPr>
        <w:pStyle w:val="4"/>
        <w:widowControl/>
        <w:spacing w:before="120" w:after="120" w:line="360" w:lineRule="exact"/>
        <w:ind w:firstLine="516" w:firstLineChars="214"/>
        <w:rPr>
          <w:rFonts w:ascii="宋体" w:hAnsi="宋体" w:eastAsia="宋体" w:cs="宋体"/>
          <w:sz w:val="24"/>
          <w:szCs w:val="24"/>
        </w:rPr>
      </w:pPr>
      <w:bookmarkStart w:id="72" w:name="_Toc21839"/>
      <w:bookmarkStart w:id="73" w:name="_Toc508784354"/>
      <w:bookmarkStart w:id="74" w:name="_Toc11850786"/>
      <w:r>
        <w:rPr>
          <w:rFonts w:hint="eastAsia" w:ascii="宋体" w:hAnsi="宋体" w:eastAsia="宋体" w:cs="宋体"/>
          <w:sz w:val="24"/>
          <w:szCs w:val="24"/>
        </w:rPr>
        <w:t>九、中标服务费</w:t>
      </w:r>
      <w:bookmarkEnd w:id="72"/>
      <w:bookmarkEnd w:id="73"/>
      <w:bookmarkEnd w:id="74"/>
    </w:p>
    <w:p>
      <w:pPr>
        <w:pStyle w:val="2"/>
        <w:spacing w:after="0" w:line="560" w:lineRule="exact"/>
        <w:ind w:firstLine="600" w:firstLineChars="250"/>
        <w:rPr>
          <w:rFonts w:ascii="宋体" w:hAnsi="宋体" w:cs="宋体"/>
        </w:rPr>
      </w:pPr>
      <w:r>
        <w:rPr>
          <w:rFonts w:hint="eastAsia" w:ascii="宋体" w:hAnsi="宋体" w:cs="宋体"/>
        </w:rPr>
        <w:t>39</w:t>
      </w:r>
      <w:r>
        <w:rPr>
          <w:rFonts w:ascii="宋体" w:hAnsi="宋体" w:cs="宋体"/>
        </w:rPr>
        <w:t xml:space="preserve">. </w:t>
      </w:r>
      <w:r>
        <w:rPr>
          <w:rFonts w:hint="eastAsia" w:ascii="宋体" w:hAnsi="宋体" w:cs="宋体"/>
        </w:rPr>
        <w:t>中标服务费</w:t>
      </w:r>
    </w:p>
    <w:p>
      <w:pPr>
        <w:pStyle w:val="2"/>
        <w:spacing w:after="0" w:line="560" w:lineRule="exact"/>
        <w:ind w:firstLine="600" w:firstLineChars="250"/>
        <w:rPr>
          <w:rFonts w:ascii="宋体" w:hAnsi="宋体" w:cs="宋体"/>
        </w:rPr>
      </w:pPr>
      <w:r>
        <w:rPr>
          <w:rFonts w:hint="eastAsia" w:ascii="宋体" w:hAnsi="宋体" w:cs="宋体"/>
        </w:rPr>
        <w:t>39</w:t>
      </w:r>
      <w:r>
        <w:rPr>
          <w:rFonts w:ascii="宋体" w:hAnsi="宋体" w:cs="宋体"/>
        </w:rPr>
        <w:t>.1</w:t>
      </w:r>
      <w:r>
        <w:rPr>
          <w:rFonts w:hint="eastAsia" w:ascii="宋体" w:hAnsi="宋体" w:cs="宋体"/>
        </w:rPr>
        <w:t>本项目中标服务费由采购代理机构向中标人收取。</w:t>
      </w:r>
    </w:p>
    <w:p>
      <w:pPr>
        <w:pStyle w:val="4"/>
        <w:spacing w:before="120" w:after="120" w:line="360" w:lineRule="exact"/>
        <w:ind w:firstLine="516" w:firstLineChars="214"/>
        <w:rPr>
          <w:rFonts w:ascii="宋体" w:hAnsi="宋体" w:eastAsia="宋体"/>
          <w:sz w:val="24"/>
          <w:szCs w:val="24"/>
        </w:rPr>
      </w:pPr>
      <w:bookmarkStart w:id="75" w:name="_Toc508784355"/>
      <w:bookmarkStart w:id="76" w:name="_Toc11850787"/>
      <w:r>
        <w:rPr>
          <w:rFonts w:hint="eastAsia" w:ascii="宋体" w:hAnsi="宋体" w:eastAsia="宋体" w:cs="宋体"/>
          <w:sz w:val="24"/>
          <w:szCs w:val="24"/>
        </w:rPr>
        <w:t>十、解释权</w:t>
      </w:r>
      <w:bookmarkEnd w:id="75"/>
      <w:bookmarkEnd w:id="76"/>
    </w:p>
    <w:p>
      <w:pPr>
        <w:pStyle w:val="2"/>
        <w:spacing w:after="0" w:line="560" w:lineRule="exact"/>
        <w:ind w:firstLine="600" w:firstLineChars="250"/>
        <w:rPr>
          <w:rFonts w:ascii="宋体" w:hAnsi="宋体" w:cs="宋体"/>
        </w:rPr>
      </w:pPr>
      <w:r>
        <w:rPr>
          <w:rFonts w:ascii="宋体" w:hAnsi="宋体" w:cs="宋体"/>
        </w:rPr>
        <w:t>4</w:t>
      </w:r>
      <w:r>
        <w:rPr>
          <w:rFonts w:hint="eastAsia" w:ascii="宋体" w:hAnsi="宋体" w:cs="宋体"/>
        </w:rPr>
        <w:t>0</w:t>
      </w:r>
      <w:r>
        <w:rPr>
          <w:rFonts w:ascii="宋体" w:hAnsi="宋体" w:cs="宋体"/>
        </w:rPr>
        <w:t>.</w:t>
      </w:r>
      <w:r>
        <w:rPr>
          <w:rFonts w:hint="eastAsia" w:ascii="宋体" w:hAnsi="宋体" w:cs="宋体"/>
        </w:rPr>
        <w:t>本招标文件的最终解释权归代理机构，当对一个问题有多种解释时以代理机构的书面解释为准。招标文件未做明示，而又有相关法律、法规规定的，代理机构对此所做解释以相关的法律、法规规定为依据。</w:t>
      </w:r>
    </w:p>
    <w:p>
      <w:pPr>
        <w:pStyle w:val="12"/>
        <w:tabs>
          <w:tab w:val="left" w:pos="1146"/>
        </w:tabs>
        <w:spacing w:line="560" w:lineRule="exact"/>
        <w:ind w:left="571" w:leftChars="272" w:firstLine="2" w:firstLineChars="0"/>
        <w:jc w:val="center"/>
        <w:rPr>
          <w:rFonts w:ascii="宋体" w:hAnsi="宋体"/>
          <w:sz w:val="24"/>
        </w:rPr>
      </w:pPr>
    </w:p>
    <w:p>
      <w:pPr>
        <w:pStyle w:val="3"/>
        <w:spacing w:before="120" w:after="120" w:line="240" w:lineRule="auto"/>
        <w:jc w:val="center"/>
        <w:rPr>
          <w:rFonts w:ascii="宋体" w:hAnsi="宋体"/>
          <w:kern w:val="2"/>
          <w:sz w:val="32"/>
        </w:rPr>
      </w:pPr>
      <w:r>
        <w:rPr>
          <w:rFonts w:ascii="宋体" w:hAnsi="宋体"/>
          <w:kern w:val="2"/>
          <w:sz w:val="32"/>
        </w:rPr>
        <w:br w:type="page"/>
      </w:r>
      <w:bookmarkStart w:id="77" w:name="_Toc11850788"/>
      <w:r>
        <w:rPr>
          <w:rFonts w:hint="eastAsia" w:ascii="宋体" w:hAnsi="宋体"/>
          <w:kern w:val="2"/>
          <w:sz w:val="32"/>
        </w:rPr>
        <w:t>第三章  评分办法</w:t>
      </w:r>
      <w:bookmarkEnd w:id="77"/>
    </w:p>
    <w:p>
      <w:pPr>
        <w:spacing w:line="540" w:lineRule="exact"/>
        <w:ind w:firstLine="477" w:firstLineChars="198"/>
        <w:rPr>
          <w:rFonts w:ascii="宋体" w:hAnsi="宋体"/>
          <w:b/>
          <w:sz w:val="24"/>
        </w:rPr>
      </w:pPr>
      <w:r>
        <w:rPr>
          <w:rFonts w:hint="eastAsia" w:ascii="宋体" w:hAnsi="宋体"/>
          <w:b/>
          <w:sz w:val="24"/>
        </w:rPr>
        <w:t>一、评标方法</w:t>
      </w:r>
    </w:p>
    <w:p>
      <w:pPr>
        <w:spacing w:line="540" w:lineRule="exact"/>
        <w:ind w:firstLine="475" w:firstLineChars="198"/>
        <w:rPr>
          <w:rFonts w:ascii="宋体" w:hAnsi="宋体"/>
          <w:sz w:val="24"/>
        </w:rPr>
      </w:pPr>
      <w:r>
        <w:rPr>
          <w:rFonts w:ascii="宋体" w:hAnsi="宋体"/>
          <w:sz w:val="24"/>
        </w:rPr>
        <w:t>1.1</w:t>
      </w:r>
      <w:r>
        <w:rPr>
          <w:rFonts w:hint="eastAsia" w:ascii="宋体" w:hAnsi="宋体"/>
          <w:sz w:val="24"/>
        </w:rPr>
        <w:t>本项目评标方法采用综合评分法。评标委员会将依据各供应商投标文件，对其商务、技术、价格、服务等各项因素进行评价并按评分细则进行打分。每一供应商的最终得分为所有评委评分的算术平均值。</w:t>
      </w:r>
    </w:p>
    <w:p>
      <w:pPr>
        <w:spacing w:line="540" w:lineRule="exact"/>
        <w:ind w:firstLine="475" w:firstLineChars="198"/>
        <w:rPr>
          <w:rFonts w:ascii="宋体" w:hAnsi="宋体"/>
          <w:sz w:val="24"/>
        </w:rPr>
      </w:pPr>
      <w:r>
        <w:rPr>
          <w:rFonts w:ascii="宋体" w:hAnsi="宋体"/>
          <w:sz w:val="24"/>
        </w:rPr>
        <w:t>1.2</w:t>
      </w:r>
      <w:r>
        <w:rPr>
          <w:rFonts w:hint="eastAsia" w:ascii="宋体" w:hAnsi="宋体"/>
          <w:sz w:val="24"/>
        </w:rPr>
        <w:t>评标委员会按各供应商最终得分由高到低顺序排列。得分相同的，按投标报价由低到高顺序排列。得分且投标报价相同的，按技术指标优劣顺序排列，按招标文件规定的中标候选人家数推荐中标候选人。</w:t>
      </w:r>
    </w:p>
    <w:p>
      <w:pPr>
        <w:spacing w:line="540" w:lineRule="exact"/>
        <w:ind w:firstLine="475" w:firstLineChars="198"/>
        <w:rPr>
          <w:rFonts w:ascii="宋体" w:hAnsi="宋体"/>
          <w:sz w:val="24"/>
        </w:rPr>
      </w:pPr>
      <w:r>
        <w:rPr>
          <w:rFonts w:ascii="宋体" w:hAnsi="宋体"/>
          <w:sz w:val="24"/>
        </w:rPr>
        <w:t>1.3</w:t>
      </w:r>
      <w:r>
        <w:rPr>
          <w:rFonts w:hint="eastAsia" w:ascii="宋体" w:hAnsi="宋体"/>
          <w:sz w:val="24"/>
        </w:rPr>
        <w:t>将确定排名第一的中标候选人为中标人。第一中标候选人如放弃中标或因故被取消中标资格，可以依法选择排名第二的中标候选人为中标人或重新组织采购，以此类推。</w:t>
      </w:r>
    </w:p>
    <w:p>
      <w:pPr>
        <w:pStyle w:val="2"/>
        <w:rPr>
          <w:rFonts w:ascii="宋体" w:hAnsi="宋体"/>
        </w:rPr>
      </w:pPr>
    </w:p>
    <w:p>
      <w:pPr>
        <w:pStyle w:val="2"/>
        <w:rPr>
          <w:rFonts w:ascii="宋体" w:hAnsi="宋体"/>
          <w:b/>
        </w:rPr>
      </w:pPr>
      <w:r>
        <w:rPr>
          <w:rFonts w:hint="eastAsia" w:ascii="宋体" w:hAnsi="宋体"/>
          <w:b/>
        </w:rPr>
        <w:t>二、评分细则</w:t>
      </w:r>
    </w:p>
    <w:tbl>
      <w:tblPr>
        <w:tblStyle w:val="73"/>
        <w:tblW w:w="9698" w:type="dxa"/>
        <w:tblInd w:w="-7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20"/>
        <w:gridCol w:w="878"/>
        <w:gridCol w:w="1980"/>
        <w:gridCol w:w="612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trPr>
        <w:tc>
          <w:tcPr>
            <w:tcW w:w="720" w:type="dxa"/>
            <w:vAlign w:val="center"/>
          </w:tcPr>
          <w:p>
            <w:pPr>
              <w:widowControl/>
              <w:spacing w:beforeLines="50" w:line="360" w:lineRule="auto"/>
              <w:jc w:val="center"/>
              <w:rPr>
                <w:rFonts w:ascii="宋体" w:hAnsi="宋体"/>
                <w:kern w:val="0"/>
                <w:sz w:val="24"/>
              </w:rPr>
            </w:pPr>
            <w:r>
              <w:rPr>
                <w:rFonts w:ascii="宋体" w:hAnsi="宋体"/>
                <w:kern w:val="0"/>
                <w:sz w:val="24"/>
              </w:rPr>
              <w:t>内容</w:t>
            </w:r>
          </w:p>
        </w:tc>
        <w:tc>
          <w:tcPr>
            <w:tcW w:w="878" w:type="dxa"/>
            <w:vAlign w:val="center"/>
          </w:tcPr>
          <w:p>
            <w:pPr>
              <w:widowControl/>
              <w:spacing w:beforeLines="50" w:line="360" w:lineRule="auto"/>
              <w:jc w:val="center"/>
              <w:rPr>
                <w:rFonts w:ascii="宋体" w:hAnsi="宋体"/>
                <w:kern w:val="0"/>
                <w:sz w:val="24"/>
              </w:rPr>
            </w:pPr>
            <w:r>
              <w:rPr>
                <w:rFonts w:ascii="宋体" w:hAnsi="宋体"/>
                <w:kern w:val="0"/>
                <w:sz w:val="24"/>
              </w:rPr>
              <w:t>分值</w:t>
            </w:r>
          </w:p>
        </w:tc>
        <w:tc>
          <w:tcPr>
            <w:tcW w:w="1980" w:type="dxa"/>
            <w:vAlign w:val="center"/>
          </w:tcPr>
          <w:p>
            <w:pPr>
              <w:widowControl/>
              <w:spacing w:beforeLines="50" w:line="360" w:lineRule="auto"/>
              <w:jc w:val="center"/>
              <w:rPr>
                <w:rFonts w:ascii="宋体" w:hAnsi="宋体"/>
                <w:kern w:val="0"/>
                <w:sz w:val="24"/>
              </w:rPr>
            </w:pPr>
            <w:r>
              <w:rPr>
                <w:rFonts w:ascii="宋体" w:hAnsi="宋体"/>
                <w:kern w:val="0"/>
                <w:sz w:val="24"/>
              </w:rPr>
              <w:t>评分因素分项</w:t>
            </w:r>
          </w:p>
        </w:tc>
        <w:tc>
          <w:tcPr>
            <w:tcW w:w="6120" w:type="dxa"/>
            <w:vAlign w:val="center"/>
          </w:tcPr>
          <w:p>
            <w:pPr>
              <w:widowControl/>
              <w:spacing w:beforeLines="50" w:line="360" w:lineRule="auto"/>
              <w:jc w:val="center"/>
              <w:rPr>
                <w:rFonts w:ascii="宋体" w:hAnsi="宋体"/>
                <w:kern w:val="0"/>
                <w:sz w:val="24"/>
              </w:rPr>
            </w:pPr>
            <w:r>
              <w:rPr>
                <w:rFonts w:ascii="宋体" w:hAnsi="宋体"/>
                <w:kern w:val="0"/>
                <w:sz w:val="24"/>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1" w:hRule="atLeast"/>
        </w:trPr>
        <w:tc>
          <w:tcPr>
            <w:tcW w:w="720" w:type="dxa"/>
            <w:vAlign w:val="center"/>
          </w:tcPr>
          <w:p>
            <w:pPr>
              <w:widowControl/>
              <w:spacing w:beforeLines="50" w:line="360" w:lineRule="auto"/>
              <w:rPr>
                <w:rFonts w:ascii="宋体" w:hAnsi="宋体"/>
                <w:kern w:val="0"/>
                <w:sz w:val="24"/>
              </w:rPr>
            </w:pPr>
            <w:r>
              <w:rPr>
                <w:rFonts w:ascii="宋体" w:hAnsi="宋体"/>
                <w:kern w:val="0"/>
                <w:sz w:val="24"/>
              </w:rPr>
              <w:t>价格部分</w:t>
            </w:r>
          </w:p>
        </w:tc>
        <w:tc>
          <w:tcPr>
            <w:tcW w:w="878" w:type="dxa"/>
            <w:vAlign w:val="center"/>
          </w:tcPr>
          <w:p>
            <w:pPr>
              <w:widowControl/>
              <w:spacing w:beforeLines="50" w:line="360" w:lineRule="auto"/>
              <w:jc w:val="center"/>
              <w:rPr>
                <w:rFonts w:ascii="宋体" w:hAnsi="宋体"/>
                <w:color w:val="FF0000"/>
                <w:kern w:val="0"/>
                <w:sz w:val="24"/>
              </w:rPr>
            </w:pPr>
            <w:r>
              <w:rPr>
                <w:rFonts w:hint="eastAsia" w:ascii="宋体" w:hAnsi="宋体"/>
                <w:color w:val="000000"/>
                <w:kern w:val="0"/>
                <w:sz w:val="24"/>
              </w:rPr>
              <w:t>30分</w:t>
            </w:r>
          </w:p>
        </w:tc>
        <w:tc>
          <w:tcPr>
            <w:tcW w:w="1980" w:type="dxa"/>
            <w:vAlign w:val="center"/>
          </w:tcPr>
          <w:p>
            <w:pPr>
              <w:widowControl/>
              <w:spacing w:beforeLines="50" w:line="360" w:lineRule="auto"/>
              <w:rPr>
                <w:rFonts w:ascii="宋体" w:hAnsi="宋体"/>
                <w:kern w:val="0"/>
                <w:sz w:val="24"/>
              </w:rPr>
            </w:pPr>
            <w:r>
              <w:rPr>
                <w:rFonts w:ascii="宋体" w:hAnsi="宋体"/>
                <w:kern w:val="0"/>
                <w:sz w:val="24"/>
              </w:rPr>
              <w:t>评标价格</w:t>
            </w:r>
          </w:p>
        </w:tc>
        <w:tc>
          <w:tcPr>
            <w:tcW w:w="6120" w:type="dxa"/>
            <w:vAlign w:val="center"/>
          </w:tcPr>
          <w:p>
            <w:pPr>
              <w:widowControl/>
              <w:spacing w:beforeLines="50" w:line="360" w:lineRule="auto"/>
              <w:rPr>
                <w:rFonts w:ascii="宋体" w:hAnsi="宋体"/>
                <w:kern w:val="0"/>
                <w:sz w:val="24"/>
              </w:rPr>
            </w:pPr>
            <w:r>
              <w:rPr>
                <w:rFonts w:ascii="宋体" w:hAnsi="宋体"/>
                <w:kern w:val="0"/>
                <w:sz w:val="24"/>
              </w:rPr>
              <w:t>评标价格分数=（评标基准价/投标报价）×价格权重（30%）×100备注：实质性响应招标文件要求且价格最低的投标报价为评标基准价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96" w:hRule="atLeast"/>
        </w:trPr>
        <w:tc>
          <w:tcPr>
            <w:tcW w:w="720" w:type="dxa"/>
            <w:vMerge w:val="restart"/>
            <w:vAlign w:val="center"/>
          </w:tcPr>
          <w:p>
            <w:pPr>
              <w:widowControl/>
              <w:spacing w:beforeLines="50" w:line="360" w:lineRule="auto"/>
              <w:jc w:val="center"/>
              <w:rPr>
                <w:rFonts w:ascii="宋体" w:hAnsi="宋体"/>
                <w:kern w:val="0"/>
                <w:sz w:val="24"/>
              </w:rPr>
            </w:pPr>
            <w:r>
              <w:rPr>
                <w:rFonts w:ascii="宋体" w:hAnsi="宋体"/>
                <w:kern w:val="0"/>
                <w:sz w:val="24"/>
              </w:rPr>
              <w:t>商务部分</w:t>
            </w:r>
          </w:p>
        </w:tc>
        <w:tc>
          <w:tcPr>
            <w:tcW w:w="878" w:type="dxa"/>
            <w:vMerge w:val="restart"/>
            <w:vAlign w:val="center"/>
          </w:tcPr>
          <w:p>
            <w:pPr>
              <w:widowControl/>
              <w:spacing w:beforeLines="50" w:line="360" w:lineRule="auto"/>
              <w:jc w:val="center"/>
              <w:rPr>
                <w:rFonts w:ascii="宋体" w:hAnsi="宋体"/>
                <w:color w:val="FF0000"/>
                <w:kern w:val="0"/>
                <w:sz w:val="24"/>
              </w:rPr>
            </w:pPr>
            <w:r>
              <w:rPr>
                <w:rFonts w:hint="eastAsia" w:ascii="宋体" w:hAnsi="宋体"/>
                <w:color w:val="000000"/>
                <w:kern w:val="0"/>
                <w:sz w:val="24"/>
              </w:rPr>
              <w:t>10分</w:t>
            </w:r>
          </w:p>
        </w:tc>
        <w:tc>
          <w:tcPr>
            <w:tcW w:w="1980" w:type="dxa"/>
            <w:vAlign w:val="center"/>
          </w:tcPr>
          <w:p>
            <w:pPr>
              <w:widowControl/>
              <w:spacing w:beforeLines="50"/>
              <w:rPr>
                <w:rFonts w:ascii="宋体" w:hAnsi="宋体"/>
                <w:kern w:val="0"/>
                <w:sz w:val="24"/>
                <w:highlight w:val="yellow"/>
              </w:rPr>
            </w:pPr>
            <w:r>
              <w:rPr>
                <w:rFonts w:hint="eastAsia" w:ascii="宋体" w:hAnsi="宋体"/>
                <w:kern w:val="0"/>
                <w:sz w:val="24"/>
              </w:rPr>
              <w:t>供应商</w:t>
            </w:r>
            <w:r>
              <w:rPr>
                <w:rFonts w:ascii="宋体" w:hAnsi="宋体"/>
                <w:kern w:val="0"/>
                <w:sz w:val="24"/>
              </w:rPr>
              <w:t>近</w:t>
            </w:r>
            <w:r>
              <w:rPr>
                <w:rFonts w:hint="eastAsia" w:ascii="宋体" w:hAnsi="宋体"/>
                <w:color w:val="000000"/>
                <w:kern w:val="0"/>
                <w:sz w:val="24"/>
              </w:rPr>
              <w:t>三</w:t>
            </w:r>
            <w:r>
              <w:rPr>
                <w:rFonts w:ascii="宋体" w:hAnsi="宋体"/>
                <w:kern w:val="0"/>
                <w:sz w:val="24"/>
              </w:rPr>
              <w:t>年</w:t>
            </w:r>
            <w:r>
              <w:rPr>
                <w:rFonts w:hint="eastAsia" w:ascii="宋体" w:hAnsi="宋体"/>
                <w:kern w:val="0"/>
                <w:sz w:val="24"/>
              </w:rPr>
              <w:t>完成</w:t>
            </w:r>
            <w:r>
              <w:rPr>
                <w:rFonts w:hint="eastAsia" w:ascii="宋体" w:hAnsi="宋体"/>
                <w:color w:val="000000"/>
                <w:kern w:val="0"/>
                <w:sz w:val="24"/>
              </w:rPr>
              <w:t>的</w:t>
            </w:r>
            <w:r>
              <w:rPr>
                <w:rFonts w:ascii="宋体" w:hAnsi="宋体"/>
                <w:kern w:val="0"/>
                <w:sz w:val="24"/>
              </w:rPr>
              <w:t>业绩（</w:t>
            </w:r>
            <w:r>
              <w:rPr>
                <w:rFonts w:hint="eastAsia" w:ascii="宋体" w:hAnsi="宋体"/>
                <w:color w:val="000000"/>
                <w:kern w:val="0"/>
                <w:sz w:val="24"/>
              </w:rPr>
              <w:t>5</w:t>
            </w:r>
            <w:r>
              <w:rPr>
                <w:rFonts w:ascii="宋体" w:hAnsi="宋体"/>
                <w:kern w:val="0"/>
                <w:sz w:val="24"/>
              </w:rPr>
              <w:t>分）</w:t>
            </w:r>
          </w:p>
        </w:tc>
        <w:tc>
          <w:tcPr>
            <w:tcW w:w="6120" w:type="dxa"/>
            <w:vAlign w:val="center"/>
          </w:tcPr>
          <w:p>
            <w:pPr>
              <w:widowControl/>
              <w:spacing w:beforeLines="50"/>
              <w:rPr>
                <w:rFonts w:ascii="宋体" w:hAnsi="宋体"/>
                <w:kern w:val="0"/>
                <w:sz w:val="24"/>
              </w:rPr>
            </w:pPr>
            <w:r>
              <w:rPr>
                <w:rFonts w:ascii="宋体" w:hAnsi="宋体"/>
                <w:kern w:val="0"/>
                <w:sz w:val="24"/>
              </w:rPr>
              <w:t>根据</w:t>
            </w:r>
            <w:r>
              <w:rPr>
                <w:rFonts w:hint="eastAsia" w:ascii="宋体" w:hAnsi="宋体"/>
                <w:kern w:val="0"/>
                <w:sz w:val="24"/>
              </w:rPr>
              <w:t>供应商所投产品</w:t>
            </w:r>
            <w:r>
              <w:rPr>
                <w:rFonts w:ascii="宋体" w:hAnsi="宋体"/>
                <w:kern w:val="0"/>
                <w:sz w:val="24"/>
              </w:rPr>
              <w:t>近</w:t>
            </w:r>
            <w:r>
              <w:rPr>
                <w:rFonts w:hint="eastAsia" w:ascii="宋体" w:hAnsi="宋体"/>
                <w:kern w:val="0"/>
                <w:sz w:val="24"/>
              </w:rPr>
              <w:t>三</w:t>
            </w:r>
            <w:r>
              <w:rPr>
                <w:rFonts w:ascii="宋体" w:hAnsi="宋体"/>
                <w:kern w:val="0"/>
                <w:sz w:val="24"/>
              </w:rPr>
              <w:t>年（</w:t>
            </w:r>
            <w:r>
              <w:rPr>
                <w:rFonts w:hint="eastAsia" w:ascii="宋体" w:hAnsi="宋体"/>
                <w:kern w:val="0"/>
                <w:sz w:val="24"/>
              </w:rPr>
              <w:t>2016年1月至投标截止期，合同签字日期为准</w:t>
            </w:r>
            <w:r>
              <w:rPr>
                <w:rFonts w:ascii="宋体" w:hAnsi="宋体"/>
                <w:kern w:val="0"/>
                <w:sz w:val="24"/>
              </w:rPr>
              <w:t>）</w:t>
            </w:r>
            <w:r>
              <w:rPr>
                <w:rFonts w:hint="eastAsia" w:ascii="宋体" w:hAnsi="宋体"/>
                <w:kern w:val="0"/>
                <w:sz w:val="24"/>
              </w:rPr>
              <w:t>完成类似项目的业绩</w:t>
            </w:r>
            <w:r>
              <w:rPr>
                <w:rFonts w:ascii="宋体" w:hAnsi="宋体"/>
                <w:kern w:val="0"/>
                <w:sz w:val="24"/>
              </w:rPr>
              <w:t>，</w:t>
            </w:r>
            <w:r>
              <w:rPr>
                <w:rFonts w:hint="eastAsia" w:ascii="宋体" w:hAnsi="宋体"/>
                <w:kern w:val="0"/>
                <w:sz w:val="24"/>
              </w:rPr>
              <w:t>每</w:t>
            </w:r>
            <w:r>
              <w:rPr>
                <w:rFonts w:ascii="宋体" w:hAnsi="宋体"/>
                <w:kern w:val="0"/>
                <w:sz w:val="24"/>
              </w:rPr>
              <w:t>有1项业绩得</w:t>
            </w:r>
            <w:r>
              <w:rPr>
                <w:rFonts w:hint="eastAsia" w:ascii="宋体" w:hAnsi="宋体"/>
                <w:kern w:val="0"/>
                <w:sz w:val="24"/>
              </w:rPr>
              <w:t>2.5</w:t>
            </w:r>
            <w:r>
              <w:rPr>
                <w:rFonts w:ascii="宋体" w:hAnsi="宋体"/>
                <w:kern w:val="0"/>
                <w:sz w:val="24"/>
              </w:rPr>
              <w:t>分，最高</w:t>
            </w:r>
            <w:r>
              <w:rPr>
                <w:rFonts w:hint="eastAsia" w:ascii="宋体" w:hAnsi="宋体"/>
                <w:kern w:val="0"/>
                <w:sz w:val="24"/>
              </w:rPr>
              <w:t>得5</w:t>
            </w:r>
            <w:r>
              <w:rPr>
                <w:rFonts w:ascii="宋体" w:hAnsi="宋体"/>
                <w:kern w:val="0"/>
                <w:sz w:val="24"/>
              </w:rPr>
              <w:t>分。</w:t>
            </w:r>
          </w:p>
          <w:p>
            <w:pPr>
              <w:widowControl/>
              <w:spacing w:beforeLines="50"/>
              <w:rPr>
                <w:rFonts w:hint="eastAsia" w:ascii="宋体" w:hAnsi="宋体"/>
                <w:sz w:val="24"/>
              </w:rPr>
            </w:pPr>
            <w:r>
              <w:rPr>
                <w:rFonts w:hint="eastAsia" w:ascii="宋体" w:hAnsi="宋体"/>
                <w:sz w:val="24"/>
              </w:rPr>
              <w:t>注：1、供应商需提供采购合同（含首页、 签字页）复印件，否则业绩不予认可。</w:t>
            </w:r>
          </w:p>
          <w:p>
            <w:pPr>
              <w:widowControl/>
              <w:spacing w:beforeLines="50"/>
              <w:rPr>
                <w:rFonts w:ascii="宋体" w:hAnsi="宋体"/>
                <w:kern w:val="0"/>
                <w:sz w:val="24"/>
                <w:highlight w:val="yellow"/>
              </w:rPr>
            </w:pPr>
            <w:r>
              <w:rPr>
                <w:rFonts w:hint="eastAsia" w:ascii="宋体" w:hAnsi="宋体"/>
                <w:sz w:val="24"/>
              </w:rPr>
              <w:t>2、备注：业绩合同复印件做在投标文件中加盖公章才可计分，否则，不得分。原件备查）。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5" w:hRule="atLeast"/>
        </w:trPr>
        <w:tc>
          <w:tcPr>
            <w:tcW w:w="720" w:type="dxa"/>
            <w:vMerge w:val="continue"/>
            <w:vAlign w:val="center"/>
          </w:tcPr>
          <w:p>
            <w:pPr>
              <w:widowControl/>
              <w:spacing w:beforeLines="50" w:line="360" w:lineRule="auto"/>
              <w:jc w:val="center"/>
              <w:rPr>
                <w:rFonts w:ascii="宋体" w:hAnsi="宋体"/>
                <w:kern w:val="0"/>
                <w:sz w:val="24"/>
              </w:rPr>
            </w:pPr>
          </w:p>
        </w:tc>
        <w:tc>
          <w:tcPr>
            <w:tcW w:w="878" w:type="dxa"/>
            <w:vMerge w:val="continue"/>
            <w:vAlign w:val="center"/>
          </w:tcPr>
          <w:p>
            <w:pPr>
              <w:widowControl/>
              <w:spacing w:beforeLines="50" w:line="360" w:lineRule="auto"/>
              <w:jc w:val="center"/>
              <w:rPr>
                <w:rFonts w:ascii="宋体" w:hAnsi="宋体"/>
                <w:kern w:val="0"/>
                <w:sz w:val="24"/>
              </w:rPr>
            </w:pPr>
          </w:p>
        </w:tc>
        <w:tc>
          <w:tcPr>
            <w:tcW w:w="1980" w:type="dxa"/>
            <w:vAlign w:val="center"/>
          </w:tcPr>
          <w:p>
            <w:pPr>
              <w:widowControl/>
              <w:spacing w:before="50"/>
              <w:rPr>
                <w:rFonts w:ascii="宋体" w:hAnsi="宋体"/>
                <w:kern w:val="0"/>
                <w:sz w:val="24"/>
              </w:rPr>
            </w:pPr>
            <w:r>
              <w:rPr>
                <w:rFonts w:ascii="宋体" w:hAnsi="宋体"/>
                <w:kern w:val="0"/>
                <w:sz w:val="24"/>
              </w:rPr>
              <w:t>“节能产品政府采购清单”和“环境标志产品政府采购清单” （</w:t>
            </w:r>
            <w:r>
              <w:rPr>
                <w:rFonts w:hint="eastAsia" w:ascii="宋体" w:hAnsi="宋体"/>
                <w:color w:val="000000"/>
                <w:kern w:val="0"/>
                <w:sz w:val="24"/>
              </w:rPr>
              <w:t>5</w:t>
            </w:r>
            <w:r>
              <w:rPr>
                <w:rFonts w:ascii="宋体" w:hAnsi="宋体"/>
                <w:kern w:val="0"/>
                <w:sz w:val="24"/>
              </w:rPr>
              <w:t>分）</w:t>
            </w:r>
          </w:p>
        </w:tc>
        <w:tc>
          <w:tcPr>
            <w:tcW w:w="6120" w:type="dxa"/>
            <w:vAlign w:val="center"/>
          </w:tcPr>
          <w:p>
            <w:pPr>
              <w:widowControl/>
              <w:spacing w:before="50"/>
              <w:rPr>
                <w:rFonts w:ascii="宋体" w:hAnsi="宋体"/>
                <w:kern w:val="0"/>
                <w:sz w:val="24"/>
              </w:rPr>
            </w:pPr>
            <w:r>
              <w:rPr>
                <w:rFonts w:hint="eastAsia" w:ascii="宋体" w:hAnsi="宋体"/>
                <w:kern w:val="0"/>
                <w:sz w:val="24"/>
              </w:rPr>
              <w:t>政府采购的强制产品除外：</w:t>
            </w:r>
          </w:p>
          <w:p>
            <w:pPr>
              <w:widowControl/>
              <w:spacing w:before="50"/>
              <w:rPr>
                <w:rFonts w:ascii="宋体" w:hAnsi="宋体"/>
                <w:kern w:val="0"/>
                <w:sz w:val="24"/>
              </w:rPr>
            </w:pPr>
            <w:r>
              <w:rPr>
                <w:rFonts w:ascii="宋体" w:hAnsi="宋体"/>
                <w:kern w:val="0"/>
                <w:sz w:val="24"/>
              </w:rPr>
              <w:t>投标产品属于“节能产品政府采购清单”产品的，且认证证书在有效截止日期内，得</w:t>
            </w:r>
            <w:r>
              <w:rPr>
                <w:rFonts w:hint="eastAsia" w:ascii="宋体" w:hAnsi="宋体"/>
                <w:color w:val="000000"/>
                <w:kern w:val="0"/>
                <w:sz w:val="24"/>
              </w:rPr>
              <w:t>2.5</w:t>
            </w:r>
            <w:r>
              <w:rPr>
                <w:rFonts w:ascii="宋体" w:hAnsi="宋体"/>
                <w:kern w:val="0"/>
                <w:sz w:val="24"/>
              </w:rPr>
              <w:t>分；不是的为</w:t>
            </w:r>
            <w:r>
              <w:rPr>
                <w:rFonts w:hint="eastAsia" w:ascii="宋体" w:hAnsi="宋体"/>
                <w:color w:val="000000"/>
                <w:kern w:val="0"/>
                <w:sz w:val="24"/>
              </w:rPr>
              <w:t>0</w:t>
            </w:r>
            <w:r>
              <w:rPr>
                <w:rFonts w:ascii="宋体" w:hAnsi="宋体"/>
                <w:kern w:val="0"/>
                <w:sz w:val="24"/>
              </w:rPr>
              <w:t>分；</w:t>
            </w:r>
          </w:p>
          <w:p>
            <w:pPr>
              <w:widowControl/>
              <w:spacing w:before="50"/>
              <w:rPr>
                <w:rFonts w:ascii="宋体" w:hAnsi="宋体"/>
                <w:kern w:val="0"/>
                <w:sz w:val="24"/>
              </w:rPr>
            </w:pPr>
            <w:r>
              <w:rPr>
                <w:rFonts w:ascii="宋体" w:hAnsi="宋体"/>
                <w:kern w:val="0"/>
                <w:sz w:val="24"/>
              </w:rPr>
              <w:t>投标产品属于“环境标志产品政府采购清单”产品的，且认证证书在有效截止日期内，得</w:t>
            </w:r>
            <w:r>
              <w:rPr>
                <w:rFonts w:hint="eastAsia" w:ascii="宋体" w:hAnsi="宋体"/>
                <w:color w:val="000000"/>
                <w:kern w:val="0"/>
                <w:sz w:val="24"/>
              </w:rPr>
              <w:t>2.5</w:t>
            </w:r>
            <w:r>
              <w:rPr>
                <w:rFonts w:ascii="宋体" w:hAnsi="宋体"/>
                <w:kern w:val="0"/>
                <w:sz w:val="24"/>
              </w:rPr>
              <w:t>分；不是的为</w:t>
            </w:r>
            <w:r>
              <w:rPr>
                <w:rFonts w:hint="eastAsia" w:ascii="宋体" w:hAnsi="宋体"/>
                <w:color w:val="000000"/>
                <w:kern w:val="0"/>
                <w:sz w:val="24"/>
              </w:rPr>
              <w:t>0</w:t>
            </w:r>
            <w:r>
              <w:rPr>
                <w:rFonts w:ascii="宋体" w:hAnsi="宋体"/>
                <w:kern w:val="0"/>
                <w:sz w:val="24"/>
              </w:rPr>
              <w:t>分</w:t>
            </w:r>
          </w:p>
          <w:p>
            <w:pPr>
              <w:widowControl/>
              <w:spacing w:before="50"/>
              <w:rPr>
                <w:rFonts w:ascii="宋体" w:hAnsi="宋体"/>
                <w:kern w:val="0"/>
                <w:sz w:val="24"/>
              </w:rPr>
            </w:pPr>
            <w:r>
              <w:rPr>
                <w:rFonts w:hint="eastAsia" w:ascii="宋体" w:hAnsi="宋体"/>
                <w:kern w:val="0"/>
                <w:sz w:val="24"/>
              </w:rPr>
              <w:t>注：供应商需要提供相关证明材料，否则不予认可。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74" w:hRule="atLeast"/>
        </w:trPr>
        <w:tc>
          <w:tcPr>
            <w:tcW w:w="720" w:type="dxa"/>
            <w:vMerge w:val="restart"/>
            <w:vAlign w:val="center"/>
          </w:tcPr>
          <w:p>
            <w:pPr>
              <w:widowControl/>
              <w:spacing w:beforeLines="50" w:line="360" w:lineRule="auto"/>
              <w:jc w:val="center"/>
              <w:rPr>
                <w:rFonts w:ascii="宋体" w:hAnsi="宋体"/>
                <w:kern w:val="0"/>
                <w:sz w:val="24"/>
              </w:rPr>
            </w:pPr>
            <w:r>
              <w:rPr>
                <w:rFonts w:ascii="宋体" w:hAnsi="宋体"/>
                <w:kern w:val="0"/>
                <w:sz w:val="24"/>
              </w:rPr>
              <w:t>技术部分</w:t>
            </w:r>
          </w:p>
        </w:tc>
        <w:tc>
          <w:tcPr>
            <w:tcW w:w="878" w:type="dxa"/>
            <w:vMerge w:val="restart"/>
            <w:vAlign w:val="center"/>
          </w:tcPr>
          <w:p>
            <w:pPr>
              <w:widowControl/>
              <w:spacing w:beforeLines="50" w:line="360" w:lineRule="auto"/>
              <w:jc w:val="center"/>
              <w:rPr>
                <w:rFonts w:ascii="宋体" w:hAnsi="宋体"/>
                <w:kern w:val="0"/>
                <w:sz w:val="24"/>
              </w:rPr>
            </w:pPr>
            <w:r>
              <w:rPr>
                <w:rFonts w:hint="eastAsia" w:ascii="宋体" w:hAnsi="宋体"/>
                <w:kern w:val="0"/>
                <w:sz w:val="24"/>
              </w:rPr>
              <w:t>60分</w:t>
            </w:r>
          </w:p>
        </w:tc>
        <w:tc>
          <w:tcPr>
            <w:tcW w:w="1980" w:type="dxa"/>
            <w:vAlign w:val="center"/>
          </w:tcPr>
          <w:p>
            <w:pPr>
              <w:widowControl/>
              <w:spacing w:beforeLines="50"/>
              <w:jc w:val="center"/>
              <w:rPr>
                <w:rFonts w:hint="eastAsia" w:ascii="宋体" w:hAnsi="宋体"/>
                <w:sz w:val="24"/>
              </w:rPr>
            </w:pPr>
            <w:r>
              <w:rPr>
                <w:rFonts w:ascii="宋体" w:hAnsi="宋体"/>
                <w:kern w:val="0"/>
                <w:sz w:val="24"/>
              </w:rPr>
              <w:t>对招标文件技术规格要求的响应程度</w:t>
            </w:r>
            <w:r>
              <w:rPr>
                <w:rFonts w:hint="eastAsia" w:ascii="宋体" w:hAnsi="宋体"/>
                <w:sz w:val="24"/>
              </w:rPr>
              <w:t>的评价</w:t>
            </w:r>
          </w:p>
          <w:p>
            <w:pPr>
              <w:widowControl/>
              <w:spacing w:beforeLines="50"/>
              <w:jc w:val="center"/>
              <w:rPr>
                <w:rFonts w:ascii="宋体" w:hAnsi="宋体"/>
                <w:b/>
                <w:kern w:val="0"/>
                <w:sz w:val="24"/>
              </w:rPr>
            </w:pPr>
            <w:r>
              <w:rPr>
                <w:rFonts w:ascii="宋体" w:hAnsi="宋体"/>
                <w:kern w:val="0"/>
                <w:sz w:val="24"/>
              </w:rPr>
              <w:t>（</w:t>
            </w:r>
            <w:r>
              <w:rPr>
                <w:rFonts w:hint="eastAsia" w:ascii="宋体" w:hAnsi="宋体"/>
                <w:color w:val="000000"/>
                <w:kern w:val="0"/>
                <w:sz w:val="24"/>
              </w:rPr>
              <w:t>40</w:t>
            </w:r>
            <w:r>
              <w:rPr>
                <w:rFonts w:ascii="宋体" w:hAnsi="宋体"/>
                <w:kern w:val="0"/>
                <w:sz w:val="24"/>
              </w:rPr>
              <w:t>分）</w:t>
            </w:r>
          </w:p>
        </w:tc>
        <w:tc>
          <w:tcPr>
            <w:tcW w:w="6120" w:type="dxa"/>
            <w:vAlign w:val="center"/>
          </w:tcPr>
          <w:p>
            <w:pPr>
              <w:pStyle w:val="2"/>
              <w:rPr>
                <w:rFonts w:hint="eastAsia"/>
                <w:szCs w:val="24"/>
                <w:lang w:val="en-US" w:eastAsia="zh-CN"/>
              </w:rPr>
            </w:pPr>
            <w:r>
              <w:rPr>
                <w:rFonts w:hint="eastAsia"/>
                <w:szCs w:val="24"/>
                <w:lang w:val="en-US" w:eastAsia="zh-CN"/>
              </w:rPr>
              <w:t>（1）全部满足技术参数中标</w:t>
            </w:r>
            <w:r>
              <w:rPr>
                <w:rFonts w:hint="eastAsia" w:ascii="宋体" w:hAnsi="宋体"/>
                <w:lang w:val="en-US" w:eastAsia="zh-CN"/>
              </w:rPr>
              <w:t>*条款</w:t>
            </w:r>
            <w:r>
              <w:rPr>
                <w:szCs w:val="24"/>
                <w:lang w:val="en-US" w:eastAsia="zh-CN"/>
              </w:rPr>
              <w:t>得</w:t>
            </w:r>
            <w:r>
              <w:rPr>
                <w:rFonts w:hint="eastAsia"/>
                <w:szCs w:val="24"/>
                <w:lang w:val="en-US" w:eastAsia="zh-CN"/>
              </w:rPr>
              <w:t>15</w:t>
            </w:r>
            <w:r>
              <w:rPr>
                <w:szCs w:val="24"/>
                <w:lang w:val="en-US" w:eastAsia="zh-CN"/>
              </w:rPr>
              <w:t>分</w:t>
            </w:r>
            <w:r>
              <w:rPr>
                <w:rFonts w:hint="eastAsia"/>
                <w:szCs w:val="24"/>
                <w:lang w:val="en-US" w:eastAsia="zh-CN"/>
              </w:rPr>
              <w:t>，有一项负偏离得8分；</w:t>
            </w:r>
          </w:p>
          <w:p>
            <w:pPr>
              <w:pStyle w:val="2"/>
              <w:tabs>
                <w:tab w:val="left" w:pos="360"/>
              </w:tabs>
              <w:rPr>
                <w:rFonts w:hint="eastAsia" w:ascii="宋体" w:hAnsi="宋体"/>
                <w:szCs w:val="24"/>
                <w:lang w:val="en-US" w:eastAsia="zh-CN"/>
              </w:rPr>
            </w:pPr>
            <w:r>
              <w:rPr>
                <w:rFonts w:hint="eastAsia"/>
                <w:szCs w:val="24"/>
                <w:lang w:val="en-US" w:eastAsia="zh-CN"/>
              </w:rPr>
              <w:t>（2）全部满足普通条款（非*条款）的得25分，负偏离＜3条的得17分，负偏离在3-5条的得15分，负偏离＞5条的得10分；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53" w:hRule="atLeast"/>
        </w:trPr>
        <w:tc>
          <w:tcPr>
            <w:tcW w:w="720" w:type="dxa"/>
            <w:vMerge w:val="continue"/>
            <w:vAlign w:val="center"/>
          </w:tcPr>
          <w:p>
            <w:pPr>
              <w:widowControl/>
              <w:spacing w:beforeLines="50" w:line="360" w:lineRule="auto"/>
              <w:jc w:val="center"/>
              <w:rPr>
                <w:rFonts w:ascii="宋体" w:hAnsi="宋体"/>
                <w:kern w:val="0"/>
                <w:sz w:val="24"/>
              </w:rPr>
            </w:pPr>
          </w:p>
        </w:tc>
        <w:tc>
          <w:tcPr>
            <w:tcW w:w="878" w:type="dxa"/>
            <w:vMerge w:val="continue"/>
            <w:vAlign w:val="center"/>
          </w:tcPr>
          <w:p>
            <w:pPr>
              <w:widowControl/>
              <w:spacing w:beforeLines="50" w:line="360" w:lineRule="auto"/>
              <w:jc w:val="center"/>
              <w:rPr>
                <w:rFonts w:ascii="宋体" w:hAnsi="宋体"/>
                <w:kern w:val="0"/>
                <w:sz w:val="24"/>
              </w:rPr>
            </w:pPr>
          </w:p>
        </w:tc>
        <w:tc>
          <w:tcPr>
            <w:tcW w:w="1980" w:type="dxa"/>
            <w:vAlign w:val="center"/>
          </w:tcPr>
          <w:p>
            <w:pPr>
              <w:widowControl/>
              <w:spacing w:beforeLines="50" w:line="360" w:lineRule="auto"/>
              <w:rPr>
                <w:rFonts w:ascii="宋体" w:hAnsi="宋体"/>
                <w:kern w:val="0"/>
                <w:sz w:val="24"/>
              </w:rPr>
            </w:pPr>
            <w:r>
              <w:rPr>
                <w:rFonts w:hint="eastAsia" w:ascii="宋体" w:hAnsi="宋体"/>
                <w:kern w:val="0"/>
                <w:sz w:val="24"/>
              </w:rPr>
              <w:t>设备性能整体</w:t>
            </w:r>
            <w:r>
              <w:rPr>
                <w:rFonts w:hint="eastAsia" w:ascii="宋体" w:hAnsi="宋体"/>
                <w:sz w:val="24"/>
              </w:rPr>
              <w:t>评价</w:t>
            </w:r>
            <w:r>
              <w:rPr>
                <w:rFonts w:hint="eastAsia" w:ascii="宋体" w:hAnsi="宋体"/>
                <w:kern w:val="0"/>
                <w:sz w:val="24"/>
              </w:rPr>
              <w:t>（5分）</w:t>
            </w:r>
          </w:p>
        </w:tc>
        <w:tc>
          <w:tcPr>
            <w:tcW w:w="6120" w:type="dxa"/>
            <w:vAlign w:val="center"/>
          </w:tcPr>
          <w:p>
            <w:pPr>
              <w:widowControl/>
              <w:spacing w:line="360" w:lineRule="exact"/>
              <w:jc w:val="left"/>
              <w:rPr>
                <w:rFonts w:ascii="宋体" w:hAnsi="宋体"/>
                <w:kern w:val="0"/>
                <w:sz w:val="24"/>
              </w:rPr>
            </w:pPr>
            <w:r>
              <w:rPr>
                <w:rFonts w:hint="eastAsia" w:ascii="宋体" w:hAnsi="宋体"/>
                <w:kern w:val="0"/>
                <w:sz w:val="24"/>
              </w:rPr>
              <w:t>（1）</w:t>
            </w:r>
            <w:r>
              <w:rPr>
                <w:rFonts w:ascii="宋体" w:hAnsi="宋体"/>
                <w:kern w:val="0"/>
                <w:sz w:val="24"/>
              </w:rPr>
              <w:t>设备配置非常合理</w:t>
            </w:r>
            <w:r>
              <w:rPr>
                <w:rFonts w:hint="eastAsia" w:ascii="宋体" w:hAnsi="宋体"/>
                <w:kern w:val="0"/>
                <w:sz w:val="24"/>
              </w:rPr>
              <w:t>、</w:t>
            </w:r>
            <w:r>
              <w:rPr>
                <w:rFonts w:ascii="宋体" w:hAnsi="宋体"/>
                <w:kern w:val="0"/>
                <w:sz w:val="24"/>
              </w:rPr>
              <w:t>技术性能好</w:t>
            </w:r>
            <w:r>
              <w:rPr>
                <w:rFonts w:hint="eastAsia" w:ascii="宋体" w:hAnsi="宋体"/>
                <w:kern w:val="0"/>
                <w:sz w:val="24"/>
              </w:rPr>
              <w:t>、</w:t>
            </w:r>
            <w:r>
              <w:rPr>
                <w:rFonts w:ascii="宋体" w:hAnsi="宋体"/>
                <w:kern w:val="0"/>
                <w:sz w:val="24"/>
              </w:rPr>
              <w:t>具有先进性</w:t>
            </w:r>
            <w:r>
              <w:rPr>
                <w:rFonts w:hint="eastAsia" w:ascii="宋体" w:hAnsi="宋体"/>
                <w:kern w:val="0"/>
                <w:sz w:val="24"/>
              </w:rPr>
              <w:t>，完全满足招标文件要求的，</w:t>
            </w:r>
            <w:r>
              <w:rPr>
                <w:rFonts w:ascii="宋体" w:hAnsi="宋体"/>
                <w:kern w:val="0"/>
                <w:sz w:val="24"/>
              </w:rPr>
              <w:t>得</w:t>
            </w:r>
            <w:r>
              <w:rPr>
                <w:rFonts w:hint="eastAsia" w:ascii="宋体" w:hAnsi="宋体"/>
                <w:kern w:val="0"/>
                <w:sz w:val="24"/>
              </w:rPr>
              <w:t>5分；</w:t>
            </w:r>
          </w:p>
          <w:p>
            <w:pPr>
              <w:widowControl/>
              <w:spacing w:line="360" w:lineRule="exact"/>
              <w:jc w:val="left"/>
              <w:rPr>
                <w:rFonts w:ascii="宋体" w:hAnsi="宋体"/>
                <w:kern w:val="0"/>
                <w:sz w:val="24"/>
              </w:rPr>
            </w:pPr>
            <w:r>
              <w:rPr>
                <w:rFonts w:hint="eastAsia" w:ascii="宋体" w:hAnsi="宋体"/>
                <w:kern w:val="0"/>
                <w:sz w:val="24"/>
              </w:rPr>
              <w:t>（2）</w:t>
            </w:r>
            <w:r>
              <w:rPr>
                <w:rFonts w:ascii="宋体" w:hAnsi="宋体"/>
                <w:kern w:val="0"/>
                <w:sz w:val="24"/>
              </w:rPr>
              <w:t>设备配置</w:t>
            </w:r>
            <w:r>
              <w:rPr>
                <w:rFonts w:hint="eastAsia" w:ascii="宋体" w:hAnsi="宋体"/>
                <w:kern w:val="0"/>
                <w:sz w:val="24"/>
              </w:rPr>
              <w:t>较为</w:t>
            </w:r>
            <w:r>
              <w:rPr>
                <w:rFonts w:ascii="宋体" w:hAnsi="宋体"/>
                <w:kern w:val="0"/>
                <w:sz w:val="24"/>
              </w:rPr>
              <w:t>合理</w:t>
            </w:r>
            <w:r>
              <w:rPr>
                <w:rFonts w:hint="eastAsia" w:ascii="宋体" w:hAnsi="宋体"/>
                <w:kern w:val="0"/>
                <w:sz w:val="24"/>
              </w:rPr>
              <w:t>、</w:t>
            </w:r>
            <w:r>
              <w:rPr>
                <w:rFonts w:ascii="宋体" w:hAnsi="宋体"/>
                <w:kern w:val="0"/>
                <w:sz w:val="24"/>
              </w:rPr>
              <w:t>技术性能</w:t>
            </w:r>
            <w:r>
              <w:rPr>
                <w:rFonts w:hint="eastAsia" w:ascii="宋体" w:hAnsi="宋体"/>
                <w:kern w:val="0"/>
                <w:sz w:val="24"/>
              </w:rPr>
              <w:t>和</w:t>
            </w:r>
            <w:r>
              <w:rPr>
                <w:rFonts w:ascii="宋体" w:hAnsi="宋体"/>
                <w:kern w:val="0"/>
                <w:sz w:val="24"/>
              </w:rPr>
              <w:t>先进性</w:t>
            </w:r>
            <w:r>
              <w:rPr>
                <w:rFonts w:hint="eastAsia" w:ascii="宋体" w:hAnsi="宋体"/>
                <w:kern w:val="0"/>
                <w:sz w:val="24"/>
              </w:rPr>
              <w:t>基本</w:t>
            </w:r>
            <w:r>
              <w:rPr>
                <w:rFonts w:ascii="宋体" w:hAnsi="宋体"/>
                <w:kern w:val="0"/>
                <w:sz w:val="24"/>
              </w:rPr>
              <w:t>满足招标文件需求的</w:t>
            </w:r>
            <w:r>
              <w:rPr>
                <w:rFonts w:hint="eastAsia" w:ascii="宋体" w:hAnsi="宋体"/>
                <w:kern w:val="0"/>
                <w:sz w:val="24"/>
              </w:rPr>
              <w:t>，</w:t>
            </w:r>
            <w:r>
              <w:rPr>
                <w:rFonts w:ascii="宋体" w:hAnsi="宋体"/>
                <w:kern w:val="0"/>
                <w:sz w:val="24"/>
              </w:rPr>
              <w:t>得</w:t>
            </w:r>
            <w:r>
              <w:rPr>
                <w:rFonts w:hint="eastAsia" w:ascii="宋体" w:hAnsi="宋体"/>
                <w:kern w:val="0"/>
                <w:sz w:val="24"/>
              </w:rPr>
              <w:t>3分；</w:t>
            </w:r>
          </w:p>
          <w:p>
            <w:pPr>
              <w:widowControl/>
              <w:spacing w:line="360" w:lineRule="exact"/>
              <w:jc w:val="left"/>
              <w:rPr>
                <w:rFonts w:ascii="宋体" w:hAnsi="宋体"/>
                <w:kern w:val="0"/>
                <w:sz w:val="24"/>
              </w:rPr>
            </w:pPr>
            <w:r>
              <w:rPr>
                <w:rFonts w:hint="eastAsia" w:ascii="宋体" w:hAnsi="宋体"/>
                <w:kern w:val="0"/>
                <w:sz w:val="24"/>
              </w:rPr>
              <w:t>（3）</w:t>
            </w:r>
            <w:r>
              <w:rPr>
                <w:rFonts w:ascii="宋体" w:hAnsi="宋体"/>
                <w:kern w:val="0"/>
                <w:sz w:val="24"/>
              </w:rPr>
              <w:t>设备配置不合理</w:t>
            </w:r>
            <w:r>
              <w:rPr>
                <w:rFonts w:hint="eastAsia" w:ascii="宋体" w:hAnsi="宋体"/>
                <w:kern w:val="0"/>
                <w:sz w:val="24"/>
              </w:rPr>
              <w:t>、</w:t>
            </w:r>
            <w:r>
              <w:rPr>
                <w:rFonts w:ascii="宋体" w:hAnsi="宋体"/>
                <w:kern w:val="0"/>
                <w:sz w:val="24"/>
              </w:rPr>
              <w:t>技术性能不好</w:t>
            </w:r>
            <w:r>
              <w:rPr>
                <w:rFonts w:hint="eastAsia" w:ascii="宋体" w:hAnsi="宋体"/>
                <w:kern w:val="0"/>
                <w:sz w:val="24"/>
              </w:rPr>
              <w:t>、</w:t>
            </w:r>
            <w:r>
              <w:rPr>
                <w:rFonts w:ascii="宋体" w:hAnsi="宋体"/>
                <w:kern w:val="0"/>
                <w:sz w:val="24"/>
              </w:rPr>
              <w:t>先进性差的</w:t>
            </w:r>
            <w:r>
              <w:rPr>
                <w:rFonts w:hint="eastAsia" w:ascii="宋体" w:hAnsi="宋体"/>
                <w:kern w:val="0"/>
                <w:sz w:val="24"/>
              </w:rPr>
              <w:t>，</w:t>
            </w:r>
            <w:r>
              <w:rPr>
                <w:rFonts w:ascii="宋体" w:hAnsi="宋体"/>
                <w:kern w:val="0"/>
                <w:sz w:val="24"/>
              </w:rPr>
              <w:t>得</w:t>
            </w:r>
            <w:r>
              <w:rPr>
                <w:rFonts w:hint="eastAsia" w:ascii="宋体" w:hAnsi="宋体"/>
                <w:kern w:val="0"/>
                <w:sz w:val="24"/>
              </w:rPr>
              <w:t>0分；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trPr>
        <w:tc>
          <w:tcPr>
            <w:tcW w:w="720" w:type="dxa"/>
            <w:vMerge w:val="continue"/>
            <w:vAlign w:val="center"/>
          </w:tcPr>
          <w:p>
            <w:pPr>
              <w:widowControl/>
              <w:spacing w:beforeLines="50" w:line="360" w:lineRule="auto"/>
              <w:jc w:val="center"/>
              <w:rPr>
                <w:rFonts w:ascii="宋体" w:hAnsi="宋体"/>
                <w:kern w:val="0"/>
                <w:sz w:val="24"/>
              </w:rPr>
            </w:pPr>
          </w:p>
        </w:tc>
        <w:tc>
          <w:tcPr>
            <w:tcW w:w="878" w:type="dxa"/>
            <w:vMerge w:val="continue"/>
            <w:vAlign w:val="center"/>
          </w:tcPr>
          <w:p>
            <w:pPr>
              <w:widowControl/>
              <w:spacing w:beforeLines="50" w:line="360" w:lineRule="auto"/>
              <w:jc w:val="center"/>
              <w:rPr>
                <w:rFonts w:ascii="宋体" w:hAnsi="宋体"/>
                <w:kern w:val="0"/>
                <w:sz w:val="24"/>
              </w:rPr>
            </w:pPr>
          </w:p>
        </w:tc>
        <w:tc>
          <w:tcPr>
            <w:tcW w:w="1980" w:type="dxa"/>
            <w:vAlign w:val="center"/>
          </w:tcPr>
          <w:p>
            <w:pPr>
              <w:widowControl/>
              <w:spacing w:beforeLines="50" w:line="380" w:lineRule="exact"/>
              <w:rPr>
                <w:rFonts w:ascii="宋体" w:hAnsi="宋体"/>
                <w:kern w:val="0"/>
                <w:sz w:val="24"/>
              </w:rPr>
            </w:pPr>
            <w:r>
              <w:rPr>
                <w:rFonts w:hint="eastAsia" w:ascii="宋体" w:hAnsi="宋体"/>
                <w:kern w:val="0"/>
                <w:sz w:val="24"/>
              </w:rPr>
              <w:t>设备配件及耗材</w:t>
            </w:r>
          </w:p>
          <w:p>
            <w:pPr>
              <w:pStyle w:val="2"/>
              <w:rPr>
                <w:rFonts w:ascii="宋体" w:hAnsi="宋体"/>
                <w:szCs w:val="24"/>
                <w:lang w:val="en-US" w:eastAsia="zh-CN"/>
              </w:rPr>
            </w:pPr>
            <w:r>
              <w:rPr>
                <w:rFonts w:hint="eastAsia" w:ascii="宋体" w:hAnsi="宋体"/>
                <w:szCs w:val="24"/>
                <w:lang w:val="en-US" w:eastAsia="zh-CN"/>
              </w:rPr>
              <w:t>（5分）</w:t>
            </w:r>
          </w:p>
        </w:tc>
        <w:tc>
          <w:tcPr>
            <w:tcW w:w="6120" w:type="dxa"/>
            <w:vAlign w:val="center"/>
          </w:tcPr>
          <w:p>
            <w:pPr>
              <w:widowControl/>
              <w:spacing w:line="360" w:lineRule="exact"/>
              <w:jc w:val="left"/>
              <w:rPr>
                <w:rFonts w:ascii="宋体" w:hAnsi="宋体"/>
                <w:kern w:val="0"/>
                <w:sz w:val="24"/>
              </w:rPr>
            </w:pPr>
            <w:r>
              <w:rPr>
                <w:rFonts w:hint="eastAsia" w:ascii="宋体" w:hAnsi="宋体"/>
                <w:kern w:val="0"/>
                <w:sz w:val="24"/>
              </w:rPr>
              <w:t>（1）制造商在国内有配件库(提供详细名称、地址、联系人及联系电话)得1分。</w:t>
            </w:r>
          </w:p>
          <w:p>
            <w:pPr>
              <w:widowControl/>
              <w:spacing w:line="360" w:lineRule="exact"/>
              <w:jc w:val="left"/>
              <w:rPr>
                <w:rFonts w:ascii="宋体" w:hAnsi="宋体"/>
                <w:kern w:val="0"/>
                <w:sz w:val="24"/>
              </w:rPr>
            </w:pPr>
            <w:r>
              <w:rPr>
                <w:rFonts w:hint="eastAsia" w:ascii="宋体" w:hAnsi="宋体"/>
                <w:kern w:val="0"/>
                <w:sz w:val="24"/>
              </w:rPr>
              <w:t>（2）供应商或制造商承诺设备停产后5-10 年内能够供应配件的得 2分。</w:t>
            </w:r>
          </w:p>
          <w:p>
            <w:pPr>
              <w:widowControl/>
              <w:spacing w:line="360" w:lineRule="exact"/>
              <w:jc w:val="left"/>
              <w:rPr>
                <w:rFonts w:ascii="宋体" w:hAnsi="宋体"/>
                <w:sz w:val="24"/>
              </w:rPr>
            </w:pPr>
            <w:r>
              <w:rPr>
                <w:rFonts w:hint="eastAsia" w:ascii="宋体" w:hAnsi="宋体"/>
                <w:kern w:val="0"/>
                <w:sz w:val="24"/>
              </w:rPr>
              <w:t>（3）耗材供应能够保证充足、及时且价格有优惠的，得1分。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trPr>
        <w:tc>
          <w:tcPr>
            <w:tcW w:w="720" w:type="dxa"/>
            <w:vMerge w:val="continue"/>
            <w:vAlign w:val="center"/>
          </w:tcPr>
          <w:p>
            <w:pPr>
              <w:widowControl/>
              <w:spacing w:beforeLines="50" w:line="360" w:lineRule="auto"/>
              <w:jc w:val="center"/>
              <w:rPr>
                <w:rFonts w:ascii="宋体" w:hAnsi="宋体"/>
                <w:kern w:val="0"/>
                <w:sz w:val="24"/>
              </w:rPr>
            </w:pPr>
          </w:p>
        </w:tc>
        <w:tc>
          <w:tcPr>
            <w:tcW w:w="878" w:type="dxa"/>
            <w:vMerge w:val="continue"/>
            <w:vAlign w:val="center"/>
          </w:tcPr>
          <w:p>
            <w:pPr>
              <w:widowControl/>
              <w:spacing w:beforeLines="50" w:line="360" w:lineRule="auto"/>
              <w:jc w:val="center"/>
              <w:rPr>
                <w:rFonts w:ascii="宋体" w:hAnsi="宋体"/>
                <w:kern w:val="0"/>
                <w:sz w:val="24"/>
              </w:rPr>
            </w:pPr>
          </w:p>
        </w:tc>
        <w:tc>
          <w:tcPr>
            <w:tcW w:w="1980" w:type="dxa"/>
            <w:vMerge w:val="restart"/>
            <w:vAlign w:val="center"/>
          </w:tcPr>
          <w:p>
            <w:pPr>
              <w:widowControl/>
              <w:spacing w:beforeLines="50" w:line="380" w:lineRule="exact"/>
              <w:rPr>
                <w:rFonts w:ascii="宋体" w:hAnsi="宋体"/>
                <w:color w:val="000000"/>
                <w:kern w:val="0"/>
                <w:sz w:val="24"/>
              </w:rPr>
            </w:pPr>
            <w:r>
              <w:rPr>
                <w:rFonts w:ascii="宋体" w:hAnsi="宋体"/>
                <w:color w:val="000000"/>
                <w:kern w:val="0"/>
                <w:sz w:val="24"/>
              </w:rPr>
              <w:t>对供应商售后服务能力的评价（</w:t>
            </w:r>
            <w:r>
              <w:rPr>
                <w:rFonts w:hint="eastAsia" w:ascii="宋体" w:hAnsi="宋体"/>
                <w:sz w:val="24"/>
              </w:rPr>
              <w:t>10</w:t>
            </w:r>
            <w:r>
              <w:rPr>
                <w:rFonts w:ascii="宋体" w:hAnsi="宋体"/>
                <w:color w:val="000000"/>
                <w:kern w:val="0"/>
                <w:sz w:val="24"/>
              </w:rPr>
              <w:t>分）</w:t>
            </w:r>
          </w:p>
        </w:tc>
        <w:tc>
          <w:tcPr>
            <w:tcW w:w="6120" w:type="dxa"/>
            <w:vAlign w:val="center"/>
          </w:tcPr>
          <w:p>
            <w:pPr>
              <w:widowControl/>
              <w:autoSpaceDE w:val="0"/>
              <w:autoSpaceDN w:val="0"/>
              <w:adjustRightInd w:val="0"/>
              <w:spacing w:line="360" w:lineRule="exact"/>
              <w:jc w:val="left"/>
              <w:rPr>
                <w:rFonts w:ascii="宋体" w:hAnsi="宋体"/>
                <w:kern w:val="0"/>
                <w:sz w:val="24"/>
              </w:rPr>
            </w:pPr>
            <w:r>
              <w:rPr>
                <w:rFonts w:ascii="宋体" w:hAnsi="宋体"/>
                <w:kern w:val="0"/>
                <w:sz w:val="24"/>
              </w:rPr>
              <w:t>根据招标要求和投标技术响应情况，对供应商提供的售后服务方案进行评价，其中：</w:t>
            </w:r>
          </w:p>
          <w:p>
            <w:pPr>
              <w:widowControl/>
              <w:autoSpaceDE w:val="0"/>
              <w:autoSpaceDN w:val="0"/>
              <w:adjustRightInd w:val="0"/>
              <w:spacing w:line="360" w:lineRule="exact"/>
              <w:jc w:val="left"/>
              <w:rPr>
                <w:rFonts w:ascii="宋体" w:hAnsi="宋体"/>
                <w:kern w:val="0"/>
                <w:sz w:val="24"/>
              </w:rPr>
            </w:pPr>
            <w:r>
              <w:rPr>
                <w:rFonts w:hint="eastAsia" w:ascii="宋体" w:hAnsi="宋体"/>
                <w:kern w:val="0"/>
                <w:sz w:val="24"/>
              </w:rPr>
              <w:t>（1）</w:t>
            </w:r>
            <w:r>
              <w:rPr>
                <w:rFonts w:ascii="宋体" w:hAnsi="宋体"/>
                <w:kern w:val="0"/>
                <w:sz w:val="24"/>
              </w:rPr>
              <w:t>售后服务方案和措施完整、具体，售后服务机构完全满足招标文件要求的得</w:t>
            </w:r>
            <w:r>
              <w:rPr>
                <w:rFonts w:hint="eastAsia" w:ascii="宋体" w:hAnsi="宋体"/>
                <w:kern w:val="0"/>
                <w:sz w:val="24"/>
              </w:rPr>
              <w:t>6</w:t>
            </w:r>
            <w:r>
              <w:rPr>
                <w:rFonts w:ascii="宋体" w:hAnsi="宋体"/>
                <w:kern w:val="0"/>
                <w:sz w:val="24"/>
              </w:rPr>
              <w:t>分；</w:t>
            </w:r>
          </w:p>
          <w:p>
            <w:pPr>
              <w:widowControl/>
              <w:autoSpaceDE w:val="0"/>
              <w:autoSpaceDN w:val="0"/>
              <w:adjustRightInd w:val="0"/>
              <w:spacing w:line="360" w:lineRule="exact"/>
              <w:jc w:val="left"/>
              <w:rPr>
                <w:rFonts w:ascii="宋体" w:hAnsi="宋体"/>
                <w:kern w:val="0"/>
                <w:sz w:val="24"/>
              </w:rPr>
            </w:pPr>
            <w:r>
              <w:rPr>
                <w:rFonts w:hint="eastAsia" w:ascii="宋体" w:hAnsi="宋体"/>
                <w:kern w:val="0"/>
                <w:sz w:val="24"/>
              </w:rPr>
              <w:t>（2）</w:t>
            </w:r>
            <w:r>
              <w:rPr>
                <w:rFonts w:ascii="宋体" w:hAnsi="宋体"/>
                <w:kern w:val="0"/>
                <w:sz w:val="24"/>
              </w:rPr>
              <w:t>提供了售后服务方案和措施但不具体，售后服务机构基本满足招标文件要求的得</w:t>
            </w:r>
            <w:r>
              <w:rPr>
                <w:rFonts w:hint="eastAsia" w:ascii="宋体" w:hAnsi="宋体"/>
                <w:kern w:val="0"/>
                <w:sz w:val="24"/>
              </w:rPr>
              <w:t>4</w:t>
            </w:r>
            <w:r>
              <w:rPr>
                <w:rFonts w:ascii="宋体" w:hAnsi="宋体"/>
                <w:kern w:val="0"/>
                <w:sz w:val="24"/>
              </w:rPr>
              <w:t>分；</w:t>
            </w:r>
          </w:p>
          <w:p>
            <w:pPr>
              <w:widowControl/>
              <w:autoSpaceDE w:val="0"/>
              <w:autoSpaceDN w:val="0"/>
              <w:adjustRightInd w:val="0"/>
              <w:spacing w:line="360" w:lineRule="exact"/>
              <w:jc w:val="left"/>
              <w:rPr>
                <w:rFonts w:ascii="宋体" w:hAnsi="宋体"/>
                <w:kern w:val="0"/>
                <w:sz w:val="24"/>
              </w:rPr>
            </w:pPr>
            <w:r>
              <w:rPr>
                <w:rFonts w:hint="eastAsia" w:ascii="宋体" w:hAnsi="宋体"/>
                <w:kern w:val="0"/>
                <w:sz w:val="24"/>
              </w:rPr>
              <w:t>（3）</w:t>
            </w:r>
            <w:r>
              <w:rPr>
                <w:rFonts w:ascii="宋体" w:hAnsi="宋体"/>
                <w:kern w:val="0"/>
                <w:sz w:val="24"/>
              </w:rPr>
              <w:t>未提供售后服务方案和措施或没有售后服务机构的得</w:t>
            </w:r>
            <w:r>
              <w:rPr>
                <w:rFonts w:hint="eastAsia" w:ascii="宋体" w:hAnsi="宋体"/>
                <w:kern w:val="0"/>
                <w:sz w:val="24"/>
              </w:rPr>
              <w:t>0</w:t>
            </w:r>
            <w:r>
              <w:rPr>
                <w:rFonts w:ascii="宋体" w:hAnsi="宋体"/>
                <w:kern w:val="0"/>
                <w:sz w:val="24"/>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41" w:hRule="atLeast"/>
        </w:trPr>
        <w:tc>
          <w:tcPr>
            <w:tcW w:w="720" w:type="dxa"/>
            <w:vMerge w:val="continue"/>
            <w:vAlign w:val="center"/>
          </w:tcPr>
          <w:p>
            <w:pPr>
              <w:widowControl/>
              <w:spacing w:beforeLines="50" w:line="360" w:lineRule="auto"/>
              <w:jc w:val="center"/>
              <w:rPr>
                <w:rFonts w:ascii="宋体" w:hAnsi="宋体"/>
                <w:kern w:val="0"/>
                <w:sz w:val="24"/>
              </w:rPr>
            </w:pPr>
          </w:p>
        </w:tc>
        <w:tc>
          <w:tcPr>
            <w:tcW w:w="878" w:type="dxa"/>
            <w:vMerge w:val="continue"/>
            <w:vAlign w:val="center"/>
          </w:tcPr>
          <w:p>
            <w:pPr>
              <w:widowControl/>
              <w:spacing w:beforeLines="50" w:line="360" w:lineRule="auto"/>
              <w:jc w:val="center"/>
              <w:rPr>
                <w:rFonts w:ascii="宋体" w:hAnsi="宋体"/>
                <w:kern w:val="0"/>
                <w:sz w:val="24"/>
              </w:rPr>
            </w:pPr>
          </w:p>
        </w:tc>
        <w:tc>
          <w:tcPr>
            <w:tcW w:w="1980" w:type="dxa"/>
            <w:vMerge w:val="continue"/>
            <w:vAlign w:val="center"/>
          </w:tcPr>
          <w:p>
            <w:pPr>
              <w:widowControl/>
              <w:spacing w:beforeLines="50" w:line="380" w:lineRule="exact"/>
              <w:rPr>
                <w:rFonts w:ascii="宋体" w:hAnsi="宋体"/>
                <w:color w:val="000000"/>
                <w:kern w:val="0"/>
                <w:sz w:val="24"/>
              </w:rPr>
            </w:pPr>
          </w:p>
        </w:tc>
        <w:tc>
          <w:tcPr>
            <w:tcW w:w="6120" w:type="dxa"/>
            <w:vAlign w:val="center"/>
          </w:tcPr>
          <w:p>
            <w:pPr>
              <w:widowControl/>
              <w:autoSpaceDE w:val="0"/>
              <w:autoSpaceDN w:val="0"/>
              <w:adjustRightInd w:val="0"/>
              <w:spacing w:line="360" w:lineRule="exact"/>
              <w:jc w:val="left"/>
              <w:rPr>
                <w:rFonts w:ascii="宋体" w:hAnsi="宋体"/>
                <w:kern w:val="0"/>
                <w:sz w:val="24"/>
              </w:rPr>
            </w:pPr>
            <w:r>
              <w:rPr>
                <w:rFonts w:hint="eastAsia" w:ascii="宋体" w:hAnsi="宋体"/>
                <w:kern w:val="0"/>
                <w:sz w:val="24"/>
              </w:rPr>
              <w:t>质量保证承诺：</w:t>
            </w:r>
          </w:p>
          <w:p>
            <w:pPr>
              <w:widowControl/>
              <w:autoSpaceDE w:val="0"/>
              <w:autoSpaceDN w:val="0"/>
              <w:adjustRightInd w:val="0"/>
              <w:spacing w:line="360" w:lineRule="exact"/>
              <w:jc w:val="left"/>
              <w:rPr>
                <w:rFonts w:ascii="宋体" w:hAnsi="宋体"/>
                <w:kern w:val="0"/>
                <w:sz w:val="24"/>
              </w:rPr>
            </w:pPr>
            <w:r>
              <w:rPr>
                <w:rFonts w:hint="eastAsia" w:ascii="宋体" w:hAnsi="宋体"/>
                <w:kern w:val="0"/>
                <w:sz w:val="24"/>
              </w:rPr>
              <w:t>供应商在满足招标文件基本要求的情况下，承诺质保期、服务标准年限每增加一年得1分，最多得4分。</w:t>
            </w:r>
          </w:p>
        </w:tc>
      </w:tr>
    </w:tbl>
    <w:p>
      <w:pPr>
        <w:spacing w:line="360" w:lineRule="auto"/>
        <w:ind w:right="2" w:firstLine="480"/>
        <w:rPr>
          <w:rFonts w:ascii="宋体" w:hAnsi="宋体" w:cs="宋体"/>
          <w:b/>
          <w:bCs/>
          <w:sz w:val="24"/>
        </w:rPr>
      </w:pPr>
      <w:r>
        <w:rPr>
          <w:rFonts w:hint="eastAsia" w:ascii="宋体" w:hAnsi="宋体" w:cs="宋体"/>
          <w:b/>
          <w:bCs/>
          <w:sz w:val="24"/>
        </w:rPr>
        <w:t>三、</w:t>
      </w:r>
      <w:bookmarkStart w:id="78" w:name="OLE_LINK23"/>
      <w:r>
        <w:rPr>
          <w:rFonts w:hint="eastAsia" w:ascii="宋体" w:hAnsi="宋体" w:cs="宋体"/>
          <w:b/>
          <w:bCs/>
          <w:sz w:val="24"/>
        </w:rPr>
        <w:t>评审执行的政府采购政策</w:t>
      </w:r>
      <w:bookmarkEnd w:id="78"/>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（一）中小微型企业政府采购政策</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1、为了发挥政府采购的政策功能，促进符合国家经济和社会发展政策目标，产品、服务、信誉较好的中小企业发展，按照《政府采购促进中小企业发展暂行办法》规定，对符合规定的小型和微型企业（产品）的价格给予</w:t>
      </w:r>
      <w:r>
        <w:rPr>
          <w:rFonts w:hint="eastAsia" w:ascii="宋体" w:hAnsi="宋体" w:cs="仿宋"/>
          <w:b/>
          <w:bCs/>
          <w:spacing w:val="-10"/>
          <w:sz w:val="24"/>
        </w:rPr>
        <w:t xml:space="preserve"> 4% </w:t>
      </w:r>
      <w:r>
        <w:rPr>
          <w:rFonts w:hint="eastAsia" w:ascii="宋体" w:hAnsi="宋体" w:cs="仿宋"/>
          <w:spacing w:val="-10"/>
          <w:sz w:val="24"/>
        </w:rPr>
        <w:t>的扣除，用扣除后的价格参与评审（须按规定提供小微企业声明函原件及相关证明材料并在开标一览表中注明，供应商和投标产品制造商均为小微企业，否则不予价格扣除）。评审价格仅为评定价格，不作为最终的成交价格。</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2、联合体投标的（如本项目接受联合体投标），如果联合体由大中型企业与小型、微型企业组成，且组成联合体的大中型企业与小型、微型企业之间不存在投资关系，联合投标协议中约定，小型、微型企业的协议合同金额占到联合体协议合同总金额30%以上的，则在评审过程中评标价格可给予联合体</w:t>
      </w:r>
      <w:r>
        <w:rPr>
          <w:rFonts w:hint="eastAsia" w:ascii="宋体" w:hAnsi="宋体" w:cs="仿宋"/>
          <w:b/>
          <w:spacing w:val="-10"/>
          <w:sz w:val="24"/>
        </w:rPr>
        <w:t>__3__</w:t>
      </w:r>
      <w:r>
        <w:rPr>
          <w:rFonts w:hint="eastAsia" w:ascii="宋体" w:hAnsi="宋体" w:cs="仿宋"/>
          <w:b/>
          <w:bCs/>
          <w:spacing w:val="-10"/>
          <w:sz w:val="24"/>
        </w:rPr>
        <w:t>%</w:t>
      </w:r>
      <w:r>
        <w:rPr>
          <w:rFonts w:hint="eastAsia" w:ascii="宋体" w:hAnsi="宋体" w:cs="仿宋"/>
          <w:spacing w:val="-10"/>
          <w:sz w:val="24"/>
        </w:rPr>
        <w:t>的价格扣除。如果联合体各方均为小型、微型企业的，联合体视同为小型、微型企业，但联合体各方均应按本条第3款提供中小企业声明函和相关证明材料。</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3、评审价格的计算：评审价格=投标报价×（1-扣除幅度</w:t>
      </w:r>
      <w:r>
        <w:rPr>
          <w:rFonts w:ascii="宋体" w:hAnsi="宋体" w:cs="仿宋"/>
          <w:spacing w:val="-10"/>
          <w:sz w:val="24"/>
        </w:rPr>
        <w:t>）</w:t>
      </w:r>
      <w:r>
        <w:rPr>
          <w:rFonts w:hint="eastAsia" w:ascii="宋体" w:hAnsi="宋体" w:cs="仿宋"/>
          <w:spacing w:val="-10"/>
          <w:sz w:val="24"/>
        </w:rPr>
        <w:t>.</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（二）监狱企业政府采购政策</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 xml:space="preserve"> 对监狱企业的价格给予[_</w:t>
      </w:r>
      <w:r>
        <w:rPr>
          <w:rFonts w:hint="eastAsia" w:ascii="宋体" w:hAnsi="宋体" w:cs="仿宋"/>
          <w:b/>
          <w:spacing w:val="-10"/>
          <w:sz w:val="24"/>
          <w:u w:val="single"/>
        </w:rPr>
        <w:t>6_</w:t>
      </w:r>
      <w:r>
        <w:rPr>
          <w:rFonts w:hint="eastAsia" w:ascii="宋体" w:hAnsi="宋体" w:cs="仿宋"/>
          <w:spacing w:val="-10"/>
          <w:sz w:val="24"/>
        </w:rPr>
        <w:t>%×（监狱企业产品合计报价/总报价）]的扣除，用扣除后的价格参与评审；投标时，小型、微型企业提供中型企业制造的货物的，视同为中型企业；参加政府采购活动的监狱企业应当在投标（报价）文件中提供监狱企业证明，否则不予认定。</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（三）残疾人福利性单位政府采购政策</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对残疾人福利性单位的价格给予[_</w:t>
      </w:r>
      <w:r>
        <w:rPr>
          <w:rFonts w:hint="eastAsia" w:ascii="宋体" w:hAnsi="宋体" w:cs="仿宋"/>
          <w:b/>
          <w:spacing w:val="-10"/>
          <w:sz w:val="24"/>
          <w:u w:val="single"/>
        </w:rPr>
        <w:t>6_</w:t>
      </w:r>
      <w:r>
        <w:rPr>
          <w:rFonts w:hint="eastAsia" w:ascii="宋体" w:hAnsi="宋体" w:cs="仿宋"/>
          <w:b/>
          <w:spacing w:val="-10"/>
          <w:sz w:val="24"/>
        </w:rPr>
        <w:t>%</w:t>
      </w:r>
      <w:r>
        <w:rPr>
          <w:rFonts w:hint="eastAsia" w:ascii="宋体" w:hAnsi="宋体" w:cs="仿宋"/>
          <w:spacing w:val="-10"/>
          <w:sz w:val="24"/>
        </w:rPr>
        <w:t>×（残疾人福利性单位产品合计报价/总报价）]的扣除，用扣除后的价格参与评审。</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符合条件的残疾人福利性单位在参加政府采购活动时，应当提供财库〔2017〕141号规定的《残疾人福利性单位声明函》，并对声明的真实性负责。未提供的，评审时不享受残疾人福利性单位政府采购政策。</w:t>
      </w:r>
    </w:p>
    <w:p>
      <w:pPr>
        <w:adjustRightInd w:val="0"/>
        <w:snapToGrid w:val="0"/>
        <w:spacing w:line="500" w:lineRule="exact"/>
        <w:ind w:firstLine="442" w:firstLineChars="200"/>
        <w:jc w:val="left"/>
        <w:rPr>
          <w:rFonts w:ascii="宋体" w:hAnsi="宋体" w:cs="仿宋"/>
          <w:b/>
          <w:spacing w:val="-10"/>
          <w:sz w:val="24"/>
        </w:rPr>
      </w:pPr>
      <w:r>
        <w:rPr>
          <w:rFonts w:hint="eastAsia" w:ascii="宋体" w:hAnsi="宋体" w:cs="仿宋"/>
          <w:b/>
          <w:spacing w:val="-10"/>
          <w:sz w:val="24"/>
        </w:rPr>
        <w:t>（四）节能、环保产品</w:t>
      </w:r>
    </w:p>
    <w:p>
      <w:pPr>
        <w:adjustRightInd w:val="0"/>
        <w:snapToGrid w:val="0"/>
        <w:spacing w:line="500" w:lineRule="exact"/>
        <w:ind w:firstLine="440" w:firstLineChars="200"/>
        <w:jc w:val="left"/>
        <w:rPr>
          <w:rFonts w:ascii="宋体" w:hAnsi="宋体" w:cs="仿宋"/>
          <w:spacing w:val="-10"/>
          <w:sz w:val="24"/>
        </w:rPr>
      </w:pPr>
      <w:r>
        <w:rPr>
          <w:rFonts w:hint="eastAsia" w:ascii="宋体" w:hAnsi="宋体" w:cs="仿宋"/>
          <w:spacing w:val="-10"/>
          <w:sz w:val="24"/>
        </w:rPr>
        <w:t>1、如供应商提供的产品属于《</w:t>
      </w:r>
      <w:r>
        <w:fldChar w:fldCharType="begin"/>
      </w:r>
      <w:r>
        <w:instrText xml:space="preserve"> HYPERLINK "http://gks.mof.gov.cn/zhengfucaigouguanli/201903/P020190329702478575295.pdf" </w:instrText>
      </w:r>
      <w:r>
        <w:fldChar w:fldCharType="separate"/>
      </w:r>
      <w:r>
        <w:rPr>
          <w:rFonts w:hint="eastAsia" w:ascii="宋体" w:hAnsi="宋体" w:cs="仿宋"/>
          <w:spacing w:val="-10"/>
          <w:sz w:val="24"/>
        </w:rPr>
        <w:t>环境标志产品政府采购品目清单</w:t>
      </w:r>
      <w:r>
        <w:rPr>
          <w:rFonts w:hint="eastAsia" w:ascii="宋体" w:hAnsi="宋体" w:cs="仿宋"/>
          <w:spacing w:val="-10"/>
          <w:sz w:val="24"/>
        </w:rPr>
        <w:fldChar w:fldCharType="end"/>
      </w:r>
      <w:r>
        <w:rPr>
          <w:rFonts w:hint="eastAsia" w:ascii="宋体" w:hAnsi="宋体" w:cs="仿宋"/>
          <w:spacing w:val="-10"/>
          <w:sz w:val="24"/>
        </w:rPr>
        <w:t>》（《财政部 生态环境部关于印发环境标志产品政府采购品目清单的通知》（财库〔2019〕18号））、《节能产品政府采购品目清单》（财政部 发展改革委《关于印发节能产品政府采购品目清单的通知》（财库〔2019〕19号）范围</w:t>
      </w:r>
      <w:r>
        <w:rPr>
          <w:rFonts w:hint="eastAsia" w:ascii="宋体" w:hAnsi="宋体" w:cs="仿宋"/>
          <w:sz w:val="28"/>
          <w:szCs w:val="28"/>
          <w:shd w:val="clear" w:color="auto" w:fill="FFFFFF"/>
        </w:rPr>
        <w:t>的</w:t>
      </w:r>
      <w:r>
        <w:rPr>
          <w:rFonts w:hint="eastAsia" w:ascii="宋体" w:hAnsi="宋体" w:cs="仿宋"/>
          <w:spacing w:val="-10"/>
          <w:sz w:val="24"/>
        </w:rPr>
        <w:t>环保、节能产品，应在投标文件中附</w:t>
      </w:r>
      <w:r>
        <w:rPr>
          <w:rFonts w:hint="eastAsia" w:ascii="宋体" w:hAnsi="宋体" w:cs="仿宋"/>
          <w:b/>
          <w:bCs/>
          <w:spacing w:val="-10"/>
          <w:sz w:val="24"/>
        </w:rPr>
        <w:t>国家节能产品认证证书或中国环境标志产品认证证书</w:t>
      </w:r>
      <w:r>
        <w:rPr>
          <w:rFonts w:hint="eastAsia" w:ascii="宋体" w:hAnsi="宋体" w:cs="仿宋"/>
          <w:spacing w:val="-10"/>
          <w:sz w:val="24"/>
        </w:rPr>
        <w:t>，</w:t>
      </w:r>
      <w:r>
        <w:rPr>
          <w:rFonts w:hint="eastAsia" w:ascii="宋体" w:hAnsi="宋体" w:cs="仿宋"/>
          <w:b/>
          <w:spacing w:val="-10"/>
          <w:sz w:val="24"/>
        </w:rPr>
        <w:t>并在开标一览表中注明(或在报价明细表中注明)，</w:t>
      </w:r>
      <w:r>
        <w:rPr>
          <w:rFonts w:hint="eastAsia" w:ascii="宋体" w:hAnsi="宋体" w:cs="仿宋"/>
          <w:spacing w:val="-10"/>
          <w:sz w:val="24"/>
        </w:rPr>
        <w:t>未按要求提供和注明的，将不给予加分。</w:t>
      </w:r>
      <w:r>
        <w:rPr>
          <w:rFonts w:hint="eastAsia" w:ascii="宋体" w:hAnsi="宋体" w:cs="仿宋"/>
          <w:b/>
          <w:bCs/>
          <w:spacing w:val="-10"/>
          <w:sz w:val="24"/>
          <w:u w:val="single"/>
        </w:rPr>
        <w:t>其中，所报产品为政府强制采购产品的（《节能产品政府采购品目清单》中以“★”标注的产品品目）而未提供国家节能产品认证证书的，按无效投标处理。</w:t>
      </w:r>
    </w:p>
    <w:p>
      <w:pPr>
        <w:pStyle w:val="2"/>
        <w:ind w:firstLine="480"/>
        <w:rPr>
          <w:rFonts w:ascii="宋体" w:hAnsi="宋体"/>
        </w:rPr>
      </w:pPr>
    </w:p>
    <w:p>
      <w:pPr>
        <w:spacing w:line="360" w:lineRule="auto"/>
        <w:ind w:right="2" w:firstLine="480"/>
        <w:rPr>
          <w:rFonts w:ascii="宋体" w:hAnsi="宋体"/>
          <w:sz w:val="24"/>
        </w:rPr>
      </w:pPr>
    </w:p>
    <w:p>
      <w:pPr>
        <w:spacing w:line="360" w:lineRule="auto"/>
        <w:ind w:right="2" w:firstLine="480"/>
        <w:rPr>
          <w:rFonts w:ascii="宋体" w:hAnsi="宋体"/>
          <w:sz w:val="24"/>
        </w:rPr>
        <w:sectPr>
          <w:headerReference r:id="rId4" w:type="default"/>
          <w:pgSz w:w="11907" w:h="16840"/>
          <w:pgMar w:top="1097" w:right="1134" w:bottom="1418" w:left="1337" w:header="851" w:footer="822" w:gutter="0"/>
          <w:cols w:space="720" w:num="1"/>
          <w:docGrid w:linePitch="290" w:charSpace="-3931"/>
        </w:sectPr>
      </w:pPr>
    </w:p>
    <w:p>
      <w:pPr>
        <w:pStyle w:val="3"/>
        <w:spacing w:before="120" w:after="120" w:line="360" w:lineRule="auto"/>
        <w:jc w:val="center"/>
        <w:rPr>
          <w:rFonts w:ascii="宋体" w:hAnsi="宋体"/>
          <w:kern w:val="2"/>
          <w:sz w:val="32"/>
        </w:rPr>
      </w:pPr>
      <w:bookmarkStart w:id="79" w:name="_Toc11850789"/>
      <w:r>
        <w:rPr>
          <w:rFonts w:hint="eastAsia" w:ascii="宋体" w:hAnsi="宋体"/>
          <w:kern w:val="2"/>
          <w:sz w:val="32"/>
        </w:rPr>
        <w:t>第四章</w:t>
      </w:r>
      <w:r>
        <w:rPr>
          <w:rFonts w:hint="eastAsia" w:ascii="宋体" w:hAnsi="宋体"/>
          <w:kern w:val="2"/>
          <w:sz w:val="32"/>
          <w:lang w:eastAsia="zh-CN"/>
        </w:rPr>
        <w:t xml:space="preserve">   </w:t>
      </w:r>
      <w:r>
        <w:rPr>
          <w:rFonts w:hint="eastAsia" w:ascii="宋体" w:hAnsi="宋体"/>
          <w:kern w:val="2"/>
          <w:sz w:val="32"/>
        </w:rPr>
        <w:t>采购内容及项目要求</w:t>
      </w:r>
      <w:bookmarkEnd w:id="79"/>
    </w:p>
    <w:p>
      <w:pPr>
        <w:widowControl/>
        <w:spacing w:line="360" w:lineRule="auto"/>
        <w:jc w:val="left"/>
        <w:rPr>
          <w:rFonts w:hint="eastAsia" w:ascii="宋体" w:hAnsi="宋体"/>
          <w:b/>
          <w:bCs/>
          <w:sz w:val="24"/>
        </w:rPr>
      </w:pPr>
      <w:r>
        <w:rPr>
          <w:rFonts w:hint="eastAsia" w:ascii="宋体" w:hAnsi="宋体"/>
          <w:b/>
          <w:bCs/>
          <w:sz w:val="24"/>
        </w:rPr>
        <w:t xml:space="preserve">设备名称：彩色多普勒超声诊断仪        预算金额：190万元人民币 </w:t>
      </w:r>
    </w:p>
    <w:p>
      <w:pPr>
        <w:widowControl/>
        <w:spacing w:line="360" w:lineRule="auto"/>
        <w:jc w:val="left"/>
        <w:rPr>
          <w:rFonts w:ascii="宋体" w:hAnsi="宋体"/>
          <w:b/>
          <w:bCs/>
          <w:sz w:val="24"/>
        </w:rPr>
      </w:pPr>
      <w:r>
        <w:rPr>
          <w:rFonts w:hint="eastAsia" w:ascii="宋体" w:hAnsi="宋体"/>
          <w:b/>
          <w:sz w:val="24"/>
        </w:rPr>
        <w:t>（一）</w:t>
      </w:r>
      <w:r>
        <w:rPr>
          <w:rFonts w:hint="eastAsia" w:ascii="宋体" w:hAnsi="宋体"/>
          <w:b/>
          <w:color w:val="000000"/>
          <w:sz w:val="24"/>
        </w:rPr>
        <w:t>设备名称：</w:t>
      </w:r>
      <w:r>
        <w:rPr>
          <w:rFonts w:hint="eastAsia" w:ascii="宋体" w:hAnsi="宋体"/>
          <w:b/>
          <w:sz w:val="24"/>
        </w:rPr>
        <w:t>高端多普勒超声诊断仪（心脏四维）    数量：一台</w:t>
      </w:r>
    </w:p>
    <w:p>
      <w:pPr>
        <w:spacing w:line="360" w:lineRule="auto"/>
        <w:rPr>
          <w:rFonts w:ascii="宋体" w:hAnsi="宋体" w:cs="宋体"/>
          <w:b/>
          <w:sz w:val="24"/>
        </w:rPr>
      </w:pPr>
      <w:r>
        <w:rPr>
          <w:rFonts w:hint="eastAsia" w:ascii="宋体" w:hAnsi="宋体" w:cs="宋体"/>
          <w:b/>
          <w:sz w:val="24"/>
        </w:rPr>
        <w:t>一、基本要求：</w:t>
      </w:r>
    </w:p>
    <w:p>
      <w:pPr>
        <w:spacing w:line="360" w:lineRule="auto"/>
        <w:rPr>
          <w:rFonts w:ascii="宋体" w:hAnsi="宋体" w:cs="宋体"/>
          <w:sz w:val="24"/>
        </w:rPr>
      </w:pPr>
      <w:r>
        <w:rPr>
          <w:rFonts w:hint="eastAsia" w:ascii="宋体" w:hAnsi="宋体" w:cs="宋体"/>
          <w:sz w:val="24"/>
        </w:rPr>
        <w:t>1.1以成人心脏和小儿心脏超声麻醉应用和相关科研为主；并具备二维和四维经食管超声心动图成像技术；</w:t>
      </w:r>
    </w:p>
    <w:p>
      <w:pPr>
        <w:spacing w:line="360" w:lineRule="auto"/>
        <w:rPr>
          <w:rFonts w:ascii="宋体" w:hAnsi="宋体" w:cs="宋体"/>
          <w:sz w:val="24"/>
        </w:rPr>
      </w:pPr>
      <w:r>
        <w:rPr>
          <w:rFonts w:hint="eastAsia" w:ascii="宋体" w:hAnsi="宋体" w:cs="宋体"/>
          <w:sz w:val="24"/>
        </w:rPr>
        <w:t>1.2可以覆盖外周血管、腹部、浅表组织与小器官、儿科、肌骨、介入超声等检查全面应用。</w:t>
      </w:r>
    </w:p>
    <w:p>
      <w:pPr>
        <w:spacing w:line="360" w:lineRule="auto"/>
        <w:rPr>
          <w:rFonts w:ascii="宋体" w:hAnsi="宋体" w:cs="宋体"/>
          <w:b/>
          <w:sz w:val="24"/>
        </w:rPr>
      </w:pPr>
      <w:r>
        <w:rPr>
          <w:rFonts w:hint="eastAsia" w:ascii="宋体" w:hAnsi="宋体" w:cs="宋体"/>
          <w:b/>
          <w:sz w:val="24"/>
        </w:rPr>
        <w:t>1.3所投设备须为最新版本的最新机型。</w:t>
      </w:r>
    </w:p>
    <w:p>
      <w:pPr>
        <w:spacing w:line="360" w:lineRule="auto"/>
        <w:rPr>
          <w:rFonts w:ascii="宋体" w:hAnsi="宋体" w:cs="宋体"/>
          <w:b/>
          <w:sz w:val="24"/>
        </w:rPr>
      </w:pPr>
      <w:r>
        <w:rPr>
          <w:rFonts w:hint="eastAsia" w:ascii="宋体" w:hAnsi="宋体" w:cs="宋体"/>
          <w:b/>
          <w:sz w:val="24"/>
        </w:rPr>
        <w:t>二、主要规格及系统概述</w:t>
      </w:r>
    </w:p>
    <w:p>
      <w:pPr>
        <w:spacing w:line="360" w:lineRule="auto"/>
        <w:rPr>
          <w:rFonts w:ascii="宋体" w:hAnsi="宋体" w:cs="宋体"/>
          <w:sz w:val="24"/>
        </w:rPr>
      </w:pPr>
      <w:r>
        <w:rPr>
          <w:rFonts w:hint="eastAsia" w:ascii="宋体" w:hAnsi="宋体" w:cs="宋体"/>
          <w:sz w:val="24"/>
        </w:rPr>
        <w:t>2.1</w:t>
      </w:r>
      <w:r>
        <w:rPr>
          <w:rFonts w:hint="eastAsia" w:ascii="宋体" w:hAnsi="宋体" w:cs="宋体"/>
          <w:sz w:val="24"/>
        </w:rPr>
        <w:tab/>
      </w:r>
      <w:r>
        <w:rPr>
          <w:rFonts w:hint="eastAsia" w:ascii="宋体" w:hAnsi="宋体" w:cs="宋体"/>
          <w:sz w:val="24"/>
        </w:rPr>
        <w:t>超声波诊断仪包括：</w:t>
      </w:r>
    </w:p>
    <w:p>
      <w:pPr>
        <w:spacing w:line="360" w:lineRule="auto"/>
        <w:rPr>
          <w:rFonts w:ascii="宋体" w:hAnsi="宋体" w:cs="宋体"/>
          <w:sz w:val="24"/>
        </w:rPr>
      </w:pPr>
      <w:r>
        <w:rPr>
          <w:rFonts w:hint="eastAsia" w:ascii="宋体" w:hAnsi="宋体" w:cs="宋体"/>
          <w:sz w:val="24"/>
        </w:rPr>
        <w:t>2.1.1</w:t>
      </w:r>
      <w:r>
        <w:rPr>
          <w:rFonts w:hint="eastAsia" w:ascii="宋体" w:hAnsi="宋体" w:cs="宋体"/>
          <w:sz w:val="24"/>
        </w:rPr>
        <w:tab/>
      </w:r>
      <w:r>
        <w:rPr>
          <w:rFonts w:hint="eastAsia" w:ascii="宋体" w:hAnsi="宋体" w:cs="宋体"/>
          <w:sz w:val="24"/>
        </w:rPr>
        <w:t>LED显示器: ≥20吋，分辨率1920*1080</w:t>
      </w:r>
    </w:p>
    <w:p>
      <w:pPr>
        <w:spacing w:line="360" w:lineRule="auto"/>
        <w:rPr>
          <w:rFonts w:ascii="宋体" w:hAnsi="宋体" w:cs="宋体"/>
          <w:color w:val="FF0000"/>
          <w:sz w:val="24"/>
        </w:rPr>
      </w:pPr>
      <w:r>
        <w:rPr>
          <w:rFonts w:hint="eastAsia" w:ascii="宋体" w:hAnsi="宋体" w:cs="宋体"/>
          <w:sz w:val="24"/>
        </w:rPr>
        <w:t>2.1.2</w:t>
      </w:r>
      <w:r>
        <w:rPr>
          <w:rFonts w:hint="eastAsia" w:ascii="宋体" w:hAnsi="宋体" w:cs="宋体"/>
          <w:sz w:val="24"/>
        </w:rPr>
        <w:tab/>
      </w:r>
      <w:r>
        <w:rPr>
          <w:rFonts w:hint="eastAsia" w:ascii="宋体" w:hAnsi="宋体" w:cs="宋体"/>
          <w:sz w:val="24"/>
        </w:rPr>
        <w:t>≥12吋超高分辨率、多点触控彩色触摸屏</w:t>
      </w:r>
    </w:p>
    <w:p>
      <w:pPr>
        <w:spacing w:line="360" w:lineRule="auto"/>
        <w:rPr>
          <w:rFonts w:ascii="宋体" w:hAnsi="宋体" w:cs="宋体"/>
          <w:sz w:val="24"/>
        </w:rPr>
      </w:pPr>
      <w:r>
        <w:rPr>
          <w:rFonts w:hint="eastAsia" w:ascii="宋体" w:hAnsi="宋体" w:cs="宋体"/>
          <w:sz w:val="24"/>
        </w:rPr>
        <w:t>2.1.3</w:t>
      </w:r>
      <w:r>
        <w:rPr>
          <w:rFonts w:hint="eastAsia" w:ascii="宋体" w:hAnsi="宋体" w:cs="宋体"/>
          <w:sz w:val="24"/>
        </w:rPr>
        <w:tab/>
      </w:r>
      <w:r>
        <w:rPr>
          <w:rFonts w:hint="eastAsia" w:ascii="宋体" w:hAnsi="宋体" w:cs="宋体"/>
          <w:sz w:val="24"/>
        </w:rPr>
        <w:t>操作平台控制，可在上下/左右范围内灵活调节</w:t>
      </w:r>
    </w:p>
    <w:p>
      <w:pPr>
        <w:spacing w:line="360" w:lineRule="auto"/>
        <w:rPr>
          <w:rFonts w:ascii="宋体" w:hAnsi="宋体" w:cs="宋体"/>
          <w:sz w:val="24"/>
        </w:rPr>
      </w:pPr>
      <w:r>
        <w:rPr>
          <w:rFonts w:hint="eastAsia" w:ascii="宋体" w:hAnsi="宋体" w:cs="宋体"/>
          <w:sz w:val="24"/>
        </w:rPr>
        <w:t>2.1.4</w:t>
      </w:r>
      <w:r>
        <w:rPr>
          <w:rFonts w:hint="eastAsia" w:ascii="宋体" w:hAnsi="宋体" w:cs="宋体"/>
          <w:sz w:val="24"/>
        </w:rPr>
        <w:tab/>
      </w:r>
      <w:r>
        <w:rPr>
          <w:rFonts w:hint="eastAsia" w:ascii="宋体" w:hAnsi="宋体" w:cs="宋体"/>
          <w:sz w:val="24"/>
        </w:rPr>
        <w:t>可对存储后的动静态图像可进一步调节增益、彩色显示、多普勒基线位置、时间轴快慢以及多普勒角度校正等，并可将存储后的二维图像转为传统直线M型及解剖M型扫描模式进行分析;可对回放的常规图像进行≥30种参数调节</w:t>
      </w:r>
    </w:p>
    <w:p>
      <w:pPr>
        <w:spacing w:line="360" w:lineRule="auto"/>
        <w:rPr>
          <w:rFonts w:ascii="宋体" w:hAnsi="宋体" w:cs="宋体"/>
          <w:sz w:val="24"/>
        </w:rPr>
      </w:pPr>
      <w:r>
        <w:rPr>
          <w:rFonts w:hint="eastAsia" w:ascii="宋体" w:hAnsi="宋体" w:cs="宋体"/>
          <w:sz w:val="24"/>
        </w:rPr>
        <w:t>2.1.5三维矩阵聚焦、立体四维成像技术</w:t>
      </w:r>
    </w:p>
    <w:p>
      <w:pPr>
        <w:spacing w:line="360" w:lineRule="auto"/>
        <w:rPr>
          <w:rFonts w:ascii="宋体" w:hAnsi="宋体" w:cs="宋体"/>
          <w:sz w:val="24"/>
        </w:rPr>
      </w:pPr>
      <w:r>
        <w:rPr>
          <w:rFonts w:hint="eastAsia" w:ascii="宋体" w:hAnsi="宋体" w:cs="宋体"/>
          <w:sz w:val="24"/>
        </w:rPr>
        <w:t>2.1.6特殊探头技术：需具备单晶体及精准控温探头技术</w:t>
      </w:r>
    </w:p>
    <w:p>
      <w:pPr>
        <w:spacing w:line="360" w:lineRule="auto"/>
        <w:rPr>
          <w:rFonts w:ascii="宋体" w:hAnsi="宋体" w:cs="宋体"/>
          <w:sz w:val="24"/>
        </w:rPr>
      </w:pPr>
      <w:r>
        <w:rPr>
          <w:rFonts w:hint="eastAsia" w:ascii="宋体" w:hAnsi="宋体" w:cs="宋体"/>
          <w:sz w:val="24"/>
        </w:rPr>
        <w:t>2.1.7二维灰阶成像单元</w:t>
      </w:r>
    </w:p>
    <w:p>
      <w:pPr>
        <w:spacing w:line="360" w:lineRule="auto"/>
        <w:rPr>
          <w:rFonts w:ascii="宋体" w:hAnsi="宋体" w:cs="宋体"/>
          <w:sz w:val="24"/>
        </w:rPr>
      </w:pPr>
      <w:r>
        <w:rPr>
          <w:rFonts w:hint="eastAsia" w:ascii="宋体" w:hAnsi="宋体" w:cs="宋体"/>
          <w:sz w:val="24"/>
        </w:rPr>
        <w:t>2.1.7.1所有探头均为宽频、多点变频探头，基波频率、基波与谐波成像频率必须具体在屏幕上显示</w:t>
      </w:r>
    </w:p>
    <w:p>
      <w:pPr>
        <w:spacing w:line="360" w:lineRule="auto"/>
        <w:rPr>
          <w:rFonts w:ascii="宋体" w:hAnsi="宋体" w:cs="宋体"/>
          <w:sz w:val="24"/>
        </w:rPr>
      </w:pPr>
      <w:r>
        <w:rPr>
          <w:rFonts w:hint="eastAsia" w:ascii="宋体" w:hAnsi="宋体" w:cs="宋体"/>
          <w:sz w:val="24"/>
        </w:rPr>
        <w:t>2.1.7.2一键式实时自动连续优化图像技术</w:t>
      </w:r>
    </w:p>
    <w:p>
      <w:pPr>
        <w:spacing w:line="360" w:lineRule="auto"/>
        <w:rPr>
          <w:rFonts w:ascii="宋体" w:hAnsi="宋体" w:cs="宋体"/>
          <w:sz w:val="24"/>
        </w:rPr>
      </w:pPr>
      <w:r>
        <w:rPr>
          <w:rFonts w:hint="eastAsia" w:ascii="宋体" w:hAnsi="宋体" w:cs="宋体"/>
          <w:sz w:val="24"/>
        </w:rPr>
        <w:t>2.1.7.3实时宽景成像技术，可前进和后退</w:t>
      </w:r>
    </w:p>
    <w:p>
      <w:pPr>
        <w:spacing w:line="360" w:lineRule="auto"/>
        <w:rPr>
          <w:rFonts w:ascii="宋体" w:hAnsi="宋体" w:cs="宋体"/>
          <w:sz w:val="24"/>
        </w:rPr>
      </w:pPr>
      <w:r>
        <w:rPr>
          <w:rFonts w:hint="eastAsia" w:ascii="宋体" w:hAnsi="宋体" w:cs="宋体"/>
          <w:sz w:val="24"/>
        </w:rPr>
        <w:t>2.1.7.4高清晰成像：采用实时双频率复合成像，一键控制启动，以减少噪音和对比度。</w:t>
      </w:r>
    </w:p>
    <w:p>
      <w:pPr>
        <w:spacing w:line="360" w:lineRule="auto"/>
        <w:rPr>
          <w:rFonts w:ascii="宋体" w:hAnsi="宋体" w:cs="宋体"/>
          <w:sz w:val="24"/>
        </w:rPr>
      </w:pPr>
      <w:r>
        <w:rPr>
          <w:rFonts w:hint="eastAsia" w:ascii="宋体" w:hAnsi="宋体" w:cs="宋体"/>
          <w:sz w:val="24"/>
        </w:rPr>
        <w:t>2.1.8</w:t>
      </w:r>
      <w:r>
        <w:rPr>
          <w:rFonts w:hint="eastAsia" w:ascii="宋体" w:hAnsi="宋体" w:cs="宋体"/>
          <w:sz w:val="24"/>
        </w:rPr>
        <w:tab/>
      </w:r>
      <w:r>
        <w:rPr>
          <w:rFonts w:hint="eastAsia" w:ascii="宋体" w:hAnsi="宋体" w:cs="宋体"/>
          <w:sz w:val="24"/>
        </w:rPr>
        <w:t>彩色多普勒血流成像单元</w:t>
      </w:r>
    </w:p>
    <w:p>
      <w:pPr>
        <w:spacing w:line="360" w:lineRule="auto"/>
        <w:rPr>
          <w:rFonts w:ascii="宋体" w:hAnsi="宋体" w:cs="宋体"/>
          <w:sz w:val="24"/>
        </w:rPr>
      </w:pPr>
      <w:r>
        <w:rPr>
          <w:rFonts w:hint="eastAsia" w:ascii="宋体" w:hAnsi="宋体" w:cs="宋体"/>
          <w:sz w:val="24"/>
        </w:rPr>
        <w:t>2.1.8.1具有二维彩色模式、四维彩色模式、能量图模式、速度方差模式、彩色M型模式、组织速度图、组织位移图等多种模式</w:t>
      </w:r>
    </w:p>
    <w:p>
      <w:pPr>
        <w:spacing w:line="360" w:lineRule="auto"/>
        <w:rPr>
          <w:rFonts w:ascii="宋体" w:hAnsi="宋体" w:cs="宋体"/>
          <w:sz w:val="24"/>
        </w:rPr>
      </w:pPr>
      <w:r>
        <w:rPr>
          <w:rFonts w:hint="eastAsia" w:ascii="宋体" w:hAnsi="宋体" w:cs="宋体"/>
          <w:sz w:val="24"/>
        </w:rPr>
        <w:t>2.1.8.2彩色帧频可独立调节</w:t>
      </w:r>
    </w:p>
    <w:p>
      <w:pPr>
        <w:spacing w:line="360" w:lineRule="auto"/>
        <w:rPr>
          <w:rFonts w:ascii="宋体" w:hAnsi="宋体" w:cs="宋体"/>
          <w:sz w:val="24"/>
        </w:rPr>
      </w:pPr>
      <w:r>
        <w:rPr>
          <w:rFonts w:hint="eastAsia" w:ascii="宋体" w:hAnsi="宋体" w:cs="宋体"/>
          <w:sz w:val="24"/>
        </w:rPr>
        <w:t>2.1.9</w:t>
      </w:r>
      <w:r>
        <w:rPr>
          <w:rFonts w:hint="eastAsia" w:ascii="宋体" w:hAnsi="宋体" w:cs="宋体"/>
          <w:sz w:val="24"/>
        </w:rPr>
        <w:tab/>
      </w:r>
      <w:r>
        <w:rPr>
          <w:rFonts w:hint="eastAsia" w:ascii="宋体" w:hAnsi="宋体" w:cs="宋体"/>
          <w:sz w:val="24"/>
        </w:rPr>
        <w:t>频谱多普勒显示单元及分析系统</w:t>
      </w:r>
    </w:p>
    <w:p>
      <w:pPr>
        <w:spacing w:line="360" w:lineRule="auto"/>
        <w:rPr>
          <w:rFonts w:ascii="宋体" w:hAnsi="宋体" w:cs="宋体"/>
          <w:sz w:val="24"/>
        </w:rPr>
      </w:pPr>
      <w:r>
        <w:rPr>
          <w:rFonts w:hint="eastAsia" w:ascii="宋体" w:hAnsi="宋体" w:cs="宋体"/>
          <w:sz w:val="24"/>
        </w:rPr>
        <w:t>2.1.9.1具有PW、CW、LPRF和多种模式</w:t>
      </w:r>
    </w:p>
    <w:p>
      <w:pPr>
        <w:spacing w:line="360" w:lineRule="auto"/>
        <w:rPr>
          <w:rFonts w:ascii="宋体" w:hAnsi="宋体" w:cs="宋体"/>
          <w:sz w:val="24"/>
        </w:rPr>
      </w:pPr>
      <w:r>
        <w:rPr>
          <w:rFonts w:hint="eastAsia" w:ascii="宋体" w:hAnsi="宋体" w:cs="宋体"/>
          <w:sz w:val="24"/>
        </w:rPr>
        <w:t>2.1.9.2自动角度纠正功能，以适应不同角度血管检测</w:t>
      </w:r>
    </w:p>
    <w:p>
      <w:pPr>
        <w:spacing w:line="360" w:lineRule="auto"/>
        <w:rPr>
          <w:rFonts w:ascii="宋体" w:hAnsi="宋体" w:cs="宋体"/>
          <w:sz w:val="24"/>
        </w:rPr>
      </w:pPr>
      <w:r>
        <w:rPr>
          <w:rFonts w:hint="eastAsia" w:ascii="宋体" w:hAnsi="宋体" w:cs="宋体"/>
          <w:sz w:val="24"/>
        </w:rPr>
        <w:t>2.1.10</w:t>
      </w:r>
      <w:r>
        <w:rPr>
          <w:rFonts w:hint="eastAsia" w:ascii="宋体" w:hAnsi="宋体" w:cs="宋体"/>
          <w:sz w:val="24"/>
        </w:rPr>
        <w:tab/>
      </w:r>
      <w:r>
        <w:rPr>
          <w:rFonts w:hint="eastAsia" w:ascii="宋体" w:hAnsi="宋体" w:cs="宋体"/>
          <w:sz w:val="24"/>
        </w:rPr>
        <w:t>组织多普勒成像单元</w:t>
      </w:r>
    </w:p>
    <w:p>
      <w:pPr>
        <w:spacing w:line="360" w:lineRule="auto"/>
        <w:rPr>
          <w:rFonts w:ascii="宋体" w:hAnsi="宋体" w:cs="宋体"/>
          <w:sz w:val="24"/>
        </w:rPr>
      </w:pPr>
      <w:r>
        <w:rPr>
          <w:rFonts w:hint="eastAsia" w:ascii="宋体" w:hAnsi="宋体" w:cs="宋体"/>
          <w:sz w:val="24"/>
        </w:rPr>
        <w:t>2.1.10.1实时一键式组织速度图成像</w:t>
      </w:r>
    </w:p>
    <w:p>
      <w:pPr>
        <w:spacing w:line="360" w:lineRule="auto"/>
        <w:rPr>
          <w:rFonts w:ascii="宋体" w:hAnsi="宋体" w:cs="宋体"/>
          <w:sz w:val="24"/>
        </w:rPr>
      </w:pPr>
      <w:r>
        <w:rPr>
          <w:rFonts w:hint="eastAsia" w:ascii="宋体" w:hAnsi="宋体" w:cs="宋体"/>
          <w:sz w:val="24"/>
        </w:rPr>
        <w:t>2.1.10.2实时一键式组织追踪图成像</w:t>
      </w:r>
    </w:p>
    <w:p>
      <w:pPr>
        <w:spacing w:line="360" w:lineRule="auto"/>
        <w:rPr>
          <w:rFonts w:ascii="宋体" w:hAnsi="宋体" w:cs="宋体"/>
          <w:sz w:val="24"/>
        </w:rPr>
      </w:pPr>
      <w:r>
        <w:rPr>
          <w:rFonts w:hint="eastAsia" w:ascii="宋体" w:hAnsi="宋体" w:cs="宋体"/>
          <w:sz w:val="24"/>
        </w:rPr>
        <w:t>2.1.10.3主机在线组织同步化显像</w:t>
      </w:r>
    </w:p>
    <w:p>
      <w:pPr>
        <w:spacing w:line="360" w:lineRule="auto"/>
        <w:rPr>
          <w:rFonts w:ascii="宋体" w:hAnsi="宋体" w:cs="宋体"/>
          <w:sz w:val="24"/>
        </w:rPr>
      </w:pPr>
      <w:r>
        <w:rPr>
          <w:rFonts w:hint="eastAsia" w:ascii="宋体" w:hAnsi="宋体" w:cs="宋体"/>
          <w:sz w:val="24"/>
        </w:rPr>
        <w:t>2.1.10.4主机在线同时显示8个节段的心肌速度曲线、位移曲线、应变及应变率曲线</w:t>
      </w:r>
    </w:p>
    <w:p>
      <w:pPr>
        <w:spacing w:line="360" w:lineRule="auto"/>
        <w:rPr>
          <w:rFonts w:ascii="宋体" w:hAnsi="宋体" w:cs="宋体"/>
          <w:sz w:val="24"/>
        </w:rPr>
      </w:pPr>
      <w:r>
        <w:rPr>
          <w:rFonts w:hint="eastAsia" w:ascii="宋体" w:hAnsi="宋体" w:cs="宋体"/>
          <w:sz w:val="24"/>
        </w:rPr>
        <w:t>2.1.10.5定量曲线能自动导入主动脉瓣及二尖瓣开放关闭时间</w:t>
      </w:r>
    </w:p>
    <w:p>
      <w:pPr>
        <w:spacing w:line="360" w:lineRule="auto"/>
        <w:rPr>
          <w:rFonts w:ascii="宋体" w:hAnsi="宋体" w:cs="宋体"/>
          <w:sz w:val="24"/>
        </w:rPr>
      </w:pPr>
      <w:r>
        <w:rPr>
          <w:rFonts w:hint="eastAsia" w:ascii="宋体" w:hAnsi="宋体" w:cs="宋体"/>
          <w:sz w:val="24"/>
        </w:rPr>
        <w:t>2.1.10.6</w:t>
      </w:r>
      <w:r>
        <w:rPr>
          <w:rFonts w:hint="eastAsia" w:ascii="宋体" w:hAnsi="宋体" w:cs="宋体"/>
          <w:sz w:val="24"/>
        </w:rPr>
        <w:tab/>
      </w:r>
      <w:r>
        <w:rPr>
          <w:rFonts w:hint="eastAsia" w:ascii="宋体" w:hAnsi="宋体" w:cs="宋体"/>
          <w:sz w:val="24"/>
        </w:rPr>
        <w:t>支持三平面成像</w:t>
      </w:r>
    </w:p>
    <w:p>
      <w:pPr>
        <w:spacing w:line="360" w:lineRule="auto"/>
        <w:rPr>
          <w:rFonts w:ascii="宋体" w:hAnsi="宋体" w:cs="宋体"/>
          <w:sz w:val="24"/>
        </w:rPr>
      </w:pPr>
      <w:r>
        <w:rPr>
          <w:rFonts w:hint="eastAsia" w:ascii="宋体" w:hAnsi="宋体" w:cs="宋体"/>
          <w:sz w:val="24"/>
        </w:rPr>
        <w:t>2.1.11</w:t>
      </w:r>
      <w:r>
        <w:rPr>
          <w:rFonts w:hint="eastAsia" w:ascii="宋体" w:hAnsi="宋体" w:cs="宋体"/>
          <w:sz w:val="24"/>
        </w:rPr>
        <w:tab/>
      </w:r>
      <w:r>
        <w:rPr>
          <w:rFonts w:hint="eastAsia" w:ascii="宋体" w:hAnsi="宋体" w:cs="宋体"/>
          <w:sz w:val="24"/>
        </w:rPr>
        <w:t xml:space="preserve"> 四维成像单元</w:t>
      </w:r>
    </w:p>
    <w:p>
      <w:pPr>
        <w:spacing w:line="360" w:lineRule="auto"/>
        <w:rPr>
          <w:rFonts w:ascii="宋体" w:hAnsi="宋体" w:cs="宋体"/>
          <w:b/>
          <w:sz w:val="24"/>
        </w:rPr>
      </w:pPr>
      <w:r>
        <w:rPr>
          <w:rFonts w:hint="eastAsia" w:ascii="宋体" w:hAnsi="宋体" w:cs="宋体"/>
          <w:b/>
          <w:sz w:val="24"/>
        </w:rPr>
        <w:t>*2.1.11.1</w:t>
      </w:r>
      <w:r>
        <w:rPr>
          <w:rFonts w:hint="eastAsia" w:ascii="宋体" w:hAnsi="宋体" w:cs="宋体"/>
          <w:b/>
          <w:sz w:val="24"/>
        </w:rPr>
        <w:tab/>
      </w:r>
      <w:r>
        <w:rPr>
          <w:rFonts w:hint="eastAsia" w:ascii="宋体" w:hAnsi="宋体" w:cs="宋体"/>
          <w:b/>
          <w:sz w:val="24"/>
        </w:rPr>
        <w:t>四维成像单元支持经食道容积成像探头</w:t>
      </w:r>
    </w:p>
    <w:p>
      <w:pPr>
        <w:spacing w:line="360" w:lineRule="auto"/>
        <w:rPr>
          <w:rFonts w:ascii="宋体" w:hAnsi="宋体" w:cs="宋体"/>
          <w:sz w:val="24"/>
        </w:rPr>
      </w:pPr>
      <w:r>
        <w:rPr>
          <w:rFonts w:hint="eastAsia" w:ascii="宋体" w:hAnsi="宋体" w:cs="宋体"/>
          <w:sz w:val="24"/>
        </w:rPr>
        <w:t>2.1.11.2四维探头具有二维、彩色、PW、CW、M型、任意角度直线与曲线解剖M型、组织多普勒、多平面及四维、超声造影等全部功能模式</w:t>
      </w:r>
    </w:p>
    <w:p>
      <w:pPr>
        <w:spacing w:line="360" w:lineRule="auto"/>
        <w:rPr>
          <w:rFonts w:ascii="宋体" w:hAnsi="宋体" w:cs="宋体"/>
          <w:sz w:val="24"/>
        </w:rPr>
      </w:pPr>
      <w:r>
        <w:rPr>
          <w:rFonts w:hint="eastAsia" w:ascii="宋体" w:hAnsi="宋体" w:cs="宋体"/>
          <w:sz w:val="24"/>
        </w:rPr>
        <w:t>2.1.11.3单心动周期全容积成像模式</w:t>
      </w:r>
    </w:p>
    <w:p>
      <w:pPr>
        <w:spacing w:line="360" w:lineRule="auto"/>
        <w:rPr>
          <w:rFonts w:ascii="宋体" w:hAnsi="宋体" w:cs="宋体"/>
          <w:sz w:val="24"/>
        </w:rPr>
      </w:pPr>
      <w:r>
        <w:rPr>
          <w:rFonts w:hint="eastAsia" w:ascii="宋体" w:hAnsi="宋体" w:cs="宋体"/>
          <w:sz w:val="24"/>
        </w:rPr>
        <w:t>2.1.11.4多心动周期全容积成像</w:t>
      </w:r>
    </w:p>
    <w:p>
      <w:pPr>
        <w:spacing w:line="360" w:lineRule="auto"/>
        <w:rPr>
          <w:rFonts w:ascii="宋体" w:hAnsi="宋体" w:cs="宋体"/>
          <w:sz w:val="24"/>
        </w:rPr>
      </w:pPr>
      <w:r>
        <w:rPr>
          <w:rFonts w:hint="eastAsia" w:ascii="宋体" w:hAnsi="宋体" w:cs="宋体"/>
          <w:sz w:val="24"/>
        </w:rPr>
        <w:t>2.1.11.5四维成像角度预设值，根据不同观察部位自由选择；角度预设个数≥3个</w:t>
      </w:r>
    </w:p>
    <w:p>
      <w:pPr>
        <w:spacing w:line="360" w:lineRule="auto"/>
        <w:rPr>
          <w:rFonts w:ascii="宋体" w:hAnsi="宋体" w:cs="宋体"/>
          <w:sz w:val="24"/>
        </w:rPr>
      </w:pPr>
      <w:r>
        <w:rPr>
          <w:rFonts w:hint="eastAsia" w:ascii="宋体" w:hAnsi="宋体" w:cs="宋体"/>
          <w:sz w:val="24"/>
        </w:rPr>
        <w:t xml:space="preserve">2.1.11.6心脏瓣膜四维成像预设值，一键式获取二尖瓣外科视野 </w:t>
      </w:r>
    </w:p>
    <w:p>
      <w:pPr>
        <w:spacing w:line="360" w:lineRule="auto"/>
        <w:rPr>
          <w:rFonts w:ascii="宋体" w:hAnsi="宋体" w:cs="宋体"/>
          <w:sz w:val="24"/>
        </w:rPr>
      </w:pPr>
      <w:r>
        <w:rPr>
          <w:rFonts w:hint="eastAsia" w:ascii="宋体" w:hAnsi="宋体" w:cs="宋体"/>
          <w:sz w:val="24"/>
        </w:rPr>
        <w:t xml:space="preserve">2.1.11.7心脏瓣膜四维成像预设值，一键式获取主动脉长轴或短轴的四维图像 </w:t>
      </w:r>
    </w:p>
    <w:p>
      <w:pPr>
        <w:spacing w:line="360" w:lineRule="auto"/>
        <w:rPr>
          <w:rFonts w:hint="eastAsia" w:ascii="宋体" w:hAnsi="宋体" w:cs="宋体"/>
          <w:sz w:val="24"/>
        </w:rPr>
      </w:pPr>
      <w:r>
        <w:rPr>
          <w:rFonts w:hint="eastAsia" w:ascii="宋体" w:hAnsi="宋体" w:cs="宋体"/>
          <w:sz w:val="24"/>
        </w:rPr>
        <w:t>2.1.11.8具有四维局部放大和感兴趣区取样框功能，实时双平面观察</w:t>
      </w:r>
    </w:p>
    <w:p>
      <w:pPr>
        <w:spacing w:line="360" w:lineRule="auto"/>
        <w:rPr>
          <w:rFonts w:ascii="宋体" w:hAnsi="宋体" w:cs="宋体"/>
          <w:sz w:val="24"/>
        </w:rPr>
      </w:pPr>
      <w:r>
        <w:rPr>
          <w:rFonts w:hint="eastAsia" w:ascii="宋体" w:hAnsi="宋体" w:cs="宋体"/>
          <w:sz w:val="24"/>
        </w:rPr>
        <w:t>2.1.11.9容积帧频可独立调节</w:t>
      </w:r>
    </w:p>
    <w:p>
      <w:pPr>
        <w:spacing w:line="360" w:lineRule="auto"/>
        <w:rPr>
          <w:rFonts w:ascii="宋体" w:hAnsi="宋体" w:cs="宋体"/>
          <w:sz w:val="24"/>
        </w:rPr>
      </w:pPr>
      <w:r>
        <w:rPr>
          <w:rFonts w:hint="eastAsia" w:ascii="宋体" w:hAnsi="宋体" w:cs="宋体"/>
          <w:sz w:val="24"/>
        </w:rPr>
        <w:t>2.1.11.10</w:t>
      </w:r>
      <w:r>
        <w:rPr>
          <w:rFonts w:hint="eastAsia" w:ascii="宋体" w:hAnsi="宋体" w:cs="宋体"/>
          <w:sz w:val="24"/>
        </w:rPr>
        <w:tab/>
      </w:r>
      <w:r>
        <w:rPr>
          <w:rFonts w:hint="eastAsia" w:ascii="宋体" w:hAnsi="宋体" w:cs="宋体"/>
          <w:sz w:val="24"/>
        </w:rPr>
        <w:t>四维空间噪音抑制，降低四维图像和基于四维的二维图像的噪音信号</w:t>
      </w:r>
    </w:p>
    <w:p>
      <w:pPr>
        <w:spacing w:line="360" w:lineRule="auto"/>
        <w:rPr>
          <w:rFonts w:ascii="宋体" w:hAnsi="宋体" w:cs="宋体"/>
          <w:sz w:val="24"/>
        </w:rPr>
      </w:pPr>
      <w:r>
        <w:rPr>
          <w:rFonts w:hint="eastAsia" w:ascii="宋体" w:hAnsi="宋体" w:cs="宋体"/>
          <w:sz w:val="24"/>
        </w:rPr>
        <w:t>2.1.11.11</w:t>
      </w:r>
      <w:r>
        <w:rPr>
          <w:rFonts w:hint="eastAsia" w:ascii="宋体" w:hAnsi="宋体" w:cs="宋体"/>
          <w:sz w:val="24"/>
        </w:rPr>
        <w:tab/>
      </w:r>
      <w:r>
        <w:rPr>
          <w:rFonts w:hint="eastAsia" w:ascii="宋体" w:hAnsi="宋体" w:cs="宋体"/>
          <w:sz w:val="24"/>
        </w:rPr>
        <w:t>四维心尖扩展成像技术，扩展心尖显示视野</w:t>
      </w:r>
    </w:p>
    <w:p>
      <w:pPr>
        <w:spacing w:line="360" w:lineRule="auto"/>
        <w:rPr>
          <w:rFonts w:hint="eastAsia" w:ascii="宋体" w:hAnsi="宋体" w:cs="宋体"/>
          <w:sz w:val="24"/>
        </w:rPr>
      </w:pPr>
      <w:r>
        <w:rPr>
          <w:rFonts w:hint="eastAsia" w:ascii="宋体" w:hAnsi="宋体" w:cs="宋体"/>
          <w:sz w:val="24"/>
        </w:rPr>
        <w:t>2.1.11.12</w:t>
      </w:r>
      <w:r>
        <w:rPr>
          <w:rFonts w:hint="eastAsia" w:ascii="宋体" w:hAnsi="宋体" w:cs="宋体"/>
          <w:sz w:val="24"/>
        </w:rPr>
        <w:tab/>
      </w:r>
      <w:r>
        <w:rPr>
          <w:rFonts w:hint="eastAsia" w:ascii="宋体" w:hAnsi="宋体" w:cs="宋体"/>
          <w:sz w:val="24"/>
        </w:rPr>
        <w:t>实时三平面成像：一次扫查同时获取同一心动周期三个切面的图像；切面之间的角度任意可调；支持二维、彩色，组织多普勒等模式</w:t>
      </w:r>
    </w:p>
    <w:p>
      <w:pPr>
        <w:spacing w:line="360" w:lineRule="auto"/>
        <w:rPr>
          <w:rFonts w:ascii="宋体" w:hAnsi="宋体" w:cs="宋体"/>
          <w:sz w:val="24"/>
        </w:rPr>
      </w:pPr>
      <w:r>
        <w:rPr>
          <w:rFonts w:hint="eastAsia" w:ascii="宋体" w:hAnsi="宋体" w:cs="宋体"/>
          <w:sz w:val="24"/>
        </w:rPr>
        <w:t>2.1.11.13</w:t>
      </w:r>
      <w:r>
        <w:rPr>
          <w:rFonts w:hint="eastAsia" w:ascii="宋体" w:hAnsi="宋体" w:cs="宋体"/>
          <w:sz w:val="24"/>
        </w:rPr>
        <w:tab/>
      </w:r>
      <w:r>
        <w:rPr>
          <w:rFonts w:hint="eastAsia" w:ascii="宋体" w:hAnsi="宋体" w:cs="宋体"/>
          <w:sz w:val="24"/>
        </w:rPr>
        <w:t>在实时和回放容积图像上，通过设定一个起始点，即可获得360度任意方位的四维成像</w:t>
      </w:r>
    </w:p>
    <w:p>
      <w:pPr>
        <w:spacing w:line="360" w:lineRule="auto"/>
        <w:rPr>
          <w:rFonts w:hint="eastAsia" w:ascii="宋体" w:hAnsi="宋体" w:cs="宋体"/>
          <w:sz w:val="24"/>
        </w:rPr>
      </w:pPr>
      <w:r>
        <w:rPr>
          <w:rFonts w:hint="eastAsia" w:ascii="宋体" w:hAnsi="宋体" w:cs="宋体"/>
          <w:sz w:val="24"/>
        </w:rPr>
        <w:t>2.1.11.14</w:t>
      </w:r>
      <w:r>
        <w:rPr>
          <w:rFonts w:hint="eastAsia" w:ascii="宋体" w:hAnsi="宋体" w:cs="宋体"/>
          <w:sz w:val="24"/>
        </w:rPr>
        <w:tab/>
      </w:r>
      <w:r>
        <w:rPr>
          <w:rFonts w:hint="eastAsia" w:ascii="宋体" w:hAnsi="宋体" w:cs="宋体"/>
          <w:sz w:val="24"/>
        </w:rPr>
        <w:t>心脏内腔镜四维成像技术：采用光源投照等多模式显示心脏解剖结构的空间结构，光源方向与级别可调，增加立体显示效果</w:t>
      </w:r>
    </w:p>
    <w:p>
      <w:pPr>
        <w:spacing w:line="360" w:lineRule="auto"/>
        <w:rPr>
          <w:rFonts w:hint="eastAsia" w:ascii="宋体" w:hAnsi="宋体" w:cs="宋体"/>
          <w:sz w:val="24"/>
        </w:rPr>
      </w:pPr>
      <w:r>
        <w:rPr>
          <w:rFonts w:hint="eastAsia" w:ascii="宋体" w:hAnsi="宋体" w:cs="宋体"/>
          <w:sz w:val="24"/>
        </w:rPr>
        <w:t>2.1.12</w:t>
      </w:r>
      <w:r>
        <w:rPr>
          <w:rFonts w:hint="eastAsia" w:ascii="宋体" w:hAnsi="宋体" w:cs="宋体"/>
          <w:sz w:val="24"/>
        </w:rPr>
        <w:tab/>
      </w:r>
      <w:r>
        <w:rPr>
          <w:rFonts w:hint="eastAsia" w:ascii="宋体" w:hAnsi="宋体" w:cs="宋体"/>
          <w:sz w:val="24"/>
        </w:rPr>
        <w:t>扫描助手功能：客户自定义操作流程、成像模式设定、测量等操作</w:t>
      </w:r>
    </w:p>
    <w:p>
      <w:pPr>
        <w:spacing w:line="360" w:lineRule="auto"/>
        <w:rPr>
          <w:rFonts w:ascii="宋体" w:hAnsi="宋体" w:cs="宋体"/>
          <w:sz w:val="24"/>
        </w:rPr>
      </w:pPr>
      <w:r>
        <w:rPr>
          <w:rFonts w:hint="eastAsia" w:ascii="宋体" w:hAnsi="宋体" w:cs="宋体"/>
          <w:sz w:val="24"/>
        </w:rPr>
        <w:t>2.2</w:t>
      </w:r>
      <w:r>
        <w:rPr>
          <w:rFonts w:hint="eastAsia" w:ascii="宋体" w:hAnsi="宋体" w:cs="宋体"/>
          <w:sz w:val="24"/>
        </w:rPr>
        <w:tab/>
      </w:r>
      <w:r>
        <w:rPr>
          <w:rFonts w:hint="eastAsia" w:ascii="宋体" w:hAnsi="宋体" w:cs="宋体"/>
          <w:sz w:val="24"/>
        </w:rPr>
        <w:t>测量和分析： (B型、M型、频谱多普勒、彩色多普勒、心脏容积模式)</w:t>
      </w:r>
    </w:p>
    <w:p>
      <w:pPr>
        <w:spacing w:line="360" w:lineRule="auto"/>
        <w:rPr>
          <w:rFonts w:ascii="宋体" w:hAnsi="宋体" w:cs="宋体"/>
          <w:sz w:val="24"/>
        </w:rPr>
      </w:pPr>
      <w:r>
        <w:rPr>
          <w:rFonts w:hint="eastAsia" w:ascii="宋体" w:hAnsi="宋体" w:cs="宋体"/>
          <w:sz w:val="24"/>
        </w:rPr>
        <w:t>2.2.1</w:t>
      </w:r>
      <w:r>
        <w:rPr>
          <w:rFonts w:hint="eastAsia" w:ascii="宋体" w:hAnsi="宋体" w:cs="宋体"/>
          <w:sz w:val="24"/>
        </w:rPr>
        <w:tab/>
      </w:r>
      <w:r>
        <w:rPr>
          <w:rFonts w:hint="eastAsia" w:ascii="宋体" w:hAnsi="宋体" w:cs="宋体"/>
          <w:sz w:val="24"/>
        </w:rPr>
        <w:t>一般测量功能：直径、面积、体积、狭窄率、压差等</w:t>
      </w:r>
    </w:p>
    <w:p>
      <w:pPr>
        <w:spacing w:line="360" w:lineRule="auto"/>
        <w:rPr>
          <w:rFonts w:ascii="宋体" w:hAnsi="宋体" w:cs="宋体"/>
          <w:sz w:val="24"/>
        </w:rPr>
      </w:pPr>
      <w:r>
        <w:rPr>
          <w:rFonts w:hint="eastAsia" w:ascii="宋体" w:hAnsi="宋体" w:cs="宋体"/>
          <w:sz w:val="24"/>
        </w:rPr>
        <w:t>2.2.2</w:t>
      </w:r>
      <w:r>
        <w:rPr>
          <w:rFonts w:hint="eastAsia" w:ascii="宋体" w:hAnsi="宋体" w:cs="宋体"/>
          <w:sz w:val="24"/>
        </w:rPr>
        <w:tab/>
      </w:r>
      <w:r>
        <w:rPr>
          <w:rFonts w:hint="eastAsia" w:ascii="宋体" w:hAnsi="宋体" w:cs="宋体"/>
          <w:sz w:val="24"/>
        </w:rPr>
        <w:t>心脏功能测量与分析</w:t>
      </w:r>
    </w:p>
    <w:p>
      <w:pPr>
        <w:spacing w:line="360" w:lineRule="auto"/>
        <w:rPr>
          <w:rFonts w:ascii="宋体" w:hAnsi="宋体" w:cs="宋体"/>
          <w:sz w:val="24"/>
        </w:rPr>
      </w:pPr>
      <w:r>
        <w:rPr>
          <w:rFonts w:hint="eastAsia" w:ascii="宋体" w:hAnsi="宋体" w:cs="宋体"/>
          <w:sz w:val="24"/>
        </w:rPr>
        <w:t>2.2.2.1解剖M型：可用于二维、彩色血流及组织多普勒模式</w:t>
      </w:r>
    </w:p>
    <w:p>
      <w:pPr>
        <w:spacing w:line="360" w:lineRule="auto"/>
        <w:rPr>
          <w:rFonts w:ascii="宋体" w:hAnsi="宋体" w:cs="宋体"/>
          <w:sz w:val="24"/>
        </w:rPr>
      </w:pPr>
      <w:r>
        <w:rPr>
          <w:rFonts w:hint="eastAsia" w:ascii="宋体" w:hAnsi="宋体" w:cs="宋体"/>
          <w:sz w:val="24"/>
        </w:rPr>
        <w:t>2.2.2.2自动二维心功能测量，支持单平面和双平面计算</w:t>
      </w:r>
    </w:p>
    <w:p>
      <w:pPr>
        <w:spacing w:line="360" w:lineRule="auto"/>
        <w:rPr>
          <w:rFonts w:ascii="宋体" w:hAnsi="宋体" w:cs="宋体"/>
          <w:sz w:val="24"/>
        </w:rPr>
      </w:pPr>
      <w:r>
        <w:rPr>
          <w:rFonts w:hint="eastAsia" w:ascii="宋体" w:hAnsi="宋体" w:cs="宋体"/>
          <w:sz w:val="24"/>
        </w:rPr>
        <w:t>2.2.2.3组织多普勒定量分析技术: 实时组织多普勒速度彩色显示，单节段运动速度曲线、不低于8个节段运动速度曲线同步显示、同一时间点的不同节段运动速度同步显示; 心肌运动同步性定量分析，快速直观显示峰值速度、达峰时间、间隔侧壁延迟、间隔后壁延迟、基底最大延迟、所有节段最大延迟等多种参数，并具有≥12节段心肌的牛眼图显示</w:t>
      </w:r>
    </w:p>
    <w:p>
      <w:pPr>
        <w:spacing w:line="360" w:lineRule="auto"/>
        <w:rPr>
          <w:rFonts w:ascii="宋体" w:hAnsi="宋体" w:cs="宋体"/>
          <w:sz w:val="24"/>
        </w:rPr>
      </w:pPr>
      <w:r>
        <w:rPr>
          <w:rFonts w:hint="eastAsia" w:ascii="宋体" w:hAnsi="宋体" w:cs="宋体"/>
          <w:sz w:val="24"/>
        </w:rPr>
        <w:t>2.2.2.4在线四维自动左室定量分析：在主机上实现基于全容积成像数据，自动追踪左心室内膜边界，自动提供EDV、 ESV、EF、SV、CO等心功能分析参数，并能够提供左室容积变化曲线、左心室球形指数(SpI)等高级分析参数。</w:t>
      </w:r>
    </w:p>
    <w:p>
      <w:pPr>
        <w:spacing w:line="360" w:lineRule="auto"/>
        <w:rPr>
          <w:rFonts w:ascii="宋体" w:hAnsi="宋体" w:cs="宋体"/>
          <w:sz w:val="24"/>
        </w:rPr>
      </w:pPr>
      <w:r>
        <w:rPr>
          <w:rFonts w:hint="eastAsia" w:ascii="宋体" w:hAnsi="宋体" w:cs="宋体"/>
          <w:sz w:val="24"/>
        </w:rPr>
        <w:t>2.2.2.5二尖瓣定量分析工具，能在机对经食管采集的容积图像进行快速二尖瓣空间结构追踪描记，并对瓣环、瓣叶、对合等进行定量分析、模型建立。分析结果快速，用于指导外科临床。</w:t>
      </w:r>
    </w:p>
    <w:p>
      <w:pPr>
        <w:spacing w:line="360" w:lineRule="auto"/>
        <w:rPr>
          <w:rFonts w:ascii="宋体" w:hAnsi="宋体" w:cs="宋体"/>
          <w:sz w:val="24"/>
        </w:rPr>
      </w:pPr>
      <w:r>
        <w:rPr>
          <w:rFonts w:hint="eastAsia" w:ascii="宋体" w:hAnsi="宋体" w:cs="宋体"/>
          <w:sz w:val="24"/>
        </w:rPr>
        <w:t>2.3</w:t>
      </w:r>
      <w:r>
        <w:rPr>
          <w:rFonts w:hint="eastAsia" w:ascii="宋体" w:hAnsi="宋体" w:cs="宋体"/>
          <w:sz w:val="24"/>
        </w:rPr>
        <w:tab/>
      </w:r>
      <w:r>
        <w:rPr>
          <w:rFonts w:hint="eastAsia" w:ascii="宋体" w:hAnsi="宋体" w:cs="宋体"/>
          <w:sz w:val="24"/>
        </w:rPr>
        <w:t>图像存储与（电影）回放重现单元</w:t>
      </w:r>
    </w:p>
    <w:p>
      <w:pPr>
        <w:spacing w:line="360" w:lineRule="auto"/>
        <w:rPr>
          <w:rFonts w:ascii="宋体" w:hAnsi="宋体" w:cs="宋体"/>
          <w:sz w:val="24"/>
        </w:rPr>
      </w:pPr>
      <w:r>
        <w:rPr>
          <w:rFonts w:hint="eastAsia" w:ascii="宋体" w:hAnsi="宋体" w:cs="宋体"/>
          <w:sz w:val="24"/>
        </w:rPr>
        <w:t>2.3.1超声图像静态、动态存储，原始数据回放重现</w:t>
      </w:r>
    </w:p>
    <w:p>
      <w:pPr>
        <w:spacing w:line="360" w:lineRule="auto"/>
        <w:rPr>
          <w:rFonts w:ascii="宋体" w:hAnsi="宋体" w:cs="宋体"/>
          <w:sz w:val="24"/>
        </w:rPr>
      </w:pPr>
      <w:r>
        <w:rPr>
          <w:rFonts w:hint="eastAsia" w:ascii="宋体" w:hAnsi="宋体" w:cs="宋体"/>
          <w:sz w:val="24"/>
        </w:rPr>
        <w:t>2.3.2动态图像、静态图像以AVI、JPEG等格式直接存储于CD或 DVD，用于PC计算机，无需特殊软件</w:t>
      </w:r>
    </w:p>
    <w:p>
      <w:pPr>
        <w:spacing w:line="360" w:lineRule="auto"/>
        <w:rPr>
          <w:rFonts w:ascii="宋体" w:hAnsi="宋体" w:cs="宋体"/>
          <w:sz w:val="24"/>
        </w:rPr>
      </w:pPr>
      <w:r>
        <w:rPr>
          <w:rFonts w:hint="eastAsia" w:ascii="宋体" w:hAnsi="宋体" w:cs="宋体"/>
          <w:sz w:val="24"/>
        </w:rPr>
        <w:t>2.3.3支持压缩和高清DICOM图像传输</w:t>
      </w:r>
    </w:p>
    <w:p>
      <w:pPr>
        <w:spacing w:line="360" w:lineRule="auto"/>
        <w:rPr>
          <w:rFonts w:ascii="宋体" w:hAnsi="宋体" w:cs="宋体"/>
          <w:sz w:val="24"/>
        </w:rPr>
      </w:pPr>
      <w:r>
        <w:rPr>
          <w:rFonts w:hint="eastAsia" w:ascii="宋体" w:hAnsi="宋体" w:cs="宋体"/>
          <w:sz w:val="24"/>
        </w:rPr>
        <w:t>2.3.4</w:t>
      </w:r>
      <w:r>
        <w:rPr>
          <w:rFonts w:hint="eastAsia" w:ascii="宋体" w:hAnsi="宋体" w:cs="宋体"/>
          <w:sz w:val="24"/>
        </w:rPr>
        <w:tab/>
      </w:r>
      <w:r>
        <w:rPr>
          <w:rFonts w:hint="eastAsia" w:ascii="宋体" w:hAnsi="宋体" w:cs="宋体"/>
          <w:sz w:val="24"/>
        </w:rPr>
        <w:t>在屏剪帖板和多画面同屏回放功能（≥12 幅/屏），不同检查日期所存的图像可以回放至同一屏幕比较分析</w:t>
      </w:r>
    </w:p>
    <w:p>
      <w:pPr>
        <w:spacing w:line="360" w:lineRule="auto"/>
        <w:rPr>
          <w:rFonts w:ascii="宋体" w:hAnsi="宋体" w:cs="宋体"/>
          <w:sz w:val="24"/>
        </w:rPr>
      </w:pPr>
      <w:r>
        <w:rPr>
          <w:rFonts w:hint="eastAsia" w:ascii="宋体" w:hAnsi="宋体" w:cs="宋体"/>
          <w:sz w:val="24"/>
        </w:rPr>
        <w:t>2.3.5</w:t>
      </w:r>
      <w:r>
        <w:rPr>
          <w:rFonts w:hint="eastAsia" w:ascii="宋体" w:hAnsi="宋体" w:cs="宋体"/>
          <w:sz w:val="24"/>
        </w:rPr>
        <w:tab/>
      </w:r>
      <w:r>
        <w:rPr>
          <w:rFonts w:hint="eastAsia" w:ascii="宋体" w:hAnsi="宋体" w:cs="宋体"/>
          <w:sz w:val="24"/>
        </w:rPr>
        <w:t>USB接口支持U盘或移动硬盘快速存储屏幕上的图像</w:t>
      </w:r>
    </w:p>
    <w:p>
      <w:pPr>
        <w:spacing w:line="360" w:lineRule="auto"/>
        <w:rPr>
          <w:rFonts w:ascii="宋体" w:hAnsi="宋体" w:cs="宋体"/>
          <w:sz w:val="24"/>
        </w:rPr>
      </w:pPr>
      <w:r>
        <w:rPr>
          <w:rFonts w:hint="eastAsia" w:ascii="宋体" w:hAnsi="宋体" w:cs="宋体"/>
          <w:sz w:val="24"/>
        </w:rPr>
        <w:t>2.4</w:t>
      </w:r>
      <w:r>
        <w:rPr>
          <w:rFonts w:hint="eastAsia" w:ascii="宋体" w:hAnsi="宋体" w:cs="宋体"/>
          <w:sz w:val="24"/>
        </w:rPr>
        <w:tab/>
      </w:r>
      <w:r>
        <w:rPr>
          <w:rFonts w:hint="eastAsia" w:ascii="宋体" w:hAnsi="宋体" w:cs="宋体"/>
          <w:sz w:val="24"/>
        </w:rPr>
        <w:t>参考信号：心电、心音、脉搏波、心电触发</w:t>
      </w:r>
    </w:p>
    <w:p>
      <w:pPr>
        <w:spacing w:line="360" w:lineRule="auto"/>
        <w:rPr>
          <w:rFonts w:ascii="宋体" w:hAnsi="宋体" w:cs="宋体"/>
          <w:sz w:val="24"/>
        </w:rPr>
      </w:pPr>
      <w:r>
        <w:rPr>
          <w:rFonts w:hint="eastAsia" w:ascii="宋体" w:hAnsi="宋体" w:cs="宋体"/>
          <w:sz w:val="24"/>
        </w:rPr>
        <w:t>2.5</w:t>
      </w:r>
      <w:r>
        <w:rPr>
          <w:rFonts w:hint="eastAsia" w:ascii="宋体" w:hAnsi="宋体" w:cs="宋体"/>
          <w:sz w:val="24"/>
        </w:rPr>
        <w:tab/>
      </w:r>
      <w:r>
        <w:rPr>
          <w:rFonts w:hint="eastAsia" w:ascii="宋体" w:hAnsi="宋体" w:cs="宋体"/>
          <w:sz w:val="24"/>
        </w:rPr>
        <w:t>输入/输出信号:</w:t>
      </w:r>
    </w:p>
    <w:p>
      <w:pPr>
        <w:spacing w:line="360" w:lineRule="auto"/>
        <w:rPr>
          <w:rFonts w:ascii="宋体" w:hAnsi="宋体" w:cs="宋体"/>
          <w:sz w:val="24"/>
        </w:rPr>
      </w:pPr>
      <w:r>
        <w:rPr>
          <w:rFonts w:hint="eastAsia" w:ascii="宋体" w:hAnsi="宋体" w:cs="宋体"/>
          <w:sz w:val="24"/>
        </w:rPr>
        <w:t>2.5.1</w:t>
      </w:r>
      <w:r>
        <w:rPr>
          <w:rFonts w:hint="eastAsia" w:ascii="宋体" w:hAnsi="宋体" w:cs="宋体"/>
          <w:sz w:val="24"/>
        </w:rPr>
        <w:tab/>
      </w:r>
      <w:r>
        <w:rPr>
          <w:rFonts w:hint="eastAsia" w:ascii="宋体" w:hAnsi="宋体" w:cs="宋体"/>
          <w:sz w:val="24"/>
        </w:rPr>
        <w:t>输入：ECG, DVR, USB</w:t>
      </w:r>
    </w:p>
    <w:p>
      <w:pPr>
        <w:spacing w:line="360" w:lineRule="auto"/>
        <w:rPr>
          <w:rFonts w:ascii="宋体" w:hAnsi="宋体" w:cs="宋体"/>
          <w:sz w:val="24"/>
        </w:rPr>
      </w:pPr>
      <w:r>
        <w:rPr>
          <w:rFonts w:hint="eastAsia" w:ascii="宋体" w:hAnsi="宋体" w:cs="宋体"/>
          <w:sz w:val="24"/>
        </w:rPr>
        <w:t>2.5.2</w:t>
      </w:r>
      <w:r>
        <w:rPr>
          <w:rFonts w:hint="eastAsia" w:ascii="宋体" w:hAnsi="宋体" w:cs="宋体"/>
          <w:sz w:val="24"/>
        </w:rPr>
        <w:tab/>
      </w:r>
      <w:r>
        <w:rPr>
          <w:rFonts w:hint="eastAsia" w:ascii="宋体" w:hAnsi="宋体" w:cs="宋体"/>
          <w:sz w:val="24"/>
        </w:rPr>
        <w:t>输出：DVI-D，音频，以太网，USB</w:t>
      </w:r>
    </w:p>
    <w:p>
      <w:pPr>
        <w:spacing w:line="360" w:lineRule="auto"/>
        <w:rPr>
          <w:rFonts w:ascii="宋体" w:hAnsi="宋体" w:cs="宋体"/>
          <w:sz w:val="24"/>
        </w:rPr>
      </w:pPr>
      <w:r>
        <w:rPr>
          <w:rFonts w:hint="eastAsia" w:ascii="宋体" w:hAnsi="宋体" w:cs="宋体"/>
          <w:sz w:val="24"/>
        </w:rPr>
        <w:t>2.6</w:t>
      </w:r>
      <w:r>
        <w:rPr>
          <w:rFonts w:hint="eastAsia" w:ascii="宋体" w:hAnsi="宋体" w:cs="宋体"/>
          <w:sz w:val="24"/>
        </w:rPr>
        <w:tab/>
      </w:r>
      <w:r>
        <w:rPr>
          <w:rFonts w:hint="eastAsia" w:ascii="宋体" w:hAnsi="宋体" w:cs="宋体"/>
          <w:sz w:val="24"/>
        </w:rPr>
        <w:t>图像管理与记录装置：</w:t>
      </w:r>
    </w:p>
    <w:p>
      <w:pPr>
        <w:spacing w:line="360" w:lineRule="auto"/>
        <w:rPr>
          <w:rFonts w:ascii="宋体" w:hAnsi="宋体" w:cs="宋体"/>
          <w:sz w:val="24"/>
        </w:rPr>
      </w:pPr>
      <w:r>
        <w:rPr>
          <w:rFonts w:hint="eastAsia" w:ascii="宋体" w:hAnsi="宋体" w:cs="宋体"/>
          <w:sz w:val="24"/>
        </w:rPr>
        <w:t>2.6.1</w:t>
      </w:r>
      <w:r>
        <w:rPr>
          <w:rFonts w:hint="eastAsia" w:ascii="宋体" w:hAnsi="宋体" w:cs="宋体"/>
          <w:sz w:val="24"/>
        </w:rPr>
        <w:tab/>
      </w:r>
      <w:r>
        <w:rPr>
          <w:rFonts w:hint="eastAsia" w:ascii="宋体" w:hAnsi="宋体" w:cs="宋体"/>
          <w:sz w:val="24"/>
        </w:rPr>
        <w:t>内置图像管理系统</w:t>
      </w:r>
    </w:p>
    <w:p>
      <w:pPr>
        <w:spacing w:line="360" w:lineRule="auto"/>
        <w:rPr>
          <w:rFonts w:ascii="宋体" w:hAnsi="宋体" w:cs="宋体"/>
          <w:sz w:val="24"/>
        </w:rPr>
      </w:pPr>
      <w:r>
        <w:rPr>
          <w:rFonts w:hint="eastAsia" w:ascii="宋体" w:hAnsi="宋体" w:cs="宋体"/>
          <w:sz w:val="24"/>
        </w:rPr>
        <w:t>2.6.2</w:t>
      </w:r>
      <w:r>
        <w:rPr>
          <w:rFonts w:hint="eastAsia" w:ascii="宋体" w:hAnsi="宋体" w:cs="宋体"/>
          <w:sz w:val="24"/>
        </w:rPr>
        <w:tab/>
      </w:r>
      <w:r>
        <w:rPr>
          <w:rFonts w:hint="eastAsia" w:ascii="宋体" w:hAnsi="宋体" w:cs="宋体"/>
          <w:sz w:val="24"/>
        </w:rPr>
        <w:t>硬盘存储≥500GB</w:t>
      </w:r>
    </w:p>
    <w:p>
      <w:pPr>
        <w:spacing w:line="360" w:lineRule="auto"/>
        <w:rPr>
          <w:rFonts w:ascii="宋体" w:hAnsi="宋体" w:cs="宋体"/>
          <w:sz w:val="24"/>
        </w:rPr>
      </w:pPr>
      <w:r>
        <w:rPr>
          <w:rFonts w:hint="eastAsia" w:ascii="宋体" w:hAnsi="宋体" w:cs="宋体"/>
          <w:sz w:val="24"/>
        </w:rPr>
        <w:t>2.6.3</w:t>
      </w:r>
      <w:r>
        <w:rPr>
          <w:rFonts w:hint="eastAsia" w:ascii="宋体" w:hAnsi="宋体" w:cs="宋体"/>
          <w:sz w:val="24"/>
        </w:rPr>
        <w:tab/>
      </w:r>
      <w:r>
        <w:rPr>
          <w:rFonts w:hint="eastAsia" w:ascii="宋体" w:hAnsi="宋体" w:cs="宋体"/>
          <w:sz w:val="24"/>
        </w:rPr>
        <w:t>可扩展的存储装置：大容量移动硬盘、DVD-RW、DVR等</w:t>
      </w:r>
    </w:p>
    <w:p>
      <w:pPr>
        <w:spacing w:line="360" w:lineRule="auto"/>
        <w:rPr>
          <w:rFonts w:ascii="宋体" w:hAnsi="宋体" w:cs="宋体"/>
          <w:sz w:val="24"/>
        </w:rPr>
      </w:pPr>
      <w:r>
        <w:rPr>
          <w:rFonts w:hint="eastAsia" w:ascii="宋体" w:hAnsi="宋体" w:cs="宋体"/>
          <w:sz w:val="24"/>
        </w:rPr>
        <w:t>2.7</w:t>
      </w:r>
      <w:r>
        <w:rPr>
          <w:rFonts w:hint="eastAsia" w:ascii="宋体" w:hAnsi="宋体" w:cs="宋体"/>
          <w:sz w:val="24"/>
        </w:rPr>
        <w:tab/>
      </w:r>
      <w:r>
        <w:rPr>
          <w:rFonts w:hint="eastAsia" w:ascii="宋体" w:hAnsi="宋体" w:cs="宋体"/>
          <w:sz w:val="24"/>
        </w:rPr>
        <w:t xml:space="preserve">连通性： </w:t>
      </w:r>
    </w:p>
    <w:p>
      <w:pPr>
        <w:spacing w:line="360" w:lineRule="auto"/>
        <w:rPr>
          <w:rFonts w:ascii="宋体" w:hAnsi="宋体" w:cs="宋体"/>
          <w:sz w:val="24"/>
        </w:rPr>
      </w:pPr>
      <w:r>
        <w:rPr>
          <w:rFonts w:hint="eastAsia" w:ascii="宋体" w:hAnsi="宋体" w:cs="宋体"/>
          <w:sz w:val="24"/>
        </w:rPr>
        <w:t>2.7.1</w:t>
      </w:r>
      <w:r>
        <w:rPr>
          <w:rFonts w:hint="eastAsia" w:ascii="宋体" w:hAnsi="宋体" w:cs="宋体"/>
          <w:sz w:val="24"/>
        </w:rPr>
        <w:tab/>
      </w:r>
      <w:r>
        <w:rPr>
          <w:rFonts w:hint="eastAsia" w:ascii="宋体" w:hAnsi="宋体" w:cs="宋体"/>
          <w:sz w:val="24"/>
        </w:rPr>
        <w:t>医学数字图像和通信DICOM3.0版接口部件，支持高清DICOM传输</w:t>
      </w:r>
    </w:p>
    <w:p>
      <w:pPr>
        <w:spacing w:line="360" w:lineRule="auto"/>
        <w:rPr>
          <w:rFonts w:ascii="宋体" w:hAnsi="宋体" w:cs="宋体"/>
          <w:sz w:val="24"/>
        </w:rPr>
      </w:pPr>
      <w:r>
        <w:rPr>
          <w:rFonts w:hint="eastAsia" w:ascii="宋体" w:hAnsi="宋体" w:cs="宋体"/>
          <w:sz w:val="24"/>
        </w:rPr>
        <w:t>2.7.2</w:t>
      </w:r>
      <w:r>
        <w:rPr>
          <w:rFonts w:hint="eastAsia" w:ascii="宋体" w:hAnsi="宋体" w:cs="宋体"/>
          <w:sz w:val="24"/>
        </w:rPr>
        <w:tab/>
      </w:r>
      <w:r>
        <w:rPr>
          <w:rFonts w:hint="eastAsia" w:ascii="宋体" w:hAnsi="宋体" w:cs="宋体"/>
          <w:sz w:val="24"/>
        </w:rPr>
        <w:t>支持局域网/PACS/HIS等直接存储、查询与调阅</w:t>
      </w:r>
    </w:p>
    <w:p>
      <w:pPr>
        <w:spacing w:line="360" w:lineRule="auto"/>
        <w:rPr>
          <w:rFonts w:ascii="宋体" w:hAnsi="宋体" w:cs="宋体"/>
          <w:sz w:val="24"/>
        </w:rPr>
      </w:pPr>
      <w:r>
        <w:rPr>
          <w:rFonts w:hint="eastAsia" w:ascii="宋体" w:hAnsi="宋体" w:cs="宋体"/>
          <w:sz w:val="24"/>
        </w:rPr>
        <w:t>2.7.3</w:t>
      </w:r>
      <w:r>
        <w:rPr>
          <w:rFonts w:hint="eastAsia" w:ascii="宋体" w:hAnsi="宋体" w:cs="宋体"/>
          <w:sz w:val="24"/>
        </w:rPr>
        <w:tab/>
      </w:r>
      <w:r>
        <w:rPr>
          <w:rFonts w:hint="eastAsia" w:ascii="宋体" w:hAnsi="宋体" w:cs="宋体"/>
          <w:sz w:val="24"/>
        </w:rPr>
        <w:t>支持DICOM打印</w:t>
      </w:r>
    </w:p>
    <w:p>
      <w:pPr>
        <w:spacing w:line="360" w:lineRule="auto"/>
        <w:rPr>
          <w:rFonts w:ascii="宋体" w:hAnsi="宋体" w:cs="宋体"/>
          <w:b/>
          <w:sz w:val="24"/>
        </w:rPr>
      </w:pPr>
      <w:r>
        <w:rPr>
          <w:rFonts w:hint="eastAsia" w:ascii="宋体" w:hAnsi="宋体" w:cs="宋体"/>
          <w:b/>
          <w:sz w:val="24"/>
        </w:rPr>
        <w:t>三、</w:t>
      </w:r>
      <w:r>
        <w:rPr>
          <w:rFonts w:hint="eastAsia" w:ascii="宋体" w:hAnsi="宋体" w:cs="宋体"/>
          <w:b/>
          <w:sz w:val="24"/>
        </w:rPr>
        <w:tab/>
      </w:r>
      <w:r>
        <w:rPr>
          <w:rFonts w:hint="eastAsia" w:ascii="宋体" w:hAnsi="宋体" w:cs="宋体"/>
          <w:b/>
          <w:sz w:val="24"/>
        </w:rPr>
        <w:t>通用功能：</w:t>
      </w:r>
    </w:p>
    <w:p>
      <w:pPr>
        <w:spacing w:line="360" w:lineRule="auto"/>
        <w:rPr>
          <w:rFonts w:ascii="宋体" w:hAnsi="宋体" w:cs="宋体"/>
          <w:sz w:val="24"/>
        </w:rPr>
      </w:pPr>
      <w:r>
        <w:rPr>
          <w:rFonts w:hint="eastAsia" w:ascii="宋体" w:hAnsi="宋体" w:cs="宋体"/>
          <w:sz w:val="24"/>
        </w:rPr>
        <w:t>3.1</w:t>
      </w:r>
      <w:r>
        <w:rPr>
          <w:rFonts w:hint="eastAsia" w:ascii="宋体" w:hAnsi="宋体" w:cs="宋体"/>
          <w:sz w:val="24"/>
        </w:rPr>
        <w:tab/>
      </w:r>
      <w:r>
        <w:rPr>
          <w:rFonts w:hint="eastAsia" w:ascii="宋体" w:hAnsi="宋体" w:cs="宋体"/>
          <w:sz w:val="24"/>
        </w:rPr>
        <w:t>系统通用功能</w:t>
      </w:r>
    </w:p>
    <w:p>
      <w:pPr>
        <w:spacing w:line="360" w:lineRule="auto"/>
        <w:rPr>
          <w:rFonts w:ascii="宋体" w:hAnsi="宋体" w:cs="宋体"/>
          <w:sz w:val="24"/>
        </w:rPr>
      </w:pPr>
      <w:r>
        <w:rPr>
          <w:rFonts w:hint="eastAsia" w:ascii="宋体" w:hAnsi="宋体" w:cs="宋体"/>
          <w:sz w:val="24"/>
        </w:rPr>
        <w:t>3.1.1</w:t>
      </w:r>
      <w:r>
        <w:rPr>
          <w:rFonts w:hint="eastAsia" w:ascii="宋体" w:hAnsi="宋体" w:cs="宋体"/>
          <w:sz w:val="24"/>
        </w:rPr>
        <w:tab/>
      </w:r>
      <w:r>
        <w:rPr>
          <w:rFonts w:hint="eastAsia" w:ascii="宋体" w:hAnsi="宋体" w:cs="宋体"/>
          <w:sz w:val="24"/>
        </w:rPr>
        <w:t xml:space="preserve">探头接口：激活探头接口数≥4个 </w:t>
      </w:r>
    </w:p>
    <w:p>
      <w:pPr>
        <w:spacing w:line="360" w:lineRule="auto"/>
        <w:rPr>
          <w:rFonts w:ascii="宋体" w:hAnsi="宋体" w:cs="宋体"/>
          <w:sz w:val="24"/>
        </w:rPr>
      </w:pPr>
      <w:r>
        <w:rPr>
          <w:rFonts w:hint="eastAsia" w:ascii="宋体" w:hAnsi="宋体" w:cs="宋体"/>
          <w:sz w:val="24"/>
        </w:rPr>
        <w:t>3.2</w:t>
      </w:r>
      <w:r>
        <w:rPr>
          <w:rFonts w:hint="eastAsia" w:ascii="宋体" w:hAnsi="宋体" w:cs="宋体"/>
          <w:sz w:val="24"/>
        </w:rPr>
        <w:tab/>
      </w:r>
      <w:r>
        <w:rPr>
          <w:rFonts w:hint="eastAsia" w:ascii="宋体" w:hAnsi="宋体" w:cs="宋体"/>
          <w:sz w:val="24"/>
        </w:rPr>
        <w:t>探头规格及配置要求</w:t>
      </w:r>
    </w:p>
    <w:p>
      <w:pPr>
        <w:spacing w:line="360" w:lineRule="auto"/>
        <w:rPr>
          <w:rFonts w:ascii="宋体" w:hAnsi="宋体" w:cs="宋体"/>
          <w:sz w:val="24"/>
        </w:rPr>
      </w:pPr>
      <w:r>
        <w:rPr>
          <w:rFonts w:hint="eastAsia" w:ascii="宋体" w:hAnsi="宋体" w:cs="宋体"/>
          <w:sz w:val="24"/>
        </w:rPr>
        <w:t>3.2.1</w:t>
      </w:r>
      <w:r>
        <w:rPr>
          <w:rFonts w:hint="eastAsia" w:ascii="宋体" w:hAnsi="宋体" w:cs="宋体"/>
          <w:sz w:val="24"/>
        </w:rPr>
        <w:tab/>
      </w:r>
      <w:r>
        <w:rPr>
          <w:rFonts w:hint="eastAsia" w:ascii="宋体" w:hAnsi="宋体" w:cs="宋体"/>
          <w:sz w:val="24"/>
        </w:rPr>
        <w:t>频率：所配探头均为宽频带多点变频探头</w:t>
      </w:r>
    </w:p>
    <w:p>
      <w:pPr>
        <w:spacing w:line="360" w:lineRule="auto"/>
        <w:rPr>
          <w:rFonts w:ascii="宋体" w:hAnsi="宋体" w:cs="宋体"/>
          <w:sz w:val="24"/>
        </w:rPr>
      </w:pPr>
      <w:r>
        <w:rPr>
          <w:rFonts w:hint="eastAsia" w:ascii="宋体" w:hAnsi="宋体" w:cs="宋体"/>
          <w:sz w:val="24"/>
        </w:rPr>
        <w:t>3.2.2</w:t>
      </w:r>
      <w:r>
        <w:rPr>
          <w:rFonts w:hint="eastAsia" w:ascii="宋体" w:hAnsi="宋体" w:cs="宋体"/>
          <w:sz w:val="24"/>
        </w:rPr>
        <w:tab/>
      </w:r>
      <w:r>
        <w:rPr>
          <w:rFonts w:hint="eastAsia" w:ascii="宋体" w:hAnsi="宋体" w:cs="宋体"/>
          <w:sz w:val="24"/>
        </w:rPr>
        <w:t>二维、彩色、多普勒均可独立变频</w:t>
      </w:r>
    </w:p>
    <w:p>
      <w:pPr>
        <w:spacing w:line="360" w:lineRule="auto"/>
        <w:rPr>
          <w:rFonts w:ascii="宋体" w:hAnsi="宋体" w:cs="宋体"/>
          <w:sz w:val="24"/>
        </w:rPr>
      </w:pPr>
      <w:r>
        <w:rPr>
          <w:rFonts w:hint="eastAsia" w:ascii="宋体" w:hAnsi="宋体" w:cs="宋体"/>
          <w:sz w:val="24"/>
        </w:rPr>
        <w:t>3.2.3</w:t>
      </w:r>
      <w:r>
        <w:rPr>
          <w:rFonts w:hint="eastAsia" w:ascii="宋体" w:hAnsi="宋体" w:cs="宋体"/>
          <w:sz w:val="24"/>
        </w:rPr>
        <w:tab/>
      </w:r>
      <w:r>
        <w:rPr>
          <w:rFonts w:hint="eastAsia" w:ascii="宋体" w:hAnsi="宋体" w:cs="宋体"/>
          <w:sz w:val="24"/>
        </w:rPr>
        <w:t>类型：可支持心脏矩阵探头，相控阵、凸阵、线阵、经食道探头</w:t>
      </w:r>
    </w:p>
    <w:p>
      <w:pPr>
        <w:spacing w:line="360" w:lineRule="auto"/>
        <w:rPr>
          <w:rFonts w:ascii="宋体" w:hAnsi="宋体" w:cs="宋体"/>
          <w:sz w:val="24"/>
        </w:rPr>
      </w:pPr>
      <w:r>
        <w:rPr>
          <w:rFonts w:hint="eastAsia" w:ascii="宋体" w:hAnsi="宋体" w:cs="宋体"/>
          <w:sz w:val="24"/>
        </w:rPr>
        <w:t>3.3</w:t>
      </w:r>
      <w:r>
        <w:rPr>
          <w:rFonts w:hint="eastAsia" w:ascii="宋体" w:hAnsi="宋体" w:cs="宋体"/>
          <w:sz w:val="24"/>
        </w:rPr>
        <w:tab/>
      </w:r>
      <w:r>
        <w:rPr>
          <w:rFonts w:hint="eastAsia" w:ascii="宋体" w:hAnsi="宋体" w:cs="宋体"/>
          <w:sz w:val="24"/>
        </w:rPr>
        <w:t>二维灰阶显像主要参数</w:t>
      </w:r>
    </w:p>
    <w:p>
      <w:pPr>
        <w:spacing w:line="360" w:lineRule="auto"/>
        <w:rPr>
          <w:rFonts w:ascii="宋体" w:hAnsi="宋体" w:cs="宋体"/>
          <w:sz w:val="24"/>
        </w:rPr>
      </w:pPr>
      <w:r>
        <w:rPr>
          <w:rFonts w:hint="eastAsia" w:ascii="宋体" w:hAnsi="宋体" w:cs="宋体"/>
          <w:sz w:val="24"/>
        </w:rPr>
        <w:t>3.3.1</w:t>
      </w:r>
      <w:r>
        <w:rPr>
          <w:rFonts w:hint="eastAsia" w:ascii="宋体" w:hAnsi="宋体" w:cs="宋体"/>
          <w:sz w:val="24"/>
        </w:rPr>
        <w:tab/>
      </w:r>
      <w:r>
        <w:rPr>
          <w:rFonts w:hint="eastAsia" w:ascii="宋体" w:hAnsi="宋体" w:cs="宋体"/>
          <w:sz w:val="24"/>
        </w:rPr>
        <w:t>二维灰阶成像≥256灰阶</w:t>
      </w:r>
    </w:p>
    <w:p>
      <w:pPr>
        <w:spacing w:line="360" w:lineRule="auto"/>
        <w:rPr>
          <w:rFonts w:ascii="宋体" w:hAnsi="宋体" w:cs="宋体"/>
          <w:sz w:val="24"/>
        </w:rPr>
      </w:pPr>
      <w:r>
        <w:rPr>
          <w:rFonts w:hint="eastAsia" w:ascii="宋体" w:hAnsi="宋体" w:cs="宋体"/>
          <w:sz w:val="24"/>
        </w:rPr>
        <w:t>3.3.2</w:t>
      </w:r>
      <w:r>
        <w:rPr>
          <w:rFonts w:hint="eastAsia" w:ascii="宋体" w:hAnsi="宋体" w:cs="宋体"/>
          <w:sz w:val="24"/>
        </w:rPr>
        <w:tab/>
      </w:r>
      <w:r>
        <w:rPr>
          <w:rFonts w:hint="eastAsia" w:ascii="宋体" w:hAnsi="宋体" w:cs="宋体"/>
          <w:sz w:val="24"/>
        </w:rPr>
        <w:t>支持高清晰局部放大，放大时增加信息量，提高分辨率和帧频</w:t>
      </w:r>
    </w:p>
    <w:p>
      <w:pPr>
        <w:spacing w:line="360" w:lineRule="auto"/>
        <w:rPr>
          <w:rFonts w:ascii="宋体" w:hAnsi="宋体" w:cs="宋体"/>
          <w:sz w:val="24"/>
        </w:rPr>
      </w:pPr>
      <w:r>
        <w:rPr>
          <w:rFonts w:hint="eastAsia" w:ascii="宋体" w:hAnsi="宋体" w:cs="宋体"/>
          <w:sz w:val="24"/>
        </w:rPr>
        <w:t>3.3.3回放重现：灰阶图像回放≥5000幅，多窗口时允许不同时期的图像和实时图像对比</w:t>
      </w:r>
    </w:p>
    <w:p>
      <w:pPr>
        <w:spacing w:line="360" w:lineRule="auto"/>
        <w:rPr>
          <w:rFonts w:ascii="宋体" w:hAnsi="宋体" w:cs="宋体"/>
          <w:sz w:val="24"/>
        </w:rPr>
      </w:pPr>
      <w:r>
        <w:rPr>
          <w:rFonts w:hint="eastAsia" w:ascii="宋体" w:hAnsi="宋体" w:cs="宋体"/>
          <w:sz w:val="24"/>
        </w:rPr>
        <w:t>3.3.4</w:t>
      </w:r>
      <w:r>
        <w:rPr>
          <w:rFonts w:hint="eastAsia" w:ascii="宋体" w:hAnsi="宋体" w:cs="宋体"/>
          <w:sz w:val="24"/>
        </w:rPr>
        <w:tab/>
      </w:r>
      <w:r>
        <w:rPr>
          <w:rFonts w:hint="eastAsia" w:ascii="宋体" w:hAnsi="宋体" w:cs="宋体"/>
          <w:sz w:val="24"/>
        </w:rPr>
        <w:t>心脏扫描深度≥30cm</w:t>
      </w:r>
    </w:p>
    <w:p>
      <w:pPr>
        <w:spacing w:line="360" w:lineRule="auto"/>
        <w:rPr>
          <w:rFonts w:ascii="宋体" w:hAnsi="宋体" w:cs="宋体"/>
          <w:sz w:val="24"/>
        </w:rPr>
      </w:pPr>
      <w:r>
        <w:rPr>
          <w:rFonts w:hint="eastAsia" w:ascii="宋体" w:hAnsi="宋体" w:cs="宋体"/>
          <w:sz w:val="24"/>
        </w:rPr>
        <w:t>3.4</w:t>
      </w:r>
      <w:r>
        <w:rPr>
          <w:rFonts w:hint="eastAsia" w:ascii="宋体" w:hAnsi="宋体" w:cs="宋体"/>
          <w:sz w:val="24"/>
        </w:rPr>
        <w:tab/>
      </w:r>
      <w:r>
        <w:rPr>
          <w:rFonts w:hint="eastAsia" w:ascii="宋体" w:hAnsi="宋体" w:cs="宋体"/>
          <w:sz w:val="24"/>
        </w:rPr>
        <w:t>频谱多普勒成像参数</w:t>
      </w:r>
    </w:p>
    <w:p>
      <w:pPr>
        <w:spacing w:line="360" w:lineRule="auto"/>
        <w:rPr>
          <w:rFonts w:ascii="宋体" w:hAnsi="宋体" w:cs="宋体"/>
          <w:sz w:val="24"/>
        </w:rPr>
      </w:pPr>
      <w:r>
        <w:rPr>
          <w:rFonts w:hint="eastAsia" w:ascii="宋体" w:hAnsi="宋体" w:cs="宋体"/>
          <w:sz w:val="24"/>
        </w:rPr>
        <w:t>3.4.1方式： PWD, HPRF，LPRF，CWD</w:t>
      </w:r>
    </w:p>
    <w:p>
      <w:pPr>
        <w:spacing w:line="360" w:lineRule="auto"/>
        <w:rPr>
          <w:rFonts w:ascii="宋体" w:hAnsi="宋体" w:cs="宋体"/>
          <w:sz w:val="24"/>
        </w:rPr>
      </w:pPr>
      <w:r>
        <w:rPr>
          <w:rFonts w:hint="eastAsia" w:ascii="宋体" w:hAnsi="宋体" w:cs="宋体"/>
          <w:sz w:val="24"/>
        </w:rPr>
        <w:t>3.4.2最大测量速度：</w:t>
      </w:r>
    </w:p>
    <w:p>
      <w:pPr>
        <w:spacing w:line="360" w:lineRule="auto"/>
        <w:rPr>
          <w:rFonts w:ascii="宋体" w:hAnsi="宋体" w:cs="宋体"/>
          <w:sz w:val="24"/>
        </w:rPr>
      </w:pPr>
      <w:r>
        <w:rPr>
          <w:rFonts w:hint="eastAsia" w:ascii="宋体" w:hAnsi="宋体" w:cs="宋体"/>
          <w:sz w:val="24"/>
        </w:rPr>
        <w:tab/>
      </w:r>
      <w:r>
        <w:rPr>
          <w:rFonts w:hint="eastAsia" w:ascii="宋体" w:hAnsi="宋体" w:cs="宋体"/>
          <w:sz w:val="24"/>
        </w:rPr>
        <w:t>PWD：血流速度≥7m/s</w:t>
      </w:r>
    </w:p>
    <w:p>
      <w:pPr>
        <w:spacing w:line="360" w:lineRule="auto"/>
        <w:rPr>
          <w:rFonts w:ascii="宋体" w:hAnsi="宋体" w:cs="宋体"/>
          <w:sz w:val="24"/>
        </w:rPr>
      </w:pPr>
      <w:r>
        <w:rPr>
          <w:rFonts w:hint="eastAsia" w:ascii="宋体" w:hAnsi="宋体" w:cs="宋体"/>
          <w:sz w:val="24"/>
        </w:rPr>
        <w:tab/>
      </w:r>
      <w:r>
        <w:rPr>
          <w:rFonts w:hint="eastAsia" w:ascii="宋体" w:hAnsi="宋体" w:cs="宋体"/>
          <w:sz w:val="24"/>
        </w:rPr>
        <w:t>CWD：血流速度≥10m/s</w:t>
      </w:r>
    </w:p>
    <w:p>
      <w:pPr>
        <w:spacing w:line="360" w:lineRule="auto"/>
        <w:rPr>
          <w:rFonts w:ascii="宋体" w:hAnsi="宋体" w:cs="宋体"/>
          <w:sz w:val="24"/>
        </w:rPr>
      </w:pPr>
      <w:r>
        <w:rPr>
          <w:rFonts w:hint="eastAsia" w:ascii="宋体" w:hAnsi="宋体" w:cs="宋体"/>
          <w:sz w:val="24"/>
        </w:rPr>
        <w:t>3.4.3最低测量速度：≤5mm/s(非噪声信号)</w:t>
      </w:r>
    </w:p>
    <w:p>
      <w:pPr>
        <w:spacing w:line="360" w:lineRule="auto"/>
        <w:rPr>
          <w:rFonts w:ascii="宋体" w:hAnsi="宋体" w:cs="宋体"/>
          <w:sz w:val="24"/>
        </w:rPr>
      </w:pPr>
      <w:r>
        <w:rPr>
          <w:rFonts w:hint="eastAsia" w:ascii="宋体" w:hAnsi="宋体" w:cs="宋体"/>
          <w:sz w:val="24"/>
        </w:rPr>
        <w:t>3.4.4电影回放：≥90秒，所有回放的图像仍能调节基线位置、时间轴快慢、比例标尺、角度校正和伪彩</w:t>
      </w:r>
    </w:p>
    <w:p>
      <w:pPr>
        <w:spacing w:line="360" w:lineRule="auto"/>
        <w:rPr>
          <w:rFonts w:ascii="宋体" w:hAnsi="宋体" w:cs="宋体"/>
          <w:sz w:val="24"/>
        </w:rPr>
      </w:pPr>
      <w:r>
        <w:rPr>
          <w:rFonts w:hint="eastAsia" w:ascii="宋体" w:hAnsi="宋体" w:cs="宋体"/>
          <w:sz w:val="24"/>
        </w:rPr>
        <w:t>3.4.5取样宽度及位置范围：不低于宽度1-15mm；分级可调</w:t>
      </w:r>
    </w:p>
    <w:p>
      <w:pPr>
        <w:spacing w:line="360" w:lineRule="auto"/>
        <w:rPr>
          <w:rFonts w:ascii="宋体" w:hAnsi="宋体" w:cs="宋体"/>
          <w:sz w:val="24"/>
        </w:rPr>
      </w:pPr>
      <w:r>
        <w:rPr>
          <w:rFonts w:hint="eastAsia" w:ascii="宋体" w:hAnsi="宋体" w:cs="宋体"/>
          <w:sz w:val="24"/>
        </w:rPr>
        <w:t>3.5</w:t>
      </w:r>
      <w:r>
        <w:rPr>
          <w:rFonts w:hint="eastAsia" w:ascii="宋体" w:hAnsi="宋体" w:cs="宋体"/>
          <w:sz w:val="24"/>
        </w:rPr>
        <w:tab/>
      </w:r>
      <w:r>
        <w:rPr>
          <w:rFonts w:hint="eastAsia" w:ascii="宋体" w:hAnsi="宋体" w:cs="宋体"/>
          <w:sz w:val="24"/>
        </w:rPr>
        <w:t>彩色多普勒成像参数</w:t>
      </w:r>
    </w:p>
    <w:p>
      <w:pPr>
        <w:spacing w:line="360" w:lineRule="auto"/>
        <w:rPr>
          <w:rFonts w:ascii="宋体" w:hAnsi="宋体" w:cs="宋体"/>
          <w:sz w:val="24"/>
        </w:rPr>
      </w:pPr>
      <w:r>
        <w:rPr>
          <w:rFonts w:hint="eastAsia" w:ascii="宋体" w:hAnsi="宋体" w:cs="宋体"/>
          <w:sz w:val="24"/>
        </w:rPr>
        <w:t>3.5.1显示方式：能量显示、速度显示、加速度显示、方差显示、彩色心肌速度多普勒显示、彩色心肌位移多普勒显示</w:t>
      </w:r>
    </w:p>
    <w:p>
      <w:pPr>
        <w:spacing w:line="360" w:lineRule="auto"/>
        <w:rPr>
          <w:rFonts w:ascii="宋体" w:hAnsi="宋体" w:cs="宋体"/>
          <w:sz w:val="24"/>
        </w:rPr>
      </w:pPr>
      <w:r>
        <w:rPr>
          <w:rFonts w:hint="eastAsia" w:ascii="宋体" w:hAnsi="宋体" w:cs="宋体"/>
          <w:sz w:val="24"/>
        </w:rPr>
        <w:t>3.5.2彩色显示帧频：</w:t>
      </w:r>
    </w:p>
    <w:p>
      <w:pPr>
        <w:spacing w:line="360" w:lineRule="auto"/>
        <w:rPr>
          <w:rFonts w:ascii="宋体" w:hAnsi="宋体" w:cs="宋体"/>
          <w:sz w:val="24"/>
        </w:rPr>
      </w:pPr>
      <w:r>
        <w:rPr>
          <w:rFonts w:hint="eastAsia" w:ascii="宋体" w:hAnsi="宋体" w:cs="宋体"/>
          <w:sz w:val="24"/>
        </w:rPr>
        <w:tab/>
      </w:r>
      <w:r>
        <w:rPr>
          <w:rFonts w:hint="eastAsia" w:ascii="宋体" w:hAnsi="宋体" w:cs="宋体"/>
          <w:sz w:val="24"/>
        </w:rPr>
        <w:t xml:space="preserve">相控阵扇扫探头、≥90°角，18cm深满屏显示，彩色显示帧频≥20帧/ s    </w:t>
      </w:r>
    </w:p>
    <w:p>
      <w:pPr>
        <w:spacing w:line="360" w:lineRule="auto"/>
        <w:rPr>
          <w:rFonts w:ascii="宋体" w:hAnsi="宋体" w:cs="宋体"/>
          <w:sz w:val="24"/>
        </w:rPr>
      </w:pPr>
      <w:r>
        <w:rPr>
          <w:rFonts w:hint="eastAsia" w:ascii="宋体" w:hAnsi="宋体" w:cs="宋体"/>
          <w:sz w:val="24"/>
        </w:rPr>
        <w:tab/>
      </w:r>
      <w:r>
        <w:rPr>
          <w:rFonts w:hint="eastAsia" w:ascii="宋体" w:hAnsi="宋体" w:cs="宋体"/>
          <w:sz w:val="24"/>
        </w:rPr>
        <w:t xml:space="preserve">相控阵扇扫探头、≥90°角，18cm深满屏显示，彩色组织多普勒帧频≥130帧/ s   </w:t>
      </w:r>
    </w:p>
    <w:p>
      <w:pPr>
        <w:spacing w:line="360" w:lineRule="auto"/>
        <w:rPr>
          <w:rFonts w:ascii="宋体" w:hAnsi="宋体" w:cs="宋体"/>
          <w:sz w:val="24"/>
        </w:rPr>
      </w:pPr>
      <w:r>
        <w:rPr>
          <w:rFonts w:hint="eastAsia" w:ascii="宋体" w:hAnsi="宋体" w:cs="宋体"/>
          <w:sz w:val="24"/>
        </w:rPr>
        <w:t>3.6</w:t>
      </w:r>
      <w:r>
        <w:rPr>
          <w:rFonts w:hint="eastAsia" w:ascii="宋体" w:hAnsi="宋体" w:cs="宋体"/>
          <w:sz w:val="24"/>
        </w:rPr>
        <w:tab/>
      </w:r>
      <w:r>
        <w:rPr>
          <w:rFonts w:hint="eastAsia" w:ascii="宋体" w:hAnsi="宋体" w:cs="宋体"/>
          <w:sz w:val="24"/>
        </w:rPr>
        <w:t>具备与国内售后应用支持中心实时通讯的可视化设备，随时得到厂家技术人员使用上的支持与指导，保障设备最佳运行。</w:t>
      </w:r>
    </w:p>
    <w:p>
      <w:pPr>
        <w:spacing w:line="360" w:lineRule="auto"/>
        <w:rPr>
          <w:rFonts w:ascii="宋体" w:hAnsi="宋体" w:cs="宋体"/>
          <w:b/>
          <w:sz w:val="24"/>
        </w:rPr>
      </w:pPr>
      <w:r>
        <w:rPr>
          <w:rFonts w:hint="eastAsia" w:ascii="宋体" w:hAnsi="宋体" w:cs="宋体"/>
          <w:b/>
          <w:sz w:val="24"/>
        </w:rPr>
        <w:t>四、设备配置要求：</w:t>
      </w:r>
    </w:p>
    <w:p>
      <w:pPr>
        <w:spacing w:line="360" w:lineRule="auto"/>
        <w:rPr>
          <w:rFonts w:ascii="宋体" w:hAnsi="宋体" w:cs="宋体"/>
          <w:sz w:val="24"/>
        </w:rPr>
      </w:pPr>
      <w:r>
        <w:rPr>
          <w:rFonts w:hint="eastAsia" w:ascii="宋体" w:hAnsi="宋体" w:cs="宋体"/>
          <w:sz w:val="24"/>
        </w:rPr>
        <w:t xml:space="preserve">    4.1主机                         1台</w:t>
      </w:r>
    </w:p>
    <w:p>
      <w:pPr>
        <w:spacing w:line="360" w:lineRule="auto"/>
        <w:rPr>
          <w:rFonts w:ascii="宋体" w:hAnsi="宋体" w:cs="宋体"/>
          <w:sz w:val="24"/>
        </w:rPr>
      </w:pPr>
      <w:r>
        <w:rPr>
          <w:rFonts w:hint="eastAsia" w:ascii="宋体" w:hAnsi="宋体" w:cs="宋体"/>
          <w:sz w:val="24"/>
        </w:rPr>
        <w:t xml:space="preserve">    4.2相控阵心脏(TTE)探头          1把</w:t>
      </w:r>
    </w:p>
    <w:p>
      <w:pPr>
        <w:spacing w:line="360" w:lineRule="auto"/>
        <w:rPr>
          <w:rFonts w:ascii="宋体" w:hAnsi="宋体" w:cs="宋体"/>
          <w:sz w:val="24"/>
        </w:rPr>
      </w:pPr>
      <w:r>
        <w:rPr>
          <w:rFonts w:hint="eastAsia" w:ascii="宋体" w:hAnsi="宋体" w:cs="宋体"/>
          <w:sz w:val="24"/>
        </w:rPr>
        <w:t xml:space="preserve">    4.3成人经食道(TEE)4D容积探头   1把</w:t>
      </w:r>
    </w:p>
    <w:p>
      <w:pPr>
        <w:spacing w:line="360" w:lineRule="auto"/>
        <w:rPr>
          <w:rFonts w:ascii="宋体" w:hAnsi="宋体" w:cs="宋体"/>
          <w:sz w:val="24"/>
        </w:rPr>
      </w:pPr>
      <w:r>
        <w:rPr>
          <w:rFonts w:hint="eastAsia" w:ascii="宋体" w:hAnsi="宋体" w:cs="宋体"/>
          <w:sz w:val="24"/>
        </w:rPr>
        <w:t xml:space="preserve">    4.4高频线阵探头                 1把</w:t>
      </w:r>
    </w:p>
    <w:p>
      <w:pPr>
        <w:spacing w:line="360" w:lineRule="auto"/>
        <w:rPr>
          <w:rFonts w:ascii="宋体" w:hAnsi="宋体" w:cs="宋体"/>
          <w:b/>
          <w:bCs/>
          <w:sz w:val="24"/>
        </w:rPr>
      </w:pPr>
      <w:r>
        <w:rPr>
          <w:rFonts w:hint="eastAsia" w:ascii="宋体" w:hAnsi="宋体" w:cs="宋体"/>
          <w:sz w:val="24"/>
        </w:rPr>
        <w:t xml:space="preserve">    4.5低频凸阵探头                 1把</w:t>
      </w:r>
    </w:p>
    <w:p>
      <w:pPr>
        <w:widowControl/>
        <w:spacing w:line="360" w:lineRule="auto"/>
        <w:jc w:val="left"/>
        <w:rPr>
          <w:rFonts w:ascii="宋体" w:hAnsi="宋体"/>
          <w:b/>
          <w:sz w:val="24"/>
        </w:rPr>
      </w:pPr>
      <w:r>
        <w:rPr>
          <w:rFonts w:ascii="宋体" w:hAnsi="宋体"/>
          <w:b/>
          <w:bCs/>
          <w:sz w:val="24"/>
        </w:rPr>
        <w:br w:type="page"/>
      </w:r>
      <w:r>
        <w:rPr>
          <w:rFonts w:hint="eastAsia" w:ascii="宋体" w:hAnsi="宋体"/>
          <w:b/>
          <w:sz w:val="24"/>
        </w:rPr>
        <w:t>（二）设备名称：便携式彩色超声多普勒诊断仪      数量：一台</w:t>
      </w:r>
    </w:p>
    <w:p>
      <w:pPr>
        <w:spacing w:line="360" w:lineRule="auto"/>
        <w:outlineLvl w:val="0"/>
        <w:rPr>
          <w:rFonts w:ascii="宋体" w:hAnsi="宋体"/>
          <w:b/>
          <w:sz w:val="24"/>
        </w:rPr>
      </w:pPr>
      <w:bookmarkStart w:id="80" w:name="_Toc11850790"/>
      <w:r>
        <w:rPr>
          <w:rFonts w:hint="eastAsia" w:ascii="宋体" w:hAnsi="宋体"/>
          <w:b/>
          <w:sz w:val="24"/>
        </w:rPr>
        <w:t>一、基本要求：</w:t>
      </w:r>
      <w:bookmarkEnd w:id="80"/>
    </w:p>
    <w:p>
      <w:pPr>
        <w:spacing w:line="360" w:lineRule="auto"/>
        <w:rPr>
          <w:rFonts w:hint="eastAsia" w:ascii="宋体" w:hAnsi="宋体"/>
          <w:sz w:val="24"/>
        </w:rPr>
      </w:pPr>
      <w:r>
        <w:rPr>
          <w:rFonts w:hint="eastAsia" w:ascii="宋体" w:hAnsi="宋体"/>
          <w:sz w:val="24"/>
        </w:rPr>
        <w:t>1.1用于腹部、妇产科、心脏、泌尿科、浅表组织与小器官、外周血管等。</w:t>
      </w:r>
    </w:p>
    <w:p>
      <w:pPr>
        <w:spacing w:line="360" w:lineRule="auto"/>
        <w:rPr>
          <w:rFonts w:ascii="宋体" w:hAnsi="宋体"/>
          <w:sz w:val="24"/>
        </w:rPr>
      </w:pPr>
      <w:r>
        <w:rPr>
          <w:rFonts w:hint="eastAsia" w:ascii="宋体" w:hAnsi="宋体"/>
          <w:sz w:val="24"/>
        </w:rPr>
        <w:t>1.2要求为最新机型最新版本。</w:t>
      </w:r>
    </w:p>
    <w:p>
      <w:pPr>
        <w:spacing w:line="360" w:lineRule="auto"/>
        <w:outlineLvl w:val="0"/>
        <w:rPr>
          <w:rFonts w:ascii="宋体" w:hAnsi="宋体"/>
          <w:b/>
          <w:sz w:val="24"/>
        </w:rPr>
      </w:pPr>
      <w:bookmarkStart w:id="81" w:name="_Toc11850791"/>
      <w:r>
        <w:rPr>
          <w:rFonts w:hint="eastAsia" w:ascii="宋体" w:hAnsi="宋体"/>
          <w:b/>
          <w:sz w:val="24"/>
        </w:rPr>
        <w:t>二、主要功能及技术指标</w:t>
      </w:r>
      <w:bookmarkEnd w:id="81"/>
    </w:p>
    <w:p>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彩色多谱勒超声波诊断仪功能及参数：</w:t>
      </w:r>
    </w:p>
    <w:p>
      <w:pPr>
        <w:spacing w:line="360" w:lineRule="auto"/>
        <w:rPr>
          <w:rFonts w:ascii="宋体" w:hAnsi="宋体"/>
          <w:sz w:val="24"/>
        </w:rPr>
      </w:pPr>
      <w:r>
        <w:rPr>
          <w:rFonts w:hint="eastAsia" w:ascii="宋体" w:hAnsi="宋体"/>
          <w:sz w:val="24"/>
        </w:rPr>
        <w:t>2.1.1多角度空间复合成像技术：可分多级调节，并同屏双幅实时对比</w:t>
      </w:r>
    </w:p>
    <w:p>
      <w:pPr>
        <w:spacing w:line="360" w:lineRule="auto"/>
        <w:rPr>
          <w:rFonts w:ascii="宋体" w:hAnsi="宋体"/>
          <w:sz w:val="24"/>
        </w:rPr>
      </w:pPr>
      <w:r>
        <w:rPr>
          <w:rFonts w:hint="eastAsia" w:ascii="宋体" w:hAnsi="宋体"/>
          <w:sz w:val="24"/>
        </w:rPr>
        <w:t>2.1.2 智能斑点噪声抑制技术：可分多级调节，并同屏双幅实时对比</w:t>
      </w:r>
    </w:p>
    <w:p>
      <w:pPr>
        <w:spacing w:line="360" w:lineRule="auto"/>
        <w:rPr>
          <w:rFonts w:ascii="宋体" w:hAnsi="宋体"/>
          <w:sz w:val="24"/>
        </w:rPr>
      </w:pPr>
      <w:r>
        <w:rPr>
          <w:rFonts w:hint="eastAsia" w:ascii="宋体" w:hAnsi="宋体"/>
          <w:sz w:val="24"/>
        </w:rPr>
        <w:t>2.</w:t>
      </w:r>
      <w:r>
        <w:rPr>
          <w:rFonts w:ascii="宋体" w:hAnsi="宋体"/>
          <w:sz w:val="24"/>
        </w:rPr>
        <w:t xml:space="preserve">1.3 </w:t>
      </w:r>
      <w:r>
        <w:rPr>
          <w:rFonts w:hint="eastAsia" w:ascii="宋体" w:hAnsi="宋体"/>
          <w:sz w:val="24"/>
        </w:rPr>
        <w:t>组织谐波成像技术</w:t>
      </w:r>
    </w:p>
    <w:p>
      <w:pPr>
        <w:spacing w:line="360" w:lineRule="auto"/>
        <w:rPr>
          <w:rFonts w:hint="eastAsia" w:ascii="宋体" w:hAnsi="宋体"/>
          <w:sz w:val="24"/>
        </w:rPr>
      </w:pPr>
      <w:r>
        <w:rPr>
          <w:rFonts w:hint="eastAsia" w:ascii="宋体" w:hAnsi="宋体"/>
          <w:sz w:val="24"/>
        </w:rPr>
        <w:t>2.1.4支持热插拔探头</w:t>
      </w:r>
    </w:p>
    <w:p>
      <w:pPr>
        <w:spacing w:line="360" w:lineRule="auto"/>
        <w:rPr>
          <w:rFonts w:ascii="宋体" w:hAnsi="宋体"/>
          <w:color w:val="FF0000"/>
          <w:sz w:val="24"/>
        </w:rPr>
      </w:pPr>
      <w:r>
        <w:rPr>
          <w:rFonts w:hint="eastAsia" w:ascii="宋体" w:hAnsi="宋体"/>
          <w:sz w:val="24"/>
          <w:lang w:val="en-US" w:eastAsia="zh-CN"/>
        </w:rPr>
        <w:t>2.</w:t>
      </w:r>
      <w:r>
        <w:rPr>
          <w:rFonts w:hint="eastAsia" w:ascii="宋体" w:hAnsi="宋体"/>
          <w:sz w:val="24"/>
        </w:rPr>
        <w:t>1.5</w:t>
      </w:r>
      <w:r>
        <w:rPr>
          <w:rFonts w:ascii="宋体" w:hAnsi="宋体"/>
          <w:sz w:val="24"/>
        </w:rPr>
        <w:t xml:space="preserve"> </w:t>
      </w:r>
      <w:r>
        <w:rPr>
          <w:rFonts w:hint="eastAsia" w:ascii="宋体" w:hAnsi="宋体"/>
          <w:sz w:val="24"/>
        </w:rPr>
        <w:t>穿刺针显像增强技术，穿刺针增益可单独实时调节，可在血流模式下启用</w:t>
      </w:r>
    </w:p>
    <w:p>
      <w:pPr>
        <w:spacing w:line="360" w:lineRule="auto"/>
        <w:rPr>
          <w:rFonts w:ascii="宋体" w:hAnsi="宋体"/>
          <w:sz w:val="24"/>
        </w:rPr>
      </w:pPr>
      <w:r>
        <w:rPr>
          <w:rFonts w:hint="eastAsia" w:ascii="宋体" w:hAnsi="宋体"/>
          <w:sz w:val="24"/>
        </w:rPr>
        <w:t>2.1.</w:t>
      </w:r>
      <w:r>
        <w:rPr>
          <w:rFonts w:hint="eastAsia" w:ascii="宋体" w:hAnsi="宋体"/>
          <w:sz w:val="24"/>
          <w:lang w:val="en-US" w:eastAsia="zh-CN"/>
        </w:rPr>
        <w:t>6</w:t>
      </w:r>
      <w:r>
        <w:rPr>
          <w:rFonts w:hint="eastAsia" w:ascii="宋体" w:hAnsi="宋体"/>
          <w:sz w:val="24"/>
        </w:rPr>
        <w:t>具备M型和解剖M型</w:t>
      </w:r>
    </w:p>
    <w:p>
      <w:pPr>
        <w:spacing w:line="360" w:lineRule="auto"/>
        <w:rPr>
          <w:rFonts w:ascii="宋体" w:hAnsi="宋体"/>
          <w:sz w:val="24"/>
        </w:rPr>
      </w:pPr>
      <w:r>
        <w:rPr>
          <w:rFonts w:hint="eastAsia" w:ascii="宋体" w:hAnsi="宋体"/>
          <w:sz w:val="24"/>
        </w:rPr>
        <w:t>2.1.</w:t>
      </w:r>
      <w:r>
        <w:rPr>
          <w:rFonts w:hint="eastAsia" w:ascii="宋体" w:hAnsi="宋体"/>
          <w:sz w:val="24"/>
          <w:lang w:val="en-US" w:eastAsia="zh-CN"/>
        </w:rPr>
        <w:t>7</w:t>
      </w:r>
      <w:r>
        <w:rPr>
          <w:rFonts w:hint="eastAsia" w:ascii="宋体" w:hAnsi="宋体"/>
          <w:sz w:val="24"/>
        </w:rPr>
        <w:t>具有中文操作界面及输入中文注释功能</w:t>
      </w:r>
    </w:p>
    <w:p>
      <w:pPr>
        <w:spacing w:line="360" w:lineRule="auto"/>
        <w:rPr>
          <w:rFonts w:ascii="宋体" w:hAnsi="宋体"/>
          <w:sz w:val="24"/>
        </w:rPr>
      </w:pPr>
      <w:r>
        <w:rPr>
          <w:rFonts w:hint="eastAsia" w:ascii="宋体" w:hAnsi="宋体"/>
          <w:sz w:val="24"/>
        </w:rPr>
        <w:t>2.1.</w:t>
      </w:r>
      <w:r>
        <w:rPr>
          <w:rFonts w:hint="eastAsia" w:ascii="宋体" w:hAnsi="宋体"/>
          <w:sz w:val="24"/>
          <w:lang w:val="en-US" w:eastAsia="zh-CN"/>
        </w:rPr>
        <w:t>8</w:t>
      </w:r>
      <w:r>
        <w:rPr>
          <w:rFonts w:hint="eastAsia" w:ascii="宋体" w:hAnsi="宋体"/>
          <w:sz w:val="24"/>
        </w:rPr>
        <w:t>血管内中膜自动描记测量：可进行前壁、后壁描记，自动同步显示最大值、最小值等参数值。</w:t>
      </w:r>
    </w:p>
    <w:p>
      <w:pPr>
        <w:spacing w:line="360" w:lineRule="auto"/>
        <w:rPr>
          <w:rFonts w:hint="eastAsia" w:ascii="宋体" w:hAnsi="宋体"/>
          <w:sz w:val="24"/>
        </w:rPr>
      </w:pPr>
      <w:r>
        <w:rPr>
          <w:rFonts w:hint="eastAsia" w:ascii="宋体" w:hAnsi="宋体"/>
          <w:sz w:val="24"/>
        </w:rPr>
        <w:t>2.1.</w:t>
      </w:r>
      <w:r>
        <w:rPr>
          <w:rFonts w:hint="eastAsia" w:ascii="宋体" w:hAnsi="宋体"/>
          <w:sz w:val="24"/>
          <w:lang w:val="en-US" w:eastAsia="zh-CN"/>
        </w:rPr>
        <w:t>9</w:t>
      </w:r>
      <w:r>
        <w:rPr>
          <w:rFonts w:hint="eastAsia" w:ascii="宋体" w:hAnsi="宋体"/>
          <w:sz w:val="24"/>
        </w:rPr>
        <w:t>颈动脉内中膜厚度自动测量</w:t>
      </w:r>
    </w:p>
    <w:p>
      <w:pPr>
        <w:spacing w:line="360" w:lineRule="auto"/>
        <w:rPr>
          <w:rFonts w:ascii="宋体" w:hAnsi="宋体"/>
          <w:sz w:val="24"/>
        </w:rPr>
      </w:pPr>
      <w:r>
        <w:rPr>
          <w:rFonts w:hint="eastAsia" w:ascii="宋体" w:hAnsi="宋体"/>
          <w:sz w:val="24"/>
        </w:rPr>
        <w:t>2.1.</w:t>
      </w:r>
      <w:r>
        <w:rPr>
          <w:rFonts w:hint="eastAsia" w:ascii="宋体" w:hAnsi="宋体"/>
          <w:sz w:val="24"/>
          <w:lang w:val="en-US" w:eastAsia="zh-CN"/>
        </w:rPr>
        <w:t>10</w:t>
      </w:r>
      <w:r>
        <w:rPr>
          <w:rFonts w:hint="eastAsia" w:ascii="宋体" w:hAnsi="宋体"/>
          <w:sz w:val="24"/>
        </w:rPr>
        <w:t>宽景成像技术，成像长度≥30cm</w:t>
      </w:r>
    </w:p>
    <w:p>
      <w:pPr>
        <w:spacing w:line="360" w:lineRule="auto"/>
        <w:rPr>
          <w:rFonts w:ascii="宋体" w:hAnsi="宋体"/>
          <w:sz w:val="24"/>
        </w:rPr>
      </w:pPr>
      <w:r>
        <w:rPr>
          <w:rFonts w:hint="eastAsia" w:ascii="宋体" w:hAnsi="宋体"/>
          <w:sz w:val="24"/>
        </w:rPr>
        <w:t>2.1.1</w:t>
      </w:r>
      <w:r>
        <w:rPr>
          <w:rFonts w:hint="eastAsia" w:ascii="宋体" w:hAnsi="宋体"/>
          <w:sz w:val="24"/>
          <w:lang w:val="en-US" w:eastAsia="zh-CN"/>
        </w:rPr>
        <w:t>1</w:t>
      </w:r>
      <w:r>
        <w:rPr>
          <w:rFonts w:hint="eastAsia" w:ascii="宋体" w:hAnsi="宋体"/>
          <w:sz w:val="24"/>
        </w:rPr>
        <w:t xml:space="preserve"> 同时连接探头数量≥2把</w:t>
      </w:r>
    </w:p>
    <w:p>
      <w:pPr>
        <w:spacing w:line="360" w:lineRule="auto"/>
        <w:rPr>
          <w:rFonts w:ascii="宋体" w:hAnsi="宋体"/>
          <w:sz w:val="24"/>
        </w:rPr>
      </w:pPr>
      <w:r>
        <w:rPr>
          <w:rFonts w:hint="eastAsia" w:ascii="宋体" w:hAnsi="宋体"/>
          <w:sz w:val="24"/>
        </w:rPr>
        <w:t>2.1.1</w:t>
      </w:r>
      <w:r>
        <w:rPr>
          <w:rFonts w:hint="eastAsia" w:ascii="宋体" w:hAnsi="宋体"/>
          <w:sz w:val="24"/>
          <w:lang w:val="en-US" w:eastAsia="zh-CN"/>
        </w:rPr>
        <w:t>2</w:t>
      </w:r>
      <w:r>
        <w:rPr>
          <w:rFonts w:hint="eastAsia" w:ascii="宋体" w:hAnsi="宋体"/>
          <w:sz w:val="24"/>
        </w:rPr>
        <w:t>自动优化功能，包括二维图像自动优化和多普勒图像自动优化</w:t>
      </w:r>
    </w:p>
    <w:p>
      <w:pPr>
        <w:spacing w:line="360" w:lineRule="auto"/>
        <w:outlineLvl w:val="0"/>
        <w:rPr>
          <w:rFonts w:ascii="宋体" w:hAnsi="宋体"/>
          <w:sz w:val="24"/>
        </w:rPr>
      </w:pPr>
      <w:bookmarkStart w:id="82" w:name="_Toc11850792"/>
      <w:r>
        <w:rPr>
          <w:rFonts w:hint="eastAsia" w:ascii="宋体" w:hAnsi="宋体"/>
          <w:sz w:val="24"/>
        </w:rPr>
        <w:t>2.1.1</w:t>
      </w:r>
      <w:r>
        <w:rPr>
          <w:rFonts w:hint="eastAsia" w:ascii="宋体" w:hAnsi="宋体"/>
          <w:sz w:val="24"/>
          <w:lang w:val="en-US" w:eastAsia="zh-CN"/>
        </w:rPr>
        <w:t>3</w:t>
      </w:r>
      <w:r>
        <w:rPr>
          <w:rFonts w:hint="eastAsia" w:ascii="宋体" w:hAnsi="宋体"/>
          <w:sz w:val="24"/>
        </w:rPr>
        <w:t>超声专业轨迹球操作</w:t>
      </w:r>
      <w:bookmarkEnd w:id="82"/>
    </w:p>
    <w:p>
      <w:pPr>
        <w:spacing w:line="360" w:lineRule="auto"/>
        <w:rPr>
          <w:rFonts w:ascii="宋体" w:hAnsi="宋体"/>
          <w:sz w:val="24"/>
        </w:rPr>
      </w:pPr>
      <w:r>
        <w:rPr>
          <w:rFonts w:hint="eastAsia" w:ascii="宋体" w:hAnsi="宋体"/>
          <w:sz w:val="24"/>
        </w:rPr>
        <w:t>2.1.1</w:t>
      </w:r>
      <w:r>
        <w:rPr>
          <w:rFonts w:hint="eastAsia" w:ascii="宋体" w:hAnsi="宋体"/>
          <w:sz w:val="24"/>
          <w:lang w:val="en-US" w:eastAsia="zh-CN"/>
        </w:rPr>
        <w:t>4</w:t>
      </w:r>
      <w:r>
        <w:rPr>
          <w:rFonts w:hint="eastAsia" w:ascii="宋体" w:hAnsi="宋体"/>
          <w:sz w:val="24"/>
        </w:rPr>
        <w:t>内置锂电池（连续扫查时间≥0.5 h）</w:t>
      </w:r>
    </w:p>
    <w:p>
      <w:pPr>
        <w:spacing w:line="360" w:lineRule="auto"/>
        <w:outlineLvl w:val="0"/>
        <w:rPr>
          <w:rFonts w:ascii="宋体" w:hAnsi="宋体"/>
          <w:sz w:val="24"/>
        </w:rPr>
      </w:pPr>
      <w:bookmarkStart w:id="83" w:name="_Toc11850793"/>
      <w:r>
        <w:rPr>
          <w:rFonts w:hint="eastAsia" w:ascii="宋体" w:hAnsi="宋体"/>
          <w:sz w:val="24"/>
        </w:rPr>
        <w:t>2.1.1</w:t>
      </w:r>
      <w:r>
        <w:rPr>
          <w:rFonts w:hint="eastAsia" w:ascii="宋体" w:hAnsi="宋体"/>
          <w:sz w:val="24"/>
          <w:lang w:val="en-US" w:eastAsia="zh-CN"/>
        </w:rPr>
        <w:t>5</w:t>
      </w:r>
      <w:bookmarkStart w:id="121" w:name="_GoBack"/>
      <w:bookmarkEnd w:id="121"/>
      <w:r>
        <w:rPr>
          <w:rFonts w:ascii="宋体" w:hAnsi="宋体"/>
          <w:sz w:val="24"/>
        </w:rPr>
        <w:t xml:space="preserve"> </w:t>
      </w:r>
      <w:r>
        <w:rPr>
          <w:rFonts w:hint="eastAsia" w:ascii="宋体" w:hAnsi="宋体"/>
          <w:sz w:val="24"/>
        </w:rPr>
        <w:t>配备超声专用台车，探头接口≥3个</w:t>
      </w:r>
      <w:bookmarkEnd w:id="83"/>
    </w:p>
    <w:p>
      <w:pPr>
        <w:spacing w:line="360" w:lineRule="auto"/>
        <w:rPr>
          <w:rFonts w:ascii="宋体" w:hAnsi="宋体"/>
          <w:sz w:val="24"/>
        </w:rPr>
      </w:pPr>
      <w:r>
        <w:rPr>
          <w:rFonts w:hint="eastAsia" w:ascii="宋体" w:hAnsi="宋体"/>
          <w:sz w:val="24"/>
        </w:rPr>
        <w:t>2.2测量和分析：(B型、M型、频谱多普勒、彩色模式)</w:t>
      </w:r>
    </w:p>
    <w:p>
      <w:pPr>
        <w:spacing w:line="360" w:lineRule="auto"/>
        <w:rPr>
          <w:rFonts w:ascii="宋体" w:hAnsi="宋体"/>
          <w:sz w:val="24"/>
        </w:rPr>
      </w:pPr>
      <w:r>
        <w:rPr>
          <w:rFonts w:hint="eastAsia" w:ascii="宋体" w:hAnsi="宋体"/>
          <w:sz w:val="24"/>
        </w:rPr>
        <w:t xml:space="preserve">2.2.1一般测量 </w:t>
      </w:r>
    </w:p>
    <w:p>
      <w:pPr>
        <w:spacing w:line="360" w:lineRule="auto"/>
        <w:rPr>
          <w:rFonts w:ascii="宋体" w:hAnsi="宋体"/>
          <w:sz w:val="24"/>
        </w:rPr>
      </w:pPr>
      <w:r>
        <w:rPr>
          <w:rFonts w:hint="eastAsia" w:ascii="宋体" w:hAnsi="宋体"/>
          <w:sz w:val="24"/>
        </w:rPr>
        <w:t>2.2.2多普勒血流测量及分析</w:t>
      </w:r>
    </w:p>
    <w:p>
      <w:pPr>
        <w:spacing w:line="360" w:lineRule="auto"/>
        <w:rPr>
          <w:rFonts w:ascii="宋体" w:hAnsi="宋体"/>
          <w:sz w:val="24"/>
        </w:rPr>
      </w:pPr>
      <w:r>
        <w:rPr>
          <w:rFonts w:hint="eastAsia" w:ascii="宋体" w:hAnsi="宋体"/>
          <w:sz w:val="24"/>
        </w:rPr>
        <w:t>2.2.3自动、实时多普勒波形分析，实时和冻结条件下均可进行分析</w:t>
      </w:r>
    </w:p>
    <w:p>
      <w:pPr>
        <w:spacing w:line="360" w:lineRule="auto"/>
        <w:rPr>
          <w:rFonts w:ascii="宋体" w:hAnsi="宋体"/>
          <w:sz w:val="24"/>
        </w:rPr>
      </w:pPr>
      <w:r>
        <w:rPr>
          <w:rFonts w:hint="eastAsia" w:ascii="宋体" w:hAnsi="宋体"/>
          <w:sz w:val="24"/>
        </w:rPr>
        <w:t>2.2.4心脏功能测量及分析</w:t>
      </w:r>
    </w:p>
    <w:p>
      <w:pPr>
        <w:spacing w:line="360" w:lineRule="auto"/>
        <w:rPr>
          <w:rFonts w:ascii="宋体" w:hAnsi="宋体"/>
          <w:sz w:val="24"/>
        </w:rPr>
      </w:pPr>
      <w:r>
        <w:rPr>
          <w:rFonts w:hint="eastAsia" w:ascii="宋体" w:hAnsi="宋体"/>
          <w:sz w:val="24"/>
        </w:rPr>
        <w:t>2.2.5外周血管测量及分析</w:t>
      </w:r>
    </w:p>
    <w:p>
      <w:pPr>
        <w:spacing w:line="360" w:lineRule="auto"/>
        <w:rPr>
          <w:rFonts w:ascii="宋体" w:hAnsi="宋体"/>
          <w:sz w:val="24"/>
        </w:rPr>
      </w:pPr>
      <w:r>
        <w:rPr>
          <w:rFonts w:hint="eastAsia" w:ascii="宋体" w:hAnsi="宋体"/>
          <w:sz w:val="24"/>
        </w:rPr>
        <w:t>2.2.6泌尿科测量及分析</w:t>
      </w:r>
    </w:p>
    <w:p>
      <w:pPr>
        <w:spacing w:line="360" w:lineRule="auto"/>
        <w:rPr>
          <w:rFonts w:ascii="宋体" w:hAnsi="宋体"/>
          <w:sz w:val="24"/>
        </w:rPr>
      </w:pPr>
      <w:r>
        <w:rPr>
          <w:rFonts w:hint="eastAsia" w:ascii="宋体" w:hAnsi="宋体"/>
          <w:sz w:val="24"/>
        </w:rPr>
        <w:t>2.3图像存储与（电影）回放重现及病案管理单元</w:t>
      </w:r>
    </w:p>
    <w:p>
      <w:pPr>
        <w:spacing w:line="360" w:lineRule="auto"/>
        <w:rPr>
          <w:rFonts w:ascii="宋体" w:hAnsi="宋体"/>
          <w:sz w:val="24"/>
        </w:rPr>
      </w:pPr>
      <w:r>
        <w:rPr>
          <w:rFonts w:hint="eastAsia" w:ascii="宋体" w:hAnsi="宋体"/>
          <w:sz w:val="24"/>
        </w:rPr>
        <w:t>2.3.1同屏一体化智能剪贴板, 存储的图像能与实时扫查图像同屏显示并可在线浏览、删除、拷贝等操作</w:t>
      </w:r>
    </w:p>
    <w:p>
      <w:pPr>
        <w:spacing w:line="360" w:lineRule="auto"/>
        <w:rPr>
          <w:rFonts w:ascii="宋体" w:hAnsi="宋体"/>
          <w:sz w:val="24"/>
        </w:rPr>
      </w:pPr>
      <w:r>
        <w:rPr>
          <w:rFonts w:hint="eastAsia" w:ascii="宋体" w:hAnsi="宋体"/>
          <w:sz w:val="24"/>
        </w:rPr>
        <w:t>2.3.2原始数据处理能力（可对已存储的图像进行增益、动态范围、多普勒基线、多普勒角度、扫描速度、自动优化等调节以及测量和分析），可对回放的图像进行≥30种参数调节</w:t>
      </w:r>
    </w:p>
    <w:p>
      <w:pPr>
        <w:spacing w:line="360" w:lineRule="auto"/>
        <w:rPr>
          <w:rFonts w:ascii="宋体" w:hAnsi="宋体"/>
          <w:sz w:val="24"/>
        </w:rPr>
      </w:pPr>
      <w:r>
        <w:rPr>
          <w:rFonts w:hint="eastAsia" w:ascii="宋体" w:hAnsi="宋体"/>
          <w:sz w:val="24"/>
        </w:rPr>
        <w:t>2.3.3图像一键导出功能，USB接口支持快速闪存卡，快速存储屏幕上的图像</w:t>
      </w:r>
    </w:p>
    <w:p>
      <w:pPr>
        <w:spacing w:line="360" w:lineRule="auto"/>
        <w:rPr>
          <w:rFonts w:ascii="宋体" w:hAnsi="宋体"/>
          <w:sz w:val="24"/>
        </w:rPr>
      </w:pPr>
      <w:r>
        <w:rPr>
          <w:rFonts w:hint="eastAsia" w:ascii="宋体" w:hAnsi="宋体"/>
          <w:sz w:val="24"/>
        </w:rPr>
        <w:t>2.3.4内置全数字化固态硬盘≥120G，非机械硬盘；可通过SD卡和USB接口无限扩展存储容量。</w:t>
      </w:r>
    </w:p>
    <w:p>
      <w:pPr>
        <w:spacing w:line="360" w:lineRule="auto"/>
        <w:rPr>
          <w:rFonts w:ascii="宋体" w:hAnsi="宋体"/>
          <w:sz w:val="24"/>
        </w:rPr>
      </w:pPr>
      <w:r>
        <w:rPr>
          <w:rFonts w:hint="eastAsia" w:ascii="宋体" w:hAnsi="宋体"/>
          <w:sz w:val="24"/>
        </w:rPr>
        <w:t>2.4输入/输出信号</w:t>
      </w:r>
    </w:p>
    <w:p>
      <w:pPr>
        <w:spacing w:line="360" w:lineRule="auto"/>
        <w:rPr>
          <w:rFonts w:ascii="宋体" w:hAnsi="宋体"/>
          <w:sz w:val="24"/>
        </w:rPr>
      </w:pPr>
      <w:r>
        <w:rPr>
          <w:rFonts w:hint="eastAsia" w:ascii="宋体" w:hAnsi="宋体"/>
          <w:sz w:val="24"/>
        </w:rPr>
        <w:t>2.4.1输入：SD卡，USB</w:t>
      </w:r>
    </w:p>
    <w:p>
      <w:pPr>
        <w:spacing w:line="360" w:lineRule="auto"/>
        <w:rPr>
          <w:rFonts w:ascii="宋体" w:hAnsi="宋体"/>
          <w:sz w:val="24"/>
        </w:rPr>
      </w:pPr>
      <w:r>
        <w:rPr>
          <w:rFonts w:hint="eastAsia" w:ascii="宋体" w:hAnsi="宋体"/>
          <w:sz w:val="24"/>
        </w:rPr>
        <w:t>2.4.2输出：SD卡，USB ， HDMI， S-video</w:t>
      </w:r>
    </w:p>
    <w:p>
      <w:pPr>
        <w:spacing w:line="360" w:lineRule="auto"/>
        <w:rPr>
          <w:rFonts w:hint="eastAsia" w:ascii="宋体" w:hAnsi="宋体"/>
          <w:sz w:val="24"/>
        </w:rPr>
      </w:pPr>
      <w:r>
        <w:rPr>
          <w:rFonts w:hint="eastAsia" w:ascii="宋体" w:hAnsi="宋体"/>
          <w:sz w:val="24"/>
        </w:rPr>
        <w:t>2.5图像管理与记录装置：</w:t>
      </w:r>
    </w:p>
    <w:p>
      <w:pPr>
        <w:spacing w:line="360" w:lineRule="auto"/>
        <w:rPr>
          <w:rFonts w:ascii="宋体" w:hAnsi="宋体"/>
          <w:sz w:val="24"/>
        </w:rPr>
      </w:pPr>
      <w:r>
        <w:rPr>
          <w:rFonts w:hint="eastAsia" w:ascii="宋体" w:hAnsi="宋体"/>
          <w:sz w:val="24"/>
        </w:rPr>
        <w:t>2.5.1超声图像存档与病案管理系统</w:t>
      </w:r>
    </w:p>
    <w:p>
      <w:pPr>
        <w:spacing w:line="360" w:lineRule="auto"/>
        <w:rPr>
          <w:rFonts w:ascii="宋体" w:hAnsi="宋体"/>
          <w:sz w:val="24"/>
        </w:rPr>
      </w:pPr>
      <w:r>
        <w:rPr>
          <w:rFonts w:hint="eastAsia" w:ascii="宋体" w:hAnsi="宋体"/>
          <w:sz w:val="24"/>
        </w:rPr>
        <w:t>2.5.2动态图像、静态图像以PC通用格式直接存储，无需特殊软件即能在普通PC 机上直接观看图像</w:t>
      </w:r>
    </w:p>
    <w:p>
      <w:pPr>
        <w:spacing w:line="360" w:lineRule="auto"/>
        <w:outlineLvl w:val="0"/>
        <w:rPr>
          <w:rFonts w:ascii="宋体" w:hAnsi="宋体"/>
          <w:sz w:val="24"/>
        </w:rPr>
      </w:pPr>
      <w:bookmarkStart w:id="84" w:name="_Toc11850794"/>
      <w:r>
        <w:rPr>
          <w:rFonts w:hint="eastAsia" w:ascii="宋体" w:hAnsi="宋体"/>
          <w:sz w:val="24"/>
        </w:rPr>
        <w:t>2.6技术参数及要求</w:t>
      </w:r>
      <w:bookmarkEnd w:id="84"/>
    </w:p>
    <w:p>
      <w:pPr>
        <w:spacing w:line="360" w:lineRule="auto"/>
        <w:rPr>
          <w:rFonts w:ascii="宋体" w:hAnsi="宋体"/>
          <w:sz w:val="24"/>
        </w:rPr>
      </w:pPr>
      <w:r>
        <w:rPr>
          <w:rFonts w:hint="eastAsia" w:ascii="宋体" w:hAnsi="宋体"/>
          <w:sz w:val="24"/>
        </w:rPr>
        <w:t>2.6.1安全性能：符合国家药品监督管理局商品安全质量要求。</w:t>
      </w:r>
    </w:p>
    <w:p>
      <w:pPr>
        <w:spacing w:line="360" w:lineRule="auto"/>
        <w:rPr>
          <w:rFonts w:ascii="宋体" w:hAnsi="宋体"/>
          <w:sz w:val="24"/>
        </w:rPr>
      </w:pPr>
      <w:r>
        <w:rPr>
          <w:rFonts w:hint="eastAsia" w:ascii="宋体" w:hAnsi="宋体"/>
          <w:sz w:val="24"/>
        </w:rPr>
        <w:t>2.6.2 探头配置：</w:t>
      </w:r>
    </w:p>
    <w:p>
      <w:pPr>
        <w:spacing w:line="360" w:lineRule="auto"/>
        <w:ind w:firstLine="600" w:firstLineChars="250"/>
        <w:outlineLvl w:val="0"/>
        <w:rPr>
          <w:rFonts w:ascii="宋体" w:hAnsi="宋体"/>
          <w:sz w:val="24"/>
        </w:rPr>
      </w:pPr>
      <w:bookmarkStart w:id="85" w:name="_Toc11850795"/>
      <w:bookmarkStart w:id="86" w:name="_Hlk497319170"/>
      <w:r>
        <w:rPr>
          <w:rFonts w:hint="eastAsia" w:ascii="宋体" w:hAnsi="宋体"/>
          <w:sz w:val="24"/>
        </w:rPr>
        <w:t>类型：支持凸阵，线阵，相控阵，微凸阵</w:t>
      </w:r>
      <w:bookmarkEnd w:id="85"/>
    </w:p>
    <w:p>
      <w:pPr>
        <w:spacing w:line="360" w:lineRule="auto"/>
        <w:ind w:firstLine="600" w:firstLineChars="250"/>
        <w:rPr>
          <w:rFonts w:ascii="宋体" w:hAnsi="宋体"/>
          <w:sz w:val="24"/>
        </w:rPr>
      </w:pPr>
      <w:r>
        <w:rPr>
          <w:rFonts w:hint="eastAsia" w:ascii="宋体" w:hAnsi="宋体"/>
          <w:sz w:val="24"/>
        </w:rPr>
        <w:t>高频线阵探头 1把</w:t>
      </w:r>
    </w:p>
    <w:p>
      <w:pPr>
        <w:spacing w:line="360" w:lineRule="auto"/>
        <w:ind w:firstLine="600" w:firstLineChars="250"/>
        <w:rPr>
          <w:rFonts w:ascii="宋体" w:hAnsi="宋体"/>
          <w:sz w:val="24"/>
        </w:rPr>
      </w:pPr>
      <w:r>
        <w:rPr>
          <w:rFonts w:hint="eastAsia" w:ascii="宋体" w:hAnsi="宋体"/>
          <w:sz w:val="24"/>
        </w:rPr>
        <w:t>凸阵探头 1把</w:t>
      </w:r>
    </w:p>
    <w:p>
      <w:pPr>
        <w:spacing w:line="360" w:lineRule="auto"/>
        <w:ind w:firstLine="600" w:firstLineChars="250"/>
        <w:rPr>
          <w:rFonts w:ascii="宋体" w:hAnsi="宋体"/>
          <w:sz w:val="24"/>
        </w:rPr>
      </w:pPr>
      <w:r>
        <w:rPr>
          <w:rFonts w:hint="eastAsia" w:ascii="宋体" w:hAnsi="宋体"/>
          <w:sz w:val="24"/>
        </w:rPr>
        <w:t>相控阵</w:t>
      </w:r>
      <w:bookmarkEnd w:id="86"/>
      <w:r>
        <w:rPr>
          <w:rFonts w:hint="eastAsia" w:ascii="宋体" w:hAnsi="宋体"/>
          <w:sz w:val="24"/>
        </w:rPr>
        <w:t>探头 1把</w:t>
      </w:r>
    </w:p>
    <w:p>
      <w:pPr>
        <w:spacing w:line="360" w:lineRule="auto"/>
        <w:outlineLvl w:val="0"/>
        <w:rPr>
          <w:rFonts w:ascii="宋体" w:hAnsi="宋体"/>
          <w:sz w:val="24"/>
        </w:rPr>
      </w:pPr>
      <w:bookmarkStart w:id="87" w:name="_Toc11850796"/>
      <w:r>
        <w:rPr>
          <w:rFonts w:hint="eastAsia" w:ascii="宋体" w:hAnsi="宋体"/>
          <w:sz w:val="24"/>
        </w:rPr>
        <w:t>2.6.3发射声束聚焦：≥8段</w:t>
      </w:r>
      <w:bookmarkEnd w:id="87"/>
    </w:p>
    <w:p>
      <w:pPr>
        <w:spacing w:line="360" w:lineRule="auto"/>
        <w:rPr>
          <w:rFonts w:ascii="宋体" w:hAnsi="宋体"/>
          <w:sz w:val="24"/>
        </w:rPr>
      </w:pPr>
      <w:r>
        <w:rPr>
          <w:rFonts w:hint="eastAsia" w:ascii="宋体" w:hAnsi="宋体"/>
          <w:sz w:val="24"/>
        </w:rPr>
        <w:t>2.6.4回放重现：灰阶图像回放≥5000幅、回放时间≥60秒</w:t>
      </w:r>
    </w:p>
    <w:p>
      <w:pPr>
        <w:spacing w:line="360" w:lineRule="auto"/>
        <w:rPr>
          <w:rFonts w:ascii="宋体" w:hAnsi="宋体"/>
          <w:sz w:val="24"/>
        </w:rPr>
      </w:pPr>
      <w:r>
        <w:rPr>
          <w:rFonts w:hint="eastAsia" w:ascii="宋体" w:hAnsi="宋体"/>
          <w:sz w:val="24"/>
        </w:rPr>
        <w:t>2.6.5预设条件：针对不同的检查脏器，预置最佳化图像的检查条件， 减少操作时的调节，及常用所需的外部调节及组合调节</w:t>
      </w:r>
    </w:p>
    <w:p>
      <w:pPr>
        <w:spacing w:line="360" w:lineRule="auto"/>
        <w:outlineLvl w:val="0"/>
        <w:rPr>
          <w:rFonts w:ascii="宋体" w:hAnsi="宋体"/>
          <w:sz w:val="24"/>
        </w:rPr>
      </w:pPr>
      <w:bookmarkStart w:id="88" w:name="_Toc11850797"/>
      <w:r>
        <w:rPr>
          <w:rFonts w:hint="eastAsia" w:ascii="宋体" w:hAnsi="宋体"/>
          <w:sz w:val="24"/>
        </w:rPr>
        <w:t>2.6.6增益调节：B/M/CF/D可独立调节，TGC调节≥6段</w:t>
      </w:r>
      <w:bookmarkEnd w:id="88"/>
    </w:p>
    <w:p>
      <w:pPr>
        <w:spacing w:line="360" w:lineRule="auto"/>
        <w:rPr>
          <w:rFonts w:ascii="宋体" w:hAnsi="宋体"/>
          <w:sz w:val="24"/>
        </w:rPr>
      </w:pPr>
      <w:r>
        <w:rPr>
          <w:rFonts w:hint="eastAsia" w:ascii="宋体" w:hAnsi="宋体"/>
          <w:sz w:val="24"/>
        </w:rPr>
        <w:t>2.6.7超声系统最大探查深度≥30cm</w:t>
      </w:r>
    </w:p>
    <w:p>
      <w:pPr>
        <w:spacing w:line="360" w:lineRule="auto"/>
        <w:outlineLvl w:val="0"/>
        <w:rPr>
          <w:rFonts w:ascii="宋体" w:hAnsi="宋体"/>
          <w:sz w:val="24"/>
        </w:rPr>
      </w:pPr>
      <w:bookmarkStart w:id="89" w:name="_Toc11850798"/>
      <w:r>
        <w:rPr>
          <w:rFonts w:hint="eastAsia" w:ascii="宋体" w:hAnsi="宋体"/>
          <w:sz w:val="24"/>
        </w:rPr>
        <w:t>2.6.8系统动态范围≥200dB；可视可调动态范围36-96dB</w:t>
      </w:r>
      <w:bookmarkEnd w:id="89"/>
    </w:p>
    <w:p>
      <w:pPr>
        <w:spacing w:line="360" w:lineRule="auto"/>
        <w:rPr>
          <w:rFonts w:ascii="宋体" w:hAnsi="宋体"/>
          <w:sz w:val="24"/>
        </w:rPr>
      </w:pPr>
      <w:r>
        <w:rPr>
          <w:rFonts w:hint="eastAsia" w:ascii="宋体" w:hAnsi="宋体"/>
          <w:sz w:val="24"/>
        </w:rPr>
        <w:t>2.6.9凸阵探头最大视野，18cm深度时帧频≥40帧；相控阵阵探头90度角，18cm深度时帧频≥60帧；</w:t>
      </w:r>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0频谱多普勒</w:t>
      </w:r>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0.1方式：脉冲波多普勒</w:t>
      </w:r>
    </w:p>
    <w:p>
      <w:pPr>
        <w:spacing w:line="360" w:lineRule="auto"/>
        <w:rPr>
          <w:rFonts w:ascii="宋体" w:hAnsi="宋体"/>
          <w:sz w:val="24"/>
        </w:rPr>
      </w:pPr>
      <w:r>
        <w:rPr>
          <w:rFonts w:hint="eastAsia" w:ascii="宋体" w:hAnsi="宋体"/>
          <w:sz w:val="24"/>
        </w:rPr>
        <w:t xml:space="preserve">           高脉冲重复频率</w:t>
      </w:r>
    </w:p>
    <w:p>
      <w:pPr>
        <w:spacing w:line="360" w:lineRule="auto"/>
        <w:rPr>
          <w:rFonts w:ascii="宋体" w:hAnsi="宋体"/>
          <w:sz w:val="24"/>
        </w:rPr>
      </w:pPr>
      <w:r>
        <w:rPr>
          <w:rFonts w:hint="eastAsia" w:ascii="宋体" w:hAnsi="宋体"/>
          <w:sz w:val="24"/>
        </w:rPr>
        <w:t xml:space="preserve">           连续波多普勒</w:t>
      </w:r>
    </w:p>
    <w:p>
      <w:pPr>
        <w:spacing w:line="360" w:lineRule="auto"/>
        <w:rPr>
          <w:rFonts w:hint="eastAsia" w:ascii="宋体" w:hAnsi="宋体"/>
          <w:sz w:val="24"/>
        </w:rPr>
      </w:pPr>
      <w:r>
        <w:rPr>
          <w:rFonts w:hint="eastAsia" w:ascii="宋体" w:hAnsi="宋体"/>
          <w:sz w:val="24"/>
        </w:rPr>
        <w:t xml:space="preserve">           组织多普勒速度成像</w:t>
      </w:r>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0.2最大测量速度：PWD：血流速度≥5.0 m/s ；CWD:  血流速度≥12.0 m/s</w:t>
      </w:r>
    </w:p>
    <w:p>
      <w:pPr>
        <w:spacing w:line="360" w:lineRule="auto"/>
        <w:outlineLvl w:val="0"/>
        <w:rPr>
          <w:rFonts w:ascii="宋体" w:hAnsi="宋体"/>
          <w:sz w:val="24"/>
        </w:rPr>
      </w:pPr>
      <w:bookmarkStart w:id="90" w:name="_Toc11850799"/>
      <w:r>
        <w:rPr>
          <w:rFonts w:hint="eastAsia" w:ascii="宋体" w:hAnsi="宋体"/>
          <w:sz w:val="24"/>
        </w:rPr>
        <w:t>2.</w:t>
      </w:r>
      <w:r>
        <w:rPr>
          <w:rFonts w:ascii="宋体" w:hAnsi="宋体"/>
          <w:sz w:val="24"/>
        </w:rPr>
        <w:t>6.1</w:t>
      </w:r>
      <w:r>
        <w:rPr>
          <w:rFonts w:hint="eastAsia" w:ascii="宋体" w:hAnsi="宋体"/>
          <w:sz w:val="24"/>
        </w:rPr>
        <w:t>0.3多普勒取样容积距离体表的深度可在屏幕上实时显示</w:t>
      </w:r>
      <w:bookmarkEnd w:id="90"/>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0.4多普勒取样宽度不低于1-15mm</w:t>
      </w:r>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0.5频谱多普勒实时自动包络测量技术，可测算参数不低于14种</w:t>
      </w:r>
    </w:p>
    <w:p>
      <w:pPr>
        <w:spacing w:line="360" w:lineRule="auto"/>
        <w:outlineLvl w:val="0"/>
        <w:rPr>
          <w:rFonts w:ascii="宋体" w:hAnsi="宋体"/>
          <w:sz w:val="24"/>
        </w:rPr>
      </w:pPr>
      <w:bookmarkStart w:id="91" w:name="_Toc11850800"/>
      <w:r>
        <w:rPr>
          <w:rFonts w:hint="eastAsia" w:ascii="宋体" w:hAnsi="宋体"/>
          <w:sz w:val="24"/>
        </w:rPr>
        <w:t>2.</w:t>
      </w:r>
      <w:r>
        <w:rPr>
          <w:rFonts w:ascii="宋体" w:hAnsi="宋体"/>
          <w:sz w:val="24"/>
        </w:rPr>
        <w:t>6.1</w:t>
      </w:r>
      <w:r>
        <w:rPr>
          <w:rFonts w:hint="eastAsia" w:ascii="宋体" w:hAnsi="宋体"/>
          <w:sz w:val="24"/>
        </w:rPr>
        <w:t>1彩色多普勒</w:t>
      </w:r>
      <w:bookmarkEnd w:id="91"/>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1.1显示方式：速度分散显示、能量显示、速度显示、方差显示</w:t>
      </w:r>
    </w:p>
    <w:p>
      <w:pPr>
        <w:spacing w:line="360" w:lineRule="auto"/>
        <w:outlineLvl w:val="0"/>
        <w:rPr>
          <w:rFonts w:ascii="宋体" w:hAnsi="宋体"/>
          <w:sz w:val="24"/>
        </w:rPr>
      </w:pPr>
      <w:bookmarkStart w:id="92" w:name="_Toc11850801"/>
      <w:r>
        <w:rPr>
          <w:rFonts w:hint="eastAsia" w:ascii="宋体" w:hAnsi="宋体"/>
          <w:sz w:val="24"/>
        </w:rPr>
        <w:t>2.</w:t>
      </w:r>
      <w:r>
        <w:rPr>
          <w:rFonts w:ascii="宋体" w:hAnsi="宋体"/>
          <w:sz w:val="24"/>
        </w:rPr>
        <w:t>6.1</w:t>
      </w:r>
      <w:r>
        <w:rPr>
          <w:rFonts w:hint="eastAsia" w:ascii="宋体" w:hAnsi="宋体"/>
          <w:sz w:val="24"/>
        </w:rPr>
        <w:t>1.2显示控制：零位移动、黑白与彩色比较、彩色对比</w:t>
      </w:r>
      <w:bookmarkEnd w:id="92"/>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1.3自适应彩色增强技术(可自动滤除运动伪影)</w:t>
      </w:r>
    </w:p>
    <w:p>
      <w:pPr>
        <w:spacing w:line="360" w:lineRule="auto"/>
        <w:outlineLvl w:val="0"/>
        <w:rPr>
          <w:rFonts w:ascii="宋体" w:hAnsi="宋体"/>
          <w:sz w:val="24"/>
        </w:rPr>
      </w:pPr>
      <w:bookmarkStart w:id="93" w:name="_Toc11850802"/>
      <w:r>
        <w:rPr>
          <w:rFonts w:hint="eastAsia" w:ascii="宋体" w:hAnsi="宋体"/>
          <w:sz w:val="24"/>
        </w:rPr>
        <w:t>2.</w:t>
      </w:r>
      <w:r>
        <w:rPr>
          <w:rFonts w:ascii="宋体" w:hAnsi="宋体"/>
          <w:sz w:val="24"/>
        </w:rPr>
        <w:t>6.1</w:t>
      </w:r>
      <w:r>
        <w:rPr>
          <w:rFonts w:hint="eastAsia" w:ascii="宋体" w:hAnsi="宋体"/>
          <w:sz w:val="24"/>
        </w:rPr>
        <w:t>1.4彩色多普勒方向性能量图（DCA）</w:t>
      </w:r>
      <w:bookmarkEnd w:id="93"/>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1.5双幅实时显示、包括双幅不同模式实时显示（B/B;B/CFM）</w:t>
      </w:r>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1.6超声功率输出调节：B/M、PWD、Color Doppler输出功率可调</w:t>
      </w:r>
    </w:p>
    <w:p>
      <w:pPr>
        <w:spacing w:line="360" w:lineRule="auto"/>
        <w:outlineLvl w:val="0"/>
        <w:rPr>
          <w:rFonts w:ascii="宋体" w:hAnsi="宋体"/>
          <w:sz w:val="24"/>
        </w:rPr>
      </w:pPr>
      <w:bookmarkStart w:id="94" w:name="_Toc11850803"/>
      <w:r>
        <w:rPr>
          <w:rFonts w:hint="eastAsia" w:ascii="宋体" w:hAnsi="宋体"/>
          <w:sz w:val="24"/>
        </w:rPr>
        <w:t>2.</w:t>
      </w:r>
      <w:r>
        <w:rPr>
          <w:rFonts w:ascii="宋体" w:hAnsi="宋体"/>
          <w:sz w:val="24"/>
        </w:rPr>
        <w:t>6.1</w:t>
      </w:r>
      <w:r>
        <w:rPr>
          <w:rFonts w:hint="eastAsia" w:ascii="宋体" w:hAnsi="宋体"/>
          <w:sz w:val="24"/>
        </w:rPr>
        <w:t>1.7多普勒频率可视可调≥3段</w:t>
      </w:r>
      <w:bookmarkEnd w:id="94"/>
    </w:p>
    <w:p>
      <w:pPr>
        <w:spacing w:line="360" w:lineRule="auto"/>
        <w:rPr>
          <w:rFonts w:ascii="宋体" w:hAnsi="宋体"/>
          <w:sz w:val="24"/>
        </w:rPr>
      </w:pPr>
      <w:r>
        <w:rPr>
          <w:rFonts w:hint="eastAsia" w:ascii="宋体" w:hAnsi="宋体"/>
          <w:sz w:val="24"/>
        </w:rPr>
        <w:t>2.</w:t>
      </w:r>
      <w:r>
        <w:rPr>
          <w:rFonts w:ascii="宋体" w:hAnsi="宋体"/>
          <w:sz w:val="24"/>
        </w:rPr>
        <w:t>6.1</w:t>
      </w:r>
      <w:r>
        <w:rPr>
          <w:rFonts w:hint="eastAsia" w:ascii="宋体" w:hAnsi="宋体"/>
          <w:sz w:val="24"/>
        </w:rPr>
        <w:t>1.8凸阵探头最大取样框，18cm深度时帧频≥12帧；相控阵阵探头90度角,最大取样框， 18cm深度时帧频≥12帧；</w:t>
      </w:r>
    </w:p>
    <w:p>
      <w:pPr>
        <w:pStyle w:val="4"/>
        <w:spacing w:before="120" w:after="120" w:line="360" w:lineRule="exact"/>
        <w:ind w:firstLine="516" w:firstLineChars="214"/>
        <w:rPr>
          <w:rFonts w:ascii="宋体" w:hAnsi="宋体" w:eastAsia="宋体"/>
          <w:sz w:val="24"/>
          <w:szCs w:val="24"/>
        </w:rPr>
      </w:pPr>
    </w:p>
    <w:p>
      <w:pPr>
        <w:rPr>
          <w:rFonts w:ascii="宋体" w:hAnsi="宋体"/>
          <w:sz w:val="24"/>
        </w:rPr>
        <w:sectPr>
          <w:pgSz w:w="11907" w:h="16840"/>
          <w:pgMar w:top="1418" w:right="1418" w:bottom="1418" w:left="1418" w:header="851" w:footer="823" w:gutter="0"/>
          <w:cols w:space="720" w:num="1"/>
          <w:rtlGutter w:val="1"/>
          <w:docGrid w:linePitch="290" w:charSpace="-3931"/>
        </w:sectPr>
      </w:pPr>
    </w:p>
    <w:p>
      <w:pPr>
        <w:pStyle w:val="4"/>
        <w:spacing w:before="120" w:after="120" w:line="415" w:lineRule="auto"/>
        <w:jc w:val="center"/>
        <w:rPr>
          <w:rFonts w:ascii="宋体" w:hAnsi="宋体" w:eastAsia="宋体"/>
        </w:rPr>
      </w:pPr>
    </w:p>
    <w:p>
      <w:pPr>
        <w:pStyle w:val="3"/>
        <w:spacing w:before="120" w:after="120" w:line="360" w:lineRule="auto"/>
        <w:jc w:val="center"/>
        <w:rPr>
          <w:rFonts w:ascii="宋体" w:hAnsi="宋体"/>
          <w:kern w:val="2"/>
          <w:sz w:val="32"/>
        </w:rPr>
      </w:pPr>
      <w:bookmarkStart w:id="95" w:name="_Toc11850804"/>
      <w:r>
        <w:rPr>
          <w:rFonts w:hint="eastAsia" w:ascii="宋体" w:hAnsi="宋体"/>
          <w:kern w:val="2"/>
          <w:sz w:val="32"/>
        </w:rPr>
        <w:t>第五章合同格式</w:t>
      </w:r>
      <w:bookmarkEnd w:id="95"/>
    </w:p>
    <w:p>
      <w:pPr>
        <w:pStyle w:val="51"/>
        <w:pBdr>
          <w:bottom w:val="none" w:color="auto" w:sz="0" w:space="0"/>
        </w:pBdr>
        <w:tabs>
          <w:tab w:val="right" w:pos="8460"/>
          <w:tab w:val="clear" w:pos="8306"/>
        </w:tabs>
        <w:wordWrap w:val="0"/>
        <w:jc w:val="right"/>
        <w:rPr>
          <w:rFonts w:ascii="宋体" w:hAnsi="宋体"/>
          <w:b/>
          <w:sz w:val="30"/>
          <w:szCs w:val="30"/>
        </w:rPr>
      </w:pPr>
    </w:p>
    <w:p>
      <w:pPr>
        <w:pStyle w:val="51"/>
        <w:pBdr>
          <w:bottom w:val="none" w:color="auto" w:sz="0" w:space="0"/>
        </w:pBdr>
        <w:tabs>
          <w:tab w:val="right" w:pos="8460"/>
          <w:tab w:val="clear" w:pos="8306"/>
        </w:tabs>
        <w:ind w:right="600" w:firstLine="6035" w:firstLineChars="2004"/>
        <w:jc w:val="both"/>
        <w:rPr>
          <w:rFonts w:ascii="宋体" w:hAnsi="宋体"/>
          <w:b/>
          <w:sz w:val="30"/>
          <w:szCs w:val="30"/>
        </w:rPr>
      </w:pPr>
      <w:r>
        <w:rPr>
          <w:rFonts w:hint="eastAsia" w:ascii="宋体" w:hAnsi="宋体"/>
          <w:b/>
          <w:sz w:val="30"/>
          <w:szCs w:val="30"/>
        </w:rPr>
        <w:t>合同编号：</w:t>
      </w:r>
    </w:p>
    <w:p>
      <w:pPr>
        <w:jc w:val="center"/>
        <w:rPr>
          <w:rFonts w:ascii="宋体" w:hAnsi="宋体"/>
          <w:sz w:val="44"/>
        </w:rPr>
      </w:pPr>
    </w:p>
    <w:p>
      <w:pPr>
        <w:jc w:val="center"/>
        <w:rPr>
          <w:rFonts w:ascii="宋体" w:hAnsi="宋体"/>
          <w:b/>
          <w:sz w:val="72"/>
        </w:rPr>
      </w:pPr>
      <w:r>
        <w:rPr>
          <w:rFonts w:hint="eastAsia" w:ascii="宋体" w:hAnsi="宋体"/>
          <w:b/>
          <w:sz w:val="72"/>
        </w:rPr>
        <w:t>政府采购合同</w:t>
      </w:r>
    </w:p>
    <w:p>
      <w:pPr>
        <w:jc w:val="center"/>
        <w:rPr>
          <w:rFonts w:ascii="宋体" w:hAnsi="宋体"/>
          <w:sz w:val="72"/>
        </w:rPr>
      </w:pPr>
    </w:p>
    <w:p>
      <w:pPr>
        <w:widowControl/>
        <w:snapToGrid w:val="0"/>
        <w:spacing w:line="360" w:lineRule="auto"/>
        <w:rPr>
          <w:rFonts w:ascii="宋体" w:hAnsi="宋体" w:cs="宋体"/>
          <w:b/>
          <w:kern w:val="0"/>
          <w:sz w:val="24"/>
        </w:rPr>
      </w:pPr>
    </w:p>
    <w:p>
      <w:pPr>
        <w:widowControl/>
        <w:snapToGrid w:val="0"/>
        <w:spacing w:line="360" w:lineRule="auto"/>
        <w:rPr>
          <w:rFonts w:ascii="宋体" w:hAnsi="宋体" w:cs="宋体"/>
          <w:b/>
          <w:kern w:val="0"/>
          <w:sz w:val="32"/>
          <w:szCs w:val="32"/>
        </w:rPr>
      </w:pPr>
    </w:p>
    <w:p>
      <w:pPr>
        <w:widowControl/>
        <w:snapToGrid w:val="0"/>
        <w:spacing w:line="360" w:lineRule="auto"/>
        <w:ind w:left="2972" w:leftChars="658" w:hanging="1590" w:hangingChars="495"/>
        <w:jc w:val="left"/>
        <w:rPr>
          <w:rFonts w:ascii="宋体" w:hAnsi="宋体" w:cs="宋体"/>
          <w:b/>
          <w:kern w:val="0"/>
          <w:sz w:val="32"/>
          <w:szCs w:val="32"/>
          <w:u w:val="single"/>
        </w:rPr>
      </w:pPr>
      <w:r>
        <w:rPr>
          <w:rFonts w:hint="eastAsia" w:ascii="宋体" w:hAnsi="宋体" w:cs="宋体"/>
          <w:b/>
          <w:kern w:val="0"/>
          <w:sz w:val="32"/>
          <w:szCs w:val="32"/>
        </w:rPr>
        <w:t>项目名称</w:t>
      </w:r>
      <w:r>
        <w:rPr>
          <w:rFonts w:ascii="宋体" w:hAnsi="宋体" w:cs="宋体"/>
          <w:b/>
          <w:kern w:val="0"/>
          <w:sz w:val="32"/>
          <w:szCs w:val="32"/>
        </w:rPr>
        <w:t>:</w:t>
      </w:r>
    </w:p>
    <w:p>
      <w:pPr>
        <w:widowControl/>
        <w:snapToGrid w:val="0"/>
        <w:spacing w:line="360" w:lineRule="auto"/>
        <w:ind w:left="2972" w:leftChars="658" w:hanging="1590" w:hangingChars="495"/>
        <w:jc w:val="left"/>
        <w:rPr>
          <w:rFonts w:ascii="宋体" w:hAnsi="宋体" w:cs="宋体"/>
          <w:b/>
          <w:kern w:val="0"/>
          <w:sz w:val="32"/>
          <w:szCs w:val="32"/>
        </w:rPr>
      </w:pPr>
      <w:r>
        <w:rPr>
          <w:rFonts w:hint="eastAsia" w:ascii="宋体" w:hAnsi="宋体" w:cs="宋体"/>
          <w:b/>
          <w:kern w:val="0"/>
          <w:sz w:val="32"/>
          <w:szCs w:val="32"/>
        </w:rPr>
        <w:t>采购编号</w:t>
      </w:r>
      <w:r>
        <w:rPr>
          <w:rFonts w:ascii="宋体" w:hAnsi="宋体" w:cs="宋体"/>
          <w:b/>
          <w:kern w:val="0"/>
          <w:sz w:val="32"/>
          <w:szCs w:val="32"/>
        </w:rPr>
        <w:t>:</w:t>
      </w: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rPr>
          <w:rFonts w:ascii="宋体" w:hAnsi="宋体" w:cs="宋体"/>
          <w:b/>
          <w:kern w:val="0"/>
          <w:sz w:val="32"/>
          <w:szCs w:val="32"/>
        </w:rPr>
      </w:pPr>
    </w:p>
    <w:p>
      <w:pPr>
        <w:widowControl/>
        <w:snapToGrid w:val="0"/>
        <w:spacing w:line="360" w:lineRule="auto"/>
        <w:ind w:firstLine="1285" w:firstLineChars="400"/>
        <w:jc w:val="left"/>
        <w:rPr>
          <w:rFonts w:ascii="宋体" w:hAnsi="宋体" w:cs="宋体"/>
          <w:b/>
          <w:kern w:val="0"/>
          <w:sz w:val="32"/>
          <w:szCs w:val="32"/>
          <w:u w:val="single"/>
        </w:rPr>
      </w:pPr>
      <w:r>
        <w:rPr>
          <w:rFonts w:hint="eastAsia" w:ascii="宋体" w:hAnsi="宋体" w:cs="宋体"/>
          <w:b/>
          <w:kern w:val="0"/>
          <w:sz w:val="32"/>
          <w:szCs w:val="32"/>
        </w:rPr>
        <w:t>甲方</w:t>
      </w:r>
      <w:r>
        <w:rPr>
          <w:rFonts w:ascii="宋体" w:hAnsi="宋体" w:cs="宋体"/>
          <w:b/>
          <w:kern w:val="0"/>
          <w:sz w:val="32"/>
          <w:szCs w:val="32"/>
        </w:rPr>
        <w:t>:</w:t>
      </w:r>
    </w:p>
    <w:p>
      <w:pPr>
        <w:widowControl/>
        <w:snapToGrid w:val="0"/>
        <w:spacing w:line="360" w:lineRule="auto"/>
        <w:ind w:left="420" w:leftChars="200" w:firstLine="855" w:firstLineChars="266"/>
        <w:jc w:val="left"/>
        <w:rPr>
          <w:rFonts w:ascii="宋体" w:hAnsi="宋体" w:cs="宋体"/>
          <w:b/>
          <w:kern w:val="0"/>
          <w:sz w:val="32"/>
          <w:szCs w:val="32"/>
          <w:u w:val="single"/>
        </w:rPr>
      </w:pPr>
      <w:r>
        <w:rPr>
          <w:rFonts w:hint="eastAsia" w:ascii="宋体" w:hAnsi="宋体" w:cs="宋体"/>
          <w:b/>
          <w:kern w:val="0"/>
          <w:sz w:val="32"/>
          <w:szCs w:val="32"/>
        </w:rPr>
        <w:t>乙方</w:t>
      </w:r>
      <w:r>
        <w:rPr>
          <w:rFonts w:ascii="宋体" w:hAnsi="宋体" w:cs="宋体"/>
          <w:b/>
          <w:kern w:val="0"/>
          <w:sz w:val="32"/>
          <w:szCs w:val="32"/>
        </w:rPr>
        <w:t>:</w:t>
      </w:r>
    </w:p>
    <w:p>
      <w:pPr>
        <w:spacing w:line="360" w:lineRule="auto"/>
        <w:ind w:firstLine="480" w:firstLineChars="200"/>
        <w:jc w:val="center"/>
        <w:rPr>
          <w:rFonts w:ascii="宋体" w:hAnsi="宋体"/>
          <w:sz w:val="24"/>
          <w:u w:val="single"/>
        </w:rPr>
      </w:pPr>
    </w:p>
    <w:p>
      <w:pPr>
        <w:widowControl/>
        <w:snapToGrid w:val="0"/>
        <w:spacing w:line="360" w:lineRule="auto"/>
        <w:jc w:val="center"/>
        <w:rPr>
          <w:rFonts w:ascii="宋体" w:hAnsi="宋体" w:cs="宋体"/>
          <w:kern w:val="0"/>
          <w:sz w:val="24"/>
        </w:rPr>
      </w:pPr>
    </w:p>
    <w:p>
      <w:pPr>
        <w:widowControl/>
        <w:snapToGrid w:val="0"/>
        <w:spacing w:line="360" w:lineRule="auto"/>
        <w:ind w:firstLine="480" w:firstLineChars="200"/>
        <w:jc w:val="left"/>
        <w:rPr>
          <w:rFonts w:ascii="宋体" w:hAnsi="宋体"/>
          <w:kern w:val="0"/>
          <w:sz w:val="24"/>
        </w:rPr>
      </w:pPr>
      <w:r>
        <w:rPr>
          <w:rFonts w:ascii="宋体" w:hAnsi="宋体"/>
          <w:sz w:val="24"/>
          <w:u w:val="single"/>
        </w:rPr>
        <w:br w:type="page"/>
      </w:r>
      <w:r>
        <w:rPr>
          <w:rFonts w:hint="eastAsia" w:ascii="宋体" w:hAnsi="宋体"/>
          <w:kern w:val="0"/>
          <w:sz w:val="24"/>
        </w:rPr>
        <w:t>（甲方）所需</w:t>
      </w:r>
      <w:r>
        <w:rPr>
          <w:rFonts w:ascii="宋体" w:hAnsi="宋体"/>
          <w:kern w:val="0"/>
          <w:sz w:val="24"/>
        </w:rPr>
        <w:t>(</w:t>
      </w:r>
      <w:r>
        <w:rPr>
          <w:rFonts w:hint="eastAsia" w:ascii="宋体" w:hAnsi="宋体"/>
          <w:kern w:val="0"/>
          <w:sz w:val="24"/>
        </w:rPr>
        <w:t>货物名称</w:t>
      </w:r>
      <w:r>
        <w:rPr>
          <w:rFonts w:ascii="宋体" w:hAnsi="宋体"/>
          <w:kern w:val="0"/>
          <w:sz w:val="24"/>
        </w:rPr>
        <w:t>)</w:t>
      </w:r>
      <w:r>
        <w:rPr>
          <w:rFonts w:hint="eastAsia" w:ascii="宋体" w:hAnsi="宋体"/>
          <w:kern w:val="0"/>
          <w:sz w:val="24"/>
        </w:rPr>
        <w:t>经海逸恒安项目管理有限公司以（采购编号）招标文件在国内以公开招标方式进行采购。经评标委员会确定（乙方）为中标人。甲、乙双方根据《中华人民共和国政府采购法》、《中华人民共和国合同法》和其他法律、法规的规定，并按照公正、平等、自愿、诚实信用的原则，同意按照以下条款和条件，签署本合同。</w:t>
      </w:r>
    </w:p>
    <w:p>
      <w:pPr>
        <w:snapToGrid w:val="0"/>
        <w:spacing w:line="360" w:lineRule="auto"/>
        <w:ind w:firstLine="480"/>
        <w:rPr>
          <w:rFonts w:ascii="宋体" w:hAnsi="宋体"/>
          <w:sz w:val="24"/>
        </w:rPr>
      </w:pPr>
      <w:r>
        <w:rPr>
          <w:rFonts w:hint="eastAsia" w:ascii="宋体" w:hAnsi="宋体"/>
          <w:bCs/>
          <w:sz w:val="24"/>
        </w:rPr>
        <w:t>一、合同文件</w:t>
      </w:r>
    </w:p>
    <w:p>
      <w:pPr>
        <w:snapToGrid w:val="0"/>
        <w:spacing w:line="360" w:lineRule="auto"/>
        <w:ind w:firstLine="480"/>
        <w:rPr>
          <w:rFonts w:ascii="宋体" w:hAnsi="宋体"/>
          <w:sz w:val="24"/>
        </w:rPr>
      </w:pPr>
      <w:r>
        <w:rPr>
          <w:rFonts w:hint="eastAsia" w:ascii="宋体" w:hAnsi="宋体"/>
          <w:sz w:val="24"/>
        </w:rPr>
        <w:t>本合同所附下列文件是构成本合同不可分割的部分：</w:t>
      </w:r>
    </w:p>
    <w:p>
      <w:pPr>
        <w:snapToGrid w:val="0"/>
        <w:spacing w:line="360" w:lineRule="auto"/>
        <w:ind w:firstLine="480"/>
        <w:rPr>
          <w:rFonts w:ascii="宋体" w:hAnsi="宋体"/>
          <w:sz w:val="24"/>
        </w:rPr>
      </w:pPr>
      <w:r>
        <w:rPr>
          <w:rFonts w:hint="eastAsia" w:ascii="宋体" w:hAnsi="宋体"/>
          <w:sz w:val="24"/>
        </w:rPr>
        <w:t>（一）本项目招标文件</w:t>
      </w:r>
    </w:p>
    <w:p>
      <w:pPr>
        <w:snapToGrid w:val="0"/>
        <w:spacing w:line="360" w:lineRule="auto"/>
        <w:ind w:firstLine="480"/>
        <w:rPr>
          <w:rFonts w:ascii="宋体" w:hAnsi="宋体"/>
          <w:sz w:val="24"/>
        </w:rPr>
      </w:pPr>
      <w:r>
        <w:rPr>
          <w:rFonts w:hint="eastAsia" w:ascii="宋体" w:hAnsi="宋体"/>
          <w:sz w:val="24"/>
        </w:rPr>
        <w:t>（二）中标人投标文件</w:t>
      </w:r>
    </w:p>
    <w:p>
      <w:pPr>
        <w:snapToGrid w:val="0"/>
        <w:spacing w:line="360" w:lineRule="auto"/>
        <w:ind w:firstLine="480"/>
        <w:rPr>
          <w:rFonts w:ascii="宋体" w:hAnsi="宋体"/>
          <w:sz w:val="24"/>
        </w:rPr>
      </w:pPr>
      <w:r>
        <w:rPr>
          <w:rFonts w:hint="eastAsia" w:ascii="宋体" w:hAnsi="宋体"/>
          <w:sz w:val="24"/>
        </w:rPr>
        <w:t>（三）合同格式及合同条款</w:t>
      </w:r>
    </w:p>
    <w:p>
      <w:pPr>
        <w:snapToGrid w:val="0"/>
        <w:spacing w:line="360" w:lineRule="auto"/>
        <w:ind w:firstLine="480"/>
        <w:rPr>
          <w:rFonts w:ascii="宋体" w:hAnsi="宋体"/>
          <w:sz w:val="24"/>
        </w:rPr>
      </w:pPr>
      <w:r>
        <w:rPr>
          <w:rFonts w:hint="eastAsia" w:ascii="宋体" w:hAnsi="宋体"/>
          <w:sz w:val="24"/>
        </w:rPr>
        <w:t>（四）中标人在评标过程中做出的有关澄清、说明或者补正文件</w:t>
      </w:r>
    </w:p>
    <w:p>
      <w:pPr>
        <w:snapToGrid w:val="0"/>
        <w:spacing w:line="360" w:lineRule="auto"/>
        <w:ind w:firstLine="480"/>
        <w:rPr>
          <w:rFonts w:ascii="宋体" w:hAnsi="宋体"/>
          <w:sz w:val="24"/>
        </w:rPr>
      </w:pPr>
      <w:r>
        <w:rPr>
          <w:rFonts w:hint="eastAsia" w:ascii="宋体" w:hAnsi="宋体"/>
          <w:sz w:val="24"/>
        </w:rPr>
        <w:t>（五）中标通知书</w:t>
      </w:r>
    </w:p>
    <w:p>
      <w:pPr>
        <w:snapToGrid w:val="0"/>
        <w:spacing w:line="360" w:lineRule="auto"/>
        <w:ind w:firstLine="480"/>
        <w:rPr>
          <w:rFonts w:ascii="宋体" w:hAnsi="宋体"/>
          <w:sz w:val="24"/>
        </w:rPr>
      </w:pPr>
      <w:r>
        <w:rPr>
          <w:rFonts w:hint="eastAsia" w:ascii="宋体" w:hAnsi="宋体"/>
          <w:sz w:val="24"/>
        </w:rPr>
        <w:t>（六）本合同附件</w:t>
      </w:r>
    </w:p>
    <w:p>
      <w:pPr>
        <w:snapToGrid w:val="0"/>
        <w:spacing w:line="360" w:lineRule="auto"/>
        <w:ind w:firstLine="480" w:firstLineChars="200"/>
        <w:rPr>
          <w:rFonts w:ascii="宋体" w:hAnsi="宋体"/>
          <w:bCs/>
          <w:sz w:val="24"/>
        </w:rPr>
      </w:pPr>
      <w:r>
        <w:rPr>
          <w:rFonts w:hint="eastAsia" w:ascii="宋体" w:hAnsi="宋体"/>
          <w:bCs/>
          <w:sz w:val="24"/>
        </w:rPr>
        <w:t>二、合同的范围和条件</w:t>
      </w:r>
    </w:p>
    <w:p>
      <w:pPr>
        <w:snapToGrid w:val="0"/>
        <w:spacing w:line="360" w:lineRule="auto"/>
        <w:ind w:firstLine="480" w:firstLineChars="200"/>
        <w:rPr>
          <w:rFonts w:ascii="宋体" w:hAnsi="宋体"/>
        </w:rPr>
      </w:pPr>
      <w:r>
        <w:rPr>
          <w:rFonts w:hint="eastAsia" w:ascii="宋体" w:hAnsi="宋体"/>
          <w:sz w:val="24"/>
        </w:rPr>
        <w:t>本合同的范围和条件应与上述合同文件的规定相一致。</w:t>
      </w:r>
    </w:p>
    <w:p>
      <w:pPr>
        <w:snapToGrid w:val="0"/>
        <w:spacing w:line="360" w:lineRule="auto"/>
        <w:ind w:firstLine="480" w:firstLineChars="200"/>
        <w:rPr>
          <w:rFonts w:ascii="宋体" w:hAnsi="宋体"/>
          <w:bCs/>
          <w:sz w:val="24"/>
        </w:rPr>
      </w:pPr>
      <w:r>
        <w:rPr>
          <w:rFonts w:hint="eastAsia" w:ascii="宋体" w:hAnsi="宋体"/>
          <w:bCs/>
          <w:sz w:val="24"/>
        </w:rPr>
        <w:t>三、货物、数量及规格</w:t>
      </w:r>
    </w:p>
    <w:p>
      <w:pPr>
        <w:snapToGrid w:val="0"/>
        <w:spacing w:line="360" w:lineRule="auto"/>
        <w:ind w:firstLine="480" w:firstLineChars="200"/>
        <w:rPr>
          <w:rFonts w:ascii="宋体" w:hAnsi="宋体"/>
          <w:sz w:val="24"/>
        </w:rPr>
      </w:pPr>
      <w:r>
        <w:rPr>
          <w:rFonts w:hint="eastAsia" w:ascii="宋体" w:hAnsi="宋体"/>
          <w:sz w:val="24"/>
        </w:rPr>
        <w:t>本合同所提供的货物、数量及规格详见合同货物清单（附件一）（同投标文件中投标报价明细表，下同）。</w:t>
      </w:r>
    </w:p>
    <w:p>
      <w:pPr>
        <w:snapToGrid w:val="0"/>
        <w:spacing w:line="360" w:lineRule="auto"/>
        <w:ind w:firstLine="480" w:firstLineChars="200"/>
        <w:rPr>
          <w:rFonts w:ascii="宋体" w:hAnsi="宋体"/>
          <w:sz w:val="24"/>
        </w:rPr>
      </w:pPr>
      <w:r>
        <w:rPr>
          <w:rFonts w:hint="eastAsia" w:ascii="宋体" w:hAnsi="宋体"/>
          <w:bCs/>
          <w:sz w:val="24"/>
        </w:rPr>
        <w:t>四、合同金额</w:t>
      </w:r>
    </w:p>
    <w:p>
      <w:pPr>
        <w:snapToGrid w:val="0"/>
        <w:spacing w:line="360" w:lineRule="auto"/>
        <w:ind w:firstLine="480" w:firstLineChars="200"/>
        <w:rPr>
          <w:rFonts w:ascii="宋体" w:hAnsi="宋体"/>
          <w:sz w:val="24"/>
        </w:rPr>
      </w:pPr>
      <w:r>
        <w:rPr>
          <w:rFonts w:hint="eastAsia" w:ascii="宋体" w:hAnsi="宋体"/>
          <w:sz w:val="24"/>
        </w:rPr>
        <w:t>根据上述合同文件要求，合同金额为人民币元，大写：。（分项价格详见合同货物清单，详见附件一）。</w:t>
      </w:r>
    </w:p>
    <w:p>
      <w:pPr>
        <w:snapToGrid w:val="0"/>
        <w:spacing w:line="360" w:lineRule="auto"/>
        <w:ind w:firstLine="480" w:firstLineChars="200"/>
        <w:rPr>
          <w:rFonts w:ascii="宋体" w:hAnsi="宋体"/>
        </w:rPr>
      </w:pPr>
      <w:r>
        <w:rPr>
          <w:rFonts w:hint="eastAsia" w:ascii="宋体" w:hAnsi="宋体"/>
          <w:sz w:val="24"/>
        </w:rPr>
        <w:t>乙方开户单位：</w:t>
      </w:r>
    </w:p>
    <w:p>
      <w:pPr>
        <w:snapToGrid w:val="0"/>
        <w:spacing w:line="360" w:lineRule="auto"/>
        <w:ind w:firstLine="480" w:firstLineChars="200"/>
        <w:rPr>
          <w:rFonts w:ascii="宋体" w:hAnsi="宋体"/>
          <w:sz w:val="24"/>
        </w:rPr>
      </w:pPr>
      <w:r>
        <w:rPr>
          <w:rFonts w:hint="eastAsia" w:ascii="宋体" w:hAnsi="宋体"/>
          <w:sz w:val="24"/>
        </w:rPr>
        <w:t>开户银行：</w:t>
      </w:r>
    </w:p>
    <w:p>
      <w:pPr>
        <w:snapToGrid w:val="0"/>
        <w:spacing w:line="360" w:lineRule="auto"/>
        <w:ind w:firstLine="480" w:firstLineChars="200"/>
        <w:rPr>
          <w:rFonts w:ascii="宋体" w:hAnsi="宋体"/>
        </w:rPr>
      </w:pPr>
      <w:r>
        <w:rPr>
          <w:rFonts w:hint="eastAsia" w:ascii="宋体" w:hAnsi="宋体"/>
          <w:sz w:val="24"/>
        </w:rPr>
        <w:t>帐号：</w:t>
      </w:r>
    </w:p>
    <w:p>
      <w:pPr>
        <w:snapToGrid w:val="0"/>
        <w:spacing w:line="360" w:lineRule="auto"/>
        <w:ind w:firstLine="480" w:firstLineChars="200"/>
        <w:rPr>
          <w:rFonts w:ascii="宋体" w:hAnsi="宋体"/>
          <w:bCs/>
          <w:sz w:val="24"/>
        </w:rPr>
      </w:pPr>
      <w:r>
        <w:rPr>
          <w:rFonts w:hint="eastAsia" w:ascii="宋体" w:hAnsi="宋体"/>
          <w:bCs/>
          <w:sz w:val="24"/>
        </w:rPr>
        <w:t>五、付款途径</w:t>
      </w:r>
    </w:p>
    <w:p>
      <w:pPr>
        <w:snapToGrid w:val="0"/>
        <w:spacing w:line="360" w:lineRule="auto"/>
        <w:ind w:firstLine="480" w:firstLineChars="200"/>
        <w:rPr>
          <w:rFonts w:ascii="宋体" w:hAnsi="宋体"/>
          <w:sz w:val="24"/>
        </w:rPr>
      </w:pPr>
      <w:r>
        <w:rPr>
          <w:rFonts w:hint="eastAsia" w:ascii="宋体" w:hAnsi="宋体"/>
          <w:sz w:val="24"/>
        </w:rPr>
        <w:t>□国库集中支付（预算内资金：人民币</w:t>
      </w:r>
      <w:r>
        <w:rPr>
          <w:rFonts w:ascii="宋体" w:hAnsi="宋体"/>
          <w:sz w:val="24"/>
        </w:rPr>
        <w:t>_______</w:t>
      </w:r>
      <w:r>
        <w:rPr>
          <w:rFonts w:hint="eastAsia" w:ascii="宋体" w:hAnsi="宋体"/>
          <w:sz w:val="24"/>
        </w:rPr>
        <w:t>元，预算外资金：人民币</w:t>
      </w:r>
      <w:r>
        <w:rPr>
          <w:rFonts w:ascii="宋体" w:hAnsi="宋体"/>
          <w:sz w:val="24"/>
        </w:rPr>
        <w:t>_______</w:t>
      </w:r>
      <w:r>
        <w:rPr>
          <w:rFonts w:hint="eastAsia" w:ascii="宋体" w:hAnsi="宋体"/>
          <w:sz w:val="24"/>
        </w:rPr>
        <w:t>元）</w:t>
      </w:r>
    </w:p>
    <w:p>
      <w:pPr>
        <w:tabs>
          <w:tab w:val="left" w:pos="764"/>
        </w:tabs>
        <w:snapToGrid w:val="0"/>
        <w:spacing w:line="360" w:lineRule="auto"/>
        <w:ind w:left="573"/>
        <w:rPr>
          <w:rFonts w:ascii="宋体" w:hAnsi="宋体"/>
          <w:sz w:val="24"/>
        </w:rPr>
      </w:pPr>
      <w:r>
        <w:rPr>
          <w:rFonts w:hint="eastAsia" w:ascii="宋体" w:hAnsi="宋体"/>
          <w:sz w:val="24"/>
        </w:rPr>
        <w:t>□甲方支付（人民币元，大写：）</w:t>
      </w:r>
    </w:p>
    <w:p>
      <w:pPr>
        <w:snapToGrid w:val="0"/>
        <w:spacing w:line="360" w:lineRule="auto"/>
        <w:ind w:firstLine="600" w:firstLineChars="250"/>
        <w:rPr>
          <w:rFonts w:ascii="宋体" w:hAnsi="宋体"/>
          <w:sz w:val="24"/>
        </w:rPr>
      </w:pPr>
      <w:r>
        <w:rPr>
          <w:rFonts w:hint="eastAsia" w:ascii="宋体" w:hAnsi="宋体"/>
          <w:sz w:val="24"/>
        </w:rPr>
        <w:t>□国库（预算内资金：人民币</w:t>
      </w:r>
      <w:r>
        <w:rPr>
          <w:rFonts w:ascii="宋体" w:hAnsi="宋体"/>
          <w:sz w:val="24"/>
        </w:rPr>
        <w:t>_______</w:t>
      </w:r>
      <w:r>
        <w:rPr>
          <w:rFonts w:hint="eastAsia" w:ascii="宋体" w:hAnsi="宋体"/>
          <w:sz w:val="24"/>
        </w:rPr>
        <w:t>元，预算外资金：人民币</w:t>
      </w:r>
      <w:r>
        <w:rPr>
          <w:rFonts w:ascii="宋体" w:hAnsi="宋体"/>
          <w:sz w:val="24"/>
        </w:rPr>
        <w:t>_______</w:t>
      </w:r>
      <w:r>
        <w:rPr>
          <w:rFonts w:hint="eastAsia" w:ascii="宋体" w:hAnsi="宋体"/>
          <w:sz w:val="24"/>
        </w:rPr>
        <w:t>元）与甲方（人民币</w:t>
      </w:r>
      <w:r>
        <w:rPr>
          <w:rFonts w:ascii="宋体" w:hAnsi="宋体"/>
          <w:sz w:val="24"/>
        </w:rPr>
        <w:t>_______</w:t>
      </w:r>
      <w:r>
        <w:rPr>
          <w:rFonts w:hint="eastAsia" w:ascii="宋体" w:hAnsi="宋体"/>
          <w:sz w:val="24"/>
        </w:rPr>
        <w:t>元）共同支付</w:t>
      </w:r>
    </w:p>
    <w:p>
      <w:pPr>
        <w:snapToGrid w:val="0"/>
        <w:spacing w:line="360" w:lineRule="auto"/>
        <w:ind w:firstLine="480" w:firstLineChars="200"/>
        <w:rPr>
          <w:rFonts w:ascii="宋体" w:hAnsi="宋体"/>
          <w:bCs/>
          <w:sz w:val="24"/>
        </w:rPr>
      </w:pPr>
      <w:r>
        <w:rPr>
          <w:rFonts w:hint="eastAsia" w:ascii="宋体" w:hAnsi="宋体"/>
          <w:bCs/>
          <w:sz w:val="24"/>
        </w:rPr>
        <w:t>六、付款方式</w:t>
      </w:r>
    </w:p>
    <w:p>
      <w:pPr>
        <w:pStyle w:val="2"/>
        <w:snapToGrid w:val="0"/>
        <w:spacing w:after="0" w:line="360" w:lineRule="auto"/>
        <w:ind w:firstLine="480" w:firstLineChars="200"/>
        <w:rPr>
          <w:rFonts w:ascii="宋体" w:hAnsi="宋体"/>
        </w:rPr>
      </w:pPr>
      <w:r>
        <w:rPr>
          <w:rFonts w:hint="eastAsia" w:ascii="宋体" w:hAnsi="宋体"/>
        </w:rPr>
        <w:t>□分期支付方式</w:t>
      </w:r>
    </w:p>
    <w:p>
      <w:pPr>
        <w:pStyle w:val="2"/>
        <w:snapToGrid w:val="0"/>
        <w:spacing w:after="0" w:line="360" w:lineRule="auto"/>
        <w:ind w:firstLine="480" w:firstLineChars="200"/>
        <w:rPr>
          <w:rFonts w:ascii="宋体" w:hAnsi="宋体"/>
        </w:rPr>
      </w:pPr>
      <w:r>
        <w:rPr>
          <w:rFonts w:hint="eastAsia" w:ascii="宋体" w:hAnsi="宋体"/>
        </w:rPr>
        <w:t>□一次性支付方式，即人民币元，大写：。</w:t>
      </w:r>
    </w:p>
    <w:p>
      <w:pPr>
        <w:pStyle w:val="2"/>
        <w:snapToGrid w:val="0"/>
        <w:spacing w:after="0" w:line="360" w:lineRule="auto"/>
        <w:ind w:firstLine="480" w:firstLineChars="200"/>
        <w:rPr>
          <w:rFonts w:ascii="宋体" w:hAnsi="宋体"/>
        </w:rPr>
      </w:pPr>
      <w:r>
        <w:rPr>
          <w:rFonts w:hint="eastAsia" w:ascii="宋体" w:hAnsi="宋体"/>
        </w:rPr>
        <w:t>□其他支付方式</w:t>
      </w:r>
    </w:p>
    <w:p>
      <w:pPr>
        <w:snapToGrid w:val="0"/>
        <w:spacing w:line="360" w:lineRule="auto"/>
        <w:ind w:firstLine="480" w:firstLineChars="200"/>
        <w:rPr>
          <w:rFonts w:ascii="宋体" w:hAnsi="宋体"/>
          <w:bCs/>
          <w:sz w:val="24"/>
        </w:rPr>
      </w:pPr>
      <w:r>
        <w:rPr>
          <w:rFonts w:hint="eastAsia" w:ascii="宋体" w:hAnsi="宋体"/>
          <w:bCs/>
          <w:sz w:val="24"/>
        </w:rPr>
        <w:t>七、交货日期、地点</w:t>
      </w:r>
    </w:p>
    <w:p>
      <w:pPr>
        <w:snapToGrid w:val="0"/>
        <w:spacing w:line="360" w:lineRule="auto"/>
        <w:ind w:firstLine="480" w:firstLineChars="200"/>
        <w:rPr>
          <w:rFonts w:ascii="宋体" w:hAnsi="宋体"/>
          <w:sz w:val="24"/>
        </w:rPr>
      </w:pPr>
      <w:r>
        <w:rPr>
          <w:rFonts w:ascii="宋体" w:hAnsi="宋体"/>
          <w:sz w:val="24"/>
        </w:rPr>
        <w:t>1</w:t>
      </w:r>
      <w:r>
        <w:rPr>
          <w:rFonts w:hint="eastAsia" w:ascii="宋体" w:hAnsi="宋体"/>
          <w:sz w:val="24"/>
        </w:rPr>
        <w:t>、交货日期：合同生效之日起日内交货。</w:t>
      </w:r>
    </w:p>
    <w:p>
      <w:pPr>
        <w:tabs>
          <w:tab w:val="left" w:pos="955"/>
        </w:tabs>
        <w:snapToGrid w:val="0"/>
        <w:spacing w:line="360" w:lineRule="auto"/>
        <w:ind w:firstLine="480" w:firstLineChars="200"/>
        <w:rPr>
          <w:rFonts w:ascii="宋体" w:hAnsi="宋体"/>
          <w:sz w:val="24"/>
          <w:u w:val="single"/>
        </w:rPr>
      </w:pPr>
      <w:r>
        <w:rPr>
          <w:rFonts w:ascii="宋体" w:hAnsi="宋体"/>
          <w:sz w:val="24"/>
        </w:rPr>
        <w:t>2</w:t>
      </w:r>
      <w:r>
        <w:rPr>
          <w:rFonts w:hint="eastAsia" w:ascii="宋体" w:hAnsi="宋体"/>
          <w:sz w:val="24"/>
        </w:rPr>
        <w:t>、交货地点：</w:t>
      </w:r>
    </w:p>
    <w:p>
      <w:pPr>
        <w:snapToGrid w:val="0"/>
        <w:spacing w:line="360" w:lineRule="auto"/>
        <w:ind w:firstLine="480" w:firstLineChars="200"/>
        <w:rPr>
          <w:rFonts w:ascii="宋体" w:hAnsi="宋体"/>
          <w:bCs/>
          <w:sz w:val="24"/>
        </w:rPr>
      </w:pPr>
      <w:r>
        <w:rPr>
          <w:rFonts w:hint="eastAsia" w:ascii="宋体" w:hAnsi="宋体"/>
          <w:bCs/>
          <w:sz w:val="24"/>
        </w:rPr>
        <w:t>八、履约保证金</w:t>
      </w:r>
    </w:p>
    <w:p>
      <w:pPr>
        <w:snapToGrid w:val="0"/>
        <w:spacing w:line="360" w:lineRule="auto"/>
        <w:ind w:firstLine="480" w:firstLineChars="200"/>
        <w:rPr>
          <w:rFonts w:ascii="宋体" w:hAnsi="宋体"/>
          <w:sz w:val="24"/>
        </w:rPr>
      </w:pPr>
      <w:r>
        <w:rPr>
          <w:rFonts w:hint="eastAsia" w:ascii="宋体" w:hAnsi="宋体"/>
          <w:sz w:val="24"/>
        </w:rPr>
        <w:t>中标人在收到《中标通知书》后，应按照招标文件合同专用条款的规定，采用招标文件中提供的履约保证金银行保函格式可以接受的其他形式向采购人提交履约保证金。</w:t>
      </w:r>
    </w:p>
    <w:p>
      <w:pPr>
        <w:snapToGrid w:val="0"/>
        <w:spacing w:line="360" w:lineRule="auto"/>
        <w:ind w:firstLine="480" w:firstLineChars="200"/>
        <w:rPr>
          <w:rFonts w:ascii="宋体" w:hAnsi="宋体"/>
          <w:bCs/>
          <w:sz w:val="24"/>
        </w:rPr>
      </w:pPr>
      <w:r>
        <w:rPr>
          <w:rFonts w:hint="eastAsia" w:ascii="宋体" w:hAnsi="宋体"/>
          <w:bCs/>
          <w:sz w:val="24"/>
        </w:rPr>
        <w:t>九、合同生效</w:t>
      </w:r>
    </w:p>
    <w:p>
      <w:pPr>
        <w:snapToGrid w:val="0"/>
        <w:spacing w:line="360" w:lineRule="auto"/>
        <w:ind w:firstLine="480" w:firstLineChars="200"/>
        <w:rPr>
          <w:rFonts w:ascii="宋体" w:hAnsi="宋体"/>
          <w:sz w:val="24"/>
        </w:rPr>
      </w:pPr>
      <w:r>
        <w:rPr>
          <w:rFonts w:hint="eastAsia" w:ascii="宋体" w:hAnsi="宋体"/>
          <w:sz w:val="24"/>
        </w:rPr>
        <w:t>本合同经甲乙双方签字盖章后生效。</w:t>
      </w:r>
    </w:p>
    <w:p>
      <w:pPr>
        <w:snapToGrid w:val="0"/>
        <w:spacing w:line="360" w:lineRule="auto"/>
        <w:ind w:firstLine="480" w:firstLineChars="200"/>
        <w:rPr>
          <w:rFonts w:ascii="宋体" w:hAnsi="宋体"/>
          <w:bCs/>
          <w:sz w:val="24"/>
        </w:rPr>
      </w:pPr>
      <w:r>
        <w:rPr>
          <w:rFonts w:hint="eastAsia" w:ascii="宋体" w:hAnsi="宋体"/>
          <w:bCs/>
          <w:sz w:val="24"/>
        </w:rPr>
        <w:t>十、合同保存</w:t>
      </w:r>
    </w:p>
    <w:p>
      <w:pPr>
        <w:snapToGrid w:val="0"/>
        <w:spacing w:line="360" w:lineRule="auto"/>
        <w:ind w:firstLine="480" w:firstLineChars="200"/>
        <w:rPr>
          <w:rFonts w:ascii="宋体" w:hAnsi="宋体"/>
          <w:sz w:val="24"/>
        </w:rPr>
      </w:pPr>
      <w:r>
        <w:rPr>
          <w:rFonts w:hint="eastAsia" w:ascii="宋体" w:hAnsi="宋体"/>
          <w:sz w:val="24"/>
        </w:rPr>
        <w:t>本合同一式四份，甲方二份，乙方二份。</w:t>
      </w:r>
    </w:p>
    <w:p>
      <w:pPr>
        <w:snapToGrid w:val="0"/>
        <w:spacing w:line="360" w:lineRule="auto"/>
        <w:ind w:firstLine="480" w:firstLineChars="200"/>
        <w:rPr>
          <w:rFonts w:ascii="宋体" w:hAnsi="宋体"/>
          <w:sz w:val="24"/>
        </w:rPr>
      </w:pPr>
    </w:p>
    <w:p>
      <w:pPr>
        <w:snapToGrid w:val="0"/>
        <w:spacing w:line="360" w:lineRule="auto"/>
        <w:rPr>
          <w:rFonts w:ascii="宋体" w:hAnsi="宋体"/>
          <w:sz w:val="24"/>
        </w:rPr>
      </w:pPr>
      <w:r>
        <w:rPr>
          <w:rFonts w:hint="eastAsia" w:ascii="宋体" w:hAnsi="宋体" w:cs="宋体"/>
          <w:color w:val="000000"/>
          <w:sz w:val="24"/>
        </w:rPr>
        <w:t>甲方：</w:t>
      </w:r>
      <w:r>
        <w:rPr>
          <w:rFonts w:ascii="宋体" w:hAnsi="宋体" w:cs="宋体"/>
          <w:color w:val="000000"/>
          <w:sz w:val="24"/>
        </w:rPr>
        <w:t xml:space="preserve">                                     </w:t>
      </w:r>
      <w:r>
        <w:rPr>
          <w:rFonts w:hint="eastAsia" w:ascii="宋体" w:hAnsi="宋体" w:cs="宋体"/>
          <w:color w:val="000000"/>
          <w:sz w:val="24"/>
        </w:rPr>
        <w:t>乙方：</w:t>
      </w:r>
    </w:p>
    <w:p>
      <w:pPr>
        <w:snapToGrid w:val="0"/>
        <w:spacing w:line="360" w:lineRule="auto"/>
        <w:rPr>
          <w:rFonts w:ascii="宋体" w:hAnsi="宋体"/>
          <w:color w:val="000000"/>
          <w:sz w:val="24"/>
        </w:rPr>
      </w:pPr>
      <w:r>
        <w:rPr>
          <w:rFonts w:hint="eastAsia" w:ascii="宋体" w:hAnsi="宋体" w:cs="宋体"/>
          <w:color w:val="000000"/>
          <w:sz w:val="24"/>
        </w:rPr>
        <w:t>单位名称</w:t>
      </w:r>
      <w:r>
        <w:rPr>
          <w:rFonts w:ascii="宋体" w:hAnsi="宋体" w:cs="宋体"/>
          <w:color w:val="000000"/>
          <w:sz w:val="24"/>
        </w:rPr>
        <w:t>(</w:t>
      </w:r>
      <w:r>
        <w:rPr>
          <w:rFonts w:hint="eastAsia" w:ascii="宋体" w:hAnsi="宋体" w:cs="宋体"/>
          <w:color w:val="000000"/>
          <w:sz w:val="24"/>
        </w:rPr>
        <w:t>公章</w:t>
      </w:r>
      <w:r>
        <w:rPr>
          <w:rFonts w:ascii="宋体" w:hAnsi="宋体" w:cs="宋体"/>
          <w:color w:val="000000"/>
          <w:sz w:val="24"/>
        </w:rPr>
        <w:t>)</w:t>
      </w:r>
      <w:r>
        <w:rPr>
          <w:rFonts w:hint="eastAsia" w:ascii="宋体" w:hAnsi="宋体" w:cs="宋体"/>
          <w:color w:val="000000"/>
          <w:sz w:val="24"/>
        </w:rPr>
        <w:t>：</w:t>
      </w:r>
      <w:r>
        <w:rPr>
          <w:rFonts w:ascii="宋体" w:hAnsi="宋体" w:cs="宋体"/>
          <w:color w:val="000000"/>
          <w:sz w:val="24"/>
        </w:rPr>
        <w:t xml:space="preserve">                           </w:t>
      </w:r>
      <w:r>
        <w:rPr>
          <w:rFonts w:hint="eastAsia" w:ascii="宋体" w:hAnsi="宋体" w:cs="宋体"/>
          <w:color w:val="000000"/>
          <w:sz w:val="24"/>
        </w:rPr>
        <w:t>单位名称</w:t>
      </w:r>
      <w:r>
        <w:rPr>
          <w:rFonts w:ascii="宋体" w:hAnsi="宋体" w:cs="宋体"/>
          <w:color w:val="000000"/>
          <w:sz w:val="24"/>
        </w:rPr>
        <w:t>(</w:t>
      </w:r>
      <w:r>
        <w:rPr>
          <w:rFonts w:hint="eastAsia" w:ascii="宋体" w:hAnsi="宋体" w:cs="宋体"/>
          <w:color w:val="000000"/>
          <w:sz w:val="24"/>
        </w:rPr>
        <w:t>公章</w:t>
      </w:r>
      <w:r>
        <w:rPr>
          <w:rFonts w:ascii="宋体" w:hAnsi="宋体" w:cs="宋体"/>
          <w:color w:val="000000"/>
          <w:sz w:val="24"/>
        </w:rPr>
        <w:t>)</w:t>
      </w:r>
      <w:r>
        <w:rPr>
          <w:rFonts w:hint="eastAsia" w:ascii="宋体" w:hAnsi="宋体" w:cs="宋体"/>
          <w:color w:val="000000"/>
          <w:sz w:val="24"/>
        </w:rPr>
        <w:t>：</w:t>
      </w:r>
    </w:p>
    <w:p>
      <w:pPr>
        <w:snapToGrid w:val="0"/>
        <w:spacing w:line="360" w:lineRule="auto"/>
        <w:rPr>
          <w:rFonts w:ascii="宋体" w:hAnsi="宋体"/>
          <w:color w:val="000000"/>
          <w:sz w:val="24"/>
        </w:rPr>
      </w:pPr>
      <w:r>
        <w:rPr>
          <w:rFonts w:hint="eastAsia" w:ascii="宋体" w:hAnsi="宋体" w:cs="宋体"/>
          <w:color w:val="000000"/>
          <w:sz w:val="24"/>
        </w:rPr>
        <w:t>法定代表人或授权代理人：（签字）</w:t>
      </w:r>
      <w:r>
        <w:rPr>
          <w:rFonts w:ascii="宋体" w:hAnsi="宋体" w:cs="宋体"/>
          <w:color w:val="000000"/>
          <w:sz w:val="24"/>
        </w:rPr>
        <w:t xml:space="preserve">           </w:t>
      </w:r>
      <w:r>
        <w:rPr>
          <w:rFonts w:hint="eastAsia" w:ascii="宋体" w:hAnsi="宋体" w:cs="宋体"/>
          <w:color w:val="000000"/>
          <w:sz w:val="24"/>
        </w:rPr>
        <w:t>法定代表人或授权代理人：（签字）</w:t>
      </w:r>
    </w:p>
    <w:p>
      <w:pPr>
        <w:spacing w:beforeLines="50" w:line="360" w:lineRule="auto"/>
        <w:rPr>
          <w:rFonts w:ascii="宋体" w:hAnsi="宋体"/>
          <w:sz w:val="24"/>
        </w:rPr>
      </w:pPr>
      <w:r>
        <w:rPr>
          <w:rFonts w:hint="eastAsia" w:ascii="宋体" w:hAnsi="宋体" w:cs="宋体"/>
          <w:color w:val="000000"/>
          <w:sz w:val="24"/>
        </w:rPr>
        <w:t>签订日期：</w:t>
      </w:r>
      <w:r>
        <w:rPr>
          <w:rFonts w:ascii="宋体" w:hAnsi="宋体" w:cs="宋体"/>
          <w:color w:val="000000"/>
          <w:sz w:val="24"/>
        </w:rPr>
        <w:t xml:space="preserve">                                 </w:t>
      </w:r>
      <w:r>
        <w:rPr>
          <w:rFonts w:hint="eastAsia" w:ascii="宋体" w:hAnsi="宋体" w:cs="宋体"/>
          <w:color w:val="000000"/>
          <w:sz w:val="24"/>
        </w:rPr>
        <w:t>签订日期</w:t>
      </w:r>
      <w:r>
        <w:rPr>
          <w:rFonts w:hint="eastAsia" w:ascii="宋体" w:hAnsi="宋体"/>
          <w:sz w:val="24"/>
        </w:rPr>
        <w:t>：</w:t>
      </w:r>
    </w:p>
    <w:p>
      <w:pPr>
        <w:pStyle w:val="3"/>
        <w:spacing w:before="120" w:after="120" w:line="360" w:lineRule="auto"/>
        <w:jc w:val="center"/>
        <w:rPr>
          <w:rFonts w:ascii="宋体" w:hAnsi="宋体"/>
          <w:kern w:val="2"/>
          <w:sz w:val="32"/>
        </w:rPr>
      </w:pPr>
      <w:r>
        <w:rPr>
          <w:rFonts w:ascii="宋体" w:hAnsi="宋体"/>
          <w:b w:val="0"/>
          <w:sz w:val="72"/>
        </w:rPr>
        <w:br w:type="page"/>
      </w:r>
      <w:bookmarkStart w:id="96" w:name="_Toc11850805"/>
      <w:r>
        <w:rPr>
          <w:rFonts w:hint="eastAsia" w:ascii="宋体" w:hAnsi="宋体"/>
          <w:kern w:val="2"/>
          <w:sz w:val="32"/>
        </w:rPr>
        <w:t>第六章附件（投标文件格式）</w:t>
      </w:r>
      <w:bookmarkEnd w:id="96"/>
    </w:p>
    <w:p>
      <w:pPr>
        <w:spacing w:line="480" w:lineRule="auto"/>
        <w:jc w:val="center"/>
        <w:rPr>
          <w:rFonts w:ascii="宋体" w:hAnsi="宋体"/>
          <w:sz w:val="30"/>
          <w:szCs w:val="30"/>
        </w:rPr>
      </w:pPr>
      <w:r>
        <w:rPr>
          <w:rFonts w:hint="eastAsia" w:ascii="宋体" w:hAnsi="宋体"/>
          <w:b/>
          <w:sz w:val="30"/>
          <w:szCs w:val="30"/>
        </w:rPr>
        <w:t>投标文件封面格式</w:t>
      </w:r>
    </w:p>
    <w:p>
      <w:pPr>
        <w:pBdr>
          <w:top w:val="single" w:color="auto" w:sz="4" w:space="1"/>
          <w:left w:val="single" w:color="auto" w:sz="4" w:space="4"/>
          <w:bottom w:val="single" w:color="auto" w:sz="4" w:space="31"/>
          <w:right w:val="single" w:color="auto" w:sz="4" w:space="4"/>
        </w:pBdr>
        <w:spacing w:line="480" w:lineRule="auto"/>
        <w:jc w:val="right"/>
        <w:rPr>
          <w:rFonts w:ascii="宋体" w:hAnsi="宋体"/>
          <w:b/>
          <w:sz w:val="32"/>
          <w:szCs w:val="30"/>
        </w:rPr>
      </w:pPr>
    </w:p>
    <w:p>
      <w:pPr>
        <w:pBdr>
          <w:top w:val="single" w:color="auto" w:sz="4" w:space="1"/>
          <w:left w:val="single" w:color="auto" w:sz="4" w:space="4"/>
          <w:bottom w:val="single" w:color="auto" w:sz="4" w:space="31"/>
          <w:right w:val="single" w:color="auto" w:sz="4" w:space="4"/>
        </w:pBdr>
        <w:wordWrap w:val="0"/>
        <w:spacing w:line="480" w:lineRule="auto"/>
        <w:jc w:val="right"/>
        <w:rPr>
          <w:rFonts w:ascii="宋体" w:hAnsi="宋体"/>
          <w:b/>
          <w:sz w:val="32"/>
          <w:szCs w:val="30"/>
        </w:rPr>
      </w:pPr>
      <w:r>
        <w:rPr>
          <w:rFonts w:hint="eastAsia" w:ascii="宋体" w:hAnsi="宋体"/>
          <w:b/>
          <w:sz w:val="32"/>
          <w:szCs w:val="30"/>
        </w:rPr>
        <w:t>（正</w:t>
      </w:r>
      <w:r>
        <w:rPr>
          <w:rFonts w:ascii="宋体" w:hAnsi="宋体"/>
          <w:b/>
          <w:sz w:val="32"/>
          <w:szCs w:val="30"/>
        </w:rPr>
        <w:t>/</w:t>
      </w:r>
      <w:r>
        <w:rPr>
          <w:rFonts w:hint="eastAsia" w:ascii="宋体" w:hAnsi="宋体"/>
          <w:b/>
          <w:sz w:val="32"/>
          <w:szCs w:val="30"/>
        </w:rPr>
        <w:t>副本）</w:t>
      </w:r>
    </w:p>
    <w:p>
      <w:pPr>
        <w:pBdr>
          <w:top w:val="single" w:color="auto" w:sz="4" w:space="1"/>
          <w:left w:val="single" w:color="auto" w:sz="4" w:space="4"/>
          <w:bottom w:val="single" w:color="auto" w:sz="4" w:space="31"/>
          <w:right w:val="single" w:color="auto" w:sz="4" w:space="4"/>
        </w:pBdr>
        <w:jc w:val="center"/>
        <w:rPr>
          <w:rFonts w:ascii="宋体" w:hAnsi="宋体"/>
          <w:b/>
          <w:sz w:val="28"/>
          <w:szCs w:val="30"/>
        </w:rPr>
      </w:pPr>
    </w:p>
    <w:p>
      <w:pPr>
        <w:pBdr>
          <w:top w:val="single" w:color="auto" w:sz="4" w:space="1"/>
          <w:left w:val="single" w:color="auto" w:sz="4" w:space="4"/>
          <w:bottom w:val="single" w:color="auto" w:sz="4" w:space="31"/>
          <w:right w:val="single" w:color="auto" w:sz="4" w:space="4"/>
        </w:pBdr>
        <w:spacing w:line="480" w:lineRule="auto"/>
        <w:ind w:firstLine="1720" w:firstLineChars="612"/>
        <w:rPr>
          <w:rFonts w:ascii="宋体" w:hAnsi="宋体"/>
          <w:b/>
          <w:sz w:val="28"/>
          <w:szCs w:val="30"/>
          <w:u w:val="single"/>
        </w:rPr>
      </w:pPr>
      <w:r>
        <w:rPr>
          <w:rFonts w:hint="eastAsia" w:ascii="宋体" w:hAnsi="宋体"/>
          <w:b/>
          <w:sz w:val="28"/>
          <w:szCs w:val="30"/>
        </w:rPr>
        <w:t>项目编号：</w:t>
      </w:r>
    </w:p>
    <w:p>
      <w:pPr>
        <w:pBdr>
          <w:top w:val="single" w:color="auto" w:sz="4" w:space="1"/>
          <w:left w:val="single" w:color="auto" w:sz="4" w:space="4"/>
          <w:bottom w:val="single" w:color="auto" w:sz="4" w:space="31"/>
          <w:right w:val="single" w:color="auto" w:sz="4" w:space="4"/>
        </w:pBdr>
        <w:ind w:firstLine="1720" w:firstLineChars="612"/>
        <w:jc w:val="left"/>
        <w:rPr>
          <w:rFonts w:ascii="宋体" w:hAnsi="宋体"/>
          <w:sz w:val="28"/>
          <w:szCs w:val="30"/>
          <w:u w:val="single"/>
        </w:rPr>
      </w:pPr>
      <w:r>
        <w:rPr>
          <w:rFonts w:hint="eastAsia" w:ascii="宋体" w:hAnsi="宋体"/>
          <w:b/>
          <w:sz w:val="28"/>
          <w:szCs w:val="30"/>
        </w:rPr>
        <w:t>项目名称：</w:t>
      </w:r>
    </w:p>
    <w:p>
      <w:pPr>
        <w:pBdr>
          <w:top w:val="single" w:color="auto" w:sz="4" w:space="1"/>
          <w:left w:val="single" w:color="auto" w:sz="4" w:space="4"/>
          <w:bottom w:val="single" w:color="auto" w:sz="4" w:space="31"/>
          <w:right w:val="single" w:color="auto" w:sz="4" w:space="4"/>
        </w:pBdr>
        <w:ind w:firstLine="2250" w:firstLineChars="750"/>
        <w:jc w:val="left"/>
        <w:rPr>
          <w:rFonts w:ascii="宋体" w:hAnsi="宋体"/>
          <w:sz w:val="30"/>
          <w:szCs w:val="30"/>
          <w:u w:val="single"/>
        </w:rPr>
      </w:pPr>
    </w:p>
    <w:p>
      <w:pPr>
        <w:pBdr>
          <w:top w:val="single" w:color="auto" w:sz="4" w:space="1"/>
          <w:left w:val="single" w:color="auto" w:sz="4" w:space="4"/>
          <w:bottom w:val="single" w:color="auto" w:sz="4" w:space="31"/>
          <w:right w:val="single" w:color="auto" w:sz="4" w:space="4"/>
        </w:pBdr>
        <w:spacing w:line="360" w:lineRule="auto"/>
        <w:jc w:val="center"/>
        <w:rPr>
          <w:rFonts w:ascii="宋体" w:hAnsi="宋体"/>
          <w:b/>
          <w:bCs/>
          <w:sz w:val="72"/>
          <w:szCs w:val="52"/>
        </w:rPr>
      </w:pPr>
      <w:r>
        <w:rPr>
          <w:rFonts w:hint="eastAsia" w:ascii="宋体" w:hAnsi="宋体"/>
          <w:b/>
          <w:bCs/>
          <w:sz w:val="72"/>
          <w:szCs w:val="52"/>
        </w:rPr>
        <w:t>投标文件</w:t>
      </w: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440" w:lineRule="exact"/>
        <w:rPr>
          <w:rFonts w:ascii="宋体" w:hAnsi="宋体"/>
          <w:sz w:val="28"/>
          <w:szCs w:val="28"/>
        </w:rPr>
      </w:pP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28"/>
        </w:rPr>
      </w:pPr>
      <w:r>
        <w:rPr>
          <w:rFonts w:hint="eastAsia" w:ascii="宋体" w:hAnsi="宋体"/>
          <w:sz w:val="28"/>
          <w:szCs w:val="28"/>
        </w:rPr>
        <w:t>供应商：</w:t>
      </w:r>
      <w:r>
        <w:rPr>
          <w:rFonts w:ascii="宋体" w:hAnsi="宋体"/>
          <w:sz w:val="28"/>
          <w:szCs w:val="28"/>
        </w:rPr>
        <w:t>(</w:t>
      </w:r>
      <w:r>
        <w:rPr>
          <w:rFonts w:hint="eastAsia" w:ascii="宋体" w:hAnsi="宋体"/>
          <w:sz w:val="28"/>
          <w:szCs w:val="28"/>
        </w:rPr>
        <w:t>盖单位章</w:t>
      </w:r>
      <w:r>
        <w:rPr>
          <w:rFonts w:ascii="宋体" w:hAnsi="宋体"/>
          <w:sz w:val="28"/>
          <w:szCs w:val="28"/>
        </w:rPr>
        <w:t>)</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地址：</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ascii="宋体" w:hAnsi="宋体"/>
          <w:sz w:val="28"/>
          <w:szCs w:val="30"/>
        </w:rPr>
      </w:pPr>
      <w:r>
        <w:rPr>
          <w:rFonts w:hint="eastAsia" w:ascii="宋体" w:hAnsi="宋体"/>
          <w:sz w:val="28"/>
          <w:szCs w:val="30"/>
        </w:rPr>
        <w:t>电话：</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r>
        <w:rPr>
          <w:rFonts w:hint="eastAsia" w:ascii="宋体" w:hAnsi="宋体"/>
          <w:sz w:val="28"/>
          <w:szCs w:val="28"/>
        </w:rPr>
        <w:t>年  月  日</w:t>
      </w:r>
    </w:p>
    <w:p>
      <w:pPr>
        <w:pBdr>
          <w:top w:val="single" w:color="auto" w:sz="4" w:space="1"/>
          <w:left w:val="single" w:color="auto" w:sz="4" w:space="4"/>
          <w:bottom w:val="single" w:color="auto" w:sz="4" w:space="31"/>
          <w:right w:val="single" w:color="auto" w:sz="4" w:space="4"/>
        </w:pBdr>
        <w:jc w:val="center"/>
        <w:rPr>
          <w:rFonts w:ascii="宋体" w:hAnsi="宋体"/>
          <w:sz w:val="28"/>
          <w:szCs w:val="28"/>
        </w:rPr>
      </w:pPr>
    </w:p>
    <w:p>
      <w:pPr>
        <w:pBdr>
          <w:top w:val="single" w:color="auto" w:sz="4" w:space="1"/>
          <w:left w:val="single" w:color="auto" w:sz="4" w:space="4"/>
          <w:bottom w:val="single" w:color="auto" w:sz="4" w:space="31"/>
          <w:right w:val="single" w:color="auto" w:sz="4" w:space="4"/>
        </w:pBdr>
        <w:jc w:val="center"/>
        <w:rPr>
          <w:rFonts w:ascii="宋体" w:hAnsi="宋体"/>
        </w:rPr>
      </w:pPr>
    </w:p>
    <w:p>
      <w:pPr>
        <w:pStyle w:val="5"/>
        <w:spacing w:before="120" w:after="120" w:line="360" w:lineRule="exact"/>
        <w:rPr>
          <w:rFonts w:ascii="宋体" w:hAnsi="宋体"/>
          <w:b w:val="0"/>
          <w:bCs/>
          <w:sz w:val="24"/>
          <w:szCs w:val="21"/>
        </w:rPr>
      </w:pPr>
      <w:r>
        <w:rPr>
          <w:rFonts w:ascii="宋体" w:hAnsi="宋体"/>
          <w:b w:val="0"/>
          <w:sz w:val="24"/>
          <w:szCs w:val="24"/>
        </w:rPr>
        <w:br w:type="page"/>
      </w:r>
      <w:bookmarkStart w:id="97" w:name="_Toc11850806"/>
      <w:r>
        <w:rPr>
          <w:rFonts w:hint="eastAsia" w:ascii="宋体" w:hAnsi="宋体"/>
          <w:b w:val="0"/>
          <w:sz w:val="24"/>
          <w:szCs w:val="21"/>
        </w:rPr>
        <w:t>附件一：投标函</w:t>
      </w:r>
      <w:bookmarkEnd w:id="97"/>
    </w:p>
    <w:p>
      <w:pPr>
        <w:pStyle w:val="2"/>
        <w:spacing w:after="0" w:line="460" w:lineRule="exact"/>
        <w:jc w:val="center"/>
        <w:rPr>
          <w:rFonts w:ascii="宋体" w:hAnsi="宋体"/>
          <w:b/>
          <w:sz w:val="32"/>
        </w:rPr>
      </w:pPr>
      <w:r>
        <w:rPr>
          <w:rFonts w:hint="eastAsia" w:ascii="宋体" w:hAnsi="宋体"/>
          <w:b/>
          <w:sz w:val="32"/>
        </w:rPr>
        <w:t>投标函</w:t>
      </w:r>
    </w:p>
    <w:p>
      <w:pPr>
        <w:pStyle w:val="2"/>
        <w:spacing w:after="0" w:line="500" w:lineRule="exact"/>
        <w:rPr>
          <w:rFonts w:ascii="宋体" w:hAnsi="宋体"/>
        </w:rPr>
      </w:pPr>
      <w:r>
        <w:rPr>
          <w:rFonts w:hint="eastAsia" w:ascii="宋体" w:hAnsi="宋体"/>
        </w:rPr>
        <w:t>海逸恒安项目管理有限公司：</w:t>
      </w:r>
    </w:p>
    <w:p>
      <w:pPr>
        <w:pStyle w:val="2"/>
        <w:spacing w:after="0" w:line="500" w:lineRule="exact"/>
        <w:ind w:left="-2" w:firstLine="480"/>
        <w:rPr>
          <w:rFonts w:ascii="宋体" w:hAnsi="宋体"/>
        </w:rPr>
      </w:pPr>
      <w:r>
        <w:rPr>
          <w:rFonts w:hint="eastAsia" w:ascii="宋体" w:hAnsi="宋体"/>
        </w:rPr>
        <w:t>经研究，我方决定参加项目编号为</w:t>
      </w:r>
      <w:r>
        <w:rPr>
          <w:rFonts w:hint="eastAsia" w:ascii="宋体" w:hAnsi="宋体"/>
          <w:u w:val="single"/>
        </w:rPr>
        <w:t>HYHA2019-0770</w:t>
      </w:r>
      <w:r>
        <w:rPr>
          <w:rFonts w:hint="eastAsia" w:ascii="宋体" w:hAnsi="宋体"/>
        </w:rPr>
        <w:t>的山东大学医疗科研设备采购（项目名称）项目（包）并投标。为此，我方郑重声明以下及点，并负法律责任：</w:t>
      </w:r>
    </w:p>
    <w:p>
      <w:pPr>
        <w:pStyle w:val="2"/>
        <w:spacing w:after="0" w:line="500" w:lineRule="exact"/>
        <w:ind w:left="-2" w:firstLine="480"/>
        <w:rPr>
          <w:rFonts w:ascii="宋体" w:hAnsi="宋体"/>
        </w:rPr>
      </w:pPr>
      <w:r>
        <w:rPr>
          <w:rFonts w:ascii="宋体" w:hAnsi="宋体"/>
        </w:rPr>
        <w:t>1</w:t>
      </w:r>
      <w:r>
        <w:rPr>
          <w:rFonts w:hint="eastAsia" w:ascii="宋体" w:hAnsi="宋体"/>
        </w:rPr>
        <w:t>、我方提交的投标文件，正本</w:t>
      </w:r>
      <w:r>
        <w:rPr>
          <w:rFonts w:ascii="宋体" w:hAnsi="宋体"/>
        </w:rPr>
        <w:t>1</w:t>
      </w:r>
      <w:r>
        <w:rPr>
          <w:rFonts w:hint="eastAsia" w:ascii="宋体" w:hAnsi="宋体"/>
        </w:rPr>
        <w:t>份，副本</w:t>
      </w:r>
      <w:r>
        <w:rPr>
          <w:rFonts w:hint="eastAsia" w:ascii="宋体" w:hAnsi="宋体"/>
          <w:u w:val="single"/>
        </w:rPr>
        <w:t>4</w:t>
      </w:r>
      <w:r>
        <w:rPr>
          <w:rFonts w:hint="eastAsia" w:ascii="宋体" w:hAnsi="宋体"/>
        </w:rPr>
        <w:t>份，电子版</w:t>
      </w:r>
      <w:r>
        <w:rPr>
          <w:rFonts w:ascii="宋体" w:hAnsi="宋体"/>
          <w:u w:val="single"/>
        </w:rPr>
        <w:t>1</w:t>
      </w:r>
      <w:r>
        <w:rPr>
          <w:rFonts w:hint="eastAsia" w:ascii="宋体" w:hAnsi="宋体"/>
        </w:rPr>
        <w:t>份。</w:t>
      </w:r>
    </w:p>
    <w:p>
      <w:pPr>
        <w:pStyle w:val="2"/>
        <w:spacing w:after="0" w:line="500" w:lineRule="exact"/>
        <w:ind w:left="-2" w:firstLine="480"/>
        <w:rPr>
          <w:rFonts w:ascii="宋体" w:hAnsi="宋体"/>
        </w:rPr>
      </w:pPr>
      <w:r>
        <w:rPr>
          <w:rFonts w:ascii="宋体" w:hAnsi="宋体"/>
        </w:rPr>
        <w:t>2</w:t>
      </w:r>
      <w:r>
        <w:rPr>
          <w:rFonts w:hint="eastAsia" w:ascii="宋体" w:hAnsi="宋体"/>
        </w:rPr>
        <w:t>、如果我方的投标文件被接受，我方将履行招标文件中规定的每一项要求，并按我方投标文件中的承诺按期、保质、保量提供货物。</w:t>
      </w:r>
    </w:p>
    <w:p>
      <w:pPr>
        <w:pStyle w:val="2"/>
        <w:spacing w:after="0" w:line="500" w:lineRule="exact"/>
        <w:ind w:left="-2" w:firstLine="480"/>
        <w:rPr>
          <w:rFonts w:ascii="宋体" w:hAnsi="宋体"/>
        </w:rPr>
      </w:pPr>
      <w:r>
        <w:rPr>
          <w:rFonts w:ascii="宋体" w:hAnsi="宋体"/>
        </w:rPr>
        <w:t>3</w:t>
      </w:r>
      <w:r>
        <w:rPr>
          <w:rFonts w:hint="eastAsia" w:ascii="宋体" w:hAnsi="宋体"/>
        </w:rPr>
        <w:t>、我方理解，最低报价不是中标的唯一条件，你们有选择中标人的权利。</w:t>
      </w:r>
    </w:p>
    <w:p>
      <w:pPr>
        <w:pStyle w:val="2"/>
        <w:spacing w:after="0" w:line="500" w:lineRule="exact"/>
        <w:ind w:left="-2" w:firstLine="480"/>
        <w:rPr>
          <w:rFonts w:ascii="宋体" w:hAnsi="宋体"/>
        </w:rPr>
      </w:pPr>
      <w:r>
        <w:rPr>
          <w:rFonts w:ascii="宋体" w:hAnsi="宋体"/>
        </w:rPr>
        <w:t>4</w:t>
      </w:r>
      <w:r>
        <w:rPr>
          <w:rFonts w:hint="eastAsia" w:ascii="宋体" w:hAnsi="宋体"/>
        </w:rPr>
        <w:t>、我方愿按《中华人民共和国合同法》履行自己的全部责任。</w:t>
      </w:r>
    </w:p>
    <w:p>
      <w:pPr>
        <w:pStyle w:val="2"/>
        <w:spacing w:after="0" w:line="500" w:lineRule="exact"/>
        <w:ind w:left="-2" w:firstLine="480"/>
        <w:rPr>
          <w:rFonts w:ascii="宋体" w:hAnsi="宋体"/>
        </w:rPr>
      </w:pPr>
      <w:r>
        <w:rPr>
          <w:rFonts w:ascii="宋体" w:hAnsi="宋体"/>
        </w:rPr>
        <w:t>5</w:t>
      </w:r>
      <w:r>
        <w:rPr>
          <w:rFonts w:hint="eastAsia" w:ascii="宋体" w:hAnsi="宋体"/>
        </w:rPr>
        <w:t>、我方同意按招标文件规定交纳投标保证金，遵守贵机构有关招标的各项规定。</w:t>
      </w:r>
    </w:p>
    <w:p>
      <w:pPr>
        <w:pStyle w:val="2"/>
        <w:spacing w:after="0" w:line="500" w:lineRule="exact"/>
        <w:ind w:left="-2" w:firstLine="480"/>
        <w:rPr>
          <w:rFonts w:ascii="宋体" w:hAnsi="宋体"/>
        </w:rPr>
      </w:pPr>
      <w:r>
        <w:rPr>
          <w:rFonts w:ascii="宋体" w:hAnsi="宋体"/>
        </w:rPr>
        <w:t>6</w:t>
      </w:r>
      <w:r>
        <w:rPr>
          <w:rFonts w:hint="eastAsia" w:ascii="宋体" w:hAnsi="宋体"/>
        </w:rPr>
        <w:t>、我方的投标文件自开标之日起有效期为</w:t>
      </w:r>
      <w:r>
        <w:rPr>
          <w:rFonts w:hint="eastAsia" w:ascii="宋体" w:hAnsi="宋体"/>
          <w:u w:val="single"/>
        </w:rPr>
        <w:t>90</w:t>
      </w:r>
      <w:r>
        <w:rPr>
          <w:rFonts w:hint="eastAsia" w:ascii="宋体" w:hAnsi="宋体"/>
        </w:rPr>
        <w:t>日历天。</w:t>
      </w:r>
    </w:p>
    <w:p>
      <w:pPr>
        <w:pStyle w:val="2"/>
        <w:spacing w:after="0" w:line="500" w:lineRule="exact"/>
        <w:ind w:left="-2" w:firstLine="480"/>
        <w:rPr>
          <w:rFonts w:ascii="宋体" w:hAnsi="宋体"/>
        </w:rPr>
      </w:pPr>
      <w:r>
        <w:rPr>
          <w:rFonts w:ascii="宋体" w:hAnsi="宋体"/>
        </w:rPr>
        <w:t>7</w:t>
      </w:r>
      <w:r>
        <w:rPr>
          <w:rFonts w:hint="eastAsia" w:ascii="宋体" w:hAnsi="宋体"/>
        </w:rPr>
        <w:t>、与本投标有关的一切正式往来通讯请寄：</w:t>
      </w:r>
    </w:p>
    <w:p>
      <w:pPr>
        <w:pStyle w:val="2"/>
        <w:spacing w:after="0" w:line="500" w:lineRule="exact"/>
        <w:ind w:left="571" w:leftChars="272" w:firstLine="382"/>
        <w:rPr>
          <w:rFonts w:ascii="宋体" w:hAnsi="宋体"/>
        </w:rPr>
      </w:pPr>
    </w:p>
    <w:p>
      <w:pPr>
        <w:pStyle w:val="2"/>
        <w:spacing w:after="0" w:line="500" w:lineRule="exact"/>
        <w:ind w:left="571" w:leftChars="272" w:firstLine="382"/>
        <w:rPr>
          <w:rFonts w:ascii="宋体" w:hAnsi="宋体"/>
        </w:rPr>
      </w:pPr>
      <w:r>
        <w:rPr>
          <w:rFonts w:hint="eastAsia" w:ascii="宋体" w:hAnsi="宋体"/>
        </w:rPr>
        <w:t>供应商代表姓名、职务（印刷体）：</w:t>
      </w:r>
    </w:p>
    <w:p>
      <w:pPr>
        <w:pStyle w:val="2"/>
        <w:spacing w:after="0" w:line="500" w:lineRule="exact"/>
        <w:ind w:left="571" w:leftChars="272" w:firstLine="382"/>
        <w:rPr>
          <w:rFonts w:ascii="宋体" w:hAnsi="宋体"/>
        </w:rPr>
      </w:pPr>
      <w:r>
        <w:rPr>
          <w:rFonts w:hint="eastAsia" w:ascii="宋体" w:hAnsi="宋体"/>
        </w:rPr>
        <w:t>供应商单位全称（公章）</w:t>
      </w:r>
    </w:p>
    <w:p>
      <w:pPr>
        <w:pStyle w:val="2"/>
        <w:spacing w:after="0" w:line="500" w:lineRule="exact"/>
        <w:ind w:left="571" w:leftChars="272" w:firstLine="382"/>
        <w:rPr>
          <w:rFonts w:ascii="宋体" w:hAnsi="宋体"/>
        </w:rPr>
      </w:pPr>
      <w:r>
        <w:rPr>
          <w:rFonts w:hint="eastAsia" w:ascii="宋体" w:hAnsi="宋体"/>
        </w:rPr>
        <w:t>开户银行名称：</w:t>
      </w:r>
    </w:p>
    <w:p>
      <w:pPr>
        <w:pStyle w:val="2"/>
        <w:spacing w:after="0" w:line="500" w:lineRule="exact"/>
        <w:ind w:left="571" w:leftChars="272" w:firstLine="382"/>
        <w:rPr>
          <w:rFonts w:ascii="宋体" w:hAnsi="宋体"/>
        </w:rPr>
      </w:pPr>
      <w:r>
        <w:rPr>
          <w:rFonts w:hint="eastAsia" w:ascii="宋体" w:hAnsi="宋体"/>
        </w:rPr>
        <w:t>开户银行账号：</w:t>
      </w:r>
    </w:p>
    <w:p>
      <w:pPr>
        <w:pStyle w:val="2"/>
        <w:spacing w:after="0" w:line="500" w:lineRule="exact"/>
        <w:ind w:left="571" w:leftChars="272" w:firstLine="382"/>
        <w:rPr>
          <w:rFonts w:ascii="宋体" w:hAnsi="宋体"/>
        </w:rPr>
      </w:pPr>
      <w:r>
        <w:rPr>
          <w:rFonts w:hint="eastAsia" w:ascii="宋体" w:hAnsi="宋体"/>
        </w:rPr>
        <w:t>开户银行地址：</w:t>
      </w:r>
    </w:p>
    <w:p>
      <w:pPr>
        <w:pStyle w:val="2"/>
        <w:spacing w:after="0" w:line="500" w:lineRule="exact"/>
        <w:ind w:left="571" w:leftChars="272" w:firstLine="382"/>
        <w:rPr>
          <w:rFonts w:ascii="宋体" w:hAnsi="宋体"/>
        </w:rPr>
      </w:pPr>
      <w:r>
        <w:rPr>
          <w:rFonts w:hint="eastAsia" w:ascii="宋体" w:hAnsi="宋体"/>
        </w:rPr>
        <w:t>法定代表人或授权代理人签署：</w:t>
      </w:r>
    </w:p>
    <w:p>
      <w:pPr>
        <w:pStyle w:val="2"/>
        <w:spacing w:after="0" w:line="500" w:lineRule="exact"/>
        <w:ind w:left="571" w:leftChars="272" w:firstLine="382"/>
        <w:rPr>
          <w:rFonts w:ascii="宋体" w:hAnsi="宋体"/>
        </w:rPr>
      </w:pPr>
      <w:r>
        <w:rPr>
          <w:rFonts w:hint="eastAsia" w:ascii="宋体" w:hAnsi="宋体"/>
        </w:rPr>
        <w:t>地址：</w:t>
      </w:r>
    </w:p>
    <w:p>
      <w:pPr>
        <w:pStyle w:val="2"/>
        <w:spacing w:after="0" w:line="500" w:lineRule="exact"/>
        <w:ind w:left="571" w:leftChars="272" w:firstLine="382"/>
        <w:rPr>
          <w:rFonts w:ascii="宋体" w:hAnsi="宋体"/>
        </w:rPr>
      </w:pPr>
      <w:r>
        <w:rPr>
          <w:rFonts w:hint="eastAsia" w:ascii="宋体" w:hAnsi="宋体"/>
        </w:rPr>
        <w:t>邮政编码：</w:t>
      </w:r>
    </w:p>
    <w:p>
      <w:pPr>
        <w:pStyle w:val="2"/>
        <w:spacing w:after="0" w:line="500" w:lineRule="exact"/>
        <w:ind w:left="571" w:leftChars="272" w:firstLine="382"/>
        <w:rPr>
          <w:rFonts w:ascii="宋体" w:hAnsi="宋体"/>
        </w:rPr>
      </w:pPr>
      <w:r>
        <w:rPr>
          <w:rFonts w:hint="eastAsia" w:ascii="宋体" w:hAnsi="宋体"/>
        </w:rPr>
        <w:t>电话：</w:t>
      </w:r>
    </w:p>
    <w:p>
      <w:pPr>
        <w:pStyle w:val="2"/>
        <w:spacing w:after="0" w:line="500" w:lineRule="exact"/>
        <w:ind w:left="571" w:leftChars="272" w:firstLine="382"/>
        <w:rPr>
          <w:rFonts w:ascii="宋体" w:hAnsi="宋体"/>
        </w:rPr>
      </w:pPr>
      <w:r>
        <w:rPr>
          <w:rFonts w:hint="eastAsia" w:ascii="宋体" w:hAnsi="宋体"/>
        </w:rPr>
        <w:t>传真：</w:t>
      </w:r>
    </w:p>
    <w:p>
      <w:pPr>
        <w:pStyle w:val="2"/>
        <w:spacing w:after="0" w:line="500" w:lineRule="exact"/>
        <w:ind w:left="6660" w:firstLine="480"/>
        <w:rPr>
          <w:rFonts w:ascii="宋体" w:hAnsi="宋体"/>
        </w:rPr>
      </w:pPr>
      <w:r>
        <w:rPr>
          <w:rFonts w:hint="eastAsia" w:ascii="宋体" w:hAnsi="宋体"/>
        </w:rPr>
        <w:t>年月日</w:t>
      </w:r>
    </w:p>
    <w:p>
      <w:pPr>
        <w:pStyle w:val="5"/>
        <w:spacing w:before="120" w:after="120" w:line="560" w:lineRule="exact"/>
        <w:rPr>
          <w:rFonts w:ascii="宋体" w:hAnsi="宋体"/>
          <w:b w:val="0"/>
          <w:bCs/>
          <w:sz w:val="24"/>
          <w:szCs w:val="21"/>
        </w:rPr>
      </w:pPr>
      <w:r>
        <w:rPr>
          <w:rFonts w:ascii="宋体" w:hAnsi="宋体"/>
          <w:sz w:val="24"/>
        </w:rPr>
        <w:br w:type="page"/>
      </w:r>
      <w:bookmarkStart w:id="98" w:name="_Toc11850807"/>
      <w:r>
        <w:rPr>
          <w:rFonts w:hint="eastAsia" w:ascii="宋体" w:hAnsi="宋体"/>
          <w:b w:val="0"/>
          <w:sz w:val="24"/>
          <w:szCs w:val="21"/>
        </w:rPr>
        <w:t>附件二：授权委托书</w:t>
      </w:r>
      <w:bookmarkEnd w:id="98"/>
    </w:p>
    <w:p>
      <w:pPr>
        <w:pStyle w:val="2"/>
        <w:spacing w:after="0"/>
        <w:rPr>
          <w:rFonts w:ascii="宋体" w:hAnsi="宋体"/>
        </w:rPr>
      </w:pPr>
    </w:p>
    <w:p>
      <w:pPr>
        <w:pStyle w:val="2"/>
        <w:spacing w:after="0" w:line="460" w:lineRule="exact"/>
        <w:jc w:val="center"/>
        <w:rPr>
          <w:rFonts w:ascii="宋体" w:hAnsi="宋体"/>
          <w:b/>
          <w:sz w:val="32"/>
        </w:rPr>
      </w:pPr>
      <w:r>
        <w:rPr>
          <w:rFonts w:hint="eastAsia" w:ascii="宋体" w:hAnsi="宋体"/>
          <w:b/>
          <w:sz w:val="32"/>
        </w:rPr>
        <w:t>法定代表人授权委托书</w:t>
      </w:r>
    </w:p>
    <w:p>
      <w:pPr>
        <w:pStyle w:val="2"/>
        <w:spacing w:after="0" w:line="460" w:lineRule="exact"/>
        <w:jc w:val="center"/>
        <w:rPr>
          <w:rFonts w:ascii="宋体" w:hAnsi="宋体"/>
          <w:b/>
          <w:sz w:val="32"/>
        </w:rPr>
      </w:pPr>
    </w:p>
    <w:p>
      <w:pPr>
        <w:pStyle w:val="2"/>
        <w:spacing w:after="0" w:line="560" w:lineRule="exact"/>
        <w:rPr>
          <w:rFonts w:ascii="宋体" w:hAnsi="宋体"/>
        </w:rPr>
      </w:pPr>
      <w:r>
        <w:rPr>
          <w:rFonts w:hint="eastAsia" w:ascii="宋体" w:hAnsi="宋体"/>
        </w:rPr>
        <w:t>海逸恒安项目管理有限公司：</w:t>
      </w:r>
    </w:p>
    <w:p>
      <w:pPr>
        <w:pStyle w:val="2"/>
        <w:spacing w:after="0" w:line="560" w:lineRule="exact"/>
        <w:rPr>
          <w:rFonts w:ascii="宋体" w:hAnsi="宋体"/>
        </w:rPr>
      </w:pPr>
    </w:p>
    <w:p>
      <w:pPr>
        <w:pStyle w:val="2"/>
        <w:spacing w:after="0" w:line="560" w:lineRule="exact"/>
        <w:ind w:firstLine="480"/>
        <w:rPr>
          <w:rFonts w:ascii="宋体" w:hAnsi="宋体"/>
        </w:rPr>
      </w:pPr>
      <w:r>
        <w:rPr>
          <w:rFonts w:hint="eastAsia" w:ascii="宋体" w:hAnsi="宋体"/>
          <w:u w:val="single"/>
        </w:rPr>
        <w:t>（供应商名称）</w:t>
      </w:r>
      <w:r>
        <w:rPr>
          <w:rFonts w:hint="eastAsia" w:ascii="宋体" w:hAnsi="宋体"/>
        </w:rPr>
        <w:t>法定代表人授权我公司</w:t>
      </w:r>
      <w:r>
        <w:rPr>
          <w:rFonts w:hint="eastAsia" w:ascii="宋体" w:hAnsi="宋体"/>
          <w:u w:val="single"/>
        </w:rPr>
        <w:t>（职务或职称）（姓名）</w:t>
      </w:r>
      <w:r>
        <w:rPr>
          <w:rFonts w:hint="eastAsia" w:ascii="宋体" w:hAnsi="宋体"/>
        </w:rPr>
        <w:t>为我单位本次投标授权代理人，全权处理此次政府采购项目（项目编号：HYHA2019-0770）招标活动的一切事宜。</w:t>
      </w:r>
    </w:p>
    <w:p>
      <w:pPr>
        <w:pStyle w:val="2"/>
        <w:spacing w:after="0" w:line="560" w:lineRule="exact"/>
        <w:rPr>
          <w:rFonts w:ascii="宋体" w:hAnsi="宋体"/>
        </w:rPr>
      </w:pPr>
    </w:p>
    <w:p>
      <w:pPr>
        <w:pStyle w:val="2"/>
        <w:spacing w:after="0" w:line="560" w:lineRule="exact"/>
        <w:ind w:firstLine="480"/>
        <w:rPr>
          <w:rFonts w:ascii="宋体" w:hAnsi="宋体"/>
        </w:rPr>
      </w:pPr>
      <w:r>
        <w:rPr>
          <w:rFonts w:hint="eastAsia" w:ascii="宋体" w:hAnsi="宋体"/>
        </w:rPr>
        <w:t>特此授权。</w:t>
      </w:r>
    </w:p>
    <w:p>
      <w:pPr>
        <w:pStyle w:val="2"/>
        <w:spacing w:after="0" w:line="560" w:lineRule="exact"/>
        <w:rPr>
          <w:rFonts w:ascii="宋体" w:hAnsi="宋体"/>
        </w:rPr>
      </w:pPr>
    </w:p>
    <w:p>
      <w:pPr>
        <w:pStyle w:val="2"/>
        <w:spacing w:after="0" w:line="560" w:lineRule="exact"/>
        <w:ind w:firstLine="4320"/>
        <w:rPr>
          <w:rFonts w:ascii="宋体" w:hAnsi="宋体"/>
        </w:rPr>
      </w:pPr>
      <w:r>
        <w:rPr>
          <w:rFonts w:hint="eastAsia" w:ascii="宋体" w:hAnsi="宋体"/>
        </w:rPr>
        <w:t>（附授权代理人身份证明复印件）</w:t>
      </w:r>
    </w:p>
    <w:p>
      <w:pPr>
        <w:pStyle w:val="2"/>
        <w:spacing w:after="0" w:line="560" w:lineRule="exact"/>
        <w:rPr>
          <w:rFonts w:ascii="宋体" w:hAnsi="宋体"/>
        </w:rPr>
      </w:pPr>
    </w:p>
    <w:p>
      <w:pPr>
        <w:pStyle w:val="2"/>
        <w:spacing w:after="0" w:line="560" w:lineRule="exact"/>
        <w:rPr>
          <w:rFonts w:ascii="宋体" w:hAnsi="宋体"/>
        </w:rPr>
      </w:pPr>
    </w:p>
    <w:p>
      <w:pPr>
        <w:pStyle w:val="2"/>
        <w:spacing w:after="0" w:line="560" w:lineRule="exact"/>
        <w:rPr>
          <w:rFonts w:ascii="宋体" w:hAnsi="宋体"/>
        </w:rPr>
      </w:pPr>
      <w:r>
        <w:rPr>
          <w:rFonts w:hint="eastAsia" w:ascii="宋体" w:hAnsi="宋体"/>
        </w:rPr>
        <w:t>供应商单位全称（公章）：</w:t>
      </w:r>
    </w:p>
    <w:p>
      <w:pPr>
        <w:pStyle w:val="2"/>
        <w:spacing w:after="0" w:line="560" w:lineRule="exact"/>
        <w:rPr>
          <w:rFonts w:ascii="宋体" w:hAnsi="宋体"/>
        </w:rPr>
      </w:pPr>
      <w:r>
        <w:rPr>
          <w:rFonts w:hint="eastAsia" w:ascii="宋体" w:hAnsi="宋体"/>
        </w:rPr>
        <w:t>法定代表人签字：</w:t>
      </w:r>
    </w:p>
    <w:p>
      <w:pPr>
        <w:pStyle w:val="2"/>
        <w:spacing w:after="0" w:line="560" w:lineRule="exact"/>
        <w:rPr>
          <w:rFonts w:ascii="宋体" w:hAnsi="宋体"/>
        </w:rPr>
      </w:pPr>
      <w:r>
        <w:rPr>
          <w:rFonts w:hint="eastAsia" w:ascii="宋体" w:hAnsi="宋体"/>
        </w:rPr>
        <w:t>授权代理人签字：</w:t>
      </w:r>
    </w:p>
    <w:p>
      <w:pPr>
        <w:pStyle w:val="2"/>
        <w:spacing w:after="0" w:line="560" w:lineRule="exact"/>
        <w:rPr>
          <w:rFonts w:ascii="宋体" w:hAnsi="宋体"/>
        </w:rPr>
      </w:pPr>
    </w:p>
    <w:p>
      <w:pPr>
        <w:pStyle w:val="2"/>
        <w:spacing w:after="0" w:line="560" w:lineRule="exact"/>
        <w:rPr>
          <w:rFonts w:ascii="宋体" w:hAnsi="宋体"/>
        </w:rPr>
      </w:pPr>
    </w:p>
    <w:p>
      <w:pPr>
        <w:pStyle w:val="2"/>
        <w:spacing w:after="0" w:line="560" w:lineRule="exact"/>
        <w:rPr>
          <w:rFonts w:ascii="宋体" w:hAnsi="宋体"/>
        </w:rPr>
      </w:pPr>
    </w:p>
    <w:p>
      <w:pPr>
        <w:pStyle w:val="2"/>
        <w:spacing w:after="0" w:line="560" w:lineRule="exact"/>
        <w:ind w:left="5880" w:right="283" w:rightChars="135" w:firstLine="420"/>
        <w:jc w:val="right"/>
        <w:rPr>
          <w:rFonts w:ascii="宋体" w:hAnsi="宋体"/>
        </w:rPr>
      </w:pPr>
      <w:r>
        <w:rPr>
          <w:rFonts w:hint="eastAsia" w:ascii="宋体" w:hAnsi="宋体"/>
        </w:rPr>
        <w:t>年月日</w:t>
      </w:r>
    </w:p>
    <w:p>
      <w:pPr>
        <w:pStyle w:val="2"/>
        <w:spacing w:after="0" w:line="560" w:lineRule="exact"/>
        <w:rPr>
          <w:rFonts w:ascii="宋体" w:hAnsi="宋体"/>
        </w:rPr>
        <w:sectPr>
          <w:pgSz w:w="11907" w:h="16840"/>
          <w:pgMar w:top="1418" w:right="1418" w:bottom="1418" w:left="1418" w:header="851" w:footer="822" w:gutter="0"/>
          <w:cols w:space="720" w:num="1"/>
          <w:rtlGutter w:val="1"/>
          <w:docGrid w:linePitch="290" w:charSpace="-3931"/>
        </w:sectPr>
      </w:pPr>
    </w:p>
    <w:p>
      <w:pPr>
        <w:pStyle w:val="5"/>
        <w:spacing w:before="120" w:after="120" w:line="360" w:lineRule="exact"/>
        <w:rPr>
          <w:rFonts w:ascii="宋体" w:hAnsi="宋体"/>
          <w:b w:val="0"/>
          <w:bCs/>
          <w:sz w:val="24"/>
          <w:szCs w:val="21"/>
        </w:rPr>
      </w:pPr>
      <w:bookmarkStart w:id="99" w:name="_Toc11850808"/>
      <w:r>
        <w:rPr>
          <w:rFonts w:hint="eastAsia" w:ascii="宋体" w:hAnsi="宋体"/>
          <w:b w:val="0"/>
          <w:sz w:val="24"/>
          <w:szCs w:val="21"/>
        </w:rPr>
        <w:t>附件三：开标一览表</w:t>
      </w:r>
      <w:bookmarkEnd w:id="99"/>
    </w:p>
    <w:p>
      <w:pPr>
        <w:pStyle w:val="2"/>
        <w:spacing w:after="0" w:line="460" w:lineRule="exact"/>
        <w:jc w:val="center"/>
        <w:rPr>
          <w:rFonts w:ascii="宋体" w:hAnsi="宋体"/>
          <w:b/>
          <w:sz w:val="32"/>
        </w:rPr>
      </w:pPr>
      <w:r>
        <w:rPr>
          <w:rFonts w:hint="eastAsia" w:ascii="宋体" w:hAnsi="宋体"/>
          <w:b/>
          <w:sz w:val="32"/>
        </w:rPr>
        <w:t>开标一览表</w:t>
      </w:r>
    </w:p>
    <w:p>
      <w:pPr>
        <w:pStyle w:val="31"/>
        <w:spacing w:line="360" w:lineRule="exact"/>
        <w:ind w:left="0" w:leftChars="0" w:firstLine="0" w:firstLineChars="0"/>
        <w:rPr>
          <w:rFonts w:ascii="宋体" w:hAnsi="宋体"/>
          <w:bCs/>
        </w:rPr>
      </w:pPr>
    </w:p>
    <w:p>
      <w:pPr>
        <w:pStyle w:val="31"/>
        <w:spacing w:line="360" w:lineRule="exact"/>
        <w:ind w:left="0" w:leftChars="0" w:firstLine="0" w:firstLineChars="0"/>
        <w:rPr>
          <w:rFonts w:ascii="宋体" w:hAnsi="宋体"/>
          <w:bCs/>
        </w:rPr>
      </w:pPr>
      <w:r>
        <w:rPr>
          <w:rFonts w:hint="eastAsia" w:ascii="宋体" w:hAnsi="宋体"/>
          <w:bCs/>
        </w:rPr>
        <w:t>项目编号</w:t>
      </w:r>
      <w:r>
        <w:rPr>
          <w:rFonts w:hint="eastAsia" w:ascii="宋体" w:hAnsi="宋体"/>
          <w:b/>
          <w:bCs/>
        </w:rPr>
        <w:t>：</w:t>
      </w:r>
      <w:r>
        <w:rPr>
          <w:rFonts w:hint="eastAsia" w:ascii="宋体" w:hAnsi="宋体"/>
        </w:rPr>
        <w:t>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pStyle w:val="31"/>
        <w:spacing w:line="360" w:lineRule="exact"/>
        <w:ind w:left="0" w:leftChars="0" w:firstLine="0" w:firstLineChars="0"/>
        <w:rPr>
          <w:rFonts w:ascii="宋体" w:hAnsi="宋体"/>
          <w:bCs/>
          <w:u w:val="single"/>
        </w:rPr>
      </w:pPr>
      <w:r>
        <w:rPr>
          <w:rFonts w:hint="eastAsia" w:ascii="宋体" w:hAnsi="宋体"/>
          <w:bCs/>
          <w:u w:val="single"/>
        </w:rPr>
        <w:t xml:space="preserve">           </w:t>
      </w:r>
    </w:p>
    <w:tbl>
      <w:tblPr>
        <w:tblStyle w:val="73"/>
        <w:tblW w:w="93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1" w:hRule="atLeast"/>
          <w:jc w:val="center"/>
        </w:trPr>
        <w:tc>
          <w:tcPr>
            <w:tcW w:w="1939" w:type="dxa"/>
            <w:vAlign w:val="center"/>
          </w:tcPr>
          <w:p>
            <w:pPr>
              <w:spacing w:line="360" w:lineRule="auto"/>
              <w:jc w:val="center"/>
              <w:rPr>
                <w:rFonts w:ascii="宋体" w:hAnsi="宋体"/>
                <w:b/>
                <w:sz w:val="24"/>
              </w:rPr>
            </w:pPr>
            <w:r>
              <w:rPr>
                <w:rFonts w:hint="eastAsia" w:ascii="宋体" w:hAnsi="宋体"/>
                <w:b/>
                <w:sz w:val="24"/>
              </w:rPr>
              <w:t>供应商名称</w:t>
            </w:r>
          </w:p>
        </w:tc>
        <w:tc>
          <w:tcPr>
            <w:tcW w:w="7401"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7" w:hRule="atLeast"/>
          <w:jc w:val="center"/>
        </w:trPr>
        <w:tc>
          <w:tcPr>
            <w:tcW w:w="1939" w:type="dxa"/>
            <w:vAlign w:val="center"/>
          </w:tcPr>
          <w:p>
            <w:pPr>
              <w:tabs>
                <w:tab w:val="left" w:pos="1337"/>
              </w:tabs>
              <w:ind w:left="27" w:leftChars="13"/>
              <w:jc w:val="center"/>
              <w:rPr>
                <w:rFonts w:ascii="宋体" w:hAnsi="宋体"/>
                <w:sz w:val="24"/>
              </w:rPr>
            </w:pPr>
            <w:r>
              <w:rPr>
                <w:rFonts w:hint="eastAsia" w:ascii="宋体" w:hAnsi="宋体"/>
                <w:sz w:val="24"/>
              </w:rPr>
              <w:t>总报价（元）</w:t>
            </w:r>
          </w:p>
        </w:tc>
        <w:tc>
          <w:tcPr>
            <w:tcW w:w="7401" w:type="dxa"/>
            <w:vAlign w:val="center"/>
          </w:tcPr>
          <w:p>
            <w:pPr>
              <w:tabs>
                <w:tab w:val="left" w:pos="1337"/>
              </w:tabs>
              <w:ind w:left="191"/>
              <w:rPr>
                <w:rFonts w:ascii="宋体" w:hAnsi="宋体"/>
                <w:sz w:val="24"/>
                <w:u w:val="single"/>
              </w:rPr>
            </w:pPr>
            <w:r>
              <w:rPr>
                <w:rFonts w:hint="eastAsia" w:ascii="宋体" w:hAnsi="宋体"/>
                <w:sz w:val="24"/>
              </w:rPr>
              <w:t>大写：</w:t>
            </w:r>
            <w:r>
              <w:rPr>
                <w:rFonts w:ascii="宋体" w:hAnsi="宋体"/>
                <w:sz w:val="24"/>
                <w:u w:val="single"/>
              </w:rPr>
              <w:t xml:space="preserve">                   </w:t>
            </w:r>
            <w:r>
              <w:rPr>
                <w:rFonts w:hint="eastAsia" w:ascii="宋体" w:hAnsi="宋体"/>
                <w:sz w:val="24"/>
              </w:rPr>
              <w:t>；</w:t>
            </w:r>
          </w:p>
          <w:p>
            <w:pPr>
              <w:tabs>
                <w:tab w:val="left" w:pos="1337"/>
              </w:tabs>
              <w:ind w:left="191"/>
              <w:rPr>
                <w:rFonts w:ascii="宋体" w:hAnsi="宋体"/>
                <w:sz w:val="24"/>
                <w:u w:val="single"/>
              </w:rPr>
            </w:pPr>
          </w:p>
          <w:p>
            <w:pPr>
              <w:tabs>
                <w:tab w:val="left" w:pos="1337"/>
              </w:tabs>
              <w:ind w:left="191"/>
              <w:rPr>
                <w:rFonts w:ascii="宋体" w:hAnsi="宋体"/>
                <w:sz w:val="24"/>
                <w:u w:val="single"/>
              </w:rPr>
            </w:pPr>
            <w:r>
              <w:rPr>
                <w:rFonts w:hint="eastAsia" w:ascii="宋体" w:hAnsi="宋体"/>
                <w:sz w:val="24"/>
              </w:rPr>
              <w:t>小写：</w:t>
            </w:r>
            <w:r>
              <w:rPr>
                <w:rFonts w:ascii="宋体" w:hAnsi="宋体"/>
                <w:sz w:val="24"/>
                <w:u w:val="single"/>
              </w:rPr>
              <w:t xml:space="preserve">                   </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7" w:hRule="atLeast"/>
          <w:jc w:val="center"/>
        </w:trPr>
        <w:tc>
          <w:tcPr>
            <w:tcW w:w="1939" w:type="dxa"/>
            <w:vAlign w:val="center"/>
          </w:tcPr>
          <w:p>
            <w:pPr>
              <w:tabs>
                <w:tab w:val="left" w:pos="1337"/>
              </w:tabs>
              <w:ind w:left="27" w:leftChars="13"/>
              <w:jc w:val="center"/>
              <w:rPr>
                <w:rFonts w:hint="eastAsia" w:ascii="宋体" w:hAnsi="宋体"/>
                <w:sz w:val="24"/>
              </w:rPr>
            </w:pPr>
            <w:r>
              <w:rPr>
                <w:rFonts w:hint="eastAsia" w:ascii="宋体" w:hAnsi="宋体"/>
                <w:sz w:val="24"/>
              </w:rPr>
              <w:t>产地/品牌/型号</w:t>
            </w:r>
          </w:p>
        </w:tc>
        <w:tc>
          <w:tcPr>
            <w:tcW w:w="7401" w:type="dxa"/>
            <w:vAlign w:val="center"/>
          </w:tcPr>
          <w:p>
            <w:pPr>
              <w:pStyle w:val="2"/>
              <w:ind w:firstLine="240" w:firstLineChars="100"/>
              <w:rPr>
                <w:rFonts w:hint="eastAsia" w:ascii="宋体" w:hAnsi="宋体"/>
                <w:lang w:eastAsia="zh-CN"/>
              </w:rPr>
            </w:pPr>
            <w:r>
              <w:rPr>
                <w:rFonts w:hint="eastAsia" w:ascii="宋体" w:hAnsi="宋体"/>
                <w:lang w:eastAsia="zh-CN"/>
              </w:rPr>
              <w:t>（1）</w:t>
            </w:r>
            <w:r>
              <w:rPr>
                <w:rFonts w:hint="eastAsia" w:ascii="宋体" w:hAnsi="宋体"/>
              </w:rPr>
              <w:t>产地</w:t>
            </w:r>
            <w:r>
              <w:rPr>
                <w:rFonts w:hint="eastAsia" w:ascii="宋体" w:hAnsi="宋体"/>
                <w:lang w:eastAsia="zh-CN"/>
              </w:rPr>
              <w:t>：</w:t>
            </w:r>
          </w:p>
          <w:p>
            <w:pPr>
              <w:pStyle w:val="2"/>
              <w:ind w:firstLine="240" w:firstLineChars="100"/>
              <w:rPr>
                <w:rFonts w:hint="eastAsia" w:ascii="宋体" w:hAnsi="宋体"/>
                <w:lang w:eastAsia="zh-CN"/>
              </w:rPr>
            </w:pPr>
            <w:r>
              <w:rPr>
                <w:rFonts w:hint="eastAsia" w:ascii="宋体" w:hAnsi="宋体"/>
                <w:lang w:eastAsia="zh-CN"/>
              </w:rPr>
              <w:t>（2）</w:t>
            </w:r>
            <w:r>
              <w:rPr>
                <w:rFonts w:hint="eastAsia" w:ascii="宋体" w:hAnsi="宋体"/>
              </w:rPr>
              <w:t>品牌</w:t>
            </w:r>
            <w:r>
              <w:rPr>
                <w:rFonts w:hint="eastAsia" w:ascii="宋体" w:hAnsi="宋体"/>
                <w:lang w:eastAsia="zh-CN"/>
              </w:rPr>
              <w:t>：</w:t>
            </w:r>
          </w:p>
          <w:p>
            <w:pPr>
              <w:pStyle w:val="2"/>
              <w:ind w:firstLine="240" w:firstLineChars="100"/>
              <w:rPr>
                <w:rFonts w:hint="eastAsia"/>
                <w:lang w:val="en-US" w:eastAsia="zh-CN"/>
              </w:rPr>
            </w:pPr>
            <w:r>
              <w:rPr>
                <w:rFonts w:hint="eastAsia" w:ascii="宋体" w:hAnsi="宋体"/>
                <w:lang w:eastAsia="zh-CN"/>
              </w:rPr>
              <w:t>（3）</w:t>
            </w:r>
            <w:r>
              <w:rPr>
                <w:rFonts w:hint="eastAsia" w:ascii="宋体" w:hAnsi="宋体"/>
              </w:rPr>
              <w:t>型号</w:t>
            </w:r>
            <w:r>
              <w:rPr>
                <w:rFonts w:hint="eastAsia" w:ascii="宋体" w:hAnsi="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7" w:hRule="atLeast"/>
          <w:jc w:val="center"/>
        </w:trPr>
        <w:tc>
          <w:tcPr>
            <w:tcW w:w="1939" w:type="dxa"/>
            <w:vAlign w:val="center"/>
          </w:tcPr>
          <w:p>
            <w:pPr>
              <w:tabs>
                <w:tab w:val="left" w:pos="1337"/>
              </w:tabs>
              <w:ind w:left="27" w:leftChars="13"/>
              <w:jc w:val="center"/>
              <w:rPr>
                <w:rFonts w:ascii="宋体" w:hAnsi="宋体"/>
                <w:sz w:val="24"/>
              </w:rPr>
            </w:pPr>
            <w:r>
              <w:rPr>
                <w:rFonts w:hint="eastAsia" w:ascii="宋体" w:hAnsi="宋体"/>
                <w:sz w:val="24"/>
              </w:rPr>
              <w:t>交货（交付）期</w:t>
            </w:r>
          </w:p>
        </w:tc>
        <w:tc>
          <w:tcPr>
            <w:tcW w:w="7401" w:type="dxa"/>
            <w:vAlign w:val="center"/>
          </w:tcPr>
          <w:p>
            <w:pPr>
              <w:tabs>
                <w:tab w:val="left" w:pos="1337"/>
              </w:tabs>
              <w:spacing w:line="360" w:lineRule="auto"/>
              <w:ind w:left="19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7" w:hRule="atLeast"/>
          <w:jc w:val="center"/>
        </w:trPr>
        <w:tc>
          <w:tcPr>
            <w:tcW w:w="1939" w:type="dxa"/>
            <w:vAlign w:val="center"/>
          </w:tcPr>
          <w:p>
            <w:pPr>
              <w:tabs>
                <w:tab w:val="left" w:pos="1337"/>
              </w:tabs>
              <w:ind w:left="27" w:leftChars="13"/>
              <w:jc w:val="center"/>
              <w:rPr>
                <w:rFonts w:ascii="宋体" w:hAnsi="宋体"/>
                <w:sz w:val="24"/>
              </w:rPr>
            </w:pPr>
            <w:r>
              <w:rPr>
                <w:rFonts w:hint="eastAsia" w:ascii="宋体" w:hAnsi="宋体"/>
                <w:sz w:val="24"/>
              </w:rPr>
              <w:t>质保期</w:t>
            </w:r>
          </w:p>
        </w:tc>
        <w:tc>
          <w:tcPr>
            <w:tcW w:w="7401" w:type="dxa"/>
            <w:vAlign w:val="center"/>
          </w:tcPr>
          <w:p>
            <w:pPr>
              <w:tabs>
                <w:tab w:val="left" w:pos="1337"/>
              </w:tabs>
              <w:spacing w:line="360" w:lineRule="auto"/>
              <w:ind w:left="191"/>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9" w:hRule="atLeast"/>
          <w:jc w:val="center"/>
        </w:trPr>
        <w:tc>
          <w:tcPr>
            <w:tcW w:w="1939" w:type="dxa"/>
            <w:vAlign w:val="center"/>
          </w:tcPr>
          <w:p>
            <w:pPr>
              <w:tabs>
                <w:tab w:val="left" w:pos="1337"/>
              </w:tabs>
              <w:ind w:left="27" w:leftChars="13"/>
              <w:jc w:val="center"/>
              <w:rPr>
                <w:rFonts w:ascii="宋体" w:hAnsi="宋体"/>
                <w:sz w:val="24"/>
              </w:rPr>
            </w:pPr>
            <w:r>
              <w:rPr>
                <w:rFonts w:hint="eastAsia" w:ascii="宋体" w:hAnsi="宋体"/>
                <w:sz w:val="24"/>
              </w:rPr>
              <w:t>对招标文件的响应程度（是否完全响应）</w:t>
            </w:r>
          </w:p>
        </w:tc>
        <w:tc>
          <w:tcPr>
            <w:tcW w:w="7401" w:type="dxa"/>
            <w:vAlign w:val="center"/>
          </w:tcPr>
          <w:p>
            <w:pPr>
              <w:tabs>
                <w:tab w:val="left" w:pos="1337"/>
              </w:tabs>
              <w:ind w:left="191"/>
              <w:jc w:val="center"/>
              <w:rPr>
                <w:rFonts w:ascii="宋体" w:hAnsi="宋体"/>
                <w:sz w:val="24"/>
              </w:rPr>
            </w:pPr>
          </w:p>
        </w:tc>
      </w:tr>
    </w:tbl>
    <w:p>
      <w:pPr>
        <w:spacing w:line="400" w:lineRule="exac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、本表除需在投标文件中装订外，还需另外一式三份单独密封，以便于唱标。</w:t>
      </w:r>
    </w:p>
    <w:p>
      <w:pPr>
        <w:spacing w:line="400" w:lineRule="exact"/>
        <w:ind w:firstLine="504" w:firstLineChars="209"/>
        <w:rPr>
          <w:rFonts w:ascii="宋体" w:hAnsi="宋体"/>
          <w:b/>
          <w:sz w:val="24"/>
        </w:rPr>
      </w:pPr>
      <w:r>
        <w:rPr>
          <w:rFonts w:ascii="宋体" w:hAnsi="宋体"/>
          <w:b/>
          <w:sz w:val="24"/>
        </w:rPr>
        <w:t>2</w:t>
      </w:r>
      <w:r>
        <w:rPr>
          <w:rFonts w:hint="eastAsia" w:ascii="宋体" w:hAnsi="宋体"/>
          <w:b/>
          <w:sz w:val="24"/>
        </w:rPr>
        <w:t>、本表需单独密封。</w:t>
      </w: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60" w:lineRule="exact"/>
        <w:ind w:right="187"/>
        <w:rPr>
          <w:rFonts w:ascii="宋体" w:hAnsi="宋体"/>
          <w:bCs/>
          <w:sz w:val="24"/>
        </w:rPr>
      </w:pPr>
      <w:r>
        <w:rPr>
          <w:rFonts w:hint="eastAsia" w:ascii="宋体" w:hAnsi="宋体"/>
          <w:bCs/>
          <w:sz w:val="24"/>
        </w:rPr>
        <w:t>法定代表人或授权代理人签字：</w:t>
      </w:r>
    </w:p>
    <w:p>
      <w:pPr>
        <w:wordWrap w:val="0"/>
        <w:spacing w:line="400" w:lineRule="exact"/>
        <w:ind w:firstLine="720" w:firstLineChars="300"/>
        <w:jc w:val="right"/>
        <w:rPr>
          <w:rFonts w:ascii="宋体" w:hAnsi="宋体"/>
          <w:bCs/>
          <w:sz w:val="24"/>
        </w:rPr>
      </w:pPr>
      <w:r>
        <w:rPr>
          <w:rFonts w:hint="eastAsia" w:ascii="宋体" w:hAnsi="宋体"/>
          <w:bCs/>
          <w:sz w:val="24"/>
        </w:rPr>
        <w:t xml:space="preserve">    年  月  日</w:t>
      </w:r>
    </w:p>
    <w:p>
      <w:pPr>
        <w:pStyle w:val="5"/>
        <w:spacing w:before="120" w:after="120" w:line="360" w:lineRule="exact"/>
        <w:rPr>
          <w:rFonts w:ascii="宋体" w:hAnsi="宋体"/>
          <w:b w:val="0"/>
          <w:bCs/>
          <w:sz w:val="24"/>
          <w:szCs w:val="21"/>
        </w:rPr>
      </w:pPr>
      <w:r>
        <w:rPr>
          <w:rFonts w:ascii="宋体" w:hAnsi="宋体"/>
          <w:sz w:val="24"/>
        </w:rPr>
        <w:br w:type="page"/>
      </w:r>
      <w:bookmarkStart w:id="100" w:name="_Toc11850809"/>
      <w:r>
        <w:rPr>
          <w:rFonts w:hint="eastAsia" w:ascii="宋体" w:hAnsi="宋体"/>
          <w:b w:val="0"/>
          <w:sz w:val="24"/>
          <w:szCs w:val="21"/>
        </w:rPr>
        <w:t>附件四：报价明细表</w:t>
      </w:r>
      <w:bookmarkEnd w:id="100"/>
    </w:p>
    <w:p>
      <w:pPr>
        <w:pStyle w:val="2"/>
        <w:spacing w:after="0" w:line="460" w:lineRule="exact"/>
        <w:jc w:val="center"/>
        <w:rPr>
          <w:rFonts w:ascii="宋体" w:hAnsi="宋体"/>
          <w:b/>
          <w:sz w:val="32"/>
        </w:rPr>
      </w:pPr>
      <w:r>
        <w:rPr>
          <w:rFonts w:hint="eastAsia" w:ascii="宋体" w:hAnsi="宋体"/>
          <w:b/>
          <w:sz w:val="32"/>
        </w:rPr>
        <w:t>报价明细表</w:t>
      </w:r>
    </w:p>
    <w:p>
      <w:pPr>
        <w:pStyle w:val="31"/>
        <w:spacing w:line="360" w:lineRule="exact"/>
        <w:ind w:left="0" w:leftChars="0" w:firstLine="0" w:firstLineChars="0"/>
        <w:rPr>
          <w:rFonts w:ascii="宋体" w:hAnsi="宋体"/>
          <w:bCs/>
        </w:rPr>
      </w:pPr>
      <w:r>
        <w:rPr>
          <w:rFonts w:hint="eastAsia" w:ascii="宋体" w:hAnsi="宋体"/>
          <w:bCs/>
        </w:rPr>
        <w:t>项目编号</w:t>
      </w:r>
      <w:r>
        <w:rPr>
          <w:rFonts w:hint="eastAsia" w:ascii="宋体" w:hAnsi="宋体"/>
          <w:b/>
          <w:bCs/>
        </w:rPr>
        <w:t>：</w:t>
      </w:r>
      <w:r>
        <w:rPr>
          <w:rFonts w:hint="eastAsia" w:ascii="宋体" w:hAnsi="宋体"/>
        </w:rPr>
        <w:t>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pStyle w:val="31"/>
        <w:spacing w:line="360" w:lineRule="exact"/>
        <w:ind w:left="0" w:leftChars="0" w:firstLine="0" w:firstLineChars="0"/>
        <w:rPr>
          <w:rFonts w:ascii="宋体" w:hAnsi="宋体"/>
          <w:b/>
          <w:bCs/>
        </w:rPr>
      </w:pPr>
    </w:p>
    <w:tbl>
      <w:tblPr>
        <w:tblStyle w:val="7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559"/>
        <w:gridCol w:w="709"/>
        <w:gridCol w:w="709"/>
        <w:gridCol w:w="895"/>
        <w:gridCol w:w="851"/>
        <w:gridCol w:w="907"/>
        <w:gridCol w:w="751"/>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4" w:hRule="atLeast"/>
        </w:trPr>
        <w:tc>
          <w:tcPr>
            <w:tcW w:w="534" w:type="dxa"/>
            <w:vAlign w:val="center"/>
          </w:tcPr>
          <w:p>
            <w:pPr>
              <w:tabs>
                <w:tab w:val="left" w:pos="1337"/>
              </w:tabs>
              <w:jc w:val="center"/>
              <w:rPr>
                <w:rFonts w:ascii="宋体" w:hAnsi="宋体"/>
                <w:b/>
                <w:bCs/>
                <w:sz w:val="24"/>
              </w:rPr>
            </w:pPr>
            <w:r>
              <w:rPr>
                <w:rFonts w:hint="eastAsia" w:ascii="宋体" w:hAnsi="宋体"/>
                <w:b/>
                <w:bCs/>
                <w:sz w:val="24"/>
              </w:rPr>
              <w:t>序号</w:t>
            </w:r>
          </w:p>
        </w:tc>
        <w:tc>
          <w:tcPr>
            <w:tcW w:w="1417" w:type="dxa"/>
            <w:vAlign w:val="center"/>
          </w:tcPr>
          <w:p>
            <w:pPr>
              <w:tabs>
                <w:tab w:val="left" w:pos="1337"/>
              </w:tabs>
              <w:jc w:val="center"/>
              <w:rPr>
                <w:rFonts w:ascii="宋体" w:hAnsi="宋体"/>
                <w:b/>
                <w:bCs/>
                <w:sz w:val="24"/>
              </w:rPr>
            </w:pPr>
            <w:r>
              <w:rPr>
                <w:rFonts w:hint="eastAsia" w:ascii="宋体" w:hAnsi="宋体"/>
                <w:b/>
                <w:sz w:val="24"/>
              </w:rPr>
              <w:t>货物名称</w:t>
            </w:r>
          </w:p>
        </w:tc>
        <w:tc>
          <w:tcPr>
            <w:tcW w:w="1559" w:type="dxa"/>
            <w:vAlign w:val="center"/>
          </w:tcPr>
          <w:p>
            <w:pPr>
              <w:tabs>
                <w:tab w:val="left" w:pos="1337"/>
              </w:tabs>
              <w:jc w:val="center"/>
              <w:rPr>
                <w:rFonts w:ascii="宋体" w:hAnsi="宋体"/>
                <w:b/>
                <w:bCs/>
                <w:sz w:val="24"/>
              </w:rPr>
            </w:pPr>
            <w:r>
              <w:rPr>
                <w:rFonts w:hint="eastAsia" w:ascii="宋体" w:hAnsi="宋体"/>
                <w:b/>
                <w:bCs/>
                <w:sz w:val="24"/>
              </w:rPr>
              <w:t>规格、型号</w:t>
            </w:r>
          </w:p>
        </w:tc>
        <w:tc>
          <w:tcPr>
            <w:tcW w:w="709" w:type="dxa"/>
            <w:vAlign w:val="center"/>
          </w:tcPr>
          <w:p>
            <w:pPr>
              <w:tabs>
                <w:tab w:val="left" w:pos="1337"/>
              </w:tabs>
              <w:jc w:val="center"/>
              <w:rPr>
                <w:rFonts w:ascii="宋体" w:hAnsi="宋体"/>
                <w:b/>
                <w:bCs/>
                <w:sz w:val="24"/>
              </w:rPr>
            </w:pPr>
            <w:r>
              <w:rPr>
                <w:rFonts w:hint="eastAsia" w:ascii="宋体" w:hAnsi="宋体"/>
                <w:b/>
                <w:bCs/>
                <w:sz w:val="24"/>
              </w:rPr>
              <w:t>单位</w:t>
            </w:r>
          </w:p>
        </w:tc>
        <w:tc>
          <w:tcPr>
            <w:tcW w:w="709" w:type="dxa"/>
            <w:vAlign w:val="center"/>
          </w:tcPr>
          <w:p>
            <w:pPr>
              <w:tabs>
                <w:tab w:val="left" w:pos="1337"/>
              </w:tabs>
              <w:jc w:val="center"/>
              <w:rPr>
                <w:rFonts w:ascii="宋体" w:hAnsi="宋体"/>
                <w:b/>
                <w:bCs/>
                <w:sz w:val="24"/>
              </w:rPr>
            </w:pPr>
            <w:r>
              <w:rPr>
                <w:rFonts w:hint="eastAsia" w:ascii="宋体" w:hAnsi="宋体"/>
                <w:b/>
                <w:bCs/>
                <w:sz w:val="24"/>
              </w:rPr>
              <w:t>数量</w:t>
            </w:r>
          </w:p>
        </w:tc>
        <w:tc>
          <w:tcPr>
            <w:tcW w:w="895" w:type="dxa"/>
            <w:vAlign w:val="center"/>
          </w:tcPr>
          <w:p>
            <w:pPr>
              <w:tabs>
                <w:tab w:val="left" w:pos="1337"/>
              </w:tabs>
              <w:jc w:val="center"/>
              <w:rPr>
                <w:rFonts w:ascii="宋体" w:hAnsi="宋体"/>
                <w:b/>
                <w:bCs/>
                <w:sz w:val="24"/>
              </w:rPr>
            </w:pPr>
            <w:r>
              <w:rPr>
                <w:rFonts w:hint="eastAsia" w:ascii="宋体" w:hAnsi="宋体"/>
                <w:b/>
                <w:bCs/>
                <w:sz w:val="24"/>
              </w:rPr>
              <w:t>单价(元)</w:t>
            </w:r>
          </w:p>
        </w:tc>
        <w:tc>
          <w:tcPr>
            <w:tcW w:w="851" w:type="dxa"/>
            <w:vAlign w:val="center"/>
          </w:tcPr>
          <w:p>
            <w:pPr>
              <w:tabs>
                <w:tab w:val="left" w:pos="1337"/>
              </w:tabs>
              <w:jc w:val="center"/>
              <w:rPr>
                <w:rFonts w:ascii="宋体" w:hAnsi="宋体"/>
                <w:b/>
                <w:bCs/>
                <w:sz w:val="24"/>
              </w:rPr>
            </w:pPr>
            <w:r>
              <w:rPr>
                <w:rFonts w:hint="eastAsia" w:ascii="宋体" w:hAnsi="宋体"/>
                <w:b/>
                <w:bCs/>
                <w:sz w:val="24"/>
              </w:rPr>
              <w:t>合价(元)</w:t>
            </w:r>
          </w:p>
        </w:tc>
        <w:tc>
          <w:tcPr>
            <w:tcW w:w="907" w:type="dxa"/>
            <w:vAlign w:val="center"/>
          </w:tcPr>
          <w:p>
            <w:pPr>
              <w:tabs>
                <w:tab w:val="left" w:pos="1337"/>
              </w:tabs>
              <w:jc w:val="center"/>
              <w:rPr>
                <w:rFonts w:ascii="宋体" w:hAnsi="宋体"/>
                <w:b/>
                <w:bCs/>
                <w:sz w:val="24"/>
              </w:rPr>
            </w:pPr>
            <w:r>
              <w:rPr>
                <w:rFonts w:hint="eastAsia" w:ascii="宋体" w:hAnsi="宋体"/>
                <w:b/>
                <w:bCs/>
                <w:sz w:val="24"/>
              </w:rPr>
              <w:t>品牌</w:t>
            </w:r>
          </w:p>
        </w:tc>
        <w:tc>
          <w:tcPr>
            <w:tcW w:w="751" w:type="dxa"/>
            <w:vAlign w:val="center"/>
          </w:tcPr>
          <w:p>
            <w:pPr>
              <w:tabs>
                <w:tab w:val="left" w:pos="1337"/>
              </w:tabs>
              <w:jc w:val="center"/>
              <w:rPr>
                <w:rFonts w:ascii="宋体" w:hAnsi="宋体"/>
                <w:b/>
                <w:bCs/>
                <w:sz w:val="24"/>
              </w:rPr>
            </w:pPr>
            <w:r>
              <w:rPr>
                <w:rFonts w:hint="eastAsia" w:ascii="宋体" w:hAnsi="宋体"/>
                <w:b/>
                <w:bCs/>
                <w:sz w:val="24"/>
              </w:rPr>
              <w:t>产地</w:t>
            </w:r>
          </w:p>
        </w:tc>
        <w:tc>
          <w:tcPr>
            <w:tcW w:w="1557" w:type="dxa"/>
            <w:vAlign w:val="center"/>
          </w:tcPr>
          <w:p>
            <w:pPr>
              <w:tabs>
                <w:tab w:val="left" w:pos="1337"/>
              </w:tabs>
              <w:jc w:val="center"/>
              <w:rPr>
                <w:rFonts w:ascii="宋体" w:hAnsi="宋体"/>
                <w:b/>
                <w:bCs/>
                <w:sz w:val="24"/>
              </w:rPr>
            </w:pPr>
            <w:r>
              <w:rPr>
                <w:rFonts w:hint="eastAsia" w:ascii="宋体" w:hAnsi="宋体"/>
                <w:b/>
                <w:bCs/>
                <w:sz w:val="24"/>
              </w:rPr>
              <w:t>备注（环境标志产品、节能产品、小微型企业产品应标注）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1" w:hRule="atLeast"/>
        </w:trPr>
        <w:tc>
          <w:tcPr>
            <w:tcW w:w="534" w:type="dxa"/>
            <w:vAlign w:val="center"/>
          </w:tcPr>
          <w:p>
            <w:pPr>
              <w:spacing w:line="440" w:lineRule="exact"/>
              <w:jc w:val="center"/>
              <w:rPr>
                <w:rFonts w:ascii="宋体" w:hAnsi="宋体"/>
                <w:sz w:val="24"/>
              </w:rPr>
            </w:pPr>
            <w:r>
              <w:rPr>
                <w:rFonts w:ascii="宋体" w:hAnsi="宋体"/>
                <w:sz w:val="24"/>
              </w:rPr>
              <w:t>1</w:t>
            </w:r>
          </w:p>
        </w:tc>
        <w:tc>
          <w:tcPr>
            <w:tcW w:w="1417" w:type="dxa"/>
            <w:vAlign w:val="center"/>
          </w:tcPr>
          <w:p>
            <w:pPr>
              <w:spacing w:line="440" w:lineRule="exact"/>
              <w:jc w:val="center"/>
              <w:rPr>
                <w:rFonts w:ascii="宋体" w:hAnsi="宋体"/>
                <w:b/>
                <w:sz w:val="24"/>
              </w:rPr>
            </w:pPr>
          </w:p>
        </w:tc>
        <w:tc>
          <w:tcPr>
            <w:tcW w:w="1559" w:type="dxa"/>
            <w:vAlign w:val="center"/>
          </w:tcPr>
          <w:p>
            <w:pPr>
              <w:spacing w:line="440" w:lineRule="exact"/>
              <w:jc w:val="center"/>
              <w:rPr>
                <w:rFonts w:ascii="宋体" w:hAnsi="宋体"/>
                <w:sz w:val="24"/>
              </w:rPr>
            </w:pPr>
          </w:p>
        </w:tc>
        <w:tc>
          <w:tcPr>
            <w:tcW w:w="709" w:type="dxa"/>
            <w:vAlign w:val="center"/>
          </w:tcPr>
          <w:p>
            <w:pPr>
              <w:spacing w:line="440" w:lineRule="exact"/>
              <w:jc w:val="center"/>
              <w:rPr>
                <w:rFonts w:ascii="宋体" w:hAnsi="宋体"/>
                <w:sz w:val="24"/>
              </w:rPr>
            </w:pPr>
          </w:p>
        </w:tc>
        <w:tc>
          <w:tcPr>
            <w:tcW w:w="709" w:type="dxa"/>
            <w:vAlign w:val="center"/>
          </w:tcPr>
          <w:p>
            <w:pPr>
              <w:spacing w:line="440" w:lineRule="exact"/>
              <w:jc w:val="center"/>
              <w:rPr>
                <w:rFonts w:ascii="宋体" w:hAnsi="宋体"/>
                <w:sz w:val="24"/>
              </w:rPr>
            </w:pPr>
          </w:p>
        </w:tc>
        <w:tc>
          <w:tcPr>
            <w:tcW w:w="895" w:type="dxa"/>
            <w:vAlign w:val="center"/>
          </w:tcPr>
          <w:p>
            <w:pPr>
              <w:spacing w:line="440" w:lineRule="exact"/>
              <w:jc w:val="center"/>
              <w:rPr>
                <w:rFonts w:ascii="宋体" w:hAnsi="宋体"/>
                <w:sz w:val="24"/>
              </w:rPr>
            </w:pPr>
          </w:p>
        </w:tc>
        <w:tc>
          <w:tcPr>
            <w:tcW w:w="851" w:type="dxa"/>
            <w:vAlign w:val="center"/>
          </w:tcPr>
          <w:p>
            <w:pPr>
              <w:spacing w:line="440" w:lineRule="exact"/>
              <w:jc w:val="center"/>
              <w:rPr>
                <w:rFonts w:ascii="宋体" w:hAnsi="宋体"/>
                <w:sz w:val="24"/>
              </w:rPr>
            </w:pPr>
          </w:p>
        </w:tc>
        <w:tc>
          <w:tcPr>
            <w:tcW w:w="907" w:type="dxa"/>
            <w:vAlign w:val="center"/>
          </w:tcPr>
          <w:p>
            <w:pPr>
              <w:spacing w:line="440" w:lineRule="exact"/>
              <w:jc w:val="center"/>
              <w:rPr>
                <w:rFonts w:ascii="宋体" w:hAnsi="宋体"/>
                <w:sz w:val="24"/>
              </w:rPr>
            </w:pPr>
          </w:p>
        </w:tc>
        <w:tc>
          <w:tcPr>
            <w:tcW w:w="751" w:type="dxa"/>
            <w:vAlign w:val="center"/>
          </w:tcPr>
          <w:p>
            <w:pPr>
              <w:spacing w:line="440" w:lineRule="exact"/>
              <w:jc w:val="center"/>
              <w:rPr>
                <w:rFonts w:ascii="宋体" w:hAnsi="宋体"/>
                <w:sz w:val="24"/>
              </w:rPr>
            </w:pPr>
          </w:p>
        </w:tc>
        <w:tc>
          <w:tcPr>
            <w:tcW w:w="1557"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534" w:type="dxa"/>
            <w:vAlign w:val="center"/>
          </w:tcPr>
          <w:p>
            <w:pPr>
              <w:spacing w:line="440" w:lineRule="exact"/>
              <w:jc w:val="center"/>
              <w:rPr>
                <w:rFonts w:ascii="宋体" w:hAnsi="宋体"/>
                <w:sz w:val="24"/>
              </w:rPr>
            </w:pPr>
            <w:r>
              <w:rPr>
                <w:rFonts w:ascii="宋体" w:hAnsi="宋体"/>
                <w:sz w:val="24"/>
              </w:rPr>
              <w:t>2</w:t>
            </w:r>
          </w:p>
        </w:tc>
        <w:tc>
          <w:tcPr>
            <w:tcW w:w="1417" w:type="dxa"/>
            <w:vAlign w:val="center"/>
          </w:tcPr>
          <w:p>
            <w:pPr>
              <w:spacing w:line="440" w:lineRule="exact"/>
              <w:jc w:val="center"/>
              <w:rPr>
                <w:rFonts w:ascii="宋体" w:hAnsi="宋体"/>
                <w:sz w:val="24"/>
              </w:rPr>
            </w:pPr>
          </w:p>
        </w:tc>
        <w:tc>
          <w:tcPr>
            <w:tcW w:w="1559" w:type="dxa"/>
            <w:vAlign w:val="center"/>
          </w:tcPr>
          <w:p>
            <w:pPr>
              <w:spacing w:line="440" w:lineRule="exact"/>
              <w:jc w:val="center"/>
              <w:rPr>
                <w:rFonts w:ascii="宋体" w:hAnsi="宋体"/>
                <w:sz w:val="24"/>
              </w:rPr>
            </w:pPr>
          </w:p>
        </w:tc>
        <w:tc>
          <w:tcPr>
            <w:tcW w:w="709" w:type="dxa"/>
            <w:vAlign w:val="center"/>
          </w:tcPr>
          <w:p>
            <w:pPr>
              <w:tabs>
                <w:tab w:val="left" w:pos="1337"/>
              </w:tabs>
              <w:spacing w:line="440" w:lineRule="exact"/>
              <w:ind w:left="13" w:leftChars="6"/>
              <w:jc w:val="center"/>
              <w:rPr>
                <w:rFonts w:ascii="宋体" w:hAnsi="宋体"/>
                <w:sz w:val="24"/>
              </w:rPr>
            </w:pPr>
          </w:p>
        </w:tc>
        <w:tc>
          <w:tcPr>
            <w:tcW w:w="709" w:type="dxa"/>
            <w:vAlign w:val="center"/>
          </w:tcPr>
          <w:p>
            <w:pPr>
              <w:tabs>
                <w:tab w:val="left" w:pos="1337"/>
              </w:tabs>
              <w:ind w:left="13" w:leftChars="6"/>
              <w:jc w:val="center"/>
              <w:rPr>
                <w:rFonts w:ascii="宋体" w:hAnsi="宋体"/>
                <w:sz w:val="24"/>
              </w:rPr>
            </w:pPr>
          </w:p>
        </w:tc>
        <w:tc>
          <w:tcPr>
            <w:tcW w:w="895" w:type="dxa"/>
            <w:vAlign w:val="center"/>
          </w:tcPr>
          <w:p>
            <w:pPr>
              <w:rPr>
                <w:rFonts w:ascii="宋体" w:hAnsi="宋体"/>
                <w:sz w:val="24"/>
              </w:rPr>
            </w:pPr>
          </w:p>
        </w:tc>
        <w:tc>
          <w:tcPr>
            <w:tcW w:w="851" w:type="dxa"/>
            <w:vAlign w:val="center"/>
          </w:tcPr>
          <w:p>
            <w:pPr>
              <w:rPr>
                <w:rFonts w:ascii="宋体" w:hAnsi="宋体"/>
                <w:sz w:val="24"/>
              </w:rPr>
            </w:pPr>
          </w:p>
        </w:tc>
        <w:tc>
          <w:tcPr>
            <w:tcW w:w="907" w:type="dxa"/>
            <w:vAlign w:val="center"/>
          </w:tcPr>
          <w:p>
            <w:pPr>
              <w:tabs>
                <w:tab w:val="left" w:pos="1337"/>
              </w:tabs>
              <w:ind w:left="13" w:leftChars="6"/>
              <w:jc w:val="center"/>
              <w:rPr>
                <w:rFonts w:ascii="宋体" w:hAnsi="宋体"/>
                <w:sz w:val="24"/>
              </w:rPr>
            </w:pPr>
          </w:p>
        </w:tc>
        <w:tc>
          <w:tcPr>
            <w:tcW w:w="751" w:type="dxa"/>
            <w:vAlign w:val="center"/>
          </w:tcPr>
          <w:p>
            <w:pPr>
              <w:tabs>
                <w:tab w:val="left" w:pos="1337"/>
              </w:tabs>
              <w:ind w:left="13" w:leftChars="6"/>
              <w:jc w:val="center"/>
              <w:rPr>
                <w:rFonts w:ascii="宋体" w:hAnsi="宋体"/>
                <w:sz w:val="24"/>
              </w:rPr>
            </w:pPr>
          </w:p>
        </w:tc>
        <w:tc>
          <w:tcPr>
            <w:tcW w:w="1557" w:type="dxa"/>
            <w:vAlign w:val="center"/>
          </w:tcPr>
          <w:p>
            <w:pPr>
              <w:tabs>
                <w:tab w:val="left" w:pos="1337"/>
              </w:tabs>
              <w:ind w:left="13" w:leftChars="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34" w:type="dxa"/>
            <w:vAlign w:val="center"/>
          </w:tcPr>
          <w:p>
            <w:pPr>
              <w:spacing w:line="440" w:lineRule="exact"/>
              <w:jc w:val="center"/>
              <w:rPr>
                <w:rFonts w:ascii="宋体" w:hAnsi="宋体"/>
                <w:sz w:val="24"/>
              </w:rPr>
            </w:pPr>
            <w:r>
              <w:rPr>
                <w:rFonts w:ascii="宋体" w:hAnsi="宋体"/>
                <w:sz w:val="24"/>
              </w:rPr>
              <w:t>3</w:t>
            </w:r>
          </w:p>
        </w:tc>
        <w:tc>
          <w:tcPr>
            <w:tcW w:w="1417" w:type="dxa"/>
            <w:vAlign w:val="center"/>
          </w:tcPr>
          <w:p>
            <w:pPr>
              <w:spacing w:line="440" w:lineRule="exact"/>
              <w:jc w:val="center"/>
              <w:rPr>
                <w:rFonts w:ascii="宋体" w:hAnsi="宋体"/>
                <w:sz w:val="24"/>
              </w:rPr>
            </w:pPr>
          </w:p>
        </w:tc>
        <w:tc>
          <w:tcPr>
            <w:tcW w:w="1559" w:type="dxa"/>
            <w:vAlign w:val="center"/>
          </w:tcPr>
          <w:p>
            <w:pPr>
              <w:spacing w:line="440" w:lineRule="exact"/>
              <w:jc w:val="center"/>
              <w:rPr>
                <w:rFonts w:ascii="宋体" w:hAnsi="宋体"/>
                <w:sz w:val="24"/>
              </w:rPr>
            </w:pPr>
          </w:p>
        </w:tc>
        <w:tc>
          <w:tcPr>
            <w:tcW w:w="709" w:type="dxa"/>
            <w:vAlign w:val="center"/>
          </w:tcPr>
          <w:p>
            <w:pPr>
              <w:tabs>
                <w:tab w:val="left" w:pos="1337"/>
              </w:tabs>
              <w:spacing w:line="440" w:lineRule="exact"/>
              <w:ind w:left="13" w:leftChars="6"/>
              <w:jc w:val="center"/>
              <w:rPr>
                <w:rFonts w:ascii="宋体" w:hAnsi="宋体"/>
                <w:sz w:val="24"/>
              </w:rPr>
            </w:pPr>
          </w:p>
        </w:tc>
        <w:tc>
          <w:tcPr>
            <w:tcW w:w="709" w:type="dxa"/>
            <w:vAlign w:val="center"/>
          </w:tcPr>
          <w:p>
            <w:pPr>
              <w:tabs>
                <w:tab w:val="left" w:pos="1337"/>
              </w:tabs>
              <w:ind w:left="13" w:leftChars="6"/>
              <w:jc w:val="center"/>
              <w:rPr>
                <w:rFonts w:ascii="宋体" w:hAnsi="宋体"/>
                <w:sz w:val="24"/>
              </w:rPr>
            </w:pPr>
          </w:p>
        </w:tc>
        <w:tc>
          <w:tcPr>
            <w:tcW w:w="895" w:type="dxa"/>
            <w:vAlign w:val="center"/>
          </w:tcPr>
          <w:p>
            <w:pPr>
              <w:tabs>
                <w:tab w:val="left" w:pos="1337"/>
              </w:tabs>
              <w:ind w:left="13" w:leftChars="6"/>
              <w:jc w:val="center"/>
              <w:rPr>
                <w:rFonts w:ascii="宋体" w:hAnsi="宋体"/>
                <w:sz w:val="24"/>
              </w:rPr>
            </w:pPr>
          </w:p>
        </w:tc>
        <w:tc>
          <w:tcPr>
            <w:tcW w:w="851" w:type="dxa"/>
            <w:vAlign w:val="center"/>
          </w:tcPr>
          <w:p>
            <w:pPr>
              <w:tabs>
                <w:tab w:val="left" w:pos="1337"/>
              </w:tabs>
              <w:ind w:left="13" w:leftChars="6"/>
              <w:jc w:val="center"/>
              <w:rPr>
                <w:rFonts w:ascii="宋体" w:hAnsi="宋体"/>
                <w:sz w:val="24"/>
              </w:rPr>
            </w:pPr>
          </w:p>
        </w:tc>
        <w:tc>
          <w:tcPr>
            <w:tcW w:w="907" w:type="dxa"/>
            <w:vAlign w:val="center"/>
          </w:tcPr>
          <w:p>
            <w:pPr>
              <w:tabs>
                <w:tab w:val="left" w:pos="1337"/>
              </w:tabs>
              <w:ind w:left="13" w:leftChars="6"/>
              <w:jc w:val="center"/>
              <w:rPr>
                <w:rFonts w:ascii="宋体" w:hAnsi="宋体"/>
                <w:sz w:val="24"/>
              </w:rPr>
            </w:pPr>
          </w:p>
        </w:tc>
        <w:tc>
          <w:tcPr>
            <w:tcW w:w="751" w:type="dxa"/>
            <w:vAlign w:val="center"/>
          </w:tcPr>
          <w:p>
            <w:pPr>
              <w:tabs>
                <w:tab w:val="left" w:pos="1337"/>
              </w:tabs>
              <w:ind w:left="13" w:leftChars="6"/>
              <w:jc w:val="center"/>
              <w:rPr>
                <w:rFonts w:ascii="宋体" w:hAnsi="宋体"/>
                <w:sz w:val="24"/>
              </w:rPr>
            </w:pPr>
          </w:p>
        </w:tc>
        <w:tc>
          <w:tcPr>
            <w:tcW w:w="1557" w:type="dxa"/>
            <w:vAlign w:val="center"/>
          </w:tcPr>
          <w:p>
            <w:pPr>
              <w:tabs>
                <w:tab w:val="left" w:pos="1337"/>
              </w:tabs>
              <w:ind w:left="13" w:leftChars="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trPr>
        <w:tc>
          <w:tcPr>
            <w:tcW w:w="534" w:type="dxa"/>
            <w:vAlign w:val="center"/>
          </w:tcPr>
          <w:p>
            <w:pPr>
              <w:spacing w:line="440" w:lineRule="exact"/>
              <w:jc w:val="center"/>
              <w:rPr>
                <w:rFonts w:ascii="宋体" w:hAnsi="宋体"/>
                <w:sz w:val="24"/>
              </w:rPr>
            </w:pPr>
            <w:r>
              <w:rPr>
                <w:rFonts w:ascii="宋体" w:hAnsi="宋体"/>
                <w:sz w:val="24"/>
              </w:rPr>
              <w:t>4</w:t>
            </w:r>
          </w:p>
        </w:tc>
        <w:tc>
          <w:tcPr>
            <w:tcW w:w="1417" w:type="dxa"/>
            <w:vAlign w:val="center"/>
          </w:tcPr>
          <w:p>
            <w:pPr>
              <w:spacing w:line="440" w:lineRule="exact"/>
              <w:jc w:val="center"/>
              <w:rPr>
                <w:rFonts w:ascii="宋体" w:hAnsi="宋体"/>
                <w:sz w:val="24"/>
              </w:rPr>
            </w:pPr>
          </w:p>
        </w:tc>
        <w:tc>
          <w:tcPr>
            <w:tcW w:w="1559" w:type="dxa"/>
            <w:vAlign w:val="center"/>
          </w:tcPr>
          <w:p>
            <w:pPr>
              <w:spacing w:line="440" w:lineRule="exact"/>
              <w:jc w:val="center"/>
              <w:rPr>
                <w:rFonts w:ascii="宋体" w:hAnsi="宋体"/>
                <w:sz w:val="24"/>
              </w:rPr>
            </w:pPr>
          </w:p>
        </w:tc>
        <w:tc>
          <w:tcPr>
            <w:tcW w:w="709" w:type="dxa"/>
            <w:vAlign w:val="center"/>
          </w:tcPr>
          <w:p>
            <w:pPr>
              <w:tabs>
                <w:tab w:val="left" w:pos="1337"/>
              </w:tabs>
              <w:spacing w:line="440" w:lineRule="exact"/>
              <w:ind w:left="13" w:leftChars="6"/>
              <w:jc w:val="center"/>
              <w:rPr>
                <w:rFonts w:ascii="宋体" w:hAnsi="宋体"/>
                <w:sz w:val="24"/>
              </w:rPr>
            </w:pPr>
          </w:p>
        </w:tc>
        <w:tc>
          <w:tcPr>
            <w:tcW w:w="709" w:type="dxa"/>
            <w:vAlign w:val="center"/>
          </w:tcPr>
          <w:p>
            <w:pPr>
              <w:tabs>
                <w:tab w:val="left" w:pos="1337"/>
              </w:tabs>
              <w:ind w:left="13" w:leftChars="6"/>
              <w:jc w:val="center"/>
              <w:rPr>
                <w:rFonts w:ascii="宋体" w:hAnsi="宋体"/>
                <w:sz w:val="24"/>
              </w:rPr>
            </w:pPr>
          </w:p>
        </w:tc>
        <w:tc>
          <w:tcPr>
            <w:tcW w:w="895" w:type="dxa"/>
            <w:vAlign w:val="center"/>
          </w:tcPr>
          <w:p>
            <w:pPr>
              <w:rPr>
                <w:rFonts w:ascii="宋体" w:hAnsi="宋体"/>
                <w:sz w:val="24"/>
              </w:rPr>
            </w:pPr>
          </w:p>
        </w:tc>
        <w:tc>
          <w:tcPr>
            <w:tcW w:w="851" w:type="dxa"/>
            <w:vAlign w:val="center"/>
          </w:tcPr>
          <w:p>
            <w:pPr>
              <w:rPr>
                <w:rFonts w:ascii="宋体" w:hAnsi="宋体"/>
                <w:sz w:val="24"/>
              </w:rPr>
            </w:pPr>
          </w:p>
        </w:tc>
        <w:tc>
          <w:tcPr>
            <w:tcW w:w="907" w:type="dxa"/>
            <w:vAlign w:val="center"/>
          </w:tcPr>
          <w:p>
            <w:pPr>
              <w:tabs>
                <w:tab w:val="left" w:pos="1337"/>
              </w:tabs>
              <w:ind w:left="13" w:leftChars="6"/>
              <w:jc w:val="center"/>
              <w:rPr>
                <w:rFonts w:ascii="宋体" w:hAnsi="宋体"/>
                <w:sz w:val="24"/>
              </w:rPr>
            </w:pPr>
          </w:p>
        </w:tc>
        <w:tc>
          <w:tcPr>
            <w:tcW w:w="751" w:type="dxa"/>
            <w:vAlign w:val="center"/>
          </w:tcPr>
          <w:p>
            <w:pPr>
              <w:tabs>
                <w:tab w:val="left" w:pos="1337"/>
              </w:tabs>
              <w:ind w:left="13" w:leftChars="6"/>
              <w:jc w:val="center"/>
              <w:rPr>
                <w:rFonts w:ascii="宋体" w:hAnsi="宋体"/>
                <w:sz w:val="24"/>
              </w:rPr>
            </w:pPr>
          </w:p>
        </w:tc>
        <w:tc>
          <w:tcPr>
            <w:tcW w:w="1557" w:type="dxa"/>
            <w:vAlign w:val="center"/>
          </w:tcPr>
          <w:p>
            <w:pPr>
              <w:tabs>
                <w:tab w:val="left" w:pos="1337"/>
              </w:tabs>
              <w:ind w:left="13" w:leftChars="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34" w:type="dxa"/>
            <w:vAlign w:val="center"/>
          </w:tcPr>
          <w:p>
            <w:pPr>
              <w:spacing w:line="440" w:lineRule="exact"/>
              <w:jc w:val="center"/>
              <w:rPr>
                <w:rFonts w:ascii="宋体" w:hAnsi="宋体"/>
                <w:sz w:val="24"/>
              </w:rPr>
            </w:pPr>
            <w:r>
              <w:rPr>
                <w:rFonts w:ascii="宋体" w:hAnsi="宋体"/>
                <w:sz w:val="24"/>
              </w:rPr>
              <w:t>5</w:t>
            </w:r>
          </w:p>
        </w:tc>
        <w:tc>
          <w:tcPr>
            <w:tcW w:w="1417" w:type="dxa"/>
            <w:vAlign w:val="center"/>
          </w:tcPr>
          <w:p>
            <w:pPr>
              <w:spacing w:line="440" w:lineRule="exact"/>
              <w:jc w:val="center"/>
              <w:rPr>
                <w:rFonts w:ascii="宋体" w:hAnsi="宋体"/>
                <w:sz w:val="24"/>
              </w:rPr>
            </w:pPr>
          </w:p>
        </w:tc>
        <w:tc>
          <w:tcPr>
            <w:tcW w:w="1559" w:type="dxa"/>
            <w:vAlign w:val="center"/>
          </w:tcPr>
          <w:p>
            <w:pPr>
              <w:spacing w:line="440" w:lineRule="exact"/>
              <w:jc w:val="center"/>
              <w:rPr>
                <w:rFonts w:ascii="宋体" w:hAnsi="宋体"/>
                <w:sz w:val="24"/>
              </w:rPr>
            </w:pPr>
          </w:p>
        </w:tc>
        <w:tc>
          <w:tcPr>
            <w:tcW w:w="709" w:type="dxa"/>
            <w:vAlign w:val="center"/>
          </w:tcPr>
          <w:p>
            <w:pPr>
              <w:spacing w:line="440" w:lineRule="exact"/>
              <w:jc w:val="center"/>
              <w:rPr>
                <w:rFonts w:ascii="宋体" w:hAnsi="宋体"/>
                <w:sz w:val="24"/>
              </w:rPr>
            </w:pPr>
          </w:p>
        </w:tc>
        <w:tc>
          <w:tcPr>
            <w:tcW w:w="709" w:type="dxa"/>
            <w:vAlign w:val="center"/>
          </w:tcPr>
          <w:p>
            <w:pPr>
              <w:spacing w:line="440" w:lineRule="exact"/>
              <w:jc w:val="center"/>
              <w:rPr>
                <w:rFonts w:ascii="宋体" w:hAnsi="宋体"/>
                <w:sz w:val="24"/>
              </w:rPr>
            </w:pPr>
          </w:p>
        </w:tc>
        <w:tc>
          <w:tcPr>
            <w:tcW w:w="895" w:type="dxa"/>
            <w:vAlign w:val="center"/>
          </w:tcPr>
          <w:p>
            <w:pPr>
              <w:spacing w:line="440" w:lineRule="exact"/>
              <w:jc w:val="center"/>
              <w:rPr>
                <w:rFonts w:ascii="宋体" w:hAnsi="宋体"/>
                <w:sz w:val="24"/>
              </w:rPr>
            </w:pPr>
          </w:p>
        </w:tc>
        <w:tc>
          <w:tcPr>
            <w:tcW w:w="851" w:type="dxa"/>
            <w:vAlign w:val="center"/>
          </w:tcPr>
          <w:p>
            <w:pPr>
              <w:spacing w:line="440" w:lineRule="exact"/>
              <w:jc w:val="center"/>
              <w:rPr>
                <w:rFonts w:ascii="宋体" w:hAnsi="宋体"/>
                <w:sz w:val="24"/>
              </w:rPr>
            </w:pPr>
          </w:p>
        </w:tc>
        <w:tc>
          <w:tcPr>
            <w:tcW w:w="907" w:type="dxa"/>
            <w:vAlign w:val="center"/>
          </w:tcPr>
          <w:p>
            <w:pPr>
              <w:spacing w:line="440" w:lineRule="exact"/>
              <w:jc w:val="center"/>
              <w:rPr>
                <w:rFonts w:ascii="宋体" w:hAnsi="宋体"/>
                <w:sz w:val="24"/>
              </w:rPr>
            </w:pPr>
          </w:p>
        </w:tc>
        <w:tc>
          <w:tcPr>
            <w:tcW w:w="751" w:type="dxa"/>
            <w:vAlign w:val="center"/>
          </w:tcPr>
          <w:p>
            <w:pPr>
              <w:spacing w:line="440" w:lineRule="exact"/>
              <w:jc w:val="center"/>
              <w:rPr>
                <w:rFonts w:ascii="宋体" w:hAnsi="宋体"/>
                <w:sz w:val="24"/>
              </w:rPr>
            </w:pPr>
          </w:p>
        </w:tc>
        <w:tc>
          <w:tcPr>
            <w:tcW w:w="1557" w:type="dxa"/>
            <w:vAlign w:val="center"/>
          </w:tcPr>
          <w:p>
            <w:pPr>
              <w:spacing w:line="44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7" w:hRule="atLeast"/>
        </w:trPr>
        <w:tc>
          <w:tcPr>
            <w:tcW w:w="534" w:type="dxa"/>
            <w:vAlign w:val="center"/>
          </w:tcPr>
          <w:p>
            <w:pPr>
              <w:spacing w:line="440" w:lineRule="exact"/>
              <w:jc w:val="center"/>
              <w:rPr>
                <w:rFonts w:ascii="宋体" w:hAnsi="宋体"/>
                <w:sz w:val="24"/>
              </w:rPr>
            </w:pPr>
            <w:r>
              <w:rPr>
                <w:rFonts w:hint="eastAsia" w:ascii="宋体" w:hAnsi="宋体"/>
                <w:sz w:val="24"/>
              </w:rPr>
              <w:t>…</w:t>
            </w:r>
          </w:p>
        </w:tc>
        <w:tc>
          <w:tcPr>
            <w:tcW w:w="1417" w:type="dxa"/>
            <w:vAlign w:val="center"/>
          </w:tcPr>
          <w:p>
            <w:pPr>
              <w:spacing w:line="440" w:lineRule="exact"/>
              <w:jc w:val="center"/>
              <w:rPr>
                <w:rFonts w:ascii="宋体" w:hAnsi="宋体"/>
                <w:sz w:val="24"/>
              </w:rPr>
            </w:pPr>
          </w:p>
        </w:tc>
        <w:tc>
          <w:tcPr>
            <w:tcW w:w="1559" w:type="dxa"/>
            <w:vAlign w:val="center"/>
          </w:tcPr>
          <w:p>
            <w:pPr>
              <w:spacing w:line="560" w:lineRule="exact"/>
              <w:jc w:val="center"/>
              <w:rPr>
                <w:rFonts w:ascii="宋体" w:hAnsi="宋体"/>
                <w:sz w:val="24"/>
              </w:rPr>
            </w:pPr>
          </w:p>
        </w:tc>
        <w:tc>
          <w:tcPr>
            <w:tcW w:w="709" w:type="dxa"/>
            <w:vAlign w:val="center"/>
          </w:tcPr>
          <w:p>
            <w:pPr>
              <w:tabs>
                <w:tab w:val="left" w:pos="1337"/>
              </w:tabs>
              <w:ind w:left="13" w:leftChars="6"/>
              <w:jc w:val="center"/>
              <w:rPr>
                <w:rFonts w:ascii="宋体" w:hAnsi="宋体"/>
                <w:sz w:val="24"/>
              </w:rPr>
            </w:pPr>
          </w:p>
        </w:tc>
        <w:tc>
          <w:tcPr>
            <w:tcW w:w="709" w:type="dxa"/>
            <w:vAlign w:val="center"/>
          </w:tcPr>
          <w:p>
            <w:pPr>
              <w:tabs>
                <w:tab w:val="left" w:pos="1337"/>
              </w:tabs>
              <w:ind w:left="13" w:leftChars="6"/>
              <w:jc w:val="center"/>
              <w:rPr>
                <w:rFonts w:ascii="宋体" w:hAnsi="宋体"/>
                <w:sz w:val="24"/>
              </w:rPr>
            </w:pPr>
          </w:p>
        </w:tc>
        <w:tc>
          <w:tcPr>
            <w:tcW w:w="895" w:type="dxa"/>
            <w:vAlign w:val="center"/>
          </w:tcPr>
          <w:p>
            <w:pPr>
              <w:tabs>
                <w:tab w:val="left" w:pos="1337"/>
              </w:tabs>
              <w:ind w:left="13" w:leftChars="6"/>
              <w:jc w:val="center"/>
              <w:rPr>
                <w:rFonts w:ascii="宋体" w:hAnsi="宋体"/>
                <w:sz w:val="24"/>
              </w:rPr>
            </w:pPr>
          </w:p>
        </w:tc>
        <w:tc>
          <w:tcPr>
            <w:tcW w:w="851" w:type="dxa"/>
            <w:vAlign w:val="center"/>
          </w:tcPr>
          <w:p>
            <w:pPr>
              <w:tabs>
                <w:tab w:val="left" w:pos="1337"/>
              </w:tabs>
              <w:ind w:left="13" w:leftChars="6"/>
              <w:jc w:val="center"/>
              <w:rPr>
                <w:rFonts w:ascii="宋体" w:hAnsi="宋体"/>
                <w:sz w:val="24"/>
              </w:rPr>
            </w:pPr>
          </w:p>
        </w:tc>
        <w:tc>
          <w:tcPr>
            <w:tcW w:w="907" w:type="dxa"/>
            <w:vAlign w:val="center"/>
          </w:tcPr>
          <w:p>
            <w:pPr>
              <w:tabs>
                <w:tab w:val="left" w:pos="1337"/>
              </w:tabs>
              <w:ind w:left="13" w:leftChars="6"/>
              <w:jc w:val="center"/>
              <w:rPr>
                <w:rFonts w:ascii="宋体" w:hAnsi="宋体"/>
                <w:sz w:val="24"/>
              </w:rPr>
            </w:pPr>
          </w:p>
        </w:tc>
        <w:tc>
          <w:tcPr>
            <w:tcW w:w="751" w:type="dxa"/>
            <w:vAlign w:val="center"/>
          </w:tcPr>
          <w:p>
            <w:pPr>
              <w:tabs>
                <w:tab w:val="left" w:pos="1337"/>
              </w:tabs>
              <w:ind w:left="13" w:leftChars="6"/>
              <w:jc w:val="center"/>
              <w:rPr>
                <w:rFonts w:ascii="宋体" w:hAnsi="宋体"/>
                <w:sz w:val="24"/>
              </w:rPr>
            </w:pPr>
          </w:p>
        </w:tc>
        <w:tc>
          <w:tcPr>
            <w:tcW w:w="1557" w:type="dxa"/>
            <w:vAlign w:val="center"/>
          </w:tcPr>
          <w:p>
            <w:pPr>
              <w:tabs>
                <w:tab w:val="left" w:pos="1337"/>
              </w:tabs>
              <w:ind w:left="13" w:leftChars="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4" w:hRule="atLeast"/>
        </w:trPr>
        <w:tc>
          <w:tcPr>
            <w:tcW w:w="5823" w:type="dxa"/>
            <w:gridSpan w:val="6"/>
            <w:vAlign w:val="center"/>
          </w:tcPr>
          <w:p>
            <w:pPr>
              <w:tabs>
                <w:tab w:val="left" w:pos="1337"/>
              </w:tabs>
              <w:ind w:left="13" w:leftChars="6"/>
              <w:jc w:val="center"/>
              <w:rPr>
                <w:rFonts w:ascii="宋体" w:hAnsi="宋体"/>
                <w:b/>
                <w:sz w:val="24"/>
              </w:rPr>
            </w:pPr>
            <w:r>
              <w:rPr>
                <w:rFonts w:hint="eastAsia" w:ascii="宋体" w:hAnsi="宋体"/>
                <w:b/>
                <w:sz w:val="24"/>
              </w:rPr>
              <w:t>投标总价</w:t>
            </w:r>
          </w:p>
        </w:tc>
        <w:tc>
          <w:tcPr>
            <w:tcW w:w="4066" w:type="dxa"/>
            <w:gridSpan w:val="4"/>
            <w:vAlign w:val="center"/>
          </w:tcPr>
          <w:p>
            <w:pPr>
              <w:tabs>
                <w:tab w:val="left" w:pos="1337"/>
              </w:tabs>
              <w:ind w:left="13" w:leftChars="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5823" w:type="dxa"/>
            <w:gridSpan w:val="6"/>
            <w:vAlign w:val="center"/>
          </w:tcPr>
          <w:p>
            <w:pPr>
              <w:tabs>
                <w:tab w:val="left" w:pos="1337"/>
              </w:tabs>
              <w:ind w:left="13" w:leftChars="6"/>
              <w:jc w:val="center"/>
              <w:rPr>
                <w:rFonts w:ascii="宋体" w:hAnsi="宋体"/>
                <w:b/>
                <w:sz w:val="24"/>
              </w:rPr>
            </w:pPr>
            <w:r>
              <w:rPr>
                <w:rFonts w:hint="eastAsia" w:ascii="宋体" w:hAnsi="宋体"/>
                <w:b/>
                <w:sz w:val="24"/>
              </w:rPr>
              <w:t>其中：1）环境标志产品报价合计</w:t>
            </w:r>
          </w:p>
        </w:tc>
        <w:tc>
          <w:tcPr>
            <w:tcW w:w="4066" w:type="dxa"/>
            <w:gridSpan w:val="4"/>
            <w:vAlign w:val="center"/>
          </w:tcPr>
          <w:p>
            <w:pPr>
              <w:tabs>
                <w:tab w:val="left" w:pos="1337"/>
              </w:tabs>
              <w:ind w:left="13" w:leftChars="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823" w:type="dxa"/>
            <w:gridSpan w:val="6"/>
            <w:vAlign w:val="center"/>
          </w:tcPr>
          <w:p>
            <w:pPr>
              <w:tabs>
                <w:tab w:val="left" w:pos="1337"/>
              </w:tabs>
              <w:ind w:left="13" w:leftChars="6"/>
              <w:jc w:val="center"/>
              <w:rPr>
                <w:rFonts w:ascii="宋体" w:hAnsi="宋体"/>
                <w:b/>
                <w:sz w:val="24"/>
              </w:rPr>
            </w:pPr>
            <w:r>
              <w:rPr>
                <w:rFonts w:hint="eastAsia" w:ascii="宋体" w:hAnsi="宋体"/>
                <w:b/>
                <w:sz w:val="24"/>
              </w:rPr>
              <w:t>2）节能产品报价合计</w:t>
            </w:r>
          </w:p>
        </w:tc>
        <w:tc>
          <w:tcPr>
            <w:tcW w:w="4066" w:type="dxa"/>
            <w:gridSpan w:val="4"/>
            <w:vAlign w:val="center"/>
          </w:tcPr>
          <w:p>
            <w:pPr>
              <w:tabs>
                <w:tab w:val="left" w:pos="1337"/>
              </w:tabs>
              <w:ind w:left="13" w:leftChars="6"/>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5823" w:type="dxa"/>
            <w:gridSpan w:val="6"/>
            <w:vAlign w:val="center"/>
          </w:tcPr>
          <w:p>
            <w:pPr>
              <w:tabs>
                <w:tab w:val="left" w:pos="1337"/>
              </w:tabs>
              <w:ind w:left="13" w:leftChars="6"/>
              <w:jc w:val="center"/>
              <w:rPr>
                <w:rFonts w:ascii="宋体" w:hAnsi="宋体"/>
                <w:b/>
                <w:sz w:val="24"/>
              </w:rPr>
            </w:pPr>
            <w:r>
              <w:rPr>
                <w:rFonts w:hint="eastAsia" w:ascii="宋体" w:hAnsi="宋体"/>
                <w:b/>
                <w:sz w:val="24"/>
              </w:rPr>
              <w:t>3）</w:t>
            </w:r>
            <w:r>
              <w:rPr>
                <w:rFonts w:hint="eastAsia" w:ascii="宋体" w:hAnsi="宋体"/>
                <w:b/>
                <w:bCs/>
                <w:sz w:val="24"/>
              </w:rPr>
              <w:t>小微型企业产品</w:t>
            </w:r>
            <w:r>
              <w:rPr>
                <w:rFonts w:hint="eastAsia" w:ascii="宋体" w:hAnsi="宋体"/>
                <w:b/>
                <w:sz w:val="24"/>
              </w:rPr>
              <w:t>报价合计</w:t>
            </w:r>
          </w:p>
        </w:tc>
        <w:tc>
          <w:tcPr>
            <w:tcW w:w="4066" w:type="dxa"/>
            <w:gridSpan w:val="4"/>
            <w:vAlign w:val="center"/>
          </w:tcPr>
          <w:p>
            <w:pPr>
              <w:tabs>
                <w:tab w:val="left" w:pos="1337"/>
              </w:tabs>
              <w:ind w:left="13" w:leftChars="6"/>
              <w:jc w:val="center"/>
              <w:rPr>
                <w:rFonts w:ascii="宋体" w:hAnsi="宋体"/>
                <w:sz w:val="24"/>
              </w:rPr>
            </w:pPr>
          </w:p>
        </w:tc>
      </w:tr>
    </w:tbl>
    <w:p>
      <w:pPr>
        <w:spacing w:line="360" w:lineRule="exact"/>
        <w:ind w:right="187"/>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、若该包内包含多种设备，则需将各设备报价明细按此表要求逐一填报。</w:t>
      </w:r>
    </w:p>
    <w:p>
      <w:pPr>
        <w:spacing w:line="360" w:lineRule="exact"/>
        <w:ind w:right="187"/>
        <w:rPr>
          <w:rFonts w:ascii="宋体" w:hAnsi="宋体"/>
          <w:b/>
          <w:sz w:val="24"/>
        </w:rPr>
      </w:pPr>
      <w:r>
        <w:rPr>
          <w:rFonts w:ascii="宋体" w:hAnsi="宋体"/>
          <w:b/>
          <w:sz w:val="24"/>
        </w:rPr>
        <w:t>2</w:t>
      </w:r>
      <w:r>
        <w:rPr>
          <w:rFonts w:hint="eastAsia" w:ascii="宋体" w:hAnsi="宋体"/>
          <w:b/>
          <w:sz w:val="24"/>
        </w:rPr>
        <w:t>、上述合计报价必须与开标一览表的总报价一致。</w:t>
      </w:r>
    </w:p>
    <w:p>
      <w:pPr>
        <w:spacing w:line="360" w:lineRule="exact"/>
        <w:ind w:right="187"/>
        <w:rPr>
          <w:rFonts w:ascii="宋体" w:hAnsi="宋体"/>
          <w:sz w:val="24"/>
        </w:rPr>
      </w:pPr>
      <w:r>
        <w:rPr>
          <w:rFonts w:hint="eastAsia" w:ascii="宋体" w:hAnsi="宋体"/>
          <w:sz w:val="24"/>
        </w:rPr>
        <w:t>3、所报产品属于</w:t>
      </w:r>
      <w:r>
        <w:rPr>
          <w:rFonts w:hint="eastAsia" w:ascii="宋体" w:hAnsi="宋体" w:cs="宋体"/>
          <w:kern w:val="0"/>
          <w:sz w:val="24"/>
        </w:rPr>
        <w:t>《环境标志产品政府采购品目清单》（财库〔2019〕18号）、《节能产品政府采购品目清单》（财库〔2019〕19号）</w:t>
      </w:r>
      <w:r>
        <w:rPr>
          <w:rFonts w:hint="eastAsia" w:ascii="宋体" w:hAnsi="宋体"/>
          <w:sz w:val="24"/>
        </w:rPr>
        <w:t>内的品目，应附《</w:t>
      </w:r>
      <w:r>
        <w:rPr>
          <w:rFonts w:hint="eastAsia" w:ascii="宋体" w:hAnsi="宋体" w:cs="宋体"/>
          <w:b/>
          <w:kern w:val="0"/>
          <w:sz w:val="24"/>
        </w:rPr>
        <w:t>国家节能产品认证证书》或《中国环境标志产品认证证书》，否则，在评审时不执行政府采购政策。</w:t>
      </w: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w:t>
      </w:r>
    </w:p>
    <w:p>
      <w:pPr>
        <w:pStyle w:val="31"/>
        <w:wordWrap w:val="0"/>
        <w:spacing w:line="240" w:lineRule="auto"/>
        <w:ind w:left="0" w:leftChars="0" w:firstLine="0" w:firstLineChars="0"/>
        <w:jc w:val="right"/>
        <w:rPr>
          <w:rFonts w:ascii="宋体" w:hAnsi="宋体"/>
          <w:bCs/>
        </w:rPr>
      </w:pPr>
      <w:r>
        <w:rPr>
          <w:rFonts w:hint="eastAsia" w:ascii="宋体" w:hAnsi="宋体"/>
          <w:bCs/>
        </w:rPr>
        <w:t>年  月  日</w:t>
      </w:r>
    </w:p>
    <w:p>
      <w:pPr>
        <w:pStyle w:val="31"/>
        <w:spacing w:line="240" w:lineRule="auto"/>
        <w:ind w:left="0" w:leftChars="0" w:firstLine="0" w:firstLineChars="0"/>
        <w:jc w:val="right"/>
        <w:rPr>
          <w:rFonts w:ascii="宋体" w:hAnsi="宋体"/>
          <w:bCs/>
        </w:rPr>
      </w:pPr>
    </w:p>
    <w:p>
      <w:pPr>
        <w:pStyle w:val="31"/>
        <w:spacing w:line="240" w:lineRule="auto"/>
        <w:ind w:left="0" w:leftChars="0" w:firstLine="0" w:firstLineChars="0"/>
        <w:jc w:val="right"/>
        <w:rPr>
          <w:rFonts w:ascii="宋体" w:hAnsi="宋体"/>
          <w:bCs/>
        </w:rPr>
        <w:sectPr>
          <w:pgSz w:w="11907" w:h="16840"/>
          <w:pgMar w:top="1418" w:right="1418" w:bottom="1418" w:left="1418" w:header="851" w:footer="851" w:gutter="0"/>
          <w:cols w:space="720" w:num="1"/>
          <w:docGrid w:linePitch="290" w:charSpace="-3931"/>
        </w:sectPr>
      </w:pPr>
    </w:p>
    <w:p>
      <w:pPr>
        <w:pStyle w:val="5"/>
        <w:spacing w:before="120" w:after="120" w:line="360" w:lineRule="exact"/>
        <w:rPr>
          <w:rFonts w:ascii="宋体" w:hAnsi="宋体"/>
          <w:b w:val="0"/>
          <w:bCs/>
          <w:sz w:val="24"/>
          <w:szCs w:val="21"/>
        </w:rPr>
      </w:pPr>
      <w:bookmarkStart w:id="101" w:name="_Toc11850810"/>
      <w:r>
        <w:rPr>
          <w:rFonts w:hint="eastAsia" w:ascii="宋体" w:hAnsi="宋体"/>
          <w:b w:val="0"/>
          <w:sz w:val="24"/>
          <w:szCs w:val="21"/>
        </w:rPr>
        <w:t>附件五：分项报价表</w:t>
      </w:r>
      <w:bookmarkEnd w:id="101"/>
    </w:p>
    <w:p>
      <w:pPr>
        <w:pStyle w:val="2"/>
        <w:spacing w:after="0" w:line="460" w:lineRule="exact"/>
        <w:jc w:val="center"/>
        <w:rPr>
          <w:rFonts w:ascii="宋体" w:hAnsi="宋体"/>
          <w:b/>
          <w:sz w:val="32"/>
        </w:rPr>
      </w:pPr>
      <w:r>
        <w:rPr>
          <w:rFonts w:hint="eastAsia" w:ascii="宋体" w:hAnsi="宋体"/>
          <w:b/>
          <w:sz w:val="32"/>
        </w:rPr>
        <w:t>分项报价表</w:t>
      </w:r>
    </w:p>
    <w:p>
      <w:pPr>
        <w:pStyle w:val="31"/>
        <w:spacing w:line="360" w:lineRule="exact"/>
        <w:ind w:left="0" w:leftChars="0" w:firstLine="0" w:firstLineChars="0"/>
        <w:rPr>
          <w:rFonts w:ascii="宋体" w:hAnsi="宋体"/>
          <w:bCs/>
        </w:rPr>
      </w:pPr>
      <w:r>
        <w:rPr>
          <w:rFonts w:hint="eastAsia" w:ascii="宋体" w:hAnsi="宋体"/>
          <w:bCs/>
        </w:rPr>
        <w:t>项目编号</w:t>
      </w:r>
      <w:r>
        <w:rPr>
          <w:rFonts w:hint="eastAsia" w:ascii="宋体" w:hAnsi="宋体"/>
          <w:b/>
          <w:bCs/>
        </w:rPr>
        <w:t>：</w:t>
      </w:r>
      <w:r>
        <w:rPr>
          <w:rFonts w:hint="eastAsia" w:ascii="宋体" w:hAnsi="宋体"/>
        </w:rPr>
        <w:t>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pStyle w:val="31"/>
        <w:spacing w:line="360" w:lineRule="exact"/>
        <w:ind w:left="0" w:leftChars="0" w:firstLine="0" w:firstLineChars="0"/>
        <w:rPr>
          <w:rFonts w:ascii="宋体" w:hAnsi="宋体"/>
          <w:b/>
          <w:bCs/>
        </w:rPr>
      </w:pPr>
      <w:r>
        <w:rPr>
          <w:rFonts w:hint="eastAsia" w:ascii="宋体" w:hAnsi="宋体"/>
          <w:bCs/>
        </w:rPr>
        <w:t>货物名称：                                                   单位：元</w:t>
      </w:r>
    </w:p>
    <w:tbl>
      <w:tblPr>
        <w:tblStyle w:val="73"/>
        <w:tblW w:w="9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096"/>
        <w:gridCol w:w="797"/>
        <w:gridCol w:w="856"/>
        <w:gridCol w:w="1253"/>
        <w:gridCol w:w="1072"/>
        <w:gridCol w:w="1085"/>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tblHeader/>
        </w:trPr>
        <w:tc>
          <w:tcPr>
            <w:tcW w:w="817" w:type="dxa"/>
            <w:vAlign w:val="center"/>
          </w:tcPr>
          <w:p>
            <w:pPr>
              <w:jc w:val="center"/>
              <w:rPr>
                <w:rFonts w:ascii="宋体" w:hAnsi="宋体"/>
                <w:b/>
                <w:sz w:val="24"/>
              </w:rPr>
            </w:pPr>
            <w:r>
              <w:rPr>
                <w:rFonts w:hint="eastAsia" w:ascii="宋体" w:hAnsi="宋体"/>
                <w:b/>
                <w:sz w:val="24"/>
              </w:rPr>
              <w:t>序号</w:t>
            </w:r>
          </w:p>
        </w:tc>
        <w:tc>
          <w:tcPr>
            <w:tcW w:w="2096" w:type="dxa"/>
            <w:vAlign w:val="center"/>
          </w:tcPr>
          <w:p>
            <w:pPr>
              <w:jc w:val="center"/>
              <w:rPr>
                <w:rFonts w:ascii="宋体" w:hAnsi="宋体"/>
                <w:b/>
                <w:sz w:val="24"/>
              </w:rPr>
            </w:pPr>
            <w:r>
              <w:rPr>
                <w:rFonts w:hint="eastAsia" w:ascii="宋体" w:hAnsi="宋体"/>
                <w:b/>
                <w:sz w:val="24"/>
              </w:rPr>
              <w:t>名称</w:t>
            </w:r>
          </w:p>
        </w:tc>
        <w:tc>
          <w:tcPr>
            <w:tcW w:w="797" w:type="dxa"/>
            <w:vAlign w:val="center"/>
          </w:tcPr>
          <w:p>
            <w:pPr>
              <w:jc w:val="center"/>
              <w:rPr>
                <w:rFonts w:ascii="宋体" w:hAnsi="宋体"/>
                <w:b/>
                <w:sz w:val="24"/>
              </w:rPr>
            </w:pPr>
            <w:r>
              <w:rPr>
                <w:rFonts w:hint="eastAsia" w:ascii="宋体" w:hAnsi="宋体"/>
                <w:b/>
                <w:sz w:val="24"/>
              </w:rPr>
              <w:t>数量</w:t>
            </w:r>
          </w:p>
        </w:tc>
        <w:tc>
          <w:tcPr>
            <w:tcW w:w="856" w:type="dxa"/>
            <w:vAlign w:val="center"/>
          </w:tcPr>
          <w:p>
            <w:pPr>
              <w:jc w:val="center"/>
              <w:rPr>
                <w:rFonts w:ascii="宋体" w:hAnsi="宋体"/>
                <w:b/>
                <w:sz w:val="24"/>
              </w:rPr>
            </w:pPr>
            <w:r>
              <w:rPr>
                <w:rFonts w:hint="eastAsia" w:ascii="宋体" w:hAnsi="宋体"/>
                <w:b/>
                <w:sz w:val="24"/>
              </w:rPr>
              <w:t>单位</w:t>
            </w:r>
          </w:p>
        </w:tc>
        <w:tc>
          <w:tcPr>
            <w:tcW w:w="1253" w:type="dxa"/>
            <w:vAlign w:val="center"/>
          </w:tcPr>
          <w:p>
            <w:pPr>
              <w:jc w:val="center"/>
              <w:rPr>
                <w:rFonts w:ascii="宋体" w:hAnsi="宋体"/>
                <w:b/>
                <w:sz w:val="24"/>
              </w:rPr>
            </w:pPr>
            <w:r>
              <w:rPr>
                <w:rFonts w:hint="eastAsia" w:ascii="宋体" w:hAnsi="宋体"/>
                <w:b/>
                <w:sz w:val="24"/>
              </w:rPr>
              <w:t>单价（元）</w:t>
            </w:r>
          </w:p>
        </w:tc>
        <w:tc>
          <w:tcPr>
            <w:tcW w:w="1072" w:type="dxa"/>
            <w:vAlign w:val="center"/>
          </w:tcPr>
          <w:p>
            <w:pPr>
              <w:jc w:val="center"/>
              <w:rPr>
                <w:rFonts w:ascii="宋体" w:hAnsi="宋体"/>
                <w:b/>
                <w:sz w:val="24"/>
              </w:rPr>
            </w:pPr>
            <w:r>
              <w:rPr>
                <w:rFonts w:hint="eastAsia" w:ascii="宋体" w:hAnsi="宋体"/>
                <w:b/>
                <w:sz w:val="24"/>
              </w:rPr>
              <w:t>小计</w:t>
            </w:r>
            <w:r>
              <w:rPr>
                <w:rFonts w:hint="eastAsia" w:ascii="宋体" w:hAnsi="宋体"/>
                <w:b/>
                <w:bCs/>
                <w:sz w:val="24"/>
              </w:rPr>
              <w:t>(元)</w:t>
            </w:r>
          </w:p>
        </w:tc>
        <w:tc>
          <w:tcPr>
            <w:tcW w:w="1085" w:type="dxa"/>
            <w:vAlign w:val="center"/>
          </w:tcPr>
          <w:p>
            <w:pPr>
              <w:jc w:val="center"/>
              <w:rPr>
                <w:rFonts w:ascii="宋体" w:hAnsi="宋体"/>
                <w:b/>
                <w:sz w:val="24"/>
              </w:rPr>
            </w:pPr>
            <w:r>
              <w:rPr>
                <w:rFonts w:hint="eastAsia" w:ascii="宋体" w:hAnsi="宋体"/>
                <w:b/>
                <w:sz w:val="24"/>
              </w:rPr>
              <w:t>品牌</w:t>
            </w:r>
          </w:p>
          <w:p>
            <w:pPr>
              <w:jc w:val="center"/>
              <w:rPr>
                <w:rFonts w:ascii="宋体" w:hAnsi="宋体"/>
                <w:b/>
                <w:sz w:val="24"/>
              </w:rPr>
            </w:pPr>
            <w:r>
              <w:rPr>
                <w:rFonts w:hint="eastAsia" w:ascii="宋体" w:hAnsi="宋体"/>
                <w:b/>
                <w:sz w:val="24"/>
              </w:rPr>
              <w:t>型号</w:t>
            </w:r>
          </w:p>
        </w:tc>
        <w:tc>
          <w:tcPr>
            <w:tcW w:w="851" w:type="dxa"/>
            <w:vAlign w:val="center"/>
          </w:tcPr>
          <w:p>
            <w:pPr>
              <w:jc w:val="center"/>
              <w:rPr>
                <w:rFonts w:ascii="宋体" w:hAnsi="宋体"/>
                <w:b/>
                <w:sz w:val="24"/>
              </w:rPr>
            </w:pPr>
            <w:r>
              <w:rPr>
                <w:rFonts w:hint="eastAsia" w:ascii="宋体" w:hAnsi="宋体"/>
                <w:b/>
                <w:sz w:val="24"/>
              </w:rPr>
              <w:t>产地</w:t>
            </w:r>
          </w:p>
        </w:tc>
        <w:tc>
          <w:tcPr>
            <w:tcW w:w="850" w:type="dxa"/>
            <w:vAlign w:val="center"/>
          </w:tcPr>
          <w:p>
            <w:pPr>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17" w:type="dxa"/>
            <w:vAlign w:val="center"/>
          </w:tcPr>
          <w:p>
            <w:pPr>
              <w:spacing w:line="280" w:lineRule="exact"/>
              <w:jc w:val="center"/>
              <w:rPr>
                <w:rFonts w:ascii="宋体" w:hAnsi="宋体"/>
                <w:sz w:val="24"/>
              </w:rPr>
            </w:pPr>
            <w:r>
              <w:rPr>
                <w:rFonts w:ascii="宋体" w:hAnsi="宋体"/>
                <w:sz w:val="24"/>
              </w:rPr>
              <w:t>1</w:t>
            </w:r>
          </w:p>
        </w:tc>
        <w:tc>
          <w:tcPr>
            <w:tcW w:w="2096" w:type="dxa"/>
            <w:vAlign w:val="center"/>
          </w:tcPr>
          <w:p>
            <w:pPr>
              <w:spacing w:line="280" w:lineRule="exact"/>
              <w:jc w:val="center"/>
              <w:rPr>
                <w:rFonts w:ascii="宋体" w:hAnsi="宋体"/>
                <w:sz w:val="24"/>
              </w:rPr>
            </w:pPr>
            <w:r>
              <w:rPr>
                <w:rFonts w:ascii="宋体" w:hAnsi="宋体"/>
                <w:sz w:val="24"/>
              </w:rPr>
              <w:t>XX</w:t>
            </w:r>
            <w:r>
              <w:rPr>
                <w:rFonts w:hint="eastAsia" w:ascii="宋体" w:hAnsi="宋体"/>
                <w:sz w:val="24"/>
              </w:rPr>
              <w:t>货物名称</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17" w:type="dxa"/>
            <w:vAlign w:val="center"/>
          </w:tcPr>
          <w:p>
            <w:pPr>
              <w:spacing w:line="280" w:lineRule="exact"/>
              <w:jc w:val="center"/>
              <w:rPr>
                <w:rFonts w:ascii="宋体" w:hAnsi="宋体"/>
                <w:sz w:val="24"/>
              </w:rPr>
            </w:pPr>
            <w:r>
              <w:rPr>
                <w:rFonts w:ascii="宋体" w:hAnsi="宋体"/>
                <w:sz w:val="24"/>
              </w:rPr>
              <w:t>1.1</w:t>
            </w:r>
          </w:p>
        </w:tc>
        <w:tc>
          <w:tcPr>
            <w:tcW w:w="2096" w:type="dxa"/>
            <w:vAlign w:val="center"/>
          </w:tcPr>
          <w:p>
            <w:pPr>
              <w:spacing w:line="280" w:lineRule="exact"/>
              <w:jc w:val="center"/>
              <w:rPr>
                <w:rFonts w:ascii="宋体" w:hAnsi="宋体"/>
                <w:sz w:val="24"/>
              </w:rPr>
            </w:pPr>
            <w:r>
              <w:rPr>
                <w:rFonts w:hint="eastAsia" w:ascii="宋体" w:hAnsi="宋体" w:cs="宋体"/>
                <w:sz w:val="24"/>
              </w:rPr>
              <w:t>主机设备</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ascii="宋体" w:hAnsi="宋体"/>
                <w:sz w:val="24"/>
              </w:rPr>
              <w:t>1.2</w:t>
            </w:r>
          </w:p>
        </w:tc>
        <w:tc>
          <w:tcPr>
            <w:tcW w:w="2096" w:type="dxa"/>
            <w:vAlign w:val="center"/>
          </w:tcPr>
          <w:p>
            <w:pPr>
              <w:spacing w:line="280" w:lineRule="exact"/>
              <w:jc w:val="center"/>
              <w:rPr>
                <w:rFonts w:ascii="宋体" w:hAnsi="宋体"/>
                <w:sz w:val="24"/>
              </w:rPr>
            </w:pPr>
            <w:r>
              <w:rPr>
                <w:rFonts w:hint="eastAsia" w:ascii="宋体" w:hAnsi="宋体" w:cs="宋体"/>
                <w:sz w:val="24"/>
              </w:rPr>
              <w:t>标准附件</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ascii="宋体" w:hAnsi="宋体"/>
                <w:sz w:val="24"/>
              </w:rPr>
              <w:t>1.3</w:t>
            </w:r>
          </w:p>
        </w:tc>
        <w:tc>
          <w:tcPr>
            <w:tcW w:w="2096" w:type="dxa"/>
            <w:vAlign w:val="center"/>
          </w:tcPr>
          <w:p>
            <w:pPr>
              <w:spacing w:line="280" w:lineRule="exact"/>
              <w:jc w:val="center"/>
              <w:rPr>
                <w:rFonts w:ascii="宋体" w:hAnsi="宋体"/>
                <w:sz w:val="24"/>
              </w:rPr>
            </w:pPr>
            <w:r>
              <w:rPr>
                <w:rFonts w:hint="eastAsia" w:ascii="宋体" w:hAnsi="宋体"/>
                <w:sz w:val="24"/>
              </w:rPr>
              <w:t>……</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ascii="宋体" w:hAnsi="宋体"/>
                <w:sz w:val="24"/>
              </w:rPr>
              <w:t>2</w:t>
            </w:r>
          </w:p>
        </w:tc>
        <w:tc>
          <w:tcPr>
            <w:tcW w:w="2096" w:type="dxa"/>
            <w:vAlign w:val="center"/>
          </w:tcPr>
          <w:p>
            <w:pPr>
              <w:spacing w:line="280" w:lineRule="exact"/>
              <w:jc w:val="center"/>
              <w:rPr>
                <w:rFonts w:ascii="宋体" w:hAnsi="宋体"/>
                <w:sz w:val="24"/>
              </w:rPr>
            </w:pPr>
            <w:r>
              <w:rPr>
                <w:rFonts w:ascii="宋体" w:hAnsi="宋体"/>
                <w:sz w:val="24"/>
              </w:rPr>
              <w:t>XX</w:t>
            </w:r>
            <w:r>
              <w:rPr>
                <w:rFonts w:hint="eastAsia" w:ascii="宋体" w:hAnsi="宋体"/>
                <w:sz w:val="24"/>
              </w:rPr>
              <w:t>货物名称</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ascii="宋体" w:hAnsi="宋体"/>
                <w:sz w:val="24"/>
              </w:rPr>
              <w:t>2.1</w:t>
            </w:r>
          </w:p>
        </w:tc>
        <w:tc>
          <w:tcPr>
            <w:tcW w:w="2096" w:type="dxa"/>
            <w:vAlign w:val="center"/>
          </w:tcPr>
          <w:p>
            <w:pPr>
              <w:spacing w:line="280" w:lineRule="exact"/>
              <w:jc w:val="center"/>
              <w:rPr>
                <w:rFonts w:ascii="宋体" w:hAnsi="宋体"/>
                <w:sz w:val="24"/>
              </w:rPr>
            </w:pPr>
            <w:r>
              <w:rPr>
                <w:rFonts w:hint="eastAsia" w:ascii="宋体" w:hAnsi="宋体"/>
                <w:sz w:val="24"/>
              </w:rPr>
              <w:t>……</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ascii="宋体" w:hAnsi="宋体"/>
                <w:sz w:val="24"/>
              </w:rPr>
              <w:t>2.2</w:t>
            </w:r>
          </w:p>
        </w:tc>
        <w:tc>
          <w:tcPr>
            <w:tcW w:w="2096" w:type="dxa"/>
            <w:vAlign w:val="center"/>
          </w:tcPr>
          <w:p>
            <w:pPr>
              <w:spacing w:line="280" w:lineRule="exact"/>
              <w:jc w:val="center"/>
              <w:rPr>
                <w:rFonts w:ascii="宋体" w:hAnsi="宋体"/>
                <w:sz w:val="24"/>
              </w:rPr>
            </w:pPr>
            <w:r>
              <w:rPr>
                <w:rFonts w:hint="eastAsia" w:ascii="宋体" w:hAnsi="宋体"/>
                <w:sz w:val="24"/>
              </w:rPr>
              <w:t>……</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hint="eastAsia" w:ascii="宋体" w:hAnsi="宋体"/>
                <w:sz w:val="24"/>
              </w:rPr>
              <w:t>3</w:t>
            </w:r>
          </w:p>
        </w:tc>
        <w:tc>
          <w:tcPr>
            <w:tcW w:w="2096" w:type="dxa"/>
            <w:vAlign w:val="center"/>
          </w:tcPr>
          <w:p>
            <w:pPr>
              <w:spacing w:line="280" w:lineRule="exact"/>
              <w:jc w:val="center"/>
              <w:rPr>
                <w:rFonts w:ascii="宋体" w:hAnsi="宋体"/>
                <w:sz w:val="24"/>
              </w:rPr>
            </w:pPr>
            <w:r>
              <w:rPr>
                <w:rFonts w:hint="eastAsia" w:ascii="宋体" w:hAnsi="宋体"/>
                <w:sz w:val="24"/>
              </w:rPr>
              <w:t>维护和技术费</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hint="eastAsia" w:ascii="宋体" w:hAnsi="宋体"/>
                <w:sz w:val="24"/>
              </w:rPr>
              <w:t>4</w:t>
            </w:r>
          </w:p>
        </w:tc>
        <w:tc>
          <w:tcPr>
            <w:tcW w:w="2096" w:type="dxa"/>
            <w:vAlign w:val="center"/>
          </w:tcPr>
          <w:p>
            <w:pPr>
              <w:spacing w:line="280" w:lineRule="exact"/>
              <w:jc w:val="center"/>
              <w:rPr>
                <w:rFonts w:ascii="宋体" w:hAnsi="宋体"/>
                <w:sz w:val="24"/>
              </w:rPr>
            </w:pPr>
            <w:r>
              <w:rPr>
                <w:rFonts w:hint="eastAsia" w:ascii="宋体" w:hAnsi="宋体"/>
                <w:sz w:val="24"/>
              </w:rPr>
              <w:t>培训费</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hint="eastAsia" w:ascii="宋体" w:hAnsi="宋体"/>
                <w:sz w:val="24"/>
              </w:rPr>
              <w:t>5</w:t>
            </w:r>
          </w:p>
        </w:tc>
        <w:tc>
          <w:tcPr>
            <w:tcW w:w="2096" w:type="dxa"/>
            <w:vAlign w:val="center"/>
          </w:tcPr>
          <w:p>
            <w:pPr>
              <w:spacing w:line="280" w:lineRule="exact"/>
              <w:jc w:val="center"/>
              <w:rPr>
                <w:rFonts w:ascii="宋体" w:hAnsi="宋体"/>
                <w:sz w:val="24"/>
              </w:rPr>
            </w:pPr>
            <w:r>
              <w:rPr>
                <w:rFonts w:hint="eastAsia" w:ascii="宋体" w:hAnsi="宋体"/>
                <w:sz w:val="24"/>
              </w:rPr>
              <w:t>备品备件费</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hint="eastAsia" w:ascii="宋体" w:hAnsi="宋体"/>
                <w:sz w:val="24"/>
              </w:rPr>
              <w:t>6</w:t>
            </w:r>
          </w:p>
        </w:tc>
        <w:tc>
          <w:tcPr>
            <w:tcW w:w="2096" w:type="dxa"/>
            <w:vAlign w:val="center"/>
          </w:tcPr>
          <w:p>
            <w:pPr>
              <w:spacing w:line="280" w:lineRule="exact"/>
              <w:jc w:val="center"/>
              <w:rPr>
                <w:rFonts w:ascii="宋体" w:hAnsi="宋体"/>
                <w:sz w:val="24"/>
              </w:rPr>
            </w:pPr>
            <w:r>
              <w:rPr>
                <w:rFonts w:hint="eastAsia" w:ascii="宋体" w:hAnsi="宋体"/>
                <w:sz w:val="24"/>
              </w:rPr>
              <w:t>运输与保险费</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hint="eastAsia" w:ascii="宋体" w:hAnsi="宋体"/>
                <w:sz w:val="24"/>
              </w:rPr>
              <w:t>7</w:t>
            </w:r>
          </w:p>
        </w:tc>
        <w:tc>
          <w:tcPr>
            <w:tcW w:w="2096" w:type="dxa"/>
            <w:vAlign w:val="center"/>
          </w:tcPr>
          <w:p>
            <w:pPr>
              <w:spacing w:line="280" w:lineRule="exact"/>
              <w:jc w:val="center"/>
              <w:rPr>
                <w:rFonts w:ascii="宋体" w:hAnsi="宋体"/>
                <w:sz w:val="24"/>
              </w:rPr>
            </w:pPr>
            <w:r>
              <w:rPr>
                <w:rFonts w:hint="eastAsia" w:ascii="宋体" w:hAnsi="宋体"/>
                <w:sz w:val="24"/>
              </w:rPr>
              <w:t>耗材</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r>
              <w:rPr>
                <w:rFonts w:hint="eastAsia" w:ascii="宋体" w:hAnsi="宋体"/>
                <w:sz w:val="24"/>
              </w:rPr>
              <w:t>8</w:t>
            </w:r>
          </w:p>
        </w:tc>
        <w:tc>
          <w:tcPr>
            <w:tcW w:w="2096" w:type="dxa"/>
            <w:vAlign w:val="center"/>
          </w:tcPr>
          <w:p>
            <w:pPr>
              <w:spacing w:line="280" w:lineRule="exact"/>
              <w:jc w:val="center"/>
              <w:rPr>
                <w:rFonts w:ascii="宋体" w:hAnsi="宋体"/>
                <w:sz w:val="24"/>
              </w:rPr>
            </w:pPr>
            <w:r>
              <w:rPr>
                <w:rFonts w:hint="eastAsia" w:ascii="宋体" w:hAnsi="宋体"/>
                <w:sz w:val="24"/>
              </w:rPr>
              <w:t>其他</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817" w:type="dxa"/>
            <w:vAlign w:val="center"/>
          </w:tcPr>
          <w:p>
            <w:pPr>
              <w:spacing w:line="280" w:lineRule="exact"/>
              <w:jc w:val="center"/>
              <w:rPr>
                <w:rFonts w:ascii="宋体" w:hAnsi="宋体"/>
                <w:sz w:val="24"/>
              </w:rPr>
            </w:pPr>
          </w:p>
        </w:tc>
        <w:tc>
          <w:tcPr>
            <w:tcW w:w="2096" w:type="dxa"/>
            <w:vAlign w:val="center"/>
          </w:tcPr>
          <w:p>
            <w:pPr>
              <w:spacing w:line="280" w:lineRule="exact"/>
              <w:jc w:val="center"/>
              <w:rPr>
                <w:rFonts w:ascii="宋体" w:hAnsi="宋体"/>
                <w:sz w:val="24"/>
              </w:rPr>
            </w:pPr>
            <w:r>
              <w:rPr>
                <w:rFonts w:hint="eastAsia" w:ascii="宋体" w:hAnsi="宋体"/>
                <w:sz w:val="24"/>
              </w:rPr>
              <w:t>……</w:t>
            </w:r>
          </w:p>
        </w:tc>
        <w:tc>
          <w:tcPr>
            <w:tcW w:w="797" w:type="dxa"/>
            <w:vAlign w:val="center"/>
          </w:tcPr>
          <w:p>
            <w:pPr>
              <w:spacing w:line="280" w:lineRule="exact"/>
              <w:jc w:val="center"/>
              <w:rPr>
                <w:rFonts w:ascii="宋体" w:hAnsi="宋体"/>
                <w:sz w:val="24"/>
              </w:rPr>
            </w:pPr>
          </w:p>
        </w:tc>
        <w:tc>
          <w:tcPr>
            <w:tcW w:w="856" w:type="dxa"/>
            <w:vAlign w:val="center"/>
          </w:tcPr>
          <w:p>
            <w:pPr>
              <w:spacing w:line="280" w:lineRule="exact"/>
              <w:jc w:val="center"/>
              <w:rPr>
                <w:rFonts w:ascii="宋体" w:hAnsi="宋体"/>
                <w:sz w:val="24"/>
              </w:rPr>
            </w:pPr>
          </w:p>
        </w:tc>
        <w:tc>
          <w:tcPr>
            <w:tcW w:w="1253" w:type="dxa"/>
            <w:vAlign w:val="center"/>
          </w:tcPr>
          <w:p>
            <w:pPr>
              <w:spacing w:line="280" w:lineRule="exact"/>
              <w:jc w:val="center"/>
              <w:rPr>
                <w:rFonts w:ascii="宋体" w:hAnsi="宋体"/>
                <w:sz w:val="24"/>
              </w:rPr>
            </w:pPr>
          </w:p>
        </w:tc>
        <w:tc>
          <w:tcPr>
            <w:tcW w:w="1072" w:type="dxa"/>
            <w:vAlign w:val="center"/>
          </w:tcPr>
          <w:p>
            <w:pPr>
              <w:spacing w:line="280" w:lineRule="exact"/>
              <w:jc w:val="center"/>
              <w:rPr>
                <w:rFonts w:ascii="宋体" w:hAnsi="宋体"/>
                <w:sz w:val="24"/>
              </w:rPr>
            </w:pPr>
          </w:p>
        </w:tc>
        <w:tc>
          <w:tcPr>
            <w:tcW w:w="1085" w:type="dxa"/>
            <w:vAlign w:val="center"/>
          </w:tcPr>
          <w:p>
            <w:pPr>
              <w:spacing w:line="280" w:lineRule="exact"/>
              <w:jc w:val="center"/>
              <w:rPr>
                <w:rFonts w:ascii="宋体" w:hAnsi="宋体"/>
                <w:sz w:val="24"/>
              </w:rPr>
            </w:pPr>
          </w:p>
        </w:tc>
        <w:tc>
          <w:tcPr>
            <w:tcW w:w="851" w:type="dxa"/>
            <w:vAlign w:val="center"/>
          </w:tcPr>
          <w:p>
            <w:pPr>
              <w:spacing w:line="280" w:lineRule="exact"/>
              <w:jc w:val="center"/>
              <w:rPr>
                <w:rFonts w:ascii="宋体" w:hAnsi="宋体"/>
                <w:sz w:val="24"/>
              </w:rPr>
            </w:pPr>
          </w:p>
        </w:tc>
        <w:tc>
          <w:tcPr>
            <w:tcW w:w="850" w:type="dxa"/>
            <w:vAlign w:val="center"/>
          </w:tcPr>
          <w:p>
            <w:pPr>
              <w:spacing w:line="28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4566" w:type="dxa"/>
            <w:gridSpan w:val="4"/>
            <w:vAlign w:val="center"/>
          </w:tcPr>
          <w:p>
            <w:pPr>
              <w:spacing w:line="280" w:lineRule="exact"/>
              <w:jc w:val="center"/>
              <w:rPr>
                <w:rFonts w:ascii="宋体" w:hAnsi="宋体"/>
                <w:b/>
                <w:sz w:val="24"/>
              </w:rPr>
            </w:pPr>
            <w:r>
              <w:rPr>
                <w:rFonts w:hint="eastAsia" w:ascii="宋体" w:hAnsi="宋体"/>
                <w:b/>
                <w:sz w:val="24"/>
              </w:rPr>
              <w:t>投标总价</w:t>
            </w:r>
          </w:p>
        </w:tc>
        <w:tc>
          <w:tcPr>
            <w:tcW w:w="5111" w:type="dxa"/>
            <w:gridSpan w:val="5"/>
            <w:vAlign w:val="center"/>
          </w:tcPr>
          <w:p>
            <w:pPr>
              <w:spacing w:line="280" w:lineRule="exact"/>
              <w:jc w:val="center"/>
              <w:rPr>
                <w:rFonts w:ascii="宋体" w:hAnsi="宋体"/>
                <w:b/>
                <w:sz w:val="24"/>
              </w:rPr>
            </w:pPr>
          </w:p>
        </w:tc>
      </w:tr>
    </w:tbl>
    <w:p>
      <w:pPr>
        <w:spacing w:line="360" w:lineRule="exact"/>
        <w:ind w:firstLine="482" w:firstLineChars="200"/>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、若货物为多种设备组成，则由供应商自行填写此表，其中“序号</w:t>
      </w:r>
      <w:r>
        <w:rPr>
          <w:rFonts w:ascii="宋体" w:hAnsi="宋体"/>
          <w:b/>
          <w:sz w:val="24"/>
        </w:rPr>
        <w:t>1=</w:t>
      </w:r>
      <w:r>
        <w:rPr>
          <w:rFonts w:hint="eastAsia" w:ascii="宋体" w:hAnsi="宋体"/>
          <w:b/>
          <w:sz w:val="24"/>
        </w:rPr>
        <w:t>序号</w:t>
      </w:r>
      <w:r>
        <w:rPr>
          <w:rFonts w:ascii="宋体" w:hAnsi="宋体"/>
          <w:b/>
          <w:sz w:val="24"/>
        </w:rPr>
        <w:t>1.1+</w:t>
      </w:r>
      <w:r>
        <w:rPr>
          <w:rFonts w:hint="eastAsia" w:ascii="宋体" w:hAnsi="宋体"/>
          <w:b/>
          <w:sz w:val="24"/>
        </w:rPr>
        <w:t>序号</w:t>
      </w:r>
      <w:r>
        <w:rPr>
          <w:rFonts w:ascii="宋体" w:hAnsi="宋体"/>
          <w:b/>
          <w:sz w:val="24"/>
        </w:rPr>
        <w:t>1.2+</w:t>
      </w:r>
      <w:r>
        <w:rPr>
          <w:rFonts w:hint="eastAsia" w:ascii="宋体" w:hAnsi="宋体"/>
          <w:b/>
          <w:sz w:val="24"/>
        </w:rPr>
        <w:t>序号</w:t>
      </w:r>
      <w:r>
        <w:rPr>
          <w:rFonts w:ascii="宋体" w:hAnsi="宋体"/>
          <w:b/>
          <w:sz w:val="24"/>
        </w:rPr>
        <w:t>1.3</w:t>
      </w:r>
      <w:r>
        <w:rPr>
          <w:rFonts w:hint="eastAsia" w:ascii="宋体" w:hAnsi="宋体"/>
          <w:b/>
          <w:sz w:val="24"/>
        </w:rPr>
        <w:t>……”，投标总价须与开标一览表中投标总价一致。</w:t>
      </w:r>
    </w:p>
    <w:p>
      <w:pPr>
        <w:rPr>
          <w:rFonts w:ascii="宋体" w:hAnsi="宋体"/>
          <w:sz w:val="24"/>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w:t>
      </w:r>
    </w:p>
    <w:p>
      <w:pPr>
        <w:pStyle w:val="31"/>
        <w:spacing w:line="240" w:lineRule="auto"/>
        <w:ind w:left="0" w:leftChars="0" w:firstLine="0" w:firstLineChars="0"/>
        <w:jc w:val="right"/>
        <w:rPr>
          <w:rFonts w:ascii="宋体" w:hAnsi="宋体"/>
          <w:bCs/>
        </w:rPr>
      </w:pPr>
      <w:r>
        <w:rPr>
          <w:rFonts w:hint="eastAsia" w:ascii="宋体" w:hAnsi="宋体"/>
          <w:bCs/>
        </w:rPr>
        <w:t>年月日</w:t>
      </w:r>
    </w:p>
    <w:p>
      <w:pPr>
        <w:pStyle w:val="5"/>
        <w:spacing w:before="120" w:after="120" w:line="360" w:lineRule="exact"/>
        <w:rPr>
          <w:rFonts w:ascii="宋体" w:hAnsi="宋体"/>
          <w:b w:val="0"/>
          <w:bCs/>
          <w:sz w:val="24"/>
          <w:szCs w:val="21"/>
        </w:rPr>
      </w:pPr>
      <w:bookmarkStart w:id="102" w:name="_Toc11850811"/>
      <w:r>
        <w:rPr>
          <w:rFonts w:hint="eastAsia" w:ascii="宋体" w:hAnsi="宋体"/>
          <w:b w:val="0"/>
          <w:sz w:val="24"/>
          <w:szCs w:val="21"/>
        </w:rPr>
        <w:t>附件六：主要设备及配件报价明细表</w:t>
      </w:r>
      <w:bookmarkEnd w:id="102"/>
    </w:p>
    <w:p>
      <w:pPr>
        <w:pStyle w:val="31"/>
        <w:spacing w:line="240" w:lineRule="auto"/>
        <w:ind w:left="0" w:leftChars="0" w:firstLine="0" w:firstLineChars="0"/>
        <w:jc w:val="right"/>
        <w:rPr>
          <w:rFonts w:ascii="宋体" w:hAnsi="宋体"/>
          <w:bCs/>
        </w:rPr>
      </w:pPr>
    </w:p>
    <w:p>
      <w:pPr>
        <w:pStyle w:val="2"/>
        <w:spacing w:after="0" w:line="460" w:lineRule="exact"/>
        <w:jc w:val="center"/>
        <w:rPr>
          <w:rFonts w:ascii="宋体" w:hAnsi="宋体"/>
          <w:b/>
          <w:sz w:val="32"/>
        </w:rPr>
      </w:pPr>
      <w:bookmarkStart w:id="103" w:name="_Toc259000659"/>
      <w:bookmarkStart w:id="104" w:name="_Toc325971792"/>
      <w:bookmarkStart w:id="105" w:name="_Toc416941710"/>
      <w:bookmarkStart w:id="106" w:name="_Toc326181952"/>
      <w:bookmarkStart w:id="107" w:name="_Toc416359257"/>
      <w:r>
        <w:rPr>
          <w:rFonts w:hint="eastAsia" w:ascii="宋体" w:hAnsi="宋体"/>
          <w:b/>
          <w:sz w:val="32"/>
        </w:rPr>
        <w:t>主要设备及配件报价明细表</w:t>
      </w:r>
      <w:bookmarkEnd w:id="103"/>
      <w:bookmarkEnd w:id="104"/>
      <w:bookmarkEnd w:id="105"/>
      <w:bookmarkEnd w:id="106"/>
      <w:bookmarkEnd w:id="107"/>
    </w:p>
    <w:p>
      <w:pPr>
        <w:pStyle w:val="31"/>
        <w:spacing w:line="360" w:lineRule="exact"/>
        <w:ind w:left="0" w:leftChars="0" w:firstLine="0" w:firstLineChars="0"/>
        <w:rPr>
          <w:rFonts w:ascii="宋体" w:hAnsi="宋体"/>
          <w:bCs/>
        </w:rPr>
      </w:pPr>
      <w:r>
        <w:rPr>
          <w:rFonts w:hint="eastAsia" w:ascii="宋体" w:hAnsi="宋体"/>
        </w:rPr>
        <w:t>项目编号：HYHA2019-0770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spacing w:line="360" w:lineRule="auto"/>
        <w:ind w:right="187"/>
        <w:rPr>
          <w:rFonts w:ascii="宋体" w:hAnsi="宋体"/>
        </w:rPr>
      </w:pPr>
      <w:r>
        <w:rPr>
          <w:rFonts w:hint="eastAsia" w:ascii="宋体" w:hAnsi="宋体"/>
          <w:sz w:val="24"/>
        </w:rPr>
        <w:t xml:space="preserve">设备名称：                                                     </w:t>
      </w:r>
    </w:p>
    <w:tbl>
      <w:tblPr>
        <w:tblStyle w:val="7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54"/>
        <w:gridCol w:w="800"/>
        <w:gridCol w:w="1842"/>
        <w:gridCol w:w="1418"/>
        <w:gridCol w:w="992"/>
        <w:gridCol w:w="99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648" w:type="dxa"/>
            <w:vAlign w:val="center"/>
          </w:tcPr>
          <w:p>
            <w:pPr>
              <w:tabs>
                <w:tab w:val="left" w:pos="1337"/>
              </w:tabs>
              <w:adjustRightInd w:val="0"/>
              <w:snapToGrid w:val="0"/>
              <w:jc w:val="center"/>
              <w:rPr>
                <w:rFonts w:ascii="宋体" w:hAnsi="宋体"/>
                <w:sz w:val="24"/>
              </w:rPr>
            </w:pPr>
            <w:r>
              <w:rPr>
                <w:rFonts w:hint="eastAsia" w:ascii="宋体" w:hAnsi="宋体"/>
                <w:sz w:val="24"/>
              </w:rPr>
              <w:t>序号</w:t>
            </w:r>
          </w:p>
        </w:tc>
        <w:tc>
          <w:tcPr>
            <w:tcW w:w="1354" w:type="dxa"/>
            <w:vAlign w:val="center"/>
          </w:tcPr>
          <w:p>
            <w:pPr>
              <w:tabs>
                <w:tab w:val="left" w:pos="1337"/>
              </w:tabs>
              <w:adjustRightInd w:val="0"/>
              <w:snapToGrid w:val="0"/>
              <w:jc w:val="center"/>
              <w:rPr>
                <w:rFonts w:ascii="宋体" w:hAnsi="宋体"/>
                <w:sz w:val="24"/>
              </w:rPr>
            </w:pPr>
            <w:r>
              <w:rPr>
                <w:rFonts w:hint="eastAsia" w:ascii="宋体" w:hAnsi="宋体"/>
                <w:sz w:val="24"/>
              </w:rPr>
              <w:t>设备及配件名称</w:t>
            </w:r>
          </w:p>
        </w:tc>
        <w:tc>
          <w:tcPr>
            <w:tcW w:w="800" w:type="dxa"/>
            <w:vAlign w:val="center"/>
          </w:tcPr>
          <w:p>
            <w:pPr>
              <w:tabs>
                <w:tab w:val="left" w:pos="1337"/>
              </w:tabs>
              <w:adjustRightInd w:val="0"/>
              <w:snapToGrid w:val="0"/>
              <w:jc w:val="center"/>
              <w:rPr>
                <w:rFonts w:ascii="宋体" w:hAnsi="宋体"/>
                <w:sz w:val="24"/>
              </w:rPr>
            </w:pPr>
            <w:r>
              <w:rPr>
                <w:rFonts w:hint="eastAsia" w:ascii="宋体" w:hAnsi="宋体"/>
                <w:sz w:val="24"/>
              </w:rPr>
              <w:t>品牌</w:t>
            </w:r>
          </w:p>
        </w:tc>
        <w:tc>
          <w:tcPr>
            <w:tcW w:w="1842" w:type="dxa"/>
            <w:vAlign w:val="center"/>
          </w:tcPr>
          <w:p>
            <w:pPr>
              <w:tabs>
                <w:tab w:val="left" w:pos="1337"/>
              </w:tabs>
              <w:adjustRightInd w:val="0"/>
              <w:snapToGrid w:val="0"/>
              <w:jc w:val="center"/>
              <w:rPr>
                <w:rFonts w:ascii="宋体" w:hAnsi="宋体"/>
                <w:sz w:val="24"/>
              </w:rPr>
            </w:pPr>
            <w:r>
              <w:rPr>
                <w:rFonts w:hint="eastAsia" w:ascii="宋体" w:hAnsi="宋体"/>
                <w:sz w:val="24"/>
              </w:rPr>
              <w:t>型号</w:t>
            </w:r>
          </w:p>
          <w:p>
            <w:pPr>
              <w:tabs>
                <w:tab w:val="left" w:pos="1337"/>
              </w:tabs>
              <w:adjustRightInd w:val="0"/>
              <w:snapToGrid w:val="0"/>
              <w:jc w:val="center"/>
              <w:rPr>
                <w:rFonts w:ascii="宋体" w:hAnsi="宋体"/>
                <w:sz w:val="24"/>
              </w:rPr>
            </w:pPr>
            <w:r>
              <w:rPr>
                <w:rFonts w:hint="eastAsia" w:ascii="宋体" w:hAnsi="宋体"/>
                <w:sz w:val="24"/>
              </w:rPr>
              <w:t>（详细配置）</w:t>
            </w:r>
          </w:p>
        </w:tc>
        <w:tc>
          <w:tcPr>
            <w:tcW w:w="1418" w:type="dxa"/>
            <w:vAlign w:val="center"/>
          </w:tcPr>
          <w:p>
            <w:pPr>
              <w:tabs>
                <w:tab w:val="left" w:pos="1337"/>
              </w:tabs>
              <w:adjustRightInd w:val="0"/>
              <w:snapToGrid w:val="0"/>
              <w:jc w:val="center"/>
              <w:rPr>
                <w:rFonts w:ascii="宋体" w:hAnsi="宋体"/>
                <w:sz w:val="24"/>
              </w:rPr>
            </w:pPr>
            <w:r>
              <w:rPr>
                <w:rFonts w:hint="eastAsia" w:ascii="宋体" w:hAnsi="宋体"/>
                <w:sz w:val="24"/>
              </w:rPr>
              <w:t>制造商</w:t>
            </w:r>
          </w:p>
          <w:p>
            <w:pPr>
              <w:tabs>
                <w:tab w:val="left" w:pos="1337"/>
              </w:tabs>
              <w:adjustRightInd w:val="0"/>
              <w:snapToGrid w:val="0"/>
              <w:jc w:val="center"/>
              <w:rPr>
                <w:rFonts w:ascii="宋体" w:hAnsi="宋体"/>
                <w:sz w:val="24"/>
              </w:rPr>
            </w:pPr>
            <w:r>
              <w:rPr>
                <w:rFonts w:hint="eastAsia" w:ascii="宋体" w:hAnsi="宋体"/>
                <w:sz w:val="24"/>
              </w:rPr>
              <w:t>（产地）</w:t>
            </w:r>
          </w:p>
        </w:tc>
        <w:tc>
          <w:tcPr>
            <w:tcW w:w="992" w:type="dxa"/>
            <w:vAlign w:val="center"/>
          </w:tcPr>
          <w:p>
            <w:pPr>
              <w:tabs>
                <w:tab w:val="left" w:pos="1337"/>
              </w:tabs>
              <w:adjustRightInd w:val="0"/>
              <w:snapToGrid w:val="0"/>
              <w:jc w:val="center"/>
              <w:rPr>
                <w:rFonts w:ascii="宋体" w:hAnsi="宋体"/>
                <w:sz w:val="24"/>
              </w:rPr>
            </w:pPr>
            <w:r>
              <w:rPr>
                <w:rFonts w:hint="eastAsia" w:ascii="宋体" w:hAnsi="宋体"/>
                <w:sz w:val="24"/>
              </w:rPr>
              <w:t>单价</w:t>
            </w:r>
            <w:r>
              <w:rPr>
                <w:rFonts w:hint="eastAsia" w:ascii="宋体" w:hAnsi="宋体"/>
                <w:b/>
                <w:bCs/>
                <w:sz w:val="24"/>
              </w:rPr>
              <w:t>(元)</w:t>
            </w:r>
          </w:p>
        </w:tc>
        <w:tc>
          <w:tcPr>
            <w:tcW w:w="992" w:type="dxa"/>
            <w:vAlign w:val="center"/>
          </w:tcPr>
          <w:p>
            <w:pPr>
              <w:tabs>
                <w:tab w:val="left" w:pos="1337"/>
              </w:tabs>
              <w:adjustRightInd w:val="0"/>
              <w:snapToGrid w:val="0"/>
              <w:jc w:val="center"/>
              <w:rPr>
                <w:rFonts w:ascii="宋体" w:hAnsi="宋体"/>
                <w:sz w:val="24"/>
              </w:rPr>
            </w:pPr>
            <w:r>
              <w:rPr>
                <w:rFonts w:hint="eastAsia" w:ascii="宋体" w:hAnsi="宋体"/>
                <w:sz w:val="24"/>
              </w:rPr>
              <w:t>数量</w:t>
            </w:r>
          </w:p>
        </w:tc>
        <w:tc>
          <w:tcPr>
            <w:tcW w:w="1418" w:type="dxa"/>
            <w:vAlign w:val="center"/>
          </w:tcPr>
          <w:p>
            <w:pPr>
              <w:tabs>
                <w:tab w:val="left" w:pos="1337"/>
              </w:tabs>
              <w:adjustRightInd w:val="0"/>
              <w:snapToGrid w:val="0"/>
              <w:jc w:val="center"/>
              <w:rPr>
                <w:rFonts w:ascii="宋体" w:hAnsi="宋体"/>
                <w:sz w:val="24"/>
              </w:rPr>
            </w:pPr>
            <w:r>
              <w:rPr>
                <w:rFonts w:hint="eastAsia" w:ascii="宋体" w:hAnsi="宋体"/>
                <w:sz w:val="24"/>
              </w:rPr>
              <w:t>投标</w:t>
            </w:r>
          </w:p>
          <w:p>
            <w:pPr>
              <w:tabs>
                <w:tab w:val="left" w:pos="1337"/>
              </w:tabs>
              <w:adjustRightInd w:val="0"/>
              <w:snapToGrid w:val="0"/>
              <w:jc w:val="center"/>
              <w:rPr>
                <w:rFonts w:ascii="宋体" w:hAnsi="宋体"/>
                <w:sz w:val="24"/>
              </w:rPr>
            </w:pPr>
            <w:r>
              <w:rPr>
                <w:rFonts w:hint="eastAsia" w:ascii="宋体" w:hAnsi="宋体"/>
                <w:sz w:val="24"/>
              </w:rPr>
              <w:t>总价</w:t>
            </w:r>
            <w:r>
              <w:rPr>
                <w:rFonts w:hint="eastAsia" w:ascii="宋体" w:hAnsi="宋体"/>
                <w:b/>
                <w:bCs/>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48" w:type="dxa"/>
            <w:vAlign w:val="center"/>
          </w:tcPr>
          <w:p>
            <w:pPr>
              <w:tabs>
                <w:tab w:val="left" w:pos="1337"/>
              </w:tabs>
              <w:adjustRightInd w:val="0"/>
              <w:snapToGrid w:val="0"/>
              <w:spacing w:line="360" w:lineRule="auto"/>
              <w:jc w:val="center"/>
              <w:rPr>
                <w:rFonts w:ascii="宋体" w:hAnsi="宋体"/>
                <w:sz w:val="24"/>
              </w:rPr>
            </w:pPr>
          </w:p>
        </w:tc>
        <w:tc>
          <w:tcPr>
            <w:tcW w:w="1354" w:type="dxa"/>
            <w:vAlign w:val="center"/>
          </w:tcPr>
          <w:p>
            <w:pPr>
              <w:tabs>
                <w:tab w:val="left" w:pos="1337"/>
              </w:tabs>
              <w:adjustRightInd w:val="0"/>
              <w:snapToGrid w:val="0"/>
              <w:spacing w:line="360" w:lineRule="auto"/>
              <w:jc w:val="center"/>
              <w:rPr>
                <w:rFonts w:ascii="宋体" w:hAnsi="宋体"/>
                <w:sz w:val="24"/>
              </w:rPr>
            </w:pPr>
          </w:p>
        </w:tc>
        <w:tc>
          <w:tcPr>
            <w:tcW w:w="800" w:type="dxa"/>
            <w:vAlign w:val="center"/>
          </w:tcPr>
          <w:p>
            <w:pPr>
              <w:tabs>
                <w:tab w:val="left" w:pos="1337"/>
              </w:tabs>
              <w:adjustRightInd w:val="0"/>
              <w:snapToGrid w:val="0"/>
              <w:spacing w:line="360" w:lineRule="auto"/>
              <w:jc w:val="center"/>
              <w:rPr>
                <w:rFonts w:ascii="宋体" w:hAnsi="宋体"/>
                <w:sz w:val="24"/>
              </w:rPr>
            </w:pPr>
          </w:p>
        </w:tc>
        <w:tc>
          <w:tcPr>
            <w:tcW w:w="184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48" w:type="dxa"/>
            <w:vAlign w:val="center"/>
          </w:tcPr>
          <w:p>
            <w:pPr>
              <w:tabs>
                <w:tab w:val="left" w:pos="1337"/>
              </w:tabs>
              <w:adjustRightInd w:val="0"/>
              <w:snapToGrid w:val="0"/>
              <w:spacing w:line="360" w:lineRule="auto"/>
              <w:jc w:val="center"/>
              <w:rPr>
                <w:rFonts w:ascii="宋体" w:hAnsi="宋体"/>
                <w:sz w:val="24"/>
              </w:rPr>
            </w:pPr>
          </w:p>
        </w:tc>
        <w:tc>
          <w:tcPr>
            <w:tcW w:w="1354" w:type="dxa"/>
            <w:vAlign w:val="center"/>
          </w:tcPr>
          <w:p>
            <w:pPr>
              <w:tabs>
                <w:tab w:val="left" w:pos="1337"/>
              </w:tabs>
              <w:adjustRightInd w:val="0"/>
              <w:snapToGrid w:val="0"/>
              <w:spacing w:line="360" w:lineRule="auto"/>
              <w:jc w:val="center"/>
              <w:rPr>
                <w:rFonts w:ascii="宋体" w:hAnsi="宋体"/>
                <w:sz w:val="24"/>
              </w:rPr>
            </w:pPr>
          </w:p>
        </w:tc>
        <w:tc>
          <w:tcPr>
            <w:tcW w:w="800" w:type="dxa"/>
            <w:vAlign w:val="center"/>
          </w:tcPr>
          <w:p>
            <w:pPr>
              <w:tabs>
                <w:tab w:val="left" w:pos="1337"/>
              </w:tabs>
              <w:adjustRightInd w:val="0"/>
              <w:snapToGrid w:val="0"/>
              <w:spacing w:line="360" w:lineRule="auto"/>
              <w:jc w:val="center"/>
              <w:rPr>
                <w:rFonts w:ascii="宋体" w:hAnsi="宋体"/>
                <w:sz w:val="24"/>
              </w:rPr>
            </w:pPr>
          </w:p>
        </w:tc>
        <w:tc>
          <w:tcPr>
            <w:tcW w:w="184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48" w:type="dxa"/>
            <w:vAlign w:val="center"/>
          </w:tcPr>
          <w:p>
            <w:pPr>
              <w:tabs>
                <w:tab w:val="left" w:pos="1337"/>
              </w:tabs>
              <w:adjustRightInd w:val="0"/>
              <w:snapToGrid w:val="0"/>
              <w:spacing w:line="360" w:lineRule="auto"/>
              <w:jc w:val="center"/>
              <w:rPr>
                <w:rFonts w:ascii="宋体" w:hAnsi="宋体"/>
                <w:sz w:val="24"/>
              </w:rPr>
            </w:pPr>
          </w:p>
        </w:tc>
        <w:tc>
          <w:tcPr>
            <w:tcW w:w="1354" w:type="dxa"/>
            <w:vAlign w:val="center"/>
          </w:tcPr>
          <w:p>
            <w:pPr>
              <w:tabs>
                <w:tab w:val="left" w:pos="1337"/>
              </w:tabs>
              <w:adjustRightInd w:val="0"/>
              <w:snapToGrid w:val="0"/>
              <w:spacing w:line="360" w:lineRule="auto"/>
              <w:jc w:val="center"/>
              <w:rPr>
                <w:rFonts w:ascii="宋体" w:hAnsi="宋体"/>
                <w:sz w:val="24"/>
              </w:rPr>
            </w:pPr>
          </w:p>
        </w:tc>
        <w:tc>
          <w:tcPr>
            <w:tcW w:w="800" w:type="dxa"/>
            <w:vAlign w:val="center"/>
          </w:tcPr>
          <w:p>
            <w:pPr>
              <w:tabs>
                <w:tab w:val="left" w:pos="1337"/>
              </w:tabs>
              <w:adjustRightInd w:val="0"/>
              <w:snapToGrid w:val="0"/>
              <w:spacing w:line="360" w:lineRule="auto"/>
              <w:jc w:val="center"/>
              <w:rPr>
                <w:rFonts w:ascii="宋体" w:hAnsi="宋体"/>
                <w:sz w:val="24"/>
              </w:rPr>
            </w:pPr>
          </w:p>
        </w:tc>
        <w:tc>
          <w:tcPr>
            <w:tcW w:w="184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48" w:type="dxa"/>
            <w:vAlign w:val="center"/>
          </w:tcPr>
          <w:p>
            <w:pPr>
              <w:tabs>
                <w:tab w:val="left" w:pos="1337"/>
              </w:tabs>
              <w:adjustRightInd w:val="0"/>
              <w:snapToGrid w:val="0"/>
              <w:spacing w:line="360" w:lineRule="auto"/>
              <w:jc w:val="center"/>
              <w:rPr>
                <w:rFonts w:ascii="宋体" w:hAnsi="宋体"/>
                <w:sz w:val="24"/>
              </w:rPr>
            </w:pPr>
          </w:p>
        </w:tc>
        <w:tc>
          <w:tcPr>
            <w:tcW w:w="1354" w:type="dxa"/>
            <w:vAlign w:val="center"/>
          </w:tcPr>
          <w:p>
            <w:pPr>
              <w:tabs>
                <w:tab w:val="left" w:pos="1337"/>
              </w:tabs>
              <w:adjustRightInd w:val="0"/>
              <w:snapToGrid w:val="0"/>
              <w:spacing w:line="360" w:lineRule="auto"/>
              <w:jc w:val="center"/>
              <w:rPr>
                <w:rFonts w:ascii="宋体" w:hAnsi="宋体"/>
                <w:sz w:val="24"/>
              </w:rPr>
            </w:pPr>
          </w:p>
        </w:tc>
        <w:tc>
          <w:tcPr>
            <w:tcW w:w="800" w:type="dxa"/>
            <w:vAlign w:val="center"/>
          </w:tcPr>
          <w:p>
            <w:pPr>
              <w:tabs>
                <w:tab w:val="left" w:pos="1337"/>
              </w:tabs>
              <w:adjustRightInd w:val="0"/>
              <w:snapToGrid w:val="0"/>
              <w:spacing w:line="360" w:lineRule="auto"/>
              <w:jc w:val="center"/>
              <w:rPr>
                <w:rFonts w:ascii="宋体" w:hAnsi="宋体"/>
                <w:sz w:val="24"/>
              </w:rPr>
            </w:pPr>
          </w:p>
        </w:tc>
        <w:tc>
          <w:tcPr>
            <w:tcW w:w="184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48" w:type="dxa"/>
            <w:vAlign w:val="center"/>
          </w:tcPr>
          <w:p>
            <w:pPr>
              <w:tabs>
                <w:tab w:val="left" w:pos="1337"/>
              </w:tabs>
              <w:adjustRightInd w:val="0"/>
              <w:snapToGrid w:val="0"/>
              <w:spacing w:line="360" w:lineRule="auto"/>
              <w:jc w:val="center"/>
              <w:rPr>
                <w:rFonts w:ascii="宋体" w:hAnsi="宋体"/>
                <w:sz w:val="24"/>
              </w:rPr>
            </w:pPr>
          </w:p>
        </w:tc>
        <w:tc>
          <w:tcPr>
            <w:tcW w:w="1354" w:type="dxa"/>
            <w:vAlign w:val="center"/>
          </w:tcPr>
          <w:p>
            <w:pPr>
              <w:tabs>
                <w:tab w:val="left" w:pos="1337"/>
              </w:tabs>
              <w:adjustRightInd w:val="0"/>
              <w:snapToGrid w:val="0"/>
              <w:spacing w:line="360" w:lineRule="auto"/>
              <w:jc w:val="center"/>
              <w:rPr>
                <w:rFonts w:ascii="宋体" w:hAnsi="宋体"/>
                <w:sz w:val="24"/>
              </w:rPr>
            </w:pPr>
          </w:p>
        </w:tc>
        <w:tc>
          <w:tcPr>
            <w:tcW w:w="800" w:type="dxa"/>
            <w:vAlign w:val="center"/>
          </w:tcPr>
          <w:p>
            <w:pPr>
              <w:tabs>
                <w:tab w:val="left" w:pos="1337"/>
              </w:tabs>
              <w:adjustRightInd w:val="0"/>
              <w:snapToGrid w:val="0"/>
              <w:spacing w:line="360" w:lineRule="auto"/>
              <w:jc w:val="center"/>
              <w:rPr>
                <w:rFonts w:ascii="宋体" w:hAnsi="宋体"/>
                <w:sz w:val="24"/>
              </w:rPr>
            </w:pPr>
          </w:p>
        </w:tc>
        <w:tc>
          <w:tcPr>
            <w:tcW w:w="184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48" w:type="dxa"/>
            <w:vAlign w:val="center"/>
          </w:tcPr>
          <w:p>
            <w:pPr>
              <w:tabs>
                <w:tab w:val="left" w:pos="1337"/>
              </w:tabs>
              <w:adjustRightInd w:val="0"/>
              <w:snapToGrid w:val="0"/>
              <w:spacing w:line="360" w:lineRule="auto"/>
              <w:jc w:val="center"/>
              <w:rPr>
                <w:rFonts w:ascii="宋体" w:hAnsi="宋体"/>
                <w:sz w:val="24"/>
              </w:rPr>
            </w:pPr>
          </w:p>
        </w:tc>
        <w:tc>
          <w:tcPr>
            <w:tcW w:w="1354" w:type="dxa"/>
            <w:vAlign w:val="center"/>
          </w:tcPr>
          <w:p>
            <w:pPr>
              <w:tabs>
                <w:tab w:val="left" w:pos="1337"/>
              </w:tabs>
              <w:adjustRightInd w:val="0"/>
              <w:snapToGrid w:val="0"/>
              <w:spacing w:line="360" w:lineRule="auto"/>
              <w:jc w:val="center"/>
              <w:rPr>
                <w:rFonts w:ascii="宋体" w:hAnsi="宋体"/>
                <w:sz w:val="24"/>
              </w:rPr>
            </w:pPr>
          </w:p>
        </w:tc>
        <w:tc>
          <w:tcPr>
            <w:tcW w:w="800" w:type="dxa"/>
            <w:vAlign w:val="center"/>
          </w:tcPr>
          <w:p>
            <w:pPr>
              <w:tabs>
                <w:tab w:val="left" w:pos="1337"/>
              </w:tabs>
              <w:adjustRightInd w:val="0"/>
              <w:snapToGrid w:val="0"/>
              <w:spacing w:line="360" w:lineRule="auto"/>
              <w:jc w:val="center"/>
              <w:rPr>
                <w:rFonts w:ascii="宋体" w:hAnsi="宋体"/>
                <w:sz w:val="24"/>
              </w:rPr>
            </w:pPr>
          </w:p>
        </w:tc>
        <w:tc>
          <w:tcPr>
            <w:tcW w:w="184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5" w:hRule="atLeast"/>
        </w:trPr>
        <w:tc>
          <w:tcPr>
            <w:tcW w:w="648" w:type="dxa"/>
            <w:vAlign w:val="center"/>
          </w:tcPr>
          <w:p>
            <w:pPr>
              <w:tabs>
                <w:tab w:val="left" w:pos="1337"/>
              </w:tabs>
              <w:adjustRightInd w:val="0"/>
              <w:snapToGrid w:val="0"/>
              <w:spacing w:line="360" w:lineRule="auto"/>
              <w:jc w:val="center"/>
              <w:rPr>
                <w:rFonts w:ascii="宋体" w:hAnsi="宋体"/>
                <w:sz w:val="24"/>
              </w:rPr>
            </w:pPr>
          </w:p>
        </w:tc>
        <w:tc>
          <w:tcPr>
            <w:tcW w:w="1354" w:type="dxa"/>
            <w:vAlign w:val="center"/>
          </w:tcPr>
          <w:p>
            <w:pPr>
              <w:tabs>
                <w:tab w:val="left" w:pos="1337"/>
              </w:tabs>
              <w:adjustRightInd w:val="0"/>
              <w:snapToGrid w:val="0"/>
              <w:spacing w:line="360" w:lineRule="auto"/>
              <w:jc w:val="center"/>
              <w:rPr>
                <w:rFonts w:ascii="宋体" w:hAnsi="宋体"/>
                <w:sz w:val="24"/>
              </w:rPr>
            </w:pPr>
          </w:p>
        </w:tc>
        <w:tc>
          <w:tcPr>
            <w:tcW w:w="800" w:type="dxa"/>
            <w:vAlign w:val="center"/>
          </w:tcPr>
          <w:p>
            <w:pPr>
              <w:tabs>
                <w:tab w:val="left" w:pos="1337"/>
              </w:tabs>
              <w:adjustRightInd w:val="0"/>
              <w:snapToGrid w:val="0"/>
              <w:spacing w:line="360" w:lineRule="auto"/>
              <w:jc w:val="center"/>
              <w:rPr>
                <w:rFonts w:ascii="宋体" w:hAnsi="宋体"/>
                <w:sz w:val="24"/>
              </w:rPr>
            </w:pPr>
          </w:p>
        </w:tc>
        <w:tc>
          <w:tcPr>
            <w:tcW w:w="184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992" w:type="dxa"/>
            <w:vAlign w:val="center"/>
          </w:tcPr>
          <w:p>
            <w:pPr>
              <w:tabs>
                <w:tab w:val="left" w:pos="1337"/>
              </w:tabs>
              <w:adjustRightInd w:val="0"/>
              <w:snapToGrid w:val="0"/>
              <w:spacing w:line="360" w:lineRule="auto"/>
              <w:jc w:val="center"/>
              <w:rPr>
                <w:rFonts w:ascii="宋体" w:hAnsi="宋体"/>
                <w:sz w:val="24"/>
              </w:rPr>
            </w:pPr>
          </w:p>
        </w:tc>
        <w:tc>
          <w:tcPr>
            <w:tcW w:w="1418" w:type="dxa"/>
            <w:vAlign w:val="center"/>
          </w:tcPr>
          <w:p>
            <w:pPr>
              <w:tabs>
                <w:tab w:val="left" w:pos="1337"/>
              </w:tabs>
              <w:adjustRightInd w:val="0"/>
              <w:snapToGrid w:val="0"/>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trPr>
        <w:tc>
          <w:tcPr>
            <w:tcW w:w="2802" w:type="dxa"/>
            <w:gridSpan w:val="3"/>
            <w:vMerge w:val="restart"/>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合计</w:t>
            </w:r>
          </w:p>
        </w:tc>
        <w:tc>
          <w:tcPr>
            <w:tcW w:w="6662" w:type="dxa"/>
            <w:gridSpan w:val="5"/>
            <w:vAlign w:val="center"/>
          </w:tcPr>
          <w:p>
            <w:pPr>
              <w:tabs>
                <w:tab w:val="left" w:pos="1337"/>
              </w:tabs>
              <w:adjustRightInd w:val="0"/>
              <w:snapToGrid w:val="0"/>
              <w:spacing w:line="360" w:lineRule="auto"/>
              <w:rPr>
                <w:rFonts w:ascii="宋体" w:hAnsi="宋体"/>
                <w:sz w:val="24"/>
              </w:rPr>
            </w:pPr>
            <w:r>
              <w:rPr>
                <w:rFonts w:hint="eastAsia" w:ascii="宋体" w:hAnsi="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trPr>
        <w:tc>
          <w:tcPr>
            <w:tcW w:w="2802" w:type="dxa"/>
            <w:gridSpan w:val="3"/>
            <w:vMerge w:val="continue"/>
            <w:vAlign w:val="center"/>
          </w:tcPr>
          <w:p>
            <w:pPr>
              <w:tabs>
                <w:tab w:val="left" w:pos="1337"/>
              </w:tabs>
              <w:adjustRightInd w:val="0"/>
              <w:snapToGrid w:val="0"/>
              <w:spacing w:line="360" w:lineRule="auto"/>
              <w:jc w:val="center"/>
              <w:rPr>
                <w:rFonts w:ascii="宋体" w:hAnsi="宋体"/>
                <w:sz w:val="24"/>
              </w:rPr>
            </w:pPr>
          </w:p>
        </w:tc>
        <w:tc>
          <w:tcPr>
            <w:tcW w:w="6662" w:type="dxa"/>
            <w:gridSpan w:val="5"/>
            <w:vAlign w:val="center"/>
          </w:tcPr>
          <w:p>
            <w:pPr>
              <w:tabs>
                <w:tab w:val="left" w:pos="1337"/>
              </w:tabs>
              <w:adjustRightInd w:val="0"/>
              <w:snapToGrid w:val="0"/>
              <w:spacing w:line="360" w:lineRule="auto"/>
              <w:rPr>
                <w:rFonts w:ascii="宋体" w:hAnsi="宋体"/>
                <w:sz w:val="24"/>
              </w:rPr>
            </w:pPr>
            <w:r>
              <w:rPr>
                <w:rFonts w:hint="eastAsia" w:ascii="宋体" w:hAnsi="宋体"/>
                <w:sz w:val="24"/>
              </w:rPr>
              <w:t>大写：</w:t>
            </w:r>
          </w:p>
        </w:tc>
      </w:tr>
    </w:tbl>
    <w:p>
      <w:pPr>
        <w:spacing w:line="360" w:lineRule="auto"/>
        <w:rPr>
          <w:rFonts w:ascii="宋体" w:hAnsi="宋体"/>
          <w:b/>
        </w:rPr>
      </w:pPr>
      <w:r>
        <w:rPr>
          <w:rFonts w:hint="eastAsia" w:ascii="宋体" w:hAnsi="宋体"/>
          <w:b/>
          <w:sz w:val="24"/>
        </w:rPr>
        <w:t>说明：（</w:t>
      </w:r>
      <w:r>
        <w:rPr>
          <w:rFonts w:ascii="宋体" w:hAnsi="宋体"/>
          <w:b/>
          <w:sz w:val="24"/>
        </w:rPr>
        <w:t>1</w:t>
      </w:r>
      <w:r>
        <w:rPr>
          <w:rFonts w:hint="eastAsia" w:ascii="宋体" w:hAnsi="宋体"/>
          <w:b/>
          <w:sz w:val="24"/>
        </w:rPr>
        <w:t>）投标产品中所列的主要组成部分及配件需明细报价。</w:t>
      </w:r>
    </w:p>
    <w:p>
      <w:pPr>
        <w:spacing w:line="360" w:lineRule="auto"/>
        <w:rPr>
          <w:rFonts w:ascii="宋体" w:hAnsi="宋体"/>
          <w:b/>
          <w:sz w:val="24"/>
        </w:rPr>
      </w:pPr>
      <w:r>
        <w:rPr>
          <w:rFonts w:hint="eastAsia" w:ascii="宋体" w:hAnsi="宋体"/>
          <w:b/>
          <w:sz w:val="24"/>
        </w:rPr>
        <w:t>（</w:t>
      </w:r>
      <w:r>
        <w:rPr>
          <w:rFonts w:ascii="宋体" w:hAnsi="宋体"/>
          <w:b/>
          <w:sz w:val="24"/>
        </w:rPr>
        <w:t>2</w:t>
      </w:r>
      <w:r>
        <w:rPr>
          <w:rFonts w:hint="eastAsia" w:ascii="宋体" w:hAnsi="宋体"/>
          <w:b/>
          <w:sz w:val="24"/>
        </w:rPr>
        <w:t>）供应商必须如实填写主要设备及配件报价明细表，否则按无效投标处理。</w:t>
      </w:r>
    </w:p>
    <w:p>
      <w:pPr>
        <w:spacing w:line="360" w:lineRule="exact"/>
        <w:ind w:right="187"/>
        <w:rPr>
          <w:rFonts w:ascii="宋体" w:hAnsi="宋体" w:cs="宋体"/>
          <w:sz w:val="24"/>
        </w:rPr>
      </w:pPr>
    </w:p>
    <w:p>
      <w:pPr>
        <w:spacing w:line="360" w:lineRule="exact"/>
        <w:ind w:right="187"/>
        <w:rPr>
          <w:rFonts w:ascii="宋体" w:hAnsi="宋体"/>
          <w:sz w:val="24"/>
          <w:u w:val="single"/>
        </w:rPr>
      </w:pPr>
      <w:r>
        <w:rPr>
          <w:rFonts w:hint="eastAsia" w:ascii="宋体" w:hAnsi="宋体" w:cs="宋体"/>
          <w:sz w:val="24"/>
        </w:rPr>
        <w:t>供应商名称（公章）：</w:t>
      </w:r>
    </w:p>
    <w:p>
      <w:pPr>
        <w:spacing w:line="360" w:lineRule="exact"/>
        <w:ind w:right="187"/>
        <w:rPr>
          <w:rFonts w:ascii="宋体" w:hAnsi="宋体"/>
          <w:sz w:val="24"/>
          <w:u w:val="single"/>
        </w:rPr>
      </w:pPr>
    </w:p>
    <w:p>
      <w:pPr>
        <w:spacing w:line="300" w:lineRule="exact"/>
        <w:ind w:right="187"/>
        <w:rPr>
          <w:rFonts w:ascii="宋体" w:hAnsi="宋体"/>
          <w:b/>
          <w:bCs/>
          <w:sz w:val="24"/>
        </w:rPr>
      </w:pPr>
      <w:r>
        <w:rPr>
          <w:rFonts w:hint="eastAsia" w:ascii="宋体" w:hAnsi="宋体" w:cs="宋体"/>
          <w:sz w:val="24"/>
        </w:rPr>
        <w:t>法定代表人或授权代理人签字：</w:t>
      </w:r>
    </w:p>
    <w:p>
      <w:pPr>
        <w:pStyle w:val="31"/>
        <w:spacing w:line="240" w:lineRule="auto"/>
        <w:ind w:left="0" w:leftChars="0" w:firstLine="0" w:firstLineChars="0"/>
        <w:jc w:val="right"/>
        <w:rPr>
          <w:rFonts w:ascii="宋体" w:hAnsi="宋体"/>
          <w:sz w:val="22"/>
        </w:rPr>
      </w:pPr>
      <w:r>
        <w:rPr>
          <w:rFonts w:hint="eastAsia" w:ascii="宋体" w:hAnsi="宋体" w:cs="宋体"/>
          <w:sz w:val="22"/>
        </w:rPr>
        <w:t>年月日</w:t>
      </w:r>
    </w:p>
    <w:p>
      <w:pPr>
        <w:pStyle w:val="31"/>
        <w:spacing w:line="240" w:lineRule="auto"/>
        <w:ind w:left="0" w:leftChars="0" w:firstLine="0" w:firstLineChars="0"/>
        <w:jc w:val="right"/>
        <w:rPr>
          <w:rFonts w:ascii="宋体" w:hAnsi="宋体"/>
          <w:bCs/>
        </w:rPr>
      </w:pPr>
    </w:p>
    <w:p>
      <w:pPr>
        <w:pStyle w:val="5"/>
        <w:spacing w:before="120" w:after="120" w:line="360" w:lineRule="exact"/>
        <w:rPr>
          <w:rFonts w:ascii="宋体" w:hAnsi="宋体"/>
          <w:b w:val="0"/>
          <w:bCs/>
          <w:sz w:val="24"/>
          <w:szCs w:val="21"/>
        </w:rPr>
      </w:pPr>
      <w:bookmarkStart w:id="108" w:name="_Toc475472016"/>
      <w:bookmarkStart w:id="109" w:name="_Toc322102942"/>
      <w:r>
        <w:rPr>
          <w:rFonts w:ascii="宋体" w:hAnsi="宋体"/>
          <w:b w:val="0"/>
          <w:sz w:val="24"/>
          <w:szCs w:val="21"/>
        </w:rPr>
        <w:br w:type="page"/>
      </w:r>
      <w:bookmarkStart w:id="110" w:name="_Toc11850812"/>
      <w:r>
        <w:rPr>
          <w:rFonts w:hint="eastAsia" w:ascii="宋体" w:hAnsi="宋体"/>
          <w:b w:val="0"/>
          <w:sz w:val="24"/>
          <w:szCs w:val="21"/>
        </w:rPr>
        <w:t>附件七：设备维保明细表</w:t>
      </w:r>
      <w:bookmarkEnd w:id="108"/>
      <w:r>
        <w:rPr>
          <w:rFonts w:hint="eastAsia" w:ascii="宋体" w:hAnsi="宋体"/>
          <w:b w:val="0"/>
          <w:sz w:val="24"/>
          <w:szCs w:val="21"/>
        </w:rPr>
        <w:t>（如需）</w:t>
      </w:r>
      <w:bookmarkEnd w:id="110"/>
    </w:p>
    <w:p>
      <w:pPr>
        <w:pStyle w:val="2"/>
        <w:spacing w:after="0" w:line="460" w:lineRule="exact"/>
        <w:jc w:val="center"/>
        <w:rPr>
          <w:rFonts w:ascii="宋体" w:hAnsi="宋体"/>
          <w:b/>
          <w:sz w:val="32"/>
        </w:rPr>
      </w:pPr>
      <w:r>
        <w:rPr>
          <w:rFonts w:ascii="宋体" w:hAnsi="宋体"/>
          <w:b/>
          <w:sz w:val="32"/>
        </w:rPr>
        <w:t>XX</w:t>
      </w:r>
      <w:r>
        <w:rPr>
          <w:rFonts w:hint="eastAsia" w:ascii="宋体" w:hAnsi="宋体"/>
          <w:b/>
          <w:sz w:val="32"/>
        </w:rPr>
        <w:t>设备维保明细表</w:t>
      </w:r>
    </w:p>
    <w:p>
      <w:pPr>
        <w:pStyle w:val="31"/>
        <w:spacing w:line="360" w:lineRule="exact"/>
        <w:ind w:left="0" w:leftChars="0" w:firstLine="0" w:firstLineChars="0"/>
        <w:rPr>
          <w:rFonts w:ascii="宋体" w:hAnsi="宋体"/>
          <w:bCs/>
        </w:rPr>
      </w:pPr>
      <w:r>
        <w:rPr>
          <w:rFonts w:hint="eastAsia" w:ascii="宋体" w:hAnsi="宋体"/>
          <w:bCs/>
        </w:rPr>
        <w:t>项目编号：</w:t>
      </w:r>
      <w:r>
        <w:rPr>
          <w:rFonts w:hint="eastAsia" w:ascii="宋体" w:hAnsi="宋体"/>
        </w:rPr>
        <w:t>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spacing w:line="360" w:lineRule="auto"/>
        <w:ind w:right="187" w:firstLine="120" w:firstLineChars="50"/>
        <w:rPr>
          <w:rFonts w:ascii="宋体" w:hAnsi="宋体"/>
          <w:bCs/>
          <w:sz w:val="24"/>
        </w:rPr>
      </w:pPr>
    </w:p>
    <w:tbl>
      <w:tblPr>
        <w:tblStyle w:val="7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2371"/>
        <w:gridCol w:w="4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399" w:type="dxa"/>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设备名称</w:t>
            </w:r>
          </w:p>
        </w:tc>
        <w:tc>
          <w:tcPr>
            <w:tcW w:w="6882" w:type="dxa"/>
            <w:gridSpan w:val="2"/>
            <w:vAlign w:val="center"/>
          </w:tcPr>
          <w:p>
            <w:pPr>
              <w:pStyle w:val="31"/>
              <w:spacing w:line="360" w:lineRule="auto"/>
              <w:ind w:left="0" w:leftChars="0" w:firstLine="0" w:firstLineChars="0"/>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399" w:type="dxa"/>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品牌</w:t>
            </w:r>
          </w:p>
        </w:tc>
        <w:tc>
          <w:tcPr>
            <w:tcW w:w="6882" w:type="dxa"/>
            <w:gridSpan w:val="2"/>
            <w:vAlign w:val="center"/>
          </w:tcPr>
          <w:p>
            <w:pPr>
              <w:pStyle w:val="31"/>
              <w:spacing w:line="360" w:lineRule="auto"/>
              <w:ind w:left="0" w:leftChars="0" w:firstLine="0" w:firstLineChars="0"/>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399" w:type="dxa"/>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型号</w:t>
            </w:r>
          </w:p>
        </w:tc>
        <w:tc>
          <w:tcPr>
            <w:tcW w:w="6882" w:type="dxa"/>
            <w:gridSpan w:val="2"/>
            <w:vAlign w:val="center"/>
          </w:tcPr>
          <w:p>
            <w:pPr>
              <w:pStyle w:val="31"/>
              <w:spacing w:line="360" w:lineRule="auto"/>
              <w:ind w:left="0" w:leftChars="0" w:firstLine="0" w:firstLineChars="0"/>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399" w:type="dxa"/>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数量</w:t>
            </w:r>
          </w:p>
        </w:tc>
        <w:tc>
          <w:tcPr>
            <w:tcW w:w="6882" w:type="dxa"/>
            <w:gridSpan w:val="2"/>
            <w:vAlign w:val="center"/>
          </w:tcPr>
          <w:p>
            <w:pPr>
              <w:pStyle w:val="31"/>
              <w:spacing w:line="360" w:lineRule="auto"/>
              <w:ind w:left="0" w:leftChars="0" w:firstLine="0" w:firstLineChars="0"/>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2399" w:type="dxa"/>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单价</w:t>
            </w:r>
          </w:p>
        </w:tc>
        <w:tc>
          <w:tcPr>
            <w:tcW w:w="6882" w:type="dxa"/>
            <w:gridSpan w:val="2"/>
            <w:vAlign w:val="center"/>
          </w:tcPr>
          <w:p>
            <w:pPr>
              <w:pStyle w:val="31"/>
              <w:spacing w:line="360" w:lineRule="auto"/>
              <w:ind w:left="0" w:leftChars="0" w:firstLine="0" w:firstLineChars="0"/>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2399" w:type="dxa"/>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质保期</w:t>
            </w:r>
          </w:p>
        </w:tc>
        <w:tc>
          <w:tcPr>
            <w:tcW w:w="6882" w:type="dxa"/>
            <w:gridSpan w:val="2"/>
            <w:vAlign w:val="center"/>
          </w:tcPr>
          <w:p>
            <w:pPr>
              <w:pStyle w:val="31"/>
              <w:spacing w:line="360" w:lineRule="auto"/>
              <w:ind w:left="0" w:leftChars="0" w:firstLine="0" w:firstLineChars="0"/>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trPr>
        <w:tc>
          <w:tcPr>
            <w:tcW w:w="2399" w:type="dxa"/>
            <w:vMerge w:val="restart"/>
            <w:vAlign w:val="center"/>
          </w:tcPr>
          <w:p>
            <w:pPr>
              <w:tabs>
                <w:tab w:val="left" w:pos="1337"/>
              </w:tabs>
              <w:adjustRightInd w:val="0"/>
              <w:snapToGrid w:val="0"/>
              <w:jc w:val="center"/>
              <w:rPr>
                <w:rFonts w:ascii="宋体" w:hAnsi="宋体"/>
                <w:sz w:val="24"/>
              </w:rPr>
            </w:pPr>
            <w:r>
              <w:rPr>
                <w:rFonts w:hint="eastAsia" w:ascii="宋体" w:hAnsi="宋体"/>
                <w:sz w:val="24"/>
              </w:rPr>
              <w:t>保修价格</w:t>
            </w:r>
          </w:p>
          <w:p>
            <w:pPr>
              <w:tabs>
                <w:tab w:val="left" w:pos="1337"/>
              </w:tabs>
              <w:adjustRightInd w:val="0"/>
              <w:snapToGrid w:val="0"/>
              <w:jc w:val="center"/>
              <w:rPr>
                <w:rFonts w:ascii="宋体" w:hAnsi="宋体"/>
                <w:sz w:val="24"/>
              </w:rPr>
            </w:pPr>
            <w:r>
              <w:rPr>
                <w:rFonts w:hint="eastAsia" w:ascii="宋体" w:hAnsi="宋体"/>
                <w:sz w:val="24"/>
              </w:rPr>
              <w:t>（请按设备分别报价）</w:t>
            </w:r>
          </w:p>
        </w:tc>
        <w:tc>
          <w:tcPr>
            <w:tcW w:w="2371" w:type="dxa"/>
            <w:vAlign w:val="center"/>
          </w:tcPr>
          <w:p>
            <w:pPr>
              <w:pStyle w:val="31"/>
              <w:spacing w:line="360" w:lineRule="auto"/>
              <w:ind w:left="0" w:leftChars="0" w:firstLine="0" w:firstLineChars="0"/>
              <w:jc w:val="center"/>
              <w:rPr>
                <w:rFonts w:ascii="宋体" w:hAnsi="宋体"/>
                <w:kern w:val="2"/>
                <w:szCs w:val="24"/>
                <w:lang w:val="en-US" w:eastAsia="zh-CN"/>
              </w:rPr>
            </w:pPr>
            <w:r>
              <w:rPr>
                <w:rFonts w:hint="eastAsia" w:ascii="宋体" w:hAnsi="宋体"/>
                <w:kern w:val="2"/>
                <w:szCs w:val="24"/>
                <w:lang w:val="en-US" w:eastAsia="zh-CN"/>
              </w:rPr>
              <w:t>质保期满后年</w:t>
            </w:r>
          </w:p>
        </w:tc>
        <w:tc>
          <w:tcPr>
            <w:tcW w:w="4511" w:type="dxa"/>
            <w:vAlign w:val="center"/>
          </w:tcPr>
          <w:p>
            <w:pPr>
              <w:pStyle w:val="31"/>
              <w:spacing w:line="360" w:lineRule="auto"/>
              <w:ind w:left="0" w:leftChars="0" w:firstLine="0" w:firstLineChars="0"/>
              <w:jc w:val="center"/>
              <w:rPr>
                <w:rFonts w:ascii="宋体" w:hAnsi="宋体"/>
                <w:kern w:val="2"/>
                <w:szCs w:val="24"/>
                <w:lang w:val="en-US" w:eastAsia="zh-CN"/>
              </w:rPr>
            </w:pPr>
            <w:r>
              <w:rPr>
                <w:rFonts w:hint="eastAsia" w:ascii="宋体" w:hAnsi="宋体"/>
                <w:kern w:val="2"/>
                <w:szCs w:val="24"/>
                <w:lang w:val="en-US" w:eastAsia="zh-CN"/>
              </w:rPr>
              <w:t>保修价格（元）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2399" w:type="dxa"/>
            <w:vMerge w:val="continue"/>
            <w:vAlign w:val="center"/>
          </w:tcPr>
          <w:p>
            <w:pPr>
              <w:tabs>
                <w:tab w:val="left" w:pos="1337"/>
              </w:tabs>
              <w:adjustRightInd w:val="0"/>
              <w:snapToGrid w:val="0"/>
              <w:spacing w:line="360" w:lineRule="auto"/>
              <w:jc w:val="center"/>
              <w:rPr>
                <w:rFonts w:ascii="宋体" w:hAnsi="宋体"/>
                <w:sz w:val="24"/>
              </w:rPr>
            </w:pPr>
          </w:p>
        </w:tc>
        <w:tc>
          <w:tcPr>
            <w:tcW w:w="2371" w:type="dxa"/>
            <w:vAlign w:val="center"/>
          </w:tcPr>
          <w:p>
            <w:pPr>
              <w:pStyle w:val="31"/>
              <w:spacing w:line="360" w:lineRule="auto"/>
              <w:ind w:left="0" w:leftChars="0" w:firstLine="0" w:firstLineChars="0"/>
              <w:jc w:val="center"/>
              <w:rPr>
                <w:rFonts w:ascii="宋体" w:hAnsi="宋体"/>
                <w:kern w:val="2"/>
                <w:szCs w:val="24"/>
                <w:lang w:val="en-US" w:eastAsia="zh-CN"/>
              </w:rPr>
            </w:pPr>
            <w:r>
              <w:rPr>
                <w:rFonts w:ascii="宋体" w:hAnsi="宋体"/>
                <w:kern w:val="2"/>
                <w:szCs w:val="24"/>
                <w:lang w:val="en-US" w:eastAsia="zh-CN"/>
              </w:rPr>
              <w:t>1</w:t>
            </w:r>
          </w:p>
        </w:tc>
        <w:tc>
          <w:tcPr>
            <w:tcW w:w="4511" w:type="dxa"/>
            <w:vAlign w:val="center"/>
          </w:tcPr>
          <w:p>
            <w:pPr>
              <w:pStyle w:val="31"/>
              <w:spacing w:line="360" w:lineRule="auto"/>
              <w:ind w:left="1747" w:firstLine="470"/>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 w:hRule="atLeast"/>
        </w:trPr>
        <w:tc>
          <w:tcPr>
            <w:tcW w:w="2399" w:type="dxa"/>
            <w:vMerge w:val="continue"/>
            <w:vAlign w:val="center"/>
          </w:tcPr>
          <w:p>
            <w:pPr>
              <w:tabs>
                <w:tab w:val="left" w:pos="1337"/>
              </w:tabs>
              <w:adjustRightInd w:val="0"/>
              <w:snapToGrid w:val="0"/>
              <w:spacing w:line="360" w:lineRule="auto"/>
              <w:jc w:val="center"/>
              <w:rPr>
                <w:rFonts w:ascii="宋体" w:hAnsi="宋体"/>
                <w:sz w:val="24"/>
              </w:rPr>
            </w:pPr>
          </w:p>
        </w:tc>
        <w:tc>
          <w:tcPr>
            <w:tcW w:w="2371" w:type="dxa"/>
            <w:vAlign w:val="center"/>
          </w:tcPr>
          <w:p>
            <w:pPr>
              <w:pStyle w:val="31"/>
              <w:spacing w:line="360" w:lineRule="auto"/>
              <w:ind w:left="0" w:leftChars="0" w:firstLine="0" w:firstLineChars="0"/>
              <w:jc w:val="center"/>
              <w:rPr>
                <w:rFonts w:ascii="宋体" w:hAnsi="宋体"/>
                <w:kern w:val="2"/>
                <w:szCs w:val="24"/>
                <w:lang w:val="en-US" w:eastAsia="zh-CN"/>
              </w:rPr>
            </w:pPr>
            <w:r>
              <w:rPr>
                <w:rFonts w:ascii="宋体" w:hAnsi="宋体"/>
                <w:kern w:val="2"/>
                <w:szCs w:val="24"/>
                <w:lang w:val="en-US" w:eastAsia="zh-CN"/>
              </w:rPr>
              <w:t>3</w:t>
            </w:r>
          </w:p>
        </w:tc>
        <w:tc>
          <w:tcPr>
            <w:tcW w:w="4511" w:type="dxa"/>
            <w:vAlign w:val="center"/>
          </w:tcPr>
          <w:p>
            <w:pPr>
              <w:pStyle w:val="31"/>
              <w:spacing w:line="360" w:lineRule="auto"/>
              <w:ind w:left="1747" w:firstLine="470"/>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trPr>
        <w:tc>
          <w:tcPr>
            <w:tcW w:w="2399" w:type="dxa"/>
            <w:vMerge w:val="continue"/>
            <w:vAlign w:val="center"/>
          </w:tcPr>
          <w:p>
            <w:pPr>
              <w:tabs>
                <w:tab w:val="left" w:pos="1337"/>
              </w:tabs>
              <w:adjustRightInd w:val="0"/>
              <w:snapToGrid w:val="0"/>
              <w:spacing w:line="360" w:lineRule="auto"/>
              <w:jc w:val="center"/>
              <w:rPr>
                <w:rFonts w:ascii="宋体" w:hAnsi="宋体"/>
                <w:sz w:val="24"/>
              </w:rPr>
            </w:pPr>
          </w:p>
        </w:tc>
        <w:tc>
          <w:tcPr>
            <w:tcW w:w="2371" w:type="dxa"/>
            <w:vAlign w:val="center"/>
          </w:tcPr>
          <w:p>
            <w:pPr>
              <w:pStyle w:val="31"/>
              <w:spacing w:line="360" w:lineRule="auto"/>
              <w:ind w:left="0" w:leftChars="0" w:firstLine="0" w:firstLineChars="0"/>
              <w:jc w:val="center"/>
              <w:rPr>
                <w:rFonts w:ascii="宋体" w:hAnsi="宋体"/>
                <w:kern w:val="2"/>
                <w:szCs w:val="24"/>
                <w:lang w:val="en-US" w:eastAsia="zh-CN"/>
              </w:rPr>
            </w:pPr>
            <w:r>
              <w:rPr>
                <w:rFonts w:ascii="宋体" w:hAnsi="宋体"/>
                <w:kern w:val="2"/>
                <w:szCs w:val="24"/>
                <w:lang w:val="en-US" w:eastAsia="zh-CN"/>
              </w:rPr>
              <w:t>5</w:t>
            </w:r>
          </w:p>
        </w:tc>
        <w:tc>
          <w:tcPr>
            <w:tcW w:w="4511" w:type="dxa"/>
            <w:vAlign w:val="center"/>
          </w:tcPr>
          <w:p>
            <w:pPr>
              <w:pStyle w:val="31"/>
              <w:spacing w:line="360" w:lineRule="auto"/>
              <w:ind w:left="1747" w:firstLine="470"/>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 w:hRule="atLeast"/>
        </w:trPr>
        <w:tc>
          <w:tcPr>
            <w:tcW w:w="2399" w:type="dxa"/>
            <w:vMerge w:val="continue"/>
            <w:vAlign w:val="center"/>
          </w:tcPr>
          <w:p>
            <w:pPr>
              <w:tabs>
                <w:tab w:val="left" w:pos="1337"/>
              </w:tabs>
              <w:adjustRightInd w:val="0"/>
              <w:snapToGrid w:val="0"/>
              <w:spacing w:line="360" w:lineRule="auto"/>
              <w:jc w:val="center"/>
              <w:rPr>
                <w:rFonts w:ascii="宋体" w:hAnsi="宋体"/>
                <w:sz w:val="24"/>
              </w:rPr>
            </w:pPr>
          </w:p>
        </w:tc>
        <w:tc>
          <w:tcPr>
            <w:tcW w:w="2371" w:type="dxa"/>
            <w:vAlign w:val="center"/>
          </w:tcPr>
          <w:p>
            <w:pPr>
              <w:pStyle w:val="31"/>
              <w:spacing w:line="360" w:lineRule="auto"/>
              <w:ind w:left="0" w:leftChars="0" w:firstLine="0" w:firstLineChars="0"/>
              <w:jc w:val="center"/>
              <w:rPr>
                <w:rFonts w:ascii="宋体" w:hAnsi="宋体"/>
                <w:kern w:val="2"/>
                <w:szCs w:val="24"/>
                <w:lang w:val="en-US" w:eastAsia="zh-CN"/>
              </w:rPr>
            </w:pPr>
            <w:r>
              <w:rPr>
                <w:rFonts w:hint="eastAsia" w:ascii="宋体" w:hAnsi="宋体"/>
                <w:kern w:val="2"/>
                <w:szCs w:val="24"/>
                <w:lang w:val="en-US" w:eastAsia="zh-CN"/>
              </w:rPr>
              <w:t>其他方案</w:t>
            </w:r>
          </w:p>
        </w:tc>
        <w:tc>
          <w:tcPr>
            <w:tcW w:w="4511" w:type="dxa"/>
            <w:vAlign w:val="center"/>
          </w:tcPr>
          <w:p>
            <w:pPr>
              <w:pStyle w:val="31"/>
              <w:spacing w:line="360" w:lineRule="auto"/>
              <w:ind w:left="1747" w:firstLine="470"/>
              <w:jc w:val="center"/>
              <w:rPr>
                <w:rFonts w:ascii="宋体" w:hAnsi="宋体"/>
                <w:kern w:val="2"/>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2399" w:type="dxa"/>
            <w:vAlign w:val="center"/>
          </w:tcPr>
          <w:p>
            <w:pPr>
              <w:tabs>
                <w:tab w:val="left" w:pos="1337"/>
              </w:tabs>
              <w:adjustRightInd w:val="0"/>
              <w:snapToGrid w:val="0"/>
              <w:spacing w:line="360" w:lineRule="auto"/>
              <w:jc w:val="center"/>
              <w:rPr>
                <w:rFonts w:ascii="宋体" w:hAnsi="宋体"/>
                <w:sz w:val="24"/>
              </w:rPr>
            </w:pPr>
            <w:r>
              <w:rPr>
                <w:rFonts w:hint="eastAsia" w:ascii="宋体" w:hAnsi="宋体"/>
                <w:sz w:val="24"/>
              </w:rPr>
              <w:t>优惠条件</w:t>
            </w:r>
          </w:p>
        </w:tc>
        <w:tc>
          <w:tcPr>
            <w:tcW w:w="6882" w:type="dxa"/>
            <w:gridSpan w:val="2"/>
            <w:vAlign w:val="center"/>
          </w:tcPr>
          <w:p>
            <w:pPr>
              <w:pStyle w:val="31"/>
              <w:spacing w:line="360" w:lineRule="auto"/>
              <w:ind w:left="0" w:leftChars="0" w:firstLine="0" w:firstLineChars="0"/>
              <w:rPr>
                <w:rFonts w:ascii="宋体" w:hAnsi="宋体"/>
                <w:kern w:val="2"/>
                <w:szCs w:val="24"/>
                <w:lang w:val="en-US" w:eastAsia="zh-CN"/>
              </w:rPr>
            </w:pPr>
          </w:p>
          <w:p>
            <w:pPr>
              <w:pStyle w:val="31"/>
              <w:spacing w:line="360" w:lineRule="auto"/>
              <w:ind w:left="0" w:leftChars="0" w:firstLine="0" w:firstLineChars="0"/>
              <w:rPr>
                <w:rFonts w:ascii="宋体" w:hAnsi="宋体"/>
                <w:kern w:val="2"/>
                <w:szCs w:val="24"/>
                <w:lang w:val="en-US" w:eastAsia="zh-CN"/>
              </w:rPr>
            </w:pPr>
          </w:p>
        </w:tc>
      </w:tr>
    </w:tbl>
    <w:p>
      <w:pPr>
        <w:rPr>
          <w:rFonts w:ascii="宋体" w:hAnsi="宋体"/>
          <w:b/>
          <w:sz w:val="24"/>
        </w:rPr>
      </w:pPr>
      <w:r>
        <w:rPr>
          <w:rFonts w:hint="eastAsia" w:ascii="宋体" w:hAnsi="宋体"/>
          <w:b/>
          <w:sz w:val="24"/>
        </w:rPr>
        <w:t>注：本表可选填，若设备有维保费用，请在此表中明确维保费用。</w:t>
      </w:r>
    </w:p>
    <w:p>
      <w:pPr>
        <w:rPr>
          <w:rFonts w:ascii="宋体" w:hAnsi="宋体"/>
          <w:sz w:val="24"/>
        </w:rPr>
      </w:pPr>
    </w:p>
    <w:p>
      <w:pPr>
        <w:spacing w:line="360" w:lineRule="exact"/>
        <w:ind w:right="187"/>
        <w:rPr>
          <w:rFonts w:ascii="宋体" w:hAnsi="宋体"/>
          <w:sz w:val="24"/>
          <w:u w:val="single"/>
        </w:rPr>
      </w:pPr>
      <w:r>
        <w:rPr>
          <w:rFonts w:hint="eastAsia" w:ascii="宋体" w:hAnsi="宋体" w:cs="宋体"/>
          <w:sz w:val="24"/>
        </w:rPr>
        <w:t>供应商名称（公章）：</w:t>
      </w:r>
    </w:p>
    <w:p>
      <w:pPr>
        <w:spacing w:line="360" w:lineRule="exact"/>
        <w:ind w:right="187"/>
        <w:rPr>
          <w:rFonts w:ascii="宋体" w:hAnsi="宋体"/>
          <w:sz w:val="24"/>
          <w:u w:val="single"/>
        </w:rPr>
      </w:pPr>
    </w:p>
    <w:p>
      <w:pPr>
        <w:spacing w:line="300" w:lineRule="exact"/>
        <w:ind w:right="187"/>
        <w:rPr>
          <w:rFonts w:ascii="宋体" w:hAnsi="宋体"/>
          <w:b/>
          <w:bCs/>
          <w:sz w:val="24"/>
        </w:rPr>
      </w:pPr>
      <w:r>
        <w:rPr>
          <w:rFonts w:hint="eastAsia" w:ascii="宋体" w:hAnsi="宋体" w:cs="宋体"/>
          <w:sz w:val="24"/>
        </w:rPr>
        <w:t>法定代表人或授权代理人签字：</w:t>
      </w:r>
    </w:p>
    <w:p>
      <w:pPr>
        <w:pStyle w:val="31"/>
        <w:spacing w:line="240" w:lineRule="auto"/>
        <w:ind w:left="0" w:leftChars="0" w:firstLine="0" w:firstLineChars="0"/>
        <w:jc w:val="right"/>
        <w:rPr>
          <w:rFonts w:ascii="宋体" w:hAnsi="宋体"/>
        </w:rPr>
      </w:pPr>
      <w:r>
        <w:rPr>
          <w:rFonts w:hint="eastAsia" w:ascii="宋体" w:hAnsi="宋体" w:cs="宋体"/>
        </w:rPr>
        <w:t>年月日</w:t>
      </w:r>
    </w:p>
    <w:p>
      <w:pPr>
        <w:pStyle w:val="31"/>
        <w:spacing w:line="240" w:lineRule="auto"/>
        <w:ind w:left="0" w:leftChars="0" w:firstLine="0" w:firstLineChars="0"/>
        <w:jc w:val="right"/>
        <w:rPr>
          <w:rFonts w:ascii="宋体" w:hAnsi="宋体"/>
          <w:b/>
          <w:bCs/>
        </w:rPr>
      </w:pPr>
    </w:p>
    <w:p>
      <w:pPr>
        <w:pStyle w:val="5"/>
        <w:spacing w:before="120" w:after="120" w:line="360" w:lineRule="exact"/>
        <w:rPr>
          <w:rFonts w:ascii="宋体" w:hAnsi="宋体"/>
          <w:b w:val="0"/>
          <w:bCs/>
          <w:sz w:val="24"/>
          <w:szCs w:val="21"/>
        </w:rPr>
      </w:pPr>
      <w:r>
        <w:rPr>
          <w:rFonts w:ascii="宋体" w:hAnsi="宋体"/>
        </w:rPr>
        <w:br w:type="page"/>
      </w:r>
      <w:bookmarkStart w:id="111" w:name="_Toc11850813"/>
      <w:r>
        <w:rPr>
          <w:rFonts w:hint="eastAsia" w:ascii="宋体" w:hAnsi="宋体"/>
          <w:b w:val="0"/>
          <w:sz w:val="24"/>
          <w:szCs w:val="21"/>
        </w:rPr>
        <w:t>附件八：质保期内供应的备品备件、易损件、专用工具价格表</w:t>
      </w:r>
      <w:bookmarkEnd w:id="109"/>
      <w:bookmarkEnd w:id="111"/>
    </w:p>
    <w:p>
      <w:pPr>
        <w:spacing w:line="460" w:lineRule="exact"/>
        <w:jc w:val="center"/>
        <w:rPr>
          <w:rFonts w:ascii="宋体" w:hAnsi="宋体"/>
          <w:b/>
          <w:sz w:val="24"/>
        </w:rPr>
      </w:pPr>
    </w:p>
    <w:p>
      <w:pPr>
        <w:pStyle w:val="2"/>
        <w:spacing w:after="0" w:line="460" w:lineRule="exact"/>
        <w:jc w:val="center"/>
        <w:rPr>
          <w:rFonts w:ascii="宋体" w:hAnsi="宋体"/>
          <w:b/>
          <w:sz w:val="32"/>
        </w:rPr>
      </w:pPr>
      <w:r>
        <w:rPr>
          <w:rFonts w:hint="eastAsia" w:ascii="宋体" w:hAnsi="宋体"/>
          <w:b/>
          <w:sz w:val="32"/>
        </w:rPr>
        <w:t>质保期内供应的备品备件、易损件、专用工具价格表</w:t>
      </w:r>
    </w:p>
    <w:p>
      <w:pPr>
        <w:spacing w:line="360" w:lineRule="exact"/>
        <w:ind w:right="187" w:firstLine="240" w:firstLineChars="100"/>
        <w:rPr>
          <w:rFonts w:ascii="宋体" w:hAnsi="宋体"/>
          <w:sz w:val="24"/>
        </w:rPr>
      </w:pPr>
    </w:p>
    <w:p>
      <w:pPr>
        <w:pStyle w:val="31"/>
        <w:spacing w:line="360" w:lineRule="exact"/>
        <w:ind w:left="0" w:leftChars="0" w:firstLine="0" w:firstLineChars="0"/>
        <w:rPr>
          <w:rFonts w:ascii="宋体" w:hAnsi="宋体"/>
          <w:bCs/>
        </w:rPr>
      </w:pPr>
      <w:r>
        <w:rPr>
          <w:rFonts w:hint="eastAsia" w:ascii="宋体" w:hAnsi="宋体"/>
        </w:rPr>
        <w:t>项目编号：HYHA2019-0770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spacing w:line="360" w:lineRule="exact"/>
        <w:ind w:right="187" w:firstLine="240" w:firstLineChars="100"/>
        <w:rPr>
          <w:rFonts w:ascii="宋体" w:hAnsi="宋体"/>
          <w:sz w:val="24"/>
        </w:rPr>
      </w:pPr>
    </w:p>
    <w:tbl>
      <w:tblPr>
        <w:tblStyle w:val="73"/>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trPr>
        <w:tc>
          <w:tcPr>
            <w:tcW w:w="536" w:type="dxa"/>
            <w:tcBorders>
              <w:top w:val="single" w:color="auto" w:sz="12" w:space="0"/>
              <w:left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序号</w:t>
            </w:r>
          </w:p>
        </w:tc>
        <w:tc>
          <w:tcPr>
            <w:tcW w:w="1857"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备品备件／易损件</w:t>
            </w:r>
            <w:r>
              <w:rPr>
                <w:rFonts w:ascii="宋体" w:hAnsi="宋体"/>
                <w:spacing w:val="-20"/>
                <w:kern w:val="2"/>
                <w:szCs w:val="21"/>
                <w:lang w:val="en-US" w:eastAsia="zh-CN"/>
              </w:rPr>
              <w:t>/</w:t>
            </w:r>
            <w:r>
              <w:rPr>
                <w:rFonts w:hint="eastAsia" w:ascii="宋体" w:hAnsi="宋体"/>
                <w:spacing w:val="-20"/>
                <w:kern w:val="2"/>
                <w:szCs w:val="21"/>
                <w:lang w:val="en-US" w:eastAsia="zh-CN"/>
              </w:rPr>
              <w:t>耗材／专用工具</w:t>
            </w:r>
            <w:r>
              <w:rPr>
                <w:rFonts w:ascii="宋体" w:hAnsi="宋体"/>
                <w:spacing w:val="-20"/>
                <w:kern w:val="2"/>
                <w:szCs w:val="21"/>
                <w:lang w:val="en-US" w:eastAsia="zh-CN"/>
              </w:rPr>
              <w:t>/</w:t>
            </w:r>
            <w:r>
              <w:rPr>
                <w:rFonts w:hint="eastAsia" w:ascii="宋体" w:hAnsi="宋体"/>
                <w:spacing w:val="-20"/>
                <w:kern w:val="2"/>
                <w:szCs w:val="21"/>
                <w:lang w:val="en-US" w:eastAsia="zh-CN"/>
              </w:rPr>
              <w:t>名称</w:t>
            </w:r>
          </w:p>
        </w:tc>
        <w:tc>
          <w:tcPr>
            <w:tcW w:w="100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生产企业</w:t>
            </w:r>
          </w:p>
        </w:tc>
        <w:tc>
          <w:tcPr>
            <w:tcW w:w="100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型号规格</w:t>
            </w:r>
          </w:p>
        </w:tc>
        <w:tc>
          <w:tcPr>
            <w:tcW w:w="100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数量</w:t>
            </w:r>
          </w:p>
        </w:tc>
        <w:tc>
          <w:tcPr>
            <w:tcW w:w="1124"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单位</w:t>
            </w:r>
          </w:p>
        </w:tc>
        <w:tc>
          <w:tcPr>
            <w:tcW w:w="86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单价</w:t>
            </w:r>
          </w:p>
        </w:tc>
        <w:tc>
          <w:tcPr>
            <w:tcW w:w="1087"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总价（元）</w:t>
            </w:r>
          </w:p>
        </w:tc>
        <w:tc>
          <w:tcPr>
            <w:tcW w:w="805" w:type="dxa"/>
            <w:tcBorders>
              <w:top w:val="single" w:color="auto" w:sz="12" w:space="0"/>
              <w:right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tcPr>
          <w:p>
            <w:pPr>
              <w:spacing w:line="520" w:lineRule="exact"/>
              <w:rPr>
                <w:rFonts w:ascii="宋体" w:hAnsi="宋体"/>
                <w:sz w:val="24"/>
              </w:rPr>
            </w:pPr>
          </w:p>
        </w:tc>
        <w:tc>
          <w:tcPr>
            <w:tcW w:w="1857" w:type="dxa"/>
            <w:tcBorders>
              <w:bottom w:val="single" w:color="auto" w:sz="12" w:space="0"/>
            </w:tcBorders>
          </w:tcPr>
          <w:p>
            <w:pPr>
              <w:spacing w:line="520" w:lineRule="exact"/>
              <w:jc w:val="center"/>
              <w:rPr>
                <w:rFonts w:ascii="宋体" w:hAnsi="宋体"/>
                <w:sz w:val="24"/>
              </w:rPr>
            </w:pPr>
            <w:r>
              <w:rPr>
                <w:rFonts w:hint="eastAsia" w:ascii="宋体" w:hAnsi="宋体"/>
                <w:sz w:val="24"/>
              </w:rPr>
              <w:t>合计</w:t>
            </w:r>
          </w:p>
        </w:tc>
        <w:tc>
          <w:tcPr>
            <w:tcW w:w="6900" w:type="dxa"/>
            <w:gridSpan w:val="7"/>
            <w:tcBorders>
              <w:bottom w:val="single" w:color="auto" w:sz="12" w:space="0"/>
              <w:right w:val="single" w:color="auto" w:sz="12" w:space="0"/>
            </w:tcBorders>
          </w:tcPr>
          <w:p>
            <w:pPr>
              <w:spacing w:line="520" w:lineRule="exact"/>
              <w:rPr>
                <w:rFonts w:ascii="宋体" w:hAnsi="宋体"/>
                <w:sz w:val="24"/>
              </w:rPr>
            </w:pPr>
            <w:r>
              <w:rPr>
                <w:rFonts w:hint="eastAsia" w:ascii="宋体" w:hAnsi="宋体"/>
                <w:sz w:val="24"/>
              </w:rPr>
              <w:t>大写：（小写：）</w:t>
            </w:r>
          </w:p>
        </w:tc>
      </w:tr>
    </w:tbl>
    <w:p>
      <w:pPr>
        <w:spacing w:line="360" w:lineRule="exact"/>
        <w:ind w:firstLine="240" w:firstLineChars="100"/>
        <w:rPr>
          <w:rFonts w:ascii="宋体" w:hAnsi="宋体"/>
          <w:sz w:val="24"/>
        </w:rPr>
      </w:pPr>
      <w:r>
        <w:rPr>
          <w:rFonts w:hint="eastAsia" w:ascii="宋体" w:hAnsi="宋体"/>
          <w:sz w:val="24"/>
        </w:rPr>
        <w:t>说明：本表费用应包含在投标总价中。</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w:t>
      </w:r>
    </w:p>
    <w:p>
      <w:pPr>
        <w:pStyle w:val="31"/>
        <w:spacing w:line="240" w:lineRule="auto"/>
        <w:ind w:left="0" w:leftChars="0" w:firstLine="0" w:firstLineChars="0"/>
        <w:jc w:val="right"/>
        <w:rPr>
          <w:rFonts w:ascii="宋体" w:hAnsi="宋体"/>
        </w:rPr>
        <w:sectPr>
          <w:pgSz w:w="11907" w:h="16840"/>
          <w:pgMar w:top="1418" w:right="1418" w:bottom="1418" w:left="1418" w:header="851" w:footer="851" w:gutter="0"/>
          <w:cols w:space="720" w:num="1"/>
          <w:docGrid w:linePitch="290" w:charSpace="-3931"/>
        </w:sectPr>
      </w:pPr>
      <w:r>
        <w:rPr>
          <w:rFonts w:hint="eastAsia" w:ascii="宋体" w:hAnsi="宋体"/>
        </w:rPr>
        <w:t>年月日</w:t>
      </w:r>
    </w:p>
    <w:p>
      <w:pPr>
        <w:pStyle w:val="5"/>
        <w:spacing w:before="120" w:after="120" w:line="360" w:lineRule="exact"/>
        <w:rPr>
          <w:rFonts w:ascii="宋体" w:hAnsi="宋体"/>
          <w:b w:val="0"/>
          <w:bCs/>
          <w:sz w:val="24"/>
          <w:szCs w:val="21"/>
        </w:rPr>
      </w:pPr>
      <w:bookmarkStart w:id="112" w:name="_Toc11850814"/>
      <w:r>
        <w:rPr>
          <w:rFonts w:hint="eastAsia" w:ascii="宋体" w:hAnsi="宋体"/>
          <w:b w:val="0"/>
          <w:sz w:val="24"/>
          <w:szCs w:val="21"/>
        </w:rPr>
        <w:t>附件九：质保期到期后长期供应的备品备件、易损件、专用工具价格表</w:t>
      </w:r>
      <w:bookmarkEnd w:id="112"/>
    </w:p>
    <w:p>
      <w:pPr>
        <w:spacing w:line="460" w:lineRule="exact"/>
        <w:jc w:val="center"/>
        <w:rPr>
          <w:rFonts w:ascii="宋体" w:hAnsi="宋体"/>
          <w:b/>
          <w:sz w:val="24"/>
        </w:rPr>
      </w:pPr>
    </w:p>
    <w:p>
      <w:pPr>
        <w:pStyle w:val="2"/>
        <w:spacing w:after="0" w:line="460" w:lineRule="exact"/>
        <w:jc w:val="center"/>
        <w:rPr>
          <w:rFonts w:ascii="宋体" w:hAnsi="宋体"/>
          <w:b/>
          <w:sz w:val="32"/>
        </w:rPr>
      </w:pPr>
      <w:r>
        <w:rPr>
          <w:rFonts w:hint="eastAsia" w:ascii="宋体" w:hAnsi="宋体"/>
          <w:b/>
          <w:sz w:val="32"/>
        </w:rPr>
        <w:t>质保期到期后长期供应的备品备件、易损件、专用</w:t>
      </w:r>
    </w:p>
    <w:p>
      <w:pPr>
        <w:pStyle w:val="2"/>
        <w:spacing w:after="0" w:line="460" w:lineRule="exact"/>
        <w:jc w:val="center"/>
        <w:rPr>
          <w:rFonts w:ascii="宋体" w:hAnsi="宋体"/>
          <w:b/>
          <w:sz w:val="32"/>
        </w:rPr>
      </w:pPr>
      <w:r>
        <w:rPr>
          <w:rFonts w:hint="eastAsia" w:ascii="宋体" w:hAnsi="宋体"/>
          <w:b/>
          <w:sz w:val="32"/>
        </w:rPr>
        <w:t>工具价格表</w:t>
      </w:r>
    </w:p>
    <w:p>
      <w:pPr>
        <w:spacing w:line="360" w:lineRule="exact"/>
        <w:ind w:right="187" w:firstLine="240" w:firstLineChars="100"/>
        <w:rPr>
          <w:rFonts w:ascii="宋体" w:hAnsi="宋体"/>
          <w:sz w:val="24"/>
        </w:rPr>
      </w:pPr>
    </w:p>
    <w:p>
      <w:pPr>
        <w:pStyle w:val="31"/>
        <w:spacing w:line="360" w:lineRule="exact"/>
        <w:ind w:left="0" w:leftChars="0" w:firstLine="0" w:firstLineChars="0"/>
        <w:rPr>
          <w:rFonts w:ascii="宋体" w:hAnsi="宋体"/>
          <w:bCs/>
        </w:rPr>
      </w:pPr>
      <w:r>
        <w:rPr>
          <w:rFonts w:hint="eastAsia" w:ascii="宋体" w:hAnsi="宋体"/>
        </w:rPr>
        <w:t>项目编号：HYHA2019-0770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spacing w:line="360" w:lineRule="exact"/>
        <w:ind w:right="187" w:firstLine="240" w:firstLineChars="100"/>
        <w:rPr>
          <w:rFonts w:ascii="宋体" w:hAnsi="宋体"/>
          <w:sz w:val="24"/>
        </w:rPr>
      </w:pPr>
    </w:p>
    <w:tbl>
      <w:tblPr>
        <w:tblStyle w:val="73"/>
        <w:tblW w:w="9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857"/>
        <w:gridCol w:w="1006"/>
        <w:gridCol w:w="1006"/>
        <w:gridCol w:w="1006"/>
        <w:gridCol w:w="1124"/>
        <w:gridCol w:w="866"/>
        <w:gridCol w:w="1087"/>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trPr>
        <w:tc>
          <w:tcPr>
            <w:tcW w:w="536" w:type="dxa"/>
            <w:tcBorders>
              <w:top w:val="single" w:color="auto" w:sz="12" w:space="0"/>
              <w:left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序号</w:t>
            </w:r>
          </w:p>
        </w:tc>
        <w:tc>
          <w:tcPr>
            <w:tcW w:w="1857"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备品备件／易损件／专用工具</w:t>
            </w:r>
            <w:r>
              <w:rPr>
                <w:rFonts w:ascii="宋体" w:hAnsi="宋体"/>
                <w:spacing w:val="-20"/>
                <w:kern w:val="2"/>
                <w:szCs w:val="21"/>
                <w:lang w:val="en-US" w:eastAsia="zh-CN"/>
              </w:rPr>
              <w:t>/</w:t>
            </w:r>
            <w:r>
              <w:rPr>
                <w:rFonts w:hint="eastAsia" w:ascii="宋体" w:hAnsi="宋体"/>
                <w:spacing w:val="-20"/>
                <w:kern w:val="2"/>
                <w:szCs w:val="21"/>
                <w:lang w:val="en-US" w:eastAsia="zh-CN"/>
              </w:rPr>
              <w:t>名称</w:t>
            </w:r>
          </w:p>
        </w:tc>
        <w:tc>
          <w:tcPr>
            <w:tcW w:w="100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生产企业</w:t>
            </w:r>
          </w:p>
        </w:tc>
        <w:tc>
          <w:tcPr>
            <w:tcW w:w="100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型号规格</w:t>
            </w:r>
          </w:p>
        </w:tc>
        <w:tc>
          <w:tcPr>
            <w:tcW w:w="100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数量</w:t>
            </w:r>
          </w:p>
        </w:tc>
        <w:tc>
          <w:tcPr>
            <w:tcW w:w="1124"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单位</w:t>
            </w:r>
          </w:p>
        </w:tc>
        <w:tc>
          <w:tcPr>
            <w:tcW w:w="866"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单价（元）</w:t>
            </w:r>
          </w:p>
        </w:tc>
        <w:tc>
          <w:tcPr>
            <w:tcW w:w="1087" w:type="dxa"/>
            <w:tcBorders>
              <w:top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总价（元）</w:t>
            </w:r>
          </w:p>
        </w:tc>
        <w:tc>
          <w:tcPr>
            <w:tcW w:w="805" w:type="dxa"/>
            <w:tcBorders>
              <w:top w:val="single" w:color="auto" w:sz="12" w:space="0"/>
              <w:right w:val="single" w:color="auto" w:sz="12" w:space="0"/>
            </w:tcBorders>
            <w:vAlign w:val="center"/>
          </w:tcPr>
          <w:p>
            <w:pPr>
              <w:pStyle w:val="20"/>
              <w:adjustRightInd w:val="0"/>
              <w:snapToGrid w:val="0"/>
              <w:spacing w:line="300" w:lineRule="exact"/>
              <w:ind w:firstLine="0" w:firstLineChars="0"/>
              <w:jc w:val="center"/>
              <w:rPr>
                <w:rFonts w:ascii="宋体" w:hAnsi="宋体"/>
                <w:spacing w:val="-20"/>
                <w:kern w:val="2"/>
                <w:szCs w:val="21"/>
                <w:lang w:val="en-US" w:eastAsia="zh-CN"/>
              </w:rPr>
            </w:pPr>
            <w:r>
              <w:rPr>
                <w:rFonts w:hint="eastAsia" w:ascii="宋体" w:hAnsi="宋体"/>
                <w:spacing w:val="-20"/>
                <w:kern w:val="2"/>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trPr>
        <w:tc>
          <w:tcPr>
            <w:tcW w:w="536" w:type="dxa"/>
            <w:tcBorders>
              <w:left w:val="single" w:color="auto" w:sz="12" w:space="0"/>
            </w:tcBorders>
          </w:tcPr>
          <w:p>
            <w:pPr>
              <w:spacing w:line="520" w:lineRule="exact"/>
              <w:rPr>
                <w:rFonts w:ascii="宋体" w:hAnsi="宋体"/>
                <w:sz w:val="24"/>
              </w:rPr>
            </w:pPr>
          </w:p>
        </w:tc>
        <w:tc>
          <w:tcPr>
            <w:tcW w:w="1857"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006" w:type="dxa"/>
          </w:tcPr>
          <w:p>
            <w:pPr>
              <w:spacing w:line="520" w:lineRule="exact"/>
              <w:rPr>
                <w:rFonts w:ascii="宋体" w:hAnsi="宋体"/>
                <w:sz w:val="24"/>
              </w:rPr>
            </w:pPr>
          </w:p>
        </w:tc>
        <w:tc>
          <w:tcPr>
            <w:tcW w:w="1124" w:type="dxa"/>
          </w:tcPr>
          <w:p>
            <w:pPr>
              <w:spacing w:line="520" w:lineRule="exact"/>
              <w:rPr>
                <w:rFonts w:ascii="宋体" w:hAnsi="宋体"/>
                <w:sz w:val="24"/>
              </w:rPr>
            </w:pPr>
          </w:p>
        </w:tc>
        <w:tc>
          <w:tcPr>
            <w:tcW w:w="866" w:type="dxa"/>
          </w:tcPr>
          <w:p>
            <w:pPr>
              <w:spacing w:line="520" w:lineRule="exact"/>
              <w:rPr>
                <w:rFonts w:ascii="宋体" w:hAnsi="宋体"/>
                <w:sz w:val="24"/>
              </w:rPr>
            </w:pPr>
          </w:p>
        </w:tc>
        <w:tc>
          <w:tcPr>
            <w:tcW w:w="1087" w:type="dxa"/>
          </w:tcPr>
          <w:p>
            <w:pPr>
              <w:spacing w:line="520" w:lineRule="exact"/>
              <w:rPr>
                <w:rFonts w:ascii="宋体" w:hAnsi="宋体"/>
                <w:sz w:val="24"/>
              </w:rPr>
            </w:pPr>
          </w:p>
        </w:tc>
        <w:tc>
          <w:tcPr>
            <w:tcW w:w="805" w:type="dxa"/>
            <w:tcBorders>
              <w:right w:val="single" w:color="auto" w:sz="12" w:space="0"/>
            </w:tcBorders>
          </w:tcPr>
          <w:p>
            <w:pPr>
              <w:spacing w:line="52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536" w:type="dxa"/>
            <w:tcBorders>
              <w:left w:val="single" w:color="auto" w:sz="12" w:space="0"/>
              <w:bottom w:val="single" w:color="auto" w:sz="12" w:space="0"/>
            </w:tcBorders>
          </w:tcPr>
          <w:p>
            <w:pPr>
              <w:spacing w:line="520" w:lineRule="exact"/>
              <w:rPr>
                <w:rFonts w:ascii="宋体" w:hAnsi="宋体"/>
                <w:sz w:val="24"/>
              </w:rPr>
            </w:pPr>
          </w:p>
        </w:tc>
        <w:tc>
          <w:tcPr>
            <w:tcW w:w="1857" w:type="dxa"/>
            <w:tcBorders>
              <w:bottom w:val="single" w:color="auto" w:sz="12" w:space="0"/>
            </w:tcBorders>
          </w:tcPr>
          <w:p>
            <w:pPr>
              <w:spacing w:line="520" w:lineRule="exact"/>
              <w:jc w:val="center"/>
              <w:rPr>
                <w:rFonts w:ascii="宋体" w:hAnsi="宋体"/>
                <w:sz w:val="24"/>
              </w:rPr>
            </w:pPr>
            <w:r>
              <w:rPr>
                <w:rFonts w:hint="eastAsia" w:ascii="宋体" w:hAnsi="宋体"/>
                <w:sz w:val="24"/>
              </w:rPr>
              <w:t>合计</w:t>
            </w:r>
          </w:p>
        </w:tc>
        <w:tc>
          <w:tcPr>
            <w:tcW w:w="6900" w:type="dxa"/>
            <w:gridSpan w:val="7"/>
            <w:tcBorders>
              <w:bottom w:val="single" w:color="auto" w:sz="12" w:space="0"/>
              <w:right w:val="single" w:color="auto" w:sz="12" w:space="0"/>
            </w:tcBorders>
          </w:tcPr>
          <w:p>
            <w:pPr>
              <w:spacing w:line="520" w:lineRule="exact"/>
              <w:rPr>
                <w:rFonts w:ascii="宋体" w:hAnsi="宋体"/>
                <w:sz w:val="24"/>
              </w:rPr>
            </w:pPr>
            <w:r>
              <w:rPr>
                <w:rFonts w:hint="eastAsia" w:ascii="宋体" w:hAnsi="宋体"/>
                <w:sz w:val="24"/>
              </w:rPr>
              <w:t>大写：（小写：）</w:t>
            </w:r>
          </w:p>
        </w:tc>
      </w:tr>
    </w:tbl>
    <w:p>
      <w:pPr>
        <w:spacing w:line="360" w:lineRule="exact"/>
        <w:ind w:firstLine="240" w:firstLineChars="100"/>
        <w:rPr>
          <w:rFonts w:ascii="宋体" w:hAnsi="宋体"/>
          <w:sz w:val="24"/>
        </w:rPr>
      </w:pPr>
      <w:r>
        <w:rPr>
          <w:rFonts w:hint="eastAsia" w:ascii="宋体" w:hAnsi="宋体"/>
          <w:sz w:val="24"/>
        </w:rPr>
        <w:t>说明：本表费用不包含在投标总价中。</w:t>
      </w:r>
    </w:p>
    <w:p>
      <w:pPr>
        <w:spacing w:line="360" w:lineRule="exact"/>
        <w:ind w:firstLine="240" w:firstLineChars="100"/>
        <w:rPr>
          <w:rFonts w:ascii="宋体" w:hAnsi="宋体"/>
          <w:sz w:val="24"/>
        </w:rPr>
      </w:pPr>
    </w:p>
    <w:p>
      <w:pPr>
        <w:spacing w:line="360" w:lineRule="exact"/>
        <w:ind w:firstLine="240" w:firstLineChars="100"/>
        <w:rPr>
          <w:rFonts w:ascii="宋体" w:hAnsi="宋体"/>
          <w:sz w:val="24"/>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w:t>
      </w:r>
    </w:p>
    <w:p>
      <w:pPr>
        <w:pStyle w:val="31"/>
        <w:spacing w:line="240" w:lineRule="auto"/>
        <w:ind w:left="0" w:leftChars="0" w:firstLine="0" w:firstLineChars="0"/>
        <w:jc w:val="right"/>
        <w:rPr>
          <w:rFonts w:ascii="宋体" w:hAnsi="宋体"/>
          <w:bCs/>
        </w:rPr>
        <w:sectPr>
          <w:pgSz w:w="11907" w:h="16840"/>
          <w:pgMar w:top="1418" w:right="1418" w:bottom="1418" w:left="1418" w:header="851" w:footer="851" w:gutter="0"/>
          <w:cols w:space="720" w:num="1"/>
          <w:docGrid w:linePitch="290" w:charSpace="-3931"/>
        </w:sectPr>
      </w:pPr>
      <w:r>
        <w:rPr>
          <w:rFonts w:hint="eastAsia" w:ascii="宋体" w:hAnsi="宋体"/>
          <w:bCs/>
        </w:rPr>
        <w:t>年月日</w:t>
      </w:r>
    </w:p>
    <w:p>
      <w:pPr>
        <w:pStyle w:val="5"/>
        <w:spacing w:before="120" w:after="120" w:line="360" w:lineRule="exact"/>
        <w:rPr>
          <w:rFonts w:ascii="宋体" w:hAnsi="宋体"/>
          <w:b w:val="0"/>
          <w:bCs/>
          <w:sz w:val="24"/>
          <w:szCs w:val="21"/>
        </w:rPr>
      </w:pPr>
      <w:bookmarkStart w:id="113" w:name="_Toc11850815"/>
      <w:r>
        <w:rPr>
          <w:rFonts w:hint="eastAsia" w:ascii="宋体" w:hAnsi="宋体"/>
          <w:b w:val="0"/>
          <w:sz w:val="24"/>
          <w:szCs w:val="21"/>
        </w:rPr>
        <w:t>附件十：商务偏离表</w:t>
      </w:r>
      <w:bookmarkEnd w:id="113"/>
    </w:p>
    <w:p>
      <w:pPr>
        <w:pStyle w:val="21"/>
        <w:spacing w:before="0" w:after="0"/>
        <w:rPr>
          <w:rFonts w:ascii="宋体" w:hAnsi="宋体" w:eastAsia="宋体"/>
        </w:rPr>
      </w:pPr>
    </w:p>
    <w:p>
      <w:pPr>
        <w:pStyle w:val="2"/>
        <w:spacing w:after="0" w:line="460" w:lineRule="exact"/>
        <w:jc w:val="center"/>
        <w:rPr>
          <w:rFonts w:ascii="宋体" w:hAnsi="宋体"/>
          <w:b/>
          <w:sz w:val="32"/>
        </w:rPr>
      </w:pPr>
      <w:r>
        <w:rPr>
          <w:rFonts w:hint="eastAsia" w:ascii="宋体" w:hAnsi="宋体"/>
          <w:b/>
          <w:sz w:val="32"/>
        </w:rPr>
        <w:t>商务偏离表</w:t>
      </w:r>
    </w:p>
    <w:p>
      <w:pPr>
        <w:pStyle w:val="31"/>
        <w:spacing w:line="360" w:lineRule="exact"/>
        <w:ind w:left="0" w:leftChars="0" w:firstLine="0" w:firstLineChars="0"/>
        <w:rPr>
          <w:rFonts w:ascii="宋体" w:hAnsi="宋体"/>
          <w:bCs/>
        </w:rPr>
      </w:pPr>
      <w:r>
        <w:rPr>
          <w:rFonts w:hint="eastAsia" w:ascii="宋体" w:hAnsi="宋体"/>
          <w:bCs/>
        </w:rPr>
        <w:t>项目编号</w:t>
      </w:r>
      <w:r>
        <w:rPr>
          <w:rFonts w:hint="eastAsia" w:ascii="宋体" w:hAnsi="宋体"/>
          <w:b/>
          <w:bCs/>
        </w:rPr>
        <w:t>：</w:t>
      </w:r>
      <w:r>
        <w:rPr>
          <w:rFonts w:hint="eastAsia" w:ascii="宋体" w:hAnsi="宋体"/>
        </w:rPr>
        <w:t>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pStyle w:val="31"/>
        <w:spacing w:beforeLines="50" w:line="240" w:lineRule="auto"/>
        <w:ind w:left="0" w:leftChars="0" w:firstLine="0" w:firstLineChars="0"/>
        <w:rPr>
          <w:rFonts w:ascii="宋体" w:hAnsi="宋体"/>
          <w:bCs/>
        </w:rPr>
      </w:pPr>
    </w:p>
    <w:tbl>
      <w:tblPr>
        <w:tblStyle w:val="73"/>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939" w:type="dxa"/>
            <w:vAlign w:val="center"/>
          </w:tcPr>
          <w:p>
            <w:pPr>
              <w:tabs>
                <w:tab w:val="left" w:pos="1337"/>
              </w:tabs>
              <w:jc w:val="center"/>
              <w:rPr>
                <w:rFonts w:ascii="宋体" w:hAnsi="宋体"/>
                <w:bCs/>
                <w:sz w:val="24"/>
              </w:rPr>
            </w:pPr>
            <w:r>
              <w:rPr>
                <w:rFonts w:hint="eastAsia" w:ascii="宋体" w:hAnsi="宋体"/>
                <w:bCs/>
                <w:sz w:val="24"/>
              </w:rPr>
              <w:t>序号</w:t>
            </w:r>
          </w:p>
        </w:tc>
        <w:tc>
          <w:tcPr>
            <w:tcW w:w="1469"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条目号</w:t>
            </w:r>
          </w:p>
        </w:tc>
        <w:tc>
          <w:tcPr>
            <w:tcW w:w="1594"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要求</w:t>
            </w:r>
          </w:p>
        </w:tc>
        <w:tc>
          <w:tcPr>
            <w:tcW w:w="1592" w:type="dxa"/>
            <w:vAlign w:val="center"/>
          </w:tcPr>
          <w:p>
            <w:pPr>
              <w:tabs>
                <w:tab w:val="left" w:pos="1337"/>
              </w:tabs>
              <w:jc w:val="center"/>
              <w:rPr>
                <w:rFonts w:ascii="宋体" w:hAnsi="宋体"/>
                <w:bCs/>
                <w:sz w:val="24"/>
              </w:rPr>
            </w:pPr>
            <w:r>
              <w:rPr>
                <w:rFonts w:hint="eastAsia" w:ascii="宋体" w:hAnsi="宋体"/>
                <w:bCs/>
                <w:sz w:val="24"/>
              </w:rPr>
              <w:t>投标文件</w:t>
            </w:r>
          </w:p>
          <w:p>
            <w:pPr>
              <w:tabs>
                <w:tab w:val="left" w:pos="1337"/>
              </w:tabs>
              <w:jc w:val="center"/>
              <w:rPr>
                <w:rFonts w:ascii="宋体" w:hAnsi="宋体"/>
                <w:bCs/>
                <w:sz w:val="24"/>
              </w:rPr>
            </w:pPr>
            <w:r>
              <w:rPr>
                <w:rFonts w:hint="eastAsia" w:ascii="宋体" w:hAnsi="宋体"/>
                <w:bCs/>
                <w:sz w:val="24"/>
              </w:rPr>
              <w:t>实际情况</w:t>
            </w:r>
          </w:p>
        </w:tc>
        <w:tc>
          <w:tcPr>
            <w:tcW w:w="1460" w:type="dxa"/>
            <w:vAlign w:val="center"/>
          </w:tcPr>
          <w:p>
            <w:pPr>
              <w:tabs>
                <w:tab w:val="left" w:pos="1337"/>
              </w:tabs>
              <w:jc w:val="center"/>
              <w:rPr>
                <w:rFonts w:ascii="宋体" w:hAnsi="宋体"/>
                <w:bCs/>
                <w:sz w:val="24"/>
              </w:rPr>
            </w:pPr>
            <w:r>
              <w:rPr>
                <w:rFonts w:hint="eastAsia" w:ascii="宋体" w:hAnsi="宋体"/>
                <w:bCs/>
                <w:sz w:val="24"/>
              </w:rPr>
              <w:t>投标文件对应的页码</w:t>
            </w:r>
          </w:p>
        </w:tc>
        <w:tc>
          <w:tcPr>
            <w:tcW w:w="1462" w:type="dxa"/>
            <w:vAlign w:val="center"/>
          </w:tcPr>
          <w:p>
            <w:pPr>
              <w:tabs>
                <w:tab w:val="left" w:pos="1337"/>
              </w:tabs>
              <w:jc w:val="center"/>
              <w:rPr>
                <w:rFonts w:ascii="宋体" w:hAnsi="宋体"/>
                <w:bCs/>
                <w:sz w:val="24"/>
              </w:rPr>
            </w:pPr>
            <w:r>
              <w:rPr>
                <w:rFonts w:hint="eastAsia" w:ascii="宋体" w:hAnsi="宋体"/>
                <w:bCs/>
                <w:sz w:val="24"/>
              </w:rPr>
              <w:t>偏差内容</w:t>
            </w:r>
          </w:p>
        </w:tc>
        <w:tc>
          <w:tcPr>
            <w:tcW w:w="1341" w:type="dxa"/>
            <w:vAlign w:val="center"/>
          </w:tcPr>
          <w:p>
            <w:pPr>
              <w:tabs>
                <w:tab w:val="left" w:pos="1337"/>
              </w:tabs>
              <w:jc w:val="center"/>
              <w:rPr>
                <w:rFonts w:ascii="宋体" w:hAnsi="宋体"/>
                <w:bCs/>
                <w:sz w:val="24"/>
              </w:rPr>
            </w:pPr>
            <w:r>
              <w:rPr>
                <w:rFonts w:hint="eastAsia" w:ascii="宋体" w:hAnsi="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bl>
    <w:p>
      <w:pPr>
        <w:spacing w:line="360" w:lineRule="exact"/>
        <w:ind w:firstLine="480" w:firstLineChars="200"/>
        <w:rPr>
          <w:rFonts w:ascii="宋体" w:hAnsi="宋体"/>
          <w:sz w:val="24"/>
          <w:u w:val="single"/>
        </w:rPr>
      </w:pPr>
      <w:r>
        <w:rPr>
          <w:rFonts w:hint="eastAsia" w:ascii="宋体" w:hAnsi="宋体"/>
          <w:sz w:val="24"/>
          <w:u w:val="single"/>
        </w:rPr>
        <w:t>说明：①请填写招标文件已列明并要求供应商响应的如付款方式、交货期、质保期、培训方式、售后服务等商务条款，并逐一作出承诺。</w:t>
      </w:r>
    </w:p>
    <w:p>
      <w:pPr>
        <w:spacing w:line="360" w:lineRule="exact"/>
        <w:ind w:firstLine="480" w:firstLineChars="200"/>
        <w:rPr>
          <w:rFonts w:ascii="宋体" w:hAnsi="宋体"/>
          <w:sz w:val="24"/>
          <w:u w:val="single"/>
        </w:rPr>
      </w:pPr>
      <w:r>
        <w:rPr>
          <w:rFonts w:hint="eastAsia" w:ascii="宋体" w:hAnsi="宋体"/>
          <w:sz w:val="24"/>
          <w:u w:val="single"/>
        </w:rPr>
        <w:t>②请供应商在填写偏离表时，对应招标文件要求如实填写“偏离”或“不偏离”</w:t>
      </w:r>
      <w:r>
        <w:rPr>
          <w:rFonts w:ascii="宋体" w:hAnsi="宋体"/>
          <w:sz w:val="24"/>
          <w:u w:val="single"/>
        </w:rPr>
        <w:t>,</w:t>
      </w:r>
      <w:r>
        <w:rPr>
          <w:rFonts w:hint="eastAsia" w:ascii="宋体" w:hAnsi="宋体"/>
          <w:sz w:val="24"/>
          <w:u w:val="single"/>
        </w:rPr>
        <w:t>若供应商自行承诺的售后服务承诺与此表不一致的，则评标委员会有权作出不利于供应商的认定。</w:t>
      </w:r>
    </w:p>
    <w:p>
      <w:pPr>
        <w:spacing w:line="360" w:lineRule="exact"/>
        <w:ind w:firstLine="480" w:firstLineChars="200"/>
        <w:rPr>
          <w:rFonts w:ascii="宋体" w:hAnsi="宋体"/>
          <w:sz w:val="24"/>
          <w:u w:val="single"/>
        </w:rPr>
      </w:pPr>
      <w:r>
        <w:rPr>
          <w:rFonts w:hint="eastAsia" w:ascii="宋体" w:hAnsi="宋体"/>
          <w:sz w:val="24"/>
          <w:u w:val="single"/>
        </w:rPr>
        <w:t>③供应商虚假承诺的，评标委员会可认定为虚假投标，请各供应商谨慎填写。</w:t>
      </w:r>
    </w:p>
    <w:p>
      <w:pPr>
        <w:spacing w:line="360" w:lineRule="exact"/>
        <w:ind w:right="187"/>
        <w:rPr>
          <w:rFonts w:ascii="宋体" w:hAnsi="宋体"/>
          <w:bCs/>
          <w:sz w:val="24"/>
        </w:rPr>
      </w:pP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w:t>
      </w:r>
    </w:p>
    <w:p>
      <w:pPr>
        <w:pStyle w:val="31"/>
        <w:spacing w:line="240" w:lineRule="auto"/>
        <w:ind w:left="0" w:leftChars="0" w:firstLine="0" w:firstLineChars="0"/>
        <w:jc w:val="right"/>
        <w:rPr>
          <w:rFonts w:ascii="宋体" w:hAnsi="宋体"/>
          <w:b/>
        </w:rPr>
      </w:pPr>
      <w:r>
        <w:rPr>
          <w:rFonts w:hint="eastAsia" w:ascii="宋体" w:hAnsi="宋体"/>
        </w:rPr>
        <w:t>年月日</w:t>
      </w:r>
    </w:p>
    <w:p>
      <w:pPr>
        <w:pStyle w:val="5"/>
        <w:spacing w:before="120" w:after="120" w:line="360" w:lineRule="exact"/>
        <w:rPr>
          <w:rFonts w:ascii="宋体" w:hAnsi="宋体"/>
          <w:b w:val="0"/>
          <w:bCs/>
          <w:sz w:val="24"/>
          <w:szCs w:val="21"/>
        </w:rPr>
      </w:pPr>
      <w:r>
        <w:rPr>
          <w:rFonts w:ascii="宋体" w:hAnsi="宋体"/>
        </w:rPr>
        <w:br w:type="page"/>
      </w:r>
      <w:bookmarkStart w:id="114" w:name="_Toc11850816"/>
      <w:r>
        <w:rPr>
          <w:rFonts w:hint="eastAsia" w:ascii="宋体" w:hAnsi="宋体"/>
          <w:b w:val="0"/>
          <w:sz w:val="24"/>
          <w:szCs w:val="21"/>
        </w:rPr>
        <w:t>附件十一：技术偏离表</w:t>
      </w:r>
      <w:bookmarkEnd w:id="114"/>
    </w:p>
    <w:p>
      <w:pPr>
        <w:pStyle w:val="2"/>
        <w:spacing w:after="0" w:line="460" w:lineRule="exact"/>
        <w:jc w:val="center"/>
        <w:rPr>
          <w:rFonts w:ascii="宋体" w:hAnsi="宋体"/>
          <w:b/>
          <w:sz w:val="32"/>
        </w:rPr>
      </w:pPr>
      <w:r>
        <w:rPr>
          <w:rFonts w:hint="eastAsia" w:ascii="宋体" w:hAnsi="宋体"/>
          <w:b/>
          <w:sz w:val="32"/>
        </w:rPr>
        <w:t>技术偏离表</w:t>
      </w:r>
    </w:p>
    <w:p>
      <w:pPr>
        <w:pStyle w:val="31"/>
        <w:spacing w:line="360" w:lineRule="exact"/>
        <w:ind w:left="0" w:leftChars="0" w:firstLine="0" w:firstLineChars="0"/>
        <w:rPr>
          <w:rFonts w:ascii="宋体" w:hAnsi="宋体"/>
          <w:bCs/>
        </w:rPr>
      </w:pPr>
      <w:r>
        <w:rPr>
          <w:rFonts w:hint="eastAsia" w:ascii="宋体" w:hAnsi="宋体"/>
          <w:bCs/>
        </w:rPr>
        <w:t>项目编号</w:t>
      </w:r>
      <w:r>
        <w:rPr>
          <w:rFonts w:hint="eastAsia" w:ascii="宋体" w:hAnsi="宋体"/>
          <w:b/>
          <w:bCs/>
        </w:rPr>
        <w:t>：</w:t>
      </w:r>
      <w:r>
        <w:rPr>
          <w:rFonts w:hint="eastAsia" w:ascii="宋体" w:hAnsi="宋体"/>
        </w:rPr>
        <w:t>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pStyle w:val="31"/>
        <w:spacing w:line="360" w:lineRule="exact"/>
        <w:ind w:left="0" w:leftChars="0" w:firstLine="0" w:firstLineChars="0"/>
        <w:rPr>
          <w:rFonts w:ascii="宋体" w:hAnsi="宋体"/>
          <w:bCs/>
        </w:rPr>
      </w:pPr>
    </w:p>
    <w:tbl>
      <w:tblPr>
        <w:tblStyle w:val="73"/>
        <w:tblW w:w="98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jc w:val="center"/>
        </w:trPr>
        <w:tc>
          <w:tcPr>
            <w:tcW w:w="939" w:type="dxa"/>
            <w:vAlign w:val="center"/>
          </w:tcPr>
          <w:p>
            <w:pPr>
              <w:tabs>
                <w:tab w:val="left" w:pos="1337"/>
              </w:tabs>
              <w:jc w:val="center"/>
              <w:rPr>
                <w:rFonts w:ascii="宋体" w:hAnsi="宋体"/>
                <w:bCs/>
                <w:sz w:val="24"/>
              </w:rPr>
            </w:pPr>
            <w:r>
              <w:rPr>
                <w:rFonts w:hint="eastAsia" w:ascii="宋体" w:hAnsi="宋体"/>
                <w:bCs/>
                <w:sz w:val="24"/>
              </w:rPr>
              <w:t>序号</w:t>
            </w:r>
          </w:p>
        </w:tc>
        <w:tc>
          <w:tcPr>
            <w:tcW w:w="1469"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条目号</w:t>
            </w:r>
          </w:p>
        </w:tc>
        <w:tc>
          <w:tcPr>
            <w:tcW w:w="1594" w:type="dxa"/>
            <w:vAlign w:val="center"/>
          </w:tcPr>
          <w:p>
            <w:pPr>
              <w:tabs>
                <w:tab w:val="left" w:pos="1337"/>
              </w:tabs>
              <w:jc w:val="center"/>
              <w:rPr>
                <w:rFonts w:ascii="宋体" w:hAnsi="宋体"/>
                <w:bCs/>
                <w:sz w:val="24"/>
              </w:rPr>
            </w:pPr>
            <w:r>
              <w:rPr>
                <w:rFonts w:hint="eastAsia" w:ascii="宋体" w:hAnsi="宋体"/>
                <w:bCs/>
                <w:sz w:val="24"/>
              </w:rPr>
              <w:t>招标文件</w:t>
            </w:r>
          </w:p>
          <w:p>
            <w:pPr>
              <w:tabs>
                <w:tab w:val="left" w:pos="1337"/>
              </w:tabs>
              <w:jc w:val="center"/>
              <w:rPr>
                <w:rFonts w:ascii="宋体" w:hAnsi="宋体"/>
                <w:bCs/>
                <w:sz w:val="24"/>
              </w:rPr>
            </w:pPr>
            <w:r>
              <w:rPr>
                <w:rFonts w:hint="eastAsia" w:ascii="宋体" w:hAnsi="宋体"/>
                <w:bCs/>
                <w:sz w:val="24"/>
              </w:rPr>
              <w:t>技术要求</w:t>
            </w:r>
          </w:p>
        </w:tc>
        <w:tc>
          <w:tcPr>
            <w:tcW w:w="1592" w:type="dxa"/>
            <w:vAlign w:val="center"/>
          </w:tcPr>
          <w:p>
            <w:pPr>
              <w:tabs>
                <w:tab w:val="left" w:pos="1337"/>
              </w:tabs>
              <w:jc w:val="center"/>
              <w:rPr>
                <w:rFonts w:ascii="宋体" w:hAnsi="宋体"/>
                <w:bCs/>
                <w:sz w:val="24"/>
              </w:rPr>
            </w:pPr>
            <w:r>
              <w:rPr>
                <w:rFonts w:hint="eastAsia" w:ascii="宋体" w:hAnsi="宋体"/>
                <w:bCs/>
                <w:sz w:val="24"/>
              </w:rPr>
              <w:t>投标文件</w:t>
            </w:r>
          </w:p>
          <w:p>
            <w:pPr>
              <w:tabs>
                <w:tab w:val="left" w:pos="1337"/>
              </w:tabs>
              <w:jc w:val="center"/>
              <w:rPr>
                <w:rFonts w:ascii="宋体" w:hAnsi="宋体"/>
                <w:bCs/>
                <w:sz w:val="24"/>
              </w:rPr>
            </w:pPr>
            <w:r>
              <w:rPr>
                <w:rFonts w:hint="eastAsia" w:ascii="宋体" w:hAnsi="宋体"/>
                <w:bCs/>
                <w:sz w:val="24"/>
              </w:rPr>
              <w:t>实际情况</w:t>
            </w:r>
          </w:p>
        </w:tc>
        <w:tc>
          <w:tcPr>
            <w:tcW w:w="1460" w:type="dxa"/>
            <w:vAlign w:val="center"/>
          </w:tcPr>
          <w:p>
            <w:pPr>
              <w:tabs>
                <w:tab w:val="left" w:pos="1337"/>
              </w:tabs>
              <w:jc w:val="center"/>
              <w:rPr>
                <w:rFonts w:ascii="宋体" w:hAnsi="宋体"/>
                <w:bCs/>
                <w:sz w:val="24"/>
              </w:rPr>
            </w:pPr>
            <w:r>
              <w:rPr>
                <w:rFonts w:hint="eastAsia" w:ascii="宋体" w:hAnsi="宋体"/>
                <w:bCs/>
                <w:sz w:val="24"/>
              </w:rPr>
              <w:t>投标文件对应的页码及条目号</w:t>
            </w:r>
          </w:p>
        </w:tc>
        <w:tc>
          <w:tcPr>
            <w:tcW w:w="1462" w:type="dxa"/>
            <w:vAlign w:val="center"/>
          </w:tcPr>
          <w:p>
            <w:pPr>
              <w:tabs>
                <w:tab w:val="left" w:pos="1337"/>
              </w:tabs>
              <w:jc w:val="center"/>
              <w:rPr>
                <w:rFonts w:ascii="宋体" w:hAnsi="宋体"/>
                <w:bCs/>
                <w:sz w:val="24"/>
              </w:rPr>
            </w:pPr>
            <w:r>
              <w:rPr>
                <w:rFonts w:hint="eastAsia" w:ascii="宋体" w:hAnsi="宋体"/>
                <w:bCs/>
                <w:sz w:val="24"/>
              </w:rPr>
              <w:t>偏差情况</w:t>
            </w:r>
          </w:p>
        </w:tc>
        <w:tc>
          <w:tcPr>
            <w:tcW w:w="1341" w:type="dxa"/>
            <w:vAlign w:val="center"/>
          </w:tcPr>
          <w:p>
            <w:pPr>
              <w:tabs>
                <w:tab w:val="left" w:pos="1337"/>
              </w:tabs>
              <w:jc w:val="center"/>
              <w:rPr>
                <w:rFonts w:ascii="宋体" w:hAnsi="宋体"/>
                <w:bCs/>
                <w:sz w:val="24"/>
              </w:rPr>
            </w:pPr>
            <w:r>
              <w:rPr>
                <w:rFonts w:hint="eastAsia" w:ascii="宋体" w:hAnsi="宋体"/>
                <w:bCs/>
                <w:sz w:val="24"/>
              </w:rPr>
              <w:t>佐证证明材料页码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939" w:type="dxa"/>
            <w:vAlign w:val="center"/>
          </w:tcPr>
          <w:p>
            <w:pPr>
              <w:tabs>
                <w:tab w:val="left" w:pos="1337"/>
              </w:tabs>
              <w:jc w:val="center"/>
              <w:rPr>
                <w:rFonts w:ascii="宋体" w:hAnsi="宋体"/>
                <w:sz w:val="24"/>
              </w:rPr>
            </w:pPr>
          </w:p>
        </w:tc>
        <w:tc>
          <w:tcPr>
            <w:tcW w:w="1469" w:type="dxa"/>
            <w:vAlign w:val="center"/>
          </w:tcPr>
          <w:p>
            <w:pPr>
              <w:tabs>
                <w:tab w:val="left" w:pos="1337"/>
              </w:tabs>
              <w:jc w:val="center"/>
              <w:rPr>
                <w:rFonts w:ascii="宋体" w:hAnsi="宋体"/>
                <w:sz w:val="24"/>
              </w:rPr>
            </w:pPr>
          </w:p>
        </w:tc>
        <w:tc>
          <w:tcPr>
            <w:tcW w:w="1594" w:type="dxa"/>
            <w:vAlign w:val="center"/>
          </w:tcPr>
          <w:p>
            <w:pPr>
              <w:tabs>
                <w:tab w:val="left" w:pos="1337"/>
              </w:tabs>
              <w:jc w:val="center"/>
              <w:rPr>
                <w:rFonts w:ascii="宋体" w:hAnsi="宋体"/>
                <w:sz w:val="24"/>
              </w:rPr>
            </w:pPr>
          </w:p>
        </w:tc>
        <w:tc>
          <w:tcPr>
            <w:tcW w:w="1592" w:type="dxa"/>
            <w:vAlign w:val="center"/>
          </w:tcPr>
          <w:p>
            <w:pPr>
              <w:tabs>
                <w:tab w:val="left" w:pos="1337"/>
              </w:tabs>
              <w:jc w:val="center"/>
              <w:rPr>
                <w:rFonts w:ascii="宋体" w:hAnsi="宋体"/>
                <w:sz w:val="24"/>
              </w:rPr>
            </w:pPr>
          </w:p>
        </w:tc>
        <w:tc>
          <w:tcPr>
            <w:tcW w:w="1460" w:type="dxa"/>
            <w:vAlign w:val="center"/>
          </w:tcPr>
          <w:p>
            <w:pPr>
              <w:tabs>
                <w:tab w:val="left" w:pos="1337"/>
              </w:tabs>
              <w:jc w:val="center"/>
              <w:rPr>
                <w:rFonts w:ascii="宋体" w:hAnsi="宋体"/>
                <w:sz w:val="24"/>
              </w:rPr>
            </w:pPr>
          </w:p>
        </w:tc>
        <w:tc>
          <w:tcPr>
            <w:tcW w:w="1462" w:type="dxa"/>
            <w:vAlign w:val="center"/>
          </w:tcPr>
          <w:p>
            <w:pPr>
              <w:tabs>
                <w:tab w:val="left" w:pos="1337"/>
              </w:tabs>
              <w:jc w:val="center"/>
              <w:rPr>
                <w:rFonts w:ascii="宋体" w:hAnsi="宋体"/>
                <w:sz w:val="24"/>
              </w:rPr>
            </w:pPr>
          </w:p>
        </w:tc>
        <w:tc>
          <w:tcPr>
            <w:tcW w:w="1341" w:type="dxa"/>
            <w:vAlign w:val="center"/>
          </w:tcPr>
          <w:p>
            <w:pPr>
              <w:tabs>
                <w:tab w:val="left" w:pos="1337"/>
              </w:tabs>
              <w:jc w:val="center"/>
              <w:rPr>
                <w:rFonts w:ascii="宋体" w:hAnsi="宋体"/>
                <w:sz w:val="24"/>
              </w:rPr>
            </w:pPr>
          </w:p>
        </w:tc>
      </w:tr>
    </w:tbl>
    <w:p>
      <w:pPr>
        <w:spacing w:line="360" w:lineRule="exact"/>
        <w:ind w:firstLine="480" w:firstLineChars="200"/>
        <w:rPr>
          <w:rFonts w:ascii="宋体" w:hAnsi="宋体"/>
          <w:sz w:val="24"/>
        </w:rPr>
      </w:pPr>
      <w:r>
        <w:rPr>
          <w:rFonts w:hint="eastAsia" w:ascii="宋体" w:hAnsi="宋体"/>
          <w:sz w:val="24"/>
        </w:rPr>
        <w:t>说明：①供应商请按招标文件第四章“二、采购内容</w:t>
      </w:r>
      <w:r>
        <w:rPr>
          <w:rFonts w:ascii="宋体" w:hAnsi="宋体"/>
          <w:sz w:val="24"/>
        </w:rPr>
        <w:t>/</w:t>
      </w:r>
      <w:r>
        <w:rPr>
          <w:rFonts w:hint="eastAsia" w:ascii="宋体" w:hAnsi="宋体"/>
          <w:sz w:val="24"/>
        </w:rPr>
        <w:t>采购清单及技术要求”中各包的技术要求逐一填写，供应商不得自行增减或删除、修改任何指标，也不能直接复制粘贴招标文件中的要求，必须填写真实数据，否则评标委员会将作出不利于供应商的认定。</w:t>
      </w:r>
    </w:p>
    <w:p>
      <w:pPr>
        <w:spacing w:line="360" w:lineRule="exact"/>
        <w:ind w:firstLine="480" w:firstLineChars="200"/>
        <w:rPr>
          <w:rFonts w:ascii="宋体" w:hAnsi="宋体"/>
          <w:sz w:val="24"/>
        </w:rPr>
      </w:pPr>
      <w:r>
        <w:rPr>
          <w:rFonts w:hint="eastAsia" w:ascii="宋体" w:hAnsi="宋体"/>
          <w:sz w:val="24"/>
        </w:rPr>
        <w:t>②此表后还须附设备主要技术指标、规格和性能、技术参数值的详细说明，并提供加盖制造商公章的白皮书或加盖制造商公章的其他证明材料原件作为佐证，否则评标委员会将作出不利于供应商的认定。</w:t>
      </w:r>
    </w:p>
    <w:p>
      <w:pPr>
        <w:spacing w:line="360" w:lineRule="exact"/>
        <w:ind w:firstLine="480" w:firstLineChars="200"/>
        <w:rPr>
          <w:rFonts w:ascii="宋体" w:hAnsi="宋体"/>
          <w:sz w:val="24"/>
        </w:rPr>
      </w:pPr>
      <w:r>
        <w:rPr>
          <w:rFonts w:hint="eastAsia" w:ascii="宋体" w:hAnsi="宋体"/>
          <w:sz w:val="24"/>
        </w:rPr>
        <w:t>③供应商虚假承诺的，评标委员会可认定为虚假投标，请各供应商谨慎填写。</w:t>
      </w:r>
    </w:p>
    <w:p>
      <w:pPr>
        <w:spacing w:line="360" w:lineRule="exact"/>
        <w:ind w:right="187"/>
        <w:rPr>
          <w:rFonts w:ascii="宋体" w:hAnsi="宋体"/>
          <w:bCs/>
          <w:sz w:val="24"/>
          <w:u w:val="single"/>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w:t>
      </w:r>
    </w:p>
    <w:p>
      <w:pPr>
        <w:pStyle w:val="31"/>
        <w:spacing w:line="240" w:lineRule="auto"/>
        <w:ind w:left="0" w:leftChars="0" w:firstLine="0" w:firstLineChars="0"/>
        <w:jc w:val="right"/>
        <w:rPr>
          <w:rFonts w:ascii="宋体" w:hAnsi="宋体"/>
        </w:rPr>
        <w:sectPr>
          <w:pgSz w:w="11907" w:h="16840"/>
          <w:pgMar w:top="1418" w:right="1418" w:bottom="1418" w:left="1418" w:header="851" w:footer="851" w:gutter="0"/>
          <w:cols w:space="720" w:num="1"/>
          <w:docGrid w:linePitch="290" w:charSpace="-3931"/>
        </w:sectPr>
      </w:pPr>
      <w:r>
        <w:rPr>
          <w:rFonts w:hint="eastAsia" w:ascii="宋体" w:hAnsi="宋体"/>
        </w:rPr>
        <w:t>年月日</w:t>
      </w:r>
    </w:p>
    <w:p>
      <w:pPr>
        <w:pStyle w:val="5"/>
        <w:spacing w:before="120" w:after="120" w:line="360" w:lineRule="exact"/>
        <w:rPr>
          <w:rFonts w:ascii="宋体" w:hAnsi="宋体"/>
          <w:b w:val="0"/>
          <w:bCs/>
          <w:sz w:val="24"/>
          <w:szCs w:val="21"/>
        </w:rPr>
      </w:pPr>
      <w:bookmarkStart w:id="115" w:name="_Toc11850817"/>
      <w:r>
        <w:rPr>
          <w:rFonts w:hint="eastAsia" w:ascii="宋体" w:hAnsi="宋体"/>
          <w:b w:val="0"/>
          <w:sz w:val="24"/>
          <w:szCs w:val="21"/>
        </w:rPr>
        <w:t>附件十二：近年类似业绩一览表</w:t>
      </w:r>
      <w:bookmarkEnd w:id="115"/>
    </w:p>
    <w:p>
      <w:pPr>
        <w:rPr>
          <w:rFonts w:ascii="宋体" w:hAnsi="宋体"/>
          <w:sz w:val="24"/>
        </w:rPr>
      </w:pPr>
    </w:p>
    <w:p>
      <w:pPr>
        <w:pStyle w:val="2"/>
        <w:spacing w:after="0" w:line="460" w:lineRule="exact"/>
        <w:jc w:val="center"/>
        <w:rPr>
          <w:rFonts w:ascii="宋体" w:hAnsi="宋体"/>
          <w:b/>
          <w:sz w:val="32"/>
        </w:rPr>
      </w:pPr>
      <w:r>
        <w:rPr>
          <w:rFonts w:hint="eastAsia" w:ascii="宋体" w:hAnsi="宋体"/>
          <w:b/>
          <w:sz w:val="32"/>
        </w:rPr>
        <w:t>近年同类业绩一览表</w:t>
      </w:r>
    </w:p>
    <w:p>
      <w:pPr>
        <w:pStyle w:val="2"/>
        <w:spacing w:after="0" w:line="460" w:lineRule="exact"/>
        <w:jc w:val="center"/>
        <w:rPr>
          <w:rFonts w:ascii="宋体" w:hAnsi="宋体"/>
          <w:b/>
          <w:szCs w:val="21"/>
        </w:rPr>
      </w:pPr>
      <w:r>
        <w:rPr>
          <w:rFonts w:hint="eastAsia" w:ascii="宋体" w:hAnsi="宋体"/>
          <w:b/>
          <w:szCs w:val="21"/>
        </w:rPr>
        <w:t>（自</w:t>
      </w:r>
      <w:r>
        <w:rPr>
          <w:rFonts w:ascii="宋体" w:hAnsi="宋体"/>
          <w:b/>
          <w:szCs w:val="21"/>
        </w:rPr>
        <w:t>201</w:t>
      </w:r>
      <w:r>
        <w:rPr>
          <w:rFonts w:hint="eastAsia" w:ascii="宋体" w:hAnsi="宋体"/>
          <w:b/>
          <w:szCs w:val="21"/>
          <w:u w:val="single"/>
        </w:rPr>
        <w:t>6</w:t>
      </w:r>
      <w:r>
        <w:rPr>
          <w:rFonts w:hint="eastAsia" w:ascii="宋体" w:hAnsi="宋体"/>
          <w:b/>
          <w:szCs w:val="21"/>
        </w:rPr>
        <w:t>年</w:t>
      </w:r>
      <w:r>
        <w:rPr>
          <w:rFonts w:ascii="宋体" w:hAnsi="宋体"/>
          <w:b/>
          <w:szCs w:val="21"/>
          <w:u w:val="single"/>
        </w:rPr>
        <w:t>1</w:t>
      </w:r>
      <w:r>
        <w:rPr>
          <w:rFonts w:hint="eastAsia" w:ascii="宋体" w:hAnsi="宋体"/>
          <w:b/>
          <w:szCs w:val="21"/>
        </w:rPr>
        <w:t>月</w:t>
      </w:r>
      <w:r>
        <w:rPr>
          <w:rFonts w:ascii="宋体" w:hAnsi="宋体"/>
          <w:b/>
          <w:szCs w:val="21"/>
          <w:u w:val="single"/>
        </w:rPr>
        <w:t>1</w:t>
      </w:r>
      <w:r>
        <w:rPr>
          <w:rFonts w:hint="eastAsia" w:ascii="宋体" w:hAnsi="宋体"/>
          <w:b/>
          <w:szCs w:val="21"/>
        </w:rPr>
        <w:t>日至今）</w:t>
      </w:r>
    </w:p>
    <w:p>
      <w:pPr>
        <w:pStyle w:val="31"/>
        <w:spacing w:line="360" w:lineRule="exact"/>
        <w:ind w:left="0" w:leftChars="0" w:firstLine="0" w:firstLineChars="0"/>
        <w:rPr>
          <w:rFonts w:ascii="宋体" w:hAnsi="宋体"/>
          <w:bCs/>
        </w:rPr>
      </w:pPr>
      <w:r>
        <w:rPr>
          <w:rFonts w:hint="eastAsia" w:ascii="宋体" w:hAnsi="宋体"/>
          <w:bCs/>
        </w:rPr>
        <w:t>项目编号</w:t>
      </w:r>
      <w:r>
        <w:rPr>
          <w:rFonts w:hint="eastAsia" w:ascii="宋体" w:hAnsi="宋体"/>
          <w:b/>
          <w:bCs/>
        </w:rPr>
        <w:t>：</w:t>
      </w:r>
      <w:r>
        <w:rPr>
          <w:rFonts w:hint="eastAsia" w:ascii="宋体" w:hAnsi="宋体"/>
        </w:rPr>
        <w:t>HYHA2019-0770</w:t>
      </w:r>
    </w:p>
    <w:p>
      <w:pPr>
        <w:pStyle w:val="31"/>
        <w:spacing w:line="360" w:lineRule="exact"/>
        <w:ind w:left="0" w:leftChars="0" w:firstLine="0" w:firstLineChars="0"/>
        <w:rPr>
          <w:rFonts w:ascii="宋体" w:hAnsi="宋体"/>
          <w:bCs/>
        </w:rPr>
      </w:pPr>
      <w:r>
        <w:rPr>
          <w:rFonts w:hint="eastAsia" w:ascii="宋体" w:hAnsi="宋体"/>
          <w:bCs/>
        </w:rPr>
        <w:t>项目名称</w:t>
      </w:r>
      <w:r>
        <w:rPr>
          <w:rFonts w:hint="eastAsia" w:ascii="宋体" w:hAnsi="宋体"/>
          <w:b/>
          <w:bCs/>
        </w:rPr>
        <w:t>：</w:t>
      </w:r>
      <w:r>
        <w:rPr>
          <w:rFonts w:hint="eastAsia" w:ascii="宋体" w:hAnsi="宋体"/>
        </w:rPr>
        <w:t>山东大学医疗科研设备采购</w:t>
      </w:r>
    </w:p>
    <w:p>
      <w:pPr>
        <w:pStyle w:val="31"/>
        <w:spacing w:line="360" w:lineRule="exact"/>
        <w:ind w:left="0" w:leftChars="0" w:firstLine="0" w:firstLineChars="0"/>
        <w:rPr>
          <w:rFonts w:ascii="宋体" w:hAnsi="宋体"/>
          <w:bCs/>
        </w:rPr>
      </w:pPr>
    </w:p>
    <w:tbl>
      <w:tblPr>
        <w:tblStyle w:val="73"/>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87"/>
        <w:gridCol w:w="1495"/>
        <w:gridCol w:w="1101"/>
        <w:gridCol w:w="1046"/>
        <w:gridCol w:w="113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1680" w:type="dxa"/>
            <w:vAlign w:val="center"/>
          </w:tcPr>
          <w:p>
            <w:pPr>
              <w:tabs>
                <w:tab w:val="left" w:pos="720"/>
                <w:tab w:val="left" w:pos="1440"/>
                <w:tab w:val="left" w:pos="1620"/>
              </w:tabs>
              <w:ind w:left="-97" w:leftChars="-46" w:right="-68"/>
              <w:jc w:val="center"/>
              <w:rPr>
                <w:rFonts w:ascii="宋体" w:hAnsi="宋体"/>
                <w:bCs/>
                <w:sz w:val="24"/>
              </w:rPr>
            </w:pPr>
            <w:r>
              <w:rPr>
                <w:rFonts w:hint="eastAsia" w:ascii="宋体" w:hAnsi="宋体"/>
                <w:bCs/>
                <w:sz w:val="24"/>
              </w:rPr>
              <w:t>项目名称</w:t>
            </w:r>
          </w:p>
        </w:tc>
        <w:tc>
          <w:tcPr>
            <w:tcW w:w="1587" w:type="dxa"/>
            <w:vAlign w:val="center"/>
          </w:tcPr>
          <w:p>
            <w:pPr>
              <w:tabs>
                <w:tab w:val="left" w:pos="720"/>
                <w:tab w:val="left" w:pos="1440"/>
                <w:tab w:val="left" w:pos="1620"/>
              </w:tabs>
              <w:ind w:left="-97" w:leftChars="-46" w:right="-68"/>
              <w:jc w:val="center"/>
              <w:rPr>
                <w:rFonts w:ascii="宋体" w:hAnsi="宋体"/>
                <w:bCs/>
                <w:sz w:val="24"/>
              </w:rPr>
            </w:pPr>
            <w:r>
              <w:rPr>
                <w:rFonts w:hint="eastAsia" w:ascii="宋体" w:hAnsi="宋体"/>
                <w:bCs/>
                <w:sz w:val="24"/>
              </w:rPr>
              <w:t>项目单位</w:t>
            </w:r>
          </w:p>
        </w:tc>
        <w:tc>
          <w:tcPr>
            <w:tcW w:w="1495" w:type="dxa"/>
            <w:vAlign w:val="center"/>
          </w:tcPr>
          <w:p>
            <w:pPr>
              <w:tabs>
                <w:tab w:val="left" w:pos="720"/>
                <w:tab w:val="left" w:pos="1440"/>
                <w:tab w:val="left" w:pos="1620"/>
              </w:tabs>
              <w:ind w:right="-68"/>
              <w:jc w:val="center"/>
              <w:rPr>
                <w:rFonts w:ascii="宋体" w:hAnsi="宋体"/>
                <w:bCs/>
                <w:sz w:val="24"/>
              </w:rPr>
            </w:pPr>
            <w:r>
              <w:rPr>
                <w:rFonts w:hint="eastAsia" w:ascii="宋体" w:hAnsi="宋体"/>
                <w:bCs/>
                <w:sz w:val="24"/>
              </w:rPr>
              <w:t>合同内容</w:t>
            </w:r>
          </w:p>
        </w:tc>
        <w:tc>
          <w:tcPr>
            <w:tcW w:w="1101" w:type="dxa"/>
            <w:vAlign w:val="center"/>
          </w:tcPr>
          <w:p>
            <w:pPr>
              <w:tabs>
                <w:tab w:val="left" w:pos="720"/>
                <w:tab w:val="left" w:pos="1440"/>
                <w:tab w:val="left" w:pos="1620"/>
              </w:tabs>
              <w:ind w:left="-97" w:leftChars="-46" w:right="-68"/>
              <w:jc w:val="center"/>
              <w:rPr>
                <w:rFonts w:ascii="宋体" w:hAnsi="宋体"/>
                <w:bCs/>
                <w:sz w:val="24"/>
              </w:rPr>
            </w:pPr>
            <w:r>
              <w:rPr>
                <w:rFonts w:hint="eastAsia" w:ascii="宋体" w:hAnsi="宋体"/>
                <w:bCs/>
                <w:sz w:val="24"/>
              </w:rPr>
              <w:t>合同额</w:t>
            </w:r>
          </w:p>
        </w:tc>
        <w:tc>
          <w:tcPr>
            <w:tcW w:w="1046" w:type="dxa"/>
            <w:vAlign w:val="center"/>
          </w:tcPr>
          <w:p>
            <w:pPr>
              <w:tabs>
                <w:tab w:val="left" w:pos="720"/>
                <w:tab w:val="left" w:pos="1440"/>
                <w:tab w:val="left" w:pos="1620"/>
              </w:tabs>
              <w:ind w:left="-97" w:leftChars="-46" w:right="-68"/>
              <w:jc w:val="center"/>
              <w:rPr>
                <w:rFonts w:ascii="宋体" w:hAnsi="宋体"/>
                <w:bCs/>
                <w:sz w:val="24"/>
              </w:rPr>
            </w:pPr>
            <w:r>
              <w:rPr>
                <w:rFonts w:hint="eastAsia" w:ascii="宋体" w:hAnsi="宋体"/>
                <w:bCs/>
                <w:sz w:val="24"/>
              </w:rPr>
              <w:t>完成时间</w:t>
            </w:r>
          </w:p>
        </w:tc>
        <w:tc>
          <w:tcPr>
            <w:tcW w:w="1137" w:type="dxa"/>
            <w:vAlign w:val="center"/>
          </w:tcPr>
          <w:p>
            <w:pPr>
              <w:tabs>
                <w:tab w:val="left" w:pos="720"/>
                <w:tab w:val="left" w:pos="1440"/>
                <w:tab w:val="left" w:pos="1620"/>
              </w:tabs>
              <w:ind w:left="-97" w:leftChars="-46" w:right="-68"/>
              <w:jc w:val="center"/>
              <w:rPr>
                <w:rFonts w:ascii="宋体" w:hAnsi="宋体"/>
                <w:bCs/>
                <w:sz w:val="24"/>
              </w:rPr>
            </w:pPr>
            <w:r>
              <w:rPr>
                <w:rFonts w:hint="eastAsia" w:ascii="宋体" w:hAnsi="宋体"/>
                <w:bCs/>
                <w:sz w:val="24"/>
              </w:rPr>
              <w:t>项目单位联系人</w:t>
            </w:r>
          </w:p>
        </w:tc>
        <w:tc>
          <w:tcPr>
            <w:tcW w:w="1241" w:type="dxa"/>
            <w:vAlign w:val="center"/>
          </w:tcPr>
          <w:p>
            <w:pPr>
              <w:tabs>
                <w:tab w:val="left" w:pos="720"/>
                <w:tab w:val="left" w:pos="1440"/>
                <w:tab w:val="left" w:pos="1620"/>
              </w:tabs>
              <w:ind w:left="-97" w:leftChars="-46" w:right="-68"/>
              <w:jc w:val="center"/>
              <w:rPr>
                <w:rFonts w:ascii="宋体" w:hAnsi="宋体"/>
                <w:bCs/>
                <w:sz w:val="24"/>
              </w:rPr>
            </w:pPr>
            <w:r>
              <w:rPr>
                <w:rFonts w:hint="eastAsia" w:ascii="宋体" w:hAnsi="宋体"/>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jc w:val="center"/>
        </w:trPr>
        <w:tc>
          <w:tcPr>
            <w:tcW w:w="1680" w:type="dxa"/>
          </w:tcPr>
          <w:p>
            <w:pPr>
              <w:tabs>
                <w:tab w:val="left" w:pos="720"/>
                <w:tab w:val="left" w:pos="1440"/>
                <w:tab w:val="left" w:pos="1620"/>
              </w:tabs>
              <w:ind w:right="187"/>
              <w:rPr>
                <w:rFonts w:ascii="宋体" w:hAnsi="宋体"/>
                <w:sz w:val="24"/>
              </w:rPr>
            </w:pPr>
          </w:p>
        </w:tc>
        <w:tc>
          <w:tcPr>
            <w:tcW w:w="1587" w:type="dxa"/>
          </w:tcPr>
          <w:p>
            <w:pPr>
              <w:tabs>
                <w:tab w:val="left" w:pos="720"/>
                <w:tab w:val="left" w:pos="1440"/>
                <w:tab w:val="left" w:pos="1620"/>
              </w:tabs>
              <w:ind w:right="187"/>
              <w:rPr>
                <w:rFonts w:ascii="宋体" w:hAnsi="宋体"/>
                <w:sz w:val="24"/>
              </w:rPr>
            </w:pPr>
          </w:p>
        </w:tc>
        <w:tc>
          <w:tcPr>
            <w:tcW w:w="1495" w:type="dxa"/>
          </w:tcPr>
          <w:p>
            <w:pPr>
              <w:tabs>
                <w:tab w:val="left" w:pos="720"/>
                <w:tab w:val="left" w:pos="1440"/>
                <w:tab w:val="left" w:pos="1620"/>
              </w:tabs>
              <w:ind w:right="187"/>
              <w:rPr>
                <w:rFonts w:ascii="宋体" w:hAnsi="宋体"/>
                <w:sz w:val="24"/>
              </w:rPr>
            </w:pPr>
          </w:p>
        </w:tc>
        <w:tc>
          <w:tcPr>
            <w:tcW w:w="1101" w:type="dxa"/>
          </w:tcPr>
          <w:p>
            <w:pPr>
              <w:tabs>
                <w:tab w:val="left" w:pos="720"/>
                <w:tab w:val="left" w:pos="1440"/>
                <w:tab w:val="left" w:pos="1620"/>
              </w:tabs>
              <w:ind w:right="187"/>
              <w:rPr>
                <w:rFonts w:ascii="宋体" w:hAnsi="宋体"/>
                <w:sz w:val="24"/>
              </w:rPr>
            </w:pPr>
          </w:p>
        </w:tc>
        <w:tc>
          <w:tcPr>
            <w:tcW w:w="1046" w:type="dxa"/>
          </w:tcPr>
          <w:p>
            <w:pPr>
              <w:tabs>
                <w:tab w:val="left" w:pos="720"/>
                <w:tab w:val="left" w:pos="1440"/>
                <w:tab w:val="left" w:pos="1620"/>
              </w:tabs>
              <w:ind w:right="187"/>
              <w:rPr>
                <w:rFonts w:ascii="宋体" w:hAnsi="宋体"/>
                <w:sz w:val="24"/>
              </w:rPr>
            </w:pPr>
          </w:p>
        </w:tc>
        <w:tc>
          <w:tcPr>
            <w:tcW w:w="1137" w:type="dxa"/>
          </w:tcPr>
          <w:p>
            <w:pPr>
              <w:tabs>
                <w:tab w:val="left" w:pos="720"/>
                <w:tab w:val="left" w:pos="1440"/>
                <w:tab w:val="left" w:pos="1620"/>
              </w:tabs>
              <w:ind w:right="187"/>
              <w:rPr>
                <w:rFonts w:ascii="宋体" w:hAnsi="宋体"/>
                <w:sz w:val="24"/>
              </w:rPr>
            </w:pPr>
          </w:p>
        </w:tc>
        <w:tc>
          <w:tcPr>
            <w:tcW w:w="1241" w:type="dxa"/>
          </w:tcPr>
          <w:p>
            <w:pPr>
              <w:tabs>
                <w:tab w:val="left" w:pos="720"/>
                <w:tab w:val="left" w:pos="1440"/>
                <w:tab w:val="left" w:pos="1620"/>
              </w:tabs>
              <w:ind w:right="187"/>
              <w:rPr>
                <w:rFonts w:ascii="宋体" w:hAnsi="宋体"/>
                <w:sz w:val="24"/>
              </w:rPr>
            </w:pPr>
          </w:p>
        </w:tc>
      </w:tr>
    </w:tbl>
    <w:p>
      <w:pPr>
        <w:pStyle w:val="31"/>
        <w:spacing w:line="400" w:lineRule="exact"/>
        <w:ind w:left="0" w:leftChars="0" w:firstLine="0" w:firstLineChars="0"/>
        <w:rPr>
          <w:rFonts w:ascii="宋体" w:hAnsi="宋体"/>
          <w:b/>
          <w:bCs/>
          <w:sz w:val="21"/>
        </w:rPr>
      </w:pPr>
      <w:r>
        <w:rPr>
          <w:rFonts w:hint="eastAsia" w:ascii="宋体" w:hAnsi="宋体"/>
          <w:b/>
          <w:bCs/>
          <w:sz w:val="21"/>
        </w:rPr>
        <w:t>请在此表后附合同协议书复印件，原件备查。具体年份要求详见评标办法。</w:t>
      </w:r>
    </w:p>
    <w:p>
      <w:pPr>
        <w:spacing w:line="360" w:lineRule="exact"/>
        <w:ind w:right="187"/>
        <w:rPr>
          <w:rFonts w:ascii="宋体" w:hAnsi="宋体"/>
          <w:bCs/>
          <w:sz w:val="24"/>
        </w:rPr>
      </w:pPr>
    </w:p>
    <w:p>
      <w:pPr>
        <w:spacing w:line="360" w:lineRule="exact"/>
        <w:ind w:right="187"/>
        <w:rPr>
          <w:rFonts w:ascii="宋体" w:hAnsi="宋体"/>
          <w:bCs/>
          <w:sz w:val="24"/>
          <w:u w:val="single"/>
        </w:rPr>
      </w:pPr>
      <w:r>
        <w:rPr>
          <w:rFonts w:hint="eastAsia" w:ascii="宋体" w:hAnsi="宋体"/>
          <w:sz w:val="24"/>
        </w:rPr>
        <w:t>供应商单位全称</w:t>
      </w:r>
      <w:r>
        <w:rPr>
          <w:rFonts w:hint="eastAsia" w:ascii="宋体" w:hAnsi="宋体"/>
          <w:bCs/>
          <w:sz w:val="24"/>
        </w:rPr>
        <w:t>（公章）：</w:t>
      </w:r>
    </w:p>
    <w:p>
      <w:pPr>
        <w:spacing w:line="360" w:lineRule="exact"/>
        <w:ind w:right="187"/>
        <w:rPr>
          <w:rFonts w:ascii="宋体" w:hAnsi="宋体"/>
          <w:bCs/>
          <w:sz w:val="24"/>
          <w:u w:val="single"/>
        </w:rPr>
      </w:pPr>
    </w:p>
    <w:p>
      <w:pPr>
        <w:spacing w:line="300" w:lineRule="exact"/>
        <w:ind w:right="187"/>
        <w:rPr>
          <w:rFonts w:ascii="宋体" w:hAnsi="宋体"/>
          <w:b/>
          <w:bCs/>
          <w:sz w:val="24"/>
        </w:rPr>
      </w:pPr>
      <w:r>
        <w:rPr>
          <w:rFonts w:hint="eastAsia" w:ascii="宋体" w:hAnsi="宋体"/>
          <w:bCs/>
          <w:sz w:val="24"/>
        </w:rPr>
        <w:t>法定代表人或授权代理人签字：</w:t>
      </w:r>
    </w:p>
    <w:p>
      <w:pPr>
        <w:pStyle w:val="31"/>
        <w:spacing w:line="240" w:lineRule="auto"/>
        <w:ind w:left="0" w:leftChars="0" w:firstLine="0" w:firstLineChars="0"/>
        <w:jc w:val="right"/>
        <w:rPr>
          <w:rFonts w:ascii="宋体" w:hAnsi="宋体"/>
          <w:bCs/>
        </w:rPr>
        <w:sectPr>
          <w:pgSz w:w="11907" w:h="16840"/>
          <w:pgMar w:top="1418" w:right="1418" w:bottom="1418" w:left="1418" w:header="851" w:footer="851" w:gutter="0"/>
          <w:cols w:space="720" w:num="1"/>
          <w:docGrid w:linePitch="290" w:charSpace="-3931"/>
        </w:sectPr>
      </w:pPr>
      <w:r>
        <w:rPr>
          <w:rFonts w:hint="eastAsia" w:ascii="宋体" w:hAnsi="宋体"/>
          <w:bCs/>
        </w:rPr>
        <w:t>年月日</w:t>
      </w:r>
    </w:p>
    <w:p>
      <w:pPr>
        <w:pStyle w:val="5"/>
        <w:spacing w:before="120" w:after="120" w:line="360" w:lineRule="exact"/>
        <w:rPr>
          <w:rFonts w:ascii="宋体" w:hAnsi="宋体"/>
          <w:b w:val="0"/>
          <w:bCs/>
          <w:sz w:val="24"/>
          <w:szCs w:val="21"/>
        </w:rPr>
      </w:pPr>
      <w:bookmarkStart w:id="116" w:name="_Toc11850818"/>
      <w:r>
        <w:rPr>
          <w:rFonts w:hint="eastAsia" w:ascii="宋体" w:hAnsi="宋体"/>
          <w:b w:val="0"/>
          <w:sz w:val="24"/>
          <w:szCs w:val="21"/>
        </w:rPr>
        <w:t>附件十三：其他</w:t>
      </w:r>
      <w:bookmarkEnd w:id="116"/>
    </w:p>
    <w:p>
      <w:pPr>
        <w:spacing w:line="360" w:lineRule="exact"/>
        <w:ind w:right="187"/>
        <w:rPr>
          <w:rFonts w:ascii="宋体" w:hAnsi="宋体"/>
          <w:bCs/>
          <w:sz w:val="24"/>
        </w:rPr>
      </w:pPr>
    </w:p>
    <w:p>
      <w:pPr>
        <w:pStyle w:val="2"/>
        <w:spacing w:after="0" w:line="460" w:lineRule="exact"/>
        <w:jc w:val="center"/>
        <w:rPr>
          <w:rFonts w:ascii="宋体" w:hAnsi="宋体"/>
          <w:b/>
          <w:sz w:val="32"/>
        </w:rPr>
      </w:pPr>
      <w:r>
        <w:rPr>
          <w:rFonts w:hint="eastAsia" w:ascii="宋体" w:hAnsi="宋体"/>
          <w:b/>
          <w:sz w:val="32"/>
        </w:rPr>
        <w:t>参加政府采购活动前三年内，在经营活动中没有</w:t>
      </w:r>
    </w:p>
    <w:p>
      <w:pPr>
        <w:pStyle w:val="2"/>
        <w:spacing w:after="0" w:line="460" w:lineRule="exact"/>
        <w:jc w:val="center"/>
        <w:rPr>
          <w:rFonts w:ascii="宋体" w:hAnsi="宋体"/>
          <w:b/>
          <w:sz w:val="32"/>
        </w:rPr>
      </w:pPr>
      <w:r>
        <w:rPr>
          <w:rFonts w:hint="eastAsia" w:ascii="宋体" w:hAnsi="宋体"/>
          <w:b/>
          <w:sz w:val="32"/>
        </w:rPr>
        <w:t>重大违法记录的书面声明</w:t>
      </w:r>
    </w:p>
    <w:p>
      <w:pPr>
        <w:spacing w:line="360" w:lineRule="exact"/>
        <w:jc w:val="left"/>
        <w:rPr>
          <w:rFonts w:ascii="宋体" w:hAnsi="宋体"/>
          <w:sz w:val="24"/>
          <w:u w:val="single"/>
        </w:rPr>
      </w:pPr>
    </w:p>
    <w:p>
      <w:pPr>
        <w:spacing w:line="360" w:lineRule="exact"/>
        <w:jc w:val="left"/>
        <w:rPr>
          <w:rFonts w:ascii="宋体" w:hAnsi="宋体"/>
          <w:sz w:val="24"/>
        </w:rPr>
      </w:pPr>
      <w:r>
        <w:rPr>
          <w:rFonts w:hint="eastAsia" w:ascii="宋体" w:hAnsi="宋体"/>
          <w:sz w:val="24"/>
        </w:rPr>
        <w:t>（招标人名称）：</w:t>
      </w:r>
    </w:p>
    <w:p>
      <w:pPr>
        <w:spacing w:line="500" w:lineRule="exact"/>
        <w:ind w:firstLine="480" w:firstLineChars="200"/>
        <w:jc w:val="left"/>
        <w:rPr>
          <w:rFonts w:ascii="宋体" w:hAnsi="宋体"/>
          <w:sz w:val="24"/>
        </w:rPr>
      </w:pPr>
    </w:p>
    <w:p>
      <w:pPr>
        <w:spacing w:line="500" w:lineRule="exact"/>
        <w:ind w:firstLine="480" w:firstLineChars="200"/>
        <w:jc w:val="left"/>
        <w:rPr>
          <w:rFonts w:ascii="宋体" w:hAnsi="宋体"/>
          <w:sz w:val="24"/>
        </w:rPr>
      </w:pPr>
      <w:r>
        <w:rPr>
          <w:rFonts w:hint="eastAsia" w:ascii="宋体" w:hAnsi="宋体"/>
          <w:sz w:val="24"/>
        </w:rPr>
        <w:t>我单位郑重声明：自本项目开标之日起向前追溯三年，我单位没有以下重大违法记录：因违法经营受到刑事处罚或者责令停产停业、吊销许可证或者执照、较大数额罚款等行政处罚。</w:t>
      </w:r>
    </w:p>
    <w:p>
      <w:pPr>
        <w:spacing w:line="500" w:lineRule="exact"/>
        <w:ind w:firstLine="480" w:firstLineChars="200"/>
        <w:jc w:val="left"/>
        <w:rPr>
          <w:rFonts w:ascii="宋体" w:hAnsi="宋体"/>
          <w:sz w:val="24"/>
        </w:rPr>
      </w:pPr>
    </w:p>
    <w:p>
      <w:pPr>
        <w:spacing w:line="500" w:lineRule="exact"/>
        <w:ind w:firstLine="480" w:firstLineChars="200"/>
        <w:jc w:val="left"/>
        <w:rPr>
          <w:rFonts w:ascii="宋体" w:hAnsi="宋体"/>
          <w:sz w:val="24"/>
        </w:rPr>
      </w:pPr>
      <w:r>
        <w:rPr>
          <w:rFonts w:hint="eastAsia" w:ascii="宋体" w:hAnsi="宋体"/>
          <w:sz w:val="24"/>
        </w:rPr>
        <w:t>注：</w:t>
      </w:r>
    </w:p>
    <w:p>
      <w:pPr>
        <w:spacing w:line="500" w:lineRule="exact"/>
        <w:ind w:firstLine="480" w:firstLineChars="200"/>
        <w:jc w:val="left"/>
        <w:rPr>
          <w:rFonts w:ascii="宋体" w:hAnsi="宋体"/>
          <w:sz w:val="24"/>
        </w:rPr>
      </w:pPr>
      <w:r>
        <w:rPr>
          <w:rFonts w:ascii="宋体" w:hAnsi="宋体"/>
          <w:sz w:val="24"/>
        </w:rPr>
        <w:t>1.</w:t>
      </w:r>
      <w:r>
        <w:rPr>
          <w:rFonts w:hint="eastAsia" w:ascii="宋体" w:hAnsi="宋体"/>
          <w:sz w:val="24"/>
        </w:rPr>
        <w:t>如不提供本声明函或不按本格式提供声明函，将作无效投标处理。</w:t>
      </w:r>
    </w:p>
    <w:p>
      <w:pPr>
        <w:spacing w:line="500" w:lineRule="exact"/>
        <w:ind w:firstLine="480" w:firstLineChars="200"/>
        <w:jc w:val="left"/>
        <w:rPr>
          <w:rFonts w:ascii="宋体" w:hAnsi="宋体"/>
          <w:sz w:val="24"/>
        </w:rPr>
      </w:pPr>
      <w:r>
        <w:rPr>
          <w:rFonts w:ascii="宋体" w:hAnsi="宋体"/>
          <w:sz w:val="24"/>
        </w:rPr>
        <w:t>2.</w:t>
      </w:r>
      <w:r>
        <w:rPr>
          <w:rFonts w:hint="eastAsia" w:ascii="宋体" w:hAnsi="宋体"/>
          <w:sz w:val="24"/>
        </w:rPr>
        <w:t>投标供应商对其所声明内容的真实性负责。在评审过程中乃至确定中标结果后，如发现投标供应商所声明内容不真实，则其投标将作无效投标处理，除承担相应的法律责任外，采购监督管理部门有权没收其投标保证金。</w:t>
      </w:r>
    </w:p>
    <w:p>
      <w:pPr>
        <w:rPr>
          <w:rFonts w:ascii="宋体" w:hAnsi="宋体"/>
          <w:sz w:val="24"/>
        </w:rPr>
      </w:pPr>
    </w:p>
    <w:p>
      <w:pPr>
        <w:rPr>
          <w:rFonts w:ascii="宋体" w:hAnsi="宋体"/>
          <w:sz w:val="24"/>
        </w:rPr>
      </w:pPr>
    </w:p>
    <w:p>
      <w:pPr>
        <w:rPr>
          <w:rFonts w:ascii="宋体" w:hAnsi="宋体"/>
          <w:sz w:val="24"/>
        </w:rPr>
      </w:pPr>
    </w:p>
    <w:p>
      <w:pPr>
        <w:tabs>
          <w:tab w:val="left" w:pos="2977"/>
          <w:tab w:val="left" w:pos="3261"/>
        </w:tabs>
        <w:spacing w:line="360" w:lineRule="auto"/>
        <w:jc w:val="left"/>
        <w:rPr>
          <w:rFonts w:ascii="宋体" w:hAnsi="宋体"/>
          <w:sz w:val="24"/>
        </w:rPr>
      </w:pPr>
      <w:r>
        <w:rPr>
          <w:rFonts w:hint="eastAsia" w:ascii="宋体" w:hAnsi="宋体"/>
          <w:sz w:val="24"/>
        </w:rPr>
        <w:t>供应商单位全称：（盖单位章）</w:t>
      </w:r>
    </w:p>
    <w:p>
      <w:pPr>
        <w:spacing w:line="360" w:lineRule="auto"/>
        <w:jc w:val="left"/>
        <w:rPr>
          <w:rFonts w:ascii="宋体" w:hAnsi="宋体"/>
          <w:sz w:val="24"/>
        </w:rPr>
      </w:pPr>
      <w:r>
        <w:rPr>
          <w:rFonts w:hint="eastAsia" w:ascii="宋体" w:hAnsi="宋体"/>
          <w:sz w:val="24"/>
        </w:rPr>
        <w:t>法定代表人或其委托代理人：（签字）</w:t>
      </w:r>
    </w:p>
    <w:p>
      <w:pPr>
        <w:spacing w:line="360" w:lineRule="exact"/>
        <w:jc w:val="left"/>
        <w:rPr>
          <w:rFonts w:ascii="宋体" w:hAnsi="宋体"/>
          <w:sz w:val="24"/>
        </w:rPr>
      </w:pPr>
    </w:p>
    <w:p>
      <w:pPr>
        <w:spacing w:line="360" w:lineRule="auto"/>
        <w:jc w:val="right"/>
        <w:rPr>
          <w:rFonts w:ascii="宋体" w:hAnsi="宋体"/>
          <w:sz w:val="24"/>
        </w:rPr>
      </w:pPr>
      <w:r>
        <w:rPr>
          <w:rFonts w:hint="eastAsia" w:ascii="宋体" w:hAnsi="宋体"/>
          <w:sz w:val="24"/>
        </w:rPr>
        <w:t>年月日</w:t>
      </w:r>
    </w:p>
    <w:p>
      <w:pPr>
        <w:spacing w:line="360" w:lineRule="exact"/>
        <w:ind w:right="187"/>
        <w:jc w:val="center"/>
        <w:rPr>
          <w:rFonts w:ascii="宋体" w:hAnsi="宋体"/>
          <w:b/>
          <w:bCs/>
          <w:sz w:val="24"/>
        </w:rPr>
      </w:pPr>
    </w:p>
    <w:p>
      <w:pPr>
        <w:spacing w:line="360" w:lineRule="exact"/>
        <w:ind w:right="187"/>
        <w:rPr>
          <w:rFonts w:ascii="宋体" w:hAnsi="宋体"/>
          <w:b/>
          <w:bCs/>
          <w:sz w:val="24"/>
        </w:rPr>
      </w:pPr>
    </w:p>
    <w:p>
      <w:pPr>
        <w:spacing w:line="360" w:lineRule="exact"/>
        <w:ind w:right="187"/>
        <w:rPr>
          <w:rFonts w:ascii="宋体" w:hAnsi="宋体"/>
          <w:b/>
          <w:bCs/>
          <w:sz w:val="24"/>
        </w:rPr>
      </w:pPr>
    </w:p>
    <w:p>
      <w:pPr>
        <w:spacing w:line="360" w:lineRule="exact"/>
        <w:ind w:right="187"/>
        <w:rPr>
          <w:rFonts w:ascii="宋体" w:hAnsi="宋体"/>
          <w:b/>
          <w:bCs/>
          <w:sz w:val="24"/>
        </w:rPr>
      </w:pPr>
    </w:p>
    <w:p>
      <w:pPr>
        <w:spacing w:line="360" w:lineRule="exact"/>
        <w:ind w:right="187"/>
        <w:rPr>
          <w:rFonts w:ascii="宋体" w:hAnsi="宋体"/>
          <w:b/>
          <w:bCs/>
          <w:sz w:val="24"/>
        </w:rPr>
      </w:pPr>
    </w:p>
    <w:p>
      <w:pPr>
        <w:spacing w:line="360" w:lineRule="exact"/>
        <w:ind w:right="187"/>
        <w:rPr>
          <w:rFonts w:ascii="宋体" w:hAnsi="宋体"/>
          <w:b/>
          <w:bCs/>
          <w:sz w:val="24"/>
        </w:rPr>
      </w:pPr>
    </w:p>
    <w:p>
      <w:pPr>
        <w:spacing w:line="360" w:lineRule="exact"/>
        <w:ind w:right="187"/>
        <w:rPr>
          <w:rFonts w:ascii="宋体" w:hAnsi="宋体"/>
          <w:b/>
          <w:bCs/>
          <w:sz w:val="24"/>
        </w:rPr>
      </w:pPr>
    </w:p>
    <w:p>
      <w:pPr>
        <w:pStyle w:val="5"/>
        <w:spacing w:before="120" w:after="120" w:line="360" w:lineRule="exact"/>
        <w:rPr>
          <w:rFonts w:ascii="宋体" w:hAnsi="宋体"/>
          <w:b w:val="0"/>
          <w:bCs/>
          <w:sz w:val="24"/>
          <w:szCs w:val="21"/>
        </w:rPr>
      </w:pPr>
      <w:bookmarkStart w:id="117" w:name="_Toc475472023"/>
      <w:bookmarkStart w:id="118" w:name="_Toc11850819"/>
      <w:r>
        <w:rPr>
          <w:rFonts w:hint="eastAsia" w:ascii="宋体" w:hAnsi="宋体"/>
          <w:b w:val="0"/>
          <w:sz w:val="24"/>
          <w:szCs w:val="21"/>
        </w:rPr>
        <w:t>附件十四：中小企业声明函、从业人员声明函</w:t>
      </w:r>
      <w:bookmarkEnd w:id="117"/>
      <w:bookmarkEnd w:id="118"/>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中小企业声明函</w:t>
      </w:r>
    </w:p>
    <w:p>
      <w:pPr>
        <w:spacing w:line="360" w:lineRule="auto"/>
        <w:rPr>
          <w:rFonts w:ascii="宋体" w:hAnsi="宋体"/>
          <w:sz w:val="24"/>
          <w:u w:val="single"/>
        </w:rPr>
      </w:pPr>
      <w:r>
        <w:rPr>
          <w:rFonts w:hint="eastAsia" w:ascii="宋体" w:hAnsi="宋体"/>
          <w:sz w:val="24"/>
        </w:rPr>
        <w:t>项目编号：</w:t>
      </w:r>
    </w:p>
    <w:p>
      <w:pPr>
        <w:spacing w:line="360" w:lineRule="auto"/>
        <w:ind w:firstLine="600" w:firstLineChars="25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 xml:space="preserve">[2011]181 </w:t>
      </w:r>
      <w:r>
        <w:rPr>
          <w:rFonts w:hint="eastAsia" w:ascii="宋体" w:hAnsi="宋体"/>
          <w:sz w:val="24"/>
        </w:rPr>
        <w:t>号）的规定，本公司为</w:t>
      </w:r>
      <w:r>
        <w:rPr>
          <w:rFonts w:ascii="宋体" w:hAnsi="宋体"/>
          <w:sz w:val="24"/>
        </w:rPr>
        <w:t>______</w:t>
      </w:r>
      <w:r>
        <w:rPr>
          <w:rFonts w:hint="eastAsia" w:ascii="宋体" w:hAnsi="宋体"/>
          <w:sz w:val="24"/>
        </w:rPr>
        <w:t>（请填写：中型、小型、微型）企业。即，本公司同时满足以下条件：</w:t>
      </w:r>
    </w:p>
    <w:p>
      <w:pPr>
        <w:spacing w:line="360" w:lineRule="auto"/>
        <w:ind w:firstLine="720" w:firstLineChars="300"/>
        <w:rPr>
          <w:rFonts w:ascii="宋体" w:hAnsi="宋体"/>
          <w:sz w:val="24"/>
        </w:rPr>
      </w:pPr>
      <w:r>
        <w:rPr>
          <w:rFonts w:ascii="宋体" w:hAnsi="宋体"/>
          <w:sz w:val="24"/>
        </w:rPr>
        <w:t>1.</w:t>
      </w:r>
      <w:r>
        <w:rPr>
          <w:rFonts w:hint="eastAsia" w:ascii="宋体" w:hAnsi="宋体"/>
          <w:sz w:val="24"/>
        </w:rPr>
        <w:t>根据《工业和信息化部、国家统计局、国家发展和改革委员会、财政部关于印发中小企业划型标准规定的通知》（工信部联企业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号）规定的划分标准，本公司为</w:t>
      </w:r>
      <w:r>
        <w:rPr>
          <w:rFonts w:ascii="宋体" w:hAnsi="宋体"/>
          <w:sz w:val="24"/>
        </w:rPr>
        <w:t>______</w:t>
      </w:r>
      <w:r>
        <w:rPr>
          <w:rFonts w:hint="eastAsia" w:ascii="宋体" w:hAnsi="宋体"/>
          <w:sz w:val="24"/>
        </w:rPr>
        <w:t>（请填写：中型、小型、微型）企业。</w:t>
      </w:r>
    </w:p>
    <w:p>
      <w:pPr>
        <w:spacing w:line="360" w:lineRule="auto"/>
        <w:ind w:firstLine="720" w:firstLineChars="300"/>
        <w:rPr>
          <w:rFonts w:ascii="宋体" w:hAnsi="宋体"/>
          <w:sz w:val="24"/>
        </w:rPr>
      </w:pPr>
      <w:r>
        <w:rPr>
          <w:rFonts w:ascii="宋体" w:hAnsi="宋体"/>
          <w:sz w:val="24"/>
        </w:rPr>
        <w:t>2.</w:t>
      </w:r>
      <w:r>
        <w:rPr>
          <w:rFonts w:hint="eastAsia" w:ascii="宋体" w:hAnsi="宋体"/>
          <w:sz w:val="24"/>
        </w:rPr>
        <w:t>本公司参加</w:t>
      </w:r>
      <w:r>
        <w:rPr>
          <w:rFonts w:ascii="宋体" w:hAnsi="宋体"/>
          <w:sz w:val="24"/>
        </w:rPr>
        <w:t>______</w:t>
      </w:r>
      <w:r>
        <w:rPr>
          <w:rFonts w:hint="eastAsia" w:ascii="宋体" w:hAnsi="宋体"/>
          <w:sz w:val="24"/>
        </w:rPr>
        <w:t>单位的</w:t>
      </w:r>
      <w:r>
        <w:rPr>
          <w:rFonts w:ascii="宋体" w:hAnsi="宋体"/>
          <w:sz w:val="24"/>
        </w:rPr>
        <w:t>______</w:t>
      </w:r>
      <w:r>
        <w:rPr>
          <w:rFonts w:hint="eastAsia" w:ascii="宋体" w:hAnsi="宋体"/>
          <w:sz w:val="24"/>
        </w:rPr>
        <w:t>项目采购活动提供本企业制造的货物，由本企业承担工程、提供服务，或者提供其他</w:t>
      </w:r>
      <w:r>
        <w:rPr>
          <w:rFonts w:ascii="宋体" w:hAnsi="宋体"/>
          <w:sz w:val="24"/>
        </w:rPr>
        <w:t>______</w:t>
      </w:r>
      <w:r>
        <w:rPr>
          <w:rFonts w:hint="eastAsia" w:ascii="宋体" w:hAnsi="宋体"/>
          <w:sz w:val="24"/>
        </w:rPr>
        <w:t>（请填写：中型、小型、微型）企业制造的货物。本条所称货物不包括使用大型企业注册商标的货物。</w:t>
      </w:r>
    </w:p>
    <w:p>
      <w:pPr>
        <w:spacing w:line="360" w:lineRule="auto"/>
        <w:ind w:firstLine="840" w:firstLineChars="35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6120" w:firstLineChars="2550"/>
        <w:rPr>
          <w:rFonts w:ascii="宋体" w:hAnsi="宋体"/>
          <w:sz w:val="24"/>
        </w:rPr>
      </w:pPr>
      <w:r>
        <w:rPr>
          <w:rFonts w:hint="eastAsia" w:ascii="宋体" w:hAnsi="宋体"/>
          <w:sz w:val="24"/>
        </w:rPr>
        <w:t>年  月  日</w:t>
      </w: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从业人员声明函</w:t>
      </w:r>
    </w:p>
    <w:p>
      <w:pPr>
        <w:spacing w:line="360" w:lineRule="auto"/>
        <w:rPr>
          <w:rFonts w:ascii="宋体" w:hAnsi="宋体"/>
          <w:sz w:val="24"/>
          <w:u w:val="single"/>
        </w:rPr>
      </w:pPr>
      <w:r>
        <w:rPr>
          <w:rFonts w:hint="eastAsia" w:ascii="宋体" w:hAnsi="宋体"/>
          <w:sz w:val="24"/>
        </w:rPr>
        <w:t>项目编号：</w:t>
      </w:r>
    </w:p>
    <w:p>
      <w:pPr>
        <w:spacing w:line="360" w:lineRule="auto"/>
        <w:ind w:firstLine="840" w:firstLineChars="350"/>
        <w:rPr>
          <w:rFonts w:ascii="宋体" w:hAnsi="宋体"/>
          <w:sz w:val="24"/>
        </w:rPr>
      </w:pPr>
      <w:r>
        <w:rPr>
          <w:rFonts w:hint="eastAsia" w:ascii="宋体" w:hAnsi="宋体"/>
          <w:sz w:val="24"/>
        </w:rPr>
        <w:t>本公司郑重声明：根据《政府采购促进中小企业发展暂行办法》（财库</w:t>
      </w:r>
      <w:r>
        <w:rPr>
          <w:rFonts w:ascii="宋体" w:hAnsi="宋体"/>
          <w:sz w:val="24"/>
        </w:rPr>
        <w:t xml:space="preserve">[2011]181 </w:t>
      </w:r>
      <w:r>
        <w:rPr>
          <w:rFonts w:hint="eastAsia" w:ascii="宋体" w:hAnsi="宋体"/>
          <w:sz w:val="24"/>
        </w:rPr>
        <w:t>号）、《工业和信息部、国家统计局、国家发展和改革委员会、财政部关于印发中小企业划型标准规定的通知》（工信部联企业</w:t>
      </w:r>
      <w:r>
        <w:rPr>
          <w:rFonts w:ascii="宋体" w:hAnsi="宋体"/>
          <w:sz w:val="24"/>
        </w:rPr>
        <w:t xml:space="preserve">[2011]300 </w:t>
      </w:r>
      <w:r>
        <w:rPr>
          <w:rFonts w:hint="eastAsia" w:ascii="宋体" w:hAnsi="宋体"/>
          <w:sz w:val="24"/>
        </w:rPr>
        <w:t>号）规定，本公司从业人员数为。</w:t>
      </w:r>
    </w:p>
    <w:p>
      <w:pPr>
        <w:spacing w:line="360" w:lineRule="auto"/>
        <w:ind w:firstLine="1080" w:firstLineChars="450"/>
        <w:rPr>
          <w:rFonts w:ascii="宋体" w:hAnsi="宋体"/>
          <w:sz w:val="24"/>
        </w:rPr>
      </w:pPr>
      <w:r>
        <w:rPr>
          <w:rFonts w:hint="eastAsia" w:ascii="宋体" w:hAnsi="宋体"/>
          <w:sz w:val="24"/>
        </w:rPr>
        <w:t>本公司对上述声明的真实性负责，如有虚假，将依法承担相应责任。</w:t>
      </w:r>
    </w:p>
    <w:p>
      <w:pPr>
        <w:spacing w:line="360" w:lineRule="auto"/>
        <w:ind w:firstLine="1080" w:firstLineChars="450"/>
        <w:rPr>
          <w:rFonts w:ascii="宋体" w:hAnsi="宋体"/>
          <w:sz w:val="24"/>
        </w:rPr>
      </w:pPr>
    </w:p>
    <w:p>
      <w:pPr>
        <w:spacing w:line="360" w:lineRule="auto"/>
        <w:ind w:firstLine="6240" w:firstLineChars="2600"/>
        <w:rPr>
          <w:rFonts w:ascii="宋体" w:hAnsi="宋体"/>
          <w:sz w:val="24"/>
        </w:rPr>
      </w:pPr>
      <w:r>
        <w:rPr>
          <w:rFonts w:hint="eastAsia" w:ascii="宋体" w:hAnsi="宋体"/>
          <w:sz w:val="24"/>
        </w:rPr>
        <w:t>年  月  日</w:t>
      </w:r>
      <w:r>
        <w:rPr>
          <w:rFonts w:ascii="宋体" w:hAnsi="宋体"/>
          <w:sz w:val="24"/>
        </w:rPr>
        <w:br w:type="page"/>
      </w:r>
    </w:p>
    <w:p>
      <w:pPr>
        <w:pStyle w:val="5"/>
        <w:spacing w:before="120" w:after="120" w:line="360" w:lineRule="exact"/>
        <w:rPr>
          <w:rFonts w:ascii="宋体" w:hAnsi="宋体"/>
          <w:b w:val="0"/>
          <w:bCs/>
          <w:sz w:val="24"/>
          <w:szCs w:val="21"/>
        </w:rPr>
      </w:pPr>
      <w:bookmarkStart w:id="119" w:name="_Toc11850820"/>
      <w:r>
        <w:rPr>
          <w:rFonts w:hint="eastAsia" w:ascii="宋体" w:hAnsi="宋体"/>
          <w:b w:val="0"/>
          <w:sz w:val="24"/>
          <w:szCs w:val="21"/>
        </w:rPr>
        <w:t>附件十五：投标文件密封封套标记格式</w:t>
      </w:r>
      <w:bookmarkEnd w:id="119"/>
    </w:p>
    <w:p>
      <w:pPr>
        <w:pStyle w:val="31"/>
        <w:spacing w:line="240" w:lineRule="auto"/>
        <w:ind w:left="0" w:leftChars="0" w:firstLine="0" w:firstLineChars="0"/>
        <w:rPr>
          <w:rFonts w:ascii="宋体" w:hAnsi="宋体"/>
        </w:rPr>
      </w:pPr>
    </w:p>
    <w:tbl>
      <w:tblPr>
        <w:tblStyle w:val="7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31"/>
              <w:spacing w:line="240" w:lineRule="auto"/>
              <w:ind w:left="0" w:leftChars="0" w:firstLine="0" w:firstLineChars="0"/>
              <w:jc w:val="left"/>
              <w:rPr>
                <w:rFonts w:ascii="宋体" w:hAnsi="宋体"/>
                <w:b/>
                <w:kern w:val="2"/>
                <w:sz w:val="30"/>
                <w:szCs w:val="24"/>
                <w:lang w:val="en-US" w:eastAsia="zh-CN"/>
              </w:rPr>
            </w:pPr>
            <w:r>
              <w:rPr>
                <w:rFonts w:hint="eastAsia" w:ascii="宋体" w:hAnsi="宋体"/>
                <w:b/>
                <w:kern w:val="2"/>
                <w:sz w:val="30"/>
                <w:szCs w:val="24"/>
                <w:lang w:val="en-US" w:eastAsia="zh-CN"/>
              </w:rPr>
              <w:t>投标文件</w:t>
            </w:r>
          </w:p>
          <w:p>
            <w:pPr>
              <w:pStyle w:val="31"/>
              <w:spacing w:line="240" w:lineRule="auto"/>
              <w:ind w:left="0" w:leftChars="0" w:firstLine="0" w:firstLineChars="0"/>
              <w:jc w:val="left"/>
              <w:rPr>
                <w:rFonts w:ascii="宋体" w:hAnsi="宋体"/>
                <w:kern w:val="2"/>
                <w:sz w:val="30"/>
                <w:szCs w:val="24"/>
                <w:lang w:val="en-US" w:eastAsia="zh-CN"/>
              </w:rPr>
            </w:pPr>
            <w:r>
              <w:rPr>
                <w:rFonts w:hint="eastAsia" w:ascii="宋体" w:hAnsi="宋体"/>
                <w:b/>
                <w:kern w:val="2"/>
                <w:sz w:val="30"/>
                <w:szCs w:val="24"/>
                <w:lang w:val="en-US" w:eastAsia="zh-CN"/>
              </w:rPr>
              <w:t>（正本）</w:t>
            </w:r>
          </w:p>
          <w:p>
            <w:pPr>
              <w:pStyle w:val="31"/>
              <w:spacing w:line="240" w:lineRule="auto"/>
              <w:ind w:left="1747" w:firstLine="353"/>
              <w:jc w:val="left"/>
              <w:rPr>
                <w:rFonts w:ascii="宋体" w:hAnsi="宋体"/>
                <w:kern w:val="2"/>
                <w:sz w:val="18"/>
                <w:szCs w:val="24"/>
                <w:lang w:val="en-US" w:eastAsia="zh-CN"/>
              </w:rPr>
            </w:pP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项目编号：</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项目名称：</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包号：</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供应商名称（公章）：</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地址：</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电话：</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传真：</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邮编：</w:t>
            </w:r>
          </w:p>
        </w:tc>
        <w:tc>
          <w:tcPr>
            <w:tcW w:w="4775" w:type="dxa"/>
          </w:tcPr>
          <w:p>
            <w:pPr>
              <w:pStyle w:val="31"/>
              <w:spacing w:line="240" w:lineRule="auto"/>
              <w:ind w:left="0" w:leftChars="0" w:firstLine="0" w:firstLineChars="0"/>
              <w:jc w:val="left"/>
              <w:rPr>
                <w:rFonts w:ascii="宋体" w:hAnsi="宋体"/>
                <w:b/>
                <w:kern w:val="2"/>
                <w:sz w:val="30"/>
                <w:szCs w:val="24"/>
                <w:lang w:val="en-US" w:eastAsia="zh-CN"/>
              </w:rPr>
            </w:pPr>
            <w:r>
              <w:rPr>
                <w:rFonts w:hint="eastAsia" w:ascii="宋体" w:hAnsi="宋体"/>
                <w:b/>
                <w:kern w:val="2"/>
                <w:sz w:val="30"/>
                <w:szCs w:val="24"/>
                <w:lang w:val="en-US" w:eastAsia="zh-CN"/>
              </w:rPr>
              <w:t>投标文件</w:t>
            </w:r>
          </w:p>
          <w:p>
            <w:pPr>
              <w:pStyle w:val="31"/>
              <w:spacing w:line="240" w:lineRule="auto"/>
              <w:ind w:left="0" w:leftChars="0" w:firstLine="0" w:firstLineChars="0"/>
              <w:jc w:val="left"/>
              <w:rPr>
                <w:rFonts w:ascii="宋体" w:hAnsi="宋体"/>
                <w:kern w:val="2"/>
                <w:sz w:val="30"/>
                <w:szCs w:val="24"/>
                <w:lang w:val="en-US" w:eastAsia="zh-CN"/>
              </w:rPr>
            </w:pPr>
            <w:r>
              <w:rPr>
                <w:rFonts w:hint="eastAsia" w:ascii="宋体" w:hAnsi="宋体"/>
                <w:b/>
                <w:kern w:val="2"/>
                <w:sz w:val="30"/>
                <w:szCs w:val="24"/>
                <w:lang w:val="en-US" w:eastAsia="zh-CN"/>
              </w:rPr>
              <w:t>（副本）</w:t>
            </w:r>
          </w:p>
          <w:p>
            <w:pPr>
              <w:pStyle w:val="31"/>
              <w:spacing w:line="240" w:lineRule="auto"/>
              <w:ind w:left="1747" w:firstLine="353"/>
              <w:jc w:val="left"/>
              <w:rPr>
                <w:rFonts w:ascii="宋体" w:hAnsi="宋体"/>
                <w:kern w:val="2"/>
                <w:sz w:val="18"/>
                <w:szCs w:val="24"/>
                <w:lang w:val="en-US" w:eastAsia="zh-CN"/>
              </w:rPr>
            </w:pP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项目编号：</w:t>
            </w:r>
          </w:p>
          <w:p>
            <w:pPr>
              <w:pStyle w:val="31"/>
              <w:spacing w:line="400" w:lineRule="exact"/>
              <w:ind w:left="0" w:leftChars="0" w:firstLine="0" w:firstLineChars="0"/>
              <w:rPr>
                <w:rFonts w:ascii="宋体" w:hAnsi="宋体"/>
                <w:kern w:val="2"/>
                <w:szCs w:val="24"/>
                <w:lang w:val="en-US" w:eastAsia="zh-CN"/>
              </w:rPr>
            </w:pPr>
            <w:r>
              <w:rPr>
                <w:rFonts w:hint="eastAsia" w:ascii="宋体" w:hAnsi="宋体"/>
                <w:kern w:val="2"/>
                <w:szCs w:val="24"/>
                <w:lang w:val="en-US" w:eastAsia="zh-CN"/>
              </w:rPr>
              <w:t>项目名称：</w:t>
            </w:r>
          </w:p>
          <w:p>
            <w:pPr>
              <w:pStyle w:val="31"/>
              <w:spacing w:line="400" w:lineRule="exact"/>
              <w:ind w:left="0" w:leftChars="0" w:firstLine="0" w:firstLineChars="0"/>
              <w:rPr>
                <w:rFonts w:ascii="宋体" w:hAnsi="宋体"/>
                <w:kern w:val="2"/>
                <w:szCs w:val="24"/>
                <w:lang w:val="en-US" w:eastAsia="zh-CN"/>
              </w:rPr>
            </w:pPr>
            <w:r>
              <w:rPr>
                <w:rFonts w:hint="eastAsia" w:ascii="宋体" w:hAnsi="宋体"/>
                <w:kern w:val="2"/>
                <w:szCs w:val="24"/>
                <w:lang w:val="en-US" w:eastAsia="zh-CN"/>
              </w:rPr>
              <w:t>包号：</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供应商名称（公章）：</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地址：</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电话：</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传真：</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邮编：</w:t>
            </w:r>
          </w:p>
        </w:tc>
      </w:tr>
    </w:tbl>
    <w:p>
      <w:pPr>
        <w:pStyle w:val="31"/>
        <w:spacing w:line="240" w:lineRule="auto"/>
        <w:ind w:left="1747" w:firstLine="470"/>
        <w:rPr>
          <w:rFonts w:ascii="宋体" w:hAnsi="宋体"/>
        </w:rPr>
      </w:pPr>
    </w:p>
    <w:tbl>
      <w:tblPr>
        <w:tblStyle w:val="73"/>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4285" w:type="dxa"/>
          </w:tcPr>
          <w:p>
            <w:pPr>
              <w:pStyle w:val="31"/>
              <w:spacing w:line="400" w:lineRule="exact"/>
              <w:ind w:left="0" w:leftChars="0" w:firstLine="0" w:firstLineChars="0"/>
              <w:jc w:val="left"/>
              <w:rPr>
                <w:rFonts w:ascii="宋体" w:hAnsi="宋体"/>
                <w:kern w:val="2"/>
                <w:szCs w:val="24"/>
                <w:lang w:val="en-US" w:eastAsia="zh-CN"/>
              </w:rPr>
            </w:pP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开标一览表</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（包号：    ）</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项目编号：</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项目名称：</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供应商名称（公章）：</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地址：</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电话：</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传真：</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邮编：</w:t>
            </w:r>
          </w:p>
          <w:p>
            <w:pPr>
              <w:pStyle w:val="31"/>
              <w:spacing w:line="400" w:lineRule="exact"/>
              <w:ind w:left="0" w:leftChars="0" w:firstLine="0" w:firstLineChars="0"/>
              <w:jc w:val="left"/>
              <w:rPr>
                <w:rFonts w:ascii="宋体" w:hAnsi="宋体"/>
                <w:kern w:val="2"/>
                <w:szCs w:val="24"/>
                <w:lang w:val="en-US" w:eastAsia="zh-CN"/>
              </w:rPr>
            </w:pPr>
          </w:p>
        </w:tc>
        <w:tc>
          <w:tcPr>
            <w:tcW w:w="4775" w:type="dxa"/>
          </w:tcPr>
          <w:p>
            <w:pPr>
              <w:pStyle w:val="31"/>
              <w:spacing w:line="400" w:lineRule="exact"/>
              <w:ind w:left="0" w:leftChars="0" w:firstLine="0" w:firstLineChars="0"/>
              <w:jc w:val="left"/>
              <w:rPr>
                <w:rFonts w:ascii="宋体" w:hAnsi="宋体"/>
                <w:kern w:val="2"/>
                <w:szCs w:val="24"/>
                <w:lang w:val="en-US" w:eastAsia="zh-CN"/>
              </w:rPr>
            </w:pP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电子文档</w:t>
            </w:r>
          </w:p>
          <w:p>
            <w:pPr>
              <w:pStyle w:val="31"/>
              <w:spacing w:line="400" w:lineRule="exact"/>
              <w:ind w:left="0" w:leftChars="0" w:firstLine="0" w:firstLineChars="0"/>
              <w:jc w:val="left"/>
              <w:rPr>
                <w:rFonts w:ascii="宋体" w:hAnsi="宋体"/>
                <w:kern w:val="2"/>
                <w:szCs w:val="24"/>
                <w:lang w:val="en-US" w:eastAsia="zh-CN"/>
              </w:rPr>
            </w:pP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项目编号：</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项目名称：</w:t>
            </w:r>
            <w:r>
              <w:rPr>
                <w:rFonts w:ascii="宋体" w:hAnsi="宋体"/>
                <w:kern w:val="2"/>
                <w:szCs w:val="24"/>
                <w:lang w:val="en-US" w:eastAsia="zh-CN"/>
              </w:rPr>
              <w:t xml:space="preserve"> </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供应商名称（公章）：</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地址：</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电话：</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传真：</w:t>
            </w:r>
          </w:p>
          <w:p>
            <w:pPr>
              <w:pStyle w:val="31"/>
              <w:spacing w:line="400" w:lineRule="exact"/>
              <w:ind w:left="0" w:leftChars="0" w:firstLine="0" w:firstLineChars="0"/>
              <w:jc w:val="left"/>
              <w:rPr>
                <w:rFonts w:ascii="宋体" w:hAnsi="宋体"/>
                <w:kern w:val="2"/>
                <w:szCs w:val="24"/>
                <w:lang w:val="en-US" w:eastAsia="zh-CN"/>
              </w:rPr>
            </w:pPr>
            <w:r>
              <w:rPr>
                <w:rFonts w:hint="eastAsia" w:ascii="宋体" w:hAnsi="宋体"/>
                <w:kern w:val="2"/>
                <w:szCs w:val="24"/>
                <w:lang w:val="en-US" w:eastAsia="zh-CN"/>
              </w:rPr>
              <w:t>邮编：</w:t>
            </w:r>
          </w:p>
        </w:tc>
      </w:tr>
    </w:tbl>
    <w:p>
      <w:pPr>
        <w:pStyle w:val="31"/>
        <w:spacing w:line="240" w:lineRule="auto"/>
        <w:ind w:left="1747" w:firstLine="470"/>
        <w:rPr>
          <w:rFonts w:ascii="宋体" w:hAnsi="宋体"/>
        </w:rPr>
      </w:pPr>
    </w:p>
    <w:p>
      <w:pPr>
        <w:pStyle w:val="31"/>
        <w:spacing w:line="240" w:lineRule="auto"/>
        <w:ind w:left="0" w:leftChars="0" w:firstLine="0" w:firstLineChars="0"/>
        <w:rPr>
          <w:rFonts w:ascii="宋体" w:hAnsi="宋体"/>
          <w:b/>
          <w:bCs/>
          <w:sz w:val="32"/>
        </w:rPr>
      </w:pPr>
      <w:r>
        <w:rPr>
          <w:rFonts w:hint="eastAsia" w:ascii="宋体" w:hAnsi="宋体"/>
          <w:b/>
          <w:bCs/>
          <w:sz w:val="32"/>
        </w:rPr>
        <w:t>封口格式：</w:t>
      </w:r>
    </w:p>
    <w:tbl>
      <w:tblPr>
        <w:tblStyle w:val="73"/>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31"/>
              <w:spacing w:line="240" w:lineRule="auto"/>
              <w:ind w:left="0" w:leftChars="0" w:firstLine="0" w:firstLineChars="0"/>
              <w:rPr>
                <w:rFonts w:ascii="宋体" w:hAnsi="宋体"/>
                <w:kern w:val="2"/>
                <w:szCs w:val="24"/>
                <w:lang w:val="en-US" w:eastAsia="zh-CN"/>
              </w:rPr>
            </w:pPr>
            <w:r>
              <w:rPr>
                <w:rFonts w:hint="eastAsia" w:ascii="宋体" w:hAnsi="宋体"/>
                <w:kern w:val="2"/>
                <w:szCs w:val="24"/>
                <w:lang w:val="en-US" w:eastAsia="zh-CN"/>
              </w:rPr>
              <w:t>……………………于  年  月   日   时之前不准启封（公章）…………………</w:t>
            </w:r>
          </w:p>
        </w:tc>
      </w:tr>
    </w:tbl>
    <w:p>
      <w:pPr>
        <w:rPr>
          <w:rFonts w:ascii="宋体" w:hAnsi="宋体"/>
        </w:rPr>
      </w:pPr>
    </w:p>
    <w:p>
      <w:pPr>
        <w:pStyle w:val="5"/>
        <w:rPr>
          <w:b w:val="0"/>
          <w:sz w:val="24"/>
          <w:szCs w:val="24"/>
        </w:rPr>
      </w:pPr>
      <w:r>
        <w:br w:type="page"/>
      </w:r>
      <w:bookmarkStart w:id="120" w:name="_Toc11850821"/>
      <w:r>
        <w:rPr>
          <w:rFonts w:hint="eastAsia"/>
          <w:b w:val="0"/>
          <w:sz w:val="24"/>
          <w:szCs w:val="24"/>
        </w:rPr>
        <w:t>附件十六：保证金退还申请表</w:t>
      </w:r>
      <w:bookmarkEnd w:id="120"/>
    </w:p>
    <w:p>
      <w:pPr>
        <w:tabs>
          <w:tab w:val="left" w:pos="1522"/>
        </w:tabs>
        <w:spacing w:line="360" w:lineRule="auto"/>
        <w:ind w:firstLine="2940" w:firstLineChars="1400"/>
        <w:rPr>
          <w:rFonts w:hint="eastAsia"/>
        </w:rPr>
      </w:pPr>
    </w:p>
    <w:p>
      <w:pPr>
        <w:tabs>
          <w:tab w:val="left" w:pos="1522"/>
        </w:tabs>
        <w:spacing w:line="360" w:lineRule="auto"/>
        <w:ind w:firstLine="3052" w:firstLineChars="950"/>
        <w:rPr>
          <w:rFonts w:ascii="宋体" w:hAnsi="宋体"/>
          <w:b/>
          <w:sz w:val="32"/>
          <w:szCs w:val="32"/>
        </w:rPr>
      </w:pPr>
      <w:r>
        <w:rPr>
          <w:rFonts w:hint="eastAsia" w:ascii="宋体" w:hAnsi="宋体"/>
          <w:b/>
          <w:sz w:val="32"/>
          <w:szCs w:val="32"/>
        </w:rPr>
        <w:t>保证金退还申请表</w:t>
      </w:r>
    </w:p>
    <w:p>
      <w:pPr>
        <w:spacing w:line="360" w:lineRule="auto"/>
        <w:jc w:val="center"/>
        <w:rPr>
          <w:rFonts w:ascii="宋体" w:hAnsi="宋体"/>
          <w:sz w:val="24"/>
        </w:rPr>
      </w:pPr>
      <w:r>
        <w:rPr>
          <w:rFonts w:hint="eastAsia" w:ascii="宋体" w:hAnsi="宋体"/>
          <w:sz w:val="24"/>
        </w:rPr>
        <w:t>此表不需要单独密封，开标现场交给工作人员</w:t>
      </w:r>
    </w:p>
    <w:p>
      <w:pPr>
        <w:rPr>
          <w:rFonts w:ascii="宋体" w:hAnsi="宋体"/>
          <w:sz w:val="24"/>
        </w:rPr>
      </w:pPr>
    </w:p>
    <w:p>
      <w:pPr>
        <w:spacing w:line="360" w:lineRule="auto"/>
        <w:rPr>
          <w:rFonts w:ascii="宋体" w:hAnsi="宋体"/>
          <w:sz w:val="24"/>
        </w:rPr>
      </w:pPr>
      <w:r>
        <w:rPr>
          <w:rFonts w:ascii="宋体" w:hAnsi="宋体"/>
          <w:sz w:val="24"/>
        </w:rPr>
        <w:t>1</w:t>
      </w:r>
      <w:r>
        <w:rPr>
          <w:rFonts w:hint="eastAsia" w:ascii="宋体" w:hAnsi="宋体"/>
          <w:sz w:val="24"/>
        </w:rPr>
        <w:t xml:space="preserve">．项目编号：  </w:t>
      </w:r>
    </w:p>
    <w:p>
      <w:pPr>
        <w:pStyle w:val="31"/>
        <w:spacing w:line="400" w:lineRule="exact"/>
        <w:ind w:left="0" w:leftChars="0" w:firstLine="0" w:firstLineChars="0"/>
        <w:jc w:val="left"/>
        <w:rPr>
          <w:rFonts w:ascii="宋体" w:hAnsi="宋体"/>
        </w:rPr>
      </w:pPr>
      <w:r>
        <w:rPr>
          <w:rFonts w:hint="eastAsia" w:ascii="宋体" w:hAnsi="宋体"/>
        </w:rPr>
        <w:t xml:space="preserve">2. 项目名称：  </w:t>
      </w:r>
    </w:p>
    <w:p>
      <w:pPr>
        <w:spacing w:line="360" w:lineRule="auto"/>
        <w:rPr>
          <w:rFonts w:ascii="宋体" w:hAnsi="宋体"/>
          <w:sz w:val="24"/>
        </w:rPr>
      </w:pPr>
      <w:r>
        <w:rPr>
          <w:rFonts w:ascii="宋体" w:hAnsi="宋体"/>
          <w:sz w:val="24"/>
        </w:rPr>
        <w:t>3</w:t>
      </w:r>
      <w:r>
        <w:rPr>
          <w:rFonts w:hint="eastAsia" w:ascii="宋体" w:hAnsi="宋体"/>
          <w:sz w:val="24"/>
        </w:rPr>
        <w:t>．开标时间：</w:t>
      </w:r>
      <w:r>
        <w:rPr>
          <w:rFonts w:ascii="宋体" w:hAnsi="宋体"/>
          <w:sz w:val="24"/>
          <w:u w:val="single"/>
        </w:rPr>
        <w:t xml:space="preserve">           </w:t>
      </w:r>
      <w:r>
        <w:rPr>
          <w:rFonts w:ascii="宋体" w:hAnsi="宋体"/>
          <w:sz w:val="24"/>
        </w:rPr>
        <w:t xml:space="preserve">  </w:t>
      </w:r>
    </w:p>
    <w:p>
      <w:pPr>
        <w:spacing w:line="360" w:lineRule="auto"/>
        <w:rPr>
          <w:rFonts w:ascii="宋体" w:hAnsi="宋体"/>
          <w:sz w:val="24"/>
        </w:rPr>
      </w:pPr>
      <w:r>
        <w:rPr>
          <w:rFonts w:hint="eastAsia" w:ascii="宋体" w:hAnsi="宋体"/>
          <w:sz w:val="24"/>
        </w:rPr>
        <w:t>4．保证金递交时间：于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日，以（□电汇□网银）方式，递交</w:t>
      </w:r>
      <w:r>
        <w:rPr>
          <w:rFonts w:ascii="宋体" w:hAnsi="宋体"/>
          <w:sz w:val="24"/>
          <w:u w:val="single"/>
        </w:rPr>
        <w:t xml:space="preserve">        </w:t>
      </w:r>
      <w:r>
        <w:rPr>
          <w:rFonts w:hint="eastAsia" w:ascii="宋体" w:hAnsi="宋体"/>
          <w:sz w:val="24"/>
        </w:rPr>
        <w:t>元。</w:t>
      </w:r>
    </w:p>
    <w:p>
      <w:pPr>
        <w:spacing w:line="360" w:lineRule="auto"/>
        <w:rPr>
          <w:rFonts w:ascii="宋体" w:hAnsi="宋体"/>
          <w:sz w:val="24"/>
        </w:rPr>
      </w:pPr>
      <w:r>
        <w:rPr>
          <w:rFonts w:hint="eastAsia" w:ascii="宋体" w:hAnsi="宋体"/>
          <w:sz w:val="24"/>
        </w:rPr>
        <w:t>5．退款信息</w:t>
      </w:r>
    </w:p>
    <w:p>
      <w:pPr>
        <w:spacing w:line="360" w:lineRule="auto"/>
        <w:rPr>
          <w:rFonts w:ascii="宋体" w:hAnsi="宋体"/>
          <w:sz w:val="24"/>
        </w:rPr>
      </w:pPr>
      <w:r>
        <w:rPr>
          <w:rFonts w:ascii="宋体" w:hAnsi="宋体"/>
          <w:sz w:val="24"/>
        </w:rPr>
        <w:t xml:space="preserve">   </w:t>
      </w:r>
      <w:r>
        <w:rPr>
          <w:rFonts w:hint="eastAsia" w:ascii="宋体" w:hAnsi="宋体"/>
          <w:sz w:val="24"/>
        </w:rPr>
        <w:t>单位名称：</w:t>
      </w:r>
      <w:r>
        <w:rPr>
          <w:rFonts w:ascii="宋体" w:hAnsi="宋体"/>
          <w:sz w:val="24"/>
        </w:rPr>
        <w:t xml:space="preserve">                                 </w:t>
      </w:r>
      <w:r>
        <w:rPr>
          <w:rFonts w:hint="eastAsia" w:ascii="宋体" w:hAnsi="宋体"/>
          <w:sz w:val="24"/>
        </w:rPr>
        <w:t>（注：与提交保证金交款名称一致）</w:t>
      </w:r>
    </w:p>
    <w:p>
      <w:pPr>
        <w:spacing w:line="360" w:lineRule="auto"/>
        <w:rPr>
          <w:rFonts w:ascii="宋体" w:hAnsi="宋体"/>
          <w:sz w:val="24"/>
        </w:rPr>
      </w:pPr>
      <w:r>
        <w:rPr>
          <w:rFonts w:ascii="宋体" w:hAnsi="宋体"/>
          <w:sz w:val="24"/>
        </w:rPr>
        <w:t xml:space="preserve">   </w:t>
      </w:r>
      <w:r>
        <w:rPr>
          <w:rFonts w:hint="eastAsia" w:ascii="宋体" w:hAnsi="宋体"/>
          <w:sz w:val="24"/>
        </w:rPr>
        <w:t>开户行：</w:t>
      </w:r>
      <w:r>
        <w:rPr>
          <w:rFonts w:ascii="宋体" w:hAnsi="宋体"/>
          <w:sz w:val="24"/>
        </w:rPr>
        <w:t xml:space="preserve">                       </w:t>
      </w:r>
      <w:r>
        <w:rPr>
          <w:rFonts w:hint="eastAsia" w:ascii="宋体" w:hAnsi="宋体"/>
          <w:sz w:val="24"/>
        </w:rPr>
        <w:t>（注：要求хх市хх行хх支行（或分理处））</w:t>
      </w:r>
    </w:p>
    <w:p>
      <w:pPr>
        <w:spacing w:line="360" w:lineRule="auto"/>
        <w:rPr>
          <w:rFonts w:ascii="宋体" w:hAnsi="宋体"/>
          <w:sz w:val="24"/>
        </w:rPr>
      </w:pPr>
      <w:r>
        <w:rPr>
          <w:rFonts w:ascii="宋体" w:hAnsi="宋体"/>
          <w:sz w:val="24"/>
        </w:rPr>
        <w:t xml:space="preserve">   </w:t>
      </w:r>
      <w:r>
        <w:rPr>
          <w:rFonts w:hint="eastAsia" w:ascii="宋体" w:hAnsi="宋体"/>
          <w:sz w:val="24"/>
        </w:rPr>
        <w:t>银行帐号：</w:t>
      </w:r>
    </w:p>
    <w:p>
      <w:pPr>
        <w:spacing w:line="360" w:lineRule="auto"/>
        <w:rPr>
          <w:rFonts w:ascii="宋体" w:hAnsi="宋体"/>
          <w:sz w:val="24"/>
        </w:rPr>
      </w:pPr>
      <w:r>
        <w:rPr>
          <w:rFonts w:ascii="宋体" w:hAnsi="宋体"/>
          <w:sz w:val="24"/>
        </w:rPr>
        <w:t xml:space="preserve">   </w:t>
      </w:r>
      <w:r>
        <w:rPr>
          <w:rFonts w:hint="eastAsia" w:ascii="宋体" w:hAnsi="宋体"/>
          <w:sz w:val="24"/>
        </w:rPr>
        <w:t>联系人：</w:t>
      </w:r>
    </w:p>
    <w:p>
      <w:pPr>
        <w:spacing w:line="360" w:lineRule="auto"/>
        <w:rPr>
          <w:rFonts w:ascii="宋体" w:hAnsi="宋体"/>
          <w:sz w:val="24"/>
        </w:rPr>
      </w:pPr>
      <w:r>
        <w:rPr>
          <w:rFonts w:ascii="宋体" w:hAnsi="宋体"/>
          <w:sz w:val="24"/>
        </w:rPr>
        <w:t xml:space="preserve">   </w:t>
      </w:r>
      <w:r>
        <w:rPr>
          <w:rFonts w:hint="eastAsia" w:ascii="宋体" w:hAnsi="宋体"/>
          <w:sz w:val="24"/>
        </w:rPr>
        <w:t>联系电话：</w:t>
      </w:r>
    </w:p>
    <w:p>
      <w:pPr>
        <w:spacing w:line="360" w:lineRule="auto"/>
        <w:rPr>
          <w:rFonts w:ascii="宋体" w:hAnsi="宋体"/>
          <w:sz w:val="24"/>
          <w:u w:val="single"/>
        </w:rPr>
      </w:pPr>
      <w:r>
        <w:rPr>
          <w:rFonts w:ascii="宋体" w:hAnsi="宋体"/>
          <w:sz w:val="24"/>
        </w:rPr>
        <w:t xml:space="preserve">   </w:t>
      </w:r>
      <w:r>
        <w:rPr>
          <w:rFonts w:hint="eastAsia" w:ascii="宋体" w:hAnsi="宋体"/>
          <w:sz w:val="24"/>
        </w:rPr>
        <w:t>应退回保证金金额：</w:t>
      </w:r>
      <w:r>
        <w:rPr>
          <w:rFonts w:ascii="宋体" w:hAnsi="宋体"/>
          <w:sz w:val="24"/>
          <w:u w:val="single"/>
        </w:rPr>
        <w:t xml:space="preserve">       </w:t>
      </w:r>
      <w:r>
        <w:rPr>
          <w:rFonts w:hint="eastAsia" w:ascii="宋体" w:hAnsi="宋体"/>
          <w:sz w:val="24"/>
        </w:rPr>
        <w:t>元，大写</w:t>
      </w:r>
      <w:r>
        <w:rPr>
          <w:rFonts w:hint="eastAsia" w:ascii="宋体" w:hAnsi="宋体"/>
          <w:sz w:val="24"/>
          <w:u w:val="single"/>
        </w:rPr>
        <w:t xml:space="preserve">                        </w:t>
      </w:r>
      <w:r>
        <w:rPr>
          <w:rFonts w:hint="eastAsia" w:ascii="宋体" w:hAnsi="宋体"/>
          <w:sz w:val="24"/>
        </w:rPr>
        <w:t>.</w:t>
      </w:r>
      <w:r>
        <w:rPr>
          <w:rFonts w:hint="eastAsia" w:ascii="宋体" w:hAnsi="宋体"/>
          <w:sz w:val="24"/>
          <w:u w:val="single"/>
        </w:rPr>
        <w:t xml:space="preserve">   </w:t>
      </w:r>
    </w:p>
    <w:p>
      <w:pPr>
        <w:spacing w:line="360" w:lineRule="auto"/>
        <w:rPr>
          <w:rFonts w:ascii="宋体" w:hAnsi="宋体"/>
          <w:sz w:val="24"/>
          <w:u w:val="single"/>
        </w:rPr>
      </w:pPr>
      <w:r>
        <w:rPr>
          <w:rFonts w:hint="eastAsia" w:ascii="宋体" w:hAnsi="宋体"/>
          <w:sz w:val="24"/>
        </w:rPr>
        <w:t>6．其他要求事项：</w:t>
      </w:r>
      <w:r>
        <w:rPr>
          <w:rFonts w:ascii="宋体" w:hAnsi="宋体"/>
          <w:sz w:val="24"/>
          <w:u w:val="single"/>
        </w:rPr>
        <w:t xml:space="preserve">                  </w:t>
      </w:r>
      <w:r>
        <w:rPr>
          <w:rFonts w:hint="eastAsia" w:ascii="宋体" w:hAnsi="宋体"/>
          <w:sz w:val="24"/>
        </w:rPr>
        <w:t>项目经理</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单位（盖公章）：</w:t>
      </w:r>
      <w:r>
        <w:rPr>
          <w:rFonts w:ascii="宋体" w:hAnsi="宋体"/>
          <w:sz w:val="24"/>
          <w:u w:val="single"/>
        </w:rPr>
        <w:t xml:space="preserve">            </w:t>
      </w:r>
      <w:r>
        <w:rPr>
          <w:rFonts w:hint="eastAsia" w:ascii="宋体" w:hAnsi="宋体"/>
          <w:sz w:val="24"/>
        </w:rPr>
        <w:t>日期</w:t>
      </w:r>
      <w:r>
        <w:rPr>
          <w:rFonts w:hint="eastAsia" w:ascii="宋体" w:hAnsi="宋体"/>
          <w:sz w:val="24"/>
          <w:u w:val="single"/>
        </w:rPr>
        <w:t xml:space="preserve">                        </w:t>
      </w:r>
      <w:r>
        <w:rPr>
          <w:rFonts w:hint="eastAsia" w:ascii="宋体" w:hAnsi="宋体"/>
          <w:sz w:val="24"/>
        </w:rPr>
        <w:t>.</w:t>
      </w:r>
    </w:p>
    <w:p>
      <w:pPr>
        <w:spacing w:line="360" w:lineRule="auto"/>
        <w:rPr>
          <w:rFonts w:ascii="宋体" w:hAnsi="宋体"/>
          <w:sz w:val="24"/>
        </w:rPr>
      </w:pPr>
      <w:r>
        <w:rPr>
          <w:rFonts w:hint="eastAsia" w:ascii="宋体" w:hAnsi="宋体"/>
          <w:sz w:val="24"/>
        </w:rPr>
        <w:t>备注：本页无需密封，内容填写完整后加盖单位公章，在开标现场单独提交给工作人员，以便及时办理相关退款手续。若投标单位未在开标现场及时提交给招标代理工作人员，请开标后将该表格填写完整后并加盖公章，</w:t>
      </w:r>
      <w:r>
        <w:fldChar w:fldCharType="begin"/>
      </w:r>
      <w:r>
        <w:instrText xml:space="preserve"> HYPERLINK "mailto:将扫描件发送至hyha5299@126.com,并电话通知招标代理机构0531-82661637" </w:instrText>
      </w:r>
      <w:r>
        <w:fldChar w:fldCharType="separate"/>
      </w:r>
      <w:r>
        <w:rPr>
          <w:rFonts w:hint="eastAsia" w:ascii="宋体" w:hAnsi="宋体"/>
          <w:sz w:val="24"/>
        </w:rPr>
        <w:t>将扫描件发送邮件至hyha5299@126.com(邮件主题请标记：XX公司关于退还HYHA2019-0235项目的保证金退还表)</w:t>
      </w:r>
      <w:r>
        <w:rPr>
          <w:rFonts w:ascii="宋体" w:hAnsi="宋体"/>
          <w:sz w:val="24"/>
        </w:rPr>
        <w:t>,</w:t>
      </w:r>
      <w:r>
        <w:rPr>
          <w:rFonts w:hint="eastAsia" w:ascii="宋体" w:hAnsi="宋体"/>
          <w:sz w:val="24"/>
        </w:rPr>
        <w:t>并电话通知采购代理机构</w:t>
      </w:r>
      <w:r>
        <w:rPr>
          <w:rFonts w:ascii="宋体" w:hAnsi="宋体"/>
          <w:sz w:val="24"/>
        </w:rPr>
        <w:t>0531-8266</w:t>
      </w:r>
      <w:r>
        <w:rPr>
          <w:rFonts w:ascii="宋体" w:hAnsi="宋体"/>
          <w:sz w:val="24"/>
        </w:rPr>
        <w:fldChar w:fldCharType="end"/>
      </w:r>
      <w:r>
        <w:rPr>
          <w:rFonts w:hint="eastAsia" w:ascii="宋体" w:hAnsi="宋体"/>
          <w:sz w:val="24"/>
        </w:rPr>
        <w:t>1637、方便及时退还保证金。若未提交该保证金退还信息表，因此造成退还保证金时间延迟，投标单位后果自负。</w:t>
      </w:r>
    </w:p>
    <w:sectPr>
      <w:headerReference r:id="rId5" w:type="default"/>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9"/>
      <w:framePr w:wrap="around" w:vAnchor="text" w:hAnchor="margin" w:xAlign="center" w:y="1"/>
      <w:rPr>
        <w:rStyle w:val="117"/>
      </w:rPr>
    </w:pPr>
    <w:r>
      <w:fldChar w:fldCharType="begin"/>
    </w:r>
    <w:r>
      <w:rPr>
        <w:rStyle w:val="117"/>
      </w:rPr>
      <w:instrText xml:space="preserve">PAGE  </w:instrText>
    </w:r>
    <w:r>
      <w:fldChar w:fldCharType="separate"/>
    </w:r>
    <w:r>
      <w:rPr>
        <w:rStyle w:val="117"/>
      </w:rPr>
      <w:t>36</w:t>
    </w:r>
    <w:r>
      <w:fldChar w:fldCharType="end"/>
    </w:r>
  </w:p>
  <w:p>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firstLine="900" w:firstLineChars="500"/>
      <w:jc w:val="both"/>
      <w:rPr>
        <w:rFonts w:ascii="宋体"/>
      </w:rPr>
    </w:pPr>
    <w:r>
      <w:rPr>
        <w:lang w:val="en-US" w:eastAsia="zh-CN"/>
      </w:rPr>
      <w:drawing>
        <wp:anchor distT="0" distB="0" distL="114300" distR="114300" simplePos="0" relativeHeight="251657216" behindDoc="0" locked="0" layoutInCell="1" allowOverlap="1">
          <wp:simplePos x="0" y="0"/>
          <wp:positionH relativeFrom="column">
            <wp:posOffset>-295275</wp:posOffset>
          </wp:positionH>
          <wp:positionV relativeFrom="paragraph">
            <wp:posOffset>-195580</wp:posOffset>
          </wp:positionV>
          <wp:extent cx="532130" cy="387985"/>
          <wp:effectExtent l="19050" t="0" r="127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
                  <a:srcRect/>
                  <a:stretch>
                    <a:fillRect/>
                  </a:stretch>
                </pic:blipFill>
                <pic:spPr>
                  <a:xfrm>
                    <a:off x="0" y="0"/>
                    <a:ext cx="532130" cy="387985"/>
                  </a:xfrm>
                  <a:prstGeom prst="rect">
                    <a:avLst/>
                  </a:prstGeom>
                  <a:noFill/>
                  <a:ln w="9525">
                    <a:noFill/>
                    <a:miter lim="800000"/>
                    <a:headEnd/>
                    <a:tailEnd/>
                  </a:ln>
                </pic:spPr>
              </pic:pic>
            </a:graphicData>
          </a:graphic>
        </wp:anchor>
      </w:drawing>
    </w:r>
    <w:r>
      <w:rPr>
        <w:rFonts w:hint="eastAsia" w:ascii="宋体" w:hAnsi="宋体" w:cs="宋体"/>
        <w:bCs/>
        <w:sz w:val="21"/>
        <w:szCs w:val="21"/>
      </w:rPr>
      <w:t>山东大学医疗科研设备采购招标文件</w:t>
    </w:r>
    <w:r>
      <w:rPr>
        <w:rFonts w:ascii="宋体" w:hAnsi="宋体" w:cs="宋体"/>
        <w:bCs/>
        <w:sz w:val="21"/>
        <w:szCs w:val="21"/>
      </w:rPr>
      <w:t xml:space="preserve">        </w:t>
    </w:r>
    <w:r>
      <w:rPr>
        <w:rFonts w:hint="eastAsia" w:ascii="宋体" w:hAnsi="宋体" w:cs="宋体"/>
        <w:bCs/>
        <w:sz w:val="21"/>
        <w:szCs w:val="21"/>
      </w:rPr>
      <w:t xml:space="preserve">   </w:t>
    </w:r>
    <w:r>
      <w:rPr>
        <w:rFonts w:ascii="宋体" w:hAnsi="宋体" w:cs="宋体"/>
        <w:bCs/>
        <w:sz w:val="21"/>
        <w:szCs w:val="21"/>
      </w:rPr>
      <w:t xml:space="preserve">  </w:t>
    </w:r>
    <w:r>
      <w:rPr>
        <w:rFonts w:hint="eastAsia" w:ascii="宋体" w:hAnsi="宋体" w:cs="宋体"/>
        <w:bCs/>
        <w:sz w:val="21"/>
        <w:szCs w:val="21"/>
      </w:rPr>
      <w:t xml:space="preserve"> 项目编号：</w:t>
    </w:r>
    <w:r>
      <w:rPr>
        <w:rFonts w:ascii="宋体" w:hAnsi="宋体" w:cs="宋体"/>
        <w:bCs/>
        <w:sz w:val="21"/>
        <w:szCs w:val="21"/>
      </w:rPr>
      <w:t>HYHA201</w:t>
    </w:r>
    <w:r>
      <w:rPr>
        <w:rFonts w:hint="eastAsia" w:ascii="宋体" w:hAnsi="宋体" w:cs="宋体"/>
        <w:bCs/>
        <w:sz w:val="21"/>
        <w:szCs w:val="21"/>
      </w:rPr>
      <w:t>9-0770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ind w:firstLine="900" w:firstLineChars="500"/>
      <w:jc w:val="both"/>
      <w:rPr>
        <w:rFonts w:hint="eastAsia" w:ascii="宋体"/>
        <w:lang w:eastAsia="zh-CN"/>
      </w:rPr>
    </w:pPr>
    <w:r>
      <w:rPr>
        <w:lang w:val="en-US" w:eastAsia="zh-CN"/>
      </w:rPr>
      <w:drawing>
        <wp:anchor distT="0" distB="0" distL="114300" distR="114300" simplePos="0" relativeHeight="251658240" behindDoc="0" locked="0" layoutInCell="1" allowOverlap="1">
          <wp:simplePos x="0" y="0"/>
          <wp:positionH relativeFrom="column">
            <wp:posOffset>-295275</wp:posOffset>
          </wp:positionH>
          <wp:positionV relativeFrom="paragraph">
            <wp:posOffset>-195580</wp:posOffset>
          </wp:positionV>
          <wp:extent cx="532130" cy="387985"/>
          <wp:effectExtent l="19050" t="0" r="127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
                  <a:srcRect/>
                  <a:stretch>
                    <a:fillRect/>
                  </a:stretch>
                </pic:blipFill>
                <pic:spPr>
                  <a:xfrm>
                    <a:off x="0" y="0"/>
                    <a:ext cx="532130" cy="387985"/>
                  </a:xfrm>
                  <a:prstGeom prst="rect">
                    <a:avLst/>
                  </a:prstGeom>
                  <a:noFill/>
                  <a:ln w="9525">
                    <a:noFill/>
                    <a:miter lim="800000"/>
                    <a:headEnd/>
                    <a:tailEnd/>
                  </a:ln>
                </pic:spPr>
              </pic:pic>
            </a:graphicData>
          </a:graphic>
        </wp:anchor>
      </w:drawing>
    </w:r>
    <w:r>
      <w:rPr>
        <w:rFonts w:hint="eastAsia" w:ascii="宋体" w:hAnsi="宋体" w:cs="宋体"/>
        <w:bCs/>
        <w:sz w:val="21"/>
        <w:szCs w:val="21"/>
      </w:rPr>
      <w:t>山东大学医疗科研设备采购招标文件</w:t>
    </w:r>
    <w:r>
      <w:rPr>
        <w:rFonts w:ascii="宋体" w:hAnsi="宋体" w:cs="宋体"/>
        <w:bCs/>
        <w:sz w:val="21"/>
        <w:szCs w:val="21"/>
      </w:rPr>
      <w:t xml:space="preserve">        </w:t>
    </w:r>
    <w:r>
      <w:rPr>
        <w:rFonts w:hint="eastAsia" w:ascii="宋体" w:hAnsi="宋体" w:cs="宋体"/>
        <w:bCs/>
        <w:sz w:val="21"/>
        <w:szCs w:val="21"/>
      </w:rPr>
      <w:t xml:space="preserve">   </w:t>
    </w:r>
    <w:r>
      <w:rPr>
        <w:rFonts w:ascii="宋体" w:hAnsi="宋体" w:cs="宋体"/>
        <w:bCs/>
        <w:sz w:val="21"/>
        <w:szCs w:val="21"/>
      </w:rPr>
      <w:t xml:space="preserve">  </w:t>
    </w:r>
    <w:r>
      <w:rPr>
        <w:rFonts w:hint="eastAsia" w:ascii="宋体" w:hAnsi="宋体" w:cs="宋体"/>
        <w:bCs/>
        <w:sz w:val="21"/>
        <w:szCs w:val="21"/>
      </w:rPr>
      <w:t xml:space="preserve"> 项目编号：</w:t>
    </w:r>
    <w:r>
      <w:rPr>
        <w:rFonts w:ascii="宋体" w:hAnsi="宋体" w:cs="宋体"/>
        <w:bCs/>
        <w:sz w:val="21"/>
        <w:szCs w:val="21"/>
      </w:rPr>
      <w:t>HYHA201</w:t>
    </w:r>
    <w:r>
      <w:rPr>
        <w:rFonts w:hint="eastAsia" w:ascii="宋体" w:hAnsi="宋体" w:cs="宋体"/>
        <w:bCs/>
        <w:sz w:val="21"/>
        <w:szCs w:val="21"/>
      </w:rPr>
      <w:t>9-0770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F5DE5"/>
    <w:multiLevelType w:val="multilevel"/>
    <w:tmpl w:val="229F5DE5"/>
    <w:lvl w:ilvl="0" w:tentative="0">
      <w:start w:val="3"/>
      <w:numFmt w:val="decimal"/>
      <w:pStyle w:val="43"/>
      <w:lvlText w:val="%1．"/>
      <w:lvlJc w:val="left"/>
      <w:pPr>
        <w:tabs>
          <w:tab w:val="left" w:pos="360"/>
        </w:tabs>
        <w:ind w:left="360" w:hanging="360"/>
      </w:pPr>
      <w:rPr>
        <w:rFonts w:hint="default" w:cs="Times New Roman"/>
      </w:rPr>
    </w:lvl>
    <w:lvl w:ilvl="1" w:tentative="0">
      <w:start w:val="1"/>
      <w:numFmt w:val="lowerLetter"/>
      <w:pStyle w:val="253"/>
      <w:lvlText w:val="%2)"/>
      <w:lvlJc w:val="left"/>
      <w:pPr>
        <w:tabs>
          <w:tab w:val="left" w:pos="840"/>
        </w:tabs>
        <w:ind w:left="840" w:hanging="420"/>
      </w:pPr>
      <w:rPr>
        <w:rFonts w:cs="Times New Roman"/>
      </w:rPr>
    </w:lvl>
    <w:lvl w:ilvl="2" w:tentative="0">
      <w:start w:val="1"/>
      <w:numFmt w:val="lowerRoman"/>
      <w:pStyle w:val="220"/>
      <w:lvlText w:val="%3."/>
      <w:lvlJc w:val="right"/>
      <w:pPr>
        <w:tabs>
          <w:tab w:val="left" w:pos="1260"/>
        </w:tabs>
        <w:ind w:left="1260" w:hanging="420"/>
      </w:pPr>
      <w:rPr>
        <w:rFonts w:cs="Times New Roman"/>
      </w:rPr>
    </w:lvl>
    <w:lvl w:ilvl="3" w:tentative="0">
      <w:start w:val="1"/>
      <w:numFmt w:val="decimal"/>
      <w:pStyle w:val="214"/>
      <w:lvlText w:val="%4."/>
      <w:lvlJc w:val="left"/>
      <w:pPr>
        <w:tabs>
          <w:tab w:val="left" w:pos="1680"/>
        </w:tabs>
        <w:ind w:left="1680" w:hanging="420"/>
      </w:pPr>
      <w:rPr>
        <w:rFonts w:cs="Times New Roman"/>
      </w:rPr>
    </w:lvl>
    <w:lvl w:ilvl="4" w:tentative="0">
      <w:start w:val="1"/>
      <w:numFmt w:val="lowerLetter"/>
      <w:pStyle w:val="213"/>
      <w:lvlText w:val="%5)"/>
      <w:lvlJc w:val="left"/>
      <w:pPr>
        <w:tabs>
          <w:tab w:val="left" w:pos="2100"/>
        </w:tabs>
        <w:ind w:left="2100" w:hanging="420"/>
      </w:pPr>
      <w:rPr>
        <w:rFonts w:cs="Times New Roman"/>
      </w:rPr>
    </w:lvl>
    <w:lvl w:ilvl="5" w:tentative="0">
      <w:start w:val="1"/>
      <w:numFmt w:val="lowerRoman"/>
      <w:pStyle w:val="282"/>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mirrorMargins w:val="1"/>
  <w:bordersDoNotSurroundHeader w:val="1"/>
  <w:bordersDoNotSurroundFooter w:val="1"/>
  <w:documentProtection w:enforcement="0"/>
  <w:defaultTabStop w:val="420"/>
  <w:drawingGridHorizontalSpacing w:val="191"/>
  <w:drawingGridVerticalSpacing w:val="14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rsids>
    <w:rsidRoot w:val="00B9162F"/>
    <w:rsid w:val="000009EA"/>
    <w:rsid w:val="0000153C"/>
    <w:rsid w:val="00001634"/>
    <w:rsid w:val="00002344"/>
    <w:rsid w:val="00002350"/>
    <w:rsid w:val="000027CE"/>
    <w:rsid w:val="00002FBC"/>
    <w:rsid w:val="00003971"/>
    <w:rsid w:val="000048DF"/>
    <w:rsid w:val="00005A6F"/>
    <w:rsid w:val="00007080"/>
    <w:rsid w:val="000071C5"/>
    <w:rsid w:val="00007867"/>
    <w:rsid w:val="00007958"/>
    <w:rsid w:val="0001010F"/>
    <w:rsid w:val="000107DF"/>
    <w:rsid w:val="00011230"/>
    <w:rsid w:val="00012AD5"/>
    <w:rsid w:val="0001316F"/>
    <w:rsid w:val="000132D4"/>
    <w:rsid w:val="00013F12"/>
    <w:rsid w:val="00013F6C"/>
    <w:rsid w:val="000146C2"/>
    <w:rsid w:val="000148D8"/>
    <w:rsid w:val="00015085"/>
    <w:rsid w:val="00015188"/>
    <w:rsid w:val="000154D7"/>
    <w:rsid w:val="00015CCD"/>
    <w:rsid w:val="00016B7F"/>
    <w:rsid w:val="00016FFA"/>
    <w:rsid w:val="00017221"/>
    <w:rsid w:val="0001728C"/>
    <w:rsid w:val="00017880"/>
    <w:rsid w:val="00021257"/>
    <w:rsid w:val="0002169C"/>
    <w:rsid w:val="00022410"/>
    <w:rsid w:val="00022959"/>
    <w:rsid w:val="00022CBE"/>
    <w:rsid w:val="00022D09"/>
    <w:rsid w:val="00022E8F"/>
    <w:rsid w:val="00022FFB"/>
    <w:rsid w:val="00023ED5"/>
    <w:rsid w:val="00024146"/>
    <w:rsid w:val="0002456C"/>
    <w:rsid w:val="00024AB5"/>
    <w:rsid w:val="00024EE4"/>
    <w:rsid w:val="00026173"/>
    <w:rsid w:val="00027FCE"/>
    <w:rsid w:val="00031311"/>
    <w:rsid w:val="000315AF"/>
    <w:rsid w:val="000318B5"/>
    <w:rsid w:val="000319A9"/>
    <w:rsid w:val="00031F00"/>
    <w:rsid w:val="000329A4"/>
    <w:rsid w:val="00032B55"/>
    <w:rsid w:val="00032BAF"/>
    <w:rsid w:val="0003473D"/>
    <w:rsid w:val="00034D65"/>
    <w:rsid w:val="00034DD1"/>
    <w:rsid w:val="00034E5A"/>
    <w:rsid w:val="000350C2"/>
    <w:rsid w:val="000352BA"/>
    <w:rsid w:val="00035833"/>
    <w:rsid w:val="00035A98"/>
    <w:rsid w:val="00035C18"/>
    <w:rsid w:val="00035CEB"/>
    <w:rsid w:val="00036624"/>
    <w:rsid w:val="00036707"/>
    <w:rsid w:val="0003772C"/>
    <w:rsid w:val="00040094"/>
    <w:rsid w:val="00040F52"/>
    <w:rsid w:val="00041806"/>
    <w:rsid w:val="00041C7D"/>
    <w:rsid w:val="00042234"/>
    <w:rsid w:val="000426F9"/>
    <w:rsid w:val="00042716"/>
    <w:rsid w:val="00042F7C"/>
    <w:rsid w:val="000434AA"/>
    <w:rsid w:val="00043E23"/>
    <w:rsid w:val="00043EA2"/>
    <w:rsid w:val="00043F53"/>
    <w:rsid w:val="0004404F"/>
    <w:rsid w:val="00044EFB"/>
    <w:rsid w:val="00045404"/>
    <w:rsid w:val="000456CE"/>
    <w:rsid w:val="00045774"/>
    <w:rsid w:val="00046208"/>
    <w:rsid w:val="00046A50"/>
    <w:rsid w:val="00046F00"/>
    <w:rsid w:val="0004719A"/>
    <w:rsid w:val="000471EC"/>
    <w:rsid w:val="000503C1"/>
    <w:rsid w:val="00050C78"/>
    <w:rsid w:val="000525EB"/>
    <w:rsid w:val="00052AAC"/>
    <w:rsid w:val="000533A2"/>
    <w:rsid w:val="00054386"/>
    <w:rsid w:val="000544A9"/>
    <w:rsid w:val="000546B1"/>
    <w:rsid w:val="00054E7E"/>
    <w:rsid w:val="00055043"/>
    <w:rsid w:val="000557E4"/>
    <w:rsid w:val="000559CF"/>
    <w:rsid w:val="00055BF8"/>
    <w:rsid w:val="000561BD"/>
    <w:rsid w:val="00056BAC"/>
    <w:rsid w:val="00056D5B"/>
    <w:rsid w:val="00056EEA"/>
    <w:rsid w:val="0006028F"/>
    <w:rsid w:val="00060555"/>
    <w:rsid w:val="000608FC"/>
    <w:rsid w:val="0006100D"/>
    <w:rsid w:val="0006144D"/>
    <w:rsid w:val="00062007"/>
    <w:rsid w:val="0006264A"/>
    <w:rsid w:val="00062A55"/>
    <w:rsid w:val="00062ADB"/>
    <w:rsid w:val="0006458E"/>
    <w:rsid w:val="00064C64"/>
    <w:rsid w:val="00064D28"/>
    <w:rsid w:val="00065ED1"/>
    <w:rsid w:val="00066261"/>
    <w:rsid w:val="000668CA"/>
    <w:rsid w:val="00066DEF"/>
    <w:rsid w:val="00067911"/>
    <w:rsid w:val="00067B5E"/>
    <w:rsid w:val="00070205"/>
    <w:rsid w:val="00070D6B"/>
    <w:rsid w:val="00071A6C"/>
    <w:rsid w:val="00072497"/>
    <w:rsid w:val="0007255D"/>
    <w:rsid w:val="00072965"/>
    <w:rsid w:val="0007345D"/>
    <w:rsid w:val="0007367F"/>
    <w:rsid w:val="00074646"/>
    <w:rsid w:val="00074703"/>
    <w:rsid w:val="0007590B"/>
    <w:rsid w:val="0007642E"/>
    <w:rsid w:val="0007697F"/>
    <w:rsid w:val="00076C5A"/>
    <w:rsid w:val="00077566"/>
    <w:rsid w:val="0007764A"/>
    <w:rsid w:val="0007775E"/>
    <w:rsid w:val="00077888"/>
    <w:rsid w:val="0008005E"/>
    <w:rsid w:val="000812BB"/>
    <w:rsid w:val="00081462"/>
    <w:rsid w:val="00081D2F"/>
    <w:rsid w:val="00081F56"/>
    <w:rsid w:val="00081FE6"/>
    <w:rsid w:val="00082354"/>
    <w:rsid w:val="00082719"/>
    <w:rsid w:val="000827EC"/>
    <w:rsid w:val="000829AD"/>
    <w:rsid w:val="00082A06"/>
    <w:rsid w:val="0008312C"/>
    <w:rsid w:val="000835DC"/>
    <w:rsid w:val="00083B66"/>
    <w:rsid w:val="00083E13"/>
    <w:rsid w:val="00084395"/>
    <w:rsid w:val="000847D1"/>
    <w:rsid w:val="0008495C"/>
    <w:rsid w:val="00084D53"/>
    <w:rsid w:val="00085A7F"/>
    <w:rsid w:val="00087790"/>
    <w:rsid w:val="00087A0D"/>
    <w:rsid w:val="0009000E"/>
    <w:rsid w:val="00090954"/>
    <w:rsid w:val="000915DF"/>
    <w:rsid w:val="0009338C"/>
    <w:rsid w:val="00093A61"/>
    <w:rsid w:val="000945FF"/>
    <w:rsid w:val="0009481E"/>
    <w:rsid w:val="00094F8C"/>
    <w:rsid w:val="000955F3"/>
    <w:rsid w:val="00097043"/>
    <w:rsid w:val="00097087"/>
    <w:rsid w:val="00097301"/>
    <w:rsid w:val="00097BF6"/>
    <w:rsid w:val="000A0DE6"/>
    <w:rsid w:val="000A1162"/>
    <w:rsid w:val="000A11F7"/>
    <w:rsid w:val="000A1957"/>
    <w:rsid w:val="000A1D61"/>
    <w:rsid w:val="000A39DF"/>
    <w:rsid w:val="000A4279"/>
    <w:rsid w:val="000A4BC8"/>
    <w:rsid w:val="000A4E21"/>
    <w:rsid w:val="000A5966"/>
    <w:rsid w:val="000A5B54"/>
    <w:rsid w:val="000A5FCE"/>
    <w:rsid w:val="000A6D07"/>
    <w:rsid w:val="000A6DBC"/>
    <w:rsid w:val="000A738D"/>
    <w:rsid w:val="000A7500"/>
    <w:rsid w:val="000A7A27"/>
    <w:rsid w:val="000B0837"/>
    <w:rsid w:val="000B0DC1"/>
    <w:rsid w:val="000B15E3"/>
    <w:rsid w:val="000B1AE1"/>
    <w:rsid w:val="000B1E71"/>
    <w:rsid w:val="000B235B"/>
    <w:rsid w:val="000B27A1"/>
    <w:rsid w:val="000B294E"/>
    <w:rsid w:val="000B2D0E"/>
    <w:rsid w:val="000B3095"/>
    <w:rsid w:val="000B31E3"/>
    <w:rsid w:val="000B32ED"/>
    <w:rsid w:val="000B3516"/>
    <w:rsid w:val="000B3C69"/>
    <w:rsid w:val="000B3CA4"/>
    <w:rsid w:val="000B403D"/>
    <w:rsid w:val="000B4653"/>
    <w:rsid w:val="000B46A8"/>
    <w:rsid w:val="000B47E5"/>
    <w:rsid w:val="000B5380"/>
    <w:rsid w:val="000B5F78"/>
    <w:rsid w:val="000B68A8"/>
    <w:rsid w:val="000B6CFE"/>
    <w:rsid w:val="000B6F17"/>
    <w:rsid w:val="000B796D"/>
    <w:rsid w:val="000C0035"/>
    <w:rsid w:val="000C00C7"/>
    <w:rsid w:val="000C0CD7"/>
    <w:rsid w:val="000C0D41"/>
    <w:rsid w:val="000C1482"/>
    <w:rsid w:val="000C2283"/>
    <w:rsid w:val="000C2770"/>
    <w:rsid w:val="000C2810"/>
    <w:rsid w:val="000C290D"/>
    <w:rsid w:val="000C29D9"/>
    <w:rsid w:val="000C4FDF"/>
    <w:rsid w:val="000C570B"/>
    <w:rsid w:val="000C625C"/>
    <w:rsid w:val="000C6280"/>
    <w:rsid w:val="000C6631"/>
    <w:rsid w:val="000C722B"/>
    <w:rsid w:val="000C7332"/>
    <w:rsid w:val="000C7362"/>
    <w:rsid w:val="000C749A"/>
    <w:rsid w:val="000C771F"/>
    <w:rsid w:val="000C7D3D"/>
    <w:rsid w:val="000C7D67"/>
    <w:rsid w:val="000C7E61"/>
    <w:rsid w:val="000D05AB"/>
    <w:rsid w:val="000D208B"/>
    <w:rsid w:val="000D2114"/>
    <w:rsid w:val="000D2284"/>
    <w:rsid w:val="000D28B9"/>
    <w:rsid w:val="000D2D73"/>
    <w:rsid w:val="000D359F"/>
    <w:rsid w:val="000D3AF8"/>
    <w:rsid w:val="000D3B35"/>
    <w:rsid w:val="000D568C"/>
    <w:rsid w:val="000D58DE"/>
    <w:rsid w:val="000D63B1"/>
    <w:rsid w:val="000D6999"/>
    <w:rsid w:val="000D6B0B"/>
    <w:rsid w:val="000D7987"/>
    <w:rsid w:val="000E0831"/>
    <w:rsid w:val="000E0BC0"/>
    <w:rsid w:val="000E163D"/>
    <w:rsid w:val="000E237D"/>
    <w:rsid w:val="000E3179"/>
    <w:rsid w:val="000E3DCB"/>
    <w:rsid w:val="000E41B2"/>
    <w:rsid w:val="000E4631"/>
    <w:rsid w:val="000E51F4"/>
    <w:rsid w:val="000E60B9"/>
    <w:rsid w:val="000E62A5"/>
    <w:rsid w:val="000E63C7"/>
    <w:rsid w:val="000E6715"/>
    <w:rsid w:val="000E6C2C"/>
    <w:rsid w:val="000E7082"/>
    <w:rsid w:val="000E72F4"/>
    <w:rsid w:val="000E738B"/>
    <w:rsid w:val="000E7FED"/>
    <w:rsid w:val="000F0DCB"/>
    <w:rsid w:val="000F12D9"/>
    <w:rsid w:val="000F1B3E"/>
    <w:rsid w:val="000F26D7"/>
    <w:rsid w:val="000F2C66"/>
    <w:rsid w:val="000F4158"/>
    <w:rsid w:val="000F4A24"/>
    <w:rsid w:val="000F4FD5"/>
    <w:rsid w:val="000F5110"/>
    <w:rsid w:val="000F5767"/>
    <w:rsid w:val="000F5887"/>
    <w:rsid w:val="000F5DB7"/>
    <w:rsid w:val="000F70F6"/>
    <w:rsid w:val="000F7AF9"/>
    <w:rsid w:val="000F7D31"/>
    <w:rsid w:val="000F7E96"/>
    <w:rsid w:val="0010034F"/>
    <w:rsid w:val="00100395"/>
    <w:rsid w:val="00100487"/>
    <w:rsid w:val="00100C4E"/>
    <w:rsid w:val="00100E14"/>
    <w:rsid w:val="0010134B"/>
    <w:rsid w:val="001018C3"/>
    <w:rsid w:val="00101CF3"/>
    <w:rsid w:val="0010249F"/>
    <w:rsid w:val="0010405F"/>
    <w:rsid w:val="0010473F"/>
    <w:rsid w:val="00105030"/>
    <w:rsid w:val="0010544F"/>
    <w:rsid w:val="00105DFD"/>
    <w:rsid w:val="00107485"/>
    <w:rsid w:val="00107FF5"/>
    <w:rsid w:val="0011018F"/>
    <w:rsid w:val="00110694"/>
    <w:rsid w:val="00110C5A"/>
    <w:rsid w:val="00111282"/>
    <w:rsid w:val="00111B53"/>
    <w:rsid w:val="00111CE0"/>
    <w:rsid w:val="00111FC7"/>
    <w:rsid w:val="001123B3"/>
    <w:rsid w:val="001125DB"/>
    <w:rsid w:val="00113B8A"/>
    <w:rsid w:val="00113F6B"/>
    <w:rsid w:val="0011497E"/>
    <w:rsid w:val="00116205"/>
    <w:rsid w:val="0011740B"/>
    <w:rsid w:val="00117982"/>
    <w:rsid w:val="00117DC0"/>
    <w:rsid w:val="001207EE"/>
    <w:rsid w:val="001209B4"/>
    <w:rsid w:val="00120B4D"/>
    <w:rsid w:val="00120FD8"/>
    <w:rsid w:val="001218A2"/>
    <w:rsid w:val="001221B5"/>
    <w:rsid w:val="00122601"/>
    <w:rsid w:val="001230F2"/>
    <w:rsid w:val="00123851"/>
    <w:rsid w:val="00123868"/>
    <w:rsid w:val="00123AD8"/>
    <w:rsid w:val="00123DEE"/>
    <w:rsid w:val="0012413C"/>
    <w:rsid w:val="0012418E"/>
    <w:rsid w:val="00124649"/>
    <w:rsid w:val="001246EC"/>
    <w:rsid w:val="00124BA4"/>
    <w:rsid w:val="00125724"/>
    <w:rsid w:val="00125778"/>
    <w:rsid w:val="00125E44"/>
    <w:rsid w:val="001261B5"/>
    <w:rsid w:val="001261C1"/>
    <w:rsid w:val="001265BF"/>
    <w:rsid w:val="001270D7"/>
    <w:rsid w:val="00127462"/>
    <w:rsid w:val="0013045D"/>
    <w:rsid w:val="001306E8"/>
    <w:rsid w:val="0013149B"/>
    <w:rsid w:val="00131599"/>
    <w:rsid w:val="0013224E"/>
    <w:rsid w:val="001322AA"/>
    <w:rsid w:val="00132491"/>
    <w:rsid w:val="00132ACC"/>
    <w:rsid w:val="00133FD3"/>
    <w:rsid w:val="00134C7A"/>
    <w:rsid w:val="00134E88"/>
    <w:rsid w:val="001351CB"/>
    <w:rsid w:val="001352DE"/>
    <w:rsid w:val="00135A49"/>
    <w:rsid w:val="001362D5"/>
    <w:rsid w:val="00140C6D"/>
    <w:rsid w:val="00141284"/>
    <w:rsid w:val="001413D7"/>
    <w:rsid w:val="0014283F"/>
    <w:rsid w:val="00142AC7"/>
    <w:rsid w:val="001435FA"/>
    <w:rsid w:val="0014380A"/>
    <w:rsid w:val="00143881"/>
    <w:rsid w:val="001438CA"/>
    <w:rsid w:val="00144EF5"/>
    <w:rsid w:val="001450D8"/>
    <w:rsid w:val="0014619D"/>
    <w:rsid w:val="00146C64"/>
    <w:rsid w:val="00146F63"/>
    <w:rsid w:val="00150206"/>
    <w:rsid w:val="00150653"/>
    <w:rsid w:val="001513CC"/>
    <w:rsid w:val="00152392"/>
    <w:rsid w:val="0015252B"/>
    <w:rsid w:val="001538D0"/>
    <w:rsid w:val="00156E9B"/>
    <w:rsid w:val="0015733D"/>
    <w:rsid w:val="00157AFB"/>
    <w:rsid w:val="00160100"/>
    <w:rsid w:val="00160749"/>
    <w:rsid w:val="0016100E"/>
    <w:rsid w:val="00161C5A"/>
    <w:rsid w:val="0016256D"/>
    <w:rsid w:val="00162772"/>
    <w:rsid w:val="00162EFF"/>
    <w:rsid w:val="0016303B"/>
    <w:rsid w:val="00163172"/>
    <w:rsid w:val="00163568"/>
    <w:rsid w:val="00163628"/>
    <w:rsid w:val="00163D37"/>
    <w:rsid w:val="001641DC"/>
    <w:rsid w:val="00164A47"/>
    <w:rsid w:val="00164EDE"/>
    <w:rsid w:val="0016641A"/>
    <w:rsid w:val="001665C5"/>
    <w:rsid w:val="001669F3"/>
    <w:rsid w:val="00167B95"/>
    <w:rsid w:val="00167F50"/>
    <w:rsid w:val="00170108"/>
    <w:rsid w:val="001702DE"/>
    <w:rsid w:val="00170987"/>
    <w:rsid w:val="00170C08"/>
    <w:rsid w:val="0017209C"/>
    <w:rsid w:val="00173066"/>
    <w:rsid w:val="00173077"/>
    <w:rsid w:val="00175D31"/>
    <w:rsid w:val="00176E34"/>
    <w:rsid w:val="00177135"/>
    <w:rsid w:val="00177455"/>
    <w:rsid w:val="001776E3"/>
    <w:rsid w:val="00180F32"/>
    <w:rsid w:val="00181056"/>
    <w:rsid w:val="0018133A"/>
    <w:rsid w:val="0018150E"/>
    <w:rsid w:val="001822BB"/>
    <w:rsid w:val="0018273D"/>
    <w:rsid w:val="00182A99"/>
    <w:rsid w:val="00182CEF"/>
    <w:rsid w:val="00183ED5"/>
    <w:rsid w:val="00185BDC"/>
    <w:rsid w:val="00185BF7"/>
    <w:rsid w:val="00185C3F"/>
    <w:rsid w:val="00185E6A"/>
    <w:rsid w:val="00187095"/>
    <w:rsid w:val="00187783"/>
    <w:rsid w:val="00187879"/>
    <w:rsid w:val="001913C7"/>
    <w:rsid w:val="00191858"/>
    <w:rsid w:val="00192745"/>
    <w:rsid w:val="00192BD0"/>
    <w:rsid w:val="00193C7E"/>
    <w:rsid w:val="001949CC"/>
    <w:rsid w:val="00194A8C"/>
    <w:rsid w:val="001952DE"/>
    <w:rsid w:val="00195330"/>
    <w:rsid w:val="00195548"/>
    <w:rsid w:val="001961D2"/>
    <w:rsid w:val="001963DF"/>
    <w:rsid w:val="001968D0"/>
    <w:rsid w:val="0019702D"/>
    <w:rsid w:val="00197062"/>
    <w:rsid w:val="001978C1"/>
    <w:rsid w:val="0019799C"/>
    <w:rsid w:val="001979E8"/>
    <w:rsid w:val="00197F5B"/>
    <w:rsid w:val="001A073F"/>
    <w:rsid w:val="001A1268"/>
    <w:rsid w:val="001A1572"/>
    <w:rsid w:val="001A24BD"/>
    <w:rsid w:val="001A26F4"/>
    <w:rsid w:val="001A281C"/>
    <w:rsid w:val="001A2C60"/>
    <w:rsid w:val="001A3453"/>
    <w:rsid w:val="001A3A07"/>
    <w:rsid w:val="001A4145"/>
    <w:rsid w:val="001A4A08"/>
    <w:rsid w:val="001A4E1E"/>
    <w:rsid w:val="001A5B04"/>
    <w:rsid w:val="001A5D71"/>
    <w:rsid w:val="001A60E7"/>
    <w:rsid w:val="001A63E2"/>
    <w:rsid w:val="001A6BD0"/>
    <w:rsid w:val="001A731C"/>
    <w:rsid w:val="001A7475"/>
    <w:rsid w:val="001A7A9C"/>
    <w:rsid w:val="001B06A9"/>
    <w:rsid w:val="001B0A67"/>
    <w:rsid w:val="001B0CD1"/>
    <w:rsid w:val="001B0EF8"/>
    <w:rsid w:val="001B1185"/>
    <w:rsid w:val="001B14B7"/>
    <w:rsid w:val="001B1501"/>
    <w:rsid w:val="001B2220"/>
    <w:rsid w:val="001B2A48"/>
    <w:rsid w:val="001B33D2"/>
    <w:rsid w:val="001B3F1E"/>
    <w:rsid w:val="001B4407"/>
    <w:rsid w:val="001B47AE"/>
    <w:rsid w:val="001B49A4"/>
    <w:rsid w:val="001B49D5"/>
    <w:rsid w:val="001B50E3"/>
    <w:rsid w:val="001B50E7"/>
    <w:rsid w:val="001B5AF3"/>
    <w:rsid w:val="001B5E0B"/>
    <w:rsid w:val="001B6013"/>
    <w:rsid w:val="001B65B8"/>
    <w:rsid w:val="001B6B9E"/>
    <w:rsid w:val="001B6D45"/>
    <w:rsid w:val="001B7537"/>
    <w:rsid w:val="001B7C3E"/>
    <w:rsid w:val="001B7DE3"/>
    <w:rsid w:val="001C0403"/>
    <w:rsid w:val="001C0ED3"/>
    <w:rsid w:val="001C1689"/>
    <w:rsid w:val="001C1ADC"/>
    <w:rsid w:val="001C253E"/>
    <w:rsid w:val="001C2565"/>
    <w:rsid w:val="001C2F7A"/>
    <w:rsid w:val="001C3080"/>
    <w:rsid w:val="001C335A"/>
    <w:rsid w:val="001C3608"/>
    <w:rsid w:val="001C3E1F"/>
    <w:rsid w:val="001C3F85"/>
    <w:rsid w:val="001C3FC6"/>
    <w:rsid w:val="001C4120"/>
    <w:rsid w:val="001C4BA9"/>
    <w:rsid w:val="001C4C0C"/>
    <w:rsid w:val="001C4E33"/>
    <w:rsid w:val="001C5DA2"/>
    <w:rsid w:val="001C6606"/>
    <w:rsid w:val="001C6CB1"/>
    <w:rsid w:val="001C763B"/>
    <w:rsid w:val="001C7789"/>
    <w:rsid w:val="001C7810"/>
    <w:rsid w:val="001C799A"/>
    <w:rsid w:val="001C7A11"/>
    <w:rsid w:val="001C7C53"/>
    <w:rsid w:val="001C7CB7"/>
    <w:rsid w:val="001C7F81"/>
    <w:rsid w:val="001D0FCC"/>
    <w:rsid w:val="001D11C3"/>
    <w:rsid w:val="001D15AA"/>
    <w:rsid w:val="001D1B0C"/>
    <w:rsid w:val="001D29B4"/>
    <w:rsid w:val="001D2B40"/>
    <w:rsid w:val="001D3B91"/>
    <w:rsid w:val="001D3C19"/>
    <w:rsid w:val="001D4198"/>
    <w:rsid w:val="001D5948"/>
    <w:rsid w:val="001D5AF2"/>
    <w:rsid w:val="001D61E8"/>
    <w:rsid w:val="001D65A4"/>
    <w:rsid w:val="001D664D"/>
    <w:rsid w:val="001D6EF1"/>
    <w:rsid w:val="001D757E"/>
    <w:rsid w:val="001D784C"/>
    <w:rsid w:val="001D7FBA"/>
    <w:rsid w:val="001E0247"/>
    <w:rsid w:val="001E052F"/>
    <w:rsid w:val="001E0800"/>
    <w:rsid w:val="001E1909"/>
    <w:rsid w:val="001E1F20"/>
    <w:rsid w:val="001E27BB"/>
    <w:rsid w:val="001E2CF7"/>
    <w:rsid w:val="001E3346"/>
    <w:rsid w:val="001E3550"/>
    <w:rsid w:val="001E37E0"/>
    <w:rsid w:val="001E37E2"/>
    <w:rsid w:val="001E392A"/>
    <w:rsid w:val="001E3C69"/>
    <w:rsid w:val="001E44B8"/>
    <w:rsid w:val="001E4A64"/>
    <w:rsid w:val="001E5161"/>
    <w:rsid w:val="001E5366"/>
    <w:rsid w:val="001E6265"/>
    <w:rsid w:val="001E656B"/>
    <w:rsid w:val="001E6816"/>
    <w:rsid w:val="001E6AB5"/>
    <w:rsid w:val="001E7240"/>
    <w:rsid w:val="001F026E"/>
    <w:rsid w:val="001F0739"/>
    <w:rsid w:val="001F0C63"/>
    <w:rsid w:val="001F105D"/>
    <w:rsid w:val="001F1267"/>
    <w:rsid w:val="001F1369"/>
    <w:rsid w:val="001F1E78"/>
    <w:rsid w:val="001F1EF0"/>
    <w:rsid w:val="001F2FC0"/>
    <w:rsid w:val="001F38AC"/>
    <w:rsid w:val="001F38E5"/>
    <w:rsid w:val="001F4818"/>
    <w:rsid w:val="001F4B19"/>
    <w:rsid w:val="001F527D"/>
    <w:rsid w:val="001F5486"/>
    <w:rsid w:val="001F57EA"/>
    <w:rsid w:val="001F5999"/>
    <w:rsid w:val="001F5CB8"/>
    <w:rsid w:val="001F5CEA"/>
    <w:rsid w:val="001F5D9B"/>
    <w:rsid w:val="001F5FEE"/>
    <w:rsid w:val="001F6285"/>
    <w:rsid w:val="001F630E"/>
    <w:rsid w:val="001F66CC"/>
    <w:rsid w:val="001F6D65"/>
    <w:rsid w:val="001F726F"/>
    <w:rsid w:val="001F7A29"/>
    <w:rsid w:val="00200570"/>
    <w:rsid w:val="002006D1"/>
    <w:rsid w:val="002016BE"/>
    <w:rsid w:val="00201A5F"/>
    <w:rsid w:val="00201F59"/>
    <w:rsid w:val="00203736"/>
    <w:rsid w:val="00203E1F"/>
    <w:rsid w:val="00203E30"/>
    <w:rsid w:val="0020474D"/>
    <w:rsid w:val="0020498A"/>
    <w:rsid w:val="00204DB0"/>
    <w:rsid w:val="00205B44"/>
    <w:rsid w:val="002063A2"/>
    <w:rsid w:val="002067C6"/>
    <w:rsid w:val="00206F8E"/>
    <w:rsid w:val="00207560"/>
    <w:rsid w:val="00207DF9"/>
    <w:rsid w:val="0021144A"/>
    <w:rsid w:val="0021242B"/>
    <w:rsid w:val="00213274"/>
    <w:rsid w:val="00213586"/>
    <w:rsid w:val="0021376F"/>
    <w:rsid w:val="00213A15"/>
    <w:rsid w:val="00213DBB"/>
    <w:rsid w:val="00216087"/>
    <w:rsid w:val="00216F39"/>
    <w:rsid w:val="0021710C"/>
    <w:rsid w:val="00217365"/>
    <w:rsid w:val="002176D7"/>
    <w:rsid w:val="00217BBC"/>
    <w:rsid w:val="0022269B"/>
    <w:rsid w:val="00222B9C"/>
    <w:rsid w:val="002243D5"/>
    <w:rsid w:val="0022503A"/>
    <w:rsid w:val="00225628"/>
    <w:rsid w:val="00225718"/>
    <w:rsid w:val="00226485"/>
    <w:rsid w:val="0022662A"/>
    <w:rsid w:val="002267A5"/>
    <w:rsid w:val="00226EAF"/>
    <w:rsid w:val="00226F6F"/>
    <w:rsid w:val="002271A9"/>
    <w:rsid w:val="002302C1"/>
    <w:rsid w:val="0023070B"/>
    <w:rsid w:val="00231D44"/>
    <w:rsid w:val="002323C0"/>
    <w:rsid w:val="00232DC6"/>
    <w:rsid w:val="00232FF3"/>
    <w:rsid w:val="00232FFE"/>
    <w:rsid w:val="002336E3"/>
    <w:rsid w:val="002337CD"/>
    <w:rsid w:val="00234180"/>
    <w:rsid w:val="00234AC7"/>
    <w:rsid w:val="00234BFC"/>
    <w:rsid w:val="00234E2B"/>
    <w:rsid w:val="0023524B"/>
    <w:rsid w:val="00235B45"/>
    <w:rsid w:val="00235F99"/>
    <w:rsid w:val="002363CD"/>
    <w:rsid w:val="00236A00"/>
    <w:rsid w:val="00236C27"/>
    <w:rsid w:val="0023724C"/>
    <w:rsid w:val="00237336"/>
    <w:rsid w:val="0023788A"/>
    <w:rsid w:val="00237DD1"/>
    <w:rsid w:val="0024004B"/>
    <w:rsid w:val="0024043A"/>
    <w:rsid w:val="00241850"/>
    <w:rsid w:val="00242FAB"/>
    <w:rsid w:val="002430F0"/>
    <w:rsid w:val="00243AE4"/>
    <w:rsid w:val="00243CC4"/>
    <w:rsid w:val="002442F1"/>
    <w:rsid w:val="00246C87"/>
    <w:rsid w:val="00246CB7"/>
    <w:rsid w:val="0024742B"/>
    <w:rsid w:val="00247AB9"/>
    <w:rsid w:val="00247DAA"/>
    <w:rsid w:val="00247E56"/>
    <w:rsid w:val="00247E9B"/>
    <w:rsid w:val="0025124C"/>
    <w:rsid w:val="00251759"/>
    <w:rsid w:val="0025196D"/>
    <w:rsid w:val="00252453"/>
    <w:rsid w:val="002528AF"/>
    <w:rsid w:val="00252E84"/>
    <w:rsid w:val="00253166"/>
    <w:rsid w:val="0025438A"/>
    <w:rsid w:val="00254949"/>
    <w:rsid w:val="00254BA1"/>
    <w:rsid w:val="00254CBC"/>
    <w:rsid w:val="00254D06"/>
    <w:rsid w:val="00254FA5"/>
    <w:rsid w:val="002557E7"/>
    <w:rsid w:val="00255845"/>
    <w:rsid w:val="00255C87"/>
    <w:rsid w:val="00256CC4"/>
    <w:rsid w:val="002575A0"/>
    <w:rsid w:val="00257631"/>
    <w:rsid w:val="0026065A"/>
    <w:rsid w:val="002609C2"/>
    <w:rsid w:val="00261181"/>
    <w:rsid w:val="00261219"/>
    <w:rsid w:val="00261596"/>
    <w:rsid w:val="00262683"/>
    <w:rsid w:val="002627A4"/>
    <w:rsid w:val="002628F2"/>
    <w:rsid w:val="00262B76"/>
    <w:rsid w:val="00262D3B"/>
    <w:rsid w:val="0026318A"/>
    <w:rsid w:val="0026320D"/>
    <w:rsid w:val="00263232"/>
    <w:rsid w:val="0026355E"/>
    <w:rsid w:val="00265738"/>
    <w:rsid w:val="00265B94"/>
    <w:rsid w:val="00266318"/>
    <w:rsid w:val="002663E1"/>
    <w:rsid w:val="0027042A"/>
    <w:rsid w:val="00270FB9"/>
    <w:rsid w:val="002714DE"/>
    <w:rsid w:val="00272C0F"/>
    <w:rsid w:val="0027301B"/>
    <w:rsid w:val="00273469"/>
    <w:rsid w:val="0027378A"/>
    <w:rsid w:val="0027382D"/>
    <w:rsid w:val="00273B74"/>
    <w:rsid w:val="00273EA1"/>
    <w:rsid w:val="00274FB7"/>
    <w:rsid w:val="00275A57"/>
    <w:rsid w:val="00275F0B"/>
    <w:rsid w:val="00276AA2"/>
    <w:rsid w:val="00276CD0"/>
    <w:rsid w:val="00276FC9"/>
    <w:rsid w:val="00281781"/>
    <w:rsid w:val="002817EC"/>
    <w:rsid w:val="00281842"/>
    <w:rsid w:val="00281AF1"/>
    <w:rsid w:val="00281B95"/>
    <w:rsid w:val="00281E03"/>
    <w:rsid w:val="002827CA"/>
    <w:rsid w:val="00282A40"/>
    <w:rsid w:val="00282C40"/>
    <w:rsid w:val="00283E00"/>
    <w:rsid w:val="00284142"/>
    <w:rsid w:val="0028466B"/>
    <w:rsid w:val="00286316"/>
    <w:rsid w:val="002871E5"/>
    <w:rsid w:val="00287408"/>
    <w:rsid w:val="00287B6C"/>
    <w:rsid w:val="00290707"/>
    <w:rsid w:val="002907F4"/>
    <w:rsid w:val="00290A6C"/>
    <w:rsid w:val="002912AE"/>
    <w:rsid w:val="002913D6"/>
    <w:rsid w:val="00291E5F"/>
    <w:rsid w:val="00292EFF"/>
    <w:rsid w:val="00297256"/>
    <w:rsid w:val="0029788B"/>
    <w:rsid w:val="002979AC"/>
    <w:rsid w:val="00297B35"/>
    <w:rsid w:val="002A06A6"/>
    <w:rsid w:val="002A13A3"/>
    <w:rsid w:val="002A15C3"/>
    <w:rsid w:val="002A186D"/>
    <w:rsid w:val="002A2135"/>
    <w:rsid w:val="002A2916"/>
    <w:rsid w:val="002A2C00"/>
    <w:rsid w:val="002A3BE9"/>
    <w:rsid w:val="002A41BF"/>
    <w:rsid w:val="002A4226"/>
    <w:rsid w:val="002A47CB"/>
    <w:rsid w:val="002A4995"/>
    <w:rsid w:val="002A50D9"/>
    <w:rsid w:val="002A5FD8"/>
    <w:rsid w:val="002A6E12"/>
    <w:rsid w:val="002B03DD"/>
    <w:rsid w:val="002B05C2"/>
    <w:rsid w:val="002B1052"/>
    <w:rsid w:val="002B149D"/>
    <w:rsid w:val="002B158C"/>
    <w:rsid w:val="002B1D5B"/>
    <w:rsid w:val="002B2087"/>
    <w:rsid w:val="002B2211"/>
    <w:rsid w:val="002B2C83"/>
    <w:rsid w:val="002B47BD"/>
    <w:rsid w:val="002B51F3"/>
    <w:rsid w:val="002B5CC6"/>
    <w:rsid w:val="002B5D83"/>
    <w:rsid w:val="002B6244"/>
    <w:rsid w:val="002B62BF"/>
    <w:rsid w:val="002B643B"/>
    <w:rsid w:val="002B6567"/>
    <w:rsid w:val="002B6727"/>
    <w:rsid w:val="002B6BB2"/>
    <w:rsid w:val="002B71BA"/>
    <w:rsid w:val="002C13FA"/>
    <w:rsid w:val="002C1BB2"/>
    <w:rsid w:val="002C2074"/>
    <w:rsid w:val="002C2157"/>
    <w:rsid w:val="002C21D2"/>
    <w:rsid w:val="002C22CF"/>
    <w:rsid w:val="002C2AA3"/>
    <w:rsid w:val="002C389D"/>
    <w:rsid w:val="002C3A6B"/>
    <w:rsid w:val="002C3D23"/>
    <w:rsid w:val="002C3F37"/>
    <w:rsid w:val="002C4143"/>
    <w:rsid w:val="002C4154"/>
    <w:rsid w:val="002C4344"/>
    <w:rsid w:val="002C46BF"/>
    <w:rsid w:val="002C4C6C"/>
    <w:rsid w:val="002C504E"/>
    <w:rsid w:val="002C5A87"/>
    <w:rsid w:val="002C68E7"/>
    <w:rsid w:val="002C6937"/>
    <w:rsid w:val="002D0C49"/>
    <w:rsid w:val="002D0F97"/>
    <w:rsid w:val="002D3D57"/>
    <w:rsid w:val="002D43B5"/>
    <w:rsid w:val="002D540A"/>
    <w:rsid w:val="002D5753"/>
    <w:rsid w:val="002D6005"/>
    <w:rsid w:val="002D605F"/>
    <w:rsid w:val="002D606F"/>
    <w:rsid w:val="002D61F6"/>
    <w:rsid w:val="002D66EB"/>
    <w:rsid w:val="002D6719"/>
    <w:rsid w:val="002D6CE6"/>
    <w:rsid w:val="002D7E08"/>
    <w:rsid w:val="002E0291"/>
    <w:rsid w:val="002E0D42"/>
    <w:rsid w:val="002E10C5"/>
    <w:rsid w:val="002E1435"/>
    <w:rsid w:val="002E26B8"/>
    <w:rsid w:val="002E2D31"/>
    <w:rsid w:val="002E356E"/>
    <w:rsid w:val="002E4722"/>
    <w:rsid w:val="002E56CE"/>
    <w:rsid w:val="002E583E"/>
    <w:rsid w:val="002E5A27"/>
    <w:rsid w:val="002E714A"/>
    <w:rsid w:val="002F1133"/>
    <w:rsid w:val="002F1736"/>
    <w:rsid w:val="002F228F"/>
    <w:rsid w:val="002F25BF"/>
    <w:rsid w:val="002F33C9"/>
    <w:rsid w:val="002F355C"/>
    <w:rsid w:val="002F3E02"/>
    <w:rsid w:val="002F42C9"/>
    <w:rsid w:val="002F5200"/>
    <w:rsid w:val="002F533A"/>
    <w:rsid w:val="002F5557"/>
    <w:rsid w:val="002F578B"/>
    <w:rsid w:val="002F61A9"/>
    <w:rsid w:val="002F6314"/>
    <w:rsid w:val="002F66D1"/>
    <w:rsid w:val="002F712D"/>
    <w:rsid w:val="002F76FC"/>
    <w:rsid w:val="002F773D"/>
    <w:rsid w:val="0030018E"/>
    <w:rsid w:val="003008F3"/>
    <w:rsid w:val="00300CB9"/>
    <w:rsid w:val="00300E18"/>
    <w:rsid w:val="003016F4"/>
    <w:rsid w:val="0030190D"/>
    <w:rsid w:val="00301D91"/>
    <w:rsid w:val="00302258"/>
    <w:rsid w:val="00302BDA"/>
    <w:rsid w:val="003035F9"/>
    <w:rsid w:val="00303CEF"/>
    <w:rsid w:val="00304982"/>
    <w:rsid w:val="00304B27"/>
    <w:rsid w:val="00305193"/>
    <w:rsid w:val="00305A5F"/>
    <w:rsid w:val="00307FDC"/>
    <w:rsid w:val="003114A7"/>
    <w:rsid w:val="00311698"/>
    <w:rsid w:val="0031280D"/>
    <w:rsid w:val="00312AA8"/>
    <w:rsid w:val="0031347A"/>
    <w:rsid w:val="00313F08"/>
    <w:rsid w:val="00315CE0"/>
    <w:rsid w:val="00316070"/>
    <w:rsid w:val="0031658A"/>
    <w:rsid w:val="003172EF"/>
    <w:rsid w:val="003173F4"/>
    <w:rsid w:val="00317C5F"/>
    <w:rsid w:val="00320373"/>
    <w:rsid w:val="0032069B"/>
    <w:rsid w:val="00321080"/>
    <w:rsid w:val="0032127A"/>
    <w:rsid w:val="0032134B"/>
    <w:rsid w:val="00322D33"/>
    <w:rsid w:val="00323248"/>
    <w:rsid w:val="00323798"/>
    <w:rsid w:val="003243D2"/>
    <w:rsid w:val="003256B1"/>
    <w:rsid w:val="00325F22"/>
    <w:rsid w:val="00326169"/>
    <w:rsid w:val="00326299"/>
    <w:rsid w:val="003274B4"/>
    <w:rsid w:val="0032755D"/>
    <w:rsid w:val="003279CB"/>
    <w:rsid w:val="00327A6B"/>
    <w:rsid w:val="00330E47"/>
    <w:rsid w:val="00330F0A"/>
    <w:rsid w:val="003312C2"/>
    <w:rsid w:val="00331D85"/>
    <w:rsid w:val="00332B3A"/>
    <w:rsid w:val="00333330"/>
    <w:rsid w:val="0033334C"/>
    <w:rsid w:val="0033357C"/>
    <w:rsid w:val="00333803"/>
    <w:rsid w:val="00333D4F"/>
    <w:rsid w:val="00333EAF"/>
    <w:rsid w:val="003346C7"/>
    <w:rsid w:val="003347BB"/>
    <w:rsid w:val="00334DA3"/>
    <w:rsid w:val="00335094"/>
    <w:rsid w:val="0033520C"/>
    <w:rsid w:val="003359D4"/>
    <w:rsid w:val="00335B1C"/>
    <w:rsid w:val="00335CB4"/>
    <w:rsid w:val="0033611F"/>
    <w:rsid w:val="00336EE3"/>
    <w:rsid w:val="00337216"/>
    <w:rsid w:val="00337539"/>
    <w:rsid w:val="003375F9"/>
    <w:rsid w:val="0034060A"/>
    <w:rsid w:val="003409F2"/>
    <w:rsid w:val="003416F4"/>
    <w:rsid w:val="00341831"/>
    <w:rsid w:val="00341CE1"/>
    <w:rsid w:val="00341EE1"/>
    <w:rsid w:val="00341EE6"/>
    <w:rsid w:val="003426C6"/>
    <w:rsid w:val="00344136"/>
    <w:rsid w:val="003442BE"/>
    <w:rsid w:val="0034449F"/>
    <w:rsid w:val="003445AF"/>
    <w:rsid w:val="003447F9"/>
    <w:rsid w:val="003453D2"/>
    <w:rsid w:val="00345CDC"/>
    <w:rsid w:val="00345D26"/>
    <w:rsid w:val="00346D01"/>
    <w:rsid w:val="0034790C"/>
    <w:rsid w:val="00350289"/>
    <w:rsid w:val="003505D3"/>
    <w:rsid w:val="00350E65"/>
    <w:rsid w:val="00351840"/>
    <w:rsid w:val="00351E14"/>
    <w:rsid w:val="00353E41"/>
    <w:rsid w:val="003558CB"/>
    <w:rsid w:val="0035591C"/>
    <w:rsid w:val="00355FAD"/>
    <w:rsid w:val="003563BF"/>
    <w:rsid w:val="00356F36"/>
    <w:rsid w:val="00357A41"/>
    <w:rsid w:val="00357EE5"/>
    <w:rsid w:val="00360DD8"/>
    <w:rsid w:val="0036157F"/>
    <w:rsid w:val="00361765"/>
    <w:rsid w:val="0036329C"/>
    <w:rsid w:val="00363499"/>
    <w:rsid w:val="00363BE8"/>
    <w:rsid w:val="00364655"/>
    <w:rsid w:val="00364D0E"/>
    <w:rsid w:val="00364DEC"/>
    <w:rsid w:val="003651B2"/>
    <w:rsid w:val="0036527F"/>
    <w:rsid w:val="00365553"/>
    <w:rsid w:val="0036585B"/>
    <w:rsid w:val="00367252"/>
    <w:rsid w:val="00367535"/>
    <w:rsid w:val="00367595"/>
    <w:rsid w:val="003677C2"/>
    <w:rsid w:val="00367C49"/>
    <w:rsid w:val="0037024E"/>
    <w:rsid w:val="003706FE"/>
    <w:rsid w:val="00370797"/>
    <w:rsid w:val="00370B2F"/>
    <w:rsid w:val="0037162B"/>
    <w:rsid w:val="00372009"/>
    <w:rsid w:val="003721D3"/>
    <w:rsid w:val="00372A90"/>
    <w:rsid w:val="003731C4"/>
    <w:rsid w:val="003733C6"/>
    <w:rsid w:val="00373BBA"/>
    <w:rsid w:val="00374131"/>
    <w:rsid w:val="00374657"/>
    <w:rsid w:val="00374827"/>
    <w:rsid w:val="003748E5"/>
    <w:rsid w:val="0037543D"/>
    <w:rsid w:val="00375D54"/>
    <w:rsid w:val="00376569"/>
    <w:rsid w:val="00376B13"/>
    <w:rsid w:val="00376D5E"/>
    <w:rsid w:val="003773A1"/>
    <w:rsid w:val="003775FC"/>
    <w:rsid w:val="003776B2"/>
    <w:rsid w:val="003779FF"/>
    <w:rsid w:val="00377B52"/>
    <w:rsid w:val="00377D56"/>
    <w:rsid w:val="00380035"/>
    <w:rsid w:val="003804D8"/>
    <w:rsid w:val="003807B9"/>
    <w:rsid w:val="00380CAC"/>
    <w:rsid w:val="00381887"/>
    <w:rsid w:val="00381B9A"/>
    <w:rsid w:val="0038214B"/>
    <w:rsid w:val="00382192"/>
    <w:rsid w:val="00382658"/>
    <w:rsid w:val="003827C7"/>
    <w:rsid w:val="00383132"/>
    <w:rsid w:val="00384DFB"/>
    <w:rsid w:val="003850EB"/>
    <w:rsid w:val="00385D05"/>
    <w:rsid w:val="00385DF1"/>
    <w:rsid w:val="00386464"/>
    <w:rsid w:val="00386A77"/>
    <w:rsid w:val="00386B56"/>
    <w:rsid w:val="00386D17"/>
    <w:rsid w:val="00387003"/>
    <w:rsid w:val="00387B23"/>
    <w:rsid w:val="003906C3"/>
    <w:rsid w:val="00390AA5"/>
    <w:rsid w:val="00390B46"/>
    <w:rsid w:val="00390D66"/>
    <w:rsid w:val="003915C4"/>
    <w:rsid w:val="00391E24"/>
    <w:rsid w:val="00391EB3"/>
    <w:rsid w:val="0039225D"/>
    <w:rsid w:val="003923B0"/>
    <w:rsid w:val="0039241D"/>
    <w:rsid w:val="0039268E"/>
    <w:rsid w:val="00392D7A"/>
    <w:rsid w:val="00392FAE"/>
    <w:rsid w:val="00393D21"/>
    <w:rsid w:val="00394C6D"/>
    <w:rsid w:val="00395B63"/>
    <w:rsid w:val="00396309"/>
    <w:rsid w:val="003A1396"/>
    <w:rsid w:val="003A1758"/>
    <w:rsid w:val="003A1CA3"/>
    <w:rsid w:val="003A257C"/>
    <w:rsid w:val="003A3809"/>
    <w:rsid w:val="003A4FC6"/>
    <w:rsid w:val="003A567E"/>
    <w:rsid w:val="003A5DDB"/>
    <w:rsid w:val="003A5F29"/>
    <w:rsid w:val="003A62A6"/>
    <w:rsid w:val="003A67E1"/>
    <w:rsid w:val="003A682B"/>
    <w:rsid w:val="003A6977"/>
    <w:rsid w:val="003A6EB3"/>
    <w:rsid w:val="003A7663"/>
    <w:rsid w:val="003A77BA"/>
    <w:rsid w:val="003A7A06"/>
    <w:rsid w:val="003A7B86"/>
    <w:rsid w:val="003B009D"/>
    <w:rsid w:val="003B0AB1"/>
    <w:rsid w:val="003B0EFE"/>
    <w:rsid w:val="003B1E0E"/>
    <w:rsid w:val="003B2ACA"/>
    <w:rsid w:val="003B3F0A"/>
    <w:rsid w:val="003B3FB1"/>
    <w:rsid w:val="003B4ACE"/>
    <w:rsid w:val="003B4BA0"/>
    <w:rsid w:val="003B5259"/>
    <w:rsid w:val="003B536F"/>
    <w:rsid w:val="003B5E1F"/>
    <w:rsid w:val="003B6B86"/>
    <w:rsid w:val="003B6F42"/>
    <w:rsid w:val="003B7586"/>
    <w:rsid w:val="003C01A6"/>
    <w:rsid w:val="003C0FD0"/>
    <w:rsid w:val="003C16E9"/>
    <w:rsid w:val="003C1F8B"/>
    <w:rsid w:val="003C2440"/>
    <w:rsid w:val="003C2AAE"/>
    <w:rsid w:val="003C3698"/>
    <w:rsid w:val="003C37D7"/>
    <w:rsid w:val="003C3877"/>
    <w:rsid w:val="003C4199"/>
    <w:rsid w:val="003C44A1"/>
    <w:rsid w:val="003C4BB2"/>
    <w:rsid w:val="003C674F"/>
    <w:rsid w:val="003C6965"/>
    <w:rsid w:val="003C6E06"/>
    <w:rsid w:val="003D08D2"/>
    <w:rsid w:val="003D1698"/>
    <w:rsid w:val="003D2702"/>
    <w:rsid w:val="003D2BFD"/>
    <w:rsid w:val="003D30DC"/>
    <w:rsid w:val="003D41CF"/>
    <w:rsid w:val="003D5199"/>
    <w:rsid w:val="003D54E0"/>
    <w:rsid w:val="003D56BC"/>
    <w:rsid w:val="003D5756"/>
    <w:rsid w:val="003D6215"/>
    <w:rsid w:val="003D6599"/>
    <w:rsid w:val="003D6C0B"/>
    <w:rsid w:val="003D6E79"/>
    <w:rsid w:val="003D716E"/>
    <w:rsid w:val="003D71B3"/>
    <w:rsid w:val="003D73DB"/>
    <w:rsid w:val="003D76B5"/>
    <w:rsid w:val="003D795B"/>
    <w:rsid w:val="003D7F37"/>
    <w:rsid w:val="003E054E"/>
    <w:rsid w:val="003E06A9"/>
    <w:rsid w:val="003E0873"/>
    <w:rsid w:val="003E1710"/>
    <w:rsid w:val="003E25F3"/>
    <w:rsid w:val="003E3142"/>
    <w:rsid w:val="003E339F"/>
    <w:rsid w:val="003E3D3B"/>
    <w:rsid w:val="003E43DD"/>
    <w:rsid w:val="003E4577"/>
    <w:rsid w:val="003E4DDE"/>
    <w:rsid w:val="003E5746"/>
    <w:rsid w:val="003E5EA8"/>
    <w:rsid w:val="003E5FC9"/>
    <w:rsid w:val="003E64BD"/>
    <w:rsid w:val="003E65E7"/>
    <w:rsid w:val="003E6690"/>
    <w:rsid w:val="003E66E5"/>
    <w:rsid w:val="003E6D01"/>
    <w:rsid w:val="003E6F5E"/>
    <w:rsid w:val="003E7111"/>
    <w:rsid w:val="003E7A54"/>
    <w:rsid w:val="003E7B25"/>
    <w:rsid w:val="003F03A4"/>
    <w:rsid w:val="003F0541"/>
    <w:rsid w:val="003F08C5"/>
    <w:rsid w:val="003F0CDA"/>
    <w:rsid w:val="003F1774"/>
    <w:rsid w:val="003F1784"/>
    <w:rsid w:val="003F1A79"/>
    <w:rsid w:val="003F253B"/>
    <w:rsid w:val="003F28EE"/>
    <w:rsid w:val="003F35B9"/>
    <w:rsid w:val="003F3CA6"/>
    <w:rsid w:val="003F3D59"/>
    <w:rsid w:val="003F4243"/>
    <w:rsid w:val="003F4330"/>
    <w:rsid w:val="003F44FE"/>
    <w:rsid w:val="003F530B"/>
    <w:rsid w:val="003F5C80"/>
    <w:rsid w:val="003F5D60"/>
    <w:rsid w:val="003F5E25"/>
    <w:rsid w:val="003F5FED"/>
    <w:rsid w:val="003F61AC"/>
    <w:rsid w:val="003F66C8"/>
    <w:rsid w:val="003F68CF"/>
    <w:rsid w:val="003F6D4E"/>
    <w:rsid w:val="003F73AF"/>
    <w:rsid w:val="003F78CA"/>
    <w:rsid w:val="00400EB7"/>
    <w:rsid w:val="00401E21"/>
    <w:rsid w:val="004025C2"/>
    <w:rsid w:val="004026DE"/>
    <w:rsid w:val="00403645"/>
    <w:rsid w:val="00404428"/>
    <w:rsid w:val="004046F8"/>
    <w:rsid w:val="0040576F"/>
    <w:rsid w:val="00405939"/>
    <w:rsid w:val="00407072"/>
    <w:rsid w:val="004071C0"/>
    <w:rsid w:val="00407874"/>
    <w:rsid w:val="0040797B"/>
    <w:rsid w:val="00407B07"/>
    <w:rsid w:val="004105EF"/>
    <w:rsid w:val="004108E5"/>
    <w:rsid w:val="00411556"/>
    <w:rsid w:val="00411A0F"/>
    <w:rsid w:val="00411C57"/>
    <w:rsid w:val="00411CE0"/>
    <w:rsid w:val="0041319D"/>
    <w:rsid w:val="004146E2"/>
    <w:rsid w:val="00414F1F"/>
    <w:rsid w:val="00415BEA"/>
    <w:rsid w:val="00417CD7"/>
    <w:rsid w:val="00417EB7"/>
    <w:rsid w:val="00420A2E"/>
    <w:rsid w:val="00421232"/>
    <w:rsid w:val="00421D5E"/>
    <w:rsid w:val="00422208"/>
    <w:rsid w:val="004224EE"/>
    <w:rsid w:val="00422907"/>
    <w:rsid w:val="00422DBF"/>
    <w:rsid w:val="004231CC"/>
    <w:rsid w:val="004234EF"/>
    <w:rsid w:val="00424E22"/>
    <w:rsid w:val="0042513A"/>
    <w:rsid w:val="004255D5"/>
    <w:rsid w:val="00427034"/>
    <w:rsid w:val="00427553"/>
    <w:rsid w:val="004277BB"/>
    <w:rsid w:val="004278E3"/>
    <w:rsid w:val="00427F50"/>
    <w:rsid w:val="0043035C"/>
    <w:rsid w:val="004303D5"/>
    <w:rsid w:val="00430C0F"/>
    <w:rsid w:val="00431439"/>
    <w:rsid w:val="004317C8"/>
    <w:rsid w:val="00431EB5"/>
    <w:rsid w:val="004321C3"/>
    <w:rsid w:val="004325E4"/>
    <w:rsid w:val="00432E69"/>
    <w:rsid w:val="00433F10"/>
    <w:rsid w:val="00434CC1"/>
    <w:rsid w:val="00434E65"/>
    <w:rsid w:val="00434FC5"/>
    <w:rsid w:val="004356E4"/>
    <w:rsid w:val="00435D7A"/>
    <w:rsid w:val="00436011"/>
    <w:rsid w:val="004367E1"/>
    <w:rsid w:val="004376A4"/>
    <w:rsid w:val="0043797E"/>
    <w:rsid w:val="00437A95"/>
    <w:rsid w:val="00437D15"/>
    <w:rsid w:val="00437FB9"/>
    <w:rsid w:val="004400EC"/>
    <w:rsid w:val="00440A45"/>
    <w:rsid w:val="00440D89"/>
    <w:rsid w:val="00440ED6"/>
    <w:rsid w:val="0044102D"/>
    <w:rsid w:val="0044107D"/>
    <w:rsid w:val="0044162C"/>
    <w:rsid w:val="00441826"/>
    <w:rsid w:val="00441849"/>
    <w:rsid w:val="0044195F"/>
    <w:rsid w:val="00441982"/>
    <w:rsid w:val="0044289D"/>
    <w:rsid w:val="00442B3E"/>
    <w:rsid w:val="004436BD"/>
    <w:rsid w:val="00443A0B"/>
    <w:rsid w:val="00443A0F"/>
    <w:rsid w:val="00443FA9"/>
    <w:rsid w:val="0044490C"/>
    <w:rsid w:val="00444A01"/>
    <w:rsid w:val="004454E9"/>
    <w:rsid w:val="00445670"/>
    <w:rsid w:val="00446D17"/>
    <w:rsid w:val="0044756A"/>
    <w:rsid w:val="00447F8F"/>
    <w:rsid w:val="004500A3"/>
    <w:rsid w:val="00450DD8"/>
    <w:rsid w:val="0045137E"/>
    <w:rsid w:val="0045179B"/>
    <w:rsid w:val="00451B60"/>
    <w:rsid w:val="00451D27"/>
    <w:rsid w:val="004520F7"/>
    <w:rsid w:val="004522AE"/>
    <w:rsid w:val="0045281E"/>
    <w:rsid w:val="004529AA"/>
    <w:rsid w:val="004529E9"/>
    <w:rsid w:val="00452FD0"/>
    <w:rsid w:val="00453054"/>
    <w:rsid w:val="00453F28"/>
    <w:rsid w:val="00454D37"/>
    <w:rsid w:val="00454D86"/>
    <w:rsid w:val="00455877"/>
    <w:rsid w:val="004559C7"/>
    <w:rsid w:val="00456C53"/>
    <w:rsid w:val="00457704"/>
    <w:rsid w:val="00457C0E"/>
    <w:rsid w:val="004608C0"/>
    <w:rsid w:val="00460AC4"/>
    <w:rsid w:val="00461A07"/>
    <w:rsid w:val="00461F0A"/>
    <w:rsid w:val="004627C9"/>
    <w:rsid w:val="00462CCF"/>
    <w:rsid w:val="00463A68"/>
    <w:rsid w:val="00464752"/>
    <w:rsid w:val="00465A23"/>
    <w:rsid w:val="00466A38"/>
    <w:rsid w:val="00466C07"/>
    <w:rsid w:val="00467054"/>
    <w:rsid w:val="00467551"/>
    <w:rsid w:val="00467690"/>
    <w:rsid w:val="00467A98"/>
    <w:rsid w:val="004713F1"/>
    <w:rsid w:val="0047160E"/>
    <w:rsid w:val="0047212E"/>
    <w:rsid w:val="004736A2"/>
    <w:rsid w:val="00473A59"/>
    <w:rsid w:val="00473D8E"/>
    <w:rsid w:val="00474157"/>
    <w:rsid w:val="00474EB2"/>
    <w:rsid w:val="004758E9"/>
    <w:rsid w:val="00476AD7"/>
    <w:rsid w:val="00477C2C"/>
    <w:rsid w:val="00477C56"/>
    <w:rsid w:val="00477D0D"/>
    <w:rsid w:val="00480472"/>
    <w:rsid w:val="00480A45"/>
    <w:rsid w:val="00480A83"/>
    <w:rsid w:val="004816F4"/>
    <w:rsid w:val="00482738"/>
    <w:rsid w:val="004827A4"/>
    <w:rsid w:val="00482B52"/>
    <w:rsid w:val="00482F81"/>
    <w:rsid w:val="0048398A"/>
    <w:rsid w:val="004846D4"/>
    <w:rsid w:val="004857FB"/>
    <w:rsid w:val="00485EEB"/>
    <w:rsid w:val="00486571"/>
    <w:rsid w:val="004865CC"/>
    <w:rsid w:val="004871FB"/>
    <w:rsid w:val="004908EC"/>
    <w:rsid w:val="004913CA"/>
    <w:rsid w:val="00492608"/>
    <w:rsid w:val="004931AB"/>
    <w:rsid w:val="00493892"/>
    <w:rsid w:val="00494641"/>
    <w:rsid w:val="00494B70"/>
    <w:rsid w:val="00496275"/>
    <w:rsid w:val="00496634"/>
    <w:rsid w:val="004969F2"/>
    <w:rsid w:val="00496ABF"/>
    <w:rsid w:val="0049793F"/>
    <w:rsid w:val="00497FC8"/>
    <w:rsid w:val="004A10FF"/>
    <w:rsid w:val="004A1472"/>
    <w:rsid w:val="004A16A3"/>
    <w:rsid w:val="004A1853"/>
    <w:rsid w:val="004A1B40"/>
    <w:rsid w:val="004A1F15"/>
    <w:rsid w:val="004A2024"/>
    <w:rsid w:val="004A23CC"/>
    <w:rsid w:val="004A3277"/>
    <w:rsid w:val="004A3768"/>
    <w:rsid w:val="004A3AF8"/>
    <w:rsid w:val="004A4337"/>
    <w:rsid w:val="004A450E"/>
    <w:rsid w:val="004A5015"/>
    <w:rsid w:val="004A5286"/>
    <w:rsid w:val="004A5A37"/>
    <w:rsid w:val="004A5FB7"/>
    <w:rsid w:val="004A745D"/>
    <w:rsid w:val="004A7744"/>
    <w:rsid w:val="004A7782"/>
    <w:rsid w:val="004B07AE"/>
    <w:rsid w:val="004B0F39"/>
    <w:rsid w:val="004B22BA"/>
    <w:rsid w:val="004B24DD"/>
    <w:rsid w:val="004B2AE7"/>
    <w:rsid w:val="004B2F2F"/>
    <w:rsid w:val="004B327B"/>
    <w:rsid w:val="004B37AF"/>
    <w:rsid w:val="004B3A77"/>
    <w:rsid w:val="004B3EB7"/>
    <w:rsid w:val="004B40F6"/>
    <w:rsid w:val="004B411F"/>
    <w:rsid w:val="004B441B"/>
    <w:rsid w:val="004B4CFF"/>
    <w:rsid w:val="004B5172"/>
    <w:rsid w:val="004B53CE"/>
    <w:rsid w:val="004B568D"/>
    <w:rsid w:val="004B5918"/>
    <w:rsid w:val="004B5C4A"/>
    <w:rsid w:val="004B60C4"/>
    <w:rsid w:val="004B6355"/>
    <w:rsid w:val="004B7127"/>
    <w:rsid w:val="004B732D"/>
    <w:rsid w:val="004B7344"/>
    <w:rsid w:val="004B7B65"/>
    <w:rsid w:val="004C01A4"/>
    <w:rsid w:val="004C02E1"/>
    <w:rsid w:val="004C0D36"/>
    <w:rsid w:val="004C1652"/>
    <w:rsid w:val="004C1A5C"/>
    <w:rsid w:val="004C27DE"/>
    <w:rsid w:val="004C2EFD"/>
    <w:rsid w:val="004C34BE"/>
    <w:rsid w:val="004C3941"/>
    <w:rsid w:val="004C3EB0"/>
    <w:rsid w:val="004C4ABE"/>
    <w:rsid w:val="004C5E67"/>
    <w:rsid w:val="004C6098"/>
    <w:rsid w:val="004C61FF"/>
    <w:rsid w:val="004C65B8"/>
    <w:rsid w:val="004C70DA"/>
    <w:rsid w:val="004C73A2"/>
    <w:rsid w:val="004C7DDE"/>
    <w:rsid w:val="004D03EA"/>
    <w:rsid w:val="004D1744"/>
    <w:rsid w:val="004D236F"/>
    <w:rsid w:val="004D2803"/>
    <w:rsid w:val="004D3A0C"/>
    <w:rsid w:val="004D414C"/>
    <w:rsid w:val="004D4160"/>
    <w:rsid w:val="004D4706"/>
    <w:rsid w:val="004D5332"/>
    <w:rsid w:val="004D5ABF"/>
    <w:rsid w:val="004D63D6"/>
    <w:rsid w:val="004D6A5C"/>
    <w:rsid w:val="004D6EB4"/>
    <w:rsid w:val="004D776F"/>
    <w:rsid w:val="004E0BA3"/>
    <w:rsid w:val="004E0E1A"/>
    <w:rsid w:val="004E0F86"/>
    <w:rsid w:val="004E20D2"/>
    <w:rsid w:val="004E258F"/>
    <w:rsid w:val="004E2ACC"/>
    <w:rsid w:val="004E3037"/>
    <w:rsid w:val="004E30F8"/>
    <w:rsid w:val="004E3B9B"/>
    <w:rsid w:val="004E3CF9"/>
    <w:rsid w:val="004E4FF0"/>
    <w:rsid w:val="004E5739"/>
    <w:rsid w:val="004E5A10"/>
    <w:rsid w:val="004E65C4"/>
    <w:rsid w:val="004F09E8"/>
    <w:rsid w:val="004F1283"/>
    <w:rsid w:val="004F1A18"/>
    <w:rsid w:val="004F330C"/>
    <w:rsid w:val="004F33C0"/>
    <w:rsid w:val="004F3DFE"/>
    <w:rsid w:val="004F4633"/>
    <w:rsid w:val="004F47C0"/>
    <w:rsid w:val="004F4999"/>
    <w:rsid w:val="004F499C"/>
    <w:rsid w:val="004F4A4C"/>
    <w:rsid w:val="004F4D5B"/>
    <w:rsid w:val="004F567A"/>
    <w:rsid w:val="004F5BC4"/>
    <w:rsid w:val="004F61C6"/>
    <w:rsid w:val="004F677B"/>
    <w:rsid w:val="004F6A7A"/>
    <w:rsid w:val="004F73F8"/>
    <w:rsid w:val="004F7A88"/>
    <w:rsid w:val="004F7CF8"/>
    <w:rsid w:val="00500623"/>
    <w:rsid w:val="00500675"/>
    <w:rsid w:val="005018A5"/>
    <w:rsid w:val="00501AB0"/>
    <w:rsid w:val="00501AF2"/>
    <w:rsid w:val="00502DE9"/>
    <w:rsid w:val="00503D05"/>
    <w:rsid w:val="00504187"/>
    <w:rsid w:val="00504450"/>
    <w:rsid w:val="0050455A"/>
    <w:rsid w:val="005046CA"/>
    <w:rsid w:val="005057FE"/>
    <w:rsid w:val="00505AB0"/>
    <w:rsid w:val="00506012"/>
    <w:rsid w:val="00506203"/>
    <w:rsid w:val="00507F26"/>
    <w:rsid w:val="00510245"/>
    <w:rsid w:val="005103F5"/>
    <w:rsid w:val="00510DF9"/>
    <w:rsid w:val="00511D6E"/>
    <w:rsid w:val="005122B2"/>
    <w:rsid w:val="005123AC"/>
    <w:rsid w:val="00512A48"/>
    <w:rsid w:val="00512BFC"/>
    <w:rsid w:val="0051367C"/>
    <w:rsid w:val="0051413C"/>
    <w:rsid w:val="005153E5"/>
    <w:rsid w:val="00515DD4"/>
    <w:rsid w:val="005164EA"/>
    <w:rsid w:val="00516BE3"/>
    <w:rsid w:val="00520170"/>
    <w:rsid w:val="005212A5"/>
    <w:rsid w:val="00521A3A"/>
    <w:rsid w:val="0052226D"/>
    <w:rsid w:val="005231B0"/>
    <w:rsid w:val="0052407A"/>
    <w:rsid w:val="00524477"/>
    <w:rsid w:val="00524D6A"/>
    <w:rsid w:val="00524E76"/>
    <w:rsid w:val="00525100"/>
    <w:rsid w:val="00525A21"/>
    <w:rsid w:val="00525D05"/>
    <w:rsid w:val="00525F1D"/>
    <w:rsid w:val="00526682"/>
    <w:rsid w:val="00526D8F"/>
    <w:rsid w:val="0052763A"/>
    <w:rsid w:val="005302BF"/>
    <w:rsid w:val="005309F1"/>
    <w:rsid w:val="00531555"/>
    <w:rsid w:val="005320CF"/>
    <w:rsid w:val="00532FF9"/>
    <w:rsid w:val="0053409A"/>
    <w:rsid w:val="00534456"/>
    <w:rsid w:val="005345B1"/>
    <w:rsid w:val="00534EAF"/>
    <w:rsid w:val="00535BCC"/>
    <w:rsid w:val="00535D00"/>
    <w:rsid w:val="00535F6D"/>
    <w:rsid w:val="00536726"/>
    <w:rsid w:val="00536883"/>
    <w:rsid w:val="00536DDB"/>
    <w:rsid w:val="00540048"/>
    <w:rsid w:val="005400ED"/>
    <w:rsid w:val="00540286"/>
    <w:rsid w:val="0054100C"/>
    <w:rsid w:val="00541D40"/>
    <w:rsid w:val="00542067"/>
    <w:rsid w:val="00542808"/>
    <w:rsid w:val="00542809"/>
    <w:rsid w:val="00542BA4"/>
    <w:rsid w:val="00543123"/>
    <w:rsid w:val="005435AC"/>
    <w:rsid w:val="00543AD8"/>
    <w:rsid w:val="00543D9F"/>
    <w:rsid w:val="00544083"/>
    <w:rsid w:val="00544ECE"/>
    <w:rsid w:val="00545754"/>
    <w:rsid w:val="0054667C"/>
    <w:rsid w:val="005467D8"/>
    <w:rsid w:val="0054731E"/>
    <w:rsid w:val="00547385"/>
    <w:rsid w:val="005475C5"/>
    <w:rsid w:val="00547CAD"/>
    <w:rsid w:val="00551376"/>
    <w:rsid w:val="00551926"/>
    <w:rsid w:val="0055236B"/>
    <w:rsid w:val="005526F7"/>
    <w:rsid w:val="00552E0E"/>
    <w:rsid w:val="00552FD6"/>
    <w:rsid w:val="005538CF"/>
    <w:rsid w:val="00554793"/>
    <w:rsid w:val="00554E94"/>
    <w:rsid w:val="0055612E"/>
    <w:rsid w:val="0055766B"/>
    <w:rsid w:val="005578B8"/>
    <w:rsid w:val="005600D3"/>
    <w:rsid w:val="00560673"/>
    <w:rsid w:val="00560EA8"/>
    <w:rsid w:val="00562F61"/>
    <w:rsid w:val="005636B2"/>
    <w:rsid w:val="00563B7C"/>
    <w:rsid w:val="0056446E"/>
    <w:rsid w:val="0056499C"/>
    <w:rsid w:val="00564D71"/>
    <w:rsid w:val="005651EC"/>
    <w:rsid w:val="005660E0"/>
    <w:rsid w:val="00566C69"/>
    <w:rsid w:val="005673D7"/>
    <w:rsid w:val="00567671"/>
    <w:rsid w:val="005703E4"/>
    <w:rsid w:val="005706D0"/>
    <w:rsid w:val="00570776"/>
    <w:rsid w:val="00570CCC"/>
    <w:rsid w:val="00571083"/>
    <w:rsid w:val="0057120A"/>
    <w:rsid w:val="00571281"/>
    <w:rsid w:val="00572E47"/>
    <w:rsid w:val="00573397"/>
    <w:rsid w:val="00573A0C"/>
    <w:rsid w:val="00574202"/>
    <w:rsid w:val="005748E0"/>
    <w:rsid w:val="005749FA"/>
    <w:rsid w:val="00575152"/>
    <w:rsid w:val="0057521D"/>
    <w:rsid w:val="00575EA4"/>
    <w:rsid w:val="00575F17"/>
    <w:rsid w:val="0057630A"/>
    <w:rsid w:val="005769E2"/>
    <w:rsid w:val="00576E1E"/>
    <w:rsid w:val="00576F3D"/>
    <w:rsid w:val="00582742"/>
    <w:rsid w:val="00583B9D"/>
    <w:rsid w:val="00583BC8"/>
    <w:rsid w:val="00583E87"/>
    <w:rsid w:val="005844B4"/>
    <w:rsid w:val="00585269"/>
    <w:rsid w:val="00585A58"/>
    <w:rsid w:val="00585AE5"/>
    <w:rsid w:val="00585D63"/>
    <w:rsid w:val="00586051"/>
    <w:rsid w:val="005866E2"/>
    <w:rsid w:val="00586785"/>
    <w:rsid w:val="00586A82"/>
    <w:rsid w:val="00587FCA"/>
    <w:rsid w:val="0059019C"/>
    <w:rsid w:val="00590613"/>
    <w:rsid w:val="005910F4"/>
    <w:rsid w:val="00591480"/>
    <w:rsid w:val="00591A2F"/>
    <w:rsid w:val="00592E11"/>
    <w:rsid w:val="005931E1"/>
    <w:rsid w:val="005936B4"/>
    <w:rsid w:val="005940F7"/>
    <w:rsid w:val="00594781"/>
    <w:rsid w:val="005949C2"/>
    <w:rsid w:val="00594DEA"/>
    <w:rsid w:val="00595531"/>
    <w:rsid w:val="00595CE7"/>
    <w:rsid w:val="00595DED"/>
    <w:rsid w:val="0059704A"/>
    <w:rsid w:val="0059761A"/>
    <w:rsid w:val="005978D1"/>
    <w:rsid w:val="005A06D8"/>
    <w:rsid w:val="005A0B48"/>
    <w:rsid w:val="005A0C46"/>
    <w:rsid w:val="005A0F1C"/>
    <w:rsid w:val="005A19BD"/>
    <w:rsid w:val="005A1BBD"/>
    <w:rsid w:val="005A1CE7"/>
    <w:rsid w:val="005A1D2E"/>
    <w:rsid w:val="005A1FE7"/>
    <w:rsid w:val="005A21B8"/>
    <w:rsid w:val="005A37B4"/>
    <w:rsid w:val="005A3912"/>
    <w:rsid w:val="005A3D2C"/>
    <w:rsid w:val="005A42AA"/>
    <w:rsid w:val="005A437D"/>
    <w:rsid w:val="005A46B4"/>
    <w:rsid w:val="005A5339"/>
    <w:rsid w:val="005A62F3"/>
    <w:rsid w:val="005A649C"/>
    <w:rsid w:val="005B003F"/>
    <w:rsid w:val="005B0623"/>
    <w:rsid w:val="005B0D34"/>
    <w:rsid w:val="005B0E74"/>
    <w:rsid w:val="005B18E7"/>
    <w:rsid w:val="005B1D03"/>
    <w:rsid w:val="005B1DAE"/>
    <w:rsid w:val="005B23CA"/>
    <w:rsid w:val="005B24BA"/>
    <w:rsid w:val="005B2C54"/>
    <w:rsid w:val="005B2D52"/>
    <w:rsid w:val="005B32FD"/>
    <w:rsid w:val="005B3615"/>
    <w:rsid w:val="005B3B92"/>
    <w:rsid w:val="005B5300"/>
    <w:rsid w:val="005B63CC"/>
    <w:rsid w:val="005B6EEC"/>
    <w:rsid w:val="005B70CC"/>
    <w:rsid w:val="005C0AE3"/>
    <w:rsid w:val="005C0B3F"/>
    <w:rsid w:val="005C0CF0"/>
    <w:rsid w:val="005C0F43"/>
    <w:rsid w:val="005C0F69"/>
    <w:rsid w:val="005C113F"/>
    <w:rsid w:val="005C16AC"/>
    <w:rsid w:val="005C1CFF"/>
    <w:rsid w:val="005C1E7D"/>
    <w:rsid w:val="005C2228"/>
    <w:rsid w:val="005C2377"/>
    <w:rsid w:val="005C28F0"/>
    <w:rsid w:val="005C2E91"/>
    <w:rsid w:val="005C3405"/>
    <w:rsid w:val="005C39AA"/>
    <w:rsid w:val="005C3AFD"/>
    <w:rsid w:val="005C411B"/>
    <w:rsid w:val="005C46C1"/>
    <w:rsid w:val="005C53E9"/>
    <w:rsid w:val="005C5D51"/>
    <w:rsid w:val="005C7B4F"/>
    <w:rsid w:val="005D0290"/>
    <w:rsid w:val="005D0655"/>
    <w:rsid w:val="005D06AB"/>
    <w:rsid w:val="005D1017"/>
    <w:rsid w:val="005D1650"/>
    <w:rsid w:val="005D1D03"/>
    <w:rsid w:val="005D285B"/>
    <w:rsid w:val="005D2871"/>
    <w:rsid w:val="005D3674"/>
    <w:rsid w:val="005D4497"/>
    <w:rsid w:val="005D4766"/>
    <w:rsid w:val="005D56B8"/>
    <w:rsid w:val="005D56CD"/>
    <w:rsid w:val="005D56DB"/>
    <w:rsid w:val="005D5AC4"/>
    <w:rsid w:val="005D5EC8"/>
    <w:rsid w:val="005D66A1"/>
    <w:rsid w:val="005D6C10"/>
    <w:rsid w:val="005D731C"/>
    <w:rsid w:val="005D7FD3"/>
    <w:rsid w:val="005E0345"/>
    <w:rsid w:val="005E05D3"/>
    <w:rsid w:val="005E0936"/>
    <w:rsid w:val="005E0E8F"/>
    <w:rsid w:val="005E2922"/>
    <w:rsid w:val="005E2A04"/>
    <w:rsid w:val="005E2E28"/>
    <w:rsid w:val="005E33F6"/>
    <w:rsid w:val="005E36CE"/>
    <w:rsid w:val="005E3CB5"/>
    <w:rsid w:val="005E5CB7"/>
    <w:rsid w:val="005E5D6D"/>
    <w:rsid w:val="005E6EE9"/>
    <w:rsid w:val="005E7B6C"/>
    <w:rsid w:val="005E7C7D"/>
    <w:rsid w:val="005F045A"/>
    <w:rsid w:val="005F1AF6"/>
    <w:rsid w:val="005F1E0A"/>
    <w:rsid w:val="005F21B5"/>
    <w:rsid w:val="005F23B9"/>
    <w:rsid w:val="005F2949"/>
    <w:rsid w:val="005F2A19"/>
    <w:rsid w:val="005F34CE"/>
    <w:rsid w:val="005F387A"/>
    <w:rsid w:val="005F3DAA"/>
    <w:rsid w:val="005F3F64"/>
    <w:rsid w:val="005F49C4"/>
    <w:rsid w:val="005F5072"/>
    <w:rsid w:val="005F5FDB"/>
    <w:rsid w:val="005F6E65"/>
    <w:rsid w:val="005F7EC3"/>
    <w:rsid w:val="00600627"/>
    <w:rsid w:val="00600789"/>
    <w:rsid w:val="00600B0A"/>
    <w:rsid w:val="00601776"/>
    <w:rsid w:val="00601EC2"/>
    <w:rsid w:val="00602954"/>
    <w:rsid w:val="00603A33"/>
    <w:rsid w:val="00604720"/>
    <w:rsid w:val="0060511E"/>
    <w:rsid w:val="00605794"/>
    <w:rsid w:val="00605A57"/>
    <w:rsid w:val="00605CFE"/>
    <w:rsid w:val="00606035"/>
    <w:rsid w:val="00606DCF"/>
    <w:rsid w:val="00606F42"/>
    <w:rsid w:val="0060779A"/>
    <w:rsid w:val="00610032"/>
    <w:rsid w:val="00610186"/>
    <w:rsid w:val="00610C92"/>
    <w:rsid w:val="006110F9"/>
    <w:rsid w:val="006112CA"/>
    <w:rsid w:val="00611B87"/>
    <w:rsid w:val="006120E9"/>
    <w:rsid w:val="00612464"/>
    <w:rsid w:val="00612B14"/>
    <w:rsid w:val="00612D8E"/>
    <w:rsid w:val="00613B45"/>
    <w:rsid w:val="00613C3B"/>
    <w:rsid w:val="00614120"/>
    <w:rsid w:val="006145EA"/>
    <w:rsid w:val="0061473F"/>
    <w:rsid w:val="00614D6A"/>
    <w:rsid w:val="00615075"/>
    <w:rsid w:val="00615982"/>
    <w:rsid w:val="0061661D"/>
    <w:rsid w:val="006166FA"/>
    <w:rsid w:val="00617155"/>
    <w:rsid w:val="006179AE"/>
    <w:rsid w:val="00617A13"/>
    <w:rsid w:val="00620C22"/>
    <w:rsid w:val="00620C90"/>
    <w:rsid w:val="00621320"/>
    <w:rsid w:val="006213F6"/>
    <w:rsid w:val="00621ABF"/>
    <w:rsid w:val="006225A3"/>
    <w:rsid w:val="00622A49"/>
    <w:rsid w:val="0062321E"/>
    <w:rsid w:val="0062491C"/>
    <w:rsid w:val="00624961"/>
    <w:rsid w:val="00624B9A"/>
    <w:rsid w:val="00624C13"/>
    <w:rsid w:val="006261C2"/>
    <w:rsid w:val="0062636E"/>
    <w:rsid w:val="006263AE"/>
    <w:rsid w:val="00626609"/>
    <w:rsid w:val="006266F5"/>
    <w:rsid w:val="0062719F"/>
    <w:rsid w:val="00627520"/>
    <w:rsid w:val="006304EC"/>
    <w:rsid w:val="0063058A"/>
    <w:rsid w:val="0063086D"/>
    <w:rsid w:val="00631B76"/>
    <w:rsid w:val="00632074"/>
    <w:rsid w:val="00632E3F"/>
    <w:rsid w:val="006338FA"/>
    <w:rsid w:val="00633E47"/>
    <w:rsid w:val="00634782"/>
    <w:rsid w:val="00634C3E"/>
    <w:rsid w:val="00635B2A"/>
    <w:rsid w:val="00635D64"/>
    <w:rsid w:val="00640A88"/>
    <w:rsid w:val="00640BF4"/>
    <w:rsid w:val="00640C63"/>
    <w:rsid w:val="00641FE6"/>
    <w:rsid w:val="00642FDE"/>
    <w:rsid w:val="00643145"/>
    <w:rsid w:val="006436C9"/>
    <w:rsid w:val="006439A2"/>
    <w:rsid w:val="00643E5A"/>
    <w:rsid w:val="006440A8"/>
    <w:rsid w:val="006441E9"/>
    <w:rsid w:val="006444A2"/>
    <w:rsid w:val="0064461D"/>
    <w:rsid w:val="00644D71"/>
    <w:rsid w:val="006459ED"/>
    <w:rsid w:val="0064665D"/>
    <w:rsid w:val="006468BE"/>
    <w:rsid w:val="006468C7"/>
    <w:rsid w:val="00646BAD"/>
    <w:rsid w:val="0064718F"/>
    <w:rsid w:val="006475E6"/>
    <w:rsid w:val="0065036D"/>
    <w:rsid w:val="00650A2A"/>
    <w:rsid w:val="00650C2F"/>
    <w:rsid w:val="00650C56"/>
    <w:rsid w:val="00650D0B"/>
    <w:rsid w:val="00651A03"/>
    <w:rsid w:val="006522A6"/>
    <w:rsid w:val="00652B75"/>
    <w:rsid w:val="006536F8"/>
    <w:rsid w:val="00653DEE"/>
    <w:rsid w:val="006542F2"/>
    <w:rsid w:val="006546C1"/>
    <w:rsid w:val="00654A1D"/>
    <w:rsid w:val="0065519C"/>
    <w:rsid w:val="00655A91"/>
    <w:rsid w:val="00655B65"/>
    <w:rsid w:val="00656DA9"/>
    <w:rsid w:val="0065727B"/>
    <w:rsid w:val="006576BF"/>
    <w:rsid w:val="00657838"/>
    <w:rsid w:val="00657F02"/>
    <w:rsid w:val="00660E71"/>
    <w:rsid w:val="00660FA8"/>
    <w:rsid w:val="00661714"/>
    <w:rsid w:val="006618BF"/>
    <w:rsid w:val="00661CA8"/>
    <w:rsid w:val="00661E57"/>
    <w:rsid w:val="0066276E"/>
    <w:rsid w:val="00663669"/>
    <w:rsid w:val="00663C3C"/>
    <w:rsid w:val="0066420B"/>
    <w:rsid w:val="0066423D"/>
    <w:rsid w:val="0066445D"/>
    <w:rsid w:val="006647E4"/>
    <w:rsid w:val="00666941"/>
    <w:rsid w:val="00667055"/>
    <w:rsid w:val="006670FC"/>
    <w:rsid w:val="006677AD"/>
    <w:rsid w:val="006678DA"/>
    <w:rsid w:val="006704EA"/>
    <w:rsid w:val="0067075B"/>
    <w:rsid w:val="00670EDC"/>
    <w:rsid w:val="006715A6"/>
    <w:rsid w:val="006716B5"/>
    <w:rsid w:val="00671CB6"/>
    <w:rsid w:val="00671DFF"/>
    <w:rsid w:val="0067280D"/>
    <w:rsid w:val="00672855"/>
    <w:rsid w:val="00673F40"/>
    <w:rsid w:val="006743B5"/>
    <w:rsid w:val="00674BFE"/>
    <w:rsid w:val="00675722"/>
    <w:rsid w:val="0067591B"/>
    <w:rsid w:val="00675E2B"/>
    <w:rsid w:val="0067615F"/>
    <w:rsid w:val="00676776"/>
    <w:rsid w:val="00676860"/>
    <w:rsid w:val="006777EB"/>
    <w:rsid w:val="006807AE"/>
    <w:rsid w:val="00680AD5"/>
    <w:rsid w:val="00680D66"/>
    <w:rsid w:val="0068205B"/>
    <w:rsid w:val="0068234A"/>
    <w:rsid w:val="006823C4"/>
    <w:rsid w:val="006824BE"/>
    <w:rsid w:val="00682664"/>
    <w:rsid w:val="0068266A"/>
    <w:rsid w:val="006826A8"/>
    <w:rsid w:val="00682802"/>
    <w:rsid w:val="006830A8"/>
    <w:rsid w:val="0068395A"/>
    <w:rsid w:val="00683A20"/>
    <w:rsid w:val="00683C5C"/>
    <w:rsid w:val="00684673"/>
    <w:rsid w:val="00684FA7"/>
    <w:rsid w:val="00685551"/>
    <w:rsid w:val="00685575"/>
    <w:rsid w:val="00685934"/>
    <w:rsid w:val="0068667B"/>
    <w:rsid w:val="00686A64"/>
    <w:rsid w:val="00686F7C"/>
    <w:rsid w:val="00686FEF"/>
    <w:rsid w:val="0068709B"/>
    <w:rsid w:val="00687AC8"/>
    <w:rsid w:val="00687D2E"/>
    <w:rsid w:val="00690E8D"/>
    <w:rsid w:val="00691DAD"/>
    <w:rsid w:val="00692166"/>
    <w:rsid w:val="0069259C"/>
    <w:rsid w:val="00692736"/>
    <w:rsid w:val="006929AB"/>
    <w:rsid w:val="00693267"/>
    <w:rsid w:val="0069380F"/>
    <w:rsid w:val="00694980"/>
    <w:rsid w:val="00695139"/>
    <w:rsid w:val="00695F3A"/>
    <w:rsid w:val="00696A41"/>
    <w:rsid w:val="00696AC0"/>
    <w:rsid w:val="00696B1E"/>
    <w:rsid w:val="00696F6E"/>
    <w:rsid w:val="00696F77"/>
    <w:rsid w:val="00697431"/>
    <w:rsid w:val="006977BD"/>
    <w:rsid w:val="006A0480"/>
    <w:rsid w:val="006A11EA"/>
    <w:rsid w:val="006A163A"/>
    <w:rsid w:val="006A1986"/>
    <w:rsid w:val="006A2497"/>
    <w:rsid w:val="006A2ABD"/>
    <w:rsid w:val="006A3521"/>
    <w:rsid w:val="006A3DB2"/>
    <w:rsid w:val="006A4139"/>
    <w:rsid w:val="006A477C"/>
    <w:rsid w:val="006A4DC8"/>
    <w:rsid w:val="006A5BE2"/>
    <w:rsid w:val="006A628F"/>
    <w:rsid w:val="006A69D0"/>
    <w:rsid w:val="006A716C"/>
    <w:rsid w:val="006A725B"/>
    <w:rsid w:val="006B0570"/>
    <w:rsid w:val="006B16E7"/>
    <w:rsid w:val="006B2F75"/>
    <w:rsid w:val="006B2FD2"/>
    <w:rsid w:val="006B3059"/>
    <w:rsid w:val="006B39FD"/>
    <w:rsid w:val="006B3EB0"/>
    <w:rsid w:val="006B42C6"/>
    <w:rsid w:val="006B48A6"/>
    <w:rsid w:val="006B4ADA"/>
    <w:rsid w:val="006B4C77"/>
    <w:rsid w:val="006B4FF2"/>
    <w:rsid w:val="006B504F"/>
    <w:rsid w:val="006B5898"/>
    <w:rsid w:val="006B5E19"/>
    <w:rsid w:val="006B6183"/>
    <w:rsid w:val="006B6AF7"/>
    <w:rsid w:val="006C05F8"/>
    <w:rsid w:val="006C0C38"/>
    <w:rsid w:val="006C1E24"/>
    <w:rsid w:val="006C2141"/>
    <w:rsid w:val="006C237A"/>
    <w:rsid w:val="006C2641"/>
    <w:rsid w:val="006C28C3"/>
    <w:rsid w:val="006C3B72"/>
    <w:rsid w:val="006C3FD5"/>
    <w:rsid w:val="006C4E12"/>
    <w:rsid w:val="006C521D"/>
    <w:rsid w:val="006C535F"/>
    <w:rsid w:val="006C542C"/>
    <w:rsid w:val="006C5CF4"/>
    <w:rsid w:val="006C6BCC"/>
    <w:rsid w:val="006C7841"/>
    <w:rsid w:val="006C7C98"/>
    <w:rsid w:val="006D0305"/>
    <w:rsid w:val="006D05A6"/>
    <w:rsid w:val="006D0728"/>
    <w:rsid w:val="006D0C48"/>
    <w:rsid w:val="006D165E"/>
    <w:rsid w:val="006D23D4"/>
    <w:rsid w:val="006D2630"/>
    <w:rsid w:val="006D26F7"/>
    <w:rsid w:val="006D2917"/>
    <w:rsid w:val="006D2F3E"/>
    <w:rsid w:val="006D31C8"/>
    <w:rsid w:val="006D3555"/>
    <w:rsid w:val="006D3A8F"/>
    <w:rsid w:val="006D4DFF"/>
    <w:rsid w:val="006D4FDD"/>
    <w:rsid w:val="006D5A21"/>
    <w:rsid w:val="006D5A54"/>
    <w:rsid w:val="006D7C9D"/>
    <w:rsid w:val="006D7CA4"/>
    <w:rsid w:val="006D7DEC"/>
    <w:rsid w:val="006D7FA5"/>
    <w:rsid w:val="006E053D"/>
    <w:rsid w:val="006E1460"/>
    <w:rsid w:val="006E189E"/>
    <w:rsid w:val="006E24D7"/>
    <w:rsid w:val="006E264B"/>
    <w:rsid w:val="006E2A69"/>
    <w:rsid w:val="006E2D88"/>
    <w:rsid w:val="006E2FD7"/>
    <w:rsid w:val="006E343F"/>
    <w:rsid w:val="006E34CC"/>
    <w:rsid w:val="006E3705"/>
    <w:rsid w:val="006E3A34"/>
    <w:rsid w:val="006E43B5"/>
    <w:rsid w:val="006E445D"/>
    <w:rsid w:val="006E525C"/>
    <w:rsid w:val="006E52EB"/>
    <w:rsid w:val="006E5481"/>
    <w:rsid w:val="006E5AEB"/>
    <w:rsid w:val="006E5B33"/>
    <w:rsid w:val="006E6208"/>
    <w:rsid w:val="006E6453"/>
    <w:rsid w:val="006E7AF5"/>
    <w:rsid w:val="006F0029"/>
    <w:rsid w:val="006F0645"/>
    <w:rsid w:val="006F088B"/>
    <w:rsid w:val="006F0ABF"/>
    <w:rsid w:val="006F0B68"/>
    <w:rsid w:val="006F1A04"/>
    <w:rsid w:val="006F1A2B"/>
    <w:rsid w:val="006F1BEE"/>
    <w:rsid w:val="006F2045"/>
    <w:rsid w:val="006F2307"/>
    <w:rsid w:val="006F2979"/>
    <w:rsid w:val="006F2C29"/>
    <w:rsid w:val="006F2C70"/>
    <w:rsid w:val="006F3234"/>
    <w:rsid w:val="006F5051"/>
    <w:rsid w:val="006F5A30"/>
    <w:rsid w:val="006F68CE"/>
    <w:rsid w:val="006F707A"/>
    <w:rsid w:val="007006F1"/>
    <w:rsid w:val="00700A4E"/>
    <w:rsid w:val="00701B07"/>
    <w:rsid w:val="00701E30"/>
    <w:rsid w:val="007024BB"/>
    <w:rsid w:val="00702C07"/>
    <w:rsid w:val="00702D97"/>
    <w:rsid w:val="00703AE9"/>
    <w:rsid w:val="00703DFB"/>
    <w:rsid w:val="00705416"/>
    <w:rsid w:val="00705A2C"/>
    <w:rsid w:val="00706101"/>
    <w:rsid w:val="00706550"/>
    <w:rsid w:val="007071AF"/>
    <w:rsid w:val="007071D3"/>
    <w:rsid w:val="007100A8"/>
    <w:rsid w:val="00710467"/>
    <w:rsid w:val="00710682"/>
    <w:rsid w:val="0071137C"/>
    <w:rsid w:val="007119F8"/>
    <w:rsid w:val="00711E14"/>
    <w:rsid w:val="007137A5"/>
    <w:rsid w:val="00713E2B"/>
    <w:rsid w:val="00715A77"/>
    <w:rsid w:val="007166FF"/>
    <w:rsid w:val="00716F47"/>
    <w:rsid w:val="00717109"/>
    <w:rsid w:val="00717AA7"/>
    <w:rsid w:val="00717B4B"/>
    <w:rsid w:val="00717DD3"/>
    <w:rsid w:val="0072039C"/>
    <w:rsid w:val="007203A8"/>
    <w:rsid w:val="00720E39"/>
    <w:rsid w:val="007212F8"/>
    <w:rsid w:val="00721F1E"/>
    <w:rsid w:val="007227E8"/>
    <w:rsid w:val="007229E3"/>
    <w:rsid w:val="00723557"/>
    <w:rsid w:val="00723616"/>
    <w:rsid w:val="0072495B"/>
    <w:rsid w:val="00724AB6"/>
    <w:rsid w:val="00724B30"/>
    <w:rsid w:val="00725927"/>
    <w:rsid w:val="00725937"/>
    <w:rsid w:val="0072709F"/>
    <w:rsid w:val="007275C5"/>
    <w:rsid w:val="00727C6F"/>
    <w:rsid w:val="00731BD4"/>
    <w:rsid w:val="00732F27"/>
    <w:rsid w:val="0073391F"/>
    <w:rsid w:val="007339E7"/>
    <w:rsid w:val="00734503"/>
    <w:rsid w:val="00735222"/>
    <w:rsid w:val="007358BF"/>
    <w:rsid w:val="007358F0"/>
    <w:rsid w:val="00735D2D"/>
    <w:rsid w:val="00735F28"/>
    <w:rsid w:val="007360E1"/>
    <w:rsid w:val="00736120"/>
    <w:rsid w:val="007361A8"/>
    <w:rsid w:val="007373AC"/>
    <w:rsid w:val="00737DEE"/>
    <w:rsid w:val="0074221C"/>
    <w:rsid w:val="0074295A"/>
    <w:rsid w:val="0074327E"/>
    <w:rsid w:val="00743B39"/>
    <w:rsid w:val="00743B8C"/>
    <w:rsid w:val="00743BB7"/>
    <w:rsid w:val="00743C5A"/>
    <w:rsid w:val="00743F22"/>
    <w:rsid w:val="007440AA"/>
    <w:rsid w:val="00744440"/>
    <w:rsid w:val="00745941"/>
    <w:rsid w:val="007459EE"/>
    <w:rsid w:val="00745DB8"/>
    <w:rsid w:val="00746B12"/>
    <w:rsid w:val="00746D18"/>
    <w:rsid w:val="0074766F"/>
    <w:rsid w:val="00747CD9"/>
    <w:rsid w:val="00750326"/>
    <w:rsid w:val="00750605"/>
    <w:rsid w:val="007506A7"/>
    <w:rsid w:val="00751FD9"/>
    <w:rsid w:val="0075209E"/>
    <w:rsid w:val="007528F9"/>
    <w:rsid w:val="00753165"/>
    <w:rsid w:val="0075346C"/>
    <w:rsid w:val="00753E2E"/>
    <w:rsid w:val="0075570D"/>
    <w:rsid w:val="00755B00"/>
    <w:rsid w:val="00756336"/>
    <w:rsid w:val="0075669B"/>
    <w:rsid w:val="00756F64"/>
    <w:rsid w:val="007600BE"/>
    <w:rsid w:val="00760E5B"/>
    <w:rsid w:val="00761279"/>
    <w:rsid w:val="00761296"/>
    <w:rsid w:val="00761B56"/>
    <w:rsid w:val="007624D5"/>
    <w:rsid w:val="007633FB"/>
    <w:rsid w:val="0076341A"/>
    <w:rsid w:val="007638EA"/>
    <w:rsid w:val="00763BF9"/>
    <w:rsid w:val="00764CDF"/>
    <w:rsid w:val="00765D8D"/>
    <w:rsid w:val="00766DE2"/>
    <w:rsid w:val="007705EA"/>
    <w:rsid w:val="00770947"/>
    <w:rsid w:val="00771291"/>
    <w:rsid w:val="0077199C"/>
    <w:rsid w:val="007719AD"/>
    <w:rsid w:val="00771DF2"/>
    <w:rsid w:val="0077281A"/>
    <w:rsid w:val="00772EC2"/>
    <w:rsid w:val="007736F4"/>
    <w:rsid w:val="007737A6"/>
    <w:rsid w:val="00773837"/>
    <w:rsid w:val="00773E92"/>
    <w:rsid w:val="00774BFB"/>
    <w:rsid w:val="00775180"/>
    <w:rsid w:val="007756AC"/>
    <w:rsid w:val="00776291"/>
    <w:rsid w:val="007766E9"/>
    <w:rsid w:val="007770D3"/>
    <w:rsid w:val="007778F9"/>
    <w:rsid w:val="00777ADF"/>
    <w:rsid w:val="0078035D"/>
    <w:rsid w:val="007806D8"/>
    <w:rsid w:val="0078098C"/>
    <w:rsid w:val="0078110D"/>
    <w:rsid w:val="00781595"/>
    <w:rsid w:val="00782904"/>
    <w:rsid w:val="00782975"/>
    <w:rsid w:val="00783391"/>
    <w:rsid w:val="007834FB"/>
    <w:rsid w:val="007836D7"/>
    <w:rsid w:val="00784456"/>
    <w:rsid w:val="00784ADC"/>
    <w:rsid w:val="00784DBF"/>
    <w:rsid w:val="00784F42"/>
    <w:rsid w:val="007853ED"/>
    <w:rsid w:val="00785448"/>
    <w:rsid w:val="00785E15"/>
    <w:rsid w:val="007860B6"/>
    <w:rsid w:val="007862BF"/>
    <w:rsid w:val="0078685B"/>
    <w:rsid w:val="00787149"/>
    <w:rsid w:val="00787A42"/>
    <w:rsid w:val="00790D28"/>
    <w:rsid w:val="00790FE4"/>
    <w:rsid w:val="00791987"/>
    <w:rsid w:val="00791C1B"/>
    <w:rsid w:val="00792A05"/>
    <w:rsid w:val="00792FAB"/>
    <w:rsid w:val="007938C8"/>
    <w:rsid w:val="00793E30"/>
    <w:rsid w:val="007940EB"/>
    <w:rsid w:val="007941B2"/>
    <w:rsid w:val="007948C3"/>
    <w:rsid w:val="00794F09"/>
    <w:rsid w:val="00795477"/>
    <w:rsid w:val="00795778"/>
    <w:rsid w:val="00795A92"/>
    <w:rsid w:val="00795E65"/>
    <w:rsid w:val="00796961"/>
    <w:rsid w:val="007971A4"/>
    <w:rsid w:val="007973FC"/>
    <w:rsid w:val="0079791E"/>
    <w:rsid w:val="007979A2"/>
    <w:rsid w:val="007A0483"/>
    <w:rsid w:val="007A1822"/>
    <w:rsid w:val="007A22EF"/>
    <w:rsid w:val="007A2512"/>
    <w:rsid w:val="007A2D43"/>
    <w:rsid w:val="007A2F2E"/>
    <w:rsid w:val="007A35D3"/>
    <w:rsid w:val="007A3C0B"/>
    <w:rsid w:val="007A4501"/>
    <w:rsid w:val="007A46F3"/>
    <w:rsid w:val="007A599D"/>
    <w:rsid w:val="007A5C4A"/>
    <w:rsid w:val="007A5CFE"/>
    <w:rsid w:val="007A5DA4"/>
    <w:rsid w:val="007A62A5"/>
    <w:rsid w:val="007A634C"/>
    <w:rsid w:val="007A64C1"/>
    <w:rsid w:val="007A65CC"/>
    <w:rsid w:val="007A6677"/>
    <w:rsid w:val="007A66DB"/>
    <w:rsid w:val="007A6B67"/>
    <w:rsid w:val="007A7521"/>
    <w:rsid w:val="007A763F"/>
    <w:rsid w:val="007B0237"/>
    <w:rsid w:val="007B02C8"/>
    <w:rsid w:val="007B0D90"/>
    <w:rsid w:val="007B1493"/>
    <w:rsid w:val="007B1C2C"/>
    <w:rsid w:val="007B1CAE"/>
    <w:rsid w:val="007B209F"/>
    <w:rsid w:val="007B2610"/>
    <w:rsid w:val="007B339B"/>
    <w:rsid w:val="007B366F"/>
    <w:rsid w:val="007B36BF"/>
    <w:rsid w:val="007B37D5"/>
    <w:rsid w:val="007B3B03"/>
    <w:rsid w:val="007B3F77"/>
    <w:rsid w:val="007B43D0"/>
    <w:rsid w:val="007B5516"/>
    <w:rsid w:val="007B5985"/>
    <w:rsid w:val="007B5B53"/>
    <w:rsid w:val="007B5CB4"/>
    <w:rsid w:val="007B662A"/>
    <w:rsid w:val="007B73EB"/>
    <w:rsid w:val="007B784A"/>
    <w:rsid w:val="007B7ABC"/>
    <w:rsid w:val="007B7FED"/>
    <w:rsid w:val="007C0489"/>
    <w:rsid w:val="007C1885"/>
    <w:rsid w:val="007C1FC7"/>
    <w:rsid w:val="007C1FD6"/>
    <w:rsid w:val="007C2292"/>
    <w:rsid w:val="007C29A4"/>
    <w:rsid w:val="007C2FA7"/>
    <w:rsid w:val="007C31CE"/>
    <w:rsid w:val="007C374B"/>
    <w:rsid w:val="007C3AD9"/>
    <w:rsid w:val="007C4020"/>
    <w:rsid w:val="007C475F"/>
    <w:rsid w:val="007C4B7E"/>
    <w:rsid w:val="007C4C77"/>
    <w:rsid w:val="007C50AA"/>
    <w:rsid w:val="007C5A25"/>
    <w:rsid w:val="007C602A"/>
    <w:rsid w:val="007C6343"/>
    <w:rsid w:val="007C698A"/>
    <w:rsid w:val="007C705F"/>
    <w:rsid w:val="007C73B3"/>
    <w:rsid w:val="007C7411"/>
    <w:rsid w:val="007C7D27"/>
    <w:rsid w:val="007D10B3"/>
    <w:rsid w:val="007D10BF"/>
    <w:rsid w:val="007D1243"/>
    <w:rsid w:val="007D1BC4"/>
    <w:rsid w:val="007D24D9"/>
    <w:rsid w:val="007D25A0"/>
    <w:rsid w:val="007D28D8"/>
    <w:rsid w:val="007D2BD3"/>
    <w:rsid w:val="007D3BCC"/>
    <w:rsid w:val="007D3F88"/>
    <w:rsid w:val="007D4123"/>
    <w:rsid w:val="007D437B"/>
    <w:rsid w:val="007D50D6"/>
    <w:rsid w:val="007D6317"/>
    <w:rsid w:val="007D66A0"/>
    <w:rsid w:val="007D6981"/>
    <w:rsid w:val="007D6FF4"/>
    <w:rsid w:val="007D7418"/>
    <w:rsid w:val="007D7CD0"/>
    <w:rsid w:val="007D7E52"/>
    <w:rsid w:val="007E05C6"/>
    <w:rsid w:val="007E1026"/>
    <w:rsid w:val="007E1155"/>
    <w:rsid w:val="007E18E6"/>
    <w:rsid w:val="007E19B4"/>
    <w:rsid w:val="007E2096"/>
    <w:rsid w:val="007E20A6"/>
    <w:rsid w:val="007E22A1"/>
    <w:rsid w:val="007E2906"/>
    <w:rsid w:val="007E2C3F"/>
    <w:rsid w:val="007E2D97"/>
    <w:rsid w:val="007E2F56"/>
    <w:rsid w:val="007E3234"/>
    <w:rsid w:val="007E3246"/>
    <w:rsid w:val="007E4150"/>
    <w:rsid w:val="007E4C77"/>
    <w:rsid w:val="007E4DF3"/>
    <w:rsid w:val="007E5222"/>
    <w:rsid w:val="007E5232"/>
    <w:rsid w:val="007E595A"/>
    <w:rsid w:val="007E5D49"/>
    <w:rsid w:val="007E671C"/>
    <w:rsid w:val="007E6D10"/>
    <w:rsid w:val="007E7172"/>
    <w:rsid w:val="007E79DA"/>
    <w:rsid w:val="007F01A5"/>
    <w:rsid w:val="007F0D4D"/>
    <w:rsid w:val="007F15AD"/>
    <w:rsid w:val="007F1956"/>
    <w:rsid w:val="007F21C1"/>
    <w:rsid w:val="007F2676"/>
    <w:rsid w:val="007F2BBD"/>
    <w:rsid w:val="007F3620"/>
    <w:rsid w:val="007F4102"/>
    <w:rsid w:val="007F430C"/>
    <w:rsid w:val="007F4344"/>
    <w:rsid w:val="007F5E5A"/>
    <w:rsid w:val="007F63FA"/>
    <w:rsid w:val="007F6B66"/>
    <w:rsid w:val="007F761B"/>
    <w:rsid w:val="007F79EF"/>
    <w:rsid w:val="007F7B65"/>
    <w:rsid w:val="0080043D"/>
    <w:rsid w:val="00800F1C"/>
    <w:rsid w:val="00801241"/>
    <w:rsid w:val="0080210A"/>
    <w:rsid w:val="008030FB"/>
    <w:rsid w:val="00803919"/>
    <w:rsid w:val="00803C3E"/>
    <w:rsid w:val="00803DC0"/>
    <w:rsid w:val="008040D4"/>
    <w:rsid w:val="00804AD4"/>
    <w:rsid w:val="00805886"/>
    <w:rsid w:val="008071CE"/>
    <w:rsid w:val="008077E7"/>
    <w:rsid w:val="008078B4"/>
    <w:rsid w:val="00807F36"/>
    <w:rsid w:val="00810828"/>
    <w:rsid w:val="00810FEE"/>
    <w:rsid w:val="008111B5"/>
    <w:rsid w:val="00811702"/>
    <w:rsid w:val="00811C07"/>
    <w:rsid w:val="00811D26"/>
    <w:rsid w:val="008121A6"/>
    <w:rsid w:val="008125C2"/>
    <w:rsid w:val="00812608"/>
    <w:rsid w:val="00812BD1"/>
    <w:rsid w:val="008139E7"/>
    <w:rsid w:val="00813B8E"/>
    <w:rsid w:val="00815497"/>
    <w:rsid w:val="008163CE"/>
    <w:rsid w:val="008168B6"/>
    <w:rsid w:val="00817005"/>
    <w:rsid w:val="008173D1"/>
    <w:rsid w:val="00817ED9"/>
    <w:rsid w:val="0082029D"/>
    <w:rsid w:val="00821092"/>
    <w:rsid w:val="0082152C"/>
    <w:rsid w:val="00821726"/>
    <w:rsid w:val="0082184D"/>
    <w:rsid w:val="00821FA0"/>
    <w:rsid w:val="008229BA"/>
    <w:rsid w:val="00823F78"/>
    <w:rsid w:val="00824F8D"/>
    <w:rsid w:val="00825424"/>
    <w:rsid w:val="0082552B"/>
    <w:rsid w:val="00826CA1"/>
    <w:rsid w:val="00826D74"/>
    <w:rsid w:val="00827C7A"/>
    <w:rsid w:val="00827E46"/>
    <w:rsid w:val="00830D55"/>
    <w:rsid w:val="00831032"/>
    <w:rsid w:val="00832B44"/>
    <w:rsid w:val="00833567"/>
    <w:rsid w:val="00833806"/>
    <w:rsid w:val="00834185"/>
    <w:rsid w:val="008357A2"/>
    <w:rsid w:val="00836044"/>
    <w:rsid w:val="00836F86"/>
    <w:rsid w:val="00837179"/>
    <w:rsid w:val="00837382"/>
    <w:rsid w:val="008375A5"/>
    <w:rsid w:val="00837C74"/>
    <w:rsid w:val="00841398"/>
    <w:rsid w:val="008415E1"/>
    <w:rsid w:val="008418E3"/>
    <w:rsid w:val="00841B6E"/>
    <w:rsid w:val="0084213F"/>
    <w:rsid w:val="0084243A"/>
    <w:rsid w:val="00842478"/>
    <w:rsid w:val="0084247E"/>
    <w:rsid w:val="00842A95"/>
    <w:rsid w:val="0084342A"/>
    <w:rsid w:val="0084364B"/>
    <w:rsid w:val="008439D4"/>
    <w:rsid w:val="00843C13"/>
    <w:rsid w:val="008441AD"/>
    <w:rsid w:val="00844251"/>
    <w:rsid w:val="00844483"/>
    <w:rsid w:val="008444FB"/>
    <w:rsid w:val="00844792"/>
    <w:rsid w:val="008448E6"/>
    <w:rsid w:val="00845233"/>
    <w:rsid w:val="00845DE1"/>
    <w:rsid w:val="008460F9"/>
    <w:rsid w:val="00846621"/>
    <w:rsid w:val="00846D6C"/>
    <w:rsid w:val="00846E96"/>
    <w:rsid w:val="00846EAA"/>
    <w:rsid w:val="00847077"/>
    <w:rsid w:val="0084739E"/>
    <w:rsid w:val="0084752F"/>
    <w:rsid w:val="00847C5A"/>
    <w:rsid w:val="00847E3A"/>
    <w:rsid w:val="008500BB"/>
    <w:rsid w:val="00850A90"/>
    <w:rsid w:val="00850EDF"/>
    <w:rsid w:val="00851BD1"/>
    <w:rsid w:val="00852B1D"/>
    <w:rsid w:val="00853062"/>
    <w:rsid w:val="00854240"/>
    <w:rsid w:val="008544CC"/>
    <w:rsid w:val="008544FC"/>
    <w:rsid w:val="0085452E"/>
    <w:rsid w:val="00854629"/>
    <w:rsid w:val="00854C9F"/>
    <w:rsid w:val="00854F5F"/>
    <w:rsid w:val="0085519E"/>
    <w:rsid w:val="00855E19"/>
    <w:rsid w:val="00855E24"/>
    <w:rsid w:val="00855F47"/>
    <w:rsid w:val="008563AB"/>
    <w:rsid w:val="00856615"/>
    <w:rsid w:val="00857574"/>
    <w:rsid w:val="00857E14"/>
    <w:rsid w:val="008603C2"/>
    <w:rsid w:val="00860952"/>
    <w:rsid w:val="0086215F"/>
    <w:rsid w:val="008621CC"/>
    <w:rsid w:val="00863264"/>
    <w:rsid w:val="00863467"/>
    <w:rsid w:val="00863C61"/>
    <w:rsid w:val="008648EA"/>
    <w:rsid w:val="00865AB6"/>
    <w:rsid w:val="008662C5"/>
    <w:rsid w:val="00866615"/>
    <w:rsid w:val="00866E3E"/>
    <w:rsid w:val="00867CEC"/>
    <w:rsid w:val="00871566"/>
    <w:rsid w:val="008716EE"/>
    <w:rsid w:val="008721E9"/>
    <w:rsid w:val="008724DB"/>
    <w:rsid w:val="008727D8"/>
    <w:rsid w:val="00872C6D"/>
    <w:rsid w:val="00873E35"/>
    <w:rsid w:val="00874409"/>
    <w:rsid w:val="0087472E"/>
    <w:rsid w:val="00874934"/>
    <w:rsid w:val="00874B8A"/>
    <w:rsid w:val="00875A67"/>
    <w:rsid w:val="00875BFF"/>
    <w:rsid w:val="00877D0A"/>
    <w:rsid w:val="0088014E"/>
    <w:rsid w:val="008807D2"/>
    <w:rsid w:val="00880BEC"/>
    <w:rsid w:val="0088195E"/>
    <w:rsid w:val="00882755"/>
    <w:rsid w:val="008834D1"/>
    <w:rsid w:val="00884798"/>
    <w:rsid w:val="008853FE"/>
    <w:rsid w:val="0088669D"/>
    <w:rsid w:val="00886EE9"/>
    <w:rsid w:val="008870F4"/>
    <w:rsid w:val="008911F5"/>
    <w:rsid w:val="0089148D"/>
    <w:rsid w:val="00891564"/>
    <w:rsid w:val="00891953"/>
    <w:rsid w:val="00892557"/>
    <w:rsid w:val="008925D4"/>
    <w:rsid w:val="00892673"/>
    <w:rsid w:val="008927A0"/>
    <w:rsid w:val="00894108"/>
    <w:rsid w:val="00894C99"/>
    <w:rsid w:val="00894ED2"/>
    <w:rsid w:val="0089500B"/>
    <w:rsid w:val="00895429"/>
    <w:rsid w:val="00895E7C"/>
    <w:rsid w:val="008964E6"/>
    <w:rsid w:val="00896888"/>
    <w:rsid w:val="00896AEE"/>
    <w:rsid w:val="008970D2"/>
    <w:rsid w:val="00897453"/>
    <w:rsid w:val="00897655"/>
    <w:rsid w:val="00897A85"/>
    <w:rsid w:val="00897EC0"/>
    <w:rsid w:val="008A0684"/>
    <w:rsid w:val="008A06AA"/>
    <w:rsid w:val="008A0723"/>
    <w:rsid w:val="008A08EC"/>
    <w:rsid w:val="008A0F54"/>
    <w:rsid w:val="008A11C4"/>
    <w:rsid w:val="008A1669"/>
    <w:rsid w:val="008A17A2"/>
    <w:rsid w:val="008A22CD"/>
    <w:rsid w:val="008A2F3A"/>
    <w:rsid w:val="008A4485"/>
    <w:rsid w:val="008A4B6B"/>
    <w:rsid w:val="008A4D07"/>
    <w:rsid w:val="008A4EED"/>
    <w:rsid w:val="008A58DC"/>
    <w:rsid w:val="008A594A"/>
    <w:rsid w:val="008A5F8F"/>
    <w:rsid w:val="008A70B5"/>
    <w:rsid w:val="008A7AF9"/>
    <w:rsid w:val="008B0006"/>
    <w:rsid w:val="008B044F"/>
    <w:rsid w:val="008B0673"/>
    <w:rsid w:val="008B094A"/>
    <w:rsid w:val="008B244B"/>
    <w:rsid w:val="008B2B09"/>
    <w:rsid w:val="008B3A40"/>
    <w:rsid w:val="008B3E02"/>
    <w:rsid w:val="008B434E"/>
    <w:rsid w:val="008B46F2"/>
    <w:rsid w:val="008B4A7F"/>
    <w:rsid w:val="008B4E36"/>
    <w:rsid w:val="008B5344"/>
    <w:rsid w:val="008B5381"/>
    <w:rsid w:val="008B5C28"/>
    <w:rsid w:val="008B6606"/>
    <w:rsid w:val="008B6D97"/>
    <w:rsid w:val="008B6DD7"/>
    <w:rsid w:val="008B72DB"/>
    <w:rsid w:val="008B7CB5"/>
    <w:rsid w:val="008C0534"/>
    <w:rsid w:val="008C069D"/>
    <w:rsid w:val="008C0C6C"/>
    <w:rsid w:val="008C103C"/>
    <w:rsid w:val="008C15D1"/>
    <w:rsid w:val="008C1FA1"/>
    <w:rsid w:val="008C24BB"/>
    <w:rsid w:val="008C27F9"/>
    <w:rsid w:val="008C2834"/>
    <w:rsid w:val="008C2955"/>
    <w:rsid w:val="008C30BD"/>
    <w:rsid w:val="008C338E"/>
    <w:rsid w:val="008C4467"/>
    <w:rsid w:val="008C47CA"/>
    <w:rsid w:val="008C4AAC"/>
    <w:rsid w:val="008C4AD7"/>
    <w:rsid w:val="008C582E"/>
    <w:rsid w:val="008C587A"/>
    <w:rsid w:val="008C6478"/>
    <w:rsid w:val="008C6F1D"/>
    <w:rsid w:val="008C7996"/>
    <w:rsid w:val="008C7AB2"/>
    <w:rsid w:val="008D0EA8"/>
    <w:rsid w:val="008D1028"/>
    <w:rsid w:val="008D21BA"/>
    <w:rsid w:val="008D3C7D"/>
    <w:rsid w:val="008D3FB5"/>
    <w:rsid w:val="008D4330"/>
    <w:rsid w:val="008D4918"/>
    <w:rsid w:val="008D49FA"/>
    <w:rsid w:val="008D5590"/>
    <w:rsid w:val="008D6346"/>
    <w:rsid w:val="008D646A"/>
    <w:rsid w:val="008D7885"/>
    <w:rsid w:val="008D78BB"/>
    <w:rsid w:val="008D7DDC"/>
    <w:rsid w:val="008E0EC6"/>
    <w:rsid w:val="008E1B9A"/>
    <w:rsid w:val="008E1C6A"/>
    <w:rsid w:val="008E27E8"/>
    <w:rsid w:val="008E2B7D"/>
    <w:rsid w:val="008E2D34"/>
    <w:rsid w:val="008E302A"/>
    <w:rsid w:val="008E4819"/>
    <w:rsid w:val="008E5422"/>
    <w:rsid w:val="008E5C3B"/>
    <w:rsid w:val="008E5DD1"/>
    <w:rsid w:val="008E643E"/>
    <w:rsid w:val="008E6CD4"/>
    <w:rsid w:val="008E7710"/>
    <w:rsid w:val="008F032C"/>
    <w:rsid w:val="008F0684"/>
    <w:rsid w:val="008F0BAC"/>
    <w:rsid w:val="008F15F7"/>
    <w:rsid w:val="008F1A7A"/>
    <w:rsid w:val="008F219B"/>
    <w:rsid w:val="008F4BC9"/>
    <w:rsid w:val="008F4D57"/>
    <w:rsid w:val="008F4E08"/>
    <w:rsid w:val="008F502F"/>
    <w:rsid w:val="008F52D6"/>
    <w:rsid w:val="008F7567"/>
    <w:rsid w:val="008F75A0"/>
    <w:rsid w:val="008F79DC"/>
    <w:rsid w:val="008F7E93"/>
    <w:rsid w:val="00900648"/>
    <w:rsid w:val="00901292"/>
    <w:rsid w:val="00901B62"/>
    <w:rsid w:val="00902F99"/>
    <w:rsid w:val="00902FA2"/>
    <w:rsid w:val="00903640"/>
    <w:rsid w:val="00903832"/>
    <w:rsid w:val="00903931"/>
    <w:rsid w:val="0090467E"/>
    <w:rsid w:val="009047D2"/>
    <w:rsid w:val="00904D7A"/>
    <w:rsid w:val="009051A0"/>
    <w:rsid w:val="00905263"/>
    <w:rsid w:val="0090591A"/>
    <w:rsid w:val="0090601D"/>
    <w:rsid w:val="009061E1"/>
    <w:rsid w:val="00907823"/>
    <w:rsid w:val="00907C1E"/>
    <w:rsid w:val="00911C9F"/>
    <w:rsid w:val="0091275E"/>
    <w:rsid w:val="00912ACD"/>
    <w:rsid w:val="00912BE1"/>
    <w:rsid w:val="00912E48"/>
    <w:rsid w:val="00912F75"/>
    <w:rsid w:val="009135E0"/>
    <w:rsid w:val="00913CA8"/>
    <w:rsid w:val="00913FB5"/>
    <w:rsid w:val="0091443A"/>
    <w:rsid w:val="00914494"/>
    <w:rsid w:val="009145A2"/>
    <w:rsid w:val="009153F8"/>
    <w:rsid w:val="00915D55"/>
    <w:rsid w:val="00916730"/>
    <w:rsid w:val="00916849"/>
    <w:rsid w:val="00916FD2"/>
    <w:rsid w:val="009170F0"/>
    <w:rsid w:val="00917282"/>
    <w:rsid w:val="0091729D"/>
    <w:rsid w:val="00920E8B"/>
    <w:rsid w:val="00921120"/>
    <w:rsid w:val="0092229B"/>
    <w:rsid w:val="009225A8"/>
    <w:rsid w:val="00924635"/>
    <w:rsid w:val="0092463A"/>
    <w:rsid w:val="0092569A"/>
    <w:rsid w:val="009258B1"/>
    <w:rsid w:val="00925CBB"/>
    <w:rsid w:val="00926A33"/>
    <w:rsid w:val="00926A4F"/>
    <w:rsid w:val="00926BF2"/>
    <w:rsid w:val="009271B6"/>
    <w:rsid w:val="009271E8"/>
    <w:rsid w:val="0092722D"/>
    <w:rsid w:val="009272AC"/>
    <w:rsid w:val="009276AC"/>
    <w:rsid w:val="009276B0"/>
    <w:rsid w:val="009279C2"/>
    <w:rsid w:val="00930299"/>
    <w:rsid w:val="009312B1"/>
    <w:rsid w:val="009319F3"/>
    <w:rsid w:val="00931A50"/>
    <w:rsid w:val="00931AB5"/>
    <w:rsid w:val="0093221F"/>
    <w:rsid w:val="00932F0F"/>
    <w:rsid w:val="0093361B"/>
    <w:rsid w:val="00934025"/>
    <w:rsid w:val="00934CC2"/>
    <w:rsid w:val="009355AB"/>
    <w:rsid w:val="009357A9"/>
    <w:rsid w:val="009358DC"/>
    <w:rsid w:val="00936768"/>
    <w:rsid w:val="00936A0C"/>
    <w:rsid w:val="009379A4"/>
    <w:rsid w:val="00937D19"/>
    <w:rsid w:val="009405CF"/>
    <w:rsid w:val="00940F81"/>
    <w:rsid w:val="009413B3"/>
    <w:rsid w:val="00941434"/>
    <w:rsid w:val="009433F8"/>
    <w:rsid w:val="0094360E"/>
    <w:rsid w:val="00944BD1"/>
    <w:rsid w:val="00944F00"/>
    <w:rsid w:val="00944F99"/>
    <w:rsid w:val="0094542B"/>
    <w:rsid w:val="0094583B"/>
    <w:rsid w:val="00945B44"/>
    <w:rsid w:val="00946336"/>
    <w:rsid w:val="009468B3"/>
    <w:rsid w:val="00946E72"/>
    <w:rsid w:val="009475CD"/>
    <w:rsid w:val="00947657"/>
    <w:rsid w:val="00947D55"/>
    <w:rsid w:val="009501EF"/>
    <w:rsid w:val="009502ED"/>
    <w:rsid w:val="009506E5"/>
    <w:rsid w:val="00950A96"/>
    <w:rsid w:val="0095153A"/>
    <w:rsid w:val="009515DC"/>
    <w:rsid w:val="0095164B"/>
    <w:rsid w:val="009517FE"/>
    <w:rsid w:val="00951F6B"/>
    <w:rsid w:val="0095280D"/>
    <w:rsid w:val="00952C7A"/>
    <w:rsid w:val="009532D9"/>
    <w:rsid w:val="00953580"/>
    <w:rsid w:val="00953D32"/>
    <w:rsid w:val="00954C67"/>
    <w:rsid w:val="009550F0"/>
    <w:rsid w:val="00955539"/>
    <w:rsid w:val="0095573C"/>
    <w:rsid w:val="00955DFB"/>
    <w:rsid w:val="009566F5"/>
    <w:rsid w:val="00961D77"/>
    <w:rsid w:val="00962D0A"/>
    <w:rsid w:val="00962DA3"/>
    <w:rsid w:val="009649D2"/>
    <w:rsid w:val="00964E9A"/>
    <w:rsid w:val="00965D43"/>
    <w:rsid w:val="00965D4A"/>
    <w:rsid w:val="00965D5A"/>
    <w:rsid w:val="009662AF"/>
    <w:rsid w:val="00966617"/>
    <w:rsid w:val="009670B7"/>
    <w:rsid w:val="009704C8"/>
    <w:rsid w:val="00970A65"/>
    <w:rsid w:val="00970F69"/>
    <w:rsid w:val="009715A5"/>
    <w:rsid w:val="00971634"/>
    <w:rsid w:val="0097163F"/>
    <w:rsid w:val="00971771"/>
    <w:rsid w:val="0097222A"/>
    <w:rsid w:val="00972611"/>
    <w:rsid w:val="009727B4"/>
    <w:rsid w:val="009732C1"/>
    <w:rsid w:val="00973FDF"/>
    <w:rsid w:val="00974290"/>
    <w:rsid w:val="00974E14"/>
    <w:rsid w:val="00974EB6"/>
    <w:rsid w:val="0097570D"/>
    <w:rsid w:val="00976178"/>
    <w:rsid w:val="00976290"/>
    <w:rsid w:val="009777A5"/>
    <w:rsid w:val="0098024A"/>
    <w:rsid w:val="009805C2"/>
    <w:rsid w:val="00980A07"/>
    <w:rsid w:val="00980BBE"/>
    <w:rsid w:val="00980D12"/>
    <w:rsid w:val="0098117D"/>
    <w:rsid w:val="009839D1"/>
    <w:rsid w:val="00984ED5"/>
    <w:rsid w:val="009855F8"/>
    <w:rsid w:val="009859BE"/>
    <w:rsid w:val="00985D3D"/>
    <w:rsid w:val="0098636D"/>
    <w:rsid w:val="00986519"/>
    <w:rsid w:val="00986E21"/>
    <w:rsid w:val="00986E7B"/>
    <w:rsid w:val="00987F97"/>
    <w:rsid w:val="00987FAA"/>
    <w:rsid w:val="009906A7"/>
    <w:rsid w:val="00990D57"/>
    <w:rsid w:val="009916DB"/>
    <w:rsid w:val="00991A45"/>
    <w:rsid w:val="00991B6B"/>
    <w:rsid w:val="009924F2"/>
    <w:rsid w:val="009926EB"/>
    <w:rsid w:val="009926F8"/>
    <w:rsid w:val="00994099"/>
    <w:rsid w:val="009944AF"/>
    <w:rsid w:val="00995CB3"/>
    <w:rsid w:val="00995D93"/>
    <w:rsid w:val="00997ECA"/>
    <w:rsid w:val="009A06D8"/>
    <w:rsid w:val="009A1CF9"/>
    <w:rsid w:val="009A1E35"/>
    <w:rsid w:val="009A25B9"/>
    <w:rsid w:val="009A26AD"/>
    <w:rsid w:val="009A2D84"/>
    <w:rsid w:val="009A351B"/>
    <w:rsid w:val="009A3B4E"/>
    <w:rsid w:val="009A3E9D"/>
    <w:rsid w:val="009A422E"/>
    <w:rsid w:val="009A517A"/>
    <w:rsid w:val="009A5792"/>
    <w:rsid w:val="009A6DDF"/>
    <w:rsid w:val="009A7368"/>
    <w:rsid w:val="009A74A1"/>
    <w:rsid w:val="009A7636"/>
    <w:rsid w:val="009A7B8A"/>
    <w:rsid w:val="009B090E"/>
    <w:rsid w:val="009B096C"/>
    <w:rsid w:val="009B113B"/>
    <w:rsid w:val="009B127E"/>
    <w:rsid w:val="009B1B5E"/>
    <w:rsid w:val="009B1FA6"/>
    <w:rsid w:val="009B2F2F"/>
    <w:rsid w:val="009B401C"/>
    <w:rsid w:val="009B61CF"/>
    <w:rsid w:val="009B61FF"/>
    <w:rsid w:val="009B63B2"/>
    <w:rsid w:val="009B6C0C"/>
    <w:rsid w:val="009B7448"/>
    <w:rsid w:val="009B7839"/>
    <w:rsid w:val="009B7C99"/>
    <w:rsid w:val="009B7E1A"/>
    <w:rsid w:val="009C0162"/>
    <w:rsid w:val="009C05FF"/>
    <w:rsid w:val="009C06C2"/>
    <w:rsid w:val="009C0875"/>
    <w:rsid w:val="009C14D7"/>
    <w:rsid w:val="009C2CAF"/>
    <w:rsid w:val="009C2F43"/>
    <w:rsid w:val="009C3306"/>
    <w:rsid w:val="009C345F"/>
    <w:rsid w:val="009C3AE8"/>
    <w:rsid w:val="009C3D97"/>
    <w:rsid w:val="009C4A1E"/>
    <w:rsid w:val="009C630D"/>
    <w:rsid w:val="009C68C3"/>
    <w:rsid w:val="009C77C7"/>
    <w:rsid w:val="009C7D71"/>
    <w:rsid w:val="009D089D"/>
    <w:rsid w:val="009D1680"/>
    <w:rsid w:val="009D1F3B"/>
    <w:rsid w:val="009D27CD"/>
    <w:rsid w:val="009D3C16"/>
    <w:rsid w:val="009D3C30"/>
    <w:rsid w:val="009D438C"/>
    <w:rsid w:val="009D4493"/>
    <w:rsid w:val="009D4939"/>
    <w:rsid w:val="009D4B05"/>
    <w:rsid w:val="009D517F"/>
    <w:rsid w:val="009D54DF"/>
    <w:rsid w:val="009D5702"/>
    <w:rsid w:val="009D634F"/>
    <w:rsid w:val="009D66FC"/>
    <w:rsid w:val="009D74C3"/>
    <w:rsid w:val="009D7556"/>
    <w:rsid w:val="009D7AEA"/>
    <w:rsid w:val="009D7F87"/>
    <w:rsid w:val="009D7F9A"/>
    <w:rsid w:val="009E2AA6"/>
    <w:rsid w:val="009E3509"/>
    <w:rsid w:val="009E3667"/>
    <w:rsid w:val="009E3737"/>
    <w:rsid w:val="009E3E6C"/>
    <w:rsid w:val="009E4395"/>
    <w:rsid w:val="009E4CC2"/>
    <w:rsid w:val="009E53C7"/>
    <w:rsid w:val="009E5769"/>
    <w:rsid w:val="009E5B51"/>
    <w:rsid w:val="009E5D14"/>
    <w:rsid w:val="009E5E40"/>
    <w:rsid w:val="009E6A53"/>
    <w:rsid w:val="009E6BCF"/>
    <w:rsid w:val="009E70E9"/>
    <w:rsid w:val="009E7233"/>
    <w:rsid w:val="009E7A40"/>
    <w:rsid w:val="009E7E31"/>
    <w:rsid w:val="009F0176"/>
    <w:rsid w:val="009F1482"/>
    <w:rsid w:val="009F1DB7"/>
    <w:rsid w:val="009F22EF"/>
    <w:rsid w:val="009F2651"/>
    <w:rsid w:val="009F27FD"/>
    <w:rsid w:val="009F452B"/>
    <w:rsid w:val="009F48F4"/>
    <w:rsid w:val="009F4DB1"/>
    <w:rsid w:val="009F54DC"/>
    <w:rsid w:val="009F5558"/>
    <w:rsid w:val="009F5D41"/>
    <w:rsid w:val="009F5E45"/>
    <w:rsid w:val="009F5F70"/>
    <w:rsid w:val="009F5FA7"/>
    <w:rsid w:val="009F62E3"/>
    <w:rsid w:val="009F7079"/>
    <w:rsid w:val="009F7547"/>
    <w:rsid w:val="00A01524"/>
    <w:rsid w:val="00A02CBE"/>
    <w:rsid w:val="00A033F2"/>
    <w:rsid w:val="00A03529"/>
    <w:rsid w:val="00A039B2"/>
    <w:rsid w:val="00A03CB0"/>
    <w:rsid w:val="00A03D8A"/>
    <w:rsid w:val="00A0432E"/>
    <w:rsid w:val="00A04403"/>
    <w:rsid w:val="00A04A3C"/>
    <w:rsid w:val="00A04AD1"/>
    <w:rsid w:val="00A04EF6"/>
    <w:rsid w:val="00A063AB"/>
    <w:rsid w:val="00A06445"/>
    <w:rsid w:val="00A06510"/>
    <w:rsid w:val="00A06784"/>
    <w:rsid w:val="00A06825"/>
    <w:rsid w:val="00A06D53"/>
    <w:rsid w:val="00A06DCA"/>
    <w:rsid w:val="00A07567"/>
    <w:rsid w:val="00A10B48"/>
    <w:rsid w:val="00A10B5B"/>
    <w:rsid w:val="00A11242"/>
    <w:rsid w:val="00A11730"/>
    <w:rsid w:val="00A117B6"/>
    <w:rsid w:val="00A11E0D"/>
    <w:rsid w:val="00A1240C"/>
    <w:rsid w:val="00A12552"/>
    <w:rsid w:val="00A127CE"/>
    <w:rsid w:val="00A1284E"/>
    <w:rsid w:val="00A12FCE"/>
    <w:rsid w:val="00A13EAE"/>
    <w:rsid w:val="00A1445B"/>
    <w:rsid w:val="00A14661"/>
    <w:rsid w:val="00A14781"/>
    <w:rsid w:val="00A1492C"/>
    <w:rsid w:val="00A152CB"/>
    <w:rsid w:val="00A155FB"/>
    <w:rsid w:val="00A158D6"/>
    <w:rsid w:val="00A1601E"/>
    <w:rsid w:val="00A16335"/>
    <w:rsid w:val="00A174ED"/>
    <w:rsid w:val="00A17D67"/>
    <w:rsid w:val="00A20AAC"/>
    <w:rsid w:val="00A20E23"/>
    <w:rsid w:val="00A2128A"/>
    <w:rsid w:val="00A215A3"/>
    <w:rsid w:val="00A21BC5"/>
    <w:rsid w:val="00A22864"/>
    <w:rsid w:val="00A236E0"/>
    <w:rsid w:val="00A23FAE"/>
    <w:rsid w:val="00A24775"/>
    <w:rsid w:val="00A24894"/>
    <w:rsid w:val="00A24DFB"/>
    <w:rsid w:val="00A24F08"/>
    <w:rsid w:val="00A25EB5"/>
    <w:rsid w:val="00A26ABF"/>
    <w:rsid w:val="00A26CBB"/>
    <w:rsid w:val="00A3003C"/>
    <w:rsid w:val="00A3035A"/>
    <w:rsid w:val="00A31ED1"/>
    <w:rsid w:val="00A32C87"/>
    <w:rsid w:val="00A33B1F"/>
    <w:rsid w:val="00A33EEE"/>
    <w:rsid w:val="00A33F7E"/>
    <w:rsid w:val="00A3492F"/>
    <w:rsid w:val="00A3494E"/>
    <w:rsid w:val="00A34ED9"/>
    <w:rsid w:val="00A35A0D"/>
    <w:rsid w:val="00A35CD2"/>
    <w:rsid w:val="00A361FD"/>
    <w:rsid w:val="00A363F5"/>
    <w:rsid w:val="00A3695A"/>
    <w:rsid w:val="00A36FAC"/>
    <w:rsid w:val="00A3786F"/>
    <w:rsid w:val="00A40420"/>
    <w:rsid w:val="00A404B5"/>
    <w:rsid w:val="00A40D1F"/>
    <w:rsid w:val="00A411F6"/>
    <w:rsid w:val="00A416A6"/>
    <w:rsid w:val="00A419B2"/>
    <w:rsid w:val="00A41C81"/>
    <w:rsid w:val="00A430CC"/>
    <w:rsid w:val="00A43588"/>
    <w:rsid w:val="00A44199"/>
    <w:rsid w:val="00A443C1"/>
    <w:rsid w:val="00A44524"/>
    <w:rsid w:val="00A44C36"/>
    <w:rsid w:val="00A44DC4"/>
    <w:rsid w:val="00A44F13"/>
    <w:rsid w:val="00A4518A"/>
    <w:rsid w:val="00A451AA"/>
    <w:rsid w:val="00A45205"/>
    <w:rsid w:val="00A4525C"/>
    <w:rsid w:val="00A452C6"/>
    <w:rsid w:val="00A4581D"/>
    <w:rsid w:val="00A45E9F"/>
    <w:rsid w:val="00A47E9A"/>
    <w:rsid w:val="00A47ECF"/>
    <w:rsid w:val="00A50161"/>
    <w:rsid w:val="00A50B11"/>
    <w:rsid w:val="00A50EEC"/>
    <w:rsid w:val="00A51534"/>
    <w:rsid w:val="00A51C11"/>
    <w:rsid w:val="00A51E45"/>
    <w:rsid w:val="00A535C6"/>
    <w:rsid w:val="00A53742"/>
    <w:rsid w:val="00A53A8A"/>
    <w:rsid w:val="00A5402E"/>
    <w:rsid w:val="00A5477C"/>
    <w:rsid w:val="00A548D8"/>
    <w:rsid w:val="00A54D33"/>
    <w:rsid w:val="00A54D3D"/>
    <w:rsid w:val="00A54FAE"/>
    <w:rsid w:val="00A551D6"/>
    <w:rsid w:val="00A55F92"/>
    <w:rsid w:val="00A5619F"/>
    <w:rsid w:val="00A56A26"/>
    <w:rsid w:val="00A56E7D"/>
    <w:rsid w:val="00A57546"/>
    <w:rsid w:val="00A5792F"/>
    <w:rsid w:val="00A60263"/>
    <w:rsid w:val="00A60C6B"/>
    <w:rsid w:val="00A61F72"/>
    <w:rsid w:val="00A620FE"/>
    <w:rsid w:val="00A62829"/>
    <w:rsid w:val="00A62C16"/>
    <w:rsid w:val="00A62E98"/>
    <w:rsid w:val="00A63530"/>
    <w:rsid w:val="00A6502F"/>
    <w:rsid w:val="00A65386"/>
    <w:rsid w:val="00A65533"/>
    <w:rsid w:val="00A65785"/>
    <w:rsid w:val="00A6647B"/>
    <w:rsid w:val="00A66B5B"/>
    <w:rsid w:val="00A67C3E"/>
    <w:rsid w:val="00A70860"/>
    <w:rsid w:val="00A70EA1"/>
    <w:rsid w:val="00A7126F"/>
    <w:rsid w:val="00A71442"/>
    <w:rsid w:val="00A71500"/>
    <w:rsid w:val="00A71DF0"/>
    <w:rsid w:val="00A7224D"/>
    <w:rsid w:val="00A73969"/>
    <w:rsid w:val="00A7551D"/>
    <w:rsid w:val="00A759B5"/>
    <w:rsid w:val="00A76861"/>
    <w:rsid w:val="00A7713E"/>
    <w:rsid w:val="00A77456"/>
    <w:rsid w:val="00A779DF"/>
    <w:rsid w:val="00A80E27"/>
    <w:rsid w:val="00A818ED"/>
    <w:rsid w:val="00A81B1E"/>
    <w:rsid w:val="00A8218C"/>
    <w:rsid w:val="00A82927"/>
    <w:rsid w:val="00A82ED2"/>
    <w:rsid w:val="00A83068"/>
    <w:rsid w:val="00A8337A"/>
    <w:rsid w:val="00A8380D"/>
    <w:rsid w:val="00A83B5D"/>
    <w:rsid w:val="00A84984"/>
    <w:rsid w:val="00A85377"/>
    <w:rsid w:val="00A85EF5"/>
    <w:rsid w:val="00A860E3"/>
    <w:rsid w:val="00A86573"/>
    <w:rsid w:val="00A87454"/>
    <w:rsid w:val="00A8763F"/>
    <w:rsid w:val="00A8789A"/>
    <w:rsid w:val="00A90121"/>
    <w:rsid w:val="00A90876"/>
    <w:rsid w:val="00A90E9D"/>
    <w:rsid w:val="00A91142"/>
    <w:rsid w:val="00A9150E"/>
    <w:rsid w:val="00A9186C"/>
    <w:rsid w:val="00A91A51"/>
    <w:rsid w:val="00A9209F"/>
    <w:rsid w:val="00A92EA8"/>
    <w:rsid w:val="00A932EE"/>
    <w:rsid w:val="00A93454"/>
    <w:rsid w:val="00A9380F"/>
    <w:rsid w:val="00A938DC"/>
    <w:rsid w:val="00A93AA7"/>
    <w:rsid w:val="00A93B8B"/>
    <w:rsid w:val="00A94077"/>
    <w:rsid w:val="00A9436A"/>
    <w:rsid w:val="00A9481D"/>
    <w:rsid w:val="00A949F0"/>
    <w:rsid w:val="00A94A3B"/>
    <w:rsid w:val="00A954B8"/>
    <w:rsid w:val="00A957D3"/>
    <w:rsid w:val="00A96320"/>
    <w:rsid w:val="00A96583"/>
    <w:rsid w:val="00A968F1"/>
    <w:rsid w:val="00A96945"/>
    <w:rsid w:val="00A96D1A"/>
    <w:rsid w:val="00A96D4A"/>
    <w:rsid w:val="00A97456"/>
    <w:rsid w:val="00A97D6D"/>
    <w:rsid w:val="00AA0689"/>
    <w:rsid w:val="00AA1414"/>
    <w:rsid w:val="00AA17AE"/>
    <w:rsid w:val="00AA1A2C"/>
    <w:rsid w:val="00AA1EC2"/>
    <w:rsid w:val="00AA2B18"/>
    <w:rsid w:val="00AA3674"/>
    <w:rsid w:val="00AA3958"/>
    <w:rsid w:val="00AA3BA1"/>
    <w:rsid w:val="00AA3F33"/>
    <w:rsid w:val="00AA40D0"/>
    <w:rsid w:val="00AA459A"/>
    <w:rsid w:val="00AA4C20"/>
    <w:rsid w:val="00AA5B7C"/>
    <w:rsid w:val="00AA5FD2"/>
    <w:rsid w:val="00AA66EC"/>
    <w:rsid w:val="00AA692F"/>
    <w:rsid w:val="00AA6933"/>
    <w:rsid w:val="00AA7409"/>
    <w:rsid w:val="00AA76B6"/>
    <w:rsid w:val="00AA7D3D"/>
    <w:rsid w:val="00AB00E2"/>
    <w:rsid w:val="00AB0406"/>
    <w:rsid w:val="00AB10C9"/>
    <w:rsid w:val="00AB1A1D"/>
    <w:rsid w:val="00AB1CC6"/>
    <w:rsid w:val="00AB280A"/>
    <w:rsid w:val="00AB29E6"/>
    <w:rsid w:val="00AB3887"/>
    <w:rsid w:val="00AB4226"/>
    <w:rsid w:val="00AB47CD"/>
    <w:rsid w:val="00AB5B5F"/>
    <w:rsid w:val="00AB5E12"/>
    <w:rsid w:val="00AB62A3"/>
    <w:rsid w:val="00AB781A"/>
    <w:rsid w:val="00AB7C1C"/>
    <w:rsid w:val="00AC03CB"/>
    <w:rsid w:val="00AC0B22"/>
    <w:rsid w:val="00AC13DC"/>
    <w:rsid w:val="00AC15DC"/>
    <w:rsid w:val="00AC1A38"/>
    <w:rsid w:val="00AC2211"/>
    <w:rsid w:val="00AC2329"/>
    <w:rsid w:val="00AC27FF"/>
    <w:rsid w:val="00AC2F79"/>
    <w:rsid w:val="00AC3185"/>
    <w:rsid w:val="00AC3969"/>
    <w:rsid w:val="00AC3CCE"/>
    <w:rsid w:val="00AC3FE7"/>
    <w:rsid w:val="00AC42F8"/>
    <w:rsid w:val="00AC46BF"/>
    <w:rsid w:val="00AC490B"/>
    <w:rsid w:val="00AC4AC5"/>
    <w:rsid w:val="00AC56DC"/>
    <w:rsid w:val="00AC5869"/>
    <w:rsid w:val="00AC5FD3"/>
    <w:rsid w:val="00AC7060"/>
    <w:rsid w:val="00AC7334"/>
    <w:rsid w:val="00AC765E"/>
    <w:rsid w:val="00AD13DF"/>
    <w:rsid w:val="00AD1793"/>
    <w:rsid w:val="00AD1A4F"/>
    <w:rsid w:val="00AD1DF6"/>
    <w:rsid w:val="00AD288B"/>
    <w:rsid w:val="00AD2C37"/>
    <w:rsid w:val="00AD2DFA"/>
    <w:rsid w:val="00AD43DC"/>
    <w:rsid w:val="00AD4E00"/>
    <w:rsid w:val="00AD51BA"/>
    <w:rsid w:val="00AD534E"/>
    <w:rsid w:val="00AD579D"/>
    <w:rsid w:val="00AD5D16"/>
    <w:rsid w:val="00AD6677"/>
    <w:rsid w:val="00AD6743"/>
    <w:rsid w:val="00AD6D97"/>
    <w:rsid w:val="00AD778C"/>
    <w:rsid w:val="00AD7C48"/>
    <w:rsid w:val="00AE11E2"/>
    <w:rsid w:val="00AE11FD"/>
    <w:rsid w:val="00AE1652"/>
    <w:rsid w:val="00AE19B1"/>
    <w:rsid w:val="00AE1A46"/>
    <w:rsid w:val="00AE1AC5"/>
    <w:rsid w:val="00AE35CF"/>
    <w:rsid w:val="00AE3ABA"/>
    <w:rsid w:val="00AE3E60"/>
    <w:rsid w:val="00AE4D24"/>
    <w:rsid w:val="00AE4E2A"/>
    <w:rsid w:val="00AE54AF"/>
    <w:rsid w:val="00AE5748"/>
    <w:rsid w:val="00AE588C"/>
    <w:rsid w:val="00AE5F83"/>
    <w:rsid w:val="00AE5FB3"/>
    <w:rsid w:val="00AE6141"/>
    <w:rsid w:val="00AE657E"/>
    <w:rsid w:val="00AE7AA8"/>
    <w:rsid w:val="00AE7FD9"/>
    <w:rsid w:val="00AF0A72"/>
    <w:rsid w:val="00AF0C39"/>
    <w:rsid w:val="00AF0C67"/>
    <w:rsid w:val="00AF16CA"/>
    <w:rsid w:val="00AF1907"/>
    <w:rsid w:val="00AF1E10"/>
    <w:rsid w:val="00AF205F"/>
    <w:rsid w:val="00AF2186"/>
    <w:rsid w:val="00AF307E"/>
    <w:rsid w:val="00AF3BF5"/>
    <w:rsid w:val="00AF3FE4"/>
    <w:rsid w:val="00AF413F"/>
    <w:rsid w:val="00AF4570"/>
    <w:rsid w:val="00AF678D"/>
    <w:rsid w:val="00AF7773"/>
    <w:rsid w:val="00AF7928"/>
    <w:rsid w:val="00B00734"/>
    <w:rsid w:val="00B0084C"/>
    <w:rsid w:val="00B01604"/>
    <w:rsid w:val="00B01D38"/>
    <w:rsid w:val="00B02342"/>
    <w:rsid w:val="00B02F5D"/>
    <w:rsid w:val="00B03A28"/>
    <w:rsid w:val="00B03DDC"/>
    <w:rsid w:val="00B03E07"/>
    <w:rsid w:val="00B04170"/>
    <w:rsid w:val="00B043DD"/>
    <w:rsid w:val="00B046B2"/>
    <w:rsid w:val="00B04B64"/>
    <w:rsid w:val="00B0510F"/>
    <w:rsid w:val="00B0566A"/>
    <w:rsid w:val="00B056A8"/>
    <w:rsid w:val="00B05CD3"/>
    <w:rsid w:val="00B05D5F"/>
    <w:rsid w:val="00B060E1"/>
    <w:rsid w:val="00B06120"/>
    <w:rsid w:val="00B0636F"/>
    <w:rsid w:val="00B06DE1"/>
    <w:rsid w:val="00B072DF"/>
    <w:rsid w:val="00B07742"/>
    <w:rsid w:val="00B077EB"/>
    <w:rsid w:val="00B07AA8"/>
    <w:rsid w:val="00B10212"/>
    <w:rsid w:val="00B11439"/>
    <w:rsid w:val="00B11B03"/>
    <w:rsid w:val="00B1220B"/>
    <w:rsid w:val="00B12B5B"/>
    <w:rsid w:val="00B13866"/>
    <w:rsid w:val="00B14583"/>
    <w:rsid w:val="00B14709"/>
    <w:rsid w:val="00B14DD4"/>
    <w:rsid w:val="00B14F72"/>
    <w:rsid w:val="00B15032"/>
    <w:rsid w:val="00B15B03"/>
    <w:rsid w:val="00B15C16"/>
    <w:rsid w:val="00B15DD8"/>
    <w:rsid w:val="00B16245"/>
    <w:rsid w:val="00B16CE7"/>
    <w:rsid w:val="00B176DB"/>
    <w:rsid w:val="00B178C8"/>
    <w:rsid w:val="00B17F73"/>
    <w:rsid w:val="00B201DF"/>
    <w:rsid w:val="00B20B7E"/>
    <w:rsid w:val="00B217B2"/>
    <w:rsid w:val="00B21993"/>
    <w:rsid w:val="00B21C03"/>
    <w:rsid w:val="00B221E6"/>
    <w:rsid w:val="00B22489"/>
    <w:rsid w:val="00B22972"/>
    <w:rsid w:val="00B22B59"/>
    <w:rsid w:val="00B22ECD"/>
    <w:rsid w:val="00B233F8"/>
    <w:rsid w:val="00B23B34"/>
    <w:rsid w:val="00B24300"/>
    <w:rsid w:val="00B24586"/>
    <w:rsid w:val="00B24614"/>
    <w:rsid w:val="00B2470F"/>
    <w:rsid w:val="00B2542F"/>
    <w:rsid w:val="00B2578C"/>
    <w:rsid w:val="00B27FE8"/>
    <w:rsid w:val="00B3003A"/>
    <w:rsid w:val="00B30290"/>
    <w:rsid w:val="00B308B9"/>
    <w:rsid w:val="00B31F45"/>
    <w:rsid w:val="00B329B3"/>
    <w:rsid w:val="00B32F1B"/>
    <w:rsid w:val="00B33458"/>
    <w:rsid w:val="00B33513"/>
    <w:rsid w:val="00B33C9D"/>
    <w:rsid w:val="00B340E2"/>
    <w:rsid w:val="00B3448D"/>
    <w:rsid w:val="00B3487E"/>
    <w:rsid w:val="00B3492B"/>
    <w:rsid w:val="00B350F8"/>
    <w:rsid w:val="00B35840"/>
    <w:rsid w:val="00B3628F"/>
    <w:rsid w:val="00B36AE5"/>
    <w:rsid w:val="00B371BE"/>
    <w:rsid w:val="00B3781F"/>
    <w:rsid w:val="00B37997"/>
    <w:rsid w:val="00B37BB8"/>
    <w:rsid w:val="00B4005A"/>
    <w:rsid w:val="00B4010A"/>
    <w:rsid w:val="00B4055B"/>
    <w:rsid w:val="00B4128B"/>
    <w:rsid w:val="00B4139D"/>
    <w:rsid w:val="00B41929"/>
    <w:rsid w:val="00B41DBB"/>
    <w:rsid w:val="00B42A8C"/>
    <w:rsid w:val="00B42C67"/>
    <w:rsid w:val="00B43217"/>
    <w:rsid w:val="00B43598"/>
    <w:rsid w:val="00B438BA"/>
    <w:rsid w:val="00B440DA"/>
    <w:rsid w:val="00B44917"/>
    <w:rsid w:val="00B44953"/>
    <w:rsid w:val="00B44966"/>
    <w:rsid w:val="00B44E94"/>
    <w:rsid w:val="00B44FF9"/>
    <w:rsid w:val="00B45C0F"/>
    <w:rsid w:val="00B46C6A"/>
    <w:rsid w:val="00B46CBE"/>
    <w:rsid w:val="00B474A5"/>
    <w:rsid w:val="00B506FC"/>
    <w:rsid w:val="00B50E47"/>
    <w:rsid w:val="00B516D4"/>
    <w:rsid w:val="00B51713"/>
    <w:rsid w:val="00B51AA8"/>
    <w:rsid w:val="00B52554"/>
    <w:rsid w:val="00B52AA6"/>
    <w:rsid w:val="00B52BF4"/>
    <w:rsid w:val="00B530DE"/>
    <w:rsid w:val="00B53A3C"/>
    <w:rsid w:val="00B53C35"/>
    <w:rsid w:val="00B5414C"/>
    <w:rsid w:val="00B54814"/>
    <w:rsid w:val="00B55DCB"/>
    <w:rsid w:val="00B55F50"/>
    <w:rsid w:val="00B56339"/>
    <w:rsid w:val="00B563D7"/>
    <w:rsid w:val="00B5648E"/>
    <w:rsid w:val="00B570C2"/>
    <w:rsid w:val="00B575B8"/>
    <w:rsid w:val="00B57AE7"/>
    <w:rsid w:val="00B57B29"/>
    <w:rsid w:val="00B57C2C"/>
    <w:rsid w:val="00B60B8F"/>
    <w:rsid w:val="00B61665"/>
    <w:rsid w:val="00B61E02"/>
    <w:rsid w:val="00B61F70"/>
    <w:rsid w:val="00B6211E"/>
    <w:rsid w:val="00B62974"/>
    <w:rsid w:val="00B63060"/>
    <w:rsid w:val="00B63954"/>
    <w:rsid w:val="00B646C0"/>
    <w:rsid w:val="00B659FD"/>
    <w:rsid w:val="00B65E9D"/>
    <w:rsid w:val="00B66858"/>
    <w:rsid w:val="00B66974"/>
    <w:rsid w:val="00B6739C"/>
    <w:rsid w:val="00B674B6"/>
    <w:rsid w:val="00B67928"/>
    <w:rsid w:val="00B70BFE"/>
    <w:rsid w:val="00B70DB7"/>
    <w:rsid w:val="00B735FF"/>
    <w:rsid w:val="00B73651"/>
    <w:rsid w:val="00B736FA"/>
    <w:rsid w:val="00B73CF2"/>
    <w:rsid w:val="00B74105"/>
    <w:rsid w:val="00B74A71"/>
    <w:rsid w:val="00B75D1B"/>
    <w:rsid w:val="00B76F64"/>
    <w:rsid w:val="00B76FE9"/>
    <w:rsid w:val="00B7710C"/>
    <w:rsid w:val="00B77C81"/>
    <w:rsid w:val="00B77CE9"/>
    <w:rsid w:val="00B80747"/>
    <w:rsid w:val="00B808D8"/>
    <w:rsid w:val="00B8092C"/>
    <w:rsid w:val="00B80C2E"/>
    <w:rsid w:val="00B81132"/>
    <w:rsid w:val="00B81294"/>
    <w:rsid w:val="00B8164C"/>
    <w:rsid w:val="00B818CD"/>
    <w:rsid w:val="00B8192E"/>
    <w:rsid w:val="00B8218C"/>
    <w:rsid w:val="00B82371"/>
    <w:rsid w:val="00B84795"/>
    <w:rsid w:val="00B84972"/>
    <w:rsid w:val="00B8567A"/>
    <w:rsid w:val="00B85739"/>
    <w:rsid w:val="00B86542"/>
    <w:rsid w:val="00B86579"/>
    <w:rsid w:val="00B867DC"/>
    <w:rsid w:val="00B86BCF"/>
    <w:rsid w:val="00B871B4"/>
    <w:rsid w:val="00B8761B"/>
    <w:rsid w:val="00B879FA"/>
    <w:rsid w:val="00B87A06"/>
    <w:rsid w:val="00B87A7D"/>
    <w:rsid w:val="00B87D6C"/>
    <w:rsid w:val="00B903DA"/>
    <w:rsid w:val="00B90CD9"/>
    <w:rsid w:val="00B91176"/>
    <w:rsid w:val="00B91409"/>
    <w:rsid w:val="00B915FA"/>
    <w:rsid w:val="00B9162F"/>
    <w:rsid w:val="00B917C5"/>
    <w:rsid w:val="00B92E59"/>
    <w:rsid w:val="00B92F9D"/>
    <w:rsid w:val="00B9349A"/>
    <w:rsid w:val="00B93D1E"/>
    <w:rsid w:val="00B93E68"/>
    <w:rsid w:val="00B9446D"/>
    <w:rsid w:val="00B94D82"/>
    <w:rsid w:val="00B954A7"/>
    <w:rsid w:val="00B95B3C"/>
    <w:rsid w:val="00B95F60"/>
    <w:rsid w:val="00B95FB7"/>
    <w:rsid w:val="00B9665D"/>
    <w:rsid w:val="00B970D3"/>
    <w:rsid w:val="00B97B03"/>
    <w:rsid w:val="00BA0FE9"/>
    <w:rsid w:val="00BA1A1C"/>
    <w:rsid w:val="00BA23AB"/>
    <w:rsid w:val="00BA2875"/>
    <w:rsid w:val="00BA28EF"/>
    <w:rsid w:val="00BA3156"/>
    <w:rsid w:val="00BA321D"/>
    <w:rsid w:val="00BA36C4"/>
    <w:rsid w:val="00BA38B1"/>
    <w:rsid w:val="00BA3DD1"/>
    <w:rsid w:val="00BA3FB0"/>
    <w:rsid w:val="00BA4A21"/>
    <w:rsid w:val="00BA502F"/>
    <w:rsid w:val="00BA53B6"/>
    <w:rsid w:val="00BA5947"/>
    <w:rsid w:val="00BA7914"/>
    <w:rsid w:val="00BA7BE6"/>
    <w:rsid w:val="00BA7FCA"/>
    <w:rsid w:val="00BB0368"/>
    <w:rsid w:val="00BB0567"/>
    <w:rsid w:val="00BB0D36"/>
    <w:rsid w:val="00BB0D72"/>
    <w:rsid w:val="00BB2084"/>
    <w:rsid w:val="00BB26A3"/>
    <w:rsid w:val="00BB29DA"/>
    <w:rsid w:val="00BB352F"/>
    <w:rsid w:val="00BB37E8"/>
    <w:rsid w:val="00BB3886"/>
    <w:rsid w:val="00BB3C70"/>
    <w:rsid w:val="00BB3F39"/>
    <w:rsid w:val="00BB4998"/>
    <w:rsid w:val="00BB4BFF"/>
    <w:rsid w:val="00BB524D"/>
    <w:rsid w:val="00BB60B3"/>
    <w:rsid w:val="00BB6C2B"/>
    <w:rsid w:val="00BB6E46"/>
    <w:rsid w:val="00BB763E"/>
    <w:rsid w:val="00BB7C84"/>
    <w:rsid w:val="00BB7D26"/>
    <w:rsid w:val="00BC0ED7"/>
    <w:rsid w:val="00BC0FD0"/>
    <w:rsid w:val="00BC162D"/>
    <w:rsid w:val="00BC213B"/>
    <w:rsid w:val="00BC279C"/>
    <w:rsid w:val="00BC28A0"/>
    <w:rsid w:val="00BC3610"/>
    <w:rsid w:val="00BC406C"/>
    <w:rsid w:val="00BC4E99"/>
    <w:rsid w:val="00BC4EB1"/>
    <w:rsid w:val="00BC5A4A"/>
    <w:rsid w:val="00BC666A"/>
    <w:rsid w:val="00BC7067"/>
    <w:rsid w:val="00BC76E8"/>
    <w:rsid w:val="00BD04E9"/>
    <w:rsid w:val="00BD0C7E"/>
    <w:rsid w:val="00BD0ED7"/>
    <w:rsid w:val="00BD1CC1"/>
    <w:rsid w:val="00BD1D72"/>
    <w:rsid w:val="00BD1D77"/>
    <w:rsid w:val="00BD265E"/>
    <w:rsid w:val="00BD35C0"/>
    <w:rsid w:val="00BD3647"/>
    <w:rsid w:val="00BD44C1"/>
    <w:rsid w:val="00BD4993"/>
    <w:rsid w:val="00BD4AF6"/>
    <w:rsid w:val="00BD53E5"/>
    <w:rsid w:val="00BD54FA"/>
    <w:rsid w:val="00BD5658"/>
    <w:rsid w:val="00BD681C"/>
    <w:rsid w:val="00BD6CD3"/>
    <w:rsid w:val="00BD6CFC"/>
    <w:rsid w:val="00BD6E76"/>
    <w:rsid w:val="00BD7750"/>
    <w:rsid w:val="00BE0484"/>
    <w:rsid w:val="00BE13CA"/>
    <w:rsid w:val="00BE19E8"/>
    <w:rsid w:val="00BE1C2C"/>
    <w:rsid w:val="00BE1FEE"/>
    <w:rsid w:val="00BE39BD"/>
    <w:rsid w:val="00BE4A65"/>
    <w:rsid w:val="00BE5893"/>
    <w:rsid w:val="00BE5A44"/>
    <w:rsid w:val="00BE7713"/>
    <w:rsid w:val="00BF0068"/>
    <w:rsid w:val="00BF006C"/>
    <w:rsid w:val="00BF08DC"/>
    <w:rsid w:val="00BF09B4"/>
    <w:rsid w:val="00BF0C08"/>
    <w:rsid w:val="00BF2429"/>
    <w:rsid w:val="00BF30CD"/>
    <w:rsid w:val="00BF32BF"/>
    <w:rsid w:val="00BF3DE3"/>
    <w:rsid w:val="00BF3EE7"/>
    <w:rsid w:val="00BF40AE"/>
    <w:rsid w:val="00BF4BB7"/>
    <w:rsid w:val="00BF4D7C"/>
    <w:rsid w:val="00BF565F"/>
    <w:rsid w:val="00BF5F4D"/>
    <w:rsid w:val="00BF64F8"/>
    <w:rsid w:val="00BF6E75"/>
    <w:rsid w:val="00BF7163"/>
    <w:rsid w:val="00BF7AAD"/>
    <w:rsid w:val="00BF7C2D"/>
    <w:rsid w:val="00C0062A"/>
    <w:rsid w:val="00C01B43"/>
    <w:rsid w:val="00C01B63"/>
    <w:rsid w:val="00C01DCE"/>
    <w:rsid w:val="00C022E7"/>
    <w:rsid w:val="00C027B1"/>
    <w:rsid w:val="00C03139"/>
    <w:rsid w:val="00C03441"/>
    <w:rsid w:val="00C035FB"/>
    <w:rsid w:val="00C037BC"/>
    <w:rsid w:val="00C03C58"/>
    <w:rsid w:val="00C0475D"/>
    <w:rsid w:val="00C04820"/>
    <w:rsid w:val="00C05D3B"/>
    <w:rsid w:val="00C05D74"/>
    <w:rsid w:val="00C0650B"/>
    <w:rsid w:val="00C06555"/>
    <w:rsid w:val="00C065CF"/>
    <w:rsid w:val="00C0782B"/>
    <w:rsid w:val="00C10213"/>
    <w:rsid w:val="00C10317"/>
    <w:rsid w:val="00C107BE"/>
    <w:rsid w:val="00C112F9"/>
    <w:rsid w:val="00C12341"/>
    <w:rsid w:val="00C12E83"/>
    <w:rsid w:val="00C1435E"/>
    <w:rsid w:val="00C146B6"/>
    <w:rsid w:val="00C147E6"/>
    <w:rsid w:val="00C14806"/>
    <w:rsid w:val="00C14B74"/>
    <w:rsid w:val="00C14DC7"/>
    <w:rsid w:val="00C15138"/>
    <w:rsid w:val="00C15710"/>
    <w:rsid w:val="00C159A2"/>
    <w:rsid w:val="00C15A44"/>
    <w:rsid w:val="00C16A42"/>
    <w:rsid w:val="00C16F08"/>
    <w:rsid w:val="00C20330"/>
    <w:rsid w:val="00C206EC"/>
    <w:rsid w:val="00C2073C"/>
    <w:rsid w:val="00C20A66"/>
    <w:rsid w:val="00C22C3E"/>
    <w:rsid w:val="00C237C7"/>
    <w:rsid w:val="00C23B0A"/>
    <w:rsid w:val="00C23EC3"/>
    <w:rsid w:val="00C24633"/>
    <w:rsid w:val="00C248BA"/>
    <w:rsid w:val="00C25075"/>
    <w:rsid w:val="00C258AD"/>
    <w:rsid w:val="00C25D42"/>
    <w:rsid w:val="00C26440"/>
    <w:rsid w:val="00C264C8"/>
    <w:rsid w:val="00C268CD"/>
    <w:rsid w:val="00C26AD3"/>
    <w:rsid w:val="00C27142"/>
    <w:rsid w:val="00C27D18"/>
    <w:rsid w:val="00C303F4"/>
    <w:rsid w:val="00C31404"/>
    <w:rsid w:val="00C31ADC"/>
    <w:rsid w:val="00C31B04"/>
    <w:rsid w:val="00C32CFD"/>
    <w:rsid w:val="00C336C3"/>
    <w:rsid w:val="00C33A54"/>
    <w:rsid w:val="00C343BE"/>
    <w:rsid w:val="00C347B8"/>
    <w:rsid w:val="00C34C19"/>
    <w:rsid w:val="00C350E2"/>
    <w:rsid w:val="00C35BB5"/>
    <w:rsid w:val="00C35FFD"/>
    <w:rsid w:val="00C36081"/>
    <w:rsid w:val="00C36436"/>
    <w:rsid w:val="00C36D00"/>
    <w:rsid w:val="00C36DC3"/>
    <w:rsid w:val="00C36EF0"/>
    <w:rsid w:val="00C37164"/>
    <w:rsid w:val="00C37251"/>
    <w:rsid w:val="00C37EA0"/>
    <w:rsid w:val="00C4049A"/>
    <w:rsid w:val="00C4073D"/>
    <w:rsid w:val="00C40BC5"/>
    <w:rsid w:val="00C41498"/>
    <w:rsid w:val="00C426D2"/>
    <w:rsid w:val="00C42CA0"/>
    <w:rsid w:val="00C43D1A"/>
    <w:rsid w:val="00C45C43"/>
    <w:rsid w:val="00C467AB"/>
    <w:rsid w:val="00C46B18"/>
    <w:rsid w:val="00C47256"/>
    <w:rsid w:val="00C4778C"/>
    <w:rsid w:val="00C51443"/>
    <w:rsid w:val="00C51EC3"/>
    <w:rsid w:val="00C521BB"/>
    <w:rsid w:val="00C527C3"/>
    <w:rsid w:val="00C538AB"/>
    <w:rsid w:val="00C53B5B"/>
    <w:rsid w:val="00C5492F"/>
    <w:rsid w:val="00C5498C"/>
    <w:rsid w:val="00C55C68"/>
    <w:rsid w:val="00C55E67"/>
    <w:rsid w:val="00C5680F"/>
    <w:rsid w:val="00C56CF7"/>
    <w:rsid w:val="00C56DB6"/>
    <w:rsid w:val="00C57EED"/>
    <w:rsid w:val="00C606E4"/>
    <w:rsid w:val="00C60E6A"/>
    <w:rsid w:val="00C61015"/>
    <w:rsid w:val="00C6105A"/>
    <w:rsid w:val="00C610F5"/>
    <w:rsid w:val="00C615DD"/>
    <w:rsid w:val="00C620E5"/>
    <w:rsid w:val="00C6237D"/>
    <w:rsid w:val="00C62A72"/>
    <w:rsid w:val="00C62D29"/>
    <w:rsid w:val="00C63288"/>
    <w:rsid w:val="00C639A2"/>
    <w:rsid w:val="00C63DD7"/>
    <w:rsid w:val="00C645C5"/>
    <w:rsid w:val="00C64C91"/>
    <w:rsid w:val="00C65339"/>
    <w:rsid w:val="00C657A8"/>
    <w:rsid w:val="00C66B12"/>
    <w:rsid w:val="00C6715F"/>
    <w:rsid w:val="00C67298"/>
    <w:rsid w:val="00C67825"/>
    <w:rsid w:val="00C67A25"/>
    <w:rsid w:val="00C70471"/>
    <w:rsid w:val="00C70717"/>
    <w:rsid w:val="00C70989"/>
    <w:rsid w:val="00C70998"/>
    <w:rsid w:val="00C71A30"/>
    <w:rsid w:val="00C71DC5"/>
    <w:rsid w:val="00C72164"/>
    <w:rsid w:val="00C7457F"/>
    <w:rsid w:val="00C74805"/>
    <w:rsid w:val="00C7487B"/>
    <w:rsid w:val="00C755C6"/>
    <w:rsid w:val="00C755EA"/>
    <w:rsid w:val="00C76D79"/>
    <w:rsid w:val="00C76F28"/>
    <w:rsid w:val="00C77861"/>
    <w:rsid w:val="00C77E26"/>
    <w:rsid w:val="00C77F94"/>
    <w:rsid w:val="00C80AD4"/>
    <w:rsid w:val="00C80BD4"/>
    <w:rsid w:val="00C80C48"/>
    <w:rsid w:val="00C80F26"/>
    <w:rsid w:val="00C81235"/>
    <w:rsid w:val="00C814ED"/>
    <w:rsid w:val="00C8189F"/>
    <w:rsid w:val="00C819B4"/>
    <w:rsid w:val="00C81E4A"/>
    <w:rsid w:val="00C820F2"/>
    <w:rsid w:val="00C8289C"/>
    <w:rsid w:val="00C83005"/>
    <w:rsid w:val="00C83083"/>
    <w:rsid w:val="00C83335"/>
    <w:rsid w:val="00C8342C"/>
    <w:rsid w:val="00C840E2"/>
    <w:rsid w:val="00C85FD8"/>
    <w:rsid w:val="00C87929"/>
    <w:rsid w:val="00C9001B"/>
    <w:rsid w:val="00C9224E"/>
    <w:rsid w:val="00C92583"/>
    <w:rsid w:val="00C93A49"/>
    <w:rsid w:val="00C94401"/>
    <w:rsid w:val="00C94450"/>
    <w:rsid w:val="00C95161"/>
    <w:rsid w:val="00C958CB"/>
    <w:rsid w:val="00C9747D"/>
    <w:rsid w:val="00C97660"/>
    <w:rsid w:val="00C979DE"/>
    <w:rsid w:val="00C97D86"/>
    <w:rsid w:val="00C97FD9"/>
    <w:rsid w:val="00CA07C1"/>
    <w:rsid w:val="00CA0EE6"/>
    <w:rsid w:val="00CA1371"/>
    <w:rsid w:val="00CA1466"/>
    <w:rsid w:val="00CA187D"/>
    <w:rsid w:val="00CA1A0E"/>
    <w:rsid w:val="00CA20F0"/>
    <w:rsid w:val="00CA2910"/>
    <w:rsid w:val="00CA45EE"/>
    <w:rsid w:val="00CA4D25"/>
    <w:rsid w:val="00CA6F67"/>
    <w:rsid w:val="00CB01A4"/>
    <w:rsid w:val="00CB0AF8"/>
    <w:rsid w:val="00CB122B"/>
    <w:rsid w:val="00CB1A88"/>
    <w:rsid w:val="00CB279D"/>
    <w:rsid w:val="00CB2AAA"/>
    <w:rsid w:val="00CB4276"/>
    <w:rsid w:val="00CB4597"/>
    <w:rsid w:val="00CB4E93"/>
    <w:rsid w:val="00CB5AF5"/>
    <w:rsid w:val="00CB5CCB"/>
    <w:rsid w:val="00CB6C6D"/>
    <w:rsid w:val="00CB7119"/>
    <w:rsid w:val="00CC01C9"/>
    <w:rsid w:val="00CC023E"/>
    <w:rsid w:val="00CC0B73"/>
    <w:rsid w:val="00CC0BCC"/>
    <w:rsid w:val="00CC0F4C"/>
    <w:rsid w:val="00CC1471"/>
    <w:rsid w:val="00CC1507"/>
    <w:rsid w:val="00CC1528"/>
    <w:rsid w:val="00CC1DC5"/>
    <w:rsid w:val="00CC2064"/>
    <w:rsid w:val="00CC25B5"/>
    <w:rsid w:val="00CC2CDA"/>
    <w:rsid w:val="00CC315D"/>
    <w:rsid w:val="00CC48C4"/>
    <w:rsid w:val="00CC51F9"/>
    <w:rsid w:val="00CC5443"/>
    <w:rsid w:val="00CC5DD3"/>
    <w:rsid w:val="00CC61B2"/>
    <w:rsid w:val="00CC7341"/>
    <w:rsid w:val="00CC76C1"/>
    <w:rsid w:val="00CD00AF"/>
    <w:rsid w:val="00CD026F"/>
    <w:rsid w:val="00CD03CC"/>
    <w:rsid w:val="00CD098D"/>
    <w:rsid w:val="00CD09FD"/>
    <w:rsid w:val="00CD0D79"/>
    <w:rsid w:val="00CD0E18"/>
    <w:rsid w:val="00CD16E6"/>
    <w:rsid w:val="00CD2A83"/>
    <w:rsid w:val="00CD2CB0"/>
    <w:rsid w:val="00CD4478"/>
    <w:rsid w:val="00CD4BD0"/>
    <w:rsid w:val="00CD4E2C"/>
    <w:rsid w:val="00CD539F"/>
    <w:rsid w:val="00CD5DD1"/>
    <w:rsid w:val="00CD61C3"/>
    <w:rsid w:val="00CD64CA"/>
    <w:rsid w:val="00CD6937"/>
    <w:rsid w:val="00CD6F23"/>
    <w:rsid w:val="00CD7324"/>
    <w:rsid w:val="00CD7330"/>
    <w:rsid w:val="00CD7CAC"/>
    <w:rsid w:val="00CD7E06"/>
    <w:rsid w:val="00CE0AFE"/>
    <w:rsid w:val="00CE25A4"/>
    <w:rsid w:val="00CE3776"/>
    <w:rsid w:val="00CE3B81"/>
    <w:rsid w:val="00CE3BFF"/>
    <w:rsid w:val="00CE42A7"/>
    <w:rsid w:val="00CE4369"/>
    <w:rsid w:val="00CE513F"/>
    <w:rsid w:val="00CE56A6"/>
    <w:rsid w:val="00CE5AF2"/>
    <w:rsid w:val="00CE5CC5"/>
    <w:rsid w:val="00CE6E00"/>
    <w:rsid w:val="00CE6F3C"/>
    <w:rsid w:val="00CE7317"/>
    <w:rsid w:val="00CE7698"/>
    <w:rsid w:val="00CE78EC"/>
    <w:rsid w:val="00CF0201"/>
    <w:rsid w:val="00CF0402"/>
    <w:rsid w:val="00CF0E81"/>
    <w:rsid w:val="00CF17C2"/>
    <w:rsid w:val="00CF2956"/>
    <w:rsid w:val="00CF2A90"/>
    <w:rsid w:val="00CF2EAD"/>
    <w:rsid w:val="00CF3102"/>
    <w:rsid w:val="00CF3A6C"/>
    <w:rsid w:val="00CF3D0B"/>
    <w:rsid w:val="00CF4448"/>
    <w:rsid w:val="00CF45BD"/>
    <w:rsid w:val="00CF54DD"/>
    <w:rsid w:val="00CF56AA"/>
    <w:rsid w:val="00CF68ED"/>
    <w:rsid w:val="00CF692E"/>
    <w:rsid w:val="00CF73F0"/>
    <w:rsid w:val="00CF7559"/>
    <w:rsid w:val="00CF75BB"/>
    <w:rsid w:val="00CF76DC"/>
    <w:rsid w:val="00CF7825"/>
    <w:rsid w:val="00CF7A57"/>
    <w:rsid w:val="00CF7DD0"/>
    <w:rsid w:val="00D0016D"/>
    <w:rsid w:val="00D00F01"/>
    <w:rsid w:val="00D01920"/>
    <w:rsid w:val="00D03C63"/>
    <w:rsid w:val="00D0404B"/>
    <w:rsid w:val="00D04722"/>
    <w:rsid w:val="00D054CE"/>
    <w:rsid w:val="00D05EAA"/>
    <w:rsid w:val="00D05F3C"/>
    <w:rsid w:val="00D06F7B"/>
    <w:rsid w:val="00D07A35"/>
    <w:rsid w:val="00D10E5F"/>
    <w:rsid w:val="00D113E7"/>
    <w:rsid w:val="00D11981"/>
    <w:rsid w:val="00D11EC6"/>
    <w:rsid w:val="00D12572"/>
    <w:rsid w:val="00D129EE"/>
    <w:rsid w:val="00D1510B"/>
    <w:rsid w:val="00D1559B"/>
    <w:rsid w:val="00D1721B"/>
    <w:rsid w:val="00D21D03"/>
    <w:rsid w:val="00D226E7"/>
    <w:rsid w:val="00D23DBE"/>
    <w:rsid w:val="00D245D3"/>
    <w:rsid w:val="00D249AF"/>
    <w:rsid w:val="00D24CF5"/>
    <w:rsid w:val="00D25979"/>
    <w:rsid w:val="00D25AAB"/>
    <w:rsid w:val="00D25EFA"/>
    <w:rsid w:val="00D25FDF"/>
    <w:rsid w:val="00D2612A"/>
    <w:rsid w:val="00D26EE2"/>
    <w:rsid w:val="00D27959"/>
    <w:rsid w:val="00D31382"/>
    <w:rsid w:val="00D31E08"/>
    <w:rsid w:val="00D32572"/>
    <w:rsid w:val="00D3260A"/>
    <w:rsid w:val="00D32AAE"/>
    <w:rsid w:val="00D32B96"/>
    <w:rsid w:val="00D32C9F"/>
    <w:rsid w:val="00D335AD"/>
    <w:rsid w:val="00D35750"/>
    <w:rsid w:val="00D35C04"/>
    <w:rsid w:val="00D35D61"/>
    <w:rsid w:val="00D35F04"/>
    <w:rsid w:val="00D36009"/>
    <w:rsid w:val="00D36CF9"/>
    <w:rsid w:val="00D373FA"/>
    <w:rsid w:val="00D37482"/>
    <w:rsid w:val="00D402A8"/>
    <w:rsid w:val="00D408D5"/>
    <w:rsid w:val="00D40A96"/>
    <w:rsid w:val="00D40FAC"/>
    <w:rsid w:val="00D42964"/>
    <w:rsid w:val="00D42D9A"/>
    <w:rsid w:val="00D4338E"/>
    <w:rsid w:val="00D43760"/>
    <w:rsid w:val="00D43DED"/>
    <w:rsid w:val="00D43DFD"/>
    <w:rsid w:val="00D44843"/>
    <w:rsid w:val="00D455ED"/>
    <w:rsid w:val="00D45752"/>
    <w:rsid w:val="00D45CA4"/>
    <w:rsid w:val="00D45E13"/>
    <w:rsid w:val="00D464F8"/>
    <w:rsid w:val="00D4756F"/>
    <w:rsid w:val="00D477E2"/>
    <w:rsid w:val="00D47A0A"/>
    <w:rsid w:val="00D47F62"/>
    <w:rsid w:val="00D51519"/>
    <w:rsid w:val="00D519E8"/>
    <w:rsid w:val="00D51A1C"/>
    <w:rsid w:val="00D51C34"/>
    <w:rsid w:val="00D52FBF"/>
    <w:rsid w:val="00D53785"/>
    <w:rsid w:val="00D540B0"/>
    <w:rsid w:val="00D540C4"/>
    <w:rsid w:val="00D54B34"/>
    <w:rsid w:val="00D54F00"/>
    <w:rsid w:val="00D5556F"/>
    <w:rsid w:val="00D55C51"/>
    <w:rsid w:val="00D56A51"/>
    <w:rsid w:val="00D56E83"/>
    <w:rsid w:val="00D56F92"/>
    <w:rsid w:val="00D56F99"/>
    <w:rsid w:val="00D57775"/>
    <w:rsid w:val="00D57844"/>
    <w:rsid w:val="00D5795B"/>
    <w:rsid w:val="00D60003"/>
    <w:rsid w:val="00D60070"/>
    <w:rsid w:val="00D62171"/>
    <w:rsid w:val="00D646EE"/>
    <w:rsid w:val="00D647F6"/>
    <w:rsid w:val="00D65390"/>
    <w:rsid w:val="00D65583"/>
    <w:rsid w:val="00D66050"/>
    <w:rsid w:val="00D66AB6"/>
    <w:rsid w:val="00D66E14"/>
    <w:rsid w:val="00D677DF"/>
    <w:rsid w:val="00D679B2"/>
    <w:rsid w:val="00D67D8A"/>
    <w:rsid w:val="00D67F8D"/>
    <w:rsid w:val="00D7010C"/>
    <w:rsid w:val="00D7063C"/>
    <w:rsid w:val="00D7157D"/>
    <w:rsid w:val="00D71B89"/>
    <w:rsid w:val="00D71D51"/>
    <w:rsid w:val="00D72711"/>
    <w:rsid w:val="00D72C7C"/>
    <w:rsid w:val="00D73333"/>
    <w:rsid w:val="00D7412C"/>
    <w:rsid w:val="00D775B7"/>
    <w:rsid w:val="00D7798B"/>
    <w:rsid w:val="00D80A9B"/>
    <w:rsid w:val="00D810CB"/>
    <w:rsid w:val="00D8168C"/>
    <w:rsid w:val="00D81A68"/>
    <w:rsid w:val="00D824B0"/>
    <w:rsid w:val="00D82D46"/>
    <w:rsid w:val="00D838CD"/>
    <w:rsid w:val="00D83B13"/>
    <w:rsid w:val="00D8422B"/>
    <w:rsid w:val="00D84DCF"/>
    <w:rsid w:val="00D855FB"/>
    <w:rsid w:val="00D861C1"/>
    <w:rsid w:val="00D87995"/>
    <w:rsid w:val="00D9004C"/>
    <w:rsid w:val="00D906A1"/>
    <w:rsid w:val="00D90B12"/>
    <w:rsid w:val="00D916B9"/>
    <w:rsid w:val="00D91D10"/>
    <w:rsid w:val="00D91F90"/>
    <w:rsid w:val="00D932C2"/>
    <w:rsid w:val="00D93C5A"/>
    <w:rsid w:val="00D94289"/>
    <w:rsid w:val="00D948EC"/>
    <w:rsid w:val="00D94DF1"/>
    <w:rsid w:val="00D94E3F"/>
    <w:rsid w:val="00D955F1"/>
    <w:rsid w:val="00D95C6F"/>
    <w:rsid w:val="00D95F22"/>
    <w:rsid w:val="00D965BC"/>
    <w:rsid w:val="00D96F1E"/>
    <w:rsid w:val="00D96FB9"/>
    <w:rsid w:val="00D97132"/>
    <w:rsid w:val="00D979FD"/>
    <w:rsid w:val="00D97C93"/>
    <w:rsid w:val="00D97FE0"/>
    <w:rsid w:val="00DA04B6"/>
    <w:rsid w:val="00DA0639"/>
    <w:rsid w:val="00DA06E5"/>
    <w:rsid w:val="00DA0E78"/>
    <w:rsid w:val="00DA0ED6"/>
    <w:rsid w:val="00DA1151"/>
    <w:rsid w:val="00DA1469"/>
    <w:rsid w:val="00DA1A54"/>
    <w:rsid w:val="00DA1CDD"/>
    <w:rsid w:val="00DA2080"/>
    <w:rsid w:val="00DA273D"/>
    <w:rsid w:val="00DA27F9"/>
    <w:rsid w:val="00DA3554"/>
    <w:rsid w:val="00DA35A0"/>
    <w:rsid w:val="00DA4B3D"/>
    <w:rsid w:val="00DA4B59"/>
    <w:rsid w:val="00DA7227"/>
    <w:rsid w:val="00DA7465"/>
    <w:rsid w:val="00DA7B05"/>
    <w:rsid w:val="00DA7DD9"/>
    <w:rsid w:val="00DB030B"/>
    <w:rsid w:val="00DB046B"/>
    <w:rsid w:val="00DB05E9"/>
    <w:rsid w:val="00DB0849"/>
    <w:rsid w:val="00DB0DE1"/>
    <w:rsid w:val="00DB13D4"/>
    <w:rsid w:val="00DB15BC"/>
    <w:rsid w:val="00DB1801"/>
    <w:rsid w:val="00DB22FA"/>
    <w:rsid w:val="00DB237A"/>
    <w:rsid w:val="00DB2B66"/>
    <w:rsid w:val="00DB2FEB"/>
    <w:rsid w:val="00DB38B4"/>
    <w:rsid w:val="00DB3A80"/>
    <w:rsid w:val="00DB3C6E"/>
    <w:rsid w:val="00DB4423"/>
    <w:rsid w:val="00DB4754"/>
    <w:rsid w:val="00DB555C"/>
    <w:rsid w:val="00DB557F"/>
    <w:rsid w:val="00DB55E2"/>
    <w:rsid w:val="00DB5A0F"/>
    <w:rsid w:val="00DB605C"/>
    <w:rsid w:val="00DB63EF"/>
    <w:rsid w:val="00DB707F"/>
    <w:rsid w:val="00DB79E5"/>
    <w:rsid w:val="00DC02AB"/>
    <w:rsid w:val="00DC0FF3"/>
    <w:rsid w:val="00DC171E"/>
    <w:rsid w:val="00DC25B7"/>
    <w:rsid w:val="00DC2605"/>
    <w:rsid w:val="00DC2DE8"/>
    <w:rsid w:val="00DC380C"/>
    <w:rsid w:val="00DC4089"/>
    <w:rsid w:val="00DC4806"/>
    <w:rsid w:val="00DC58E7"/>
    <w:rsid w:val="00DC5A4C"/>
    <w:rsid w:val="00DC7719"/>
    <w:rsid w:val="00DC77B9"/>
    <w:rsid w:val="00DC783F"/>
    <w:rsid w:val="00DC7B90"/>
    <w:rsid w:val="00DD0871"/>
    <w:rsid w:val="00DD0E83"/>
    <w:rsid w:val="00DD313E"/>
    <w:rsid w:val="00DD3954"/>
    <w:rsid w:val="00DD47A4"/>
    <w:rsid w:val="00DD5257"/>
    <w:rsid w:val="00DD5409"/>
    <w:rsid w:val="00DD5841"/>
    <w:rsid w:val="00DD5DBB"/>
    <w:rsid w:val="00DD6912"/>
    <w:rsid w:val="00DD7201"/>
    <w:rsid w:val="00DE0265"/>
    <w:rsid w:val="00DE0C7C"/>
    <w:rsid w:val="00DE0EDF"/>
    <w:rsid w:val="00DE0EE4"/>
    <w:rsid w:val="00DE180B"/>
    <w:rsid w:val="00DE1C09"/>
    <w:rsid w:val="00DE33C3"/>
    <w:rsid w:val="00DE3755"/>
    <w:rsid w:val="00DE3A7B"/>
    <w:rsid w:val="00DE3FD9"/>
    <w:rsid w:val="00DE445D"/>
    <w:rsid w:val="00DE4580"/>
    <w:rsid w:val="00DE5249"/>
    <w:rsid w:val="00DE580A"/>
    <w:rsid w:val="00DE5F72"/>
    <w:rsid w:val="00DE68A5"/>
    <w:rsid w:val="00DE6EF1"/>
    <w:rsid w:val="00DE737A"/>
    <w:rsid w:val="00DE749A"/>
    <w:rsid w:val="00DE77B1"/>
    <w:rsid w:val="00DE7F55"/>
    <w:rsid w:val="00DE7F85"/>
    <w:rsid w:val="00DF09F9"/>
    <w:rsid w:val="00DF0A97"/>
    <w:rsid w:val="00DF10F3"/>
    <w:rsid w:val="00DF131D"/>
    <w:rsid w:val="00DF166B"/>
    <w:rsid w:val="00DF1778"/>
    <w:rsid w:val="00DF1D01"/>
    <w:rsid w:val="00DF1D6C"/>
    <w:rsid w:val="00DF268B"/>
    <w:rsid w:val="00DF2B50"/>
    <w:rsid w:val="00DF41A4"/>
    <w:rsid w:val="00DF4B0D"/>
    <w:rsid w:val="00DF4C1E"/>
    <w:rsid w:val="00DF4F39"/>
    <w:rsid w:val="00DF504D"/>
    <w:rsid w:val="00DF530A"/>
    <w:rsid w:val="00DF53BB"/>
    <w:rsid w:val="00DF5554"/>
    <w:rsid w:val="00DF5F42"/>
    <w:rsid w:val="00DF613F"/>
    <w:rsid w:val="00DF637B"/>
    <w:rsid w:val="00DF6816"/>
    <w:rsid w:val="00DF692D"/>
    <w:rsid w:val="00DF694E"/>
    <w:rsid w:val="00DF737A"/>
    <w:rsid w:val="00DF7F63"/>
    <w:rsid w:val="00E002CF"/>
    <w:rsid w:val="00E0037E"/>
    <w:rsid w:val="00E00502"/>
    <w:rsid w:val="00E00692"/>
    <w:rsid w:val="00E00976"/>
    <w:rsid w:val="00E00CD4"/>
    <w:rsid w:val="00E01CB8"/>
    <w:rsid w:val="00E02281"/>
    <w:rsid w:val="00E02B5F"/>
    <w:rsid w:val="00E02FA4"/>
    <w:rsid w:val="00E02FDC"/>
    <w:rsid w:val="00E03C7A"/>
    <w:rsid w:val="00E0439D"/>
    <w:rsid w:val="00E0474E"/>
    <w:rsid w:val="00E056CB"/>
    <w:rsid w:val="00E05DF7"/>
    <w:rsid w:val="00E061D6"/>
    <w:rsid w:val="00E063B0"/>
    <w:rsid w:val="00E07ED3"/>
    <w:rsid w:val="00E1047F"/>
    <w:rsid w:val="00E11FA9"/>
    <w:rsid w:val="00E123A5"/>
    <w:rsid w:val="00E12D36"/>
    <w:rsid w:val="00E13EC7"/>
    <w:rsid w:val="00E14FD3"/>
    <w:rsid w:val="00E15512"/>
    <w:rsid w:val="00E1693F"/>
    <w:rsid w:val="00E2079B"/>
    <w:rsid w:val="00E209FD"/>
    <w:rsid w:val="00E20A4D"/>
    <w:rsid w:val="00E20FEC"/>
    <w:rsid w:val="00E21883"/>
    <w:rsid w:val="00E22B51"/>
    <w:rsid w:val="00E2387A"/>
    <w:rsid w:val="00E2397D"/>
    <w:rsid w:val="00E23A15"/>
    <w:rsid w:val="00E24EA1"/>
    <w:rsid w:val="00E25A07"/>
    <w:rsid w:val="00E25BB8"/>
    <w:rsid w:val="00E25E61"/>
    <w:rsid w:val="00E26C36"/>
    <w:rsid w:val="00E27FEC"/>
    <w:rsid w:val="00E30B73"/>
    <w:rsid w:val="00E30D3E"/>
    <w:rsid w:val="00E30EB9"/>
    <w:rsid w:val="00E3131D"/>
    <w:rsid w:val="00E313B6"/>
    <w:rsid w:val="00E31CFA"/>
    <w:rsid w:val="00E32460"/>
    <w:rsid w:val="00E325F6"/>
    <w:rsid w:val="00E33760"/>
    <w:rsid w:val="00E337B6"/>
    <w:rsid w:val="00E33E0C"/>
    <w:rsid w:val="00E33E81"/>
    <w:rsid w:val="00E35054"/>
    <w:rsid w:val="00E359D7"/>
    <w:rsid w:val="00E35AE6"/>
    <w:rsid w:val="00E3642F"/>
    <w:rsid w:val="00E36FFE"/>
    <w:rsid w:val="00E37293"/>
    <w:rsid w:val="00E3787C"/>
    <w:rsid w:val="00E37EEB"/>
    <w:rsid w:val="00E401A1"/>
    <w:rsid w:val="00E4036F"/>
    <w:rsid w:val="00E406BD"/>
    <w:rsid w:val="00E40967"/>
    <w:rsid w:val="00E40B32"/>
    <w:rsid w:val="00E4128D"/>
    <w:rsid w:val="00E419E6"/>
    <w:rsid w:val="00E41DAA"/>
    <w:rsid w:val="00E42A12"/>
    <w:rsid w:val="00E42E59"/>
    <w:rsid w:val="00E434D5"/>
    <w:rsid w:val="00E4386D"/>
    <w:rsid w:val="00E43A41"/>
    <w:rsid w:val="00E43D8F"/>
    <w:rsid w:val="00E44338"/>
    <w:rsid w:val="00E44430"/>
    <w:rsid w:val="00E444D2"/>
    <w:rsid w:val="00E44B29"/>
    <w:rsid w:val="00E45637"/>
    <w:rsid w:val="00E45C38"/>
    <w:rsid w:val="00E46019"/>
    <w:rsid w:val="00E46B63"/>
    <w:rsid w:val="00E47561"/>
    <w:rsid w:val="00E50991"/>
    <w:rsid w:val="00E50C73"/>
    <w:rsid w:val="00E515E1"/>
    <w:rsid w:val="00E51DFF"/>
    <w:rsid w:val="00E5250C"/>
    <w:rsid w:val="00E52606"/>
    <w:rsid w:val="00E52CAD"/>
    <w:rsid w:val="00E52F96"/>
    <w:rsid w:val="00E537AE"/>
    <w:rsid w:val="00E53C5D"/>
    <w:rsid w:val="00E5410B"/>
    <w:rsid w:val="00E544ED"/>
    <w:rsid w:val="00E546BA"/>
    <w:rsid w:val="00E5511D"/>
    <w:rsid w:val="00E55A25"/>
    <w:rsid w:val="00E55DEA"/>
    <w:rsid w:val="00E55E7F"/>
    <w:rsid w:val="00E563B0"/>
    <w:rsid w:val="00E56683"/>
    <w:rsid w:val="00E56D2E"/>
    <w:rsid w:val="00E57681"/>
    <w:rsid w:val="00E607EB"/>
    <w:rsid w:val="00E60BC6"/>
    <w:rsid w:val="00E62C38"/>
    <w:rsid w:val="00E63CC5"/>
    <w:rsid w:val="00E63D34"/>
    <w:rsid w:val="00E64ECA"/>
    <w:rsid w:val="00E65429"/>
    <w:rsid w:val="00E65843"/>
    <w:rsid w:val="00E65982"/>
    <w:rsid w:val="00E65C1F"/>
    <w:rsid w:val="00E66329"/>
    <w:rsid w:val="00E664C4"/>
    <w:rsid w:val="00E66937"/>
    <w:rsid w:val="00E66F43"/>
    <w:rsid w:val="00E671AF"/>
    <w:rsid w:val="00E67200"/>
    <w:rsid w:val="00E67B24"/>
    <w:rsid w:val="00E706B1"/>
    <w:rsid w:val="00E70A3F"/>
    <w:rsid w:val="00E70A57"/>
    <w:rsid w:val="00E711A5"/>
    <w:rsid w:val="00E71236"/>
    <w:rsid w:val="00E7146B"/>
    <w:rsid w:val="00E7156B"/>
    <w:rsid w:val="00E71C0A"/>
    <w:rsid w:val="00E71D95"/>
    <w:rsid w:val="00E71F13"/>
    <w:rsid w:val="00E723E6"/>
    <w:rsid w:val="00E7247A"/>
    <w:rsid w:val="00E7271C"/>
    <w:rsid w:val="00E729AF"/>
    <w:rsid w:val="00E72F9C"/>
    <w:rsid w:val="00E7341E"/>
    <w:rsid w:val="00E73D49"/>
    <w:rsid w:val="00E73DB1"/>
    <w:rsid w:val="00E74346"/>
    <w:rsid w:val="00E74E45"/>
    <w:rsid w:val="00E750E3"/>
    <w:rsid w:val="00E75231"/>
    <w:rsid w:val="00E75D40"/>
    <w:rsid w:val="00E75E40"/>
    <w:rsid w:val="00E75E4C"/>
    <w:rsid w:val="00E767CE"/>
    <w:rsid w:val="00E76E97"/>
    <w:rsid w:val="00E7713D"/>
    <w:rsid w:val="00E77987"/>
    <w:rsid w:val="00E779B1"/>
    <w:rsid w:val="00E80FAF"/>
    <w:rsid w:val="00E811B6"/>
    <w:rsid w:val="00E81CFF"/>
    <w:rsid w:val="00E821B8"/>
    <w:rsid w:val="00E821EF"/>
    <w:rsid w:val="00E83A18"/>
    <w:rsid w:val="00E8432D"/>
    <w:rsid w:val="00E85EB8"/>
    <w:rsid w:val="00E86907"/>
    <w:rsid w:val="00E86C86"/>
    <w:rsid w:val="00E8720A"/>
    <w:rsid w:val="00E87912"/>
    <w:rsid w:val="00E909A6"/>
    <w:rsid w:val="00E90B42"/>
    <w:rsid w:val="00E90FD7"/>
    <w:rsid w:val="00E91561"/>
    <w:rsid w:val="00E92CC3"/>
    <w:rsid w:val="00E93214"/>
    <w:rsid w:val="00E9341F"/>
    <w:rsid w:val="00E93606"/>
    <w:rsid w:val="00E94443"/>
    <w:rsid w:val="00E94E44"/>
    <w:rsid w:val="00E95783"/>
    <w:rsid w:val="00E95899"/>
    <w:rsid w:val="00E95DB8"/>
    <w:rsid w:val="00E9638F"/>
    <w:rsid w:val="00E97023"/>
    <w:rsid w:val="00E9724A"/>
    <w:rsid w:val="00E97CD8"/>
    <w:rsid w:val="00EA05B7"/>
    <w:rsid w:val="00EA0A28"/>
    <w:rsid w:val="00EA1950"/>
    <w:rsid w:val="00EA1F2A"/>
    <w:rsid w:val="00EA2491"/>
    <w:rsid w:val="00EA2BC4"/>
    <w:rsid w:val="00EA2C8B"/>
    <w:rsid w:val="00EA2E85"/>
    <w:rsid w:val="00EA39DE"/>
    <w:rsid w:val="00EA4444"/>
    <w:rsid w:val="00EA44C7"/>
    <w:rsid w:val="00EA472C"/>
    <w:rsid w:val="00EA521E"/>
    <w:rsid w:val="00EA54AC"/>
    <w:rsid w:val="00EA54FE"/>
    <w:rsid w:val="00EA57D1"/>
    <w:rsid w:val="00EA5893"/>
    <w:rsid w:val="00EA601C"/>
    <w:rsid w:val="00EA6112"/>
    <w:rsid w:val="00EA6A6E"/>
    <w:rsid w:val="00EA6AF7"/>
    <w:rsid w:val="00EA705E"/>
    <w:rsid w:val="00EA7A32"/>
    <w:rsid w:val="00EA7B10"/>
    <w:rsid w:val="00EB0B94"/>
    <w:rsid w:val="00EB20D3"/>
    <w:rsid w:val="00EB24EF"/>
    <w:rsid w:val="00EB26E5"/>
    <w:rsid w:val="00EB2ACE"/>
    <w:rsid w:val="00EB2D35"/>
    <w:rsid w:val="00EB2E3F"/>
    <w:rsid w:val="00EB31DE"/>
    <w:rsid w:val="00EB3524"/>
    <w:rsid w:val="00EB38FA"/>
    <w:rsid w:val="00EB5262"/>
    <w:rsid w:val="00EB54DA"/>
    <w:rsid w:val="00EB5AB4"/>
    <w:rsid w:val="00EB5D58"/>
    <w:rsid w:val="00EB63C8"/>
    <w:rsid w:val="00EB6652"/>
    <w:rsid w:val="00EB6F39"/>
    <w:rsid w:val="00EB7699"/>
    <w:rsid w:val="00EB7CF1"/>
    <w:rsid w:val="00EB7D99"/>
    <w:rsid w:val="00EC09EA"/>
    <w:rsid w:val="00EC0A09"/>
    <w:rsid w:val="00EC0D7E"/>
    <w:rsid w:val="00EC1504"/>
    <w:rsid w:val="00EC15B7"/>
    <w:rsid w:val="00EC27BC"/>
    <w:rsid w:val="00EC27EA"/>
    <w:rsid w:val="00EC28D5"/>
    <w:rsid w:val="00EC29E9"/>
    <w:rsid w:val="00EC2B25"/>
    <w:rsid w:val="00EC2F6E"/>
    <w:rsid w:val="00EC433F"/>
    <w:rsid w:val="00EC4A27"/>
    <w:rsid w:val="00EC523D"/>
    <w:rsid w:val="00EC5635"/>
    <w:rsid w:val="00EC5F63"/>
    <w:rsid w:val="00EC62E8"/>
    <w:rsid w:val="00EC6C30"/>
    <w:rsid w:val="00EC71DA"/>
    <w:rsid w:val="00EC76F5"/>
    <w:rsid w:val="00EC7C66"/>
    <w:rsid w:val="00EC7C8E"/>
    <w:rsid w:val="00ED0423"/>
    <w:rsid w:val="00ED161A"/>
    <w:rsid w:val="00ED1A3B"/>
    <w:rsid w:val="00ED21E6"/>
    <w:rsid w:val="00ED21F1"/>
    <w:rsid w:val="00ED27F7"/>
    <w:rsid w:val="00ED2C6D"/>
    <w:rsid w:val="00ED457E"/>
    <w:rsid w:val="00ED4B68"/>
    <w:rsid w:val="00ED5019"/>
    <w:rsid w:val="00ED54F9"/>
    <w:rsid w:val="00ED577E"/>
    <w:rsid w:val="00ED5A10"/>
    <w:rsid w:val="00ED5FCB"/>
    <w:rsid w:val="00ED6673"/>
    <w:rsid w:val="00ED66F6"/>
    <w:rsid w:val="00ED69A9"/>
    <w:rsid w:val="00ED7000"/>
    <w:rsid w:val="00EE04A3"/>
    <w:rsid w:val="00EE0A89"/>
    <w:rsid w:val="00EE103F"/>
    <w:rsid w:val="00EE127E"/>
    <w:rsid w:val="00EE1A2B"/>
    <w:rsid w:val="00EE1DFC"/>
    <w:rsid w:val="00EE2298"/>
    <w:rsid w:val="00EE235D"/>
    <w:rsid w:val="00EE2747"/>
    <w:rsid w:val="00EE279F"/>
    <w:rsid w:val="00EE28E0"/>
    <w:rsid w:val="00EE2A68"/>
    <w:rsid w:val="00EE4670"/>
    <w:rsid w:val="00EE49DB"/>
    <w:rsid w:val="00EE4B1B"/>
    <w:rsid w:val="00EE5732"/>
    <w:rsid w:val="00EE57EB"/>
    <w:rsid w:val="00EE5F75"/>
    <w:rsid w:val="00EE67C4"/>
    <w:rsid w:val="00EE6B84"/>
    <w:rsid w:val="00EE7139"/>
    <w:rsid w:val="00EE7B0C"/>
    <w:rsid w:val="00EF08B3"/>
    <w:rsid w:val="00EF099C"/>
    <w:rsid w:val="00EF201E"/>
    <w:rsid w:val="00EF20B8"/>
    <w:rsid w:val="00EF27BB"/>
    <w:rsid w:val="00EF321C"/>
    <w:rsid w:val="00EF50F2"/>
    <w:rsid w:val="00EF530A"/>
    <w:rsid w:val="00EF57B0"/>
    <w:rsid w:val="00EF5C44"/>
    <w:rsid w:val="00EF6E80"/>
    <w:rsid w:val="00EF70DA"/>
    <w:rsid w:val="00EF741E"/>
    <w:rsid w:val="00F0098B"/>
    <w:rsid w:val="00F00D38"/>
    <w:rsid w:val="00F02969"/>
    <w:rsid w:val="00F02D02"/>
    <w:rsid w:val="00F042CD"/>
    <w:rsid w:val="00F042DD"/>
    <w:rsid w:val="00F05076"/>
    <w:rsid w:val="00F0625F"/>
    <w:rsid w:val="00F06454"/>
    <w:rsid w:val="00F064A9"/>
    <w:rsid w:val="00F06E49"/>
    <w:rsid w:val="00F074FE"/>
    <w:rsid w:val="00F07877"/>
    <w:rsid w:val="00F07CD3"/>
    <w:rsid w:val="00F1028D"/>
    <w:rsid w:val="00F11873"/>
    <w:rsid w:val="00F120FC"/>
    <w:rsid w:val="00F12D82"/>
    <w:rsid w:val="00F13357"/>
    <w:rsid w:val="00F140F6"/>
    <w:rsid w:val="00F14459"/>
    <w:rsid w:val="00F1495A"/>
    <w:rsid w:val="00F14D0E"/>
    <w:rsid w:val="00F154DF"/>
    <w:rsid w:val="00F16B5C"/>
    <w:rsid w:val="00F16D11"/>
    <w:rsid w:val="00F16D90"/>
    <w:rsid w:val="00F1772B"/>
    <w:rsid w:val="00F2046E"/>
    <w:rsid w:val="00F20AFC"/>
    <w:rsid w:val="00F20B75"/>
    <w:rsid w:val="00F2103D"/>
    <w:rsid w:val="00F21D27"/>
    <w:rsid w:val="00F229F6"/>
    <w:rsid w:val="00F22B91"/>
    <w:rsid w:val="00F22DEC"/>
    <w:rsid w:val="00F22EA6"/>
    <w:rsid w:val="00F23503"/>
    <w:rsid w:val="00F23867"/>
    <w:rsid w:val="00F247F2"/>
    <w:rsid w:val="00F24A17"/>
    <w:rsid w:val="00F24A4D"/>
    <w:rsid w:val="00F24D37"/>
    <w:rsid w:val="00F250FE"/>
    <w:rsid w:val="00F25578"/>
    <w:rsid w:val="00F25A17"/>
    <w:rsid w:val="00F260F9"/>
    <w:rsid w:val="00F2707B"/>
    <w:rsid w:val="00F274B0"/>
    <w:rsid w:val="00F27C45"/>
    <w:rsid w:val="00F300CD"/>
    <w:rsid w:val="00F304C7"/>
    <w:rsid w:val="00F30F3A"/>
    <w:rsid w:val="00F31DD8"/>
    <w:rsid w:val="00F31E17"/>
    <w:rsid w:val="00F31ECE"/>
    <w:rsid w:val="00F32548"/>
    <w:rsid w:val="00F32BE7"/>
    <w:rsid w:val="00F33ADD"/>
    <w:rsid w:val="00F33BCA"/>
    <w:rsid w:val="00F33F9C"/>
    <w:rsid w:val="00F350E9"/>
    <w:rsid w:val="00F3568B"/>
    <w:rsid w:val="00F3592D"/>
    <w:rsid w:val="00F36166"/>
    <w:rsid w:val="00F37331"/>
    <w:rsid w:val="00F377DD"/>
    <w:rsid w:val="00F407B4"/>
    <w:rsid w:val="00F40CFE"/>
    <w:rsid w:val="00F4113F"/>
    <w:rsid w:val="00F4161D"/>
    <w:rsid w:val="00F41FCE"/>
    <w:rsid w:val="00F422A4"/>
    <w:rsid w:val="00F4249D"/>
    <w:rsid w:val="00F42540"/>
    <w:rsid w:val="00F42633"/>
    <w:rsid w:val="00F42812"/>
    <w:rsid w:val="00F42D0E"/>
    <w:rsid w:val="00F43216"/>
    <w:rsid w:val="00F43D34"/>
    <w:rsid w:val="00F44177"/>
    <w:rsid w:val="00F44189"/>
    <w:rsid w:val="00F4459C"/>
    <w:rsid w:val="00F44D45"/>
    <w:rsid w:val="00F44F60"/>
    <w:rsid w:val="00F4514B"/>
    <w:rsid w:val="00F46C54"/>
    <w:rsid w:val="00F47AE6"/>
    <w:rsid w:val="00F47B95"/>
    <w:rsid w:val="00F47E05"/>
    <w:rsid w:val="00F501C6"/>
    <w:rsid w:val="00F502C0"/>
    <w:rsid w:val="00F50C41"/>
    <w:rsid w:val="00F519E1"/>
    <w:rsid w:val="00F51C38"/>
    <w:rsid w:val="00F52B75"/>
    <w:rsid w:val="00F52FD6"/>
    <w:rsid w:val="00F53BBC"/>
    <w:rsid w:val="00F54260"/>
    <w:rsid w:val="00F54412"/>
    <w:rsid w:val="00F544B9"/>
    <w:rsid w:val="00F55B04"/>
    <w:rsid w:val="00F56903"/>
    <w:rsid w:val="00F57486"/>
    <w:rsid w:val="00F5748F"/>
    <w:rsid w:val="00F5763D"/>
    <w:rsid w:val="00F604C2"/>
    <w:rsid w:val="00F60652"/>
    <w:rsid w:val="00F61AE1"/>
    <w:rsid w:val="00F61EFA"/>
    <w:rsid w:val="00F621A5"/>
    <w:rsid w:val="00F633F2"/>
    <w:rsid w:val="00F641AD"/>
    <w:rsid w:val="00F6545D"/>
    <w:rsid w:val="00F657F9"/>
    <w:rsid w:val="00F65C91"/>
    <w:rsid w:val="00F666B2"/>
    <w:rsid w:val="00F66F4D"/>
    <w:rsid w:val="00F67454"/>
    <w:rsid w:val="00F70CBD"/>
    <w:rsid w:val="00F70DEB"/>
    <w:rsid w:val="00F7114B"/>
    <w:rsid w:val="00F7194A"/>
    <w:rsid w:val="00F719D2"/>
    <w:rsid w:val="00F71FA1"/>
    <w:rsid w:val="00F72211"/>
    <w:rsid w:val="00F7231A"/>
    <w:rsid w:val="00F73946"/>
    <w:rsid w:val="00F73F52"/>
    <w:rsid w:val="00F7405C"/>
    <w:rsid w:val="00F74A77"/>
    <w:rsid w:val="00F76E9E"/>
    <w:rsid w:val="00F76EAA"/>
    <w:rsid w:val="00F77172"/>
    <w:rsid w:val="00F779CA"/>
    <w:rsid w:val="00F8041B"/>
    <w:rsid w:val="00F8067E"/>
    <w:rsid w:val="00F80744"/>
    <w:rsid w:val="00F80BC6"/>
    <w:rsid w:val="00F8240A"/>
    <w:rsid w:val="00F82723"/>
    <w:rsid w:val="00F82AE6"/>
    <w:rsid w:val="00F82CAE"/>
    <w:rsid w:val="00F835AC"/>
    <w:rsid w:val="00F83ACF"/>
    <w:rsid w:val="00F83BE9"/>
    <w:rsid w:val="00F83DF6"/>
    <w:rsid w:val="00F8473B"/>
    <w:rsid w:val="00F847C3"/>
    <w:rsid w:val="00F848CB"/>
    <w:rsid w:val="00F84A52"/>
    <w:rsid w:val="00F85352"/>
    <w:rsid w:val="00F859F4"/>
    <w:rsid w:val="00F8677C"/>
    <w:rsid w:val="00F87675"/>
    <w:rsid w:val="00F8787D"/>
    <w:rsid w:val="00F87A3A"/>
    <w:rsid w:val="00F90956"/>
    <w:rsid w:val="00F9146A"/>
    <w:rsid w:val="00F91A23"/>
    <w:rsid w:val="00F9228A"/>
    <w:rsid w:val="00F9245B"/>
    <w:rsid w:val="00F92A36"/>
    <w:rsid w:val="00F92E10"/>
    <w:rsid w:val="00F93332"/>
    <w:rsid w:val="00F934F6"/>
    <w:rsid w:val="00F93DBC"/>
    <w:rsid w:val="00F9645B"/>
    <w:rsid w:val="00F96885"/>
    <w:rsid w:val="00F968EA"/>
    <w:rsid w:val="00F97C6F"/>
    <w:rsid w:val="00FA09D7"/>
    <w:rsid w:val="00FA1251"/>
    <w:rsid w:val="00FA1334"/>
    <w:rsid w:val="00FA1AFB"/>
    <w:rsid w:val="00FA2452"/>
    <w:rsid w:val="00FA27BA"/>
    <w:rsid w:val="00FA32FE"/>
    <w:rsid w:val="00FA3641"/>
    <w:rsid w:val="00FA43BC"/>
    <w:rsid w:val="00FA45A7"/>
    <w:rsid w:val="00FA5B12"/>
    <w:rsid w:val="00FA5D3E"/>
    <w:rsid w:val="00FA68D1"/>
    <w:rsid w:val="00FA6C83"/>
    <w:rsid w:val="00FA72C4"/>
    <w:rsid w:val="00FA7A20"/>
    <w:rsid w:val="00FB0265"/>
    <w:rsid w:val="00FB0B88"/>
    <w:rsid w:val="00FB10D4"/>
    <w:rsid w:val="00FB1771"/>
    <w:rsid w:val="00FB1CAD"/>
    <w:rsid w:val="00FB2859"/>
    <w:rsid w:val="00FB2D61"/>
    <w:rsid w:val="00FB40BD"/>
    <w:rsid w:val="00FB60A6"/>
    <w:rsid w:val="00FC0380"/>
    <w:rsid w:val="00FC1752"/>
    <w:rsid w:val="00FC194B"/>
    <w:rsid w:val="00FC1CFF"/>
    <w:rsid w:val="00FC1F0B"/>
    <w:rsid w:val="00FC285B"/>
    <w:rsid w:val="00FC3500"/>
    <w:rsid w:val="00FC3530"/>
    <w:rsid w:val="00FC371E"/>
    <w:rsid w:val="00FC44E5"/>
    <w:rsid w:val="00FC4A4D"/>
    <w:rsid w:val="00FC4AF3"/>
    <w:rsid w:val="00FC4D9C"/>
    <w:rsid w:val="00FC61D8"/>
    <w:rsid w:val="00FC6726"/>
    <w:rsid w:val="00FC68BF"/>
    <w:rsid w:val="00FC7E13"/>
    <w:rsid w:val="00FD0979"/>
    <w:rsid w:val="00FD0A2D"/>
    <w:rsid w:val="00FD0D3B"/>
    <w:rsid w:val="00FD1314"/>
    <w:rsid w:val="00FD34A4"/>
    <w:rsid w:val="00FD4478"/>
    <w:rsid w:val="00FD53DF"/>
    <w:rsid w:val="00FD5652"/>
    <w:rsid w:val="00FD56E6"/>
    <w:rsid w:val="00FD5812"/>
    <w:rsid w:val="00FD59F2"/>
    <w:rsid w:val="00FD65D9"/>
    <w:rsid w:val="00FD66F7"/>
    <w:rsid w:val="00FD682F"/>
    <w:rsid w:val="00FD6992"/>
    <w:rsid w:val="00FD6C5C"/>
    <w:rsid w:val="00FD6DD6"/>
    <w:rsid w:val="00FD70DF"/>
    <w:rsid w:val="00FD716C"/>
    <w:rsid w:val="00FD75CC"/>
    <w:rsid w:val="00FD774C"/>
    <w:rsid w:val="00FE1EEA"/>
    <w:rsid w:val="00FE2237"/>
    <w:rsid w:val="00FE2418"/>
    <w:rsid w:val="00FE32D7"/>
    <w:rsid w:val="00FE3721"/>
    <w:rsid w:val="00FE37FA"/>
    <w:rsid w:val="00FE3B94"/>
    <w:rsid w:val="00FE45A7"/>
    <w:rsid w:val="00FE46E3"/>
    <w:rsid w:val="00FE481D"/>
    <w:rsid w:val="00FE4886"/>
    <w:rsid w:val="00FE57F5"/>
    <w:rsid w:val="00FE599E"/>
    <w:rsid w:val="00FE7336"/>
    <w:rsid w:val="00FE7C7F"/>
    <w:rsid w:val="00FF00BB"/>
    <w:rsid w:val="00FF0413"/>
    <w:rsid w:val="00FF0461"/>
    <w:rsid w:val="00FF054C"/>
    <w:rsid w:val="00FF0E77"/>
    <w:rsid w:val="00FF0F2C"/>
    <w:rsid w:val="00FF193A"/>
    <w:rsid w:val="00FF22FB"/>
    <w:rsid w:val="00FF28BF"/>
    <w:rsid w:val="00FF2A0B"/>
    <w:rsid w:val="00FF2D24"/>
    <w:rsid w:val="00FF2EB2"/>
    <w:rsid w:val="00FF31F5"/>
    <w:rsid w:val="00FF3A63"/>
    <w:rsid w:val="00FF547C"/>
    <w:rsid w:val="00FF6B73"/>
    <w:rsid w:val="00FF71C3"/>
    <w:rsid w:val="00FF772B"/>
    <w:rsid w:val="00FF7EF8"/>
    <w:rsid w:val="01551367"/>
    <w:rsid w:val="023B0C78"/>
    <w:rsid w:val="027F2C45"/>
    <w:rsid w:val="034E5101"/>
    <w:rsid w:val="03741291"/>
    <w:rsid w:val="040F5EB2"/>
    <w:rsid w:val="057F1035"/>
    <w:rsid w:val="068E72D0"/>
    <w:rsid w:val="06BC58E5"/>
    <w:rsid w:val="0952686E"/>
    <w:rsid w:val="09D74144"/>
    <w:rsid w:val="0DC12C6F"/>
    <w:rsid w:val="0F5D76B8"/>
    <w:rsid w:val="104E6FCA"/>
    <w:rsid w:val="114F7170"/>
    <w:rsid w:val="117D0437"/>
    <w:rsid w:val="121C0D71"/>
    <w:rsid w:val="13757537"/>
    <w:rsid w:val="14327D30"/>
    <w:rsid w:val="152D14FB"/>
    <w:rsid w:val="156813EF"/>
    <w:rsid w:val="168E3F15"/>
    <w:rsid w:val="16AE316B"/>
    <w:rsid w:val="170764C4"/>
    <w:rsid w:val="17675839"/>
    <w:rsid w:val="17E845CC"/>
    <w:rsid w:val="188D119D"/>
    <w:rsid w:val="192C19C5"/>
    <w:rsid w:val="19495773"/>
    <w:rsid w:val="1A2F0BF3"/>
    <w:rsid w:val="1A410A5E"/>
    <w:rsid w:val="1AA262DC"/>
    <w:rsid w:val="1C870C6E"/>
    <w:rsid w:val="1E075D31"/>
    <w:rsid w:val="1F165060"/>
    <w:rsid w:val="1F2E7FA7"/>
    <w:rsid w:val="218F3216"/>
    <w:rsid w:val="24FB3F8E"/>
    <w:rsid w:val="25AE3684"/>
    <w:rsid w:val="26230EA8"/>
    <w:rsid w:val="26936DEC"/>
    <w:rsid w:val="27AA6B16"/>
    <w:rsid w:val="28F813CA"/>
    <w:rsid w:val="2929681F"/>
    <w:rsid w:val="2B4A209F"/>
    <w:rsid w:val="2D1B5570"/>
    <w:rsid w:val="2E695209"/>
    <w:rsid w:val="2E924A60"/>
    <w:rsid w:val="2F1934CD"/>
    <w:rsid w:val="3088423E"/>
    <w:rsid w:val="31AB19F5"/>
    <w:rsid w:val="31B91B4B"/>
    <w:rsid w:val="32935C1D"/>
    <w:rsid w:val="32AA7EC4"/>
    <w:rsid w:val="32FB368E"/>
    <w:rsid w:val="33F86270"/>
    <w:rsid w:val="34095C3A"/>
    <w:rsid w:val="345B176C"/>
    <w:rsid w:val="34A30CB3"/>
    <w:rsid w:val="35FC48CB"/>
    <w:rsid w:val="36581A35"/>
    <w:rsid w:val="374D4B72"/>
    <w:rsid w:val="387E60D5"/>
    <w:rsid w:val="3B1C1191"/>
    <w:rsid w:val="3BF02833"/>
    <w:rsid w:val="3C370201"/>
    <w:rsid w:val="3CA12C30"/>
    <w:rsid w:val="3E33432C"/>
    <w:rsid w:val="3E497961"/>
    <w:rsid w:val="3E5D232A"/>
    <w:rsid w:val="3F05646B"/>
    <w:rsid w:val="3FA97382"/>
    <w:rsid w:val="41715B61"/>
    <w:rsid w:val="44B9151A"/>
    <w:rsid w:val="44C646BA"/>
    <w:rsid w:val="461530AA"/>
    <w:rsid w:val="46431B88"/>
    <w:rsid w:val="467C1557"/>
    <w:rsid w:val="48406FA3"/>
    <w:rsid w:val="49BC6FEF"/>
    <w:rsid w:val="4B550C98"/>
    <w:rsid w:val="4C0A4047"/>
    <w:rsid w:val="4C2E1330"/>
    <w:rsid w:val="4C57636F"/>
    <w:rsid w:val="4E3B3EF4"/>
    <w:rsid w:val="4F385221"/>
    <w:rsid w:val="4F8D236E"/>
    <w:rsid w:val="52225C90"/>
    <w:rsid w:val="526828D5"/>
    <w:rsid w:val="53041EA4"/>
    <w:rsid w:val="5346377E"/>
    <w:rsid w:val="5359507A"/>
    <w:rsid w:val="537A68E4"/>
    <w:rsid w:val="537D70F7"/>
    <w:rsid w:val="54331A41"/>
    <w:rsid w:val="54F75FEC"/>
    <w:rsid w:val="55BD2CCA"/>
    <w:rsid w:val="56F51DCA"/>
    <w:rsid w:val="572841C2"/>
    <w:rsid w:val="578731B9"/>
    <w:rsid w:val="57A53BC8"/>
    <w:rsid w:val="594A21B8"/>
    <w:rsid w:val="599E5E1E"/>
    <w:rsid w:val="5A555DDB"/>
    <w:rsid w:val="5AA532B9"/>
    <w:rsid w:val="5AD20125"/>
    <w:rsid w:val="5D1D693C"/>
    <w:rsid w:val="5D2F55D3"/>
    <w:rsid w:val="5D846366"/>
    <w:rsid w:val="5DFA3B35"/>
    <w:rsid w:val="61B1027E"/>
    <w:rsid w:val="63621685"/>
    <w:rsid w:val="651C687D"/>
    <w:rsid w:val="65CF1B27"/>
    <w:rsid w:val="65E17231"/>
    <w:rsid w:val="6629174D"/>
    <w:rsid w:val="6695000B"/>
    <w:rsid w:val="67485E9C"/>
    <w:rsid w:val="67B10BD0"/>
    <w:rsid w:val="686673F9"/>
    <w:rsid w:val="697C05C7"/>
    <w:rsid w:val="69B461FD"/>
    <w:rsid w:val="6B373847"/>
    <w:rsid w:val="6C203025"/>
    <w:rsid w:val="6C8E2B5A"/>
    <w:rsid w:val="6D6B6D90"/>
    <w:rsid w:val="6DE45B07"/>
    <w:rsid w:val="6EDD79F7"/>
    <w:rsid w:val="70297E02"/>
    <w:rsid w:val="70597ECA"/>
    <w:rsid w:val="71CC0A0F"/>
    <w:rsid w:val="71EA3503"/>
    <w:rsid w:val="73176C0B"/>
    <w:rsid w:val="7359692B"/>
    <w:rsid w:val="7425690B"/>
    <w:rsid w:val="746E5736"/>
    <w:rsid w:val="75FD58C2"/>
    <w:rsid w:val="76067F3D"/>
    <w:rsid w:val="76AF66DE"/>
    <w:rsid w:val="772549AA"/>
    <w:rsid w:val="777509E8"/>
    <w:rsid w:val="77B671D2"/>
    <w:rsid w:val="77E365C8"/>
    <w:rsid w:val="78EC62CF"/>
    <w:rsid w:val="78FE11C1"/>
    <w:rsid w:val="792376E1"/>
    <w:rsid w:val="79241C72"/>
    <w:rsid w:val="79C0032F"/>
    <w:rsid w:val="79C603AF"/>
    <w:rsid w:val="7AF272FC"/>
    <w:rsid w:val="7B714D2C"/>
    <w:rsid w:val="7C11084C"/>
    <w:rsid w:val="7D137B15"/>
    <w:rsid w:val="7D6E4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qFormat="1" w:unhideWhenUsed="0" w:uiPriority="0" w:semiHidden="0"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qFormat="1" w:unhideWhenUsed="0" w:uiPriority="99" w:name="envelope address"/>
    <w:lsdException w:qFormat="1" w:unhideWhenUsed="0" w:uiPriority="99" w:name="envelope return"/>
    <w:lsdException w:uiPriority="99" w:name="footnote reference" w:locked="1"/>
    <w:lsdException w:qFormat="1" w:unhideWhenUsed="0" w:uiPriority="0"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qFormat="1" w:unhideWhenUsed="0" w:uiPriority="99" w:name="table of authorities"/>
    <w:lsdException w:uiPriority="99" w:name="macro" w:locked="1"/>
    <w:lsdException w:qFormat="1" w:unhideWhenUsed="0" w:uiPriority="99" w:name="toa heading"/>
    <w:lsdException w:qFormat="1" w:unhideWhenUsed="0" w:uiPriority="99" w:semiHidden="0" w:name="List"/>
    <w:lsdException w:qFormat="1" w:unhideWhenUsed="0" w:uiPriority="99" w:name="List Bullet"/>
    <w:lsdException w:qFormat="1" w:unhideWhenUsed="0"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name="List Bullet 2"/>
    <w:lsdException w:qFormat="1" w:unhideWhenUsed="0" w:uiPriority="99" w:name="List Bullet 3"/>
    <w:lsdException w:qFormat="1" w:unhideWhenUsed="0" w:uiPriority="99" w:name="List Bullet 4"/>
    <w:lsdException w:qFormat="1" w:unhideWhenUsed="0" w:uiPriority="99" w:name="List Bullet 5"/>
    <w:lsdException w:qFormat="1" w:unhideWhenUsed="0" w:uiPriority="99" w:name="List Number 2"/>
    <w:lsdException w:qFormat="1" w:unhideWhenUsed="0" w:uiPriority="99" w:name="List Number 3"/>
    <w:lsdException w:qFormat="1" w:unhideWhenUsed="0" w:uiPriority="99" w:name="List Number 4"/>
    <w:lsdException w:qFormat="1" w:unhideWhenUsed="0" w:uiPriority="99" w:name="List Number 5"/>
    <w:lsdException w:qFormat="1" w:unhideWhenUsed="0" w:uiPriority="99" w:semiHidden="0" w:name="Title"/>
    <w:lsdException w:qFormat="1" w:unhideWhenUsed="0" w:uiPriority="99" w:name="Closing"/>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name="List Continue 5"/>
    <w:lsdException w:qFormat="1" w:unhideWhenUsed="0" w:uiPriority="99" w:name="Message Header"/>
    <w:lsdException w:qFormat="1" w:unhideWhenUsed="0" w:uiPriority="99" w:semiHidden="0" w:name="Subtitle"/>
    <w:lsdException w:qFormat="1" w:unhideWhenUsed="0" w:uiPriority="99" w:name="Salutation"/>
    <w:lsdException w:qFormat="1" w:unhideWhenUsed="0" w:uiPriority="99" w:semiHidden="0" w:name="Date"/>
    <w:lsdException w:qFormat="1" w:unhideWhenUsed="0" w:uiPriority="99" w:semiHidden="0" w:name="Body Text First Indent"/>
    <w:lsdException w:qFormat="1" w:unhideWhenUsed="0" w:uiPriority="99" w:name="Body Text First Indent 2"/>
    <w:lsdException w:qFormat="1" w:unhideWhenUsed="0"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name="Block Text"/>
    <w:lsdException w:qFormat="1" w:unhideWhenUsed="0" w:uiPriority="99" w:semiHidden="0" w:name="Hyperlink"/>
    <w:lsdException w:qFormat="1" w:uiPriority="99" w:semiHidden="0"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qFormat="1" w:unhideWhenUsed="0" w:uiPriority="99" w:name="E-mail Signature"/>
    <w:lsdException w:qFormat="1" w:unhideWhenUsed="0" w:uiPriority="99" w:semiHidden="0" w:name="Normal (Web)"/>
    <w:lsdException w:qFormat="1" w:unhideWhenUsed="0" w:uiPriority="99" w:name="HTML Acronym"/>
    <w:lsdException w:qFormat="1" w:unhideWhenUsed="0" w:uiPriority="99" w:name="HTML Address"/>
    <w:lsdException w:qFormat="1" w:unhideWhenUsed="0" w:uiPriority="99" w:name="HTML Cite"/>
    <w:lsdException w:qFormat="1" w:unhideWhenUsed="0" w:uiPriority="99" w:name="HTML Code"/>
    <w:lsdException w:qFormat="1" w:unhideWhenUsed="0" w:uiPriority="99" w:name="HTML Definition"/>
    <w:lsdException w:qFormat="1" w:unhideWhenUsed="0" w:uiPriority="99" w:name="HTML Keyboard"/>
    <w:lsdException w:qFormat="1" w:unhideWhenUsed="0" w:uiPriority="99" w:name="HTML Preformatted"/>
    <w:lsdException w:qFormat="1" w:unhideWhenUsed="0" w:uiPriority="99" w:name="HTML Sample"/>
    <w:lsdException w:qFormat="1" w:unhideWhenUsed="0" w:uiPriority="99" w:name="HTML Typewriter"/>
    <w:lsdException w:qFormat="1" w:unhideWhenUsed="0" w:uiPriority="99" w:name="HTML Variable"/>
    <w:lsdException w:qFormat="1" w:uiPriority="99" w:semiHidden="0" w:name="Normal Table"/>
    <w:lsdException w:qFormat="1" w:unhideWhenUsed="0" w:uiPriority="99" w:name="annotation subject"/>
    <w:lsdException w:qFormat="1" w:unhideWhenUsed="0" w:uiPriority="99" w:name="Table Simple 1"/>
    <w:lsdException w:qFormat="1" w:unhideWhenUsed="0" w:uiPriority="99" w:name="Table Simple 2"/>
    <w:lsdException w:qFormat="1" w:unhideWhenUsed="0" w:uiPriority="99" w:name="Table Simple 3"/>
    <w:lsdException w:qFormat="1" w:unhideWhenUsed="0" w:uiPriority="99" w:name="Table Classic 1"/>
    <w:lsdException w:qFormat="1" w:unhideWhenUsed="0" w:uiPriority="99" w:name="Table Classic 2"/>
    <w:lsdException w:qFormat="1" w:unhideWhenUsed="0" w:uiPriority="99" w:name="Table Classic 3"/>
    <w:lsdException w:qFormat="1" w:unhideWhenUsed="0" w:uiPriority="99" w:name="Table Classic 4"/>
    <w:lsdException w:qFormat="1" w:unhideWhenUsed="0" w:uiPriority="99" w:name="Table Colorful 1"/>
    <w:lsdException w:qFormat="1" w:unhideWhenUsed="0" w:uiPriority="99" w:name="Table Colorful 2"/>
    <w:lsdException w:qFormat="1" w:unhideWhenUsed="0" w:uiPriority="99" w:name="Table Colorful 3"/>
    <w:lsdException w:qFormat="1" w:unhideWhenUsed="0" w:uiPriority="99" w:name="Table Columns 1"/>
    <w:lsdException w:qFormat="1" w:unhideWhenUsed="0" w:uiPriority="99" w:name="Table Columns 2"/>
    <w:lsdException w:qFormat="1" w:unhideWhenUsed="0" w:uiPriority="99" w:name="Table Columns 3"/>
    <w:lsdException w:qFormat="1" w:unhideWhenUsed="0" w:uiPriority="99" w:name="Table Columns 4"/>
    <w:lsdException w:qFormat="1" w:unhideWhenUsed="0" w:uiPriority="99" w:name="Table Columns 5"/>
    <w:lsdException w:qFormat="1" w:unhideWhenUsed="0" w:uiPriority="99" w:name="Table Grid 1"/>
    <w:lsdException w:qFormat="1" w:unhideWhenUsed="0" w:uiPriority="99" w:name="Table Grid 2"/>
    <w:lsdException w:qFormat="1" w:unhideWhenUsed="0" w:uiPriority="99" w:name="Table Grid 3"/>
    <w:lsdException w:qFormat="1" w:unhideWhenUsed="0" w:uiPriority="99" w:name="Table Grid 4"/>
    <w:lsdException w:qFormat="1" w:unhideWhenUsed="0" w:uiPriority="99" w:name="Table Grid 5"/>
    <w:lsdException w:qFormat="1" w:unhideWhenUsed="0" w:uiPriority="99" w:name="Table Grid 6"/>
    <w:lsdException w:qFormat="1" w:unhideWhenUsed="0" w:uiPriority="99" w:name="Table Grid 7"/>
    <w:lsdException w:qFormat="1" w:unhideWhenUsed="0" w:uiPriority="99" w:name="Table Grid 8"/>
    <w:lsdException w:qFormat="1" w:unhideWhenUsed="0" w:uiPriority="99" w:name="Table List 1"/>
    <w:lsdException w:qFormat="1" w:unhideWhenUsed="0" w:uiPriority="99" w:name="Table List 2"/>
    <w:lsdException w:qFormat="1" w:unhideWhenUsed="0" w:uiPriority="99" w:name="Table List 3"/>
    <w:lsdException w:qFormat="1" w:unhideWhenUsed="0" w:uiPriority="99" w:name="Table List 4"/>
    <w:lsdException w:qFormat="1" w:unhideWhenUsed="0" w:uiPriority="99" w:name="Table List 5"/>
    <w:lsdException w:qFormat="1" w:unhideWhenUsed="0" w:uiPriority="99" w:name="Table List 6"/>
    <w:lsdException w:qFormat="1" w:unhideWhenUsed="0" w:uiPriority="99" w:name="Table List 7"/>
    <w:lsdException w:qFormat="1" w:unhideWhenUsed="0" w:uiPriority="99" w:name="Table List 8"/>
    <w:lsdException w:qFormat="1" w:unhideWhenUsed="0" w:uiPriority="99" w:name="Table 3D effects 1"/>
    <w:lsdException w:qFormat="1" w:unhideWhenUsed="0" w:uiPriority="99" w:name="Table 3D effects 2"/>
    <w:lsdException w:qFormat="1" w:unhideWhenUsed="0" w:uiPriority="99" w:name="Table 3D effects 3"/>
    <w:lsdException w:qFormat="1" w:unhideWhenUsed="0" w:uiPriority="99" w:name="Table Contemporary"/>
    <w:lsdException w:qFormat="1" w:unhideWhenUsed="0" w:uiPriority="99" w:name="Table Elegant"/>
    <w:lsdException w:qFormat="1" w:unhideWhenUsed="0" w:uiPriority="99" w:name="Table Professional"/>
    <w:lsdException w:qFormat="1" w:unhideWhenUsed="0" w:uiPriority="99" w:name="Table Subtle 1"/>
    <w:lsdException w:qFormat="1" w:unhideWhenUsed="0" w:uiPriority="99" w:name="Table Subtle 2"/>
    <w:lsdException w:qFormat="1" w:unhideWhenUsed="0" w:uiPriority="99" w:name="Table Web 1"/>
    <w:lsdException w:qFormat="1" w:unhideWhenUsed="0" w:uiPriority="99" w:name="Table Web 2"/>
    <w:lsdException w:qFormat="1" w:unhideWhenUsed="0" w:uiPriority="99" w:name="Table Web 3"/>
    <w:lsdException w:qFormat="1" w:unhideWhenUsed="0" w:uiPriority="99" w:semiHidden="0" w:name="Balloon Text"/>
    <w:lsdException w:qFormat="1" w:unhideWhenUsed="0" w:uiPriority="99" w:semiHidden="0" w:name="Table Grid"/>
    <w:lsdException w:qFormat="1" w:unhideWhenUsed="0"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2"/>
    <w:qFormat/>
    <w:uiPriority w:val="99"/>
    <w:pPr>
      <w:keepNext/>
      <w:keepLines/>
      <w:spacing w:before="340" w:after="330" w:line="578" w:lineRule="auto"/>
      <w:outlineLvl w:val="0"/>
    </w:pPr>
    <w:rPr>
      <w:b/>
      <w:kern w:val="44"/>
      <w:sz w:val="44"/>
      <w:szCs w:val="20"/>
    </w:rPr>
  </w:style>
  <w:style w:type="paragraph" w:styleId="4">
    <w:name w:val="heading 2"/>
    <w:basedOn w:val="1"/>
    <w:next w:val="1"/>
    <w:link w:val="170"/>
    <w:qFormat/>
    <w:uiPriority w:val="99"/>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1"/>
    <w:link w:val="167"/>
    <w:qFormat/>
    <w:uiPriority w:val="99"/>
    <w:pPr>
      <w:keepNext/>
      <w:keepLines/>
      <w:spacing w:before="260" w:after="260" w:line="416" w:lineRule="auto"/>
      <w:outlineLvl w:val="2"/>
    </w:pPr>
    <w:rPr>
      <w:b/>
      <w:kern w:val="0"/>
      <w:sz w:val="32"/>
      <w:szCs w:val="20"/>
    </w:rPr>
  </w:style>
  <w:style w:type="paragraph" w:styleId="6">
    <w:name w:val="heading 4"/>
    <w:basedOn w:val="1"/>
    <w:next w:val="1"/>
    <w:link w:val="169"/>
    <w:qFormat/>
    <w:uiPriority w:val="99"/>
    <w:pPr>
      <w:keepNext/>
      <w:keepLines/>
      <w:spacing w:before="280" w:after="290" w:line="376" w:lineRule="auto"/>
      <w:outlineLvl w:val="3"/>
    </w:pPr>
    <w:rPr>
      <w:rFonts w:ascii="Arial" w:hAnsi="Arial" w:eastAsia="黑体"/>
      <w:b/>
      <w:kern w:val="0"/>
      <w:sz w:val="28"/>
      <w:szCs w:val="20"/>
    </w:rPr>
  </w:style>
  <w:style w:type="paragraph" w:styleId="7">
    <w:name w:val="heading 5"/>
    <w:basedOn w:val="1"/>
    <w:next w:val="1"/>
    <w:link w:val="149"/>
    <w:qFormat/>
    <w:uiPriority w:val="99"/>
    <w:pPr>
      <w:keepNext/>
      <w:keepLines/>
      <w:spacing w:before="280" w:after="290" w:line="376" w:lineRule="auto"/>
      <w:outlineLvl w:val="4"/>
    </w:pPr>
    <w:rPr>
      <w:b/>
      <w:kern w:val="0"/>
      <w:sz w:val="28"/>
      <w:szCs w:val="20"/>
    </w:rPr>
  </w:style>
  <w:style w:type="paragraph" w:styleId="8">
    <w:name w:val="heading 6"/>
    <w:basedOn w:val="1"/>
    <w:next w:val="1"/>
    <w:link w:val="191"/>
    <w:qFormat/>
    <w:uiPriority w:val="99"/>
    <w:pPr>
      <w:keepNext/>
      <w:keepLines/>
      <w:spacing w:before="240" w:after="64" w:line="320" w:lineRule="auto"/>
      <w:outlineLvl w:val="5"/>
    </w:pPr>
    <w:rPr>
      <w:rFonts w:ascii="Arial" w:hAnsi="Arial" w:eastAsia="黑体"/>
      <w:b/>
      <w:kern w:val="0"/>
      <w:sz w:val="20"/>
      <w:szCs w:val="20"/>
    </w:rPr>
  </w:style>
  <w:style w:type="paragraph" w:styleId="9">
    <w:name w:val="heading 7"/>
    <w:basedOn w:val="1"/>
    <w:next w:val="1"/>
    <w:link w:val="154"/>
    <w:qFormat/>
    <w:uiPriority w:val="99"/>
    <w:pPr>
      <w:keepNext/>
      <w:keepLines/>
      <w:spacing w:before="240" w:after="64" w:line="320" w:lineRule="auto"/>
      <w:jc w:val="left"/>
      <w:outlineLvl w:val="6"/>
    </w:pPr>
    <w:rPr>
      <w:b/>
      <w:kern w:val="0"/>
      <w:sz w:val="24"/>
      <w:szCs w:val="20"/>
    </w:rPr>
  </w:style>
  <w:style w:type="paragraph" w:styleId="10">
    <w:name w:val="heading 8"/>
    <w:basedOn w:val="1"/>
    <w:next w:val="1"/>
    <w:link w:val="144"/>
    <w:qFormat/>
    <w:uiPriority w:val="99"/>
    <w:pPr>
      <w:keepNext/>
      <w:keepLines/>
      <w:tabs>
        <w:tab w:val="left" w:pos="1440"/>
      </w:tabs>
      <w:adjustRightInd w:val="0"/>
      <w:spacing w:line="360" w:lineRule="atLeast"/>
      <w:ind w:left="1440" w:hanging="1440"/>
      <w:outlineLvl w:val="7"/>
    </w:pPr>
    <w:rPr>
      <w:rFonts w:ascii="Cambria" w:hAnsi="Cambria"/>
      <w:kern w:val="0"/>
      <w:sz w:val="24"/>
      <w:szCs w:val="20"/>
    </w:rPr>
  </w:style>
  <w:style w:type="paragraph" w:styleId="11">
    <w:name w:val="heading 9"/>
    <w:basedOn w:val="1"/>
    <w:next w:val="1"/>
    <w:link w:val="194"/>
    <w:qFormat/>
    <w:uiPriority w:val="99"/>
    <w:pPr>
      <w:keepNext/>
      <w:keepLines/>
      <w:tabs>
        <w:tab w:val="left" w:pos="1584"/>
      </w:tabs>
      <w:adjustRightInd w:val="0"/>
      <w:spacing w:line="360" w:lineRule="atLeast"/>
      <w:ind w:left="1584" w:hanging="1584"/>
      <w:outlineLvl w:val="8"/>
    </w:pPr>
    <w:rPr>
      <w:rFonts w:ascii="Cambria" w:hAnsi="Cambria"/>
      <w:kern w:val="0"/>
      <w:szCs w:val="20"/>
    </w:rPr>
  </w:style>
  <w:style w:type="character" w:default="1" w:styleId="115">
    <w:name w:val="Default Paragraph Font"/>
    <w:unhideWhenUsed/>
    <w:qFormat/>
    <w:uiPriority w:val="1"/>
  </w:style>
  <w:style w:type="table" w:default="1" w:styleId="73">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173"/>
    <w:qFormat/>
    <w:uiPriority w:val="99"/>
    <w:pPr>
      <w:spacing w:after="120"/>
    </w:pPr>
    <w:rPr>
      <w:kern w:val="0"/>
      <w:sz w:val="24"/>
      <w:szCs w:val="20"/>
    </w:rPr>
  </w:style>
  <w:style w:type="paragraph" w:styleId="12">
    <w:name w:val="List 3"/>
    <w:basedOn w:val="1"/>
    <w:qFormat/>
    <w:uiPriority w:val="99"/>
    <w:pPr>
      <w:ind w:left="100" w:leftChars="400" w:hanging="200" w:hangingChars="200"/>
    </w:pPr>
  </w:style>
  <w:style w:type="paragraph" w:styleId="13">
    <w:name w:val="toc 7"/>
    <w:basedOn w:val="1"/>
    <w:next w:val="1"/>
    <w:semiHidden/>
    <w:qFormat/>
    <w:uiPriority w:val="99"/>
    <w:pPr>
      <w:ind w:left="1260"/>
      <w:jc w:val="left"/>
    </w:pPr>
    <w:rPr>
      <w:sz w:val="18"/>
      <w:szCs w:val="18"/>
    </w:rPr>
  </w:style>
  <w:style w:type="paragraph" w:styleId="14">
    <w:name w:val="List Number 2"/>
    <w:basedOn w:val="1"/>
    <w:semiHidden/>
    <w:qFormat/>
    <w:uiPriority w:val="99"/>
    <w:pPr>
      <w:tabs>
        <w:tab w:val="left" w:pos="780"/>
      </w:tabs>
      <w:spacing w:after="200" w:line="276" w:lineRule="auto"/>
      <w:ind w:left="780" w:leftChars="200" w:hanging="360" w:hangingChars="200"/>
      <w:jc w:val="left"/>
    </w:pPr>
    <w:rPr>
      <w:rFonts w:ascii="Calibri" w:hAnsi="Calibri"/>
      <w:kern w:val="0"/>
      <w:sz w:val="22"/>
      <w:szCs w:val="22"/>
      <w:lang w:eastAsia="en-US"/>
    </w:rPr>
  </w:style>
  <w:style w:type="paragraph" w:styleId="15">
    <w:name w:val="table of authorities"/>
    <w:basedOn w:val="1"/>
    <w:next w:val="1"/>
    <w:semiHidden/>
    <w:qFormat/>
    <w:uiPriority w:val="99"/>
    <w:pPr>
      <w:spacing w:after="200" w:line="276" w:lineRule="auto"/>
      <w:ind w:left="420" w:leftChars="200"/>
      <w:jc w:val="left"/>
    </w:pPr>
    <w:rPr>
      <w:rFonts w:ascii="Calibri" w:hAnsi="Calibri"/>
      <w:kern w:val="0"/>
      <w:sz w:val="22"/>
      <w:szCs w:val="22"/>
      <w:lang w:eastAsia="en-US"/>
    </w:rPr>
  </w:style>
  <w:style w:type="paragraph" w:styleId="16">
    <w:name w:val="Note Heading"/>
    <w:basedOn w:val="1"/>
    <w:next w:val="1"/>
    <w:link w:val="146"/>
    <w:semiHidden/>
    <w:qFormat/>
    <w:uiPriority w:val="99"/>
    <w:pPr>
      <w:spacing w:after="200" w:line="276" w:lineRule="auto"/>
      <w:jc w:val="center"/>
    </w:pPr>
    <w:rPr>
      <w:kern w:val="0"/>
      <w:sz w:val="24"/>
      <w:szCs w:val="20"/>
    </w:rPr>
  </w:style>
  <w:style w:type="paragraph" w:styleId="17">
    <w:name w:val="List Bullet 4"/>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18">
    <w:name w:val="E-mail Signature"/>
    <w:basedOn w:val="1"/>
    <w:link w:val="168"/>
    <w:semiHidden/>
    <w:qFormat/>
    <w:uiPriority w:val="99"/>
    <w:pPr>
      <w:spacing w:after="200" w:line="276" w:lineRule="auto"/>
      <w:jc w:val="left"/>
    </w:pPr>
    <w:rPr>
      <w:kern w:val="0"/>
      <w:sz w:val="24"/>
      <w:szCs w:val="20"/>
    </w:rPr>
  </w:style>
  <w:style w:type="paragraph" w:styleId="19">
    <w:name w:val="List Number"/>
    <w:basedOn w:val="1"/>
    <w:semiHidden/>
    <w:qFormat/>
    <w:uiPriority w:val="99"/>
    <w:pPr>
      <w:tabs>
        <w:tab w:val="left" w:pos="360"/>
      </w:tabs>
      <w:spacing w:after="200" w:line="276" w:lineRule="auto"/>
      <w:ind w:left="360" w:hanging="360" w:hangingChars="200"/>
      <w:jc w:val="left"/>
    </w:pPr>
    <w:rPr>
      <w:rFonts w:ascii="Calibri" w:hAnsi="Calibri"/>
      <w:kern w:val="0"/>
      <w:sz w:val="22"/>
      <w:szCs w:val="22"/>
      <w:lang w:eastAsia="en-US"/>
    </w:rPr>
  </w:style>
  <w:style w:type="paragraph" w:styleId="20">
    <w:name w:val="Normal Indent"/>
    <w:basedOn w:val="1"/>
    <w:link w:val="198"/>
    <w:qFormat/>
    <w:uiPriority w:val="99"/>
    <w:pPr>
      <w:ind w:firstLine="420" w:firstLineChars="200"/>
    </w:pPr>
    <w:rPr>
      <w:kern w:val="0"/>
      <w:szCs w:val="20"/>
    </w:rPr>
  </w:style>
  <w:style w:type="paragraph" w:styleId="21">
    <w:name w:val="caption"/>
    <w:basedOn w:val="1"/>
    <w:next w:val="1"/>
    <w:qFormat/>
    <w:uiPriority w:val="99"/>
    <w:pPr>
      <w:spacing w:before="152" w:after="160"/>
    </w:pPr>
    <w:rPr>
      <w:rFonts w:ascii="Arial" w:hAnsi="Arial" w:eastAsia="黑体" w:cs="Arial"/>
      <w:sz w:val="20"/>
      <w:szCs w:val="20"/>
    </w:rPr>
  </w:style>
  <w:style w:type="paragraph" w:styleId="22">
    <w:name w:val="List Bullet"/>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23">
    <w:name w:val="envelope address"/>
    <w:basedOn w:val="1"/>
    <w:semiHidden/>
    <w:qFormat/>
    <w:uiPriority w:val="99"/>
    <w:pPr>
      <w:framePr w:w="7920" w:h="1980" w:hRule="exact" w:hSpace="180" w:wrap="around" w:vAnchor="margin" w:hAnchor="page" w:xAlign="center" w:yAlign="bottom"/>
      <w:snapToGrid w:val="0"/>
      <w:spacing w:after="200" w:line="276" w:lineRule="auto"/>
      <w:ind w:left="100" w:leftChars="1400"/>
      <w:jc w:val="left"/>
    </w:pPr>
    <w:rPr>
      <w:rFonts w:ascii="Arial" w:hAnsi="Arial" w:cs="Arial"/>
      <w:kern w:val="0"/>
      <w:sz w:val="24"/>
      <w:lang w:eastAsia="en-US"/>
    </w:rPr>
  </w:style>
  <w:style w:type="paragraph" w:styleId="24">
    <w:name w:val="Document Map"/>
    <w:basedOn w:val="1"/>
    <w:link w:val="184"/>
    <w:semiHidden/>
    <w:qFormat/>
    <w:uiPriority w:val="99"/>
    <w:pPr>
      <w:shd w:val="clear" w:color="auto" w:fill="000080"/>
    </w:pPr>
    <w:rPr>
      <w:kern w:val="0"/>
      <w:sz w:val="2"/>
      <w:szCs w:val="20"/>
    </w:rPr>
  </w:style>
  <w:style w:type="paragraph" w:styleId="25">
    <w:name w:val="toa heading"/>
    <w:basedOn w:val="1"/>
    <w:next w:val="1"/>
    <w:semiHidden/>
    <w:qFormat/>
    <w:uiPriority w:val="99"/>
    <w:pPr>
      <w:spacing w:before="120"/>
    </w:pPr>
    <w:rPr>
      <w:rFonts w:ascii="Arial" w:hAnsi="Arial"/>
      <w:sz w:val="24"/>
      <w:szCs w:val="20"/>
    </w:rPr>
  </w:style>
  <w:style w:type="paragraph" w:styleId="26">
    <w:name w:val="annotation text"/>
    <w:basedOn w:val="1"/>
    <w:link w:val="193"/>
    <w:qFormat/>
    <w:uiPriority w:val="99"/>
    <w:pPr>
      <w:spacing w:after="200" w:line="276" w:lineRule="auto"/>
      <w:jc w:val="left"/>
    </w:pPr>
    <w:rPr>
      <w:kern w:val="0"/>
      <w:sz w:val="24"/>
      <w:szCs w:val="20"/>
    </w:rPr>
  </w:style>
  <w:style w:type="paragraph" w:styleId="27">
    <w:name w:val="Salutation"/>
    <w:basedOn w:val="1"/>
    <w:next w:val="1"/>
    <w:link w:val="197"/>
    <w:semiHidden/>
    <w:qFormat/>
    <w:uiPriority w:val="99"/>
    <w:pPr>
      <w:spacing w:after="200" w:line="276" w:lineRule="auto"/>
      <w:jc w:val="left"/>
    </w:pPr>
    <w:rPr>
      <w:kern w:val="0"/>
      <w:sz w:val="24"/>
      <w:szCs w:val="20"/>
    </w:rPr>
  </w:style>
  <w:style w:type="paragraph" w:styleId="28">
    <w:name w:val="Body Text 3"/>
    <w:basedOn w:val="1"/>
    <w:link w:val="132"/>
    <w:qFormat/>
    <w:uiPriority w:val="99"/>
    <w:rPr>
      <w:kern w:val="0"/>
      <w:sz w:val="16"/>
      <w:szCs w:val="20"/>
    </w:rPr>
  </w:style>
  <w:style w:type="paragraph" w:styleId="29">
    <w:name w:val="Closing"/>
    <w:basedOn w:val="1"/>
    <w:link w:val="192"/>
    <w:semiHidden/>
    <w:qFormat/>
    <w:uiPriority w:val="99"/>
    <w:pPr>
      <w:spacing w:after="200" w:line="276" w:lineRule="auto"/>
      <w:ind w:left="100" w:leftChars="2100"/>
      <w:jc w:val="left"/>
    </w:pPr>
    <w:rPr>
      <w:kern w:val="0"/>
      <w:sz w:val="24"/>
      <w:szCs w:val="20"/>
    </w:rPr>
  </w:style>
  <w:style w:type="paragraph" w:styleId="30">
    <w:name w:val="List Bullet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1">
    <w:name w:val="Body Text Indent"/>
    <w:basedOn w:val="1"/>
    <w:link w:val="142"/>
    <w:qFormat/>
    <w:uiPriority w:val="99"/>
    <w:pPr>
      <w:spacing w:line="500" w:lineRule="exact"/>
      <w:ind w:left="1588" w:leftChars="832" w:firstLine="433" w:firstLineChars="196"/>
    </w:pPr>
    <w:rPr>
      <w:kern w:val="0"/>
      <w:sz w:val="24"/>
      <w:szCs w:val="20"/>
    </w:rPr>
  </w:style>
  <w:style w:type="paragraph" w:styleId="32">
    <w:name w:val="List Number 3"/>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3">
    <w:name w:val="List 2"/>
    <w:basedOn w:val="1"/>
    <w:qFormat/>
    <w:uiPriority w:val="99"/>
    <w:pPr>
      <w:ind w:left="100" w:leftChars="200" w:hanging="200" w:hangingChars="200"/>
    </w:pPr>
  </w:style>
  <w:style w:type="paragraph" w:styleId="34">
    <w:name w:val="List Continue"/>
    <w:basedOn w:val="1"/>
    <w:qFormat/>
    <w:uiPriority w:val="99"/>
    <w:pPr>
      <w:spacing w:after="120"/>
      <w:ind w:left="420" w:leftChars="200"/>
    </w:pPr>
  </w:style>
  <w:style w:type="paragraph" w:styleId="35">
    <w:name w:val="Block Text"/>
    <w:basedOn w:val="1"/>
    <w:semiHidden/>
    <w:qFormat/>
    <w:uiPriority w:val="99"/>
    <w:pPr>
      <w:spacing w:after="120" w:line="276" w:lineRule="auto"/>
      <w:ind w:left="1440" w:leftChars="700" w:right="1440" w:rightChars="700"/>
      <w:jc w:val="left"/>
    </w:pPr>
    <w:rPr>
      <w:rFonts w:ascii="Calibri" w:hAnsi="Calibri"/>
      <w:kern w:val="0"/>
      <w:sz w:val="22"/>
      <w:szCs w:val="22"/>
      <w:lang w:eastAsia="en-US"/>
    </w:rPr>
  </w:style>
  <w:style w:type="paragraph" w:styleId="36">
    <w:name w:val="List Bullet 2"/>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37">
    <w:name w:val="HTML Address"/>
    <w:basedOn w:val="1"/>
    <w:link w:val="196"/>
    <w:semiHidden/>
    <w:qFormat/>
    <w:uiPriority w:val="99"/>
    <w:pPr>
      <w:spacing w:after="200" w:line="276" w:lineRule="auto"/>
      <w:jc w:val="left"/>
    </w:pPr>
    <w:rPr>
      <w:i/>
      <w:kern w:val="0"/>
      <w:sz w:val="24"/>
      <w:szCs w:val="20"/>
    </w:rPr>
  </w:style>
  <w:style w:type="paragraph" w:styleId="38">
    <w:name w:val="index 4"/>
    <w:basedOn w:val="1"/>
    <w:next w:val="1"/>
    <w:qFormat/>
    <w:locked/>
    <w:uiPriority w:val="0"/>
    <w:pPr>
      <w:ind w:left="428" w:firstLine="140"/>
    </w:pPr>
    <w:rPr>
      <w:rFonts w:eastAsia="华文仿宋"/>
      <w:sz w:val="28"/>
    </w:rPr>
  </w:style>
  <w:style w:type="paragraph" w:styleId="39">
    <w:name w:val="toc 5"/>
    <w:basedOn w:val="1"/>
    <w:next w:val="1"/>
    <w:semiHidden/>
    <w:qFormat/>
    <w:uiPriority w:val="99"/>
    <w:pPr>
      <w:ind w:left="840"/>
      <w:jc w:val="left"/>
    </w:pPr>
    <w:rPr>
      <w:sz w:val="18"/>
      <w:szCs w:val="18"/>
    </w:rPr>
  </w:style>
  <w:style w:type="paragraph" w:styleId="40">
    <w:name w:val="toc 3"/>
    <w:basedOn w:val="1"/>
    <w:next w:val="1"/>
    <w:qFormat/>
    <w:uiPriority w:val="39"/>
    <w:pPr>
      <w:ind w:left="420"/>
      <w:jc w:val="left"/>
    </w:pPr>
    <w:rPr>
      <w:i/>
      <w:iCs/>
      <w:sz w:val="20"/>
      <w:szCs w:val="20"/>
    </w:rPr>
  </w:style>
  <w:style w:type="paragraph" w:styleId="41">
    <w:name w:val="Plain Text"/>
    <w:basedOn w:val="1"/>
    <w:link w:val="159"/>
    <w:qFormat/>
    <w:uiPriority w:val="99"/>
    <w:rPr>
      <w:rFonts w:ascii="宋体" w:hAnsi="Courier New"/>
      <w:kern w:val="0"/>
      <w:szCs w:val="20"/>
    </w:rPr>
  </w:style>
  <w:style w:type="paragraph" w:styleId="42">
    <w:name w:val="List Bullet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43">
    <w:name w:val="List Number 4"/>
    <w:basedOn w:val="1"/>
    <w:semiHidden/>
    <w:qFormat/>
    <w:uiPriority w:val="99"/>
    <w:pPr>
      <w:numPr>
        <w:ilvl w:val="0"/>
        <w:numId w:val="1"/>
      </w:numPr>
      <w:spacing w:after="200" w:line="276" w:lineRule="auto"/>
      <w:jc w:val="left"/>
    </w:pPr>
    <w:rPr>
      <w:rFonts w:ascii="Calibri" w:hAnsi="Calibri"/>
      <w:kern w:val="0"/>
      <w:sz w:val="22"/>
      <w:szCs w:val="22"/>
      <w:lang w:eastAsia="en-US"/>
    </w:rPr>
  </w:style>
  <w:style w:type="paragraph" w:styleId="44">
    <w:name w:val="toc 8"/>
    <w:basedOn w:val="1"/>
    <w:next w:val="1"/>
    <w:semiHidden/>
    <w:qFormat/>
    <w:uiPriority w:val="99"/>
    <w:pPr>
      <w:ind w:left="1470"/>
      <w:jc w:val="left"/>
    </w:pPr>
    <w:rPr>
      <w:sz w:val="18"/>
      <w:szCs w:val="18"/>
    </w:rPr>
  </w:style>
  <w:style w:type="paragraph" w:styleId="45">
    <w:name w:val="Date"/>
    <w:basedOn w:val="1"/>
    <w:next w:val="1"/>
    <w:link w:val="157"/>
    <w:qFormat/>
    <w:uiPriority w:val="99"/>
    <w:pPr>
      <w:ind w:left="100" w:leftChars="2500"/>
    </w:pPr>
    <w:rPr>
      <w:kern w:val="0"/>
      <w:sz w:val="24"/>
      <w:szCs w:val="20"/>
    </w:rPr>
  </w:style>
  <w:style w:type="paragraph" w:styleId="46">
    <w:name w:val="Body Text Indent 2"/>
    <w:basedOn w:val="1"/>
    <w:link w:val="202"/>
    <w:qFormat/>
    <w:uiPriority w:val="99"/>
    <w:pPr>
      <w:spacing w:line="500" w:lineRule="exact"/>
      <w:ind w:firstLine="442" w:firstLineChars="200"/>
    </w:pPr>
    <w:rPr>
      <w:kern w:val="0"/>
      <w:sz w:val="24"/>
      <w:szCs w:val="20"/>
    </w:rPr>
  </w:style>
  <w:style w:type="paragraph" w:styleId="47">
    <w:name w:val="List Continue 5"/>
    <w:basedOn w:val="1"/>
    <w:semiHidden/>
    <w:qFormat/>
    <w:uiPriority w:val="99"/>
    <w:pPr>
      <w:spacing w:after="120" w:line="276" w:lineRule="auto"/>
      <w:ind w:left="2100" w:leftChars="1000"/>
      <w:jc w:val="left"/>
    </w:pPr>
    <w:rPr>
      <w:rFonts w:ascii="Calibri" w:hAnsi="Calibri"/>
      <w:kern w:val="0"/>
      <w:sz w:val="22"/>
      <w:szCs w:val="22"/>
      <w:lang w:eastAsia="en-US"/>
    </w:rPr>
  </w:style>
  <w:style w:type="paragraph" w:styleId="48">
    <w:name w:val="Balloon Text"/>
    <w:basedOn w:val="1"/>
    <w:link w:val="165"/>
    <w:qFormat/>
    <w:uiPriority w:val="99"/>
    <w:rPr>
      <w:kern w:val="0"/>
      <w:sz w:val="2"/>
      <w:szCs w:val="20"/>
    </w:rPr>
  </w:style>
  <w:style w:type="paragraph" w:styleId="49">
    <w:name w:val="footer"/>
    <w:basedOn w:val="1"/>
    <w:link w:val="158"/>
    <w:qFormat/>
    <w:uiPriority w:val="99"/>
    <w:pPr>
      <w:tabs>
        <w:tab w:val="center" w:pos="4153"/>
        <w:tab w:val="right" w:pos="8306"/>
      </w:tabs>
      <w:snapToGrid w:val="0"/>
      <w:jc w:val="left"/>
    </w:pPr>
    <w:rPr>
      <w:kern w:val="0"/>
      <w:sz w:val="18"/>
      <w:szCs w:val="20"/>
    </w:rPr>
  </w:style>
  <w:style w:type="paragraph" w:styleId="50">
    <w:name w:val="envelope return"/>
    <w:basedOn w:val="1"/>
    <w:semiHidden/>
    <w:qFormat/>
    <w:uiPriority w:val="99"/>
    <w:pPr>
      <w:snapToGrid w:val="0"/>
      <w:spacing w:after="200" w:line="276" w:lineRule="auto"/>
      <w:jc w:val="left"/>
    </w:pPr>
    <w:rPr>
      <w:rFonts w:ascii="Arial" w:hAnsi="Arial" w:cs="Arial"/>
      <w:kern w:val="0"/>
      <w:sz w:val="22"/>
      <w:szCs w:val="22"/>
      <w:lang w:eastAsia="en-US"/>
    </w:rPr>
  </w:style>
  <w:style w:type="paragraph" w:styleId="51">
    <w:name w:val="header"/>
    <w:basedOn w:val="1"/>
    <w:link w:val="148"/>
    <w:qFormat/>
    <w:uiPriority w:val="99"/>
    <w:pPr>
      <w:pBdr>
        <w:bottom w:val="single" w:color="auto" w:sz="6" w:space="1"/>
      </w:pBdr>
      <w:tabs>
        <w:tab w:val="center" w:pos="4153"/>
        <w:tab w:val="right" w:pos="8306"/>
      </w:tabs>
      <w:snapToGrid w:val="0"/>
      <w:jc w:val="center"/>
    </w:pPr>
    <w:rPr>
      <w:kern w:val="0"/>
      <w:sz w:val="18"/>
      <w:szCs w:val="20"/>
    </w:rPr>
  </w:style>
  <w:style w:type="paragraph" w:styleId="52">
    <w:name w:val="Signature"/>
    <w:basedOn w:val="1"/>
    <w:link w:val="182"/>
    <w:qFormat/>
    <w:uiPriority w:val="99"/>
    <w:pPr>
      <w:ind w:left="100" w:leftChars="2100"/>
    </w:pPr>
    <w:rPr>
      <w:kern w:val="0"/>
      <w:sz w:val="24"/>
      <w:szCs w:val="20"/>
    </w:rPr>
  </w:style>
  <w:style w:type="paragraph" w:styleId="53">
    <w:name w:val="toc 1"/>
    <w:basedOn w:val="1"/>
    <w:next w:val="1"/>
    <w:qFormat/>
    <w:uiPriority w:val="39"/>
    <w:pPr>
      <w:spacing w:before="120" w:after="120"/>
      <w:jc w:val="left"/>
    </w:pPr>
    <w:rPr>
      <w:b/>
      <w:bCs/>
      <w:caps/>
      <w:sz w:val="20"/>
      <w:szCs w:val="20"/>
    </w:rPr>
  </w:style>
  <w:style w:type="paragraph" w:styleId="54">
    <w:name w:val="List Continue 4"/>
    <w:basedOn w:val="1"/>
    <w:qFormat/>
    <w:uiPriority w:val="99"/>
    <w:pPr>
      <w:spacing w:after="120"/>
      <w:ind w:left="1680" w:leftChars="800"/>
    </w:pPr>
  </w:style>
  <w:style w:type="paragraph" w:styleId="55">
    <w:name w:val="toc 4"/>
    <w:basedOn w:val="1"/>
    <w:next w:val="1"/>
    <w:semiHidden/>
    <w:qFormat/>
    <w:uiPriority w:val="99"/>
    <w:pPr>
      <w:ind w:left="630"/>
      <w:jc w:val="left"/>
    </w:pPr>
    <w:rPr>
      <w:sz w:val="18"/>
      <w:szCs w:val="18"/>
    </w:rPr>
  </w:style>
  <w:style w:type="paragraph" w:styleId="56">
    <w:name w:val="Subtitle"/>
    <w:basedOn w:val="1"/>
    <w:link w:val="141"/>
    <w:qFormat/>
    <w:uiPriority w:val="99"/>
    <w:pPr>
      <w:spacing w:before="240" w:after="60" w:line="312" w:lineRule="auto"/>
      <w:jc w:val="center"/>
      <w:outlineLvl w:val="1"/>
    </w:pPr>
    <w:rPr>
      <w:rFonts w:ascii="Cambria" w:hAnsi="Cambria"/>
      <w:b/>
      <w:kern w:val="28"/>
      <w:sz w:val="32"/>
      <w:szCs w:val="20"/>
    </w:rPr>
  </w:style>
  <w:style w:type="paragraph" w:styleId="57">
    <w:name w:val="List Number 5"/>
    <w:basedOn w:val="1"/>
    <w:semiHidden/>
    <w:qFormat/>
    <w:uiPriority w:val="99"/>
    <w:pPr>
      <w:tabs>
        <w:tab w:val="left" w:pos="360"/>
      </w:tabs>
      <w:spacing w:after="200" w:line="276" w:lineRule="auto"/>
      <w:ind w:left="360" w:hanging="360"/>
      <w:jc w:val="left"/>
    </w:pPr>
    <w:rPr>
      <w:rFonts w:ascii="Calibri" w:hAnsi="Calibri"/>
      <w:kern w:val="0"/>
      <w:sz w:val="22"/>
      <w:szCs w:val="22"/>
      <w:lang w:eastAsia="en-US"/>
    </w:rPr>
  </w:style>
  <w:style w:type="paragraph" w:styleId="58">
    <w:name w:val="List"/>
    <w:basedOn w:val="1"/>
    <w:qFormat/>
    <w:uiPriority w:val="99"/>
    <w:pPr>
      <w:ind w:left="200" w:hanging="200" w:hangingChars="200"/>
    </w:pPr>
  </w:style>
  <w:style w:type="paragraph" w:styleId="59">
    <w:name w:val="toc 6"/>
    <w:basedOn w:val="1"/>
    <w:next w:val="1"/>
    <w:semiHidden/>
    <w:qFormat/>
    <w:uiPriority w:val="99"/>
    <w:pPr>
      <w:ind w:left="1050"/>
      <w:jc w:val="left"/>
    </w:pPr>
    <w:rPr>
      <w:sz w:val="18"/>
      <w:szCs w:val="18"/>
    </w:rPr>
  </w:style>
  <w:style w:type="paragraph" w:styleId="60">
    <w:name w:val="List 5"/>
    <w:basedOn w:val="1"/>
    <w:qFormat/>
    <w:uiPriority w:val="99"/>
    <w:pPr>
      <w:ind w:left="100" w:leftChars="800" w:hanging="200" w:hangingChars="200"/>
    </w:pPr>
  </w:style>
  <w:style w:type="paragraph" w:styleId="61">
    <w:name w:val="Body Text Indent 3"/>
    <w:basedOn w:val="1"/>
    <w:link w:val="160"/>
    <w:qFormat/>
    <w:uiPriority w:val="99"/>
    <w:pPr>
      <w:tabs>
        <w:tab w:val="left" w:pos="1134"/>
        <w:tab w:val="left" w:pos="5481"/>
        <w:tab w:val="left" w:pos="5859"/>
      </w:tabs>
      <w:spacing w:line="500" w:lineRule="exact"/>
      <w:ind w:firstLine="8275" w:firstLineChars="1200"/>
    </w:pPr>
    <w:rPr>
      <w:kern w:val="0"/>
      <w:sz w:val="16"/>
      <w:szCs w:val="20"/>
    </w:rPr>
  </w:style>
  <w:style w:type="paragraph" w:styleId="62">
    <w:name w:val="toc 2"/>
    <w:basedOn w:val="1"/>
    <w:next w:val="1"/>
    <w:qFormat/>
    <w:uiPriority w:val="39"/>
    <w:pPr>
      <w:tabs>
        <w:tab w:val="right" w:leader="dot" w:pos="8597"/>
      </w:tabs>
      <w:spacing w:line="360" w:lineRule="auto"/>
      <w:ind w:left="210"/>
      <w:jc w:val="left"/>
    </w:pPr>
    <w:rPr>
      <w:smallCaps/>
      <w:sz w:val="20"/>
      <w:szCs w:val="20"/>
    </w:rPr>
  </w:style>
  <w:style w:type="paragraph" w:styleId="63">
    <w:name w:val="toc 9"/>
    <w:basedOn w:val="1"/>
    <w:next w:val="1"/>
    <w:semiHidden/>
    <w:qFormat/>
    <w:uiPriority w:val="99"/>
    <w:pPr>
      <w:ind w:left="1680"/>
      <w:jc w:val="left"/>
    </w:pPr>
    <w:rPr>
      <w:sz w:val="18"/>
      <w:szCs w:val="18"/>
    </w:rPr>
  </w:style>
  <w:style w:type="paragraph" w:styleId="64">
    <w:name w:val="Body Text 2"/>
    <w:basedOn w:val="1"/>
    <w:link w:val="140"/>
    <w:qFormat/>
    <w:uiPriority w:val="99"/>
    <w:rPr>
      <w:kern w:val="0"/>
      <w:sz w:val="24"/>
      <w:szCs w:val="20"/>
    </w:rPr>
  </w:style>
  <w:style w:type="paragraph" w:styleId="65">
    <w:name w:val="List 4"/>
    <w:basedOn w:val="1"/>
    <w:qFormat/>
    <w:uiPriority w:val="99"/>
    <w:pPr>
      <w:ind w:left="100" w:leftChars="600" w:hanging="200" w:hangingChars="200"/>
    </w:pPr>
  </w:style>
  <w:style w:type="paragraph" w:styleId="66">
    <w:name w:val="List Continue 2"/>
    <w:basedOn w:val="1"/>
    <w:qFormat/>
    <w:uiPriority w:val="99"/>
    <w:pPr>
      <w:spacing w:after="120"/>
      <w:ind w:left="840" w:leftChars="400"/>
    </w:pPr>
  </w:style>
  <w:style w:type="paragraph" w:styleId="67">
    <w:name w:val="Message Header"/>
    <w:basedOn w:val="1"/>
    <w:link w:val="190"/>
    <w:semiHidden/>
    <w:qFormat/>
    <w:uiPriority w:val="99"/>
    <w:pPr>
      <w:pBdr>
        <w:top w:val="single" w:color="auto" w:sz="6" w:space="1"/>
        <w:left w:val="single" w:color="auto" w:sz="6" w:space="1"/>
        <w:bottom w:val="single" w:color="auto" w:sz="6" w:space="1"/>
        <w:right w:val="single" w:color="auto" w:sz="6" w:space="1"/>
      </w:pBdr>
      <w:shd w:val="pct20" w:color="auto" w:fill="auto"/>
      <w:spacing w:after="200" w:line="276" w:lineRule="auto"/>
      <w:ind w:left="1080" w:leftChars="500" w:hanging="1080" w:hangingChars="500"/>
      <w:jc w:val="left"/>
    </w:pPr>
    <w:rPr>
      <w:rFonts w:ascii="Cambria" w:hAnsi="Cambria"/>
      <w:kern w:val="0"/>
      <w:sz w:val="24"/>
      <w:szCs w:val="20"/>
    </w:rPr>
  </w:style>
  <w:style w:type="paragraph" w:styleId="68">
    <w:name w:val="HTML Preformatted"/>
    <w:basedOn w:val="1"/>
    <w:link w:val="152"/>
    <w:semiHidden/>
    <w:qFormat/>
    <w:uiPriority w:val="99"/>
    <w:pPr>
      <w:spacing w:after="200" w:line="276" w:lineRule="auto"/>
      <w:jc w:val="left"/>
    </w:pPr>
    <w:rPr>
      <w:rFonts w:ascii="Courier New" w:hAnsi="Courier New"/>
      <w:kern w:val="0"/>
      <w:sz w:val="20"/>
      <w:szCs w:val="20"/>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70">
    <w:name w:val="List Continue 3"/>
    <w:basedOn w:val="1"/>
    <w:qFormat/>
    <w:uiPriority w:val="99"/>
    <w:pPr>
      <w:spacing w:after="120"/>
      <w:ind w:left="1260" w:leftChars="600"/>
    </w:pPr>
  </w:style>
  <w:style w:type="paragraph" w:styleId="71">
    <w:name w:val="Title"/>
    <w:basedOn w:val="1"/>
    <w:link w:val="153"/>
    <w:qFormat/>
    <w:uiPriority w:val="99"/>
    <w:pPr>
      <w:spacing w:before="240" w:after="60" w:line="276" w:lineRule="auto"/>
      <w:jc w:val="center"/>
      <w:outlineLvl w:val="0"/>
    </w:pPr>
    <w:rPr>
      <w:rFonts w:ascii="Cambria" w:hAnsi="Cambria"/>
      <w:b/>
      <w:kern w:val="0"/>
      <w:sz w:val="32"/>
      <w:szCs w:val="20"/>
    </w:rPr>
  </w:style>
  <w:style w:type="paragraph" w:styleId="72">
    <w:name w:val="annotation subject"/>
    <w:basedOn w:val="26"/>
    <w:next w:val="26"/>
    <w:link w:val="181"/>
    <w:semiHidden/>
    <w:qFormat/>
    <w:uiPriority w:val="99"/>
    <w:pPr>
      <w:spacing w:after="0" w:line="240" w:lineRule="auto"/>
    </w:pPr>
    <w:rPr>
      <w:rFonts w:ascii="Calibri" w:hAnsi="Calibri"/>
      <w:b/>
      <w:lang w:val="en-US" w:eastAsia="en-US"/>
    </w:rPr>
  </w:style>
  <w:style w:type="table" w:styleId="74">
    <w:name w:val="Table Grid"/>
    <w:basedOn w:val="73"/>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5">
    <w:name w:val="Table Theme"/>
    <w:basedOn w:val="73"/>
    <w:semiHidden/>
    <w:qFormat/>
    <w:uiPriority w:val="99"/>
    <w:pPr>
      <w:widowControl w:val="0"/>
      <w:spacing w:after="200" w:line="276" w:lineRule="auto"/>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76">
    <w:name w:val="Table Colorful 1"/>
    <w:basedOn w:val="73"/>
    <w:semiHidden/>
    <w:qFormat/>
    <w:uiPriority w:val="99"/>
    <w:pPr>
      <w:widowControl w:val="0"/>
      <w:spacing w:after="200" w:line="276" w:lineRule="auto"/>
    </w:pPr>
    <w:rPr>
      <w:rFonts w:ascii="Calibri" w:hAnsi="Calibri"/>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Layout w:type="fixed"/>
      <w:tblCellMar>
        <w:top w:w="0" w:type="dxa"/>
        <w:left w:w="108" w:type="dxa"/>
        <w:bottom w:w="0" w:type="dxa"/>
        <w:right w:w="108" w:type="dxa"/>
      </w:tblCellMar>
    </w:tblPr>
    <w:tcPr>
      <w:shd w:val="solid" w:color="008080" w:fill="FFFFFF"/>
    </w:tcPr>
    <w:tblStylePr w:type="firstRow">
      <w:rPr>
        <w:rFonts w:cs="Times New Roman"/>
        <w:b/>
        <w:bCs/>
        <w:i/>
        <w:iCs/>
      </w:rPr>
      <w:tblPr>
        <w:tblLayout w:type="fixed"/>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blLayout w:type="fixed"/>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blLayout w:type="fixed"/>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blLayout w:type="fixed"/>
      </w:tblPr>
      <w:tcPr>
        <w:tcBorders>
          <w:top w:val="nil"/>
          <w:left w:val="nil"/>
          <w:bottom w:val="nil"/>
          <w:right w:val="nil"/>
          <w:insideH w:val="nil"/>
          <w:insideV w:val="nil"/>
          <w:tl2br w:val="nil"/>
          <w:tr2bl w:val="nil"/>
        </w:tcBorders>
      </w:tcPr>
    </w:tblStylePr>
  </w:style>
  <w:style w:type="table" w:styleId="77">
    <w:name w:val="Table Colorful 2"/>
    <w:basedOn w:val="73"/>
    <w:semiHidden/>
    <w:qFormat/>
    <w:uiPriority w:val="99"/>
    <w:pPr>
      <w:widowControl w:val="0"/>
      <w:spacing w:after="200" w:line="276" w:lineRule="auto"/>
    </w:pPr>
    <w:rPr>
      <w:rFonts w:ascii="Calibri" w:hAnsi="Calibri"/>
    </w:rPr>
    <w:tblPr>
      <w:tblBorders>
        <w:bottom w:val="single" w:color="000000" w:sz="12" w:space="0"/>
      </w:tblBorders>
      <w:tblLayout w:type="fixed"/>
      <w:tblCellMar>
        <w:top w:w="0" w:type="dxa"/>
        <w:left w:w="108" w:type="dxa"/>
        <w:bottom w:w="0" w:type="dxa"/>
        <w:right w:w="108" w:type="dxa"/>
      </w:tblCellMar>
    </w:tblPr>
    <w:tcPr>
      <w:shd w:val="pct20" w:color="FFFF00" w:fill="FFFFFF"/>
    </w:tcPr>
    <w:tblStylePr w:type="firstRow">
      <w:rPr>
        <w:rFonts w:cs="Times New Roman"/>
        <w:b/>
        <w:bCs/>
        <w:i/>
        <w:iCs/>
        <w:color w:val="FFFFFF"/>
      </w:rPr>
      <w:tblPr>
        <w:tblLayout w:type="fixed"/>
      </w:tblPr>
      <w:tcPr>
        <w:tcBorders>
          <w:top w:val="nil"/>
          <w:left w:val="single" w:color="000000" w:sz="12" w:space="0"/>
          <w:bottom w:val="nil"/>
          <w:right w:val="nil"/>
          <w:insideH w:val="nil"/>
          <w:insideV w:val="nil"/>
          <w:tl2br w:val="nil"/>
          <w:tr2bl w:val="nil"/>
        </w:tcBorders>
        <w:shd w:val="solid" w:color="800000" w:fill="FFFFFF"/>
      </w:tcPr>
    </w:tblStylePr>
    <w:tblStylePr w:type="firstCol">
      <w:rPr>
        <w:rFonts w:cs="Times New Roman"/>
        <w:b/>
        <w:bCs/>
        <w:i/>
        <w:iCs/>
      </w:rPr>
      <w:tblPr>
        <w:tblLayout w:type="fixed"/>
      </w:tblPr>
      <w:tcPr>
        <w:tcBorders>
          <w:top w:val="nil"/>
          <w:left w:val="nil"/>
          <w:bottom w:val="nil"/>
          <w:right w:val="nil"/>
          <w:insideH w:val="nil"/>
          <w:insideV w:val="nil"/>
          <w:tl2br w:val="nil"/>
          <w:tr2bl w:val="nil"/>
        </w:tcBorders>
      </w:tcPr>
    </w:tblStylePr>
    <w:tblStylePr w:type="lastCol">
      <w:rPr>
        <w:rFonts w:cs="Times New Roman"/>
      </w:rPr>
      <w:tblPr>
        <w:tblLayout w:type="fixed"/>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blLayout w:type="fixed"/>
      </w:tblPr>
      <w:tcPr>
        <w:tcBorders>
          <w:top w:val="nil"/>
          <w:left w:val="nil"/>
          <w:bottom w:val="nil"/>
          <w:right w:val="nil"/>
          <w:insideH w:val="nil"/>
          <w:insideV w:val="nil"/>
          <w:tl2br w:val="nil"/>
          <w:tr2bl w:val="nil"/>
        </w:tcBorders>
      </w:tcPr>
    </w:tblStylePr>
  </w:style>
  <w:style w:type="table" w:styleId="78">
    <w:name w:val="Table Colorful 3"/>
    <w:basedOn w:val="73"/>
    <w:semiHidden/>
    <w:qFormat/>
    <w:uiPriority w:val="99"/>
    <w:pPr>
      <w:widowControl w:val="0"/>
      <w:spacing w:after="200" w:line="276" w:lineRule="auto"/>
    </w:pPr>
    <w:rPr>
      <w:rFonts w:ascii="Calibri" w:hAnsi="Calibri"/>
    </w:rPr>
    <w:tblPr>
      <w:tblBorders>
        <w:top w:val="single" w:color="000000" w:sz="18" w:space="0"/>
        <w:left w:val="single" w:color="000000" w:sz="18" w:space="0"/>
        <w:bottom w:val="single" w:color="000000" w:sz="18" w:space="0"/>
        <w:right w:val="single" w:color="000000" w:sz="18" w:space="0"/>
        <w:insideH w:val="single" w:color="C0C0C0" w:sz="6" w:space="0"/>
      </w:tblBorders>
      <w:tblLayout w:type="fixed"/>
      <w:tblCellMar>
        <w:top w:w="0" w:type="dxa"/>
        <w:left w:w="108" w:type="dxa"/>
        <w:bottom w:w="0" w:type="dxa"/>
        <w:right w:w="108" w:type="dxa"/>
      </w:tblCellMar>
    </w:tblPr>
    <w:tcPr>
      <w:shd w:val="pct25" w:color="008080" w:fill="FFFFFF"/>
    </w:tcPr>
    <w:tblStylePr w:type="firstRow">
      <w:rPr>
        <w:rFonts w:cs="Times New Roman"/>
      </w:rPr>
      <w:tblPr>
        <w:tblLayout w:type="fixed"/>
      </w:tblPr>
      <w:tcPr>
        <w:tcBorders>
          <w:top w:val="nil"/>
          <w:left w:val="single" w:color="000000" w:sz="6" w:space="0"/>
          <w:bottom w:val="nil"/>
          <w:right w:val="nil"/>
          <w:insideH w:val="nil"/>
          <w:insideV w:val="nil"/>
          <w:tl2br w:val="nil"/>
          <w:tr2bl w:val="nil"/>
        </w:tcBorders>
        <w:shd w:val="solid" w:color="008080" w:fill="FFFFFF"/>
      </w:tcPr>
    </w:tblStylePr>
    <w:tblStylePr w:type="firstCol">
      <w:rPr>
        <w:rFonts w:cs="Times New Roman"/>
      </w:rPr>
      <w:tblPr>
        <w:tblLayout w:type="fixed"/>
      </w:tblPr>
      <w:tcPr>
        <w:tcBorders>
          <w:top w:val="nil"/>
          <w:left w:val="nil"/>
          <w:bottom w:val="single" w:color="000000" w:sz="36" w:space="0"/>
          <w:right w:val="single" w:color="000000" w:sz="6" w:space="0"/>
          <w:insideH w:val="nil"/>
          <w:insideV w:val="nil"/>
          <w:tl2br w:val="nil"/>
          <w:tr2bl w:val="nil"/>
        </w:tcBorders>
        <w:shd w:val="solid" w:color="008080" w:fill="FFFFFF"/>
      </w:tcPr>
    </w:tblStylePr>
    <w:tblStylePr w:type="nwCell">
      <w:rPr>
        <w:rFonts w:cs="Times New Roman"/>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79">
    <w:name w:val="Table Elegant"/>
    <w:basedOn w:val="73"/>
    <w:semiHidden/>
    <w:qFormat/>
    <w:uiPriority w:val="99"/>
    <w:pPr>
      <w:widowControl w:val="0"/>
      <w:spacing w:after="200" w:line="276" w:lineRule="auto"/>
    </w:pPr>
    <w:rPr>
      <w:rFonts w:ascii="Calibri" w:hAnsi="Calibri"/>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aps/>
        <w:color w:val="auto"/>
      </w:rPr>
      <w:tblPr>
        <w:tblLayout w:type="fixed"/>
      </w:tblPr>
      <w:tcPr>
        <w:tcBorders>
          <w:top w:val="nil"/>
          <w:left w:val="nil"/>
          <w:bottom w:val="nil"/>
          <w:right w:val="nil"/>
          <w:insideH w:val="nil"/>
          <w:insideV w:val="nil"/>
          <w:tl2br w:val="nil"/>
          <w:tr2bl w:val="nil"/>
        </w:tcBorders>
      </w:tcPr>
    </w:tblStylePr>
  </w:style>
  <w:style w:type="table" w:styleId="80">
    <w:name w:val="Table Classic 1"/>
    <w:basedOn w:val="73"/>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i/>
        <w:iCs/>
      </w:rPr>
      <w:tblPr>
        <w:tblLayout w:type="fixed"/>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rPr>
      <w:tblPr>
        <w:tblLayout w:type="fixed"/>
      </w:tblPr>
      <w:tcPr>
        <w:tcBorders>
          <w:top w:val="nil"/>
          <w:left w:val="nil"/>
          <w:bottom w:val="nil"/>
          <w:right w:val="single" w:color="000000" w:sz="6" w:space="0"/>
          <w:insideH w:val="nil"/>
          <w:insideV w:val="nil"/>
          <w:tl2br w:val="nil"/>
          <w:tr2bl w:val="nil"/>
        </w:tcBorders>
      </w:tcPr>
    </w:tblStylePr>
    <w:tblStylePr w:type="neCell">
      <w:rPr>
        <w:rFonts w:cs="Times New Roman"/>
        <w:b/>
        <w:bCs/>
        <w:i w:val="0"/>
        <w:iCs w:val="0"/>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81">
    <w:name w:val="Table Classic 2"/>
    <w:basedOn w:val="73"/>
    <w:semiHidden/>
    <w:qFormat/>
    <w:uiPriority w:val="99"/>
    <w:pPr>
      <w:widowControl w:val="0"/>
      <w:spacing w:after="200" w:line="276" w:lineRule="auto"/>
    </w:pPr>
    <w:rPr>
      <w:rFonts w:ascii="Calibri" w:hAnsi="Calibri"/>
    </w:rPr>
    <w:tblPr>
      <w:tblBorders>
        <w:top w:val="single" w:color="000000" w:sz="12" w:space="0"/>
        <w:bottom w:val="single" w:color="000000" w:sz="12" w:space="0"/>
      </w:tblBorders>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single" w:color="000000" w:sz="6" w:space="0"/>
          <w:bottom w:val="nil"/>
          <w:right w:val="nil"/>
          <w:insideH w:val="nil"/>
          <w:insideV w:val="nil"/>
          <w:tl2br w:val="nil"/>
          <w:tr2bl w:val="nil"/>
        </w:tcBorders>
        <w:shd w:val="solid" w:color="800080" w:fill="FFFFFF"/>
      </w:tcPr>
    </w:tblStylePr>
    <w:tblStylePr w:type="lastRow">
      <w:rPr>
        <w:rFonts w:cs="Times New Roman"/>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blLayout w:type="fixed"/>
      </w:tblPr>
      <w:tcPr>
        <w:tcBorders>
          <w:top w:val="nil"/>
          <w:left w:val="nil"/>
          <w:bottom w:val="nil"/>
          <w:right w:val="nil"/>
          <w:insideH w:val="nil"/>
          <w:insideV w:val="nil"/>
          <w:tl2br w:val="nil"/>
          <w:tr2bl w:val="nil"/>
        </w:tcBorders>
      </w:tcPr>
    </w:tblStylePr>
  </w:style>
  <w:style w:type="table" w:styleId="82">
    <w:name w:val="Table Classic 3"/>
    <w:basedOn w:val="73"/>
    <w:semiHidden/>
    <w:qFormat/>
    <w:uiPriority w:val="99"/>
    <w:pPr>
      <w:widowControl w:val="0"/>
      <w:spacing w:after="200" w:line="276" w:lineRule="auto"/>
    </w:pPr>
    <w:rPr>
      <w:rFonts w:ascii="Calibri" w:hAnsi="Calibri"/>
      <w:color w:val="000080"/>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cPr>
      <w:shd w:val="solid" w:color="C0C0C0" w:fill="FFFFFF"/>
    </w:tcPr>
    <w:tblStylePr w:type="firstRow">
      <w:rPr>
        <w:rFonts w:cs="Times New Roman"/>
        <w:b/>
        <w:bCs/>
        <w:i/>
        <w:iCs/>
        <w:color w:val="FFFFFF"/>
      </w:rPr>
      <w:tblPr>
        <w:tblLayout w:type="fixed"/>
      </w:tblPr>
      <w:tcPr>
        <w:tcBorders>
          <w:top w:val="nil"/>
          <w:left w:val="single" w:color="000000" w:sz="6" w:space="0"/>
          <w:bottom w:val="nil"/>
          <w:right w:val="nil"/>
          <w:insideH w:val="nil"/>
          <w:insideV w:val="nil"/>
          <w:tl2br w:val="nil"/>
          <w:tr2bl w:val="nil"/>
        </w:tcBorders>
        <w:shd w:val="solid" w:color="000080" w:fill="FFFFFF"/>
      </w:tcPr>
    </w:tblStylePr>
    <w:tblStylePr w:type="lastRow">
      <w:rPr>
        <w:rFonts w:cs="Times New Roman"/>
        <w:color w:val="000080"/>
      </w:rPr>
      <w:tblPr>
        <w:tblLayout w:type="fixed"/>
      </w:tblPr>
      <w:tcPr>
        <w:tcBorders>
          <w:top w:val="single" w:color="000000" w:sz="12" w:space="0"/>
          <w:left w:val="nil"/>
          <w:bottom w:val="nil"/>
          <w:right w:val="nil"/>
          <w:insideH w:val="nil"/>
          <w:insideV w:val="nil"/>
          <w:tl2br w:val="nil"/>
          <w:tr2bl w:val="nil"/>
        </w:tcBorders>
        <w:shd w:val="solid" w:color="FFFFFF" w:fill="FFFFFF"/>
      </w:tcPr>
    </w:tblStylePr>
    <w:tblStylePr w:type="firstCol">
      <w:rPr>
        <w:rFonts w:cs="Times New Roman"/>
        <w:b/>
        <w:bCs/>
        <w:color w:val="000000"/>
      </w:rPr>
      <w:tblPr>
        <w:tblLayout w:type="fixed"/>
      </w:tblPr>
      <w:tcPr>
        <w:tcBorders>
          <w:top w:val="nil"/>
          <w:left w:val="nil"/>
          <w:bottom w:val="nil"/>
          <w:right w:val="nil"/>
          <w:insideH w:val="nil"/>
          <w:insideV w:val="nil"/>
          <w:tl2br w:val="nil"/>
          <w:tr2bl w:val="nil"/>
        </w:tcBorders>
      </w:tcPr>
    </w:tblStylePr>
  </w:style>
  <w:style w:type="table" w:styleId="83">
    <w:name w:val="Table Classic 4"/>
    <w:basedOn w:val="73"/>
    <w:semiHidden/>
    <w:qFormat/>
    <w:uiPriority w:val="99"/>
    <w:pPr>
      <w:widowControl w:val="0"/>
      <w:spacing w:after="200" w:line="276" w:lineRule="auto"/>
    </w:pPr>
    <w:rPr>
      <w:rFonts w:ascii="Calibri" w:hAnsi="Calibri"/>
    </w:rPr>
    <w:tblPr>
      <w:tblBorders>
        <w:top w:val="single" w:color="000000" w:sz="12" w:space="0"/>
        <w:left w:val="single" w:color="000000" w:sz="6" w:space="0"/>
        <w:bottom w:val="single" w:color="000000" w:sz="12" w:space="0"/>
        <w:right w:val="single" w:color="000000" w:sz="6" w:space="0"/>
      </w:tblBorders>
      <w:tblLayout w:type="fixed"/>
      <w:tblCellMar>
        <w:top w:w="0" w:type="dxa"/>
        <w:left w:w="108" w:type="dxa"/>
        <w:bottom w:w="0" w:type="dxa"/>
        <w:right w:w="108" w:type="dxa"/>
      </w:tblCellMar>
    </w:tblPr>
    <w:tblStylePr w:type="firstRow">
      <w:rPr>
        <w:rFonts w:cs="Times New Roman"/>
        <w:b/>
        <w:bCs/>
        <w:i/>
        <w:iCs/>
        <w:color w:val="FFFFFF"/>
      </w:rPr>
      <w:tblPr>
        <w:tblLayout w:type="fixed"/>
      </w:tblPr>
      <w:tcPr>
        <w:tcBorders>
          <w:top w:val="nil"/>
          <w:left w:val="single" w:color="000000" w:sz="6" w:space="0"/>
          <w:bottom w:val="nil"/>
          <w:right w:val="nil"/>
          <w:insideH w:val="nil"/>
          <w:insideV w:val="nil"/>
          <w:tl2br w:val="nil"/>
          <w:tr2bl w:val="nil"/>
        </w:tcBorders>
        <w:shd w:val="pct50" w:color="000080" w:fill="FFFFFF"/>
      </w:tcPr>
    </w:tblStylePr>
    <w:tblStylePr w:type="lastRow">
      <w:rPr>
        <w:rFonts w:cs="Times New Roman"/>
        <w:color w:val="000080"/>
      </w:rPr>
      <w:tblPr>
        <w:tblLayout w:type="fixed"/>
      </w:tblPr>
      <w:tcPr>
        <w:tcBorders>
          <w:top w:val="nil"/>
          <w:left w:val="single" w:color="000000" w:sz="6" w:space="0"/>
          <w:bottom w:val="nil"/>
          <w:right w:val="nil"/>
          <w:insideH w:val="nil"/>
          <w:insideV w:val="nil"/>
          <w:tl2br w:val="nil"/>
          <w:tr2bl w:val="nil"/>
        </w:tcBorders>
        <w:shd w:val="pct50" w:color="000000" w:fill="FFFFFF"/>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color w:val="000080"/>
      </w:rPr>
      <w:tblPr>
        <w:tblLayout w:type="fixed"/>
      </w:tblPr>
      <w:tcPr>
        <w:tcBorders>
          <w:top w:val="nil"/>
          <w:left w:val="nil"/>
          <w:bottom w:val="nil"/>
          <w:right w:val="nil"/>
          <w:insideH w:val="nil"/>
          <w:insideV w:val="nil"/>
          <w:tl2br w:val="nil"/>
          <w:tr2bl w:val="nil"/>
        </w:tcBorders>
      </w:tcPr>
    </w:tblStylePr>
  </w:style>
  <w:style w:type="table" w:styleId="84">
    <w:name w:val="Table Simple 1"/>
    <w:basedOn w:val="73"/>
    <w:semiHidden/>
    <w:qFormat/>
    <w:uiPriority w:val="99"/>
    <w:pPr>
      <w:widowControl w:val="0"/>
      <w:spacing w:after="200" w:line="276" w:lineRule="auto"/>
    </w:pPr>
    <w:rPr>
      <w:rFonts w:ascii="Calibri" w:hAnsi="Calibri"/>
    </w:rPr>
    <w:tblPr>
      <w:tblBorders>
        <w:top w:val="single" w:color="008000" w:sz="12" w:space="0"/>
        <w:bottom w:val="single" w:color="008000" w:sz="12"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single" w:color="008000" w:sz="6" w:space="0"/>
          <w:bottom w:val="nil"/>
          <w:right w:val="nil"/>
          <w:insideH w:val="nil"/>
          <w:insideV w:val="nil"/>
          <w:tl2br w:val="nil"/>
          <w:tr2bl w:val="nil"/>
        </w:tcBorders>
      </w:tcPr>
    </w:tblStylePr>
    <w:tblStylePr w:type="lastRow">
      <w:rPr>
        <w:rFonts w:cs="Times New Roman"/>
      </w:rPr>
      <w:tblPr>
        <w:tblLayout w:type="fixed"/>
      </w:tblPr>
      <w:tcPr>
        <w:tcBorders>
          <w:top w:val="single" w:color="008000" w:sz="6" w:space="0"/>
          <w:left w:val="nil"/>
          <w:bottom w:val="nil"/>
          <w:right w:val="nil"/>
          <w:insideH w:val="nil"/>
          <w:insideV w:val="nil"/>
          <w:tl2br w:val="nil"/>
          <w:tr2bl w:val="nil"/>
        </w:tcBorders>
      </w:tcPr>
    </w:tblStylePr>
  </w:style>
  <w:style w:type="table" w:styleId="85">
    <w:name w:val="Table Simple 2"/>
    <w:basedOn w:val="73"/>
    <w:semiHidden/>
    <w:qFormat/>
    <w:uiPriority w:val="99"/>
    <w:pPr>
      <w:widowControl w:val="0"/>
      <w:spacing w:after="200" w:line="276" w:lineRule="auto"/>
    </w:pPr>
    <w:rPr>
      <w:rFonts w:ascii="Calibri" w:hAnsi="Calibri"/>
    </w:rPr>
    <w:tblPr>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single" w:color="000000" w:sz="12" w:space="0"/>
          <w:bottom w:val="nil"/>
          <w:right w:val="nil"/>
          <w:insideH w:val="nil"/>
          <w:insideV w:val="nil"/>
          <w:tl2br w:val="nil"/>
          <w:tr2bl w:val="nil"/>
        </w:tcBorders>
      </w:tcPr>
    </w:tblStylePr>
    <w:tblStylePr w:type="lastRow">
      <w:rPr>
        <w:rFonts w:cs="Times New Roman"/>
        <w:b/>
        <w:bCs/>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single" w:color="000000" w:sz="12" w:space="0"/>
          <w:insideH w:val="nil"/>
          <w:insideV w:val="nil"/>
          <w:tl2br w:val="nil"/>
          <w:tr2bl w:val="nil"/>
        </w:tcBorders>
      </w:tcPr>
    </w:tblStylePr>
    <w:tblStylePr w:type="lastCol">
      <w:rPr>
        <w:rFonts w:cs="Times New Roman"/>
        <w:b/>
        <w:bCs/>
      </w:rPr>
      <w:tblPr>
        <w:tblLayout w:type="fixed"/>
      </w:tblPr>
      <w:tcPr>
        <w:tcBorders>
          <w:top w:val="nil"/>
          <w:left w:val="nil"/>
          <w:bottom w:val="single" w:color="000000" w:sz="6" w:space="0"/>
          <w:right w:val="nil"/>
          <w:insideH w:val="nil"/>
          <w:insideV w:val="nil"/>
          <w:tl2br w:val="nil"/>
          <w:tr2bl w:val="nil"/>
        </w:tcBorders>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86">
    <w:name w:val="Table Simple 3"/>
    <w:basedOn w:val="73"/>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nil"/>
          <w:right w:val="nil"/>
          <w:insideH w:val="nil"/>
          <w:insideV w:val="nil"/>
          <w:tl2br w:val="nil"/>
          <w:tr2bl w:val="nil"/>
        </w:tcBorders>
        <w:shd w:val="solid" w:color="000000" w:fill="FFFFFF"/>
      </w:tcPr>
    </w:tblStylePr>
  </w:style>
  <w:style w:type="table" w:styleId="87">
    <w:name w:val="Table Subtle 1"/>
    <w:basedOn w:val="73"/>
    <w:semiHidden/>
    <w:qFormat/>
    <w:uiPriority w:val="99"/>
    <w:pPr>
      <w:widowControl w:val="0"/>
      <w:spacing w:after="200" w:line="276" w:lineRule="auto"/>
    </w:pPr>
    <w:rPr>
      <w:rFonts w:ascii="Calibri" w:hAnsi="Calibri"/>
    </w:rPr>
    <w:tblPr>
      <w:tblLayout w:type="fixed"/>
      <w:tblCellMar>
        <w:top w:w="0" w:type="dxa"/>
        <w:left w:w="108" w:type="dxa"/>
        <w:bottom w:w="0" w:type="dxa"/>
        <w:right w:w="108" w:type="dxa"/>
      </w:tblCellMar>
    </w:tblPr>
    <w:tblStylePr w:type="firstRow">
      <w:rPr>
        <w:rFonts w:cs="Times New Roman"/>
      </w:rPr>
      <w:tblPr>
        <w:tblLayout w:type="fixed"/>
      </w:tblPr>
      <w:tcPr>
        <w:tcBorders>
          <w:top w:val="single" w:color="000000" w:sz="6" w:space="0"/>
          <w:left w:val="single" w:color="000000" w:sz="12" w:space="0"/>
          <w:bottom w:val="nil"/>
          <w:right w:val="nil"/>
          <w:insideH w:val="nil"/>
          <w:insideV w:val="nil"/>
          <w:tl2br w:val="nil"/>
          <w:tr2bl w:val="nil"/>
        </w:tcBorders>
      </w:tcPr>
    </w:tblStylePr>
    <w:tblStylePr w:type="lastRow">
      <w:rPr>
        <w:rFonts w:cs="Times New Roman"/>
      </w:rPr>
      <w:tblPr>
        <w:tblLayout w:type="fixed"/>
      </w:tblPr>
      <w:tcPr>
        <w:tcBorders>
          <w:top w:val="single" w:color="000000" w:sz="12" w:space="0"/>
          <w:left w:val="nil"/>
          <w:bottom w:val="nil"/>
          <w:right w:val="nil"/>
          <w:insideH w:val="nil"/>
          <w:insideV w:val="nil"/>
          <w:tl2br w:val="nil"/>
          <w:tr2bl w:val="nil"/>
        </w:tcBorders>
        <w:shd w:val="pct25" w:color="800080" w:fill="FFFFFF"/>
      </w:tcPr>
    </w:tblStylePr>
    <w:tblStylePr w:type="firstCol">
      <w:rPr>
        <w:rFonts w:cs="Times New Roman"/>
      </w:rPr>
      <w:tblPr>
        <w:tblLayout w:type="fixed"/>
      </w:tblPr>
      <w:tcPr>
        <w:tcBorders>
          <w:top w:val="nil"/>
          <w:left w:val="nil"/>
          <w:bottom w:val="nil"/>
          <w:right w:val="single" w:color="000000" w:sz="12" w:space="0"/>
          <w:insideH w:val="nil"/>
          <w:insideV w:val="nil"/>
          <w:tl2br w:val="nil"/>
          <w:tr2bl w:val="nil"/>
        </w:tcBorders>
      </w:tcPr>
    </w:tblStylePr>
    <w:tblStylePr w:type="lastCol">
      <w:rPr>
        <w:rFonts w:cs="Times New Roman"/>
      </w:rPr>
      <w:tblPr>
        <w:tblLayout w:type="fixed"/>
      </w:tblPr>
      <w:tcPr>
        <w:tcBorders>
          <w:top w:val="nil"/>
          <w:left w:val="nil"/>
          <w:bottom w:val="single" w:color="000000" w:sz="12" w:space="0"/>
          <w:right w:val="nil"/>
          <w:insideH w:val="nil"/>
          <w:insideV w:val="nil"/>
          <w:tl2br w:val="nil"/>
          <w:tr2bl w:val="nil"/>
        </w:tcBorders>
      </w:tcPr>
    </w:tblStylePr>
    <w:tblStylePr w:type="band1Horz">
      <w:rPr>
        <w:rFonts w:cs="Times New Roman"/>
      </w:rPr>
      <w:tblPr>
        <w:tblLayout w:type="fixed"/>
      </w:tblPr>
      <w:tcPr>
        <w:tcBorders>
          <w:top w:val="nil"/>
          <w:left w:val="single" w:color="000000" w:sz="6" w:space="0"/>
          <w:bottom w:val="nil"/>
          <w:right w:val="nil"/>
          <w:insideH w:val="nil"/>
          <w:insideV w:val="nil"/>
          <w:tl2br w:val="nil"/>
          <w:tr2bl w:val="nil"/>
        </w:tcBorders>
        <w:shd w:val="pct25" w:color="8080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88">
    <w:name w:val="Table Subtle 2"/>
    <w:basedOn w:val="73"/>
    <w:semiHidden/>
    <w:qFormat/>
    <w:uiPriority w:val="99"/>
    <w:pPr>
      <w:widowControl w:val="0"/>
      <w:spacing w:after="200" w:line="276" w:lineRule="auto"/>
    </w:pPr>
    <w:rPr>
      <w:rFonts w:ascii="Calibri" w:hAnsi="Calibri"/>
    </w:rPr>
    <w:tblPr>
      <w:tblBorders>
        <w:left w:val="single" w:color="000000" w:sz="6" w:space="0"/>
        <w:right w:val="single" w:color="00000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single" w:color="000000" w:sz="12" w:space="0"/>
          <w:bottom w:val="nil"/>
          <w:right w:val="nil"/>
          <w:insideH w:val="nil"/>
          <w:insideV w:val="nil"/>
          <w:tl2br w:val="nil"/>
          <w:tr2bl w:val="nil"/>
        </w:tcBorders>
      </w:tcPr>
    </w:tblStylePr>
    <w:tblStylePr w:type="lastRow">
      <w:rPr>
        <w:rFonts w:cs="Times New Roman"/>
      </w:rPr>
      <w:tblPr>
        <w:tblLayout w:type="fixed"/>
      </w:tblPr>
      <w:tcPr>
        <w:tcBorders>
          <w:top w:val="single" w:color="000000" w:sz="12" w:space="0"/>
          <w:left w:val="nil"/>
          <w:bottom w:val="nil"/>
          <w:right w:val="nil"/>
          <w:insideH w:val="nil"/>
          <w:insideV w:val="nil"/>
          <w:tl2br w:val="nil"/>
          <w:tr2bl w:val="nil"/>
        </w:tcBorders>
      </w:tcPr>
    </w:tblStylePr>
    <w:tblStylePr w:type="firstCol">
      <w:rPr>
        <w:rFonts w:cs="Times New Roman"/>
      </w:rPr>
      <w:tblPr>
        <w:tblLayout w:type="fixed"/>
      </w:tblPr>
      <w:tcPr>
        <w:tcBorders>
          <w:top w:val="nil"/>
          <w:left w:val="nil"/>
          <w:bottom w:val="nil"/>
          <w:right w:val="single" w:color="000000" w:sz="12" w:space="0"/>
          <w:insideH w:val="nil"/>
          <w:insideV w:val="nil"/>
          <w:tl2br w:val="nil"/>
          <w:tr2bl w:val="nil"/>
        </w:tcBorders>
        <w:shd w:val="pct25" w:color="008000" w:fill="FFFFFF"/>
      </w:tcPr>
    </w:tblStylePr>
    <w:tblStylePr w:type="lastCol">
      <w:rPr>
        <w:rFonts w:cs="Times New Roman"/>
      </w:rPr>
      <w:tblPr>
        <w:tblLayout w:type="fixed"/>
      </w:tblPr>
      <w:tcPr>
        <w:tcBorders>
          <w:top w:val="nil"/>
          <w:left w:val="nil"/>
          <w:bottom w:val="single" w:color="000000" w:sz="12" w:space="0"/>
          <w:right w:val="nil"/>
          <w:insideH w:val="nil"/>
          <w:insideV w:val="nil"/>
          <w:tl2br w:val="nil"/>
          <w:tr2bl w:val="nil"/>
        </w:tcBorders>
        <w:shd w:val="pct25" w:color="8080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89">
    <w:name w:val="Table List 1"/>
    <w:basedOn w:val="73"/>
    <w:semiHidden/>
    <w:qFormat/>
    <w:uiPriority w:val="99"/>
    <w:pPr>
      <w:widowControl w:val="0"/>
      <w:spacing w:after="200" w:line="276" w:lineRule="auto"/>
    </w:pPr>
    <w:rPr>
      <w:rFonts w:ascii="Calibri" w:hAnsi="Calibri"/>
    </w:rPr>
    <w:tblPr>
      <w:tblBorders>
        <w:top w:val="single" w:color="008080" w:sz="12" w:space="0"/>
        <w:left w:val="single" w:color="008080" w:sz="6" w:space="0"/>
        <w:bottom w:val="single" w:color="008080" w:sz="12" w:space="0"/>
        <w:right w:val="single" w:color="008080" w:sz="6" w:space="0"/>
      </w:tblBorders>
      <w:tblLayout w:type="fixed"/>
      <w:tblCellMar>
        <w:top w:w="0" w:type="dxa"/>
        <w:left w:w="108" w:type="dxa"/>
        <w:bottom w:w="0" w:type="dxa"/>
        <w:right w:w="108" w:type="dxa"/>
      </w:tblCellMar>
    </w:tblPr>
    <w:tblStylePr w:type="firstRow">
      <w:rPr>
        <w:rFonts w:cs="Times New Roman"/>
        <w:b/>
        <w:bCs/>
        <w:i/>
        <w:iCs/>
        <w:color w:val="800000"/>
      </w:rPr>
      <w:tblPr>
        <w:tblLayout w:type="fixed"/>
      </w:tblPr>
      <w:tcPr>
        <w:tcBorders>
          <w:top w:val="nil"/>
          <w:left w:val="single" w:color="000000" w:sz="6" w:space="0"/>
          <w:bottom w:val="nil"/>
          <w:right w:val="nil"/>
          <w:insideH w:val="nil"/>
          <w:insideV w:val="nil"/>
          <w:tl2br w:val="nil"/>
          <w:tr2bl w:val="nil"/>
        </w:tcBorders>
        <w:shd w:val="solid" w:color="C0C0C0" w:fill="FFFFFF"/>
      </w:tcPr>
    </w:tblStylePr>
    <w:tblStylePr w:type="lastRow">
      <w:rPr>
        <w:rFonts w:cs="Times New Roman"/>
      </w:rPr>
      <w:tblPr>
        <w:tblLayout w:type="fixed"/>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0">
    <w:name w:val="Table List 2"/>
    <w:basedOn w:val="73"/>
    <w:semiHidden/>
    <w:qFormat/>
    <w:uiPriority w:val="99"/>
    <w:pPr>
      <w:widowControl w:val="0"/>
      <w:spacing w:after="200" w:line="276" w:lineRule="auto"/>
    </w:pPr>
    <w:rPr>
      <w:rFonts w:ascii="Calibri" w:hAnsi="Calibri"/>
    </w:rPr>
    <w:tblPr>
      <w:tblBorders>
        <w:bottom w:val="single" w:color="808080" w:sz="12"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single" w:color="000000" w:sz="6" w:space="0"/>
          <w:bottom w:val="nil"/>
          <w:right w:val="nil"/>
          <w:insideH w:val="nil"/>
          <w:insideV w:val="nil"/>
          <w:tl2br w:val="nil"/>
          <w:tr2bl w:val="nil"/>
        </w:tcBorders>
        <w:shd w:val="pct75" w:color="008080" w:fill="008000"/>
      </w:tcPr>
    </w:tblStylePr>
    <w:tblStylePr w:type="lastRow">
      <w:rPr>
        <w:rFonts w:cs="Times New Roman"/>
      </w:rPr>
      <w:tblPr>
        <w:tblLayout w:type="fixed"/>
      </w:tblPr>
      <w:tcPr>
        <w:tcBorders>
          <w:top w:val="single" w:color="000000" w:sz="6" w:space="0"/>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1">
    <w:name w:val="Table List 3"/>
    <w:basedOn w:val="73"/>
    <w:semiHidden/>
    <w:qFormat/>
    <w:uiPriority w:val="99"/>
    <w:pPr>
      <w:widowControl w:val="0"/>
      <w:spacing w:after="200" w:line="276" w:lineRule="auto"/>
    </w:pPr>
    <w:rPr>
      <w:rFonts w:ascii="Calibri" w:hAnsi="Calibri"/>
    </w:rPr>
    <w:tblPr>
      <w:tblBorders>
        <w:top w:val="single" w:color="000000" w:sz="12" w:space="0"/>
        <w:bottom w:val="single" w:color="000000" w:sz="12" w:space="0"/>
        <w:insideH w:val="single" w:color="000000" w:sz="6" w:space="0"/>
      </w:tblBorders>
      <w:tblLayout w:type="fixed"/>
      <w:tblCellMar>
        <w:top w:w="0" w:type="dxa"/>
        <w:left w:w="108" w:type="dxa"/>
        <w:bottom w:w="0" w:type="dxa"/>
        <w:right w:w="108" w:type="dxa"/>
      </w:tblCellMar>
    </w:tblPr>
    <w:tblStylePr w:type="firstRow">
      <w:rPr>
        <w:rFonts w:cs="Times New Roman"/>
        <w:b/>
        <w:bCs/>
        <w:color w:val="000080"/>
      </w:rPr>
      <w:tblPr>
        <w:tblLayout w:type="fixed"/>
      </w:tblPr>
      <w:tcPr>
        <w:tcBorders>
          <w:top w:val="nil"/>
          <w:left w:val="single" w:color="000000" w:sz="12" w:space="0"/>
          <w:bottom w:val="nil"/>
          <w:right w:val="nil"/>
          <w:insideH w:val="nil"/>
          <w:insideV w:val="nil"/>
          <w:tl2br w:val="nil"/>
          <w:tr2bl w:val="nil"/>
        </w:tcBorders>
      </w:tcPr>
    </w:tblStylePr>
    <w:tblStylePr w:type="lastRow">
      <w:rPr>
        <w:rFonts w:cs="Times New Roman"/>
      </w:rPr>
      <w:tblPr>
        <w:tblLayout w:type="fixed"/>
      </w:tblPr>
      <w:tcPr>
        <w:tcBorders>
          <w:top w:val="single" w:color="000000" w:sz="12" w:space="0"/>
          <w:left w:val="nil"/>
          <w:bottom w:val="nil"/>
          <w:right w:val="nil"/>
          <w:insideH w:val="nil"/>
          <w:insideV w:val="nil"/>
          <w:tl2br w:val="nil"/>
          <w:tr2bl w:val="nil"/>
        </w:tcBorders>
      </w:tcPr>
    </w:tblStylePr>
    <w:tblStylePr w:type="swCell">
      <w:rPr>
        <w:rFonts w:cs="Times New Roman"/>
        <w:i/>
        <w:iCs/>
        <w:color w:val="000080"/>
      </w:rPr>
      <w:tblPr>
        <w:tblLayout w:type="fixed"/>
      </w:tblPr>
      <w:tcPr>
        <w:tcBorders>
          <w:top w:val="nil"/>
          <w:left w:val="nil"/>
          <w:bottom w:val="nil"/>
          <w:right w:val="nil"/>
          <w:insideH w:val="nil"/>
          <w:insideV w:val="nil"/>
          <w:tl2br w:val="nil"/>
          <w:tr2bl w:val="nil"/>
        </w:tcBorders>
      </w:tcPr>
    </w:tblStylePr>
  </w:style>
  <w:style w:type="table" w:styleId="92">
    <w:name w:val="Table List 4"/>
    <w:basedOn w:val="73"/>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single" w:color="000000" w:sz="12" w:space="0"/>
          <w:bottom w:val="nil"/>
          <w:right w:val="nil"/>
          <w:insideH w:val="nil"/>
          <w:insideV w:val="nil"/>
          <w:tl2br w:val="nil"/>
          <w:tr2bl w:val="nil"/>
        </w:tcBorders>
        <w:shd w:val="solid" w:color="808080" w:fill="FFFFFF"/>
      </w:tcPr>
    </w:tblStylePr>
  </w:style>
  <w:style w:type="table" w:styleId="93">
    <w:name w:val="Table List 5"/>
    <w:basedOn w:val="73"/>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4">
    <w:name w:val="Table List 6"/>
    <w:basedOn w:val="73"/>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tblBorders>
      <w:tblLayout w:type="fixed"/>
      <w:tblCellMar>
        <w:top w:w="0" w:type="dxa"/>
        <w:left w:w="108" w:type="dxa"/>
        <w:bottom w:w="0" w:type="dxa"/>
        <w:right w:w="108" w:type="dxa"/>
      </w:tblCellMar>
    </w:tblPr>
    <w:tcPr>
      <w:shd w:val="pct50" w:color="000000" w:fill="FFFFFF"/>
    </w:tcPr>
    <w:tblStylePr w:type="firstRow">
      <w:rPr>
        <w:rFonts w:cs="Times New Roman"/>
        <w:b/>
        <w:bCs/>
      </w:rPr>
      <w:tblPr>
        <w:tblLayout w:type="fixed"/>
      </w:tblPr>
      <w:tcPr>
        <w:tcBorders>
          <w:top w:val="nil"/>
          <w:left w:val="single" w:color="000000" w:sz="12" w:space="0"/>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single" w:color="000000" w:sz="12" w:space="0"/>
          <w:insideH w:val="nil"/>
          <w:insideV w:val="nil"/>
          <w:tl2br w:val="nil"/>
          <w:tr2bl w:val="nil"/>
        </w:tcBorders>
      </w:tcPr>
    </w:tblStylePr>
    <w:tblStylePr w:type="band1Horz">
      <w:rPr>
        <w:rFonts w:cs="Times New Roman"/>
      </w:rPr>
      <w:tblPr>
        <w:tblLayout w:type="fixed"/>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95">
    <w:name w:val="Table List 7"/>
    <w:basedOn w:val="73"/>
    <w:semiHidden/>
    <w:qFormat/>
    <w:uiPriority w:val="99"/>
    <w:pPr>
      <w:widowControl w:val="0"/>
      <w:spacing w:after="200" w:line="276" w:lineRule="auto"/>
    </w:pPr>
    <w:rPr>
      <w:rFonts w:ascii="Calibri" w:hAnsi="Calibri"/>
    </w:rPr>
    <w:tblPr>
      <w:tblBorders>
        <w:top w:val="single" w:color="008000" w:sz="12" w:space="0"/>
        <w:left w:val="single" w:color="008000" w:sz="6" w:space="0"/>
        <w:bottom w:val="single" w:color="008000" w:sz="12" w:space="0"/>
        <w:right w:val="single" w:color="008000" w:sz="6" w:space="0"/>
        <w:insideH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single" w:color="008000" w:sz="12" w:space="0"/>
          <w:bottom w:val="nil"/>
          <w:right w:val="nil"/>
          <w:insideH w:val="nil"/>
          <w:insideV w:val="nil"/>
          <w:tl2br w:val="nil"/>
          <w:tr2bl w:val="nil"/>
        </w:tcBorders>
        <w:shd w:val="solid" w:color="C0C0C0" w:fill="FFFFFF"/>
      </w:tcPr>
    </w:tblStylePr>
    <w:tblStylePr w:type="lastRow">
      <w:rPr>
        <w:rFonts w:cs="Times New Roman"/>
        <w:b/>
        <w:bCs/>
      </w:rPr>
      <w:tblPr>
        <w:tblLayout w:type="fixed"/>
      </w:tblPr>
      <w:tcPr>
        <w:tcBorders>
          <w:top w:val="single" w:color="008000" w:sz="12"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blLayout w:type="fixed"/>
      </w:tblPr>
      <w:tcPr>
        <w:tcBorders>
          <w:top w:val="nil"/>
          <w:left w:val="nil"/>
          <w:bottom w:val="nil"/>
          <w:right w:val="nil"/>
          <w:insideH w:val="nil"/>
          <w:insideV w:val="nil"/>
          <w:tl2br w:val="nil"/>
          <w:tr2bl w:val="nil"/>
        </w:tcBorders>
        <w:shd w:val="pct25" w:color="FFFF00" w:fill="FFFFFF"/>
      </w:tcPr>
    </w:tblStylePr>
  </w:style>
  <w:style w:type="table" w:styleId="96">
    <w:name w:val="Table List 8"/>
    <w:basedOn w:val="73"/>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i/>
        <w:iCs/>
      </w:rPr>
      <w:tblPr>
        <w:tblLayout w:type="fixed"/>
      </w:tblPr>
      <w:tcPr>
        <w:tcBorders>
          <w:top w:val="nil"/>
          <w:left w:val="single" w:color="000000" w:sz="6" w:space="0"/>
          <w:bottom w:val="nil"/>
          <w:right w:val="nil"/>
          <w:insideH w:val="nil"/>
          <w:insideV w:val="nil"/>
          <w:tl2br w:val="nil"/>
          <w:tr2bl w:val="nil"/>
        </w:tcBorders>
        <w:shd w:val="solid" w:color="FFFF00" w:fill="FFFFFF"/>
      </w:tcPr>
    </w:tblStylePr>
    <w:tblStylePr w:type="lastRow">
      <w:rPr>
        <w:rFonts w:cs="Times New Roman"/>
        <w:b/>
        <w:bCs/>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blLayout w:type="fixed"/>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blLayout w:type="fixed"/>
      </w:tblPr>
      <w:tcPr>
        <w:tcBorders>
          <w:top w:val="nil"/>
          <w:left w:val="nil"/>
          <w:bottom w:val="nil"/>
          <w:right w:val="nil"/>
          <w:insideH w:val="nil"/>
          <w:insideV w:val="nil"/>
          <w:tl2br w:val="single" w:color="auto" w:sz="6" w:space="0"/>
          <w:tr2bl w:val="nil"/>
        </w:tcBorders>
      </w:tcPr>
    </w:tblStylePr>
  </w:style>
  <w:style w:type="table" w:styleId="97">
    <w:name w:val="Table Contemporary"/>
    <w:basedOn w:val="73"/>
    <w:semiHidden/>
    <w:qFormat/>
    <w:uiPriority w:val="99"/>
    <w:pPr>
      <w:widowControl w:val="0"/>
      <w:spacing w:after="200" w:line="276" w:lineRule="auto"/>
    </w:pPr>
    <w:rPr>
      <w:rFonts w:ascii="Calibri" w:hAnsi="Calibri"/>
    </w:rPr>
    <w:tblPr>
      <w:tblBorders>
        <w:insideH w:val="single" w:color="FFFFFF" w:sz="18" w:space="0"/>
        <w:insideV w:val="single" w:color="FFFFFF" w:sz="18" w:space="0"/>
      </w:tblBorders>
      <w:tblLayout w:type="fixed"/>
      <w:tblCellMar>
        <w:top w:w="0" w:type="dxa"/>
        <w:left w:w="108" w:type="dxa"/>
        <w:bottom w:w="0" w:type="dxa"/>
        <w:right w:w="108" w:type="dxa"/>
      </w:tblCellMar>
    </w:tblPr>
    <w:tblStylePr w:type="firstRow">
      <w:rPr>
        <w:rFonts w:cs="Times New Roman"/>
        <w:b/>
        <w:bCs/>
        <w:color w:val="auto"/>
      </w:rPr>
      <w:tblPr>
        <w:tblLayout w:type="fixed"/>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blLayout w:type="fixed"/>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blLayout w:type="fixed"/>
      </w:tblPr>
      <w:tcPr>
        <w:tcBorders>
          <w:top w:val="nil"/>
          <w:left w:val="nil"/>
          <w:bottom w:val="nil"/>
          <w:right w:val="nil"/>
          <w:insideH w:val="nil"/>
          <w:insideV w:val="nil"/>
          <w:tl2br w:val="nil"/>
          <w:tr2bl w:val="nil"/>
        </w:tcBorders>
        <w:shd w:val="pct20" w:color="000000" w:fill="FFFFFF"/>
      </w:tcPr>
    </w:tblStylePr>
  </w:style>
  <w:style w:type="table" w:styleId="98">
    <w:name w:val="Table Columns 1"/>
    <w:basedOn w:val="73"/>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tblBorders>
      <w:tblLayout w:type="fixed"/>
      <w:tblCellMar>
        <w:top w:w="0" w:type="dxa"/>
        <w:left w:w="108" w:type="dxa"/>
        <w:bottom w:w="0" w:type="dxa"/>
        <w:right w:w="108" w:type="dxa"/>
      </w:tblCellMar>
    </w:tblPr>
    <w:tblStylePr w:type="firstRow">
      <w:rPr>
        <w:rFonts w:cs="Times New Roman"/>
        <w:b w:val="0"/>
        <w:bCs w:val="0"/>
      </w:rPr>
      <w:tblPr>
        <w:tblLayout w:type="fixed"/>
      </w:tblPr>
      <w:tcPr>
        <w:tcBorders>
          <w:top w:val="nil"/>
          <w:left w:val="double" w:color="000000" w:sz="6" w:space="0"/>
          <w:bottom w:val="nil"/>
          <w:right w:val="nil"/>
          <w:insideH w:val="nil"/>
          <w:insideV w:val="nil"/>
          <w:tl2br w:val="nil"/>
          <w:tr2bl w:val="nil"/>
        </w:tcBorders>
      </w:tcPr>
    </w:tblStylePr>
    <w:tblStylePr w:type="lastRow">
      <w:rPr>
        <w:rFonts w:cs="Times New Roman"/>
        <w:b w:val="0"/>
        <w:bCs w:val="0"/>
      </w:rPr>
      <w:tblPr>
        <w:tblLayout w:type="fixed"/>
      </w:tblPr>
      <w:tcPr>
        <w:tcBorders>
          <w:top w:val="nil"/>
          <w:left w:val="nil"/>
          <w:bottom w:val="nil"/>
          <w:right w:val="nil"/>
          <w:insideH w:val="nil"/>
          <w:insideV w:val="nil"/>
          <w:tl2br w:val="nil"/>
          <w:tr2bl w:val="nil"/>
        </w:tcBorders>
      </w:tcPr>
    </w:tblStylePr>
    <w:tblStylePr w:type="fir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pct25" w:color="000000" w:fill="FFFFFF"/>
      </w:tcPr>
    </w:tblStylePr>
    <w:tblStylePr w:type="band2Vert">
      <w:rPr>
        <w:rFonts w:cs="Times New Roman"/>
        <w:color w:val="auto"/>
      </w:rPr>
      <w:tblPr>
        <w:tblLayout w:type="fixed"/>
      </w:tblPr>
      <w:tcPr>
        <w:shd w:val="pct25" w:color="FFFF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99">
    <w:name w:val="Table Columns 2"/>
    <w:basedOn w:val="73"/>
    <w:semiHidden/>
    <w:qFormat/>
    <w:uiPriority w:val="99"/>
    <w:pPr>
      <w:widowControl w:val="0"/>
      <w:spacing w:after="200" w:line="276" w:lineRule="auto"/>
    </w:pPr>
    <w:rPr>
      <w:rFonts w:ascii="Calibri" w:hAnsi="Calibri"/>
      <w:b/>
      <w:bCs/>
    </w:rPr>
    <w:tblPr>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blLayout w:type="fixed"/>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pct30" w:color="000000" w:fill="FFFFFF"/>
      </w:tcPr>
    </w:tblStylePr>
    <w:tblStylePr w:type="band2Vert">
      <w:rPr>
        <w:rFonts w:cs="Times New Roman"/>
        <w:color w:val="auto"/>
      </w:rPr>
      <w:tblPr>
        <w:tblLayout w:type="fixed"/>
      </w:tblPr>
      <w:tcPr>
        <w:shd w:val="pct25" w:color="00FF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tblStylePr w:type="sw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100">
    <w:name w:val="Table Columns 3"/>
    <w:basedOn w:val="73"/>
    <w:semiHidden/>
    <w:qFormat/>
    <w:uiPriority w:val="99"/>
    <w:pPr>
      <w:widowControl w:val="0"/>
      <w:spacing w:after="200" w:line="276" w:lineRule="auto"/>
    </w:pPr>
    <w:rPr>
      <w:rFonts w:ascii="Calibri" w:hAnsi="Calibri"/>
      <w:b/>
      <w:bCs/>
    </w:rPr>
    <w:tblPr>
      <w:tblBorders>
        <w:top w:val="single" w:color="000080" w:sz="6" w:space="0"/>
        <w:left w:val="single" w:color="000080" w:sz="6" w:space="0"/>
        <w:bottom w:val="single" w:color="000080" w:sz="6" w:space="0"/>
        <w:right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blLayout w:type="fixed"/>
      </w:tblPr>
      <w:tcPr>
        <w:tcBorders>
          <w:top w:val="single" w:color="000080" w:sz="6" w:space="0"/>
          <w:left w:val="nil"/>
          <w:bottom w:val="nil"/>
          <w:right w:val="nil"/>
          <w:insideH w:val="nil"/>
          <w:insideV w:val="nil"/>
          <w:tl2br w:val="nil"/>
          <w:tr2bl w:val="nil"/>
        </w:tcBorders>
      </w:tcPr>
    </w:tblStylePr>
    <w:tblStylePr w:type="fir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solid" w:color="C0C0C0" w:fill="FFFFFF"/>
      </w:tcPr>
    </w:tblStylePr>
    <w:tblStylePr w:type="band2Vert">
      <w:rPr>
        <w:rFonts w:cs="Times New Roman"/>
        <w:color w:val="auto"/>
      </w:rPr>
      <w:tblPr>
        <w:tblLayout w:type="fixed"/>
      </w:tblPr>
      <w:tcPr>
        <w:shd w:val="pct10" w:color="000000" w:fill="FFFFFF"/>
      </w:tcPr>
    </w:tblStylePr>
    <w:tblStylePr w:type="neCel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101">
    <w:name w:val="Table Columns 4"/>
    <w:basedOn w:val="73"/>
    <w:semiHidden/>
    <w:qFormat/>
    <w:uiPriority w:val="99"/>
    <w:pPr>
      <w:widowControl w:val="0"/>
      <w:spacing w:after="200" w:line="276" w:lineRule="auto"/>
    </w:pPr>
    <w:rPr>
      <w:rFonts w:ascii="Calibri" w:hAnsi="Calibri"/>
    </w:rPr>
    <w:tblPr>
      <w:tblLayout w:type="fixed"/>
      <w:tblCellMar>
        <w:top w:w="0" w:type="dxa"/>
        <w:left w:w="108" w:type="dxa"/>
        <w:bottom w:w="0" w:type="dxa"/>
        <w:right w:w="108" w:type="dxa"/>
      </w:tblCellMar>
    </w:tblPr>
    <w:tblStylePr w:type="firstRow">
      <w:rPr>
        <w:rFonts w:cs="Times New Roman"/>
        <w:color w:val="FFFFFF"/>
      </w:rPr>
      <w:tblPr>
        <w:tblLayout w:type="fixed"/>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pct50" w:color="008080" w:fill="FFFFFF"/>
      </w:tcPr>
    </w:tblStylePr>
    <w:tblStylePr w:type="band2Vert">
      <w:rPr>
        <w:rFonts w:cs="Times New Roman"/>
        <w:color w:val="auto"/>
      </w:rPr>
      <w:tblPr>
        <w:tblLayout w:type="fixed"/>
      </w:tblPr>
      <w:tcPr>
        <w:shd w:val="pct10" w:color="000000" w:fill="FFFFFF"/>
      </w:tcPr>
    </w:tblStylePr>
  </w:style>
  <w:style w:type="table" w:styleId="102">
    <w:name w:val="Table Columns 5"/>
    <w:basedOn w:val="73"/>
    <w:semiHidden/>
    <w:qFormat/>
    <w:uiPriority w:val="99"/>
    <w:pPr>
      <w:widowControl w:val="0"/>
      <w:spacing w:after="200" w:line="276" w:lineRule="auto"/>
    </w:pPr>
    <w:rPr>
      <w:rFonts w:ascii="Calibri" w:hAnsi="Calibri"/>
    </w:rPr>
    <w:tblPr>
      <w:tblBorders>
        <w:top w:val="single" w:color="808080" w:sz="12" w:space="0"/>
        <w:left w:val="single" w:color="808080" w:sz="12" w:space="0"/>
        <w:bottom w:val="single" w:color="808080" w:sz="12" w:space="0"/>
        <w:right w:val="single" w:color="808080" w:sz="12" w:space="0"/>
        <w:insideV w:val="single" w:color="C0C0C0" w:sz="6" w:space="0"/>
      </w:tblBorders>
      <w:tblLayout w:type="fixed"/>
      <w:tblCellMar>
        <w:top w:w="0" w:type="dxa"/>
        <w:left w:w="108" w:type="dxa"/>
        <w:bottom w:w="0" w:type="dxa"/>
        <w:right w:w="108" w:type="dxa"/>
      </w:tblCellMar>
    </w:tblPr>
    <w:tblStylePr w:type="firstRow">
      <w:rPr>
        <w:rFonts w:cs="Times New Roman"/>
        <w:b/>
        <w:bCs/>
        <w:i/>
        <w:iCs/>
      </w:rPr>
      <w:tblPr>
        <w:tblLayout w:type="fixed"/>
      </w:tblPr>
      <w:tcPr>
        <w:tcBorders>
          <w:top w:val="nil"/>
          <w:left w:val="single" w:color="808080" w:sz="6" w:space="0"/>
          <w:bottom w:val="nil"/>
          <w:right w:val="nil"/>
          <w:insideH w:val="nil"/>
          <w:insideV w:val="nil"/>
          <w:tl2br w:val="nil"/>
          <w:tr2bl w:val="nil"/>
        </w:tcBorders>
      </w:tcPr>
    </w:tblStylePr>
    <w:tblStylePr w:type="lastRow">
      <w:rPr>
        <w:rFonts w:cs="Times New Roman"/>
        <w:b/>
        <w:bCs/>
      </w:rPr>
      <w:tblPr>
        <w:tblLayout w:type="fixed"/>
      </w:tblPr>
      <w:tcPr>
        <w:tcBorders>
          <w:top w:val="single" w:color="80808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band1Vert">
      <w:rPr>
        <w:rFonts w:cs="Times New Roman"/>
        <w:color w:val="auto"/>
      </w:rPr>
      <w:tblPr>
        <w:tblLayout w:type="fixed"/>
      </w:tblPr>
      <w:tcPr>
        <w:shd w:val="solid" w:color="C0C0C0" w:fill="FFFFFF"/>
      </w:tcPr>
    </w:tblStylePr>
    <w:tblStylePr w:type="band2Vert">
      <w:rPr>
        <w:rFonts w:cs="Times New Roman"/>
        <w:color w:val="auto"/>
      </w:rPr>
    </w:tblStylePr>
  </w:style>
  <w:style w:type="table" w:styleId="103">
    <w:name w:val="Table Grid 1"/>
    <w:basedOn w:val="73"/>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lastRow">
      <w:rPr>
        <w:rFonts w:cs="Times New Roman"/>
        <w:i/>
        <w:iCs/>
      </w:rPr>
      <w:tblPr>
        <w:tblLayout w:type="fixed"/>
      </w:tblPr>
      <w:tcPr>
        <w:tcBorders>
          <w:top w:val="nil"/>
          <w:left w:val="nil"/>
          <w:bottom w:val="nil"/>
          <w:right w:val="nil"/>
          <w:insideH w:val="nil"/>
          <w:insideV w:val="nil"/>
          <w:tl2br w:val="nil"/>
          <w:tr2bl w:val="nil"/>
        </w:tcBorders>
      </w:tcPr>
    </w:tblStylePr>
    <w:tblStylePr w:type="lastCol">
      <w:rPr>
        <w:rFonts w:cs="Times New Roman"/>
        <w:i/>
        <w:i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4">
    <w:name w:val="Table Grid 2"/>
    <w:basedOn w:val="73"/>
    <w:semiHidden/>
    <w:qFormat/>
    <w:uiPriority w:val="99"/>
    <w:pPr>
      <w:widowControl w:val="0"/>
      <w:spacing w:after="200" w:line="276" w:lineRule="auto"/>
    </w:pPr>
    <w:rPr>
      <w:rFonts w:ascii="Calibri" w:hAnsi="Calibri"/>
    </w:rPr>
    <w:tblPr>
      <w:tblBorders>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nil"/>
          <w:bottom w:val="nil"/>
          <w:right w:val="nil"/>
          <w:insideH w:val="nil"/>
          <w:insideV w:val="nil"/>
          <w:tl2br w:val="nil"/>
          <w:tr2bl w:val="nil"/>
        </w:tcBorders>
      </w:tcPr>
    </w:tblStylePr>
    <w:tblStylePr w:type="lastRow">
      <w:rPr>
        <w:rFonts w:cs="Times New Roman"/>
        <w:b/>
        <w:bCs/>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style>
  <w:style w:type="table" w:styleId="105">
    <w:name w:val="Table Grid 3"/>
    <w:basedOn w:val="73"/>
    <w:semiHidden/>
    <w:qFormat/>
    <w:uiPriority w:val="99"/>
    <w:pPr>
      <w:widowControl w:val="0"/>
      <w:spacing w:after="200" w:line="276" w:lineRule="auto"/>
    </w:pPr>
    <w:rPr>
      <w:rFonts w:ascii="Calibri" w:hAnsi="Calibri"/>
    </w:rPr>
    <w:tblPr>
      <w:tblBorders>
        <w:top w:val="single" w:color="000000" w:sz="6" w:space="0"/>
        <w:left w:val="single" w:color="000000" w:sz="12" w:space="0"/>
        <w:bottom w:val="single" w:color="000000" w:sz="6"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6">
    <w:name w:val="Table Grid 4"/>
    <w:basedOn w:val="73"/>
    <w:semiHidden/>
    <w:qFormat/>
    <w:uiPriority w:val="99"/>
    <w:pPr>
      <w:widowControl w:val="0"/>
      <w:spacing w:after="200" w:line="276" w:lineRule="auto"/>
    </w:pPr>
    <w:rPr>
      <w:rFonts w:ascii="Calibri" w:hAnsi="Calibri"/>
    </w:rPr>
    <w:tblPr>
      <w:tblBorders>
        <w:left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color w:val="auto"/>
      </w:rPr>
      <w:tblPr>
        <w:tblLayout w:type="fixed"/>
      </w:tblPr>
      <w:tcPr>
        <w:tcBorders>
          <w:top w:val="nil"/>
          <w:left w:val="single" w:color="000000" w:sz="6" w:space="0"/>
          <w:bottom w:val="nil"/>
          <w:right w:val="nil"/>
          <w:insideH w:val="nil"/>
          <w:insideV w:val="nil"/>
          <w:tl2br w:val="nil"/>
          <w:tr2bl w:val="nil"/>
        </w:tcBorders>
        <w:shd w:val="pct30" w:color="FFFF00" w:fill="FFFFFF"/>
      </w:tcPr>
    </w:tblStylePr>
    <w:tblStylePr w:type="lastRow">
      <w:rPr>
        <w:rFonts w:cs="Times New Roman"/>
        <w:b/>
        <w:bCs/>
        <w:color w:val="auto"/>
      </w:rPr>
      <w:tblPr>
        <w:tblLayout w:type="fixed"/>
      </w:tblPr>
      <w:tcPr>
        <w:tcBorders>
          <w:top w:val="single" w:color="000000" w:sz="6" w:space="0"/>
          <w:left w:val="nil"/>
          <w:bottom w:val="nil"/>
          <w:right w:val="nil"/>
          <w:insideH w:val="nil"/>
          <w:insideV w:val="nil"/>
          <w:tl2br w:val="nil"/>
          <w:tr2bl w:val="nil"/>
        </w:tcBorders>
        <w:shd w:val="pct30" w:color="FFFF00" w:fill="FFFFFF"/>
      </w:tcPr>
    </w:tblStylePr>
    <w:tblStylePr w:type="lastCol">
      <w:rPr>
        <w:rFonts w:cs="Times New Roman"/>
        <w:b/>
        <w:bCs/>
        <w:color w:val="auto"/>
      </w:rPr>
      <w:tblPr>
        <w:tblLayout w:type="fixed"/>
      </w:tblPr>
      <w:tcPr>
        <w:tcBorders>
          <w:top w:val="nil"/>
          <w:left w:val="nil"/>
          <w:bottom w:val="nil"/>
          <w:right w:val="nil"/>
          <w:insideH w:val="nil"/>
          <w:insideV w:val="nil"/>
          <w:tl2br w:val="nil"/>
          <w:tr2bl w:val="nil"/>
        </w:tcBorders>
      </w:tcPr>
    </w:tblStylePr>
  </w:style>
  <w:style w:type="table" w:styleId="107">
    <w:name w:val="Table Grid 5"/>
    <w:basedOn w:val="73"/>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rPr>
      <w:tblPr>
        <w:tblLayout w:type="fixed"/>
      </w:tblPr>
      <w:tcPr>
        <w:tcBorders>
          <w:top w:val="nil"/>
          <w:left w:val="single" w:color="000000" w:sz="12" w:space="0"/>
          <w:bottom w:val="nil"/>
          <w:right w:val="nil"/>
          <w:insideH w:val="nil"/>
          <w:insideV w:val="nil"/>
          <w:tl2br w:val="nil"/>
          <w:tr2bl w:val="nil"/>
        </w:tcBorders>
      </w:tcPr>
    </w:tblStylePr>
    <w:tblStylePr w:type="lastRow">
      <w:rPr>
        <w:rFonts w:cs="Times New Roman"/>
        <w:b/>
        <w:bCs/>
      </w:rPr>
      <w:tblPr>
        <w:tblLayout w:type="fixed"/>
      </w:tblPr>
      <w:tcPr>
        <w:tcBorders>
          <w:top w:val="nil"/>
          <w:left w:val="nil"/>
          <w:bottom w:val="nil"/>
          <w:right w:val="nil"/>
          <w:insideH w:val="nil"/>
          <w:insideV w:val="nil"/>
          <w:tl2br w:val="nil"/>
          <w:tr2bl w:val="nil"/>
        </w:tcBorders>
      </w:tcPr>
    </w:tblStylePr>
    <w:tblStylePr w:type="la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8">
    <w:name w:val="Table Grid 6"/>
    <w:basedOn w:val="73"/>
    <w:semiHidden/>
    <w:qFormat/>
    <w:uiPriority w:val="99"/>
    <w:pPr>
      <w:widowControl w:val="0"/>
      <w:spacing w:after="200" w:line="276" w:lineRule="auto"/>
    </w:pPr>
    <w:rPr>
      <w:rFonts w:ascii="Calibri" w:hAnsi="Calibri"/>
    </w:rPr>
    <w:tblPr>
      <w:tblBorders>
        <w:top w:val="single" w:color="000000" w:sz="12" w:space="0"/>
        <w:left w:val="single" w:color="000000" w:sz="12" w:space="0"/>
        <w:bottom w:val="single" w:color="000000" w:sz="12" w:space="0"/>
        <w:right w:val="single" w:color="000000" w:sz="12" w:space="0"/>
        <w:insideV w:val="single" w:color="000000" w:sz="6" w:space="0"/>
      </w:tblBorders>
      <w:tblLayout w:type="fixed"/>
      <w:tblCellMar>
        <w:top w:w="0" w:type="dxa"/>
        <w:left w:w="108" w:type="dxa"/>
        <w:bottom w:w="0" w:type="dxa"/>
        <w:right w:w="108" w:type="dxa"/>
      </w:tblCellMar>
    </w:tblPr>
    <w:tblStylePr w:type="firstRow">
      <w:rPr>
        <w:rFonts w:cs="Times New Roman"/>
        <w:b/>
        <w:bCs/>
      </w:rPr>
      <w:tblPr>
        <w:tblLayout w:type="fixed"/>
      </w:tblPr>
      <w:tcPr>
        <w:tcBorders>
          <w:top w:val="nil"/>
          <w:left w:val="single" w:color="000000" w:sz="6" w:space="0"/>
          <w:bottom w:val="nil"/>
          <w:right w:val="nil"/>
          <w:insideH w:val="nil"/>
          <w:insideV w:val="nil"/>
          <w:tl2br w:val="nil"/>
          <w:tr2bl w:val="nil"/>
        </w:tcBorders>
      </w:tcPr>
    </w:tblStylePr>
    <w:tblStylePr w:type="lastRow">
      <w:rPr>
        <w:rFonts w:cs="Times New Roman"/>
        <w:color w:val="auto"/>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bCs/>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09">
    <w:name w:val="Table Grid 7"/>
    <w:basedOn w:val="73"/>
    <w:semiHidden/>
    <w:qFormat/>
    <w:uiPriority w:val="99"/>
    <w:pPr>
      <w:widowControl w:val="0"/>
      <w:spacing w:after="200" w:line="276" w:lineRule="auto"/>
    </w:pPr>
    <w:rPr>
      <w:rFonts w:ascii="Calibri" w:hAnsi="Calibri"/>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val="0"/>
        <w:bCs w:val="0"/>
      </w:rPr>
      <w:tblPr>
        <w:tblLayout w:type="fixed"/>
      </w:tblPr>
      <w:tcPr>
        <w:tcBorders>
          <w:top w:val="nil"/>
          <w:left w:val="single" w:color="000000" w:sz="12" w:space="0"/>
          <w:bottom w:val="nil"/>
          <w:right w:val="nil"/>
          <w:insideH w:val="nil"/>
          <w:insideV w:val="nil"/>
          <w:tl2br w:val="nil"/>
          <w:tr2bl w:val="nil"/>
        </w:tcBorders>
      </w:tcPr>
    </w:tblStylePr>
    <w:tblStylePr w:type="lastRow">
      <w:rPr>
        <w:rFonts w:cs="Times New Roman"/>
        <w:b w:val="0"/>
        <w:bCs w:val="0"/>
      </w:rPr>
      <w:tblPr>
        <w:tblLayout w:type="fixed"/>
      </w:tblPr>
      <w:tcPr>
        <w:tcBorders>
          <w:top w:val="single" w:color="000000" w:sz="6" w:space="0"/>
          <w:left w:val="nil"/>
          <w:bottom w:val="nil"/>
          <w:right w:val="nil"/>
          <w:insideH w:val="nil"/>
          <w:insideV w:val="nil"/>
          <w:tl2br w:val="nil"/>
          <w:tr2bl w:val="nil"/>
        </w:tcBorders>
      </w:tcPr>
    </w:tblStylePr>
    <w:tblStylePr w:type="fir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lastCol">
      <w:rPr>
        <w:rFonts w:cs="Times New Roman"/>
        <w:b w:val="0"/>
        <w:bCs w:val="0"/>
      </w:rPr>
      <w:tblPr>
        <w:tblLayout w:type="fixed"/>
      </w:tblPr>
      <w:tcPr>
        <w:tcBorders>
          <w:top w:val="nil"/>
          <w:left w:val="nil"/>
          <w:bottom w:val="nil"/>
          <w:right w:val="nil"/>
          <w:insideH w:val="nil"/>
          <w:insideV w:val="nil"/>
          <w:tl2br w:val="nil"/>
          <w:tr2bl w:val="nil"/>
        </w:tcBorders>
      </w:tcPr>
    </w:tblStylePr>
    <w:tblStylePr w:type="nwCell">
      <w:rPr>
        <w:rFonts w:cs="Times New Roman"/>
      </w:rPr>
      <w:tblPr>
        <w:tblLayout w:type="fixed"/>
      </w:tblPr>
      <w:tcPr>
        <w:tcBorders>
          <w:top w:val="nil"/>
          <w:left w:val="nil"/>
          <w:bottom w:val="nil"/>
          <w:right w:val="nil"/>
          <w:insideH w:val="nil"/>
          <w:insideV w:val="nil"/>
          <w:tl2br w:val="single" w:color="000000" w:sz="6" w:space="0"/>
          <w:tr2bl w:val="nil"/>
        </w:tcBorders>
      </w:tcPr>
    </w:tblStylePr>
  </w:style>
  <w:style w:type="table" w:styleId="110">
    <w:name w:val="Table Grid 8"/>
    <w:basedOn w:val="73"/>
    <w:semiHidden/>
    <w:qFormat/>
    <w:uiPriority w:val="99"/>
    <w:pPr>
      <w:widowControl w:val="0"/>
      <w:spacing w:after="200" w:line="276" w:lineRule="auto"/>
    </w:pPr>
    <w:rPr>
      <w:rFonts w:ascii="Calibri" w:hAnsi="Calibri"/>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Layout w:type="fixed"/>
      <w:tblCellMar>
        <w:top w:w="0" w:type="dxa"/>
        <w:left w:w="108" w:type="dxa"/>
        <w:bottom w:w="0" w:type="dxa"/>
        <w:right w:w="108" w:type="dxa"/>
      </w:tblCellMar>
    </w:tblPr>
    <w:tblStylePr w:type="firstRow">
      <w:rPr>
        <w:rFonts w:cs="Times New Roman"/>
        <w:b/>
        <w:bCs/>
        <w:color w:val="FFFFFF"/>
      </w:rPr>
      <w:tblPr>
        <w:tblLayout w:type="fixed"/>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blLayout w:type="fixed"/>
      </w:tblPr>
      <w:tcPr>
        <w:tcBorders>
          <w:top w:val="nil"/>
          <w:left w:val="nil"/>
          <w:bottom w:val="nil"/>
          <w:right w:val="nil"/>
          <w:insideH w:val="nil"/>
          <w:insideV w:val="nil"/>
          <w:tl2br w:val="nil"/>
          <w:tr2bl w:val="nil"/>
        </w:tcBorders>
      </w:tcPr>
    </w:tblStylePr>
    <w:tblStylePr w:type="lastCol">
      <w:rPr>
        <w:rFonts w:cs="Times New Roman"/>
        <w:b/>
        <w:bCs/>
        <w:color w:val="auto"/>
      </w:rPr>
      <w:tblPr>
        <w:tblLayout w:type="fixed"/>
      </w:tblPr>
      <w:tcPr>
        <w:tcBorders>
          <w:top w:val="nil"/>
          <w:left w:val="nil"/>
          <w:bottom w:val="nil"/>
          <w:right w:val="nil"/>
          <w:insideH w:val="nil"/>
          <w:insideV w:val="nil"/>
          <w:tl2br w:val="nil"/>
          <w:tr2bl w:val="nil"/>
        </w:tcBorders>
      </w:tcPr>
    </w:tblStylePr>
  </w:style>
  <w:style w:type="table" w:styleId="111">
    <w:name w:val="Table Web 1"/>
    <w:basedOn w:val="73"/>
    <w:semiHidden/>
    <w:qFormat/>
    <w:uiPriority w:val="99"/>
    <w:pPr>
      <w:widowControl w:val="0"/>
      <w:spacing w:after="200" w:line="276" w:lineRule="auto"/>
    </w:pPr>
    <w:rPr>
      <w:rFonts w:ascii="Calibri" w:hAnsi="Calibri"/>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blPr>
        <w:tblLayout w:type="fixed"/>
      </w:tblPr>
      <w:tcPr>
        <w:tcBorders>
          <w:top w:val="nil"/>
          <w:left w:val="nil"/>
          <w:bottom w:val="nil"/>
          <w:right w:val="nil"/>
          <w:insideH w:val="nil"/>
          <w:insideV w:val="nil"/>
          <w:tl2br w:val="nil"/>
          <w:tr2bl w:val="nil"/>
        </w:tcBorders>
      </w:tcPr>
    </w:tblStylePr>
  </w:style>
  <w:style w:type="table" w:styleId="112">
    <w:name w:val="Table Web 2"/>
    <w:basedOn w:val="73"/>
    <w:semiHidden/>
    <w:qFormat/>
    <w:uiPriority w:val="99"/>
    <w:pPr>
      <w:widowControl w:val="0"/>
      <w:spacing w:after="200" w:line="276" w:lineRule="auto"/>
    </w:pPr>
    <w:rPr>
      <w:rFonts w:ascii="Calibri" w:hAnsi="Calibri"/>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blPr>
        <w:tblLayout w:type="fixed"/>
      </w:tblPr>
      <w:tcPr>
        <w:tcBorders>
          <w:top w:val="nil"/>
          <w:left w:val="nil"/>
          <w:bottom w:val="nil"/>
          <w:right w:val="nil"/>
          <w:insideH w:val="nil"/>
          <w:insideV w:val="nil"/>
          <w:tl2br w:val="nil"/>
          <w:tr2bl w:val="nil"/>
        </w:tcBorders>
      </w:tcPr>
    </w:tblStylePr>
  </w:style>
  <w:style w:type="table" w:styleId="113">
    <w:name w:val="Table Web 3"/>
    <w:basedOn w:val="73"/>
    <w:semiHidden/>
    <w:qFormat/>
    <w:uiPriority w:val="99"/>
    <w:pPr>
      <w:widowControl w:val="0"/>
      <w:spacing w:after="200" w:line="276" w:lineRule="auto"/>
    </w:pPr>
    <w:rPr>
      <w:rFonts w:ascii="Calibri" w:hAnsi="Calibri"/>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Layout w:type="fixed"/>
      <w:tblCellMar>
        <w:top w:w="0" w:type="dxa"/>
        <w:left w:w="108" w:type="dxa"/>
        <w:bottom w:w="0" w:type="dxa"/>
        <w:right w:w="108" w:type="dxa"/>
      </w:tblCellMar>
    </w:tblPr>
    <w:trPr>
      <w:tblCellSpacing w:w="20" w:type="dxa"/>
    </w:trPr>
    <w:tblStylePr w:type="firstRow">
      <w:rPr>
        <w:rFonts w:cs="Times New Roman"/>
        <w:color w:val="auto"/>
      </w:rPr>
      <w:tblPr>
        <w:tblLayout w:type="fixed"/>
      </w:tblPr>
      <w:tcPr>
        <w:tcBorders>
          <w:top w:val="nil"/>
          <w:left w:val="nil"/>
          <w:bottom w:val="nil"/>
          <w:right w:val="nil"/>
          <w:insideH w:val="nil"/>
          <w:insideV w:val="nil"/>
          <w:tl2br w:val="nil"/>
          <w:tr2bl w:val="nil"/>
        </w:tcBorders>
      </w:tcPr>
    </w:tblStylePr>
  </w:style>
  <w:style w:type="table" w:styleId="114">
    <w:name w:val="Table Professional"/>
    <w:basedOn w:val="73"/>
    <w:semiHidden/>
    <w:qFormat/>
    <w:uiPriority w:val="99"/>
    <w:pPr>
      <w:widowControl w:val="0"/>
      <w:spacing w:after="200" w:line="276" w:lineRule="auto"/>
    </w:pPr>
    <w:rPr>
      <w:rFonts w:ascii="Calibri" w:hAnsi="Calibri"/>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StylePr w:type="firstRow">
      <w:rPr>
        <w:rFonts w:cs="Times New Roman"/>
        <w:b/>
        <w:bCs/>
        <w:color w:val="auto"/>
      </w:rPr>
      <w:tblPr>
        <w:tblLayout w:type="fixed"/>
      </w:tblPr>
      <w:tcPr>
        <w:tcBorders>
          <w:top w:val="nil"/>
          <w:left w:val="nil"/>
          <w:bottom w:val="nil"/>
          <w:right w:val="nil"/>
          <w:insideH w:val="nil"/>
          <w:insideV w:val="nil"/>
          <w:tl2br w:val="nil"/>
          <w:tr2bl w:val="nil"/>
        </w:tcBorders>
        <w:shd w:val="solid" w:color="000000" w:fill="FFFFFF"/>
      </w:tcPr>
    </w:tblStylePr>
  </w:style>
  <w:style w:type="character" w:styleId="116">
    <w:name w:val="Strong"/>
    <w:qFormat/>
    <w:uiPriority w:val="99"/>
    <w:rPr>
      <w:rFonts w:cs="Times New Roman"/>
      <w:b/>
    </w:rPr>
  </w:style>
  <w:style w:type="character" w:styleId="117">
    <w:name w:val="page number"/>
    <w:qFormat/>
    <w:uiPriority w:val="99"/>
    <w:rPr>
      <w:rFonts w:cs="Times New Roman"/>
    </w:rPr>
  </w:style>
  <w:style w:type="character" w:styleId="118">
    <w:name w:val="Emphasis"/>
    <w:qFormat/>
    <w:uiPriority w:val="99"/>
    <w:rPr>
      <w:rFonts w:cs="Times New Roman"/>
      <w:color w:val="CC0000"/>
    </w:rPr>
  </w:style>
  <w:style w:type="character" w:styleId="119">
    <w:name w:val="line number"/>
    <w:qFormat/>
    <w:uiPriority w:val="99"/>
    <w:rPr>
      <w:rFonts w:cs="Times New Roman"/>
    </w:rPr>
  </w:style>
  <w:style w:type="character" w:styleId="120">
    <w:name w:val="HTML Definition"/>
    <w:semiHidden/>
    <w:qFormat/>
    <w:uiPriority w:val="99"/>
    <w:rPr>
      <w:rFonts w:cs="Times New Roman"/>
      <w:i/>
    </w:rPr>
  </w:style>
  <w:style w:type="character" w:styleId="121">
    <w:name w:val="HTML Typewriter"/>
    <w:semiHidden/>
    <w:qFormat/>
    <w:uiPriority w:val="99"/>
    <w:rPr>
      <w:rFonts w:ascii="Courier New" w:hAnsi="Courier New" w:cs="Times New Roman"/>
      <w:sz w:val="20"/>
    </w:rPr>
  </w:style>
  <w:style w:type="character" w:styleId="122">
    <w:name w:val="HTML Acronym"/>
    <w:semiHidden/>
    <w:qFormat/>
    <w:uiPriority w:val="99"/>
    <w:rPr>
      <w:rFonts w:cs="Times New Roman"/>
    </w:rPr>
  </w:style>
  <w:style w:type="character" w:styleId="123">
    <w:name w:val="HTML Variable"/>
    <w:semiHidden/>
    <w:qFormat/>
    <w:uiPriority w:val="99"/>
    <w:rPr>
      <w:rFonts w:cs="Times New Roman"/>
      <w:i/>
    </w:rPr>
  </w:style>
  <w:style w:type="character" w:styleId="124">
    <w:name w:val="Hyperlink"/>
    <w:qFormat/>
    <w:uiPriority w:val="99"/>
    <w:rPr>
      <w:rFonts w:cs="Times New Roman"/>
      <w:color w:val="1F4F88"/>
      <w:u w:val="none"/>
    </w:rPr>
  </w:style>
  <w:style w:type="character" w:styleId="125">
    <w:name w:val="HTML Code"/>
    <w:semiHidden/>
    <w:qFormat/>
    <w:uiPriority w:val="99"/>
    <w:rPr>
      <w:rFonts w:ascii="Courier New" w:hAnsi="Courier New" w:cs="Times New Roman"/>
      <w:sz w:val="20"/>
    </w:rPr>
  </w:style>
  <w:style w:type="character" w:styleId="126">
    <w:name w:val="annotation reference"/>
    <w:qFormat/>
    <w:uiPriority w:val="0"/>
    <w:rPr>
      <w:rFonts w:cs="Times New Roman"/>
      <w:sz w:val="21"/>
    </w:rPr>
  </w:style>
  <w:style w:type="character" w:styleId="127">
    <w:name w:val="HTML Cite"/>
    <w:semiHidden/>
    <w:qFormat/>
    <w:uiPriority w:val="99"/>
    <w:rPr>
      <w:rFonts w:cs="Times New Roman"/>
      <w:i/>
    </w:rPr>
  </w:style>
  <w:style w:type="character" w:styleId="128">
    <w:name w:val="HTML Keyboard"/>
    <w:semiHidden/>
    <w:qFormat/>
    <w:uiPriority w:val="99"/>
    <w:rPr>
      <w:rFonts w:ascii="Courier New" w:hAnsi="Courier New" w:cs="Times New Roman"/>
      <w:sz w:val="20"/>
    </w:rPr>
  </w:style>
  <w:style w:type="character" w:styleId="129">
    <w:name w:val="HTML Sample"/>
    <w:semiHidden/>
    <w:qFormat/>
    <w:uiPriority w:val="99"/>
    <w:rPr>
      <w:rFonts w:ascii="Courier New" w:hAnsi="Courier New" w:cs="Times New Roman"/>
    </w:rPr>
  </w:style>
  <w:style w:type="character" w:customStyle="1" w:styleId="130">
    <w:name w:val="Header Char"/>
    <w:semiHidden/>
    <w:qFormat/>
    <w:locked/>
    <w:uiPriority w:val="99"/>
    <w:rPr>
      <w:rFonts w:eastAsia="宋体" w:cs="Times New Roman"/>
      <w:sz w:val="18"/>
    </w:rPr>
  </w:style>
  <w:style w:type="character" w:customStyle="1" w:styleId="131">
    <w:name w:val="yellow"/>
    <w:qFormat/>
    <w:uiPriority w:val="0"/>
    <w:rPr>
      <w:shd w:val="clear" w:color="auto" w:fill="F58F00"/>
    </w:rPr>
  </w:style>
  <w:style w:type="character" w:customStyle="1" w:styleId="132">
    <w:name w:val="正文文本 3 字符"/>
    <w:link w:val="28"/>
    <w:semiHidden/>
    <w:qFormat/>
    <w:locked/>
    <w:uiPriority w:val="99"/>
    <w:rPr>
      <w:rFonts w:cs="Times New Roman"/>
      <w:sz w:val="16"/>
    </w:rPr>
  </w:style>
  <w:style w:type="character" w:customStyle="1" w:styleId="133">
    <w:name w:val="访问过的超链接"/>
    <w:unhideWhenUsed/>
    <w:qFormat/>
    <w:locked/>
    <w:uiPriority w:val="99"/>
    <w:rPr>
      <w:color w:val="000000"/>
      <w:u w:val="none"/>
    </w:rPr>
  </w:style>
  <w:style w:type="character" w:customStyle="1" w:styleId="134">
    <w:name w:val="正文文本首行缩进 字符"/>
    <w:link w:val="135"/>
    <w:semiHidden/>
    <w:qFormat/>
    <w:locked/>
    <w:uiPriority w:val="99"/>
    <w:rPr>
      <w:rFonts w:eastAsia="宋体"/>
      <w:sz w:val="24"/>
    </w:rPr>
  </w:style>
  <w:style w:type="paragraph" w:customStyle="1" w:styleId="135">
    <w:name w:val="正文文本首行缩进"/>
    <w:basedOn w:val="2"/>
    <w:link w:val="134"/>
    <w:qFormat/>
    <w:uiPriority w:val="99"/>
    <w:pPr>
      <w:spacing w:line="400" w:lineRule="exact"/>
      <w:ind w:firstLine="200" w:firstLineChars="200"/>
    </w:pPr>
  </w:style>
  <w:style w:type="character" w:customStyle="1" w:styleId="136">
    <w:name w:val="blue"/>
    <w:qFormat/>
    <w:uiPriority w:val="0"/>
    <w:rPr>
      <w:shd w:val="clear" w:color="auto" w:fill="53A7FF"/>
    </w:rPr>
  </w:style>
  <w:style w:type="character" w:customStyle="1" w:styleId="137">
    <w:name w:val="green"/>
    <w:qFormat/>
    <w:uiPriority w:val="0"/>
    <w:rPr>
      <w:shd w:val="clear" w:color="auto" w:fill="71C033"/>
    </w:rPr>
  </w:style>
  <w:style w:type="character" w:customStyle="1" w:styleId="138">
    <w:name w:val="font21"/>
    <w:qFormat/>
    <w:uiPriority w:val="99"/>
    <w:rPr>
      <w:rFonts w:ascii="Times New Roman" w:hAnsi="Times New Roman"/>
      <w:color w:val="000000"/>
      <w:sz w:val="21"/>
      <w:u w:val="none"/>
    </w:rPr>
  </w:style>
  <w:style w:type="character" w:customStyle="1" w:styleId="139">
    <w:name w:val="hover44"/>
    <w:qFormat/>
    <w:uiPriority w:val="99"/>
    <w:rPr>
      <w:rFonts w:ascii="微软雅黑" w:hAnsi="微软雅黑" w:eastAsia="微软雅黑"/>
      <w:b/>
      <w:color w:val="FF6600"/>
      <w:sz w:val="22"/>
      <w:u w:val="single"/>
    </w:rPr>
  </w:style>
  <w:style w:type="character" w:customStyle="1" w:styleId="140">
    <w:name w:val="正文文本 2 字符"/>
    <w:link w:val="64"/>
    <w:semiHidden/>
    <w:qFormat/>
    <w:locked/>
    <w:uiPriority w:val="99"/>
    <w:rPr>
      <w:rFonts w:cs="Times New Roman"/>
      <w:sz w:val="24"/>
    </w:rPr>
  </w:style>
  <w:style w:type="character" w:customStyle="1" w:styleId="141">
    <w:name w:val="副标题 字符"/>
    <w:link w:val="56"/>
    <w:qFormat/>
    <w:locked/>
    <w:uiPriority w:val="99"/>
    <w:rPr>
      <w:rFonts w:ascii="Cambria" w:hAnsi="Cambria" w:cs="Times New Roman"/>
      <w:b/>
      <w:kern w:val="28"/>
      <w:sz w:val="32"/>
    </w:rPr>
  </w:style>
  <w:style w:type="character" w:customStyle="1" w:styleId="142">
    <w:name w:val="正文文本缩进 字符"/>
    <w:link w:val="31"/>
    <w:semiHidden/>
    <w:qFormat/>
    <w:locked/>
    <w:uiPriority w:val="99"/>
    <w:rPr>
      <w:rFonts w:cs="Times New Roman"/>
      <w:sz w:val="24"/>
    </w:rPr>
  </w:style>
  <w:style w:type="character" w:customStyle="1" w:styleId="143">
    <w:name w:val="hover38"/>
    <w:qFormat/>
    <w:uiPriority w:val="99"/>
    <w:rPr>
      <w:color w:val="FF6600"/>
      <w:u w:val="single"/>
    </w:rPr>
  </w:style>
  <w:style w:type="character" w:customStyle="1" w:styleId="144">
    <w:name w:val="标题 8 字符"/>
    <w:link w:val="10"/>
    <w:semiHidden/>
    <w:qFormat/>
    <w:locked/>
    <w:uiPriority w:val="99"/>
    <w:rPr>
      <w:rFonts w:ascii="Cambria" w:hAnsi="Cambria" w:eastAsia="宋体" w:cs="Times New Roman"/>
      <w:sz w:val="24"/>
    </w:rPr>
  </w:style>
  <w:style w:type="character" w:customStyle="1" w:styleId="145">
    <w:name w:val="red2"/>
    <w:qFormat/>
    <w:uiPriority w:val="0"/>
    <w:rPr>
      <w:shd w:val="clear" w:color="auto" w:fill="EA5954"/>
    </w:rPr>
  </w:style>
  <w:style w:type="character" w:customStyle="1" w:styleId="146">
    <w:name w:val="注释标题 字符"/>
    <w:link w:val="16"/>
    <w:semiHidden/>
    <w:qFormat/>
    <w:locked/>
    <w:uiPriority w:val="99"/>
    <w:rPr>
      <w:rFonts w:cs="Times New Roman"/>
      <w:sz w:val="24"/>
    </w:rPr>
  </w:style>
  <w:style w:type="character" w:customStyle="1" w:styleId="147">
    <w:name w:val="param-name1"/>
    <w:qFormat/>
    <w:uiPriority w:val="99"/>
    <w:rPr>
      <w:b/>
    </w:rPr>
  </w:style>
  <w:style w:type="character" w:customStyle="1" w:styleId="148">
    <w:name w:val="页眉 字符"/>
    <w:link w:val="51"/>
    <w:qFormat/>
    <w:locked/>
    <w:uiPriority w:val="99"/>
    <w:rPr>
      <w:sz w:val="18"/>
    </w:rPr>
  </w:style>
  <w:style w:type="character" w:customStyle="1" w:styleId="149">
    <w:name w:val="标题 5 字符"/>
    <w:link w:val="7"/>
    <w:qFormat/>
    <w:locked/>
    <w:uiPriority w:val="99"/>
    <w:rPr>
      <w:rFonts w:eastAsia="宋体" w:cs="Times New Roman"/>
      <w:b/>
      <w:sz w:val="28"/>
    </w:rPr>
  </w:style>
  <w:style w:type="character" w:customStyle="1" w:styleId="150">
    <w:name w:val="bds_more"/>
    <w:qFormat/>
    <w:uiPriority w:val="99"/>
    <w:rPr>
      <w:rFonts w:ascii="Arial" w:hAnsi="Arial"/>
    </w:rPr>
  </w:style>
  <w:style w:type="character" w:customStyle="1" w:styleId="151">
    <w:name w:val="Comment Text Char"/>
    <w:qFormat/>
    <w:locked/>
    <w:uiPriority w:val="99"/>
    <w:rPr>
      <w:rFonts w:ascii="Calibri" w:hAnsi="Calibri" w:eastAsia="宋体" w:cs="Times New Roman"/>
      <w:sz w:val="22"/>
      <w:lang w:val="en-US" w:eastAsia="en-US"/>
    </w:rPr>
  </w:style>
  <w:style w:type="character" w:customStyle="1" w:styleId="152">
    <w:name w:val="HTML 预设格式 字符"/>
    <w:link w:val="68"/>
    <w:semiHidden/>
    <w:qFormat/>
    <w:locked/>
    <w:uiPriority w:val="99"/>
    <w:rPr>
      <w:rFonts w:ascii="Courier New" w:hAnsi="Courier New" w:cs="Times New Roman"/>
      <w:sz w:val="20"/>
    </w:rPr>
  </w:style>
  <w:style w:type="character" w:customStyle="1" w:styleId="153">
    <w:name w:val="标题 字符"/>
    <w:link w:val="71"/>
    <w:qFormat/>
    <w:locked/>
    <w:uiPriority w:val="99"/>
    <w:rPr>
      <w:rFonts w:ascii="Cambria" w:hAnsi="Cambria" w:cs="Times New Roman"/>
      <w:b/>
      <w:sz w:val="32"/>
    </w:rPr>
  </w:style>
  <w:style w:type="character" w:customStyle="1" w:styleId="154">
    <w:name w:val="标题 7 字符"/>
    <w:link w:val="9"/>
    <w:semiHidden/>
    <w:qFormat/>
    <w:locked/>
    <w:uiPriority w:val="99"/>
    <w:rPr>
      <w:rFonts w:cs="Times New Roman"/>
      <w:b/>
      <w:sz w:val="24"/>
    </w:rPr>
  </w:style>
  <w:style w:type="character" w:customStyle="1" w:styleId="155">
    <w:name w:val="明显引用 Char"/>
    <w:link w:val="156"/>
    <w:qFormat/>
    <w:locked/>
    <w:uiPriority w:val="99"/>
    <w:rPr>
      <w:b/>
      <w:i/>
      <w:sz w:val="24"/>
    </w:rPr>
  </w:style>
  <w:style w:type="paragraph" w:customStyle="1" w:styleId="156">
    <w:name w:val="明显引用1"/>
    <w:basedOn w:val="1"/>
    <w:next w:val="1"/>
    <w:link w:val="155"/>
    <w:qFormat/>
    <w:uiPriority w:val="99"/>
    <w:pPr>
      <w:widowControl/>
      <w:ind w:left="720" w:right="720"/>
      <w:jc w:val="left"/>
    </w:pPr>
    <w:rPr>
      <w:b/>
      <w:i/>
      <w:kern w:val="0"/>
      <w:sz w:val="24"/>
      <w:szCs w:val="20"/>
    </w:rPr>
  </w:style>
  <w:style w:type="character" w:customStyle="1" w:styleId="157">
    <w:name w:val="日期 字符"/>
    <w:link w:val="45"/>
    <w:semiHidden/>
    <w:qFormat/>
    <w:locked/>
    <w:uiPriority w:val="99"/>
    <w:rPr>
      <w:rFonts w:cs="Times New Roman"/>
      <w:sz w:val="24"/>
    </w:rPr>
  </w:style>
  <w:style w:type="character" w:customStyle="1" w:styleId="158">
    <w:name w:val="页脚 字符"/>
    <w:link w:val="49"/>
    <w:semiHidden/>
    <w:qFormat/>
    <w:locked/>
    <w:uiPriority w:val="99"/>
    <w:rPr>
      <w:sz w:val="18"/>
    </w:rPr>
  </w:style>
  <w:style w:type="character" w:customStyle="1" w:styleId="159">
    <w:name w:val="纯文本 字符"/>
    <w:link w:val="41"/>
    <w:semiHidden/>
    <w:qFormat/>
    <w:locked/>
    <w:uiPriority w:val="99"/>
    <w:rPr>
      <w:rFonts w:ascii="宋体" w:hAnsi="Courier New" w:cs="Times New Roman"/>
      <w:sz w:val="21"/>
    </w:rPr>
  </w:style>
  <w:style w:type="character" w:customStyle="1" w:styleId="160">
    <w:name w:val="正文文本缩进 3 字符"/>
    <w:link w:val="61"/>
    <w:semiHidden/>
    <w:qFormat/>
    <w:locked/>
    <w:uiPriority w:val="99"/>
    <w:rPr>
      <w:rFonts w:cs="Times New Roman"/>
      <w:sz w:val="16"/>
    </w:rPr>
  </w:style>
  <w:style w:type="character" w:customStyle="1" w:styleId="161">
    <w:name w:val="正文（缩进） Char"/>
    <w:link w:val="162"/>
    <w:qFormat/>
    <w:locked/>
    <w:uiPriority w:val="99"/>
    <w:rPr>
      <w:rFonts w:eastAsia="宋体"/>
      <w:sz w:val="24"/>
    </w:rPr>
  </w:style>
  <w:style w:type="paragraph" w:customStyle="1" w:styleId="162">
    <w:name w:val="正文（缩进）"/>
    <w:basedOn w:val="1"/>
    <w:link w:val="161"/>
    <w:semiHidden/>
    <w:qFormat/>
    <w:uiPriority w:val="99"/>
    <w:pPr>
      <w:spacing w:beforeLines="50" w:afterLines="50" w:line="360" w:lineRule="auto"/>
      <w:ind w:firstLine="480" w:firstLineChars="200"/>
    </w:pPr>
    <w:rPr>
      <w:kern w:val="0"/>
      <w:sz w:val="24"/>
      <w:szCs w:val="20"/>
    </w:rPr>
  </w:style>
  <w:style w:type="character" w:customStyle="1" w:styleId="163">
    <w:name w:val="List Paragraph Char"/>
    <w:link w:val="164"/>
    <w:qFormat/>
    <w:locked/>
    <w:uiPriority w:val="99"/>
    <w:rPr>
      <w:rFonts w:eastAsia="宋体"/>
      <w:color w:val="262626"/>
    </w:rPr>
  </w:style>
  <w:style w:type="paragraph" w:customStyle="1" w:styleId="164">
    <w:name w:val="列出段落1"/>
    <w:basedOn w:val="1"/>
    <w:link w:val="163"/>
    <w:qFormat/>
    <w:uiPriority w:val="99"/>
    <w:pPr>
      <w:spacing w:line="360" w:lineRule="auto"/>
      <w:ind w:firstLine="480" w:firstLineChars="200"/>
    </w:pPr>
    <w:rPr>
      <w:color w:val="262626"/>
      <w:kern w:val="0"/>
      <w:sz w:val="20"/>
      <w:szCs w:val="20"/>
    </w:rPr>
  </w:style>
  <w:style w:type="character" w:customStyle="1" w:styleId="165">
    <w:name w:val="批注框文本 字符"/>
    <w:link w:val="48"/>
    <w:semiHidden/>
    <w:qFormat/>
    <w:locked/>
    <w:uiPriority w:val="99"/>
    <w:rPr>
      <w:rFonts w:cs="Times New Roman"/>
      <w:sz w:val="2"/>
    </w:rPr>
  </w:style>
  <w:style w:type="character" w:customStyle="1" w:styleId="166">
    <w:name w:val="Document Map Char"/>
    <w:semiHidden/>
    <w:qFormat/>
    <w:locked/>
    <w:uiPriority w:val="99"/>
    <w:rPr>
      <w:rFonts w:eastAsia="宋体" w:cs="Times New Roman"/>
      <w:sz w:val="21"/>
    </w:rPr>
  </w:style>
  <w:style w:type="character" w:customStyle="1" w:styleId="167">
    <w:name w:val="标题 3 字符"/>
    <w:link w:val="5"/>
    <w:qFormat/>
    <w:locked/>
    <w:uiPriority w:val="99"/>
    <w:rPr>
      <w:rFonts w:eastAsia="宋体" w:cs="Times New Roman"/>
      <w:b/>
      <w:sz w:val="32"/>
    </w:rPr>
  </w:style>
  <w:style w:type="character" w:customStyle="1" w:styleId="168">
    <w:name w:val="电子邮件签名 字符"/>
    <w:link w:val="18"/>
    <w:semiHidden/>
    <w:qFormat/>
    <w:locked/>
    <w:uiPriority w:val="99"/>
    <w:rPr>
      <w:rFonts w:cs="Times New Roman"/>
      <w:sz w:val="24"/>
    </w:rPr>
  </w:style>
  <w:style w:type="character" w:customStyle="1" w:styleId="169">
    <w:name w:val="标题 4 字符"/>
    <w:link w:val="6"/>
    <w:qFormat/>
    <w:locked/>
    <w:uiPriority w:val="99"/>
    <w:rPr>
      <w:rFonts w:ascii="Arial" w:hAnsi="Arial" w:eastAsia="黑体" w:cs="Times New Roman"/>
      <w:b/>
      <w:sz w:val="28"/>
    </w:rPr>
  </w:style>
  <w:style w:type="character" w:customStyle="1" w:styleId="170">
    <w:name w:val="标题 2 字符"/>
    <w:link w:val="4"/>
    <w:qFormat/>
    <w:locked/>
    <w:uiPriority w:val="99"/>
    <w:rPr>
      <w:rFonts w:ascii="Arial" w:hAnsi="Arial" w:eastAsia="黑体" w:cs="Times New Roman"/>
      <w:b/>
      <w:sz w:val="32"/>
    </w:rPr>
  </w:style>
  <w:style w:type="character" w:customStyle="1" w:styleId="171">
    <w:name w:val="Body Text First Indent Char"/>
    <w:qFormat/>
    <w:locked/>
    <w:uiPriority w:val="99"/>
    <w:rPr>
      <w:rFonts w:ascii="宋体" w:hAnsi="宋体" w:eastAsia="宋体" w:cs="Times New Roman"/>
      <w:spacing w:val="20"/>
      <w:sz w:val="24"/>
    </w:rPr>
  </w:style>
  <w:style w:type="character" w:customStyle="1" w:styleId="172">
    <w:name w:val="标题 1 字符"/>
    <w:link w:val="3"/>
    <w:qFormat/>
    <w:locked/>
    <w:uiPriority w:val="99"/>
    <w:rPr>
      <w:rFonts w:eastAsia="宋体" w:cs="Times New Roman"/>
      <w:b/>
      <w:kern w:val="44"/>
      <w:sz w:val="44"/>
    </w:rPr>
  </w:style>
  <w:style w:type="character" w:customStyle="1" w:styleId="173">
    <w:name w:val="正文文本 字符"/>
    <w:link w:val="2"/>
    <w:qFormat/>
    <w:locked/>
    <w:uiPriority w:val="99"/>
    <w:rPr>
      <w:sz w:val="24"/>
    </w:rPr>
  </w:style>
  <w:style w:type="character" w:customStyle="1" w:styleId="174">
    <w:name w:val="font01"/>
    <w:qFormat/>
    <w:uiPriority w:val="99"/>
    <w:rPr>
      <w:rFonts w:ascii="宋体" w:hAnsi="宋体" w:eastAsia="宋体"/>
      <w:color w:val="000000"/>
      <w:sz w:val="21"/>
      <w:u w:val="none"/>
    </w:rPr>
  </w:style>
  <w:style w:type="character" w:customStyle="1" w:styleId="175">
    <w:name w:val="Footer Char"/>
    <w:semiHidden/>
    <w:qFormat/>
    <w:locked/>
    <w:uiPriority w:val="99"/>
    <w:rPr>
      <w:rFonts w:eastAsia="宋体" w:cs="Times New Roman"/>
      <w:sz w:val="18"/>
    </w:rPr>
  </w:style>
  <w:style w:type="character" w:customStyle="1" w:styleId="176">
    <w:name w:val="Body Text Char"/>
    <w:qFormat/>
    <w:locked/>
    <w:uiPriority w:val="99"/>
    <w:rPr>
      <w:rFonts w:eastAsia="宋体" w:cs="Times New Roman"/>
      <w:sz w:val="21"/>
    </w:rPr>
  </w:style>
  <w:style w:type="character" w:customStyle="1" w:styleId="177">
    <w:name w:val="blue2"/>
    <w:qFormat/>
    <w:uiPriority w:val="0"/>
    <w:rPr>
      <w:shd w:val="clear" w:color="auto" w:fill="53A7FF"/>
    </w:rPr>
  </w:style>
  <w:style w:type="character" w:customStyle="1" w:styleId="178">
    <w:name w:val="hei14"/>
    <w:semiHidden/>
    <w:qFormat/>
    <w:uiPriority w:val="99"/>
  </w:style>
  <w:style w:type="character" w:customStyle="1" w:styleId="179">
    <w:name w:val="访问过的超链接1"/>
    <w:semiHidden/>
    <w:qFormat/>
    <w:uiPriority w:val="99"/>
    <w:rPr>
      <w:color w:val="1F4F88"/>
      <w:u w:val="none"/>
    </w:rPr>
  </w:style>
  <w:style w:type="character" w:customStyle="1" w:styleId="180">
    <w:name w:val="标题 1 Char"/>
    <w:qFormat/>
    <w:uiPriority w:val="99"/>
    <w:rPr>
      <w:rFonts w:eastAsia="宋体"/>
      <w:b/>
      <w:kern w:val="44"/>
      <w:sz w:val="44"/>
      <w:lang w:val="en-US" w:eastAsia="zh-CN"/>
    </w:rPr>
  </w:style>
  <w:style w:type="character" w:customStyle="1" w:styleId="181">
    <w:name w:val="批注主题 字符"/>
    <w:link w:val="72"/>
    <w:semiHidden/>
    <w:qFormat/>
    <w:locked/>
    <w:uiPriority w:val="99"/>
    <w:rPr>
      <w:rFonts w:ascii="Calibri" w:hAnsi="Calibri" w:eastAsia="宋体" w:cs="Times New Roman"/>
      <w:b/>
      <w:sz w:val="24"/>
      <w:lang w:val="en-US" w:eastAsia="en-US"/>
    </w:rPr>
  </w:style>
  <w:style w:type="character" w:customStyle="1" w:styleId="182">
    <w:name w:val="签名 字符"/>
    <w:link w:val="52"/>
    <w:semiHidden/>
    <w:qFormat/>
    <w:locked/>
    <w:uiPriority w:val="99"/>
    <w:rPr>
      <w:rFonts w:cs="Times New Roman"/>
      <w:sz w:val="24"/>
    </w:rPr>
  </w:style>
  <w:style w:type="character" w:customStyle="1" w:styleId="183">
    <w:name w:val="disabled"/>
    <w:qFormat/>
    <w:uiPriority w:val="0"/>
    <w:rPr>
      <w:color w:val="DDDDDD"/>
      <w:bdr w:val="single" w:color="EEEEEE" w:sz="6" w:space="0"/>
    </w:rPr>
  </w:style>
  <w:style w:type="character" w:customStyle="1" w:styleId="184">
    <w:name w:val="文档结构图 字符"/>
    <w:link w:val="24"/>
    <w:semiHidden/>
    <w:qFormat/>
    <w:locked/>
    <w:uiPriority w:val="99"/>
    <w:rPr>
      <w:sz w:val="2"/>
    </w:rPr>
  </w:style>
  <w:style w:type="character" w:customStyle="1" w:styleId="185">
    <w:name w:val="hover40"/>
    <w:qFormat/>
    <w:uiPriority w:val="99"/>
    <w:rPr>
      <w:color w:val="FF6600"/>
      <w:u w:val="single"/>
    </w:rPr>
  </w:style>
  <w:style w:type="character" w:customStyle="1" w:styleId="186">
    <w:name w:val="apple-converted-space"/>
    <w:qFormat/>
    <w:uiPriority w:val="99"/>
  </w:style>
  <w:style w:type="character" w:customStyle="1" w:styleId="187">
    <w:name w:val="正文文本首行缩进 2 字符"/>
    <w:link w:val="188"/>
    <w:semiHidden/>
    <w:qFormat/>
    <w:locked/>
    <w:uiPriority w:val="99"/>
    <w:rPr>
      <w:rFonts w:cs="Times New Roman"/>
      <w:sz w:val="24"/>
      <w:szCs w:val="24"/>
    </w:rPr>
  </w:style>
  <w:style w:type="paragraph" w:customStyle="1" w:styleId="188">
    <w:name w:val="正文文本首行缩进 2"/>
    <w:basedOn w:val="31"/>
    <w:link w:val="187"/>
    <w:semiHidden/>
    <w:qFormat/>
    <w:uiPriority w:val="99"/>
    <w:pPr>
      <w:spacing w:after="120" w:line="276" w:lineRule="auto"/>
      <w:ind w:left="420" w:leftChars="200" w:firstLine="420" w:firstLineChars="200"/>
      <w:jc w:val="left"/>
    </w:pPr>
    <w:rPr>
      <w:szCs w:val="24"/>
    </w:rPr>
  </w:style>
  <w:style w:type="character" w:customStyle="1" w:styleId="189">
    <w:name w:val="Char Char3"/>
    <w:qFormat/>
    <w:uiPriority w:val="99"/>
    <w:rPr>
      <w:rFonts w:ascii="Calibri" w:hAnsi="Calibri" w:eastAsia="宋体"/>
      <w:sz w:val="22"/>
      <w:lang w:eastAsia="en-US"/>
    </w:rPr>
  </w:style>
  <w:style w:type="character" w:customStyle="1" w:styleId="190">
    <w:name w:val="信息标题 字符"/>
    <w:link w:val="67"/>
    <w:semiHidden/>
    <w:qFormat/>
    <w:locked/>
    <w:uiPriority w:val="99"/>
    <w:rPr>
      <w:rFonts w:ascii="Cambria" w:hAnsi="Cambria" w:eastAsia="宋体" w:cs="Times New Roman"/>
      <w:sz w:val="24"/>
      <w:shd w:val="pct20" w:color="auto" w:fill="auto"/>
    </w:rPr>
  </w:style>
  <w:style w:type="character" w:customStyle="1" w:styleId="191">
    <w:name w:val="标题 6 字符"/>
    <w:link w:val="8"/>
    <w:qFormat/>
    <w:locked/>
    <w:uiPriority w:val="99"/>
    <w:rPr>
      <w:rFonts w:ascii="Arial" w:hAnsi="Arial" w:eastAsia="黑体" w:cs="Times New Roman"/>
      <w:b/>
    </w:rPr>
  </w:style>
  <w:style w:type="character" w:customStyle="1" w:styleId="192">
    <w:name w:val="结束语 字符"/>
    <w:link w:val="29"/>
    <w:semiHidden/>
    <w:qFormat/>
    <w:locked/>
    <w:uiPriority w:val="99"/>
    <w:rPr>
      <w:rFonts w:cs="Times New Roman"/>
      <w:sz w:val="24"/>
    </w:rPr>
  </w:style>
  <w:style w:type="character" w:customStyle="1" w:styleId="193">
    <w:name w:val="批注文字 字符"/>
    <w:link w:val="26"/>
    <w:qFormat/>
    <w:locked/>
    <w:uiPriority w:val="99"/>
    <w:rPr>
      <w:sz w:val="24"/>
    </w:rPr>
  </w:style>
  <w:style w:type="character" w:customStyle="1" w:styleId="194">
    <w:name w:val="标题 9 字符"/>
    <w:link w:val="11"/>
    <w:semiHidden/>
    <w:qFormat/>
    <w:locked/>
    <w:uiPriority w:val="99"/>
    <w:rPr>
      <w:rFonts w:ascii="Cambria" w:hAnsi="Cambria" w:eastAsia="宋体" w:cs="Times New Roman"/>
      <w:sz w:val="21"/>
    </w:rPr>
  </w:style>
  <w:style w:type="character" w:customStyle="1" w:styleId="195">
    <w:name w:val="hover42"/>
    <w:qFormat/>
    <w:uiPriority w:val="99"/>
    <w:rPr>
      <w:color w:val="FFFFFF"/>
      <w:shd w:val="clear" w:color="auto" w:fill="FF6600"/>
    </w:rPr>
  </w:style>
  <w:style w:type="character" w:customStyle="1" w:styleId="196">
    <w:name w:val="HTML 地址 字符"/>
    <w:link w:val="37"/>
    <w:semiHidden/>
    <w:qFormat/>
    <w:locked/>
    <w:uiPriority w:val="99"/>
    <w:rPr>
      <w:rFonts w:cs="Times New Roman"/>
      <w:i/>
      <w:sz w:val="24"/>
    </w:rPr>
  </w:style>
  <w:style w:type="character" w:customStyle="1" w:styleId="197">
    <w:name w:val="称呼 字符"/>
    <w:link w:val="27"/>
    <w:semiHidden/>
    <w:qFormat/>
    <w:locked/>
    <w:uiPriority w:val="99"/>
    <w:rPr>
      <w:rFonts w:cs="Times New Roman"/>
      <w:sz w:val="24"/>
    </w:rPr>
  </w:style>
  <w:style w:type="character" w:customStyle="1" w:styleId="198">
    <w:name w:val="正文缩进 字符"/>
    <w:link w:val="20"/>
    <w:qFormat/>
    <w:locked/>
    <w:uiPriority w:val="99"/>
    <w:rPr>
      <w:rFonts w:eastAsia="宋体"/>
      <w:sz w:val="21"/>
    </w:rPr>
  </w:style>
  <w:style w:type="character" w:customStyle="1" w:styleId="199">
    <w:name w:val="hover43"/>
    <w:qFormat/>
    <w:uiPriority w:val="99"/>
    <w:rPr>
      <w:color w:val="FF6600"/>
      <w:u w:val="single"/>
    </w:rPr>
  </w:style>
  <w:style w:type="character" w:customStyle="1" w:styleId="200">
    <w:name w:val="段 Char"/>
    <w:link w:val="201"/>
    <w:qFormat/>
    <w:locked/>
    <w:uiPriority w:val="99"/>
    <w:rPr>
      <w:rFonts w:ascii="宋体"/>
      <w:sz w:val="21"/>
      <w:lang w:val="en-US" w:eastAsia="zh-CN" w:bidi="ar-SA"/>
    </w:rPr>
  </w:style>
  <w:style w:type="paragraph" w:customStyle="1" w:styleId="201">
    <w:name w:val="段"/>
    <w:link w:val="200"/>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02">
    <w:name w:val="正文文本缩进 2 字符"/>
    <w:link w:val="46"/>
    <w:semiHidden/>
    <w:qFormat/>
    <w:locked/>
    <w:uiPriority w:val="99"/>
    <w:rPr>
      <w:rFonts w:cs="Times New Roman"/>
      <w:sz w:val="24"/>
    </w:rPr>
  </w:style>
  <w:style w:type="character" w:customStyle="1" w:styleId="203">
    <w:name w:val="hover39"/>
    <w:qFormat/>
    <w:uiPriority w:val="99"/>
    <w:rPr>
      <w:color w:val="FFFFFF"/>
      <w:shd w:val="clear" w:color="auto" w:fill="FF6600"/>
    </w:rPr>
  </w:style>
  <w:style w:type="paragraph" w:customStyle="1" w:styleId="204">
    <w:name w:val="样式4"/>
    <w:basedOn w:val="205"/>
    <w:qFormat/>
    <w:uiPriority w:val="99"/>
    <w:pPr>
      <w:keepNext w:val="0"/>
      <w:keepLines w:val="0"/>
      <w:tabs>
        <w:tab w:val="left" w:pos="360"/>
      </w:tabs>
      <w:autoSpaceDE/>
      <w:autoSpaceDN/>
      <w:adjustRightInd/>
      <w:spacing w:before="0" w:after="200" w:line="276" w:lineRule="auto"/>
      <w:ind w:left="360" w:firstLine="0" w:firstLineChars="0"/>
      <w:jc w:val="both"/>
      <w:outlineLvl w:val="9"/>
    </w:pPr>
    <w:rPr>
      <w:rFonts w:ascii="Calibri" w:hAnsi="Calibri"/>
      <w:szCs w:val="24"/>
    </w:rPr>
  </w:style>
  <w:style w:type="paragraph" w:customStyle="1" w:styleId="205">
    <w:name w:val="样式2"/>
    <w:basedOn w:val="7"/>
    <w:qFormat/>
    <w:uiPriority w:val="99"/>
    <w:pPr>
      <w:autoSpaceDE w:val="0"/>
      <w:autoSpaceDN w:val="0"/>
      <w:adjustRightInd w:val="0"/>
      <w:spacing w:before="240" w:after="240" w:line="500" w:lineRule="exact"/>
      <w:ind w:firstLine="204" w:firstLineChars="204"/>
      <w:jc w:val="left"/>
    </w:pPr>
    <w:rPr>
      <w:rFonts w:ascii="宋体" w:hAnsi="宋体"/>
      <w:sz w:val="24"/>
    </w:rPr>
  </w:style>
  <w:style w:type="paragraph" w:customStyle="1" w:styleId="206">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7">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208">
    <w:name w:val="xl2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09">
    <w:name w:val="本文項目"/>
    <w:basedOn w:val="1"/>
    <w:semiHidden/>
    <w:qFormat/>
    <w:uiPriority w:val="99"/>
    <w:pPr>
      <w:tabs>
        <w:tab w:val="left" w:pos="360"/>
      </w:tabs>
      <w:autoSpaceDE w:val="0"/>
      <w:autoSpaceDN w:val="0"/>
      <w:adjustRightInd w:val="0"/>
      <w:spacing w:beforeLines="50" w:afterLines="50" w:line="360" w:lineRule="auto"/>
      <w:ind w:left="360" w:hanging="360"/>
      <w:textAlignment w:val="baseline"/>
    </w:pPr>
    <w:rPr>
      <w:b/>
      <w:kern w:val="0"/>
      <w:sz w:val="24"/>
    </w:rPr>
  </w:style>
  <w:style w:type="paragraph" w:customStyle="1" w:styleId="210">
    <w:name w:val="表题"/>
    <w:basedOn w:val="41"/>
    <w:qFormat/>
    <w:uiPriority w:val="99"/>
    <w:pPr>
      <w:adjustRightInd w:val="0"/>
      <w:spacing w:line="480" w:lineRule="auto"/>
      <w:jc w:val="center"/>
    </w:pPr>
    <w:rPr>
      <w:rFonts w:ascii="Times New Roman" w:hAnsi="Times New Roman" w:eastAsia="黑体"/>
      <w:sz w:val="18"/>
    </w:rPr>
  </w:style>
  <w:style w:type="paragraph" w:customStyle="1" w:styleId="21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12">
    <w:name w:val="font6"/>
    <w:basedOn w:val="1"/>
    <w:qFormat/>
    <w:uiPriority w:val="99"/>
    <w:pPr>
      <w:widowControl/>
      <w:spacing w:before="100" w:beforeAutospacing="1" w:after="100" w:afterAutospacing="1"/>
      <w:jc w:val="left"/>
    </w:pPr>
    <w:rPr>
      <w:rFonts w:ascii="宋体" w:hAnsi="宋体" w:cs="宋体"/>
      <w:b/>
      <w:bCs/>
      <w:color w:val="000000"/>
      <w:kern w:val="0"/>
      <w:sz w:val="18"/>
      <w:szCs w:val="18"/>
    </w:rPr>
  </w:style>
  <w:style w:type="paragraph" w:customStyle="1" w:styleId="213">
    <w:name w:val="表格标注（绿盟科技）"/>
    <w:basedOn w:val="214"/>
    <w:next w:val="1"/>
    <w:semiHidden/>
    <w:qFormat/>
    <w:uiPriority w:val="99"/>
    <w:pPr>
      <w:numPr>
        <w:ilvl w:val="4"/>
      </w:numPr>
      <w:tabs>
        <w:tab w:val="left" w:pos="780"/>
        <w:tab w:val="left" w:pos="1620"/>
        <w:tab w:val="left" w:pos="1680"/>
      </w:tabs>
      <w:ind w:left="1620" w:hanging="360"/>
    </w:pPr>
  </w:style>
  <w:style w:type="paragraph" w:customStyle="1" w:styleId="214">
    <w:name w:val="插图标注（绿盟科技）"/>
    <w:next w:val="1"/>
    <w:semiHidden/>
    <w:qFormat/>
    <w:uiPriority w:val="99"/>
    <w:pPr>
      <w:numPr>
        <w:ilvl w:val="3"/>
        <w:numId w:val="1"/>
      </w:numPr>
      <w:spacing w:after="156"/>
      <w:ind w:left="426" w:firstLine="0"/>
      <w:jc w:val="center"/>
    </w:pPr>
    <w:rPr>
      <w:rFonts w:ascii="Arial" w:hAnsi="Arial" w:eastAsia="宋体" w:cs="Arial"/>
      <w:sz w:val="21"/>
      <w:szCs w:val="21"/>
      <w:lang w:val="en-US" w:eastAsia="zh-CN" w:bidi="ar-SA"/>
    </w:rPr>
  </w:style>
  <w:style w:type="paragraph" w:customStyle="1" w:styleId="215">
    <w:name w:val="xl37"/>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16">
    <w:name w:val="示例"/>
    <w:qFormat/>
    <w:uiPriority w:val="99"/>
    <w:pPr>
      <w:jc w:val="both"/>
    </w:pPr>
    <w:rPr>
      <w:rFonts w:ascii="宋体" w:hAnsi="Times New Roman" w:eastAsia="宋体" w:cs="Times New Roman"/>
      <w:sz w:val="18"/>
      <w:lang w:val="en-US" w:eastAsia="zh-CN" w:bidi="ar-SA"/>
    </w:rPr>
  </w:style>
  <w:style w:type="paragraph" w:customStyle="1" w:styleId="217">
    <w:name w:val="List Paragraph1"/>
    <w:basedOn w:val="1"/>
    <w:qFormat/>
    <w:uiPriority w:val="99"/>
    <w:pPr>
      <w:ind w:firstLine="420" w:firstLineChars="200"/>
    </w:pPr>
  </w:style>
  <w:style w:type="paragraph" w:customStyle="1" w:styleId="218">
    <w:name w:val="xl4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19">
    <w:name w:val="xl48"/>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20">
    <w:name w:val="标题 6（有编号）（绿盟科技）"/>
    <w:basedOn w:val="1"/>
    <w:next w:val="1"/>
    <w:semiHidden/>
    <w:qFormat/>
    <w:uiPriority w:val="99"/>
    <w:pPr>
      <w:keepNext/>
      <w:keepLines/>
      <w:numPr>
        <w:ilvl w:val="2"/>
        <w:numId w:val="1"/>
      </w:numPr>
      <w:spacing w:line="319" w:lineRule="auto"/>
      <w:ind w:left="1673" w:hanging="1247"/>
      <w:jc w:val="left"/>
      <w:outlineLvl w:val="5"/>
    </w:pPr>
    <w:rPr>
      <w:rFonts w:ascii="Arial" w:hAnsi="Arial" w:eastAsia="黑体"/>
      <w:b/>
      <w:kern w:val="0"/>
    </w:rPr>
  </w:style>
  <w:style w:type="paragraph" w:customStyle="1" w:styleId="221">
    <w:name w:val="PP 行"/>
    <w:basedOn w:val="52"/>
    <w:qFormat/>
    <w:uiPriority w:val="99"/>
  </w:style>
  <w:style w:type="paragraph" w:customStyle="1" w:styleId="2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23">
    <w:name w:val="列出段落2"/>
    <w:basedOn w:val="1"/>
    <w:qFormat/>
    <w:uiPriority w:val="99"/>
    <w:pPr>
      <w:ind w:firstLine="420" w:firstLineChars="200"/>
    </w:pPr>
  </w:style>
  <w:style w:type="paragraph" w:customStyle="1" w:styleId="224">
    <w:name w:val="样式1"/>
    <w:basedOn w:val="6"/>
    <w:qFormat/>
    <w:uiPriority w:val="99"/>
    <w:pPr>
      <w:autoSpaceDE w:val="0"/>
      <w:autoSpaceDN w:val="0"/>
      <w:adjustRightInd w:val="0"/>
      <w:spacing w:line="500" w:lineRule="exact"/>
      <w:ind w:firstLine="490" w:firstLineChars="204"/>
      <w:jc w:val="left"/>
    </w:pPr>
    <w:rPr>
      <w:rFonts w:ascii="宋体" w:hAnsi="宋体"/>
      <w:sz w:val="24"/>
    </w:rPr>
  </w:style>
  <w:style w:type="paragraph" w:customStyle="1" w:styleId="225">
    <w:name w:val="xl33"/>
    <w:basedOn w:val="226"/>
    <w:qFormat/>
    <w:uiPriority w:val="99"/>
    <w:pPr>
      <w:pBdr>
        <w:bottom w:val="single" w:color="auto" w:sz="4" w:space="0"/>
        <w:right w:val="single" w:color="auto" w:sz="4" w:space="0"/>
      </w:pBdr>
      <w:jc w:val="center"/>
    </w:pPr>
    <w:rPr>
      <w:sz w:val="20"/>
      <w:szCs w:val="20"/>
    </w:rPr>
  </w:style>
  <w:style w:type="paragraph" w:customStyle="1" w:styleId="226">
    <w:name w:val="style0"/>
    <w:basedOn w:val="1"/>
    <w:qFormat/>
    <w:uiPriority w:val="99"/>
    <w:pPr>
      <w:widowControl/>
      <w:spacing w:before="100" w:beforeAutospacing="1" w:after="100" w:afterAutospacing="1"/>
      <w:jc w:val="left"/>
    </w:pPr>
    <w:rPr>
      <w:rFonts w:ascii="宋体" w:hAnsi="宋体"/>
      <w:kern w:val="0"/>
      <w:sz w:val="24"/>
    </w:rPr>
  </w:style>
  <w:style w:type="paragraph" w:customStyle="1" w:styleId="227">
    <w:name w:val="xl43"/>
    <w:basedOn w:val="226"/>
    <w:qFormat/>
    <w:uiPriority w:val="99"/>
    <w:pPr>
      <w:pBdr>
        <w:bottom w:val="single" w:color="auto" w:sz="4" w:space="0"/>
        <w:right w:val="single" w:color="auto" w:sz="4" w:space="0"/>
      </w:pBdr>
      <w:jc w:val="center"/>
    </w:pPr>
    <w:rPr>
      <w:sz w:val="21"/>
      <w:szCs w:val="21"/>
    </w:rPr>
  </w:style>
  <w:style w:type="paragraph" w:customStyle="1" w:styleId="228">
    <w:name w:val="xl74"/>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29">
    <w:name w:val="xl73"/>
    <w:basedOn w:val="1"/>
    <w:qFormat/>
    <w:uiPriority w:val="99"/>
    <w:pPr>
      <w:widowControl/>
      <w:spacing w:before="100" w:beforeAutospacing="1" w:after="100" w:afterAutospacing="1"/>
      <w:jc w:val="center"/>
      <w:textAlignment w:val="center"/>
    </w:pPr>
    <w:rPr>
      <w:rFonts w:ascii="宋体" w:hAnsi="宋体" w:cs="宋体"/>
      <w:kern w:val="0"/>
      <w:sz w:val="18"/>
      <w:szCs w:val="18"/>
    </w:rPr>
  </w:style>
  <w:style w:type="paragraph" w:customStyle="1" w:styleId="230">
    <w:name w:val="标题 1（绿盟科技）"/>
    <w:basedOn w:val="3"/>
    <w:next w:val="1"/>
    <w:semiHidden/>
    <w:qFormat/>
    <w:uiPriority w:val="99"/>
    <w:pPr>
      <w:pBdr>
        <w:bottom w:val="single" w:color="auto" w:sz="48" w:space="1"/>
      </w:pBdr>
      <w:tabs>
        <w:tab w:val="left" w:pos="360"/>
      </w:tabs>
      <w:spacing w:line="576" w:lineRule="auto"/>
      <w:ind w:left="360" w:hanging="360"/>
      <w:jc w:val="left"/>
    </w:pPr>
    <w:rPr>
      <w:rFonts w:ascii="Arial" w:hAnsi="Arial" w:eastAsia="黑体"/>
    </w:rPr>
  </w:style>
  <w:style w:type="paragraph" w:customStyle="1" w:styleId="231">
    <w:name w:val="xl72"/>
    <w:basedOn w:val="1"/>
    <w:qFormat/>
    <w:uiPriority w:val="99"/>
    <w:pPr>
      <w:widowControl/>
      <w:spacing w:before="100" w:beforeAutospacing="1" w:after="100" w:afterAutospacing="1"/>
      <w:jc w:val="center"/>
      <w:textAlignment w:val="center"/>
    </w:pPr>
    <w:rPr>
      <w:rFonts w:ascii="宋体" w:hAnsi="宋体" w:cs="宋体"/>
      <w:kern w:val="0"/>
      <w:sz w:val="20"/>
      <w:szCs w:val="20"/>
    </w:rPr>
  </w:style>
  <w:style w:type="paragraph" w:customStyle="1" w:styleId="232">
    <w:name w:val="xl3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33">
    <w:name w:val="Char Char Char"/>
    <w:basedOn w:val="1"/>
    <w:qFormat/>
    <w:uiPriority w:val="99"/>
    <w:rPr>
      <w:rFonts w:ascii="宋体" w:hAnsi="宋体"/>
      <w:b/>
      <w:sz w:val="28"/>
      <w:szCs w:val="28"/>
    </w:rPr>
  </w:style>
  <w:style w:type="paragraph" w:customStyle="1" w:styleId="234">
    <w:name w:val="Char Char1 Char Char Char Char"/>
    <w:basedOn w:val="1"/>
    <w:qFormat/>
    <w:uiPriority w:val="99"/>
    <w:pPr>
      <w:keepNext/>
      <w:keepLines/>
      <w:adjustRightInd w:val="0"/>
      <w:spacing w:beforeLines="100" w:afterLines="100" w:line="300" w:lineRule="auto"/>
      <w:ind w:firstLine="200" w:firstLineChars="200"/>
      <w:textAlignment w:val="center"/>
    </w:pPr>
    <w:rPr>
      <w:rFonts w:ascii="仿宋_GB2312" w:hAnsi="宋体" w:eastAsia="仿宋_GB2312"/>
      <w:kern w:val="0"/>
      <w:sz w:val="24"/>
      <w:szCs w:val="20"/>
    </w:rPr>
  </w:style>
  <w:style w:type="paragraph" w:customStyle="1" w:styleId="235">
    <w:name w:val="xl2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36">
    <w:name w:val="xl4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37">
    <w:name w:val="标题 4（绿盟科技）"/>
    <w:basedOn w:val="6"/>
    <w:next w:val="1"/>
    <w:semiHidden/>
    <w:qFormat/>
    <w:uiPriority w:val="99"/>
    <w:pPr>
      <w:widowControl/>
      <w:tabs>
        <w:tab w:val="left" w:pos="360"/>
      </w:tabs>
      <w:ind w:left="1447" w:hanging="1021"/>
      <w:jc w:val="left"/>
    </w:pPr>
  </w:style>
  <w:style w:type="paragraph" w:customStyle="1" w:styleId="238">
    <w:name w:val="xl29"/>
    <w:basedOn w:val="1"/>
    <w:qFormat/>
    <w:uiPriority w:val="99"/>
    <w:pPr>
      <w:widowControl/>
      <w:pBdr>
        <w:top w:val="single" w:color="auto" w:sz="4" w:space="0"/>
        <w:lef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39">
    <w:name w:val="xl32"/>
    <w:basedOn w:val="1"/>
    <w:qFormat/>
    <w:uiPriority w:val="99"/>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241">
    <w:name w:val="xl30"/>
    <w:basedOn w:val="1"/>
    <w:qFormat/>
    <w:uiPriority w:val="99"/>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42">
    <w:name w:val="正文2"/>
    <w:basedOn w:val="1"/>
    <w:semiHidden/>
    <w:qFormat/>
    <w:uiPriority w:val="99"/>
    <w:pPr>
      <w:spacing w:before="156" w:line="360" w:lineRule="auto"/>
      <w:ind w:firstLine="510" w:firstLineChars="200"/>
    </w:pPr>
    <w:rPr>
      <w:sz w:val="24"/>
      <w:szCs w:val="20"/>
    </w:rPr>
  </w:style>
  <w:style w:type="paragraph" w:customStyle="1" w:styleId="243">
    <w:name w:val="xl28"/>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44">
    <w:name w:val="Char Char Char Char"/>
    <w:basedOn w:val="1"/>
    <w:qFormat/>
    <w:uiPriority w:val="99"/>
    <w:rPr>
      <w:rFonts w:ascii="Tahoma" w:hAnsi="Tahoma"/>
      <w:sz w:val="24"/>
      <w:szCs w:val="20"/>
    </w:rPr>
  </w:style>
  <w:style w:type="paragraph" w:customStyle="1" w:styleId="245">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46">
    <w:name w:val="样式5"/>
    <w:basedOn w:val="1"/>
    <w:next w:val="40"/>
    <w:qFormat/>
    <w:uiPriority w:val="99"/>
    <w:pPr>
      <w:tabs>
        <w:tab w:val="left" w:pos="980"/>
      </w:tabs>
      <w:spacing w:line="360" w:lineRule="auto"/>
      <w:ind w:left="140" w:right="-20"/>
      <w:outlineLvl w:val="0"/>
    </w:pPr>
    <w:rPr>
      <w:b/>
      <w:bCs/>
      <w:kern w:val="0"/>
      <w:sz w:val="28"/>
      <w:szCs w:val="28"/>
    </w:rPr>
  </w:style>
  <w:style w:type="paragraph" w:customStyle="1" w:styleId="247">
    <w:name w:val="a2"/>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8">
    <w:name w:val="正文居中"/>
    <w:basedOn w:val="1"/>
    <w:next w:val="135"/>
    <w:qFormat/>
    <w:uiPriority w:val="99"/>
    <w:pPr>
      <w:jc w:val="center"/>
    </w:pPr>
    <w:rPr>
      <w:sz w:val="24"/>
      <w:szCs w:val="20"/>
    </w:rPr>
  </w:style>
  <w:style w:type="paragraph" w:customStyle="1" w:styleId="249">
    <w:name w:val="font0"/>
    <w:basedOn w:val="1"/>
    <w:qFormat/>
    <w:uiPriority w:val="99"/>
    <w:pPr>
      <w:widowControl/>
      <w:spacing w:before="100" w:beforeAutospacing="1" w:after="100" w:afterAutospacing="1"/>
      <w:jc w:val="left"/>
    </w:pPr>
    <w:rPr>
      <w:rFonts w:ascii="宋体" w:hAnsi="宋体" w:cs="宋体"/>
      <w:kern w:val="0"/>
      <w:sz w:val="24"/>
    </w:rPr>
  </w:style>
  <w:style w:type="paragraph" w:customStyle="1" w:styleId="250">
    <w:name w:val="列出段落11"/>
    <w:basedOn w:val="1"/>
    <w:semiHidden/>
    <w:qFormat/>
    <w:uiPriority w:val="99"/>
    <w:pPr>
      <w:ind w:firstLine="420" w:firstLineChars="200"/>
    </w:pPr>
    <w:rPr>
      <w:szCs w:val="20"/>
    </w:rPr>
  </w:style>
  <w:style w:type="paragraph" w:customStyle="1" w:styleId="251">
    <w:name w:val="111111"/>
    <w:basedOn w:val="71"/>
    <w:qFormat/>
    <w:uiPriority w:val="99"/>
    <w:pPr>
      <w:jc w:val="both"/>
    </w:pPr>
  </w:style>
  <w:style w:type="paragraph" w:customStyle="1" w:styleId="252">
    <w:name w:val="xl46"/>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53">
    <w:name w:val="标题 2（绿盟科技）"/>
    <w:basedOn w:val="4"/>
    <w:next w:val="1"/>
    <w:semiHidden/>
    <w:qFormat/>
    <w:uiPriority w:val="99"/>
    <w:pPr>
      <w:numPr>
        <w:ilvl w:val="1"/>
        <w:numId w:val="1"/>
      </w:numPr>
      <w:tabs>
        <w:tab w:val="left" w:pos="1440"/>
      </w:tabs>
      <w:spacing w:line="415" w:lineRule="auto"/>
      <w:jc w:val="left"/>
    </w:pPr>
  </w:style>
  <w:style w:type="paragraph" w:customStyle="1" w:styleId="25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55">
    <w:name w:val="Char Char 字元 字元 字元 Char Char Char Char"/>
    <w:basedOn w:val="1"/>
    <w:qFormat/>
    <w:uiPriority w:val="99"/>
    <w:pPr>
      <w:adjustRightInd w:val="0"/>
      <w:spacing w:line="360" w:lineRule="auto"/>
    </w:pPr>
    <w:rPr>
      <w:kern w:val="0"/>
      <w:sz w:val="24"/>
      <w:szCs w:val="20"/>
    </w:rPr>
  </w:style>
  <w:style w:type="paragraph" w:customStyle="1" w:styleId="256">
    <w:name w:val="p0"/>
    <w:basedOn w:val="1"/>
    <w:semiHidden/>
    <w:qFormat/>
    <w:uiPriority w:val="99"/>
    <w:pPr>
      <w:widowControl/>
      <w:spacing w:after="200" w:line="273" w:lineRule="auto"/>
      <w:jc w:val="left"/>
    </w:pPr>
    <w:rPr>
      <w:rFonts w:ascii="Calibri" w:hAnsi="Calibri" w:cs="宋体"/>
      <w:kern w:val="0"/>
      <w:sz w:val="22"/>
      <w:szCs w:val="22"/>
    </w:rPr>
  </w:style>
  <w:style w:type="paragraph" w:customStyle="1" w:styleId="257">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8">
    <w:name w:val="五级无标题条"/>
    <w:basedOn w:val="1"/>
    <w:qFormat/>
    <w:uiPriority w:val="99"/>
    <w:pPr>
      <w:tabs>
        <w:tab w:val="left" w:pos="840"/>
      </w:tabs>
      <w:ind w:left="840" w:hanging="630"/>
    </w:pPr>
    <w:rPr>
      <w:szCs w:val="20"/>
    </w:rPr>
  </w:style>
  <w:style w:type="paragraph" w:customStyle="1" w:styleId="259">
    <w:name w:val="t4_2"/>
    <w:basedOn w:val="1"/>
    <w:qFormat/>
    <w:uiPriority w:val="99"/>
    <w:pPr>
      <w:widowControl/>
      <w:tabs>
        <w:tab w:val="left" w:pos="360"/>
      </w:tabs>
      <w:spacing w:line="360" w:lineRule="auto"/>
      <w:ind w:left="420"/>
      <w:jc w:val="left"/>
    </w:pPr>
    <w:rPr>
      <w:b/>
    </w:rPr>
  </w:style>
  <w:style w:type="paragraph" w:customStyle="1" w:styleId="260">
    <w:name w:val="标题 3（绿盟科技）"/>
    <w:basedOn w:val="5"/>
    <w:next w:val="1"/>
    <w:semiHidden/>
    <w:qFormat/>
    <w:uiPriority w:val="99"/>
    <w:pPr>
      <w:tabs>
        <w:tab w:val="left" w:pos="960"/>
        <w:tab w:val="left" w:pos="1260"/>
      </w:tabs>
      <w:spacing w:line="415" w:lineRule="auto"/>
      <w:ind w:left="1260" w:firstLine="147" w:firstLineChars="147"/>
      <w:jc w:val="left"/>
    </w:pPr>
    <w:rPr>
      <w:rFonts w:ascii="Arial" w:hAnsi="Arial" w:eastAsia="黑体"/>
      <w:sz w:val="30"/>
      <w:szCs w:val="30"/>
    </w:rPr>
  </w:style>
  <w:style w:type="paragraph" w:customStyle="1" w:styleId="261">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62">
    <w:name w:val="xl27"/>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63">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64">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65">
    <w:name w:val="xl4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6">
    <w:name w:val="标题 5（有编号）（绿盟科技）"/>
    <w:basedOn w:val="1"/>
    <w:next w:val="1"/>
    <w:semiHidden/>
    <w:qFormat/>
    <w:uiPriority w:val="99"/>
    <w:pPr>
      <w:keepNext/>
      <w:keepLines/>
      <w:tabs>
        <w:tab w:val="left" w:pos="840"/>
      </w:tabs>
      <w:spacing w:line="377" w:lineRule="auto"/>
      <w:ind w:left="1560" w:hanging="1134"/>
      <w:jc w:val="left"/>
      <w:outlineLvl w:val="4"/>
    </w:pPr>
    <w:rPr>
      <w:rFonts w:ascii="Arial" w:hAnsi="Arial" w:eastAsia="黑体"/>
      <w:b/>
      <w:kern w:val="0"/>
      <w:sz w:val="24"/>
      <w:szCs w:val="28"/>
    </w:rPr>
  </w:style>
  <w:style w:type="paragraph" w:customStyle="1" w:styleId="267">
    <w:name w:val="xl39"/>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68">
    <w:name w:val="xl44"/>
    <w:basedOn w:val="1"/>
    <w:qFormat/>
    <w:uiPriority w:val="99"/>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69">
    <w:name w:val="xl45"/>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44"/>
      <w:szCs w:val="44"/>
    </w:rPr>
  </w:style>
  <w:style w:type="paragraph" w:customStyle="1" w:styleId="27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71">
    <w:name w:val="注×："/>
    <w:semiHidden/>
    <w:qFormat/>
    <w:uiPriority w:val="99"/>
    <w:pPr>
      <w:widowControl w:val="0"/>
      <w:tabs>
        <w:tab w:val="left" w:pos="360"/>
        <w:tab w:val="left" w:pos="630"/>
      </w:tabs>
      <w:autoSpaceDE w:val="0"/>
      <w:autoSpaceDN w:val="0"/>
      <w:ind w:left="360" w:hanging="360"/>
      <w:jc w:val="both"/>
    </w:pPr>
    <w:rPr>
      <w:rFonts w:ascii="宋体" w:hAnsi="Times New Roman" w:eastAsia="宋体" w:cs="Times New Roman"/>
      <w:sz w:val="18"/>
      <w:lang w:val="en-US" w:eastAsia="zh-CN" w:bidi="ar-SA"/>
    </w:rPr>
  </w:style>
  <w:style w:type="paragraph" w:customStyle="1" w:styleId="272">
    <w:name w:val="xl78"/>
    <w:basedOn w:val="1"/>
    <w:qFormat/>
    <w:uiPriority w:val="99"/>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黑体" w:hAnsi="宋体" w:eastAsia="黑体" w:cs="宋体"/>
      <w:b/>
      <w:bCs/>
      <w:kern w:val="0"/>
      <w:sz w:val="28"/>
      <w:szCs w:val="28"/>
    </w:rPr>
  </w:style>
  <w:style w:type="paragraph" w:customStyle="1" w:styleId="273">
    <w:name w:val="xl3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4">
    <w:name w:val="xl34"/>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5">
    <w:name w:val="xl38"/>
    <w:basedOn w:val="1"/>
    <w:qFormat/>
    <w:uiPriority w:val="99"/>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44"/>
      <w:szCs w:val="44"/>
    </w:rPr>
  </w:style>
  <w:style w:type="paragraph" w:customStyle="1" w:styleId="276">
    <w:name w:val="Char Char1 Char Char Char Char1"/>
    <w:basedOn w:val="1"/>
    <w:qFormat/>
    <w:uiPriority w:val="99"/>
    <w:pPr>
      <w:keepNext/>
      <w:keepLines/>
      <w:adjustRightInd w:val="0"/>
      <w:spacing w:beforeLines="100" w:afterLines="100" w:line="300" w:lineRule="auto"/>
      <w:ind w:firstLine="200" w:firstLineChars="200"/>
    </w:pPr>
    <w:rPr>
      <w:rFonts w:ascii="仿宋_GB2312" w:hAnsi="宋体" w:eastAsia="仿宋_GB2312"/>
      <w:kern w:val="0"/>
      <w:sz w:val="24"/>
      <w:szCs w:val="20"/>
    </w:rPr>
  </w:style>
  <w:style w:type="paragraph" w:customStyle="1" w:styleId="277">
    <w:name w:val="xl4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 w:val="24"/>
    </w:rPr>
  </w:style>
  <w:style w:type="paragraph" w:customStyle="1" w:styleId="278">
    <w:name w:val="简单回函地址"/>
    <w:basedOn w:val="1"/>
    <w:qFormat/>
    <w:uiPriority w:val="99"/>
  </w:style>
  <w:style w:type="paragraph" w:customStyle="1" w:styleId="279">
    <w:name w:val="xl47"/>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80">
    <w:name w:val="xl50"/>
    <w:basedOn w:val="1"/>
    <w:qFormat/>
    <w:uiPriority w:val="99"/>
    <w:pPr>
      <w:widowControl/>
      <w:pBdr>
        <w:lef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2">
    <w:name w:val="样式目录三"/>
    <w:basedOn w:val="40"/>
    <w:semiHidden/>
    <w:qFormat/>
    <w:uiPriority w:val="99"/>
    <w:pPr>
      <w:numPr>
        <w:ilvl w:val="5"/>
        <w:numId w:val="1"/>
      </w:numPr>
      <w:tabs>
        <w:tab w:val="left" w:pos="1320"/>
        <w:tab w:val="right" w:leader="dot" w:pos="8597"/>
      </w:tabs>
      <w:spacing w:line="360" w:lineRule="auto"/>
      <w:ind w:left="0" w:firstLine="0"/>
      <w:outlineLvl w:val="2"/>
    </w:pPr>
    <w:rPr>
      <w:i w:val="0"/>
      <w:sz w:val="24"/>
    </w:rPr>
  </w:style>
  <w:style w:type="paragraph" w:customStyle="1" w:styleId="28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284">
    <w:name w:val="Char"/>
    <w:basedOn w:val="1"/>
    <w:qFormat/>
    <w:uiPriority w:val="99"/>
    <w:pPr>
      <w:tabs>
        <w:tab w:val="left" w:pos="708"/>
      </w:tabs>
      <w:ind w:firstLine="420"/>
    </w:pPr>
    <w:rPr>
      <w:rFonts w:ascii="仿宋_GB2312" w:eastAsia="仿宋_GB2312"/>
      <w:sz w:val="24"/>
    </w:rPr>
  </w:style>
  <w:style w:type="paragraph" w:customStyle="1" w:styleId="285">
    <w:name w:val="默认段落字体 Para Char Char Char Char Char Char Char Char Char Char Char Char Char Char Char1 Char Char Char Char"/>
    <w:basedOn w:val="24"/>
    <w:qFormat/>
    <w:uiPriority w:val="99"/>
    <w:pPr>
      <w:adjustRightInd w:val="0"/>
      <w:spacing w:line="436" w:lineRule="exact"/>
      <w:ind w:left="357"/>
      <w:jc w:val="left"/>
      <w:outlineLvl w:val="3"/>
    </w:pPr>
    <w:rPr>
      <w:rFonts w:ascii="仿宋_GB2312" w:eastAsia="仿宋_GB2312"/>
      <w:sz w:val="24"/>
    </w:rPr>
  </w:style>
  <w:style w:type="paragraph" w:customStyle="1" w:styleId="286">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87">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88">
    <w:name w:val="xl51"/>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24"/>
    </w:rPr>
  </w:style>
  <w:style w:type="paragraph" w:customStyle="1" w:styleId="289">
    <w:name w:val="列表段落"/>
    <w:basedOn w:val="1"/>
    <w:qFormat/>
    <w:uiPriority w:val="99"/>
    <w:pPr>
      <w:ind w:firstLine="420" w:firstLineChars="200"/>
    </w:pPr>
  </w:style>
  <w:style w:type="paragraph" w:customStyle="1" w:styleId="290">
    <w:name w:val="图表文字"/>
    <w:qFormat/>
    <w:uiPriority w:val="99"/>
    <w:rPr>
      <w:rFonts w:ascii="Times New Roman" w:hAnsi="Times New Roman" w:eastAsia="宋体" w:cs="Times New Roman"/>
      <w:sz w:val="21"/>
      <w:szCs w:val="21"/>
      <w:lang w:val="en-US" w:eastAsia="zh-CN" w:bidi="ar-SA"/>
    </w:rPr>
  </w:style>
  <w:style w:type="table" w:customStyle="1" w:styleId="291">
    <w:name w:val="表三维效果 1"/>
    <w:basedOn w:val="73"/>
    <w:semiHidden/>
    <w:qFormat/>
    <w:uiPriority w:val="99"/>
    <w:pPr>
      <w:widowControl w:val="0"/>
      <w:spacing w:after="200" w:line="276" w:lineRule="auto"/>
    </w:pPr>
    <w:rPr>
      <w:rFonts w:ascii="Calibri" w:hAnsi="Calibri"/>
    </w:rPr>
    <w:tblPr>
      <w:tblLayout w:type="fixed"/>
      <w:tblCellMar>
        <w:top w:w="0" w:type="dxa"/>
        <w:left w:w="108" w:type="dxa"/>
        <w:bottom w:w="0" w:type="dxa"/>
        <w:right w:w="108" w:type="dxa"/>
      </w:tblCellMar>
    </w:tblPr>
    <w:tcPr>
      <w:shd w:val="solid" w:color="C0C0C0" w:fill="FFFFFF"/>
    </w:tcPr>
    <w:tblStylePr w:type="firstRow">
      <w:rPr>
        <w:rFonts w:cs="Times New Roman"/>
        <w:b/>
        <w:bCs/>
        <w:color w:val="800080"/>
      </w:rPr>
      <w:tcPr>
        <w:tcBorders>
          <w:top w:val="nil"/>
          <w:left w:val="single" w:color="808080" w:sz="6" w:space="0"/>
          <w:bottom w:val="nil"/>
          <w:right w:val="nil"/>
          <w:insideH w:val="nil"/>
          <w:insideV w:val="nil"/>
          <w:tl2br w:val="nil"/>
          <w:tr2bl w:val="nil"/>
        </w:tcBorders>
      </w:tcPr>
    </w:tblStylePr>
    <w:tblStylePr w:type="lastRow">
      <w:rPr>
        <w:rFonts w:cs="Times New Roman"/>
      </w:rPr>
      <w:tcPr>
        <w:tcBorders>
          <w:top w:val="single" w:color="FFFFFF" w:sz="6" w:space="0"/>
          <w:left w:val="nil"/>
          <w:bottom w:val="nil"/>
          <w:right w:val="nil"/>
          <w:insideH w:val="nil"/>
          <w:insideV w:val="nil"/>
          <w:tl2br w:val="nil"/>
          <w:tr2bl w:val="nil"/>
        </w:tcBorders>
      </w:tcPr>
    </w:tblStylePr>
    <w:tblStylePr w:type="firstCol">
      <w:rPr>
        <w:rFonts w:cs="Times New Roman"/>
        <w:b/>
        <w:bCs/>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single" w:color="FFFFFF" w:sz="6" w:space="0"/>
          <w:right w:val="nil"/>
          <w:insideH w:val="nil"/>
          <w:insideV w:val="nil"/>
          <w:tl2br w:val="nil"/>
          <w:tr2bl w:val="nil"/>
        </w:tcBorders>
      </w:tcPr>
    </w:tblStylePr>
    <w:tblStylePr w:type="neCell">
      <w:rPr>
        <w:rFonts w:cs="Times New Roman"/>
      </w:rPr>
      <w:tcPr>
        <w:tcBorders>
          <w:top w:val="nil"/>
          <w:left w:val="nil"/>
          <w:bottom w:val="nil"/>
          <w:right w:val="nil"/>
          <w:insideH w:val="nil"/>
          <w:insideV w:val="nil"/>
          <w:tl2br w:val="nil"/>
          <w:tr2bl w:val="nil"/>
        </w:tcBorders>
      </w:tcPr>
    </w:tblStylePr>
    <w:tblStylePr w:type="nwCell">
      <w:rPr>
        <w:rFonts w:cs="Times New Roman"/>
      </w:rPr>
      <w:tcPr>
        <w:tcBorders>
          <w:top w:val="nil"/>
          <w:left w:val="nil"/>
          <w:bottom w:val="nil"/>
          <w:right w:val="nil"/>
          <w:insideH w:val="nil"/>
          <w:insideV w:val="nil"/>
          <w:tl2br w:val="nil"/>
          <w:tr2bl w:val="nil"/>
        </w:tcBorders>
      </w:tcPr>
    </w:tblStylePr>
    <w:tblStylePr w:type="seCell">
      <w:rPr>
        <w:rFonts w:cs="Times New Roman"/>
      </w:rPr>
      <w:tcPr>
        <w:tcBorders>
          <w:top w:val="nil"/>
          <w:left w:val="nil"/>
          <w:bottom w:val="nil"/>
          <w:right w:val="nil"/>
          <w:insideH w:val="nil"/>
          <w:insideV w:val="nil"/>
          <w:tl2br w:val="nil"/>
          <w:tr2bl w:val="nil"/>
        </w:tcBorders>
      </w:tcPr>
    </w:tblStylePr>
    <w:tblStylePr w:type="swCell">
      <w:rPr>
        <w:rFonts w:cs="Times New Roman"/>
        <w:color w:val="000080"/>
      </w:rPr>
      <w:tcPr>
        <w:tcBorders>
          <w:top w:val="nil"/>
          <w:left w:val="nil"/>
          <w:bottom w:val="nil"/>
          <w:right w:val="nil"/>
          <w:insideH w:val="nil"/>
          <w:insideV w:val="nil"/>
          <w:tl2br w:val="nil"/>
          <w:tr2bl w:val="nil"/>
        </w:tcBorders>
      </w:tcPr>
    </w:tblStylePr>
  </w:style>
  <w:style w:type="table" w:customStyle="1" w:styleId="292">
    <w:name w:val="表三维效果 2"/>
    <w:basedOn w:val="73"/>
    <w:semiHidden/>
    <w:qFormat/>
    <w:uiPriority w:val="99"/>
    <w:pPr>
      <w:widowControl w:val="0"/>
      <w:spacing w:after="200" w:line="276" w:lineRule="auto"/>
    </w:pPr>
    <w:rPr>
      <w:rFonts w:ascii="Calibri" w:hAnsi="Calibri"/>
    </w:rPr>
    <w:tblPr>
      <w:tblLayout w:type="fixed"/>
      <w:tblCellMar>
        <w:top w:w="0" w:type="dxa"/>
        <w:left w:w="108" w:type="dxa"/>
        <w:bottom w:w="0" w:type="dxa"/>
        <w:right w:w="108" w:type="dxa"/>
      </w:tblCellMar>
    </w:tblPr>
    <w:tcPr>
      <w:shd w:val="solid" w:color="C0C0C0" w:fill="FFFFFF"/>
    </w:tc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Horz">
      <w:rPr>
        <w:rFonts w:cs="Times New Roman"/>
      </w:r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93">
    <w:name w:val="表三维效果 3"/>
    <w:basedOn w:val="73"/>
    <w:semiHidden/>
    <w:qFormat/>
    <w:uiPriority w:val="99"/>
    <w:pPr>
      <w:widowControl w:val="0"/>
      <w:spacing w:after="200" w:line="276" w:lineRule="auto"/>
    </w:pPr>
    <w:rPr>
      <w:rFonts w:ascii="Calibri" w:hAnsi="Calibri"/>
    </w:rPr>
    <w:tblPr>
      <w:tblLayout w:type="fixed"/>
      <w:tblCellMar>
        <w:top w:w="0" w:type="dxa"/>
        <w:left w:w="108" w:type="dxa"/>
        <w:bottom w:w="0" w:type="dxa"/>
        <w:right w:w="108" w:type="dxa"/>
      </w:tblCellMar>
    </w:tblPr>
    <w:tblStylePr w:type="firstRow">
      <w:rPr>
        <w:rFonts w:cs="Times New Roman"/>
        <w:b/>
        <w:bCs/>
      </w:rPr>
      <w:tcPr>
        <w:tcBorders>
          <w:top w:val="nil"/>
          <w:left w:val="nil"/>
          <w:bottom w:val="nil"/>
          <w:right w:val="nil"/>
          <w:insideH w:val="nil"/>
          <w:insideV w:val="nil"/>
          <w:tl2br w:val="nil"/>
          <w:tr2bl w:val="nil"/>
        </w:tcBorders>
      </w:tcPr>
    </w:tblStylePr>
    <w:tblStylePr w:type="firstCol">
      <w:rPr>
        <w:rFonts w:cs="Times New Roman"/>
      </w:rPr>
      <w:tcPr>
        <w:tcBorders>
          <w:top w:val="nil"/>
          <w:left w:val="nil"/>
          <w:bottom w:val="nil"/>
          <w:right w:val="single" w:color="808080" w:sz="6" w:space="0"/>
          <w:insideH w:val="nil"/>
          <w:insideV w:val="nil"/>
          <w:tl2br w:val="nil"/>
          <w:tr2bl w:val="nil"/>
        </w:tcBorders>
      </w:tcPr>
    </w:tblStylePr>
    <w:tblStylePr w:type="lastCol">
      <w:rPr>
        <w:rFonts w:cs="Times New Roman"/>
      </w:rPr>
      <w:tcPr>
        <w:tcBorders>
          <w:top w:val="nil"/>
          <w:left w:val="nil"/>
          <w:bottom w:val="nil"/>
          <w:right w:val="single" w:color="FFFFFF" w:sz="6" w:space="0"/>
          <w:insideH w:val="nil"/>
          <w:insideV w:val="nil"/>
          <w:tl2br w:val="nil"/>
          <w:tr2bl w:val="nil"/>
        </w:tcBorders>
      </w:tcPr>
    </w:tblStylePr>
    <w:tblStylePr w:type="band1Vert">
      <w:rPr>
        <w:rFonts w:cs="Times New Roman"/>
        <w:color w:val="auto"/>
      </w:rPr>
      <w:tcPr>
        <w:shd w:val="solid" w:color="C0C0C0" w:fill="FFFFFF"/>
      </w:tcPr>
    </w:tblStylePr>
    <w:tblStylePr w:type="band2Vert">
      <w:rPr>
        <w:rFonts w:cs="Times New Roman"/>
        <w:color w:val="auto"/>
      </w:rPr>
      <w:tcPr>
        <w:shd w:val="pct50" w:color="C0C0C0" w:fill="FFFFFF"/>
      </w:tcPr>
    </w:tblStylePr>
    <w:tblStylePr w:type="band1Horz">
      <w:rPr>
        <w:rFonts w:cs="Times New Roman"/>
      </w:rPr>
      <w:tcPr>
        <w:tcBorders>
          <w:top w:val="single" w:color="808080" w:sz="6" w:space="0"/>
          <w:left w:val="single" w:color="FFFFFF" w:sz="6" w:space="0"/>
          <w:bottom w:val="nil"/>
          <w:right w:val="nil"/>
          <w:insideH w:val="nil"/>
          <w:insideV w:val="nil"/>
          <w:tl2br w:val="nil"/>
          <w:tr2bl w:val="nil"/>
        </w:tcBorders>
      </w:tcPr>
    </w:tblStylePr>
    <w:tblStylePr w:type="swCell">
      <w:rPr>
        <w:rFonts w:cs="Times New Roman"/>
        <w:b/>
        <w:bCs/>
      </w:rPr>
      <w:tcPr>
        <w:tcBorders>
          <w:top w:val="nil"/>
          <w:left w:val="nil"/>
          <w:bottom w:val="nil"/>
          <w:right w:val="nil"/>
          <w:insideH w:val="nil"/>
          <w:insideV w:val="nil"/>
          <w:tl2br w:val="nil"/>
          <w:tr2bl w:val="nil"/>
        </w:tcBorders>
      </w:tcPr>
    </w:tblStylePr>
  </w:style>
  <w:style w:type="table" w:customStyle="1" w:styleId="294">
    <w:name w:val="网格型1"/>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95">
    <w:name w:val="正文文本 Char"/>
    <w:qFormat/>
    <w:locked/>
    <w:uiPriority w:val="99"/>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5626</Words>
  <Characters>32070</Characters>
  <Lines>267</Lines>
  <Paragraphs>75</Paragraphs>
  <TotalTime>4</TotalTime>
  <ScaleCrop>false</ScaleCrop>
  <LinksUpToDate>false</LinksUpToDate>
  <CharactersWithSpaces>37621</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2019-06-20T06:28:00Z</dcterms:created>
  <dc:creator>USER</dc:creator>
  <cp:lastModifiedBy>zhaobiao</cp:lastModifiedBy>
  <cp:lastPrinted>2018-06-28T11:17:00Z</cp:lastPrinted>
  <dcterms:modified xsi:type="dcterms:W3CDTF">2019-06-20T07:12:40Z</dcterms:modified>
  <dc:title>招标文件目录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