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sz w:val="72"/>
          <w:szCs w:val="32"/>
          <w:highlight w:val="none"/>
        </w:rPr>
      </w:pPr>
      <w:r>
        <w:rPr>
          <w:rFonts w:hint="eastAsia" w:ascii="宋体" w:hAnsi="宋体"/>
          <w:b/>
          <w:sz w:val="44"/>
          <w:szCs w:val="36"/>
          <w:highlight w:val="none"/>
        </w:rPr>
        <w:t>山东大学第二医院医疗设备采购项目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hint="eastAsia" w:ascii="宋体" w:hAnsi="宋体"/>
          <w:b/>
          <w:sz w:val="32"/>
          <w:highlight w:val="none"/>
          <w:lang w:val="en-US" w:eastAsia="zh-CN"/>
        </w:rPr>
        <w:t>：</w:t>
      </w:r>
      <w:r>
        <w:rPr>
          <w:rFonts w:hint="eastAsia" w:ascii="宋体" w:hAnsi="宋体"/>
          <w:b/>
          <w:sz w:val="32"/>
          <w:highlight w:val="none"/>
          <w:lang w:eastAsia="zh-CN"/>
        </w:rPr>
        <w:t>0676-196008ZB018028</w:t>
      </w:r>
    </w:p>
    <w:p>
      <w:pPr>
        <w:spacing w:line="480" w:lineRule="auto"/>
        <w:rPr>
          <w:rFonts w:hint="eastAsia" w:ascii="宋体" w:hAnsi="宋体" w:cs="Times New Roman"/>
          <w:b/>
          <w:sz w:val="32"/>
          <w:highlight w:val="none"/>
          <w:lang w:val="en-US" w:eastAsia="zh-CN"/>
        </w:rPr>
      </w:pPr>
      <w:r>
        <w:rPr>
          <w:rFonts w:hint="eastAsia" w:ascii="宋体" w:hAnsi="宋体"/>
          <w:b/>
          <w:sz w:val="32"/>
          <w:highlight w:val="none"/>
          <w:lang w:val="en-US" w:eastAsia="zh-CN"/>
        </w:rPr>
        <w:t xml:space="preserve">          招标内容：医疗设备采购</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八</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sz w:val="24"/>
          <w:szCs w:val="22"/>
          <w:highlight w:val="none"/>
        </w:rPr>
        <w:fldChar w:fldCharType="begin"/>
      </w:r>
      <w:r>
        <w:rPr>
          <w:sz w:val="24"/>
          <w:szCs w:val="22"/>
          <w:highlight w:val="none"/>
        </w:rPr>
        <w:instrText xml:space="preserve"> PAGEREF _Toc2031 </w:instrText>
      </w:r>
      <w:r>
        <w:rPr>
          <w:sz w:val="24"/>
          <w:szCs w:val="22"/>
          <w:highlight w:val="none"/>
        </w:rPr>
        <w:fldChar w:fldCharType="separate"/>
      </w:r>
      <w:r>
        <w:rPr>
          <w:sz w:val="24"/>
          <w:szCs w:val="22"/>
          <w:highlight w:val="none"/>
        </w:rPr>
        <w:t>30</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44</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both"/>
        <w:rPr>
          <w:rFonts w:asci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040"/>
      <w:r>
        <w:rPr>
          <w:rFonts w:hint="eastAsia" w:ascii="宋体" w:hAnsi="宋体"/>
          <w:b/>
          <w:sz w:val="36"/>
          <w:highlight w:val="none"/>
        </w:rPr>
        <w:br w:type="page"/>
      </w:r>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20"/>
        <w:tabs>
          <w:tab w:val="left" w:pos="0"/>
        </w:tabs>
        <w:spacing w:line="440" w:lineRule="exact"/>
        <w:ind w:left="0" w:leftChars="0" w:firstLine="0" w:firstLineChars="0"/>
        <w:jc w:val="center"/>
        <w:outlineLvl w:val="0"/>
        <w:rPr>
          <w:rFonts w:hint="eastAsia" w:ascii="宋体" w:hAns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r>
        <w:rPr>
          <w:rFonts w:hint="eastAsia" w:ascii="宋体" w:hAnsi="宋体"/>
          <w:b/>
          <w:color w:val="000000"/>
          <w:sz w:val="30"/>
          <w:szCs w:val="30"/>
          <w:highlight w:val="none"/>
        </w:rPr>
        <w:t>山东大学第二医院医疗设备采购招标公告</w:t>
      </w:r>
    </w:p>
    <w:p>
      <w:pPr>
        <w:pStyle w:val="20"/>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山东大学第二医院医疗设备采购</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0676-196008ZB018028</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本次招标为山东大学第二医院医疗设备</w:t>
      </w:r>
      <w:r>
        <w:rPr>
          <w:rFonts w:hint="eastAsia" w:ascii="宋体" w:hAnsi="宋体" w:cs="宋体"/>
          <w:sz w:val="24"/>
          <w:highlight w:val="none"/>
          <w:lang w:eastAsia="zh-CN"/>
        </w:rPr>
        <w:t>采购项目</w:t>
      </w:r>
      <w:r>
        <w:rPr>
          <w:rFonts w:hint="eastAsia" w:ascii="宋体" w:hAnsi="宋体" w:cs="宋体"/>
          <w:sz w:val="24"/>
          <w:highlight w:val="none"/>
        </w:rPr>
        <w:t>，具体技术要求</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详见招标文件，共分</w:t>
      </w:r>
      <w:r>
        <w:rPr>
          <w:rFonts w:hint="eastAsia" w:ascii="宋体" w:hAnsi="宋体" w:cs="宋体"/>
          <w:sz w:val="24"/>
          <w:highlight w:val="none"/>
          <w:lang w:val="en-US" w:eastAsia="zh-CN"/>
        </w:rPr>
        <w:t>3</w:t>
      </w:r>
      <w:r>
        <w:rPr>
          <w:rFonts w:hint="eastAsia" w:ascii="宋体" w:hAnsi="宋体" w:cs="宋体"/>
          <w:sz w:val="24"/>
          <w:highlight w:val="none"/>
        </w:rPr>
        <w:t>个包，分包情况如下：</w:t>
      </w:r>
    </w:p>
    <w:tbl>
      <w:tblPr>
        <w:tblStyle w:val="49"/>
        <w:tblW w:w="10120" w:type="dxa"/>
        <w:jc w:val="center"/>
        <w:tblInd w:w="97" w:type="dxa"/>
        <w:tblLayout w:type="fixed"/>
        <w:tblCellMar>
          <w:top w:w="0" w:type="dxa"/>
          <w:left w:w="15" w:type="dxa"/>
          <w:bottom w:w="0" w:type="dxa"/>
          <w:right w:w="15" w:type="dxa"/>
        </w:tblCellMar>
      </w:tblPr>
      <w:tblGrid>
        <w:gridCol w:w="3181"/>
        <w:gridCol w:w="1440"/>
        <w:gridCol w:w="1312"/>
        <w:gridCol w:w="1358"/>
        <w:gridCol w:w="1635"/>
        <w:gridCol w:w="1194"/>
      </w:tblGrid>
      <w:tr>
        <w:tblPrEx>
          <w:tblLayout w:type="fixed"/>
          <w:tblCellMar>
            <w:top w:w="0" w:type="dxa"/>
            <w:left w:w="15" w:type="dxa"/>
            <w:bottom w:w="0" w:type="dxa"/>
            <w:right w:w="15" w:type="dxa"/>
          </w:tblCellMar>
        </w:tblPrEx>
        <w:trPr>
          <w:trHeight w:val="570" w:hRule="atLeast"/>
          <w:jc w:val="center"/>
        </w:trPr>
        <w:tc>
          <w:tcPr>
            <w:tcW w:w="3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使用科室</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数量</w:t>
            </w:r>
          </w:p>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eastAsia="zh-CN"/>
              </w:rPr>
              <w:t>（台/套）</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预算金额</w:t>
            </w:r>
          </w:p>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c>
          <w:tcPr>
            <w:tcW w:w="1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备注</w:t>
            </w:r>
          </w:p>
        </w:tc>
      </w:tr>
      <w:tr>
        <w:tblPrEx>
          <w:tblLayout w:type="fixed"/>
          <w:tblCellMar>
            <w:top w:w="0" w:type="dxa"/>
            <w:left w:w="15" w:type="dxa"/>
            <w:bottom w:w="0" w:type="dxa"/>
            <w:right w:w="15" w:type="dxa"/>
          </w:tblCellMar>
        </w:tblPrEx>
        <w:trPr>
          <w:trHeight w:val="802" w:hRule="atLeast"/>
          <w:jc w:val="center"/>
        </w:trPr>
        <w:tc>
          <w:tcPr>
            <w:tcW w:w="3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eastAsia="宋体"/>
                <w:color w:val="000000"/>
                <w:sz w:val="24"/>
                <w:highlight w:val="none"/>
                <w:lang w:val="en-US" w:eastAsia="zh-CN"/>
              </w:rPr>
            </w:pPr>
            <w:r>
              <w:rPr>
                <w:rFonts w:hint="eastAsia" w:ascii="宋体"/>
                <w:color w:val="000000"/>
                <w:sz w:val="24"/>
                <w:highlight w:val="none"/>
                <w:lang w:eastAsia="zh-CN"/>
              </w:rPr>
              <w:t>包</w:t>
            </w:r>
            <w:r>
              <w:rPr>
                <w:rFonts w:hint="eastAsia" w:ascii="宋体"/>
                <w:color w:val="000000"/>
                <w:sz w:val="24"/>
                <w:highlight w:val="none"/>
                <w:lang w:val="en-US" w:eastAsia="zh-CN"/>
              </w:rPr>
              <w:t>1：</w:t>
            </w:r>
            <w:r>
              <w:rPr>
                <w:rFonts w:hint="eastAsia" w:ascii="宋体"/>
                <w:color w:val="000000"/>
                <w:sz w:val="24"/>
                <w:highlight w:val="none"/>
                <w:lang w:eastAsia="zh-CN"/>
              </w:rPr>
              <w:t xml:space="preserve">体外循环机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color w:val="000000"/>
                <w:sz w:val="24"/>
                <w:highlight w:val="none"/>
              </w:rPr>
              <w:t xml:space="preserve"> </w:t>
            </w:r>
            <w:r>
              <w:rPr>
                <w:rFonts w:hint="eastAsia" w:ascii="宋体"/>
                <w:color w:val="000000"/>
                <w:sz w:val="24"/>
                <w:highlight w:val="none"/>
                <w:lang w:eastAsia="zh-CN"/>
              </w:rPr>
              <w:t>心外科</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val="en-US" w:eastAsia="zh-CN"/>
              </w:rPr>
            </w:pPr>
            <w:r>
              <w:rPr>
                <w:rFonts w:hint="eastAsia" w:ascii="宋体"/>
                <w:color w:val="000000"/>
                <w:sz w:val="24"/>
                <w:highlight w:val="none"/>
                <w:lang w:val="en-US" w:eastAsia="zh-CN"/>
              </w:rPr>
              <w:t>1</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280</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c>
          <w:tcPr>
            <w:tcW w:w="1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lang w:eastAsia="zh-CN"/>
              </w:rPr>
              <w:t>可采进口</w:t>
            </w:r>
          </w:p>
        </w:tc>
      </w:tr>
      <w:tr>
        <w:tblPrEx>
          <w:tblLayout w:type="fixed"/>
          <w:tblCellMar>
            <w:top w:w="0" w:type="dxa"/>
            <w:left w:w="15" w:type="dxa"/>
            <w:bottom w:w="0" w:type="dxa"/>
            <w:right w:w="15" w:type="dxa"/>
          </w:tblCellMar>
        </w:tblPrEx>
        <w:trPr>
          <w:trHeight w:val="564" w:hRule="atLeast"/>
          <w:jc w:val="center"/>
        </w:trPr>
        <w:tc>
          <w:tcPr>
            <w:tcW w:w="3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Times New Roman" w:cs="Times New Roman"/>
                <w:color w:val="000000"/>
                <w:sz w:val="24"/>
                <w:highlight w:val="none"/>
                <w:lang w:val="en-US" w:eastAsia="zh-CN"/>
              </w:rPr>
            </w:pPr>
            <w:r>
              <w:rPr>
                <w:rFonts w:hint="eastAsia" w:ascii="宋体" w:hAnsi="Times New Roman" w:cs="Times New Roman"/>
                <w:color w:val="000000"/>
                <w:sz w:val="24"/>
                <w:highlight w:val="none"/>
                <w:lang w:eastAsia="zh-CN"/>
              </w:rPr>
              <w:t>包</w:t>
            </w:r>
            <w:r>
              <w:rPr>
                <w:rFonts w:hint="eastAsia" w:ascii="宋体" w:cs="Times New Roman"/>
                <w:color w:val="000000"/>
                <w:sz w:val="24"/>
                <w:highlight w:val="none"/>
                <w:lang w:val="en-US" w:eastAsia="zh-CN"/>
              </w:rPr>
              <w:t>2</w:t>
            </w:r>
            <w:r>
              <w:rPr>
                <w:rFonts w:hint="eastAsia" w:ascii="宋体" w:hAnsi="Times New Roman" w:cs="Times New Roman"/>
                <w:color w:val="000000"/>
                <w:sz w:val="24"/>
                <w:highlight w:val="none"/>
                <w:lang w:val="en-US" w:eastAsia="zh-CN"/>
              </w:rPr>
              <w:t>：</w:t>
            </w:r>
            <w:r>
              <w:rPr>
                <w:rFonts w:hint="eastAsia" w:ascii="宋体" w:hAnsi="Times New Roman" w:cs="Times New Roman"/>
                <w:color w:val="000000"/>
                <w:sz w:val="24"/>
                <w:highlight w:val="none"/>
                <w:lang w:eastAsia="zh-CN"/>
              </w:rPr>
              <w:t>神经肌肉刺激治疗仪</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Times New Roman" w:cs="Times New Roman"/>
                <w:color w:val="000000"/>
                <w:sz w:val="24"/>
                <w:highlight w:val="none"/>
                <w:lang w:eastAsia="zh-CN"/>
              </w:rPr>
            </w:pPr>
            <w:r>
              <w:rPr>
                <w:rFonts w:hint="eastAsia" w:ascii="宋体" w:cs="Times New Roman"/>
                <w:color w:val="000000"/>
                <w:sz w:val="24"/>
                <w:highlight w:val="none"/>
                <w:lang w:eastAsia="zh-CN"/>
              </w:rPr>
              <w:t>妇科</w:t>
            </w:r>
            <w:r>
              <w:rPr>
                <w:rFonts w:hint="eastAsia" w:ascii="宋体" w:hAnsi="Times New Roman" w:cs="Times New Roman"/>
                <w:color w:val="000000"/>
                <w:sz w:val="24"/>
                <w:highlight w:val="none"/>
                <w:lang w:eastAsia="zh-CN"/>
              </w:rPr>
              <w:t xml:space="preserve"> </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Times New Roman" w:cs="Times New Roman"/>
                <w:color w:val="000000"/>
                <w:sz w:val="24"/>
                <w:highlight w:val="none"/>
                <w:lang w:val="en-US" w:eastAsia="zh-CN"/>
              </w:rPr>
            </w:pPr>
            <w:r>
              <w:rPr>
                <w:rFonts w:hint="eastAsia" w:ascii="宋体" w:cs="Times New Roman"/>
                <w:color w:val="000000"/>
                <w:sz w:val="24"/>
                <w:highlight w:val="none"/>
                <w:lang w:val="en-US" w:eastAsia="zh-CN"/>
              </w:rPr>
              <w:t>2</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73</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lang w:eastAsia="zh-CN"/>
              </w:rPr>
              <w:t>可采进口</w:t>
            </w:r>
          </w:p>
        </w:tc>
      </w:tr>
      <w:tr>
        <w:tblPrEx>
          <w:tblLayout w:type="fixed"/>
          <w:tblCellMar>
            <w:top w:w="0" w:type="dxa"/>
            <w:left w:w="15" w:type="dxa"/>
            <w:bottom w:w="0" w:type="dxa"/>
            <w:right w:w="15" w:type="dxa"/>
          </w:tblCellMar>
        </w:tblPrEx>
        <w:trPr>
          <w:trHeight w:val="802" w:hRule="atLeast"/>
          <w:jc w:val="center"/>
        </w:trPr>
        <w:tc>
          <w:tcPr>
            <w:tcW w:w="3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Times New Roman" w:cs="Times New Roman"/>
                <w:color w:val="000000"/>
                <w:sz w:val="24"/>
                <w:highlight w:val="none"/>
                <w:lang w:eastAsia="zh-CN"/>
              </w:rPr>
            </w:pPr>
            <w:r>
              <w:rPr>
                <w:rFonts w:hint="eastAsia" w:ascii="宋体" w:hAnsi="Times New Roman" w:cs="Times New Roman"/>
                <w:color w:val="000000"/>
                <w:sz w:val="24"/>
                <w:highlight w:val="none"/>
                <w:lang w:eastAsia="zh-CN"/>
              </w:rPr>
              <w:t>包</w:t>
            </w:r>
            <w:r>
              <w:rPr>
                <w:rFonts w:hint="eastAsia" w:ascii="宋体" w:cs="Times New Roman"/>
                <w:color w:val="000000"/>
                <w:sz w:val="24"/>
                <w:highlight w:val="none"/>
                <w:lang w:val="en-US" w:eastAsia="zh-CN"/>
              </w:rPr>
              <w:t>3</w:t>
            </w:r>
            <w:r>
              <w:rPr>
                <w:rFonts w:hint="eastAsia" w:ascii="宋体" w:hAnsi="Times New Roman" w:cs="Times New Roman"/>
                <w:color w:val="000000"/>
                <w:sz w:val="24"/>
                <w:highlight w:val="none"/>
                <w:lang w:val="en-US" w:eastAsia="zh-CN"/>
              </w:rPr>
              <w:t>：</w:t>
            </w:r>
            <w:r>
              <w:rPr>
                <w:rFonts w:hint="eastAsia" w:ascii="宋体" w:hAnsi="Times New Roman" w:cs="Times New Roman"/>
                <w:color w:val="000000"/>
                <w:sz w:val="24"/>
                <w:highlight w:val="none"/>
                <w:lang w:eastAsia="zh-CN"/>
              </w:rPr>
              <w:t>实时动态胰岛素监测系统</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Times New Roman" w:cs="Times New Roman"/>
                <w:color w:val="000000"/>
                <w:sz w:val="24"/>
                <w:highlight w:val="none"/>
                <w:lang w:eastAsia="zh-CN"/>
              </w:rPr>
            </w:pPr>
            <w:r>
              <w:rPr>
                <w:rFonts w:hint="eastAsia" w:ascii="宋体" w:hAnsi="Times New Roman" w:cs="Times New Roman"/>
                <w:color w:val="000000"/>
                <w:sz w:val="24"/>
                <w:highlight w:val="none"/>
                <w:lang w:eastAsia="zh-CN"/>
              </w:rPr>
              <w:t>内分泌科</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Times New Roman" w:cs="Times New Roman"/>
                <w:color w:val="000000"/>
                <w:sz w:val="24"/>
                <w:highlight w:val="none"/>
                <w:lang w:val="en-US" w:eastAsia="zh-CN"/>
              </w:rPr>
            </w:pPr>
            <w:r>
              <w:rPr>
                <w:rFonts w:hint="eastAsia" w:ascii="宋体" w:hAnsi="Times New Roman" w:cs="Times New Roman"/>
                <w:color w:val="000000"/>
                <w:sz w:val="24"/>
                <w:highlight w:val="none"/>
                <w:lang w:val="en-US" w:eastAsia="zh-CN"/>
              </w:rPr>
              <w:t>1</w:t>
            </w:r>
            <w:r>
              <w:rPr>
                <w:rFonts w:hint="eastAsia" w:ascii="宋体" w:cs="Times New Roman"/>
                <w:color w:val="000000"/>
                <w:sz w:val="24"/>
                <w:highlight w:val="none"/>
                <w:lang w:val="en-US" w:eastAsia="zh-CN"/>
              </w:rPr>
              <w:t>批</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55</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可采进口</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.2</w:t>
      </w:r>
      <w:r>
        <w:rPr>
          <w:rFonts w:hint="eastAsia" w:ascii="宋体" w:hAnsi="宋体"/>
          <w:color w:val="000000"/>
          <w:sz w:val="24"/>
          <w:highlight w:val="none"/>
        </w:rPr>
        <w:t>投标人须是在中国境内注册具有独立法人资格的法人单位，营业执照经营范围包含本次采购内容；</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color w:val="000000"/>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.3</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hint="eastAsia" w:ascii="宋体" w:hAnsi="宋体" w:eastAsia="宋体" w:cs="宋体"/>
          <w:sz w:val="24"/>
          <w:highlight w:val="none"/>
          <w:lang w:val="en-US" w:eastAsia="zh-CN"/>
        </w:rPr>
        <w:t xml:space="preserve"> 6.4</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Tahoma"/>
          <w:color w:val="393939"/>
          <w:sz w:val="24"/>
          <w:highlight w:val="none"/>
          <w:shd w:val="clear" w:color="auto" w:fill="FFFFFF"/>
        </w:rPr>
      </w:pPr>
      <w:r>
        <w:rPr>
          <w:rFonts w:ascii="宋体" w:hAnsi="宋体"/>
          <w:color w:val="000000"/>
          <w:sz w:val="24"/>
          <w:highlight w:val="none"/>
        </w:rPr>
        <w:t xml:space="preserve"> </w:t>
      </w:r>
      <w:r>
        <w:rPr>
          <w:rFonts w:hint="eastAsia" w:ascii="宋体" w:hAnsi="宋体"/>
          <w:color w:val="000000"/>
          <w:sz w:val="24"/>
          <w:highlight w:val="none"/>
          <w:lang w:val="en-US" w:eastAsia="zh-CN"/>
        </w:rPr>
        <w:t>6.7</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8</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9</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8</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16</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近两年财务状况（包含资产负债表、利润表）；</w:t>
      </w:r>
      <w:r>
        <w:rPr>
          <w:rFonts w:hint="eastAsia" w:ascii="宋体"/>
          <w:color w:val="000000"/>
          <w:sz w:val="24"/>
          <w:highlight w:val="none"/>
          <w:lang w:eastAsia="zh-CN"/>
        </w:rPr>
        <w:t>（</w:t>
      </w:r>
      <w:r>
        <w:rPr>
          <w:rFonts w:hint="eastAsia" w:ascii="宋体"/>
          <w:color w:val="000000"/>
          <w:sz w:val="24"/>
          <w:highlight w:val="none"/>
          <w:lang w:val="en-US" w:eastAsia="zh-CN"/>
        </w:rPr>
        <w:t>5</w:t>
      </w:r>
      <w:r>
        <w:rPr>
          <w:rFonts w:hint="eastAsia" w:ascii="宋体"/>
          <w:color w:val="000000"/>
          <w:sz w:val="24"/>
          <w:highlight w:val="none"/>
          <w:lang w:eastAsia="zh-CN"/>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lang w:eastAsia="zh-CN"/>
        </w:rPr>
        <w:t>（</w:t>
      </w:r>
      <w:r>
        <w:rPr>
          <w:rFonts w:hint="eastAsia" w:ascii="宋体"/>
          <w:color w:val="000000"/>
          <w:sz w:val="24"/>
          <w:highlight w:val="none"/>
          <w:lang w:val="en-US" w:eastAsia="zh-CN"/>
        </w:rPr>
        <w:t>6</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360" w:lineRule="auto"/>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3</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1"/>
      <w:bookmarkStart w:id="2" w:name="OLE_LINK2"/>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、联系方式</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联系人：褚桐、李文华</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lang w:val="en-US" w:eastAsia="zh-CN"/>
        </w:rPr>
        <w:t>15954910548</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autoSpaceDN w:val="0"/>
        <w:spacing w:line="440" w:lineRule="exact"/>
        <w:ind w:left="0" w:leftChars="-95" w:hanging="199" w:hangingChars="83"/>
        <w:jc w:val="left"/>
        <w:textAlignment w:val="center"/>
        <w:rPr>
          <w:rFonts w:hint="eastAsia" w:ascii="宋体" w:hAnsi="宋体" w:eastAsia="宋体"/>
          <w:color w:val="000000"/>
          <w:sz w:val="24"/>
          <w:highlight w:val="none"/>
          <w:lang w:val="en-US" w:eastAsia="zh-CN"/>
        </w:rPr>
      </w:pPr>
    </w:p>
    <w:p>
      <w:pPr>
        <w:pStyle w:val="20"/>
        <w:tabs>
          <w:tab w:val="left" w:pos="0"/>
        </w:tabs>
        <w:spacing w:line="480" w:lineRule="exact"/>
        <w:ind w:left="0" w:leftChars="0" w:firstLine="0" w:firstLineChars="0"/>
        <w:jc w:val="center"/>
        <w:outlineLvl w:val="0"/>
        <w:rPr>
          <w:rFonts w:ascii="宋体" w:cs="宋体"/>
          <w:highlight w:val="none"/>
        </w:rPr>
      </w:pPr>
      <w:bookmarkStart w:id="3" w:name="_Toc15243"/>
      <w:r>
        <w:rPr>
          <w:rFonts w:ascii="宋体"/>
          <w:b/>
          <w:sz w:val="36"/>
          <w:highlight w:val="none"/>
        </w:rPr>
        <w:br w:type="page"/>
      </w:r>
      <w:r>
        <w:rPr>
          <w:rFonts w:hint="eastAsia" w:ascii="宋体" w:hAnsi="宋体"/>
          <w:b/>
          <w:sz w:val="36"/>
          <w:highlight w:val="none"/>
        </w:rPr>
        <w:t>第二部分投标人须知</w:t>
      </w:r>
      <w:bookmarkEnd w:id="3"/>
    </w:p>
    <w:p>
      <w:pPr>
        <w:pStyle w:val="88"/>
        <w:spacing w:before="240"/>
        <w:outlineLvl w:val="1"/>
        <w:rPr>
          <w:highlight w:val="none"/>
        </w:rPr>
      </w:pPr>
      <w:bookmarkStart w:id="4" w:name="_Toc1284"/>
      <w:bookmarkStart w:id="5" w:name="_Toc243041162"/>
      <w:r>
        <w:rPr>
          <w:rFonts w:hint="eastAsia"/>
          <w:highlight w:val="none"/>
        </w:rPr>
        <w:t>投标人须知前附表</w:t>
      </w:r>
      <w:bookmarkEnd w:id="4"/>
      <w:bookmarkEnd w:id="5"/>
    </w:p>
    <w:tbl>
      <w:tblPr>
        <w:tblStyle w:val="49"/>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635"/>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635"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636"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项目名称：山东大学第二医院医疗设备采购项目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项目编号：0676-196008ZB018028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636"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本项目分为</w:t>
            </w: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个包：</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包1：体外循环机；</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包2：神经肌肉刺激治疗仪；</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：实时动态胰岛素监测系统。</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9"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636" w:type="dxa"/>
            <w:vAlign w:val="center"/>
          </w:tcPr>
          <w:p>
            <w:pPr>
              <w:pStyle w:val="111"/>
              <w:snapToGrid w:val="0"/>
              <w:spacing w:line="360" w:lineRule="auto"/>
              <w:jc w:val="left"/>
              <w:rPr>
                <w:rFonts w:hint="eastAsia" w:ascii="宋体" w:hAnsi="宋体" w:cs="宋体"/>
                <w:color w:val="000000"/>
                <w:spacing w:val="7"/>
                <w:sz w:val="24"/>
                <w:highlight w:val="none"/>
                <w:lang w:val="en-US" w:eastAsia="zh-CN"/>
              </w:rPr>
            </w:pPr>
            <w:r>
              <w:rPr>
                <w:rFonts w:hint="eastAsia" w:ascii="宋体" w:hAnsi="宋体" w:cs="宋体"/>
                <w:color w:val="000000"/>
                <w:spacing w:val="7"/>
                <w:sz w:val="24"/>
                <w:highlight w:val="none"/>
                <w:lang w:eastAsia="zh-CN"/>
              </w:rPr>
              <w:t>预算金额如下</w:t>
            </w:r>
            <w:r>
              <w:rPr>
                <w:rFonts w:hint="eastAsia" w:ascii="宋体" w:hAnsi="宋体" w:cs="宋体"/>
                <w:color w:val="000000"/>
                <w:spacing w:val="7"/>
                <w:sz w:val="24"/>
                <w:highlight w:val="none"/>
                <w:lang w:val="en-US" w:eastAsia="zh-CN"/>
              </w:rPr>
              <w:t>：</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1：280</w:t>
            </w:r>
            <w:r>
              <w:rPr>
                <w:rFonts w:hint="eastAsia" w:ascii="宋体" w:hAnsi="宋体" w:cs="宋体"/>
                <w:color w:val="000000"/>
                <w:spacing w:val="7"/>
                <w:sz w:val="24"/>
                <w:highlight w:val="none"/>
                <w:lang w:eastAsia="zh-CN"/>
              </w:rPr>
              <w:t>万元（包含税费）；</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2: 73万元 （包含税费）</w:t>
            </w:r>
            <w:r>
              <w:rPr>
                <w:rFonts w:hint="eastAsia" w:ascii="宋体" w:hAnsi="宋体" w:cs="宋体"/>
                <w:color w:val="000000"/>
                <w:spacing w:val="7"/>
                <w:sz w:val="24"/>
                <w:highlight w:val="none"/>
                <w:lang w:eastAsia="zh-CN"/>
              </w:rPr>
              <w:t>；</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3: 55万元（包含税费）</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636" w:type="dxa"/>
            <w:vAlign w:val="center"/>
          </w:tcPr>
          <w:p>
            <w:pPr>
              <w:autoSpaceDN w:val="0"/>
              <w:spacing w:line="360" w:lineRule="auto"/>
              <w:jc w:val="left"/>
              <w:textAlignment w:val="center"/>
              <w:rPr>
                <w:rFonts w:ascii="宋体"/>
                <w:color w:val="000000"/>
                <w:sz w:val="24"/>
                <w:highlight w:val="none"/>
              </w:rPr>
            </w:pPr>
            <w:r>
              <w:rPr>
                <w:rFonts w:ascii="宋体" w:hAnsi="宋体"/>
                <w:color w:val="000000"/>
                <w:sz w:val="24"/>
                <w:highlight w:val="none"/>
              </w:rPr>
              <w:t xml:space="preserve"> 1</w:t>
            </w:r>
            <w:r>
              <w:rPr>
                <w:rFonts w:hint="eastAsia" w:ascii="宋体" w:hAnsi="宋体"/>
                <w:color w:val="000000"/>
                <w:sz w:val="24"/>
                <w:highlight w:val="none"/>
                <w:lang w:eastAsia="zh-CN"/>
              </w:rPr>
              <w:t>、</w:t>
            </w:r>
            <w:r>
              <w:rPr>
                <w:rFonts w:hint="eastAsia" w:ascii="宋体" w:hAnsi="宋体"/>
                <w:color w:val="000000"/>
                <w:sz w:val="24"/>
                <w:highlight w:val="none"/>
              </w:rPr>
              <w:t>符合《中华人民共和国政府采购法》第二十二条规定；</w:t>
            </w:r>
          </w:p>
          <w:p>
            <w:pPr>
              <w:autoSpaceDN w:val="0"/>
              <w:spacing w:line="360" w:lineRule="auto"/>
              <w:jc w:val="left"/>
              <w:textAlignment w:val="center"/>
              <w:rPr>
                <w:rFonts w:ascii="宋体"/>
                <w:color w:val="000000"/>
                <w:sz w:val="24"/>
                <w:highlight w:val="none"/>
              </w:rPr>
            </w:pPr>
            <w:r>
              <w:rPr>
                <w:rFonts w:ascii="宋体" w:hAnsi="宋体"/>
                <w:color w:val="000000"/>
                <w:sz w:val="24"/>
                <w:highlight w:val="none"/>
              </w:rPr>
              <w:t xml:space="preserve"> 2</w:t>
            </w:r>
            <w:r>
              <w:rPr>
                <w:rFonts w:hint="eastAsia" w:ascii="宋体" w:hAnsi="宋体"/>
                <w:color w:val="000000"/>
                <w:sz w:val="24"/>
                <w:highlight w:val="none"/>
                <w:lang w:eastAsia="zh-CN"/>
              </w:rPr>
              <w:t>、</w:t>
            </w:r>
            <w:r>
              <w:rPr>
                <w:rFonts w:hint="eastAsia" w:ascii="宋体" w:hAnsi="宋体"/>
                <w:color w:val="000000"/>
                <w:sz w:val="24"/>
                <w:highlight w:val="none"/>
              </w:rPr>
              <w:t>投标人须是在中国境内注册具有独立法人资格的法人单位，营业执照经营范围包含本次采购内容；</w:t>
            </w:r>
          </w:p>
          <w:p>
            <w:pPr>
              <w:autoSpaceDN w:val="0"/>
              <w:spacing w:line="360" w:lineRule="auto"/>
              <w:jc w:val="left"/>
              <w:textAlignment w:val="center"/>
              <w:rPr>
                <w:rFonts w:hint="eastAsia" w:ascii="宋体" w:hAnsi="宋体"/>
                <w:color w:val="000000"/>
                <w:sz w:val="24"/>
                <w:highlight w:val="none"/>
                <w:lang w:eastAsia="zh-CN"/>
              </w:rPr>
            </w:pPr>
            <w:r>
              <w:rPr>
                <w:rFonts w:ascii="宋体" w:hAnsi="宋体"/>
                <w:color w:val="000000"/>
                <w:sz w:val="24"/>
                <w:highlight w:val="none"/>
              </w:rPr>
              <w:t xml:space="preserve"> 3</w:t>
            </w:r>
            <w:r>
              <w:rPr>
                <w:rFonts w:hint="eastAsia" w:ascii="宋体" w:hAnsi="宋体"/>
                <w:color w:val="000000"/>
                <w:sz w:val="24"/>
                <w:highlight w:val="none"/>
                <w:lang w:eastAsia="zh-CN"/>
              </w:rPr>
              <w:t>、</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p>
          <w:p>
            <w:pPr>
              <w:spacing w:line="360" w:lineRule="auto"/>
              <w:rPr>
                <w:rFonts w:ascii="宋体" w:cs="宋体"/>
                <w:sz w:val="24"/>
                <w:highlight w:val="none"/>
              </w:rPr>
            </w:pPr>
            <w:r>
              <w:rPr>
                <w:rFonts w:hint="eastAsia" w:ascii="宋体" w:hAnsi="宋体" w:eastAsia="宋体" w:cs="宋体"/>
                <w:sz w:val="24"/>
                <w:highlight w:val="none"/>
                <w:lang w:val="en-US" w:eastAsia="zh-CN"/>
              </w:rPr>
              <w:t xml:space="preserve"> 4、</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autoSpaceDN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5、</w:t>
            </w:r>
            <w:r>
              <w:rPr>
                <w:rFonts w:hint="eastAsia" w:ascii="宋体" w:hAnsi="宋体"/>
                <w:color w:val="000000"/>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hint="eastAsia" w:ascii="宋体" w:hAnsi="宋体"/>
                <w:color w:val="000000"/>
                <w:sz w:val="24"/>
                <w:highlight w:val="none"/>
              </w:rPr>
              <w:t>本次采购不接受联合体报价；</w:t>
            </w:r>
          </w:p>
          <w:p>
            <w:pPr>
              <w:autoSpaceDN w:val="0"/>
              <w:spacing w:line="360" w:lineRule="auto"/>
              <w:jc w:val="left"/>
              <w:textAlignment w:val="center"/>
              <w:rPr>
                <w:rFonts w:ascii="宋体" w:cs="宋体"/>
                <w:color w:val="000000"/>
                <w:spacing w:val="7"/>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7、</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付款方式</w:t>
            </w:r>
          </w:p>
        </w:tc>
        <w:tc>
          <w:tcPr>
            <w:tcW w:w="6636"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9</w:t>
            </w:r>
          </w:p>
        </w:tc>
        <w:tc>
          <w:tcPr>
            <w:tcW w:w="2635"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hint="eastAsia" w:ascii="宋体" w:eastAsia="宋体" w:cs="宋体"/>
                <w:highlight w:val="none"/>
                <w:lang w:eastAsia="zh-CN"/>
              </w:rPr>
            </w:pPr>
            <w:r>
              <w:rPr>
                <w:rFonts w:hint="eastAsia" w:ascii="宋体" w:hAnsi="宋体" w:cs="宋体"/>
                <w:highlight w:val="none"/>
              </w:rPr>
              <w:t>投标文件</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份；电子文档</w:t>
            </w:r>
            <w:r>
              <w:rPr>
                <w:rFonts w:hint="eastAsia" w:ascii="宋体" w:hAnsi="宋体" w:cs="宋体"/>
                <w:color w:val="auto"/>
                <w:spacing w:val="7"/>
                <w:sz w:val="24"/>
                <w:highlight w:val="none"/>
                <w:lang w:eastAsia="zh-CN"/>
              </w:rPr>
              <w:t>（</w:t>
            </w:r>
            <w:r>
              <w:rPr>
                <w:rFonts w:hint="eastAsia" w:ascii="宋体" w:hAnsi="宋体" w:cs="宋体"/>
                <w:b/>
                <w:color w:val="auto"/>
                <w:spacing w:val="7"/>
                <w:sz w:val="24"/>
                <w:highlight w:val="none"/>
                <w:lang w:val="en-US" w:eastAsia="zh-CN"/>
              </w:rPr>
              <w:t>U</w:t>
            </w:r>
            <w:r>
              <w:rPr>
                <w:rFonts w:hint="eastAsia" w:ascii="宋体" w:hAnsi="宋体" w:cs="宋体"/>
                <w:b/>
                <w:color w:val="auto"/>
                <w:spacing w:val="7"/>
                <w:sz w:val="24"/>
                <w:highlight w:val="none"/>
                <w:lang w:eastAsia="zh-CN"/>
              </w:rPr>
              <w:t>盘</w:t>
            </w:r>
            <w:r>
              <w:rPr>
                <w:rFonts w:hint="eastAsia" w:ascii="宋体" w:hAnsi="宋体" w:cs="宋体"/>
                <w:color w:val="auto"/>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12</w:t>
            </w:r>
          </w:p>
        </w:tc>
        <w:tc>
          <w:tcPr>
            <w:tcW w:w="2635"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636"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13</w:t>
            </w:r>
          </w:p>
        </w:tc>
        <w:tc>
          <w:tcPr>
            <w:tcW w:w="2635"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636"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14</w:t>
            </w:r>
          </w:p>
        </w:tc>
        <w:tc>
          <w:tcPr>
            <w:tcW w:w="2635"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636"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highlight w:val="none"/>
              </w:rPr>
            </w:pPr>
            <w:r>
              <w:rPr>
                <w:rFonts w:ascii="宋体" w:hAnsi="宋体" w:cs="宋体"/>
                <w:highlight w:val="none"/>
              </w:rPr>
              <w:t>16</w:t>
            </w:r>
          </w:p>
        </w:tc>
        <w:tc>
          <w:tcPr>
            <w:tcW w:w="2635"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cs="宋体"/>
                <w:highlight w:val="none"/>
              </w:rPr>
            </w:pPr>
            <w:r>
              <w:rPr>
                <w:rFonts w:hint="eastAsia" w:ascii="宋体" w:hAnsi="宋体" w:cs="宋体"/>
                <w:highlight w:val="none"/>
              </w:rPr>
              <w:t>投标保证金交纳</w:t>
            </w:r>
          </w:p>
        </w:tc>
        <w:tc>
          <w:tcPr>
            <w:tcW w:w="6636" w:type="dxa"/>
            <w:vAlign w:val="center"/>
          </w:tcPr>
          <w:p>
            <w:pPr>
              <w:pStyle w:val="111"/>
              <w:numPr>
                <w:ilvl w:val="0"/>
                <w:numId w:val="1"/>
              </w:numPr>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投标保证金的金额：</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包1：50000元； 大写：伍万元整；</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包2：14000元； 大写：壹万肆仟元整；</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包3：10000元；大写：壹万元整。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hAns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9</w:t>
            </w:r>
            <w:r>
              <w:rPr>
                <w:rFonts w:hint="eastAsia" w:ascii="宋体" w:hAnsi="宋体" w:cs="宋体"/>
                <w:b/>
                <w:bCs/>
                <w:highlight w:val="none"/>
                <w:lang w:eastAsia="zh-CN"/>
              </w:rPr>
              <w:t>月</w:t>
            </w:r>
            <w:r>
              <w:rPr>
                <w:rFonts w:hint="eastAsia" w:ascii="宋体" w:hAnsi="宋体" w:cs="宋体"/>
                <w:b/>
                <w:bCs/>
                <w:highlight w:val="none"/>
                <w:lang w:val="en-US" w:eastAsia="zh-CN"/>
              </w:rPr>
              <w:t>3</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000000"/>
                <w:spacing w:val="7"/>
                <w:sz w:val="24"/>
                <w:highlight w:val="none"/>
                <w:lang w:eastAsia="zh-CN"/>
              </w:rPr>
            </w:pPr>
            <w:r>
              <w:rPr>
                <w:rFonts w:hint="eastAsia" w:ascii="宋体" w:hAnsi="宋体" w:cs="宋体"/>
                <w:b/>
                <w:bCs/>
                <w:highlight w:val="none"/>
              </w:rPr>
              <w:t>2019年</w:t>
            </w:r>
            <w:r>
              <w:rPr>
                <w:rFonts w:hint="eastAsia" w:ascii="宋体" w:hAnsi="宋体" w:cs="宋体"/>
                <w:b/>
                <w:bCs/>
                <w:highlight w:val="none"/>
                <w:lang w:val="en-US" w:eastAsia="zh-CN"/>
              </w:rPr>
              <w:t>9</w:t>
            </w:r>
            <w:r>
              <w:rPr>
                <w:rFonts w:hint="eastAsia" w:ascii="宋体" w:hAnsi="宋体" w:cs="宋体"/>
                <w:b/>
                <w:bCs/>
                <w:highlight w:val="none"/>
              </w:rPr>
              <w:t>月</w:t>
            </w:r>
            <w:r>
              <w:rPr>
                <w:rFonts w:hint="eastAsia" w:ascii="宋体" w:hAnsi="宋体" w:cs="宋体"/>
                <w:b/>
                <w:bCs/>
                <w:highlight w:val="none"/>
                <w:lang w:val="en-US" w:eastAsia="zh-CN"/>
              </w:rPr>
              <w:t>3</w:t>
            </w:r>
            <w:r>
              <w:rPr>
                <w:rFonts w:hint="eastAsia" w:ascii="宋体" w:hAnsi="宋体" w:cs="宋体"/>
                <w:b/>
                <w:bCs/>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18</w:t>
            </w:r>
          </w:p>
        </w:tc>
        <w:tc>
          <w:tcPr>
            <w:tcW w:w="2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rPr>
            </w:pPr>
            <w:r>
              <w:rPr>
                <w:rFonts w:hint="eastAsia" w:ascii="宋体" w:hAnsi="宋体" w:cs="宋体"/>
                <w:color w:val="000000"/>
                <w:spacing w:val="7"/>
                <w:sz w:val="24"/>
                <w:highlight w:val="none"/>
                <w:lang w:eastAsia="zh-CN"/>
              </w:rPr>
              <w:t>截止时间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9</w:t>
            </w:r>
            <w:r>
              <w:rPr>
                <w:rFonts w:hint="eastAsia" w:ascii="宋体" w:hAnsi="宋体" w:cs="宋体"/>
                <w:b/>
                <w:bCs/>
                <w:highlight w:val="none"/>
              </w:rPr>
              <w:t>月</w:t>
            </w:r>
            <w:r>
              <w:rPr>
                <w:rFonts w:hint="eastAsia" w:ascii="宋体" w:hAnsi="宋体" w:cs="宋体"/>
                <w:b/>
                <w:bCs/>
                <w:highlight w:val="none"/>
                <w:lang w:val="en-US" w:eastAsia="zh-CN"/>
              </w:rPr>
              <w:t>3</w:t>
            </w:r>
            <w:r>
              <w:rPr>
                <w:rFonts w:hint="eastAsia" w:ascii="宋体" w:hAnsi="宋体" w:cs="宋体"/>
                <w:b/>
                <w:bCs/>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19</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eastAsia="zh-CN"/>
              </w:rPr>
            </w:pPr>
            <w:r>
              <w:rPr>
                <w:rFonts w:hint="eastAsia" w:ascii="宋体" w:hAnsi="宋体" w:cs="宋体"/>
                <w:highlight w:val="none"/>
              </w:rPr>
              <w:t>递交投标文件地点</w:t>
            </w:r>
          </w:p>
        </w:tc>
        <w:tc>
          <w:tcPr>
            <w:tcW w:w="6636" w:type="dxa"/>
            <w:vAlign w:val="center"/>
          </w:tcPr>
          <w:p>
            <w:pPr>
              <w:pStyle w:val="111"/>
              <w:snapToGrid w:val="0"/>
              <w:spacing w:line="360" w:lineRule="auto"/>
              <w:jc w:val="left"/>
              <w:rPr>
                <w:rFonts w:ascii="宋体" w:cs="宋体"/>
                <w:color w:val="000000"/>
                <w:spacing w:val="7"/>
                <w:highlight w:val="none"/>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投标说明</w:t>
            </w:r>
          </w:p>
        </w:tc>
        <w:tc>
          <w:tcPr>
            <w:tcW w:w="663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62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highlight w:val="none"/>
                <w:lang w:val="en-US" w:eastAsia="zh-CN"/>
              </w:rPr>
            </w:pPr>
            <w:r>
              <w:rPr>
                <w:rFonts w:hint="eastAsia" w:ascii="宋体" w:cs="宋体"/>
                <w:highlight w:val="none"/>
                <w:lang w:val="en-US" w:eastAsia="zh-CN"/>
              </w:rPr>
              <w:t>22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636" w:type="dxa"/>
            <w:vAlign w:val="center"/>
          </w:tcPr>
          <w:p>
            <w:pPr>
              <w:pStyle w:val="20"/>
              <w:tabs>
                <w:tab w:val="left" w:pos="0"/>
                <w:tab w:val="left" w:pos="840"/>
                <w:tab w:val="left" w:pos="955"/>
              </w:tabs>
              <w:snapToGrid w:val="0"/>
              <w:spacing w:line="360" w:lineRule="auto"/>
              <w:ind w:left="0" w:leftChars="0" w:firstLine="0" w:firstLineChars="0"/>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6" w:name="_Toc16191"/>
      <w:bookmarkStart w:id="7" w:name="_Toc12225"/>
      <w:bookmarkStart w:id="8" w:name="_Toc10957"/>
      <w:r>
        <w:rPr>
          <w:rFonts w:hint="eastAsia" w:ascii="宋体" w:hAnsi="宋体"/>
          <w:b/>
          <w:sz w:val="28"/>
          <w:highlight w:val="none"/>
        </w:rPr>
        <w:t>一、说明</w:t>
      </w:r>
      <w:bookmarkEnd w:id="6"/>
      <w:bookmarkEnd w:id="7"/>
      <w:bookmarkEnd w:id="8"/>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9" w:name="_Toc6481"/>
      <w:bookmarkStart w:id="10" w:name="_Toc32185"/>
      <w:bookmarkStart w:id="11" w:name="_Toc7693"/>
      <w:r>
        <w:rPr>
          <w:rFonts w:ascii="宋体" w:hAnsi="宋体"/>
          <w:b/>
          <w:sz w:val="24"/>
          <w:highlight w:val="none"/>
        </w:rPr>
        <w:t xml:space="preserve">3.  </w:t>
      </w:r>
      <w:r>
        <w:rPr>
          <w:rFonts w:hint="eastAsia" w:ascii="宋体" w:hAnsi="宋体"/>
          <w:b/>
          <w:sz w:val="24"/>
          <w:highlight w:val="none"/>
        </w:rPr>
        <w:t>合格投标人</w:t>
      </w:r>
      <w:bookmarkEnd w:id="9"/>
      <w:bookmarkEnd w:id="10"/>
      <w:bookmarkEnd w:id="11"/>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3.1.7</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 xml:space="preserve">3.6 </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2" w:name="_Toc9430"/>
      <w:bookmarkStart w:id="13" w:name="_Toc28524"/>
      <w:bookmarkStart w:id="14" w:name="_Toc10338"/>
      <w:r>
        <w:rPr>
          <w:rFonts w:ascii="宋体" w:hAnsi="宋体"/>
          <w:b/>
          <w:sz w:val="24"/>
          <w:highlight w:val="none"/>
        </w:rPr>
        <w:t xml:space="preserve">4  </w:t>
      </w:r>
      <w:r>
        <w:rPr>
          <w:rFonts w:hint="eastAsia" w:ascii="宋体" w:hAnsi="宋体"/>
          <w:b/>
          <w:sz w:val="24"/>
          <w:highlight w:val="none"/>
        </w:rPr>
        <w:t>货物定义</w:t>
      </w:r>
      <w:bookmarkEnd w:id="12"/>
      <w:bookmarkEnd w:id="13"/>
      <w:bookmarkEnd w:id="14"/>
    </w:p>
    <w:p>
      <w:pPr>
        <w:pStyle w:val="21"/>
        <w:tabs>
          <w:tab w:val="left" w:pos="1146"/>
        </w:tabs>
        <w:spacing w:line="480" w:lineRule="exact"/>
        <w:ind w:left="128" w:leftChars="61" w:firstLine="480" w:firstLineChars="200"/>
        <w:outlineLvl w:val="0"/>
        <w:rPr>
          <w:rFonts w:ascii="宋体"/>
          <w:sz w:val="24"/>
          <w:highlight w:val="none"/>
        </w:rPr>
      </w:pPr>
      <w:bookmarkStart w:id="15" w:name="_Toc13517"/>
      <w:bookmarkStart w:id="16" w:name="_Toc1705"/>
      <w:bookmarkStart w:id="17" w:name="_Toc979"/>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5"/>
      <w:bookmarkEnd w:id="16"/>
      <w:bookmarkEnd w:id="17"/>
    </w:p>
    <w:p>
      <w:pPr>
        <w:pStyle w:val="21"/>
        <w:tabs>
          <w:tab w:val="left" w:pos="1146"/>
        </w:tabs>
        <w:spacing w:line="480" w:lineRule="exact"/>
        <w:ind w:left="128" w:leftChars="61" w:firstLine="480" w:firstLineChars="200"/>
        <w:outlineLvl w:val="0"/>
        <w:rPr>
          <w:rFonts w:ascii="宋体"/>
          <w:sz w:val="24"/>
          <w:highlight w:val="none"/>
        </w:rPr>
      </w:pPr>
      <w:bookmarkStart w:id="18" w:name="_Toc17993"/>
      <w:bookmarkStart w:id="19" w:name="_Toc15995"/>
      <w:bookmarkStart w:id="20"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8"/>
      <w:bookmarkEnd w:id="19"/>
      <w:bookmarkEnd w:id="20"/>
    </w:p>
    <w:p>
      <w:pPr>
        <w:pStyle w:val="21"/>
        <w:tabs>
          <w:tab w:val="left" w:pos="955"/>
        </w:tabs>
        <w:spacing w:line="480" w:lineRule="exact"/>
        <w:ind w:left="571" w:leftChars="272" w:firstLine="2" w:firstLineChars="0"/>
        <w:outlineLvl w:val="0"/>
        <w:rPr>
          <w:rFonts w:ascii="宋体"/>
          <w:b/>
          <w:sz w:val="24"/>
          <w:highlight w:val="none"/>
        </w:rPr>
      </w:pPr>
      <w:bookmarkStart w:id="21" w:name="_Toc32728"/>
      <w:bookmarkStart w:id="22" w:name="_Toc30324"/>
      <w:bookmarkStart w:id="23" w:name="_Toc6605"/>
      <w:r>
        <w:rPr>
          <w:rFonts w:ascii="宋体" w:hAnsi="宋体"/>
          <w:b/>
          <w:sz w:val="24"/>
          <w:highlight w:val="none"/>
        </w:rPr>
        <w:t xml:space="preserve">5.  </w:t>
      </w:r>
      <w:r>
        <w:rPr>
          <w:rFonts w:hint="eastAsia" w:ascii="宋体" w:hAnsi="宋体"/>
          <w:b/>
          <w:sz w:val="24"/>
          <w:highlight w:val="none"/>
        </w:rPr>
        <w:t>投标费用</w:t>
      </w:r>
      <w:bookmarkEnd w:id="21"/>
      <w:bookmarkEnd w:id="22"/>
      <w:bookmarkEnd w:id="23"/>
    </w:p>
    <w:p>
      <w:pPr>
        <w:pStyle w:val="21"/>
        <w:spacing w:line="480" w:lineRule="exact"/>
        <w:ind w:left="48" w:leftChars="23" w:firstLine="480" w:firstLineChars="200"/>
        <w:outlineLvl w:val="0"/>
        <w:rPr>
          <w:rFonts w:ascii="宋体"/>
          <w:sz w:val="24"/>
          <w:highlight w:val="none"/>
        </w:rPr>
      </w:pPr>
      <w:bookmarkStart w:id="24" w:name="_Toc17097"/>
      <w:bookmarkStart w:id="25" w:name="_Toc7414"/>
      <w:bookmarkStart w:id="26" w:name="_Toc8916"/>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4"/>
      <w:bookmarkEnd w:id="25"/>
      <w:bookmarkEnd w:id="26"/>
    </w:p>
    <w:p>
      <w:pPr>
        <w:pStyle w:val="21"/>
        <w:spacing w:line="480" w:lineRule="exact"/>
        <w:ind w:left="48" w:leftChars="23" w:firstLine="480" w:firstLineChars="200"/>
        <w:outlineLvl w:val="0"/>
        <w:rPr>
          <w:rFonts w:ascii="宋体"/>
          <w:sz w:val="24"/>
          <w:highlight w:val="none"/>
        </w:rPr>
      </w:pPr>
      <w:bookmarkStart w:id="27"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7"/>
    </w:p>
    <w:p>
      <w:pPr>
        <w:pStyle w:val="21"/>
        <w:spacing w:line="480" w:lineRule="exact"/>
        <w:ind w:left="0" w:leftChars="0" w:firstLine="0" w:firstLineChars="0"/>
        <w:outlineLvl w:val="1"/>
        <w:rPr>
          <w:rFonts w:ascii="宋体"/>
          <w:b/>
          <w:sz w:val="28"/>
          <w:highlight w:val="none"/>
        </w:rPr>
      </w:pPr>
      <w:bookmarkStart w:id="28" w:name="_Toc7019"/>
      <w:bookmarkStart w:id="29" w:name="_Toc8225"/>
      <w:bookmarkStart w:id="30" w:name="_Toc22107"/>
      <w:r>
        <w:rPr>
          <w:rFonts w:hint="eastAsia" w:ascii="宋体" w:hAnsi="宋体"/>
          <w:b/>
          <w:sz w:val="28"/>
          <w:highlight w:val="none"/>
        </w:rPr>
        <w:t>二、招标文件</w:t>
      </w:r>
      <w:bookmarkEnd w:id="28"/>
      <w:bookmarkEnd w:id="29"/>
      <w:bookmarkEnd w:id="30"/>
    </w:p>
    <w:p>
      <w:pPr>
        <w:pStyle w:val="21"/>
        <w:spacing w:line="480" w:lineRule="exact"/>
        <w:ind w:left="569" w:leftChars="271" w:firstLine="2" w:firstLineChars="1"/>
        <w:outlineLvl w:val="0"/>
        <w:rPr>
          <w:rFonts w:ascii="宋体"/>
          <w:b/>
          <w:sz w:val="24"/>
          <w:highlight w:val="none"/>
        </w:rPr>
      </w:pPr>
      <w:bookmarkStart w:id="31" w:name="_Toc31893"/>
      <w:bookmarkStart w:id="32" w:name="_Toc8798"/>
      <w:bookmarkStart w:id="33" w:name="_Toc29387"/>
      <w:r>
        <w:rPr>
          <w:rFonts w:ascii="宋体" w:hAnsi="宋体"/>
          <w:b/>
          <w:sz w:val="24"/>
          <w:highlight w:val="none"/>
        </w:rPr>
        <w:t xml:space="preserve">6.  </w:t>
      </w:r>
      <w:r>
        <w:rPr>
          <w:rFonts w:hint="eastAsia" w:ascii="宋体" w:hAnsi="宋体"/>
          <w:b/>
          <w:sz w:val="24"/>
          <w:highlight w:val="none"/>
        </w:rPr>
        <w:t>招标文件构成</w:t>
      </w:r>
      <w:bookmarkEnd w:id="31"/>
      <w:bookmarkEnd w:id="32"/>
      <w:bookmarkEnd w:id="33"/>
    </w:p>
    <w:p>
      <w:pPr>
        <w:pStyle w:val="21"/>
        <w:spacing w:line="480" w:lineRule="exact"/>
        <w:ind w:left="197" w:leftChars="94" w:firstLine="360" w:firstLineChars="150"/>
        <w:outlineLvl w:val="0"/>
        <w:rPr>
          <w:rFonts w:ascii="宋体"/>
          <w:sz w:val="24"/>
          <w:highlight w:val="none"/>
        </w:rPr>
      </w:pPr>
      <w:bookmarkStart w:id="34" w:name="_Toc27616"/>
      <w:bookmarkStart w:id="35" w:name="_Toc22244"/>
      <w:bookmarkStart w:id="36" w:name="_Toc29308"/>
      <w:r>
        <w:rPr>
          <w:rFonts w:hint="eastAsia" w:ascii="宋体" w:hAnsi="宋体"/>
          <w:sz w:val="24"/>
          <w:highlight w:val="none"/>
        </w:rPr>
        <w:t>本招标文件共分五部分，内容如下：</w:t>
      </w:r>
      <w:bookmarkEnd w:id="34"/>
      <w:bookmarkEnd w:id="35"/>
      <w:bookmarkEnd w:id="36"/>
    </w:p>
    <w:p>
      <w:pPr>
        <w:pStyle w:val="21"/>
        <w:spacing w:line="480" w:lineRule="exact"/>
        <w:ind w:left="199" w:leftChars="95" w:firstLine="840" w:firstLineChars="350"/>
        <w:outlineLvl w:val="0"/>
        <w:rPr>
          <w:rFonts w:ascii="宋体"/>
          <w:sz w:val="24"/>
          <w:highlight w:val="none"/>
        </w:rPr>
      </w:pPr>
      <w:bookmarkStart w:id="37" w:name="_Toc22769"/>
      <w:bookmarkStart w:id="38" w:name="_Toc24847"/>
      <w:bookmarkStart w:id="39" w:name="_Toc22328"/>
      <w:r>
        <w:rPr>
          <w:rFonts w:hint="eastAsia" w:ascii="宋体" w:hAnsi="宋体"/>
          <w:sz w:val="24"/>
          <w:highlight w:val="none"/>
        </w:rPr>
        <w:t>第一部分招标公告</w:t>
      </w:r>
      <w:bookmarkEnd w:id="37"/>
      <w:bookmarkEnd w:id="38"/>
      <w:bookmarkEnd w:id="39"/>
    </w:p>
    <w:p>
      <w:pPr>
        <w:pStyle w:val="21"/>
        <w:spacing w:line="480" w:lineRule="exact"/>
        <w:ind w:left="199" w:leftChars="95" w:firstLine="840" w:firstLineChars="350"/>
        <w:outlineLvl w:val="0"/>
        <w:rPr>
          <w:rFonts w:ascii="宋体"/>
          <w:sz w:val="24"/>
          <w:highlight w:val="none"/>
        </w:rPr>
      </w:pPr>
      <w:bookmarkStart w:id="40" w:name="_Toc21707"/>
      <w:bookmarkStart w:id="41" w:name="_Toc3662"/>
      <w:bookmarkStart w:id="42" w:name="_Toc30737"/>
      <w:r>
        <w:rPr>
          <w:rFonts w:hint="eastAsia" w:ascii="宋体" w:hAnsi="宋体"/>
          <w:sz w:val="24"/>
          <w:highlight w:val="none"/>
        </w:rPr>
        <w:t>第二部分投标人须知</w:t>
      </w:r>
      <w:bookmarkEnd w:id="40"/>
      <w:bookmarkEnd w:id="41"/>
      <w:bookmarkEnd w:id="42"/>
    </w:p>
    <w:p>
      <w:pPr>
        <w:pStyle w:val="21"/>
        <w:spacing w:line="480" w:lineRule="exact"/>
        <w:ind w:left="199" w:leftChars="95" w:firstLine="840" w:firstLineChars="350"/>
        <w:outlineLvl w:val="0"/>
        <w:rPr>
          <w:rFonts w:ascii="宋体"/>
          <w:sz w:val="24"/>
          <w:highlight w:val="none"/>
        </w:rPr>
      </w:pPr>
      <w:bookmarkStart w:id="43" w:name="_Toc25164"/>
      <w:bookmarkStart w:id="44" w:name="_Toc5592"/>
      <w:bookmarkStart w:id="45" w:name="_Toc6061"/>
      <w:r>
        <w:rPr>
          <w:rFonts w:hint="eastAsia" w:ascii="宋体" w:hAnsi="宋体"/>
          <w:sz w:val="24"/>
          <w:highlight w:val="none"/>
        </w:rPr>
        <w:t>第三部分招标要求</w:t>
      </w:r>
      <w:bookmarkEnd w:id="43"/>
      <w:bookmarkEnd w:id="44"/>
      <w:bookmarkEnd w:id="45"/>
    </w:p>
    <w:p>
      <w:pPr>
        <w:pStyle w:val="21"/>
        <w:spacing w:line="480" w:lineRule="exact"/>
        <w:ind w:left="199" w:leftChars="95" w:firstLine="840" w:firstLineChars="350"/>
        <w:outlineLvl w:val="0"/>
        <w:rPr>
          <w:rFonts w:ascii="宋体"/>
          <w:sz w:val="24"/>
          <w:highlight w:val="none"/>
        </w:rPr>
      </w:pPr>
      <w:bookmarkStart w:id="46" w:name="_Toc27874"/>
      <w:bookmarkStart w:id="47" w:name="_Toc8921"/>
      <w:bookmarkStart w:id="48" w:name="_Toc26235"/>
      <w:r>
        <w:rPr>
          <w:rFonts w:hint="eastAsia" w:ascii="宋体" w:hAnsi="宋体"/>
          <w:sz w:val="24"/>
          <w:highlight w:val="none"/>
        </w:rPr>
        <w:t>第四部分合同条款及格式</w:t>
      </w:r>
      <w:bookmarkEnd w:id="46"/>
      <w:bookmarkEnd w:id="47"/>
      <w:bookmarkEnd w:id="48"/>
    </w:p>
    <w:p>
      <w:pPr>
        <w:pStyle w:val="21"/>
        <w:spacing w:line="480" w:lineRule="exact"/>
        <w:ind w:left="199" w:leftChars="95" w:firstLine="840" w:firstLineChars="350"/>
        <w:outlineLvl w:val="0"/>
        <w:rPr>
          <w:rFonts w:ascii="宋体"/>
          <w:sz w:val="24"/>
          <w:highlight w:val="none"/>
        </w:rPr>
      </w:pPr>
      <w:bookmarkStart w:id="49" w:name="_Toc23721"/>
      <w:bookmarkStart w:id="50" w:name="_Toc1085"/>
      <w:bookmarkStart w:id="51" w:name="_Toc24995"/>
      <w:r>
        <w:rPr>
          <w:rFonts w:hint="eastAsia" w:ascii="宋体" w:hAnsi="宋体"/>
          <w:sz w:val="24"/>
          <w:highlight w:val="none"/>
        </w:rPr>
        <w:t>第五部分附件</w:t>
      </w:r>
      <w:bookmarkEnd w:id="49"/>
      <w:bookmarkEnd w:id="50"/>
      <w:bookmarkEnd w:id="51"/>
    </w:p>
    <w:p>
      <w:pPr>
        <w:pStyle w:val="21"/>
        <w:spacing w:line="480" w:lineRule="exact"/>
        <w:ind w:left="197" w:leftChars="94" w:firstLine="376" w:firstLineChars="156"/>
        <w:outlineLvl w:val="0"/>
        <w:rPr>
          <w:rFonts w:ascii="宋体"/>
          <w:b/>
          <w:sz w:val="24"/>
          <w:highlight w:val="none"/>
        </w:rPr>
      </w:pPr>
      <w:bookmarkStart w:id="52" w:name="_Toc31858"/>
      <w:bookmarkStart w:id="53" w:name="_Toc27057"/>
      <w:bookmarkStart w:id="54" w:name="_Toc4919"/>
      <w:r>
        <w:rPr>
          <w:rFonts w:ascii="宋体" w:hAnsi="宋体"/>
          <w:b/>
          <w:sz w:val="24"/>
          <w:highlight w:val="none"/>
        </w:rPr>
        <w:t xml:space="preserve">7.  </w:t>
      </w:r>
      <w:r>
        <w:rPr>
          <w:rFonts w:hint="eastAsia" w:ascii="宋体" w:hAnsi="宋体"/>
          <w:b/>
          <w:sz w:val="24"/>
          <w:highlight w:val="none"/>
        </w:rPr>
        <w:t>招标文件澄清和修改</w:t>
      </w:r>
      <w:bookmarkEnd w:id="52"/>
      <w:bookmarkEnd w:id="53"/>
      <w:bookmarkEnd w:id="54"/>
    </w:p>
    <w:p>
      <w:pPr>
        <w:pStyle w:val="21"/>
        <w:spacing w:line="480" w:lineRule="exact"/>
        <w:ind w:left="286" w:leftChars="136" w:firstLine="480" w:firstLineChars="200"/>
        <w:outlineLvl w:val="0"/>
        <w:rPr>
          <w:rFonts w:ascii="宋体"/>
          <w:sz w:val="24"/>
          <w:highlight w:val="none"/>
        </w:rPr>
      </w:pPr>
      <w:bookmarkStart w:id="55" w:name="_Toc32322"/>
      <w:bookmarkStart w:id="56" w:name="_Toc14329"/>
      <w:bookmarkStart w:id="57"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5"/>
      <w:bookmarkEnd w:id="56"/>
      <w:bookmarkEnd w:id="57"/>
    </w:p>
    <w:p>
      <w:pPr>
        <w:pStyle w:val="21"/>
        <w:spacing w:line="480" w:lineRule="exact"/>
        <w:ind w:left="286" w:leftChars="136" w:firstLine="480" w:firstLineChars="200"/>
        <w:outlineLvl w:val="0"/>
        <w:rPr>
          <w:rFonts w:ascii="宋体"/>
          <w:sz w:val="24"/>
          <w:highlight w:val="none"/>
        </w:rPr>
      </w:pPr>
      <w:bookmarkStart w:id="58" w:name="_Toc7023"/>
      <w:bookmarkStart w:id="59" w:name="_Toc2503"/>
      <w:bookmarkStart w:id="60" w:name="_Toc3003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8"/>
      <w:bookmarkEnd w:id="59"/>
      <w:bookmarkEnd w:id="60"/>
    </w:p>
    <w:p>
      <w:pPr>
        <w:pStyle w:val="21"/>
        <w:spacing w:line="480" w:lineRule="exact"/>
        <w:ind w:left="286" w:leftChars="136" w:firstLine="480" w:firstLineChars="200"/>
        <w:outlineLvl w:val="0"/>
        <w:rPr>
          <w:rFonts w:ascii="宋体"/>
          <w:sz w:val="24"/>
          <w:highlight w:val="none"/>
        </w:rPr>
      </w:pPr>
      <w:bookmarkStart w:id="61" w:name="_Toc23881"/>
      <w:bookmarkStart w:id="62" w:name="_Toc6239"/>
      <w:bookmarkStart w:id="63" w:name="_Toc27548"/>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1"/>
      <w:bookmarkEnd w:id="62"/>
      <w:bookmarkEnd w:id="63"/>
    </w:p>
    <w:p>
      <w:pPr>
        <w:pStyle w:val="21"/>
        <w:spacing w:line="480" w:lineRule="exact"/>
        <w:ind w:left="286" w:leftChars="136" w:firstLine="480" w:firstLineChars="200"/>
        <w:outlineLvl w:val="0"/>
        <w:rPr>
          <w:rFonts w:ascii="宋体"/>
          <w:sz w:val="24"/>
          <w:highlight w:val="none"/>
        </w:rPr>
      </w:pPr>
      <w:bookmarkStart w:id="64" w:name="_Toc17859"/>
      <w:bookmarkStart w:id="65" w:name="_Toc6905"/>
      <w:bookmarkStart w:id="66" w:name="_Toc1744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4"/>
      <w:bookmarkEnd w:id="65"/>
      <w:bookmarkEnd w:id="66"/>
    </w:p>
    <w:p>
      <w:pPr>
        <w:pStyle w:val="21"/>
        <w:spacing w:line="480" w:lineRule="exact"/>
        <w:ind w:left="0" w:leftChars="0" w:firstLine="0" w:firstLineChars="0"/>
        <w:outlineLvl w:val="1"/>
        <w:rPr>
          <w:rFonts w:ascii="宋体"/>
          <w:b/>
          <w:sz w:val="28"/>
          <w:highlight w:val="none"/>
        </w:rPr>
      </w:pPr>
      <w:bookmarkStart w:id="67" w:name="_Toc13670"/>
      <w:bookmarkStart w:id="68" w:name="_Toc20316"/>
      <w:bookmarkStart w:id="69" w:name="_Toc21443"/>
      <w:r>
        <w:rPr>
          <w:rFonts w:hint="eastAsia" w:ascii="宋体" w:hAnsi="宋体"/>
          <w:b/>
          <w:sz w:val="28"/>
          <w:highlight w:val="none"/>
        </w:rPr>
        <w:t>三、投标文件编制</w:t>
      </w:r>
      <w:bookmarkEnd w:id="67"/>
      <w:bookmarkEnd w:id="68"/>
      <w:bookmarkEnd w:id="69"/>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8.</w:t>
      </w:r>
      <w:r>
        <w:rPr>
          <w:rFonts w:hint="eastAsia" w:ascii="宋体" w:hAnsi="宋体"/>
          <w:highlight w:val="none"/>
          <w:lang w:val="en-US" w:eastAsia="zh-CN"/>
        </w:rPr>
        <w:t>4</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）医疗器械生产或经营企业许可证、医疗器械注册证或医疗器械备案凭证复印件（临床医疗器械提供）；采购设备标注为可采进口的，所投设备为进口产品需提供生产厂家授权书或代理证书复印件；</w:t>
      </w:r>
    </w:p>
    <w:p>
      <w:pPr>
        <w:pStyle w:val="12"/>
        <w:spacing w:line="480" w:lineRule="exact"/>
        <w:ind w:left="197" w:leftChars="94" w:firstLine="360" w:firstLineChars="15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）投标人所投设备须具有中华人民共和国医疗器械注册证及《医疗器械注册登记表》（临床医疗器械提供）；</w:t>
      </w:r>
    </w:p>
    <w:p>
      <w:pPr>
        <w:pStyle w:val="12"/>
        <w:spacing w:line="480" w:lineRule="exact"/>
        <w:ind w:left="197" w:leftChars="94" w:firstLine="360" w:firstLineChars="150"/>
        <w:rPr>
          <w:rFonts w:ascii="宋体"/>
          <w:sz w:val="24"/>
          <w:highlight w:val="none"/>
        </w:rPr>
      </w:pPr>
      <w:r>
        <w:rPr>
          <w:rFonts w:ascii="宋体" w:hAnsi="宋体"/>
          <w:sz w:val="24"/>
          <w:highlight w:val="none"/>
        </w:rPr>
        <w:t>5</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8</w:t>
      </w:r>
      <w:r>
        <w:rPr>
          <w:rFonts w:hint="eastAsia" w:ascii="宋体" w:hAnsi="宋体"/>
          <w:sz w:val="24"/>
          <w:highlight w:val="none"/>
        </w:rPr>
        <w:t>月</w:t>
      </w:r>
      <w:r>
        <w:rPr>
          <w:rFonts w:ascii="宋体" w:hAnsi="宋体"/>
          <w:sz w:val="24"/>
          <w:highlight w:val="none"/>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11</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12</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13</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14</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15</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19"/>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70" w:name="_Toc22972"/>
      <w:bookmarkStart w:id="71" w:name="_Toc16942"/>
      <w:bookmarkStart w:id="72" w:name="_Toc5125"/>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70"/>
      <w:bookmarkEnd w:id="71"/>
      <w:bookmarkEnd w:id="7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投标人应准备三份投标文件，一份正本和两份副本以及单独密封的开标一览表一份。在每一份投标文件上要注明“正本”或“副本”字样。投标文件每册不超过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3" w:name="_Toc8600"/>
      <w:bookmarkStart w:id="74" w:name="_Toc14371"/>
      <w:bookmarkStart w:id="75" w:name="_Toc28577"/>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3"/>
      <w:bookmarkEnd w:id="74"/>
      <w:bookmarkEnd w:id="75"/>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6" w:name="_Toc26505"/>
      <w:bookmarkStart w:id="77" w:name="_Toc9239"/>
      <w:bookmarkStart w:id="78" w:name="_Toc28358"/>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6"/>
      <w:bookmarkEnd w:id="77"/>
      <w:bookmarkEnd w:id="78"/>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招标编号、项目名称、包号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hint="eastAsia" w:ascii="宋体" w:eastAsia="宋体" w:cs="宋体"/>
          <w:kern w:val="0"/>
          <w:sz w:val="24"/>
          <w:highlight w:val="none"/>
          <w:lang w:eastAsia="zh-CN"/>
        </w:rPr>
      </w:pPr>
      <w:bookmarkStart w:id="79" w:name="_Toc31899"/>
      <w:bookmarkStart w:id="80" w:name="_Toc9397"/>
      <w:bookmarkStart w:id="81"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9"/>
      <w:bookmarkEnd w:id="80"/>
      <w:bookmarkEnd w:id="8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hint="eastAsia" w:ascii="宋体" w:eastAsia="宋体"/>
          <w:bCs/>
          <w:highlight w:val="none"/>
          <w:lang w:eastAsia="zh-CN"/>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r>
        <w:rPr>
          <w:rFonts w:hint="eastAsia" w:ascii="宋体" w:hAnsi="宋体" w:cs="宋体"/>
          <w:kern w:val="0"/>
          <w:sz w:val="24"/>
          <w:highlight w:val="none"/>
          <w:lang w:eastAsia="zh-CN"/>
        </w:rPr>
        <w:t>。</w:t>
      </w:r>
    </w:p>
    <w:p>
      <w:pPr>
        <w:pStyle w:val="21"/>
        <w:spacing w:line="480" w:lineRule="exact"/>
        <w:ind w:leftChars="0" w:hanging="100" w:firstLineChars="0"/>
        <w:outlineLvl w:val="1"/>
        <w:rPr>
          <w:rFonts w:ascii="宋体"/>
          <w:b/>
          <w:bCs/>
          <w:sz w:val="24"/>
          <w:highlight w:val="none"/>
        </w:rPr>
      </w:pPr>
      <w:bookmarkStart w:id="82" w:name="_Toc3684"/>
      <w:bookmarkStart w:id="83" w:name="_Toc1930"/>
      <w:bookmarkStart w:id="84" w:name="_Toc18910"/>
      <w:r>
        <w:rPr>
          <w:rFonts w:hint="eastAsia" w:ascii="宋体" w:hAnsi="宋体"/>
          <w:b/>
          <w:bCs/>
          <w:sz w:val="24"/>
          <w:highlight w:val="none"/>
        </w:rPr>
        <w:t>四、投标文件递交</w:t>
      </w:r>
      <w:bookmarkEnd w:id="82"/>
      <w:bookmarkEnd w:id="83"/>
      <w:bookmarkEnd w:id="84"/>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5" w:name="_Toc5371"/>
      <w:bookmarkStart w:id="86" w:name="_Toc22790"/>
      <w:bookmarkStart w:id="87" w:name="_Toc13548"/>
      <w:r>
        <w:rPr>
          <w:rFonts w:ascii="宋体" w:hAnsi="宋体"/>
          <w:bCs/>
          <w:sz w:val="24"/>
          <w:highlight w:val="none"/>
        </w:rPr>
        <w:t xml:space="preserve">18.  </w:t>
      </w:r>
      <w:r>
        <w:rPr>
          <w:rFonts w:hint="eastAsia" w:ascii="宋体" w:hAnsi="宋体"/>
          <w:bCs/>
          <w:sz w:val="24"/>
          <w:highlight w:val="none"/>
        </w:rPr>
        <w:t>投标文件修改与撤回</w:t>
      </w:r>
      <w:bookmarkEnd w:id="85"/>
      <w:bookmarkEnd w:id="86"/>
      <w:bookmarkEnd w:id="87"/>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8" w:name="_Toc29966"/>
      <w:bookmarkStart w:id="89" w:name="_Toc142"/>
      <w:r>
        <w:rPr>
          <w:rFonts w:hint="eastAsia" w:ascii="宋体" w:hAnsi="宋体"/>
          <w:b/>
          <w:bCs/>
          <w:sz w:val="24"/>
          <w:highlight w:val="none"/>
        </w:rPr>
        <w:t>五、开标与评标</w:t>
      </w:r>
      <w:bookmarkEnd w:id="88"/>
      <w:bookmarkEnd w:id="89"/>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(4) </w:t>
      </w:r>
      <w:r>
        <w:rPr>
          <w:rFonts w:hint="eastAsia" w:ascii="宋体" w:hAnsi="宋体"/>
          <w:bCs/>
          <w:highlight w:val="none"/>
        </w:rPr>
        <w:t>投标人名称或组织结构与购买招标文件时不一致的；</w:t>
      </w:r>
      <w:r>
        <w:rPr>
          <w:rFonts w:hint="eastAsia" w:ascii="宋体" w:hAnsi="宋体"/>
          <w:bCs/>
          <w:highlight w:val="none"/>
          <w:lang w:eastAsia="zh-CN"/>
        </w:rPr>
        <w:t>‘</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w:t>
      </w:r>
      <w:r>
        <w:rPr>
          <w:rFonts w:hint="eastAsia" w:ascii="宋体" w:hAnsi="宋体"/>
          <w:bCs/>
          <w:highlight w:val="none"/>
          <w:lang w:val="en-US" w:eastAsia="zh-CN"/>
        </w:rPr>
        <w:t>6</w:t>
      </w:r>
      <w:r>
        <w:rPr>
          <w:rFonts w:ascii="宋体" w:hAnsi="宋体"/>
          <w:bCs/>
          <w:highlight w:val="none"/>
        </w:rPr>
        <w:t xml:space="preserve">)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r>
        <w:rPr>
          <w:rFonts w:hint="eastAsia" w:ascii="宋体" w:hAnsi="宋体"/>
          <w:bCs/>
          <w:highlight w:val="none"/>
        </w:rPr>
        <w:t>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90" w:name="_Toc6823"/>
      <w:bookmarkStart w:id="91" w:name="_Toc24408"/>
      <w:bookmarkStart w:id="92" w:name="_Toc26178"/>
      <w:r>
        <w:rPr>
          <w:rFonts w:ascii="宋体" w:hAnsi="宋体"/>
          <w:bCs/>
          <w:sz w:val="24"/>
          <w:highlight w:val="none"/>
        </w:rPr>
        <w:t xml:space="preserve">21.  </w:t>
      </w:r>
      <w:r>
        <w:rPr>
          <w:rFonts w:hint="eastAsia" w:ascii="宋体" w:hAnsi="宋体"/>
          <w:bCs/>
          <w:sz w:val="24"/>
          <w:highlight w:val="none"/>
        </w:rPr>
        <w:t>评标原则</w:t>
      </w:r>
      <w:bookmarkEnd w:id="90"/>
      <w:bookmarkEnd w:id="91"/>
      <w:bookmarkEnd w:id="92"/>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tabs>
          <w:tab w:val="left" w:pos="0"/>
        </w:tabs>
        <w:spacing w:line="480" w:lineRule="exact"/>
        <w:ind w:firstLine="720" w:firstLineChars="300"/>
        <w:rPr>
          <w:rFonts w:hint="eastAsia" w:ascii="宋体" w:hAnsi="宋体" w:eastAsia="宋体"/>
          <w:bCs/>
          <w:highlight w:val="none"/>
          <w:lang w:val="en-US" w:eastAsia="zh-CN"/>
        </w:rPr>
      </w:pPr>
      <w:r>
        <w:rPr>
          <w:rFonts w:hint="eastAsia" w:ascii="宋体" w:hAnsi="宋体"/>
          <w:bCs/>
          <w:highlight w:val="none"/>
          <w:lang w:val="en-US" w:eastAsia="zh-CN"/>
        </w:rPr>
        <w:t>I、未全部响应招标文件规定的实质性要求（含*项）的；</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3" w:name="_Toc27597"/>
      <w:bookmarkStart w:id="94" w:name="_Toc2195"/>
      <w:bookmarkStart w:id="95" w:name="_Toc31292"/>
      <w:r>
        <w:rPr>
          <w:rFonts w:ascii="宋体" w:hAnsi="宋体"/>
          <w:bCs/>
          <w:sz w:val="24"/>
          <w:highlight w:val="none"/>
        </w:rPr>
        <w:t xml:space="preserve">24.  </w:t>
      </w:r>
      <w:r>
        <w:rPr>
          <w:rFonts w:hint="eastAsia" w:ascii="宋体" w:hAnsi="宋体"/>
          <w:bCs/>
          <w:sz w:val="24"/>
          <w:highlight w:val="none"/>
        </w:rPr>
        <w:t>综合评审</w:t>
      </w:r>
      <w:bookmarkEnd w:id="93"/>
      <w:bookmarkEnd w:id="94"/>
      <w:bookmarkEnd w:id="95"/>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19"/>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19"/>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none"/>
        </w:rPr>
      </w:pPr>
      <w:bookmarkStart w:id="96" w:name="_Toc326"/>
      <w:bookmarkStart w:id="97" w:name="_Toc482367258"/>
      <w:r>
        <w:rPr>
          <w:rFonts w:ascii="宋体"/>
          <w:b/>
          <w:bCs/>
          <w:sz w:val="32"/>
          <w:szCs w:val="32"/>
          <w:highlight w:val="none"/>
        </w:rPr>
        <w:br w:type="page"/>
      </w:r>
      <w:r>
        <w:rPr>
          <w:rFonts w:hint="eastAsia" w:ascii="宋体" w:hAnsi="宋体"/>
          <w:b/>
          <w:bCs/>
          <w:sz w:val="32"/>
          <w:szCs w:val="32"/>
          <w:highlight w:val="none"/>
        </w:rPr>
        <w:t>评分细则</w:t>
      </w:r>
      <w:bookmarkEnd w:id="96"/>
      <w:bookmarkEnd w:id="97"/>
    </w:p>
    <w:tbl>
      <w:tblPr>
        <w:tblStyle w:val="49"/>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958"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19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1</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优得25-30分；良得15-25分；一般得3-15分。若此条缺项不得分；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color w:val="000000"/>
                <w:sz w:val="24"/>
                <w:highlight w:val="none"/>
              </w:rPr>
              <w:t>2、由评委根据投标人所提供产品的技术参数和配置要求及对临床医学使用具有实际意义的</w:t>
            </w:r>
            <w:r>
              <w:rPr>
                <w:rFonts w:hint="eastAsia" w:ascii="宋体" w:hAnsi="宋体"/>
                <w:color w:val="000000"/>
                <w:sz w:val="24"/>
                <w:highlight w:val="none"/>
                <w:lang w:eastAsia="zh-CN"/>
              </w:rPr>
              <w:t>独特设计和</w:t>
            </w:r>
            <w:r>
              <w:rPr>
                <w:rFonts w:hint="eastAsia" w:ascii="宋体" w:hAnsi="宋体"/>
                <w:color w:val="000000"/>
                <w:sz w:val="24"/>
                <w:highlight w:val="none"/>
              </w:rPr>
              <w:t>特色技术的描述酌情打分，优得10-15分，良得5-10分，一般得3-5分，若此条缺项不得分。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保证措施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由评委根据投标人提供的按期交货的保证措施情况进行打分，优得</w:t>
            </w:r>
            <w:r>
              <w:rPr>
                <w:rFonts w:hint="eastAsia" w:ascii="宋体" w:hAnsi="宋体"/>
                <w:color w:val="000000"/>
                <w:sz w:val="24"/>
                <w:highlight w:val="none"/>
                <w:lang w:val="en-US" w:eastAsia="zh-CN"/>
              </w:rPr>
              <w:t>3</w:t>
            </w:r>
            <w:r>
              <w:rPr>
                <w:rFonts w:hint="eastAsia"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分；良得</w:t>
            </w:r>
            <w:r>
              <w:rPr>
                <w:rFonts w:hint="eastAsia" w:ascii="宋体" w:hAnsi="宋体"/>
                <w:color w:val="000000"/>
                <w:sz w:val="24"/>
                <w:highlight w:val="none"/>
                <w:lang w:val="en-US" w:eastAsia="zh-CN"/>
              </w:rPr>
              <w:t>1</w:t>
            </w:r>
            <w:r>
              <w:rPr>
                <w:rFonts w:hint="eastAsia"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分；一般得0-</w:t>
            </w:r>
            <w:r>
              <w:rPr>
                <w:rFonts w:hint="eastAsia" w:ascii="宋体" w:hAnsi="宋体"/>
                <w:color w:val="000000"/>
                <w:sz w:val="24"/>
                <w:highlight w:val="none"/>
                <w:lang w:val="en-US" w:eastAsia="zh-CN"/>
              </w:rPr>
              <w:t>1</w:t>
            </w:r>
            <w:r>
              <w:rPr>
                <w:rFonts w:hint="eastAsia" w:ascii="宋体" w:hAnsi="宋体"/>
                <w:color w:val="000000"/>
                <w:sz w:val="24"/>
                <w:highlight w:val="none"/>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安装调试方案切实可行,进度计划完善，优得2-3分；良得1-2分；一般得0-1分，无此项内容不得。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正常使用，优得4-5分；良得2-4分；一般得0-2分，无此项内容不得。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培训计划</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服务（售后维修、技术支持、技术培训、备品备件供应）及时周到且有相应的承诺和保证措施，优得4-6分；良得2-4分；一般得0-2分，无此项内容不得。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8</w:t>
            </w:r>
            <w:r>
              <w:rPr>
                <w:rFonts w:hint="eastAsia" w:ascii="宋体" w:hAnsi="宋体"/>
                <w:color w:val="000000"/>
                <w:sz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u w:val="single"/>
        </w:rPr>
      </w:pPr>
      <w:r>
        <w:rPr>
          <w:rFonts w:hint="eastAsia" w:ascii="宋体" w:hAnsi="宋体"/>
          <w:color w:val="000000"/>
          <w:sz w:val="24"/>
          <w:highlight w:val="none"/>
        </w:rPr>
        <w:t>说明：</w:t>
      </w: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8</w:t>
      </w:r>
      <w:r>
        <w:rPr>
          <w:rFonts w:hint="eastAsia" w:ascii="宋体" w:hAnsi="宋体"/>
          <w:sz w:val="24"/>
          <w:highlight w:val="none"/>
        </w:rPr>
        <w:t>月1日至今。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hint="eastAsia" w:ascii="宋体" w:hAnsi="宋体"/>
          <w:bCs/>
          <w:highlight w:val="none"/>
        </w:rPr>
      </w:pPr>
      <w:r>
        <w:rPr>
          <w:rFonts w:hint="eastAsia" w:ascii="宋体" w:hAnsi="宋体"/>
          <w:bCs/>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8" w:name="_Toc10857"/>
      <w:bookmarkStart w:id="99" w:name="_Toc30962"/>
      <w:bookmarkStart w:id="100" w:name="_Toc29202"/>
      <w:r>
        <w:rPr>
          <w:rFonts w:ascii="宋体" w:hAnsi="宋体"/>
          <w:bCs/>
          <w:sz w:val="24"/>
          <w:highlight w:val="none"/>
        </w:rPr>
        <w:t xml:space="preserve">27.  </w:t>
      </w:r>
      <w:r>
        <w:rPr>
          <w:rFonts w:hint="eastAsia" w:ascii="宋体" w:hAnsi="宋体"/>
          <w:bCs/>
          <w:sz w:val="24"/>
          <w:highlight w:val="none"/>
        </w:rPr>
        <w:t>投标人瑕疵滞后的处理</w:t>
      </w:r>
      <w:bookmarkEnd w:id="98"/>
      <w:bookmarkEnd w:id="99"/>
      <w:bookmarkEnd w:id="100"/>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1" w:name="_Toc7870"/>
      <w:bookmarkStart w:id="102" w:name="_Toc28609"/>
      <w:r>
        <w:rPr>
          <w:rFonts w:hint="eastAsia" w:ascii="宋体" w:hAnsi="宋体"/>
          <w:b/>
          <w:bCs/>
          <w:sz w:val="24"/>
          <w:highlight w:val="none"/>
        </w:rPr>
        <w:t>六、合同签订</w:t>
      </w:r>
      <w:bookmarkEnd w:id="101"/>
      <w:bookmarkEnd w:id="102"/>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3" w:name="_Toc30952"/>
      <w:bookmarkStart w:id="104" w:name="_Toc13878"/>
      <w:bookmarkStart w:id="105" w:name="_Toc3157"/>
      <w:r>
        <w:rPr>
          <w:rFonts w:hint="eastAsia" w:ascii="宋体" w:hAnsi="宋体"/>
          <w:b/>
          <w:bCs/>
          <w:sz w:val="24"/>
          <w:highlight w:val="none"/>
        </w:rPr>
        <w:t>七、处罚、质疑</w:t>
      </w:r>
      <w:bookmarkEnd w:id="103"/>
      <w:bookmarkEnd w:id="104"/>
      <w:bookmarkEnd w:id="105"/>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6" w:name="_Toc1876"/>
      <w:bookmarkStart w:id="107" w:name="_Toc1537"/>
      <w:bookmarkStart w:id="108" w:name="_Toc26147"/>
      <w:r>
        <w:rPr>
          <w:rFonts w:hint="eastAsia" w:ascii="宋体" w:hAnsi="宋体"/>
          <w:b/>
          <w:bCs/>
          <w:sz w:val="24"/>
          <w:highlight w:val="none"/>
        </w:rPr>
        <w:t>八、保密</w:t>
      </w:r>
      <w:bookmarkEnd w:id="106"/>
      <w:bookmarkEnd w:id="107"/>
      <w:bookmarkEnd w:id="108"/>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9" w:name="_Toc14534"/>
      <w:bookmarkStart w:id="110" w:name="_Toc28213"/>
      <w:bookmarkStart w:id="111" w:name="_Toc11927"/>
      <w:r>
        <w:rPr>
          <w:rFonts w:hint="eastAsia" w:ascii="宋体" w:hAnsi="宋体"/>
          <w:b/>
          <w:bCs/>
          <w:sz w:val="24"/>
          <w:highlight w:val="none"/>
        </w:rPr>
        <w:t>九、专利权</w:t>
      </w:r>
      <w:bookmarkEnd w:id="109"/>
      <w:bookmarkEnd w:id="110"/>
      <w:bookmarkEnd w:id="111"/>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2" w:name="_Toc9163"/>
      <w:bookmarkStart w:id="113" w:name="_Toc1386"/>
      <w:bookmarkStart w:id="114" w:name="_Toc5288"/>
      <w:r>
        <w:rPr>
          <w:rFonts w:hint="eastAsia" w:ascii="宋体" w:hAnsi="宋体"/>
          <w:b/>
          <w:bCs/>
          <w:sz w:val="24"/>
          <w:highlight w:val="none"/>
        </w:rPr>
        <w:t>十、解释权</w:t>
      </w:r>
      <w:bookmarkEnd w:id="112"/>
      <w:bookmarkEnd w:id="113"/>
      <w:bookmarkEnd w:id="114"/>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5" w:name="_Toc27088"/>
      <w:bookmarkStart w:id="116" w:name="_Toc1488"/>
      <w:bookmarkStart w:id="117" w:name="_Toc8805"/>
      <w:r>
        <w:rPr>
          <w:rFonts w:hint="eastAsia" w:ascii="宋体" w:hAnsi="宋体"/>
          <w:b/>
          <w:bCs/>
          <w:sz w:val="24"/>
          <w:highlight w:val="none"/>
        </w:rPr>
        <w:t>十一、其他</w:t>
      </w:r>
      <w:bookmarkEnd w:id="115"/>
      <w:bookmarkEnd w:id="116"/>
      <w:bookmarkEnd w:id="117"/>
    </w:p>
    <w:p>
      <w:pPr>
        <w:pStyle w:val="21"/>
        <w:numPr>
          <w:ilvl w:val="0"/>
          <w:numId w:val="4"/>
        </w:numPr>
        <w:snapToGrid w:val="0"/>
        <w:spacing w:line="360" w:lineRule="auto"/>
        <w:ind w:leftChars="0" w:firstLineChars="0"/>
        <w:outlineLvl w:val="0"/>
        <w:rPr>
          <w:rFonts w:ascii="宋体"/>
          <w:bCs/>
          <w:sz w:val="24"/>
          <w:highlight w:val="none"/>
        </w:rPr>
      </w:pPr>
      <w:bookmarkStart w:id="118" w:name="_Toc17247"/>
      <w:bookmarkStart w:id="119" w:name="_Toc30190"/>
      <w:bookmarkStart w:id="120" w:name="_Toc19127"/>
      <w:r>
        <w:rPr>
          <w:rFonts w:hint="eastAsia" w:ascii="宋体" w:hAnsi="宋体"/>
          <w:bCs/>
          <w:sz w:val="24"/>
          <w:highlight w:val="none"/>
        </w:rPr>
        <w:t>其他</w:t>
      </w:r>
      <w:bookmarkEnd w:id="118"/>
      <w:bookmarkEnd w:id="119"/>
      <w:bookmarkEnd w:id="120"/>
    </w:p>
    <w:p>
      <w:pPr>
        <w:pStyle w:val="21"/>
        <w:snapToGrid w:val="0"/>
        <w:spacing w:line="360" w:lineRule="auto"/>
        <w:ind w:left="570" w:leftChars="0" w:firstLine="0" w:firstLineChars="0"/>
        <w:outlineLvl w:val="0"/>
        <w:rPr>
          <w:rFonts w:ascii="宋体"/>
          <w:bCs/>
          <w:sz w:val="24"/>
          <w:highlight w:val="none"/>
        </w:rPr>
      </w:pPr>
      <w:bookmarkStart w:id="121" w:name="_Toc7890"/>
      <w:bookmarkStart w:id="122" w:name="_Toc4557"/>
      <w:bookmarkStart w:id="123"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1"/>
      <w:bookmarkEnd w:id="122"/>
      <w:bookmarkEnd w:id="123"/>
    </w:p>
    <w:p>
      <w:pPr>
        <w:pStyle w:val="21"/>
        <w:snapToGrid w:val="0"/>
        <w:spacing w:line="360" w:lineRule="auto"/>
        <w:ind w:left="570" w:leftChars="0" w:firstLine="0" w:firstLineChars="0"/>
        <w:outlineLvl w:val="0"/>
        <w:rPr>
          <w:rFonts w:ascii="宋体"/>
          <w:bCs/>
          <w:sz w:val="24"/>
          <w:highlight w:val="none"/>
        </w:rPr>
      </w:pPr>
      <w:bookmarkStart w:id="124" w:name="_Toc9875"/>
      <w:bookmarkStart w:id="125" w:name="_Toc30966"/>
      <w:bookmarkStart w:id="126" w:name="_Toc20220"/>
      <w:r>
        <w:rPr>
          <w:rFonts w:ascii="宋体" w:hAnsi="宋体"/>
          <w:bCs/>
          <w:sz w:val="24"/>
          <w:highlight w:val="none"/>
        </w:rPr>
        <w:t xml:space="preserve">36.2 </w:t>
      </w:r>
      <w:r>
        <w:rPr>
          <w:rFonts w:hint="eastAsia" w:ascii="宋体" w:hAnsi="宋体"/>
          <w:bCs/>
          <w:sz w:val="24"/>
          <w:highlight w:val="none"/>
        </w:rPr>
        <w:t>招标人不保证低价中标。</w:t>
      </w:r>
      <w:bookmarkEnd w:id="124"/>
      <w:bookmarkEnd w:id="125"/>
      <w:bookmarkEnd w:id="126"/>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7" w:name="_Toc21726"/>
      <w:r>
        <w:rPr>
          <w:rFonts w:hint="eastAsia" w:ascii="宋体" w:hAnsi="宋体"/>
          <w:b/>
          <w:sz w:val="36"/>
          <w:highlight w:val="none"/>
        </w:rPr>
        <w:t>第三部分招标要求</w:t>
      </w:r>
      <w:bookmarkEnd w:id="127"/>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本次招标为山东大学第二医院医疗设备采购项目，本项目共分为</w:t>
      </w:r>
      <w:r>
        <w:rPr>
          <w:rFonts w:hint="eastAsia"/>
          <w:sz w:val="24"/>
          <w:szCs w:val="24"/>
          <w:highlight w:val="none"/>
          <w:lang w:val="en-US" w:eastAsia="zh-CN"/>
        </w:rPr>
        <w:t>3</w:t>
      </w:r>
      <w:r>
        <w:rPr>
          <w:rFonts w:hint="eastAsia"/>
          <w:sz w:val="24"/>
          <w:szCs w:val="24"/>
          <w:highlight w:val="none"/>
        </w:rPr>
        <w:t>个包，包1：</w:t>
      </w:r>
      <w:r>
        <w:rPr>
          <w:rFonts w:hint="eastAsia"/>
          <w:sz w:val="24"/>
          <w:szCs w:val="24"/>
          <w:highlight w:val="none"/>
          <w:lang w:eastAsia="zh-CN"/>
        </w:rPr>
        <w:t>体外循环机</w:t>
      </w:r>
      <w:r>
        <w:rPr>
          <w:rFonts w:hint="eastAsia"/>
          <w:sz w:val="24"/>
          <w:szCs w:val="24"/>
          <w:highlight w:val="none"/>
        </w:rPr>
        <w:t>（</w:t>
      </w:r>
      <w:r>
        <w:rPr>
          <w:rFonts w:hint="eastAsia"/>
          <w:sz w:val="24"/>
          <w:szCs w:val="24"/>
          <w:highlight w:val="none"/>
          <w:lang w:val="en-US" w:eastAsia="zh-CN"/>
        </w:rPr>
        <w:t>1套</w:t>
      </w:r>
      <w:r>
        <w:rPr>
          <w:rFonts w:hint="eastAsia"/>
          <w:sz w:val="24"/>
          <w:szCs w:val="24"/>
          <w:highlight w:val="none"/>
        </w:rPr>
        <w:t>）；包2：</w:t>
      </w:r>
      <w:r>
        <w:rPr>
          <w:rFonts w:hint="eastAsia"/>
          <w:sz w:val="24"/>
          <w:szCs w:val="24"/>
          <w:highlight w:val="none"/>
          <w:lang w:eastAsia="zh-CN"/>
        </w:rPr>
        <w:t>神经肌肉刺激治疗仪</w:t>
      </w:r>
      <w:r>
        <w:rPr>
          <w:rFonts w:hint="eastAsia"/>
          <w:sz w:val="24"/>
          <w:szCs w:val="24"/>
          <w:highlight w:val="none"/>
        </w:rPr>
        <w:t>（</w:t>
      </w:r>
      <w:r>
        <w:rPr>
          <w:rFonts w:hint="eastAsia"/>
          <w:sz w:val="24"/>
          <w:szCs w:val="24"/>
          <w:highlight w:val="none"/>
          <w:lang w:val="en-US" w:eastAsia="zh-CN"/>
        </w:rPr>
        <w:t>2台</w:t>
      </w:r>
      <w:r>
        <w:rPr>
          <w:rFonts w:hint="eastAsia"/>
          <w:sz w:val="24"/>
          <w:szCs w:val="24"/>
          <w:highlight w:val="none"/>
        </w:rPr>
        <w:t>）；包</w:t>
      </w: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eastAsia="zh-CN"/>
        </w:rPr>
        <w:t>实时动态胰岛素监测系统</w:t>
      </w:r>
      <w:r>
        <w:rPr>
          <w:rFonts w:hint="eastAsia"/>
          <w:sz w:val="24"/>
          <w:szCs w:val="24"/>
          <w:highlight w:val="none"/>
        </w:rPr>
        <w:t>（</w:t>
      </w:r>
      <w:r>
        <w:rPr>
          <w:rFonts w:hint="eastAsia"/>
          <w:sz w:val="24"/>
          <w:szCs w:val="24"/>
          <w:highlight w:val="none"/>
          <w:lang w:val="en-US" w:eastAsia="zh-CN"/>
        </w:rPr>
        <w:t>1批</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0"/>
        <w:spacing w:line="360" w:lineRule="auto"/>
        <w:ind w:left="0" w:leftChars="0" w:firstLine="0" w:firstLineChars="0"/>
        <w:jc w:val="left"/>
        <w:rPr>
          <w:rFonts w:hint="eastAsia"/>
          <w:kern w:val="2"/>
          <w:sz w:val="24"/>
          <w:szCs w:val="24"/>
          <w:highlight w:val="none"/>
          <w:lang w:eastAsia="zh-CN"/>
        </w:rPr>
      </w:pPr>
      <w:r>
        <w:rPr>
          <w:kern w:val="2"/>
          <w:sz w:val="24"/>
          <w:szCs w:val="24"/>
          <w:highlight w:val="none"/>
        </w:rPr>
        <w:t xml:space="preserve"> </w:t>
      </w:r>
      <w:r>
        <w:rPr>
          <w:rFonts w:hint="eastAsia"/>
          <w:kern w:val="2"/>
          <w:sz w:val="24"/>
          <w:szCs w:val="24"/>
          <w:highlight w:val="none"/>
        </w:rPr>
        <w:t xml:space="preserve"> 3、质保期：</w:t>
      </w:r>
      <w:r>
        <w:rPr>
          <w:rFonts w:hint="eastAsia"/>
          <w:kern w:val="2"/>
          <w:sz w:val="24"/>
          <w:szCs w:val="24"/>
          <w:highlight w:val="none"/>
          <w:lang w:eastAsia="zh-CN"/>
        </w:rPr>
        <w:t>具体详见各包技术要求和参数</w:t>
      </w:r>
      <w:r>
        <w:rPr>
          <w:rFonts w:hint="eastAsia"/>
          <w:kern w:val="2"/>
          <w:sz w:val="24"/>
          <w:szCs w:val="24"/>
          <w:highlight w:val="none"/>
        </w:rPr>
        <w:t>；</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包1：设备清单及技术要求</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0676-196008ZB018028</w:t>
      </w:r>
      <w:r>
        <w:rPr>
          <w:rFonts w:hint="eastAsia" w:ascii="宋体" w:hAnsi="宋体" w:eastAsia="宋体" w:cs="宋体"/>
          <w:b/>
          <w:bCs/>
          <w:sz w:val="24"/>
          <w:szCs w:val="24"/>
          <w:highlight w:val="none"/>
        </w:rPr>
        <w:t>-01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体外循环机（</w:t>
      </w:r>
      <w:r>
        <w:rPr>
          <w:rFonts w:hint="eastAsia" w:ascii="宋体" w:hAnsi="宋体"/>
          <w:b/>
          <w:bCs/>
          <w:color w:val="000000"/>
          <w:sz w:val="24"/>
          <w:szCs w:val="24"/>
          <w:highlight w:val="none"/>
          <w:lang w:val="en-US" w:eastAsia="zh-CN"/>
        </w:rPr>
        <w:t>可采进口</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 xml:space="preserve">       </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套</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numPr>
          <w:ilvl w:val="0"/>
          <w:numId w:val="0"/>
        </w:numPr>
        <w:rPr>
          <w:rFonts w:hint="default" w:ascii="宋体" w:hAnsi="宋体"/>
          <w:b/>
          <w:sz w:val="24"/>
          <w:szCs w:val="24"/>
          <w:highlight w:val="none"/>
          <w:lang w:val="en-US" w:eastAsia="zh-CN"/>
        </w:rPr>
      </w:pPr>
      <w:r>
        <w:rPr>
          <w:rFonts w:hint="eastAsia" w:ascii="宋体" w:hAnsi="宋体"/>
          <w:b/>
          <w:sz w:val="24"/>
          <w:szCs w:val="24"/>
          <w:highlight w:val="none"/>
          <w:lang w:eastAsia="zh-CN"/>
        </w:rPr>
        <w:t>（一）</w:t>
      </w:r>
      <w:r>
        <w:rPr>
          <w:rFonts w:hint="eastAsia" w:ascii="宋体" w:hAnsi="宋体"/>
          <w:b/>
          <w:sz w:val="24"/>
          <w:szCs w:val="24"/>
          <w:highlight w:val="none"/>
        </w:rPr>
        <w:t>泵头部分</w:t>
      </w:r>
    </w:p>
    <w:p>
      <w:pPr>
        <w:pStyle w:val="130"/>
        <w:numPr>
          <w:ilvl w:val="0"/>
          <w:numId w:val="5"/>
        </w:numPr>
        <w:ind w:left="425" w:leftChars="0" w:hanging="425" w:firstLineChars="0"/>
        <w:rPr>
          <w:rFonts w:ascii="宋体" w:hAnsi="宋体"/>
          <w:b w:val="0"/>
          <w:bCs/>
          <w:sz w:val="24"/>
          <w:szCs w:val="24"/>
          <w:highlight w:val="none"/>
        </w:rPr>
      </w:pPr>
      <w:r>
        <w:rPr>
          <w:rFonts w:hint="eastAsia" w:ascii="宋体" w:hAnsi="宋体"/>
          <w:b w:val="0"/>
          <w:bCs/>
          <w:sz w:val="24"/>
          <w:szCs w:val="24"/>
          <w:highlight w:val="none"/>
        </w:rPr>
        <w:t>配置：</w:t>
      </w:r>
      <w:r>
        <w:rPr>
          <w:rFonts w:hint="eastAsia" w:ascii="宋体" w:hAnsi="宋体" w:eastAsia="宋体" w:cs="Times New Roman"/>
          <w:b w:val="0"/>
          <w:bCs/>
          <w:kern w:val="2"/>
          <w:sz w:val="24"/>
          <w:szCs w:val="24"/>
          <w:highlight w:val="none"/>
          <w:lang w:val="en-US" w:eastAsia="zh-CN" w:bidi="ar-SA"/>
        </w:rPr>
        <w:t>单头滚压泵3个，双头滚压泵1个</w:t>
      </w:r>
    </w:p>
    <w:p>
      <w:pPr>
        <w:numPr>
          <w:ilvl w:val="0"/>
          <w:numId w:val="5"/>
        </w:numPr>
        <w:spacing w:line="360" w:lineRule="exact"/>
        <w:ind w:left="425" w:leftChars="0" w:hanging="425" w:firstLineChars="0"/>
        <w:rPr>
          <w:rFonts w:ascii="宋体" w:hAnsi="宋体"/>
          <w:b w:val="0"/>
          <w:bCs/>
          <w:sz w:val="24"/>
          <w:szCs w:val="24"/>
          <w:highlight w:val="none"/>
        </w:rPr>
      </w:pPr>
      <w:r>
        <w:rPr>
          <w:rFonts w:hint="eastAsia" w:ascii="宋体" w:hAnsi="宋体"/>
          <w:b w:val="0"/>
          <w:bCs/>
          <w:sz w:val="24"/>
          <w:szCs w:val="24"/>
          <w:highlight w:val="none"/>
        </w:rPr>
        <w:t>转速范围：</w:t>
      </w:r>
      <w:r>
        <w:rPr>
          <w:rFonts w:ascii="宋体" w:hAnsi="宋体"/>
          <w:b w:val="0"/>
          <w:bCs/>
          <w:sz w:val="24"/>
          <w:szCs w:val="24"/>
          <w:highlight w:val="none"/>
        </w:rPr>
        <w:t>0-250RPM</w:t>
      </w:r>
      <w:r>
        <w:rPr>
          <w:rFonts w:hint="eastAsia" w:ascii="宋体" w:hAnsi="宋体"/>
          <w:b w:val="0"/>
          <w:bCs/>
          <w:sz w:val="24"/>
          <w:szCs w:val="24"/>
          <w:highlight w:val="none"/>
        </w:rPr>
        <w:t>。</w:t>
      </w:r>
    </w:p>
    <w:p>
      <w:pPr>
        <w:pStyle w:val="130"/>
        <w:numPr>
          <w:ilvl w:val="0"/>
          <w:numId w:val="5"/>
        </w:numPr>
        <w:ind w:left="425" w:leftChars="0" w:hanging="425" w:firstLineChars="0"/>
        <w:rPr>
          <w:rFonts w:hint="eastAsia" w:ascii="宋体" w:hAnsi="宋体" w:eastAsia="宋体" w:cs="Times New Roman"/>
          <w:b w:val="0"/>
          <w:bCs/>
          <w:kern w:val="2"/>
          <w:sz w:val="24"/>
          <w:szCs w:val="24"/>
          <w:highlight w:val="none"/>
          <w:lang w:val="en-US" w:eastAsia="zh-CN" w:bidi="ar-SA"/>
        </w:rPr>
      </w:pPr>
      <w:r>
        <w:rPr>
          <w:rFonts w:hint="eastAsia" w:ascii="宋体" w:hAnsi="宋体" w:eastAsia="宋体" w:cs="Times New Roman"/>
          <w:b w:val="0"/>
          <w:bCs/>
          <w:kern w:val="2"/>
          <w:sz w:val="24"/>
          <w:szCs w:val="24"/>
          <w:highlight w:val="none"/>
          <w:lang w:val="en-US" w:eastAsia="zh-CN" w:bidi="ar-SA"/>
        </w:rPr>
        <w:t>速度准确度≤±1%</w:t>
      </w:r>
    </w:p>
    <w:p>
      <w:pPr>
        <w:pStyle w:val="130"/>
        <w:numPr>
          <w:ilvl w:val="0"/>
          <w:numId w:val="5"/>
        </w:numPr>
        <w:ind w:left="425" w:leftChars="0" w:hanging="425" w:firstLineChars="0"/>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转动方向：顺时针和逆时针</w:t>
      </w:r>
    </w:p>
    <w:p>
      <w:pPr>
        <w:pStyle w:val="130"/>
        <w:numPr>
          <w:ilvl w:val="0"/>
          <w:numId w:val="5"/>
        </w:numPr>
        <w:ind w:left="425" w:leftChars="0" w:hanging="425" w:firstLineChars="0"/>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管槽轨道相对回转中心偏差≤0.03mm</w:t>
      </w:r>
    </w:p>
    <w:p>
      <w:pPr>
        <w:pStyle w:val="130"/>
        <w:numPr>
          <w:ilvl w:val="0"/>
          <w:numId w:val="5"/>
        </w:numPr>
        <w:ind w:left="425" w:leftChars="0" w:hanging="425" w:firstLineChars="0"/>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阻塞精度≤0.03mm</w:t>
      </w:r>
    </w:p>
    <w:p>
      <w:pPr>
        <w:pStyle w:val="130"/>
        <w:numPr>
          <w:ilvl w:val="0"/>
          <w:numId w:val="5"/>
        </w:numPr>
        <w:ind w:left="425" w:leftChars="0" w:hanging="425" w:firstLineChars="0"/>
        <w:rPr>
          <w:rFonts w:hint="eastAsia" w:ascii="宋体" w:hAnsi="宋体"/>
          <w:b w:val="0"/>
          <w:bCs/>
          <w:sz w:val="24"/>
          <w:szCs w:val="24"/>
          <w:highlight w:val="none"/>
          <w:lang w:val="en-US" w:eastAsia="zh-CN"/>
        </w:rPr>
      </w:pPr>
      <w:r>
        <w:rPr>
          <w:rFonts w:hint="eastAsia" w:ascii="宋体" w:hAnsi="宋体"/>
          <w:b w:val="0"/>
          <w:bCs/>
          <w:sz w:val="24"/>
          <w:szCs w:val="24"/>
          <w:highlight w:val="none"/>
          <w:lang w:eastAsia="zh-CN"/>
        </w:rPr>
        <w:t>泵头转子相对回转中心摆幅≤</w:t>
      </w:r>
      <w:r>
        <w:rPr>
          <w:rFonts w:hint="eastAsia" w:ascii="宋体" w:hAnsi="宋体"/>
          <w:b w:val="0"/>
          <w:bCs/>
          <w:sz w:val="24"/>
          <w:szCs w:val="24"/>
          <w:highlight w:val="none"/>
          <w:lang w:val="en-US" w:eastAsia="zh-CN"/>
        </w:rPr>
        <w:t>0.015mm</w:t>
      </w:r>
    </w:p>
    <w:p>
      <w:pPr>
        <w:pStyle w:val="130"/>
        <w:numPr>
          <w:ilvl w:val="0"/>
          <w:numId w:val="5"/>
        </w:numPr>
        <w:ind w:left="425" w:leftChars="0" w:hanging="425" w:firstLineChars="0"/>
        <w:rPr>
          <w:rFonts w:hint="default" w:ascii="宋体" w:hAnsi="宋体"/>
          <w:b w:val="0"/>
          <w:bCs/>
          <w:sz w:val="24"/>
          <w:szCs w:val="24"/>
          <w:highlight w:val="none"/>
          <w:lang w:val="en-US" w:eastAsia="zh-CN"/>
        </w:rPr>
      </w:pPr>
      <w:r>
        <w:rPr>
          <w:rFonts w:hint="eastAsia" w:ascii="宋体" w:hAnsi="宋体"/>
          <w:b w:val="0"/>
          <w:bCs/>
          <w:sz w:val="24"/>
          <w:szCs w:val="24"/>
          <w:highlight w:val="none"/>
          <w:lang w:val="en-US" w:eastAsia="zh-CN"/>
        </w:rPr>
        <w:t>流量精度：±10%</w:t>
      </w:r>
    </w:p>
    <w:p>
      <w:pPr>
        <w:pStyle w:val="130"/>
        <w:numPr>
          <w:ilvl w:val="0"/>
          <w:numId w:val="5"/>
        </w:numPr>
        <w:ind w:left="425" w:leftChars="0" w:hanging="425" w:firstLineChars="0"/>
        <w:rPr>
          <w:rFonts w:ascii="宋体" w:hAnsi="宋体"/>
          <w:b w:val="0"/>
          <w:bCs/>
          <w:color w:val="auto"/>
          <w:sz w:val="24"/>
          <w:szCs w:val="24"/>
          <w:highlight w:val="none"/>
        </w:rPr>
      </w:pPr>
      <w:r>
        <w:rPr>
          <w:rFonts w:hint="eastAsia" w:ascii="宋体" w:hAnsi="宋体"/>
          <w:b w:val="0"/>
          <w:bCs/>
          <w:color w:val="auto"/>
          <w:sz w:val="24"/>
          <w:szCs w:val="24"/>
          <w:highlight w:val="none"/>
        </w:rPr>
        <w:t>最大流量：≥</w:t>
      </w:r>
      <w:r>
        <w:rPr>
          <w:rFonts w:hint="eastAsia" w:ascii="宋体" w:hAnsi="宋体"/>
          <w:b w:val="0"/>
          <w:bCs/>
          <w:color w:val="auto"/>
          <w:sz w:val="24"/>
          <w:szCs w:val="24"/>
          <w:highlight w:val="none"/>
          <w:lang w:val="en-US" w:eastAsia="zh-CN"/>
        </w:rPr>
        <w:t>6</w:t>
      </w:r>
      <w:r>
        <w:rPr>
          <w:rFonts w:ascii="宋体" w:hAnsi="宋体"/>
          <w:b w:val="0"/>
          <w:bCs/>
          <w:color w:val="auto"/>
          <w:sz w:val="24"/>
          <w:szCs w:val="24"/>
          <w:highlight w:val="none"/>
        </w:rPr>
        <w:t>升/分</w:t>
      </w:r>
    </w:p>
    <w:p>
      <w:pPr>
        <w:pStyle w:val="130"/>
        <w:numPr>
          <w:ilvl w:val="0"/>
          <w:numId w:val="5"/>
        </w:numPr>
        <w:ind w:left="425" w:leftChars="0" w:hanging="425" w:firstLineChars="0"/>
        <w:rPr>
          <w:rFonts w:hint="eastAsia"/>
          <w:b w:val="0"/>
          <w:bCs/>
          <w:sz w:val="24"/>
          <w:szCs w:val="24"/>
          <w:highlight w:val="none"/>
          <w:lang w:val="en-US" w:eastAsia="zh-CN"/>
        </w:rPr>
      </w:pPr>
      <w:r>
        <w:rPr>
          <w:rFonts w:hint="eastAsia" w:ascii="宋体" w:hAnsi="宋体"/>
          <w:b w:val="0"/>
          <w:bCs/>
          <w:sz w:val="24"/>
          <w:szCs w:val="24"/>
          <w:highlight w:val="none"/>
        </w:rPr>
        <w:t>可以设置主泵/从泵的灌注关系，具有转速异常报警、超速保护、阻塞保护、反转报警、超温报警、转子压紧自锁功能</w:t>
      </w:r>
    </w:p>
    <w:p>
      <w:pPr>
        <w:numPr>
          <w:ilvl w:val="0"/>
          <w:numId w:val="6"/>
        </w:numPr>
        <w:rPr>
          <w:rFonts w:hint="eastAsia" w:ascii="宋体" w:hAnsi="宋体"/>
          <w:b/>
          <w:sz w:val="24"/>
          <w:szCs w:val="24"/>
          <w:highlight w:val="none"/>
        </w:rPr>
      </w:pPr>
      <w:r>
        <w:rPr>
          <w:rFonts w:hint="eastAsia" w:ascii="宋体" w:hAnsi="宋体"/>
          <w:b/>
          <w:sz w:val="24"/>
          <w:szCs w:val="24"/>
          <w:highlight w:val="none"/>
        </w:rPr>
        <w:t>底座部分</w:t>
      </w:r>
    </w:p>
    <w:p>
      <w:pPr>
        <w:numPr>
          <w:ilvl w:val="0"/>
          <w:numId w:val="7"/>
        </w:numPr>
        <w:ind w:left="425" w:leftChars="0" w:hanging="425" w:firstLineChars="0"/>
        <w:rPr>
          <w:rFonts w:hint="default" w:ascii="宋体" w:hAnsi="宋体" w:eastAsia="宋体" w:cs="Times New Roman"/>
          <w:b w:val="0"/>
          <w:bCs w:val="0"/>
          <w:kern w:val="2"/>
          <w:sz w:val="24"/>
          <w:szCs w:val="24"/>
          <w:highlight w:val="none"/>
          <w:lang w:val="en-US" w:eastAsia="zh-CN" w:bidi="ar-SA"/>
        </w:rPr>
      </w:pPr>
      <w:r>
        <w:rPr>
          <w:rFonts w:hint="eastAsia" w:ascii="宋体" w:hAnsi="宋体" w:cs="Times New Roman"/>
          <w:b w:val="0"/>
          <w:bCs w:val="0"/>
          <w:kern w:val="2"/>
          <w:sz w:val="24"/>
          <w:szCs w:val="24"/>
          <w:highlight w:val="none"/>
          <w:lang w:val="en-US" w:eastAsia="zh-CN" w:bidi="ar-SA"/>
        </w:rPr>
        <w:t>至少四泵位底座</w:t>
      </w:r>
    </w:p>
    <w:p>
      <w:pPr>
        <w:pStyle w:val="130"/>
        <w:numPr>
          <w:ilvl w:val="0"/>
          <w:numId w:val="7"/>
        </w:numPr>
        <w:ind w:left="425" w:leftChars="0" w:hanging="425" w:firstLineChars="0"/>
        <w:rPr>
          <w:rFonts w:ascii="宋体" w:hAnsi="宋体"/>
          <w:b w:val="0"/>
          <w:bCs w:val="0"/>
          <w:sz w:val="24"/>
          <w:szCs w:val="24"/>
          <w:highlight w:val="none"/>
        </w:rPr>
      </w:pPr>
      <w:r>
        <w:rPr>
          <w:rFonts w:hint="eastAsia" w:ascii="宋体" w:hAnsi="宋体"/>
          <w:b w:val="0"/>
          <w:bCs w:val="0"/>
          <w:sz w:val="24"/>
          <w:szCs w:val="24"/>
          <w:highlight w:val="none"/>
        </w:rPr>
        <w:t>中央数据处理系统、开机快速自检</w:t>
      </w:r>
    </w:p>
    <w:p>
      <w:pPr>
        <w:pStyle w:val="130"/>
        <w:numPr>
          <w:ilvl w:val="0"/>
          <w:numId w:val="7"/>
        </w:numPr>
        <w:ind w:left="425" w:leftChars="0" w:hanging="425" w:firstLineChars="0"/>
        <w:rPr>
          <w:rFonts w:ascii="宋体" w:hAnsi="宋体"/>
          <w:b w:val="0"/>
          <w:bCs w:val="0"/>
          <w:color w:val="000000"/>
          <w:sz w:val="24"/>
          <w:szCs w:val="24"/>
          <w:highlight w:val="none"/>
        </w:rPr>
      </w:pPr>
      <w:r>
        <w:rPr>
          <w:rFonts w:hint="eastAsia" w:ascii="宋体" w:hAnsi="宋体"/>
          <w:b w:val="0"/>
          <w:bCs w:val="0"/>
          <w:sz w:val="24"/>
          <w:szCs w:val="24"/>
          <w:highlight w:val="none"/>
        </w:rPr>
        <w:t>当交流电突然中断/电源插头脱落/交流电压上下波动超过10%时，直接转为UPS直接供电。</w:t>
      </w:r>
    </w:p>
    <w:p>
      <w:pPr>
        <w:pStyle w:val="130"/>
        <w:numPr>
          <w:ilvl w:val="0"/>
          <w:numId w:val="7"/>
        </w:numPr>
        <w:ind w:left="425" w:leftChars="0" w:hanging="425" w:firstLineChars="0"/>
        <w:rPr>
          <w:rFonts w:ascii="宋体" w:hAnsi="宋体"/>
          <w:b w:val="0"/>
          <w:bCs w:val="0"/>
          <w:color w:val="000000"/>
          <w:sz w:val="24"/>
          <w:szCs w:val="24"/>
          <w:highlight w:val="none"/>
        </w:rPr>
      </w:pPr>
      <w:r>
        <w:rPr>
          <w:rFonts w:hint="eastAsia" w:ascii="宋体" w:hAnsi="宋体"/>
          <w:b w:val="0"/>
          <w:bCs w:val="0"/>
          <w:sz w:val="24"/>
          <w:szCs w:val="24"/>
          <w:highlight w:val="none"/>
        </w:rPr>
        <w:t>UPS独立直接供电时，保证</w:t>
      </w:r>
      <w:r>
        <w:rPr>
          <w:rFonts w:hint="eastAsia" w:ascii="宋体" w:hAnsi="宋体"/>
          <w:b w:val="0"/>
          <w:bCs w:val="0"/>
          <w:color w:val="auto"/>
          <w:sz w:val="24"/>
          <w:szCs w:val="24"/>
          <w:highlight w:val="none"/>
        </w:rPr>
        <w:t>整机工作≥1</w:t>
      </w:r>
      <w:r>
        <w:rPr>
          <w:rFonts w:hint="eastAsia" w:ascii="宋体" w:hAnsi="宋体"/>
          <w:b w:val="0"/>
          <w:bCs w:val="0"/>
          <w:color w:val="auto"/>
          <w:sz w:val="24"/>
          <w:szCs w:val="24"/>
          <w:highlight w:val="none"/>
          <w:lang w:val="en-US" w:eastAsia="zh-CN"/>
        </w:rPr>
        <w:t>00</w:t>
      </w:r>
      <w:r>
        <w:rPr>
          <w:rFonts w:hint="eastAsia" w:ascii="宋体" w:hAnsi="宋体"/>
          <w:b w:val="0"/>
          <w:bCs w:val="0"/>
          <w:color w:val="auto"/>
          <w:sz w:val="24"/>
          <w:szCs w:val="24"/>
          <w:highlight w:val="none"/>
        </w:rPr>
        <w:t>分钟</w:t>
      </w:r>
    </w:p>
    <w:p>
      <w:pPr>
        <w:rPr>
          <w:rFonts w:ascii="宋体" w:hAnsi="宋体"/>
          <w:b/>
          <w:color w:val="auto"/>
          <w:sz w:val="24"/>
          <w:szCs w:val="24"/>
          <w:highlight w:val="none"/>
        </w:rPr>
      </w:pP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监测组件部分</w:t>
      </w:r>
    </w:p>
    <w:p>
      <w:pPr>
        <w:pStyle w:val="130"/>
        <w:numPr>
          <w:ilvl w:val="0"/>
          <w:numId w:val="8"/>
        </w:numPr>
        <w:ind w:left="425" w:leftChars="0" w:hanging="425" w:firstLineChars="0"/>
        <w:rPr>
          <w:rFonts w:ascii="宋体" w:hAnsi="宋体"/>
          <w:b w:val="0"/>
          <w:bCs w:val="0"/>
          <w:color w:val="auto"/>
          <w:sz w:val="24"/>
          <w:szCs w:val="24"/>
          <w:highlight w:val="none"/>
        </w:rPr>
      </w:pPr>
      <w:r>
        <w:rPr>
          <w:rFonts w:hint="eastAsia" w:ascii="宋体" w:hAnsi="宋体"/>
          <w:b w:val="0"/>
          <w:bCs w:val="0"/>
          <w:color w:val="auto"/>
          <w:sz w:val="24"/>
          <w:szCs w:val="24"/>
          <w:highlight w:val="none"/>
        </w:rPr>
        <w:t>数字化全触摸屏监测主板</w:t>
      </w:r>
    </w:p>
    <w:p>
      <w:pPr>
        <w:pStyle w:val="130"/>
        <w:numPr>
          <w:ilvl w:val="0"/>
          <w:numId w:val="8"/>
        </w:numPr>
        <w:ind w:left="425" w:leftChars="0" w:hanging="425" w:firstLineChars="0"/>
        <w:rPr>
          <w:rFonts w:ascii="宋体" w:hAnsi="宋体"/>
          <w:b w:val="0"/>
          <w:bCs w:val="0"/>
          <w:color w:val="000000"/>
          <w:sz w:val="24"/>
          <w:szCs w:val="24"/>
          <w:highlight w:val="none"/>
        </w:rPr>
      </w:pPr>
      <w:r>
        <w:rPr>
          <w:rFonts w:hint="eastAsia" w:ascii="宋体" w:hAnsi="宋体"/>
          <w:b w:val="0"/>
          <w:bCs w:val="0"/>
          <w:sz w:val="24"/>
          <w:szCs w:val="24"/>
          <w:highlight w:val="none"/>
        </w:rPr>
        <w:t>全功能模块化，使用灵活，术中可简单快速地更换。多种屏幕分割方式，方便使用者操作血平面监测可预报警并减速；气泡监测可检出微气泡并可报警</w:t>
      </w:r>
    </w:p>
    <w:p>
      <w:pPr>
        <w:pStyle w:val="130"/>
        <w:numPr>
          <w:ilvl w:val="0"/>
          <w:numId w:val="8"/>
        </w:numPr>
        <w:ind w:left="425" w:leftChars="0" w:hanging="425" w:firstLineChars="0"/>
        <w:rPr>
          <w:rFonts w:ascii="宋体" w:hAnsi="宋体"/>
          <w:b w:val="0"/>
          <w:bCs w:val="0"/>
          <w:color w:val="000000"/>
          <w:sz w:val="24"/>
          <w:szCs w:val="24"/>
          <w:highlight w:val="none"/>
        </w:rPr>
      </w:pPr>
      <w:r>
        <w:rPr>
          <w:rFonts w:hint="eastAsia" w:ascii="宋体" w:hAnsi="宋体"/>
          <w:b w:val="0"/>
          <w:bCs w:val="0"/>
          <w:sz w:val="24"/>
          <w:szCs w:val="24"/>
          <w:highlight w:val="none"/>
        </w:rPr>
        <w:t>心肌保护灌注装置，有多种灌注模式。</w:t>
      </w:r>
    </w:p>
    <w:p>
      <w:pPr>
        <w:pStyle w:val="130"/>
        <w:numPr>
          <w:ilvl w:val="0"/>
          <w:numId w:val="8"/>
        </w:numPr>
        <w:ind w:left="425" w:leftChars="0" w:hanging="425" w:firstLineChars="0"/>
        <w:rPr>
          <w:rFonts w:ascii="宋体" w:hAnsi="宋体"/>
          <w:b w:val="0"/>
          <w:bCs w:val="0"/>
          <w:color w:val="000000"/>
          <w:sz w:val="24"/>
          <w:szCs w:val="24"/>
          <w:highlight w:val="none"/>
        </w:rPr>
      </w:pPr>
      <w:r>
        <w:rPr>
          <w:rFonts w:hint="eastAsia" w:ascii="宋体" w:hAnsi="宋体"/>
          <w:b w:val="0"/>
          <w:bCs w:val="0"/>
          <w:sz w:val="24"/>
          <w:szCs w:val="24"/>
          <w:highlight w:val="none"/>
        </w:rPr>
        <w:t>有</w:t>
      </w:r>
      <w:r>
        <w:rPr>
          <w:rFonts w:hint="eastAsia" w:ascii="宋体" w:hAnsi="宋体"/>
          <w:b w:val="0"/>
          <w:bCs w:val="0"/>
          <w:sz w:val="24"/>
          <w:szCs w:val="24"/>
          <w:highlight w:val="none"/>
          <w:lang w:eastAsia="zh-CN"/>
        </w:rPr>
        <w:t>不少于</w:t>
      </w:r>
      <w:r>
        <w:rPr>
          <w:rFonts w:hint="eastAsia" w:ascii="宋体" w:hAnsi="宋体"/>
          <w:b w:val="0"/>
          <w:bCs w:val="0"/>
          <w:sz w:val="24"/>
          <w:szCs w:val="24"/>
          <w:highlight w:val="none"/>
        </w:rPr>
        <w:t>四导温度监测组件</w:t>
      </w:r>
    </w:p>
    <w:p>
      <w:pPr>
        <w:pStyle w:val="130"/>
        <w:numPr>
          <w:ilvl w:val="0"/>
          <w:numId w:val="8"/>
        </w:numPr>
        <w:ind w:left="425" w:leftChars="0" w:hanging="425" w:firstLineChars="0"/>
        <w:rPr>
          <w:rFonts w:ascii="宋体" w:hAnsi="宋体"/>
          <w:b w:val="0"/>
          <w:bCs w:val="0"/>
          <w:color w:val="000000"/>
          <w:sz w:val="24"/>
          <w:szCs w:val="24"/>
          <w:highlight w:val="none"/>
        </w:rPr>
      </w:pPr>
      <w:r>
        <w:rPr>
          <w:rFonts w:hint="eastAsia" w:ascii="宋体" w:hAnsi="宋体"/>
          <w:b w:val="0"/>
          <w:bCs w:val="0"/>
          <w:sz w:val="24"/>
          <w:szCs w:val="24"/>
          <w:highlight w:val="none"/>
        </w:rPr>
        <w:t>有双压力监测组件：两点控制，有超限报警并能控制血泵速度和停泵</w:t>
      </w:r>
    </w:p>
    <w:p>
      <w:pPr>
        <w:rPr>
          <w:rFonts w:ascii="宋体" w:hAnsi="宋体"/>
          <w:b/>
          <w:sz w:val="24"/>
          <w:szCs w:val="24"/>
          <w:highlight w:val="none"/>
        </w:rPr>
      </w:pPr>
      <w:r>
        <w:rPr>
          <w:rFonts w:hint="eastAsia" w:ascii="宋体" w:hAnsi="宋体"/>
          <w:b/>
          <w:sz w:val="24"/>
          <w:szCs w:val="24"/>
          <w:highlight w:val="none"/>
          <w:lang w:eastAsia="zh-CN"/>
        </w:rPr>
        <w:t>（四）</w:t>
      </w:r>
      <w:r>
        <w:rPr>
          <w:rFonts w:hint="eastAsia" w:ascii="宋体" w:hAnsi="宋体"/>
          <w:b/>
          <w:sz w:val="24"/>
          <w:szCs w:val="24"/>
          <w:highlight w:val="none"/>
        </w:rPr>
        <w:t>机械式空氧混合器一只</w:t>
      </w:r>
    </w:p>
    <w:p>
      <w:pPr>
        <w:pStyle w:val="130"/>
        <w:numPr>
          <w:ilvl w:val="0"/>
          <w:numId w:val="9"/>
        </w:numPr>
        <w:ind w:firstLineChars="0"/>
        <w:rPr>
          <w:rFonts w:hAnsi="宋体"/>
          <w:sz w:val="24"/>
          <w:szCs w:val="24"/>
          <w:highlight w:val="none"/>
        </w:rPr>
      </w:pPr>
      <w:r>
        <w:rPr>
          <w:rFonts w:hint="eastAsia" w:hAnsi="宋体"/>
          <w:sz w:val="24"/>
          <w:szCs w:val="24"/>
          <w:highlight w:val="none"/>
        </w:rPr>
        <w:t>适用于各类型膜式氧合器</w:t>
      </w:r>
    </w:p>
    <w:p>
      <w:pPr>
        <w:rPr>
          <w:rFonts w:ascii="宋体" w:hAnsi="宋体"/>
          <w:b/>
          <w:sz w:val="24"/>
          <w:szCs w:val="24"/>
          <w:highlight w:val="none"/>
        </w:rPr>
      </w:pPr>
      <w:r>
        <w:rPr>
          <w:rFonts w:hint="eastAsia" w:ascii="宋体" w:hAnsi="宋体"/>
          <w:b/>
          <w:sz w:val="24"/>
          <w:szCs w:val="24"/>
          <w:highlight w:val="none"/>
          <w:lang w:eastAsia="zh-CN"/>
        </w:rPr>
        <w:t>（五）</w:t>
      </w:r>
      <w:r>
        <w:rPr>
          <w:rFonts w:hint="eastAsia" w:ascii="宋体" w:hAnsi="宋体"/>
          <w:b/>
          <w:sz w:val="24"/>
          <w:szCs w:val="24"/>
          <w:highlight w:val="none"/>
        </w:rPr>
        <w:t>全自动变温水箱</w:t>
      </w:r>
    </w:p>
    <w:p>
      <w:pPr>
        <w:numPr>
          <w:ilvl w:val="0"/>
          <w:numId w:val="10"/>
        </w:numPr>
        <w:ind w:left="425" w:leftChars="0" w:hanging="425" w:firstLineChars="0"/>
        <w:rPr>
          <w:rFonts w:ascii="宋体" w:hAnsi="宋体"/>
          <w:sz w:val="24"/>
          <w:szCs w:val="24"/>
          <w:highlight w:val="none"/>
        </w:rPr>
      </w:pPr>
      <w:r>
        <w:rPr>
          <w:rFonts w:hint="eastAsia" w:ascii="宋体" w:hAnsi="宋体"/>
          <w:sz w:val="24"/>
          <w:szCs w:val="24"/>
          <w:highlight w:val="none"/>
        </w:rPr>
        <w:t>三路循环水接口。</w:t>
      </w:r>
    </w:p>
    <w:p>
      <w:pPr>
        <w:numPr>
          <w:ilvl w:val="0"/>
          <w:numId w:val="10"/>
        </w:numPr>
        <w:ind w:left="425" w:leftChars="0" w:hanging="425" w:firstLineChars="0"/>
        <w:rPr>
          <w:rFonts w:ascii="宋体" w:hAnsi="宋体"/>
          <w:sz w:val="24"/>
          <w:szCs w:val="24"/>
          <w:highlight w:val="none"/>
        </w:rPr>
      </w:pPr>
      <w:r>
        <w:rPr>
          <w:rFonts w:hint="eastAsia" w:ascii="宋体" w:hAnsi="宋体"/>
          <w:sz w:val="24"/>
          <w:szCs w:val="24"/>
          <w:highlight w:val="none"/>
        </w:rPr>
        <w:t>自动电控方式控制水温</w:t>
      </w:r>
    </w:p>
    <w:p>
      <w:pPr>
        <w:numPr>
          <w:ilvl w:val="0"/>
          <w:numId w:val="10"/>
        </w:numPr>
        <w:ind w:left="425" w:leftChars="0" w:hanging="425" w:firstLineChars="0"/>
        <w:rPr>
          <w:rFonts w:ascii="宋体" w:hAnsi="宋体"/>
          <w:sz w:val="24"/>
          <w:szCs w:val="24"/>
          <w:highlight w:val="none"/>
        </w:rPr>
      </w:pPr>
      <w:r>
        <w:rPr>
          <w:rFonts w:hint="eastAsia" w:ascii="宋体" w:hAnsi="宋体"/>
          <w:sz w:val="24"/>
          <w:szCs w:val="24"/>
          <w:highlight w:val="none"/>
        </w:rPr>
        <w:t>具有快速升降温功能</w:t>
      </w:r>
    </w:p>
    <w:p>
      <w:pPr>
        <w:rPr>
          <w:rFonts w:ascii="宋体" w:hAnsi="宋体"/>
          <w:b/>
          <w:sz w:val="24"/>
          <w:szCs w:val="24"/>
          <w:highlight w:val="none"/>
        </w:rPr>
      </w:pPr>
      <w:r>
        <w:rPr>
          <w:rFonts w:hint="eastAsia" w:ascii="宋体" w:hAnsi="宋体"/>
          <w:b/>
          <w:sz w:val="24"/>
          <w:szCs w:val="24"/>
          <w:highlight w:val="none"/>
          <w:lang w:eastAsia="zh-CN"/>
        </w:rPr>
        <w:t>（六）</w:t>
      </w:r>
      <w:r>
        <w:rPr>
          <w:rFonts w:hint="eastAsia" w:ascii="宋体" w:hAnsi="宋体"/>
          <w:b/>
          <w:sz w:val="24"/>
          <w:szCs w:val="24"/>
          <w:highlight w:val="none"/>
        </w:rPr>
        <w:t>持续静脉血氧饱和度及红细胞压积监测</w:t>
      </w:r>
    </w:p>
    <w:p>
      <w:pPr>
        <w:numPr>
          <w:ilvl w:val="0"/>
          <w:numId w:val="11"/>
        </w:numPr>
        <w:ind w:left="425" w:leftChars="0" w:hanging="425" w:firstLineChars="0"/>
        <w:rPr>
          <w:rFonts w:ascii="宋体" w:hAnsi="宋体"/>
          <w:sz w:val="24"/>
          <w:szCs w:val="24"/>
          <w:highlight w:val="none"/>
        </w:rPr>
      </w:pPr>
      <w:r>
        <w:rPr>
          <w:rFonts w:hint="eastAsia" w:ascii="宋体" w:hAnsi="宋体"/>
          <w:sz w:val="24"/>
          <w:szCs w:val="24"/>
          <w:highlight w:val="none"/>
        </w:rPr>
        <w:t>具备内置式相应的模块及显示屏，或外接插件模块</w:t>
      </w:r>
    </w:p>
    <w:p>
      <w:pPr>
        <w:numPr>
          <w:ilvl w:val="0"/>
          <w:numId w:val="11"/>
        </w:numPr>
        <w:ind w:left="425" w:leftChars="0" w:hanging="425" w:firstLineChars="0"/>
        <w:rPr>
          <w:rFonts w:ascii="宋体" w:hAnsi="宋体"/>
          <w:sz w:val="24"/>
          <w:szCs w:val="24"/>
          <w:highlight w:val="none"/>
        </w:rPr>
      </w:pPr>
      <w:r>
        <w:rPr>
          <w:rFonts w:hint="eastAsia" w:ascii="宋体" w:hAnsi="宋体"/>
          <w:sz w:val="24"/>
          <w:szCs w:val="24"/>
          <w:highlight w:val="none"/>
        </w:rPr>
        <w:t>配备相应接头装置</w:t>
      </w:r>
    </w:p>
    <w:p>
      <w:pPr>
        <w:numPr>
          <w:ilvl w:val="0"/>
          <w:numId w:val="11"/>
        </w:numPr>
        <w:ind w:left="425" w:leftChars="0" w:hanging="425" w:firstLineChars="0"/>
        <w:rPr>
          <w:rFonts w:ascii="宋体" w:hAnsi="宋体"/>
          <w:sz w:val="24"/>
          <w:szCs w:val="24"/>
          <w:highlight w:val="none"/>
        </w:rPr>
      </w:pPr>
      <w:r>
        <w:rPr>
          <w:rFonts w:hint="eastAsia" w:ascii="宋体" w:hAnsi="宋体"/>
          <w:sz w:val="24"/>
          <w:szCs w:val="24"/>
          <w:highlight w:val="none"/>
        </w:rPr>
        <w:t>可设置上下限及报警装置</w:t>
      </w:r>
    </w:p>
    <w:p>
      <w:pPr>
        <w:numPr>
          <w:ilvl w:val="0"/>
          <w:numId w:val="11"/>
        </w:numPr>
        <w:ind w:left="425" w:leftChars="0" w:hanging="425" w:firstLineChars="0"/>
        <w:rPr>
          <w:rFonts w:hint="eastAsia" w:ascii="宋体" w:hAnsi="宋体"/>
          <w:sz w:val="24"/>
          <w:szCs w:val="24"/>
          <w:highlight w:val="none"/>
        </w:rPr>
      </w:pPr>
      <w:r>
        <w:rPr>
          <w:rFonts w:hint="eastAsia" w:ascii="宋体" w:hAnsi="宋体"/>
          <w:sz w:val="24"/>
          <w:szCs w:val="24"/>
          <w:highlight w:val="none"/>
        </w:rPr>
        <w:t>可实时监测</w:t>
      </w:r>
    </w:p>
    <w:p>
      <w:pPr>
        <w:pStyle w:val="130"/>
        <w:numPr>
          <w:ilvl w:val="0"/>
          <w:numId w:val="0"/>
        </w:numPr>
        <w:ind w:leftChars="0"/>
        <w:rPr>
          <w:rFonts w:hint="eastAsia" w:ascii="宋体" w:hAnsi="宋体" w:cs="Times New Roman"/>
          <w:b/>
          <w:color w:val="auto"/>
          <w:kern w:val="2"/>
          <w:sz w:val="24"/>
          <w:szCs w:val="24"/>
          <w:highlight w:val="none"/>
          <w:lang w:val="en-US" w:eastAsia="zh-CN" w:bidi="ar-SA"/>
        </w:rPr>
      </w:pPr>
      <w:r>
        <w:rPr>
          <w:rFonts w:hint="eastAsia" w:ascii="宋体" w:hAnsi="宋体" w:cs="Times New Roman"/>
          <w:b/>
          <w:color w:val="auto"/>
          <w:kern w:val="2"/>
          <w:sz w:val="24"/>
          <w:szCs w:val="24"/>
          <w:highlight w:val="none"/>
          <w:lang w:val="en-US" w:eastAsia="zh-CN" w:bidi="ar-SA"/>
        </w:rPr>
        <w:t>（七）配置泵1台</w:t>
      </w:r>
    </w:p>
    <w:p>
      <w:pPr>
        <w:numPr>
          <w:ilvl w:val="0"/>
          <w:numId w:val="12"/>
        </w:numPr>
        <w:ind w:left="425" w:leftChars="0" w:hanging="425" w:firstLineChars="0"/>
        <w:rPr>
          <w:rFonts w:hint="default" w:ascii="宋体" w:hAnsi="宋体"/>
          <w:b/>
          <w:bCs/>
          <w:color w:val="000000"/>
          <w:sz w:val="24"/>
          <w:szCs w:val="24"/>
          <w:highlight w:val="none"/>
          <w:lang w:val="en-US"/>
        </w:rPr>
      </w:pPr>
      <w:r>
        <w:rPr>
          <w:rFonts w:hint="eastAsia" w:ascii="宋体" w:hAnsi="宋体"/>
          <w:color w:val="auto"/>
          <w:sz w:val="24"/>
          <w:szCs w:val="24"/>
          <w:highlight w:val="none"/>
          <w:lang w:val="en-US" w:eastAsia="zh-CN"/>
        </w:rPr>
        <w:t>可用于体外循环手术，也可用于体外循环支持系统</w:t>
      </w:r>
    </w:p>
    <w:p>
      <w:pPr>
        <w:pStyle w:val="130"/>
        <w:numPr>
          <w:ilvl w:val="0"/>
          <w:numId w:val="0"/>
        </w:numPr>
        <w:tabs>
          <w:tab w:val="left" w:pos="585"/>
        </w:tabs>
        <w:ind w:leftChars="0"/>
        <w:rPr>
          <w:rFonts w:hint="default" w:eastAsia="宋体" w:cs="Times New Roman" w:asciiTheme="minorEastAsia" w:hAnsiTheme="minorEastAsia"/>
          <w:b/>
          <w:kern w:val="2"/>
          <w:sz w:val="24"/>
          <w:szCs w:val="24"/>
          <w:highlight w:val="none"/>
          <w:lang w:val="en-US" w:eastAsia="zh-CN" w:bidi="ar-SA"/>
        </w:rPr>
      </w:pPr>
      <w:r>
        <w:rPr>
          <w:rFonts w:hint="eastAsia" w:eastAsia="宋体" w:cs="Times New Roman" w:asciiTheme="minorEastAsia" w:hAnsiTheme="minorEastAsia"/>
          <w:b/>
          <w:kern w:val="2"/>
          <w:sz w:val="24"/>
          <w:szCs w:val="24"/>
          <w:highlight w:val="none"/>
          <w:lang w:val="en-US" w:eastAsia="zh-CN" w:bidi="ar-SA"/>
        </w:rPr>
        <w:t>（</w:t>
      </w:r>
      <w:r>
        <w:rPr>
          <w:rFonts w:hint="eastAsia" w:cs="Times New Roman" w:asciiTheme="minorEastAsia" w:hAnsiTheme="minorEastAsia"/>
          <w:b/>
          <w:kern w:val="2"/>
          <w:sz w:val="24"/>
          <w:szCs w:val="24"/>
          <w:highlight w:val="none"/>
          <w:lang w:val="en-US" w:eastAsia="zh-CN" w:bidi="ar-SA"/>
        </w:rPr>
        <w:t>八</w:t>
      </w:r>
      <w:r>
        <w:rPr>
          <w:rFonts w:hint="eastAsia" w:eastAsia="宋体" w:cs="Times New Roman" w:asciiTheme="minorEastAsia" w:hAnsiTheme="minorEastAsia"/>
          <w:b/>
          <w:kern w:val="2"/>
          <w:sz w:val="24"/>
          <w:szCs w:val="24"/>
          <w:highlight w:val="none"/>
          <w:lang w:val="en-US" w:eastAsia="zh-CN" w:bidi="ar-SA"/>
        </w:rPr>
        <w:t>）质保≥2年，交货期厂家竞报</w:t>
      </w:r>
    </w:p>
    <w:p>
      <w:pPr>
        <w:spacing w:line="360" w:lineRule="auto"/>
        <w:rPr>
          <w:rFonts w:hint="eastAsia" w:ascii="宋体" w:hAnsi="宋体" w:eastAsia="宋体" w:cs="宋体"/>
          <w:b/>
          <w:sz w:val="24"/>
          <w:szCs w:val="24"/>
          <w:highlight w:val="none"/>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包2：设备清单及技术要求</w:t>
      </w:r>
    </w:p>
    <w:p>
      <w:pPr>
        <w:spacing w:line="360" w:lineRule="auto"/>
        <w:ind w:firstLine="120" w:firstLineChars="5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0676-196008ZB018028</w:t>
      </w:r>
      <w:r>
        <w:rPr>
          <w:rFonts w:hint="eastAsia" w:ascii="宋体" w:hAnsi="宋体" w:eastAsia="宋体" w:cs="宋体"/>
          <w:b/>
          <w:bCs/>
          <w:sz w:val="24"/>
          <w:szCs w:val="24"/>
          <w:highlight w:val="none"/>
        </w:rPr>
        <w:t>-0</w:t>
      </w:r>
      <w:r>
        <w:rPr>
          <w:rFonts w:hint="eastAsia" w:ascii="宋体" w:hAnsi="宋体" w:cs="宋体"/>
          <w:b/>
          <w:bCs/>
          <w:sz w:val="24"/>
          <w:szCs w:val="24"/>
          <w:highlight w:val="none"/>
          <w:lang w:val="en-US" w:eastAsia="zh-CN"/>
        </w:rPr>
        <w:t>2</w:t>
      </w:r>
    </w:p>
    <w:p>
      <w:pPr>
        <w:numPr>
          <w:ilvl w:val="0"/>
          <w:numId w:val="0"/>
        </w:numPr>
        <w:spacing w:line="360" w:lineRule="auto"/>
        <w:ind w:left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二、设备名称：神经肌肉刺激治疗仪</w:t>
      </w:r>
      <w:r>
        <w:rPr>
          <w:rFonts w:hint="eastAsia" w:ascii="宋体" w:hAnsi="宋体" w:cs="宋体"/>
          <w:b/>
          <w:bCs/>
          <w:sz w:val="24"/>
          <w:szCs w:val="24"/>
          <w:highlight w:val="none"/>
          <w:lang w:eastAsia="zh-CN"/>
        </w:rPr>
        <w:t>（</w:t>
      </w:r>
      <w:r>
        <w:rPr>
          <w:rFonts w:hint="eastAsia" w:ascii="宋体" w:hAnsi="宋体"/>
          <w:b/>
          <w:bCs/>
          <w:color w:val="000000"/>
          <w:sz w:val="24"/>
          <w:highlight w:val="none"/>
          <w:lang w:val="en-US" w:eastAsia="zh-CN"/>
        </w:rPr>
        <w:t>可采进口</w:t>
      </w:r>
      <w:r>
        <w:rPr>
          <w:rFonts w:hint="eastAsia" w:ascii="宋体" w:hAnsi="宋体" w:cs="宋体"/>
          <w:b/>
          <w:bCs/>
          <w:sz w:val="24"/>
          <w:szCs w:val="24"/>
          <w:highlight w:val="none"/>
          <w:lang w:eastAsia="zh-CN"/>
        </w:rPr>
        <w:t>）</w:t>
      </w:r>
    </w:p>
    <w:p>
      <w:pPr>
        <w:spacing w:line="360" w:lineRule="auto"/>
        <w:ind w:firstLine="120" w:firstLineChars="5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eastAsia="zh-CN"/>
        </w:rPr>
        <w:t>共</w:t>
      </w:r>
      <w:r>
        <w:rPr>
          <w:rFonts w:hint="eastAsia" w:ascii="宋体" w:hAnsi="宋体" w:cs="宋体"/>
          <w:b/>
          <w:bCs/>
          <w:sz w:val="24"/>
          <w:szCs w:val="24"/>
          <w:highlight w:val="none"/>
          <w:lang w:val="en-US" w:eastAsia="zh-CN"/>
        </w:rPr>
        <w:t>2台</w:t>
      </w:r>
    </w:p>
    <w:p>
      <w:pPr>
        <w:spacing w:line="360" w:lineRule="auto"/>
        <w:ind w:left="10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pStyle w:val="99"/>
        <w:numPr>
          <w:ilvl w:val="0"/>
          <w:numId w:val="0"/>
        </w:numPr>
        <w:spacing w:line="360" w:lineRule="auto"/>
        <w:ind w:leftChars="0"/>
        <w:rPr>
          <w:rFonts w:hint="default" w:ascii="宋体" w:hAnsi="宋体" w:eastAsia="宋体" w:cs="宋体"/>
          <w:b/>
          <w:bCs/>
          <w:sz w:val="24"/>
          <w:szCs w:val="24"/>
          <w:highlight w:val="none"/>
          <w:lang w:val="en-US" w:eastAsia="zh-CN"/>
        </w:rPr>
      </w:pPr>
      <w:bookmarkStart w:id="128" w:name="_Toc2031"/>
      <w:r>
        <w:rPr>
          <w:rFonts w:hint="eastAsia" w:ascii="宋体" w:hAnsi="宋体" w:cs="宋体"/>
          <w:b/>
          <w:bCs/>
          <w:sz w:val="24"/>
          <w:szCs w:val="24"/>
          <w:highlight w:val="none"/>
          <w:lang w:eastAsia="zh-CN"/>
        </w:rPr>
        <w:t>（一）</w:t>
      </w:r>
      <w:r>
        <w:rPr>
          <w:rFonts w:hint="eastAsia" w:ascii="宋体" w:hAnsi="宋体" w:eastAsia="宋体" w:cs="宋体"/>
          <w:b/>
          <w:bCs/>
          <w:sz w:val="24"/>
          <w:szCs w:val="24"/>
          <w:highlight w:val="none"/>
        </w:rPr>
        <w:t>神经肌肉刺激治疗仪</w:t>
      </w:r>
      <w:r>
        <w:rPr>
          <w:rFonts w:hint="eastAsia" w:ascii="宋体" w:hAnsi="宋体" w:cs="宋体"/>
          <w:b/>
          <w:bCs/>
          <w:sz w:val="24"/>
          <w:szCs w:val="24"/>
          <w:highlight w:val="none"/>
          <w:lang w:eastAsia="zh-CN"/>
        </w:rPr>
        <w:t>（</w:t>
      </w:r>
      <w:r>
        <w:rPr>
          <w:rFonts w:hint="eastAsia" w:ascii="宋体" w:hAnsi="宋体"/>
          <w:b/>
          <w:bCs/>
          <w:color w:val="000000"/>
          <w:sz w:val="24"/>
          <w:highlight w:val="none"/>
          <w:lang w:val="en-US" w:eastAsia="zh-CN"/>
        </w:rPr>
        <w:t>可采进口</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 xml:space="preserve"> 数量：1台</w:t>
      </w:r>
    </w:p>
    <w:p>
      <w:pPr>
        <w:pStyle w:val="99"/>
        <w:numPr>
          <w:ilvl w:val="0"/>
          <w:numId w:val="0"/>
        </w:numPr>
        <w:spacing w:line="360" w:lineRule="auto"/>
        <w:ind w:leftChars="0"/>
        <w:rPr>
          <w:rFonts w:hint="default" w:asciiTheme="minorEastAsia" w:hAnsiTheme="minorEastAsia" w:cstheme="minorEastAsia"/>
          <w:b/>
          <w:bCs/>
          <w:kern w:val="0"/>
          <w:sz w:val="24"/>
          <w:szCs w:val="24"/>
          <w:highlight w:val="none"/>
          <w:lang w:val="en-US" w:eastAsia="zh-CN"/>
        </w:rPr>
      </w:pPr>
      <w:r>
        <w:rPr>
          <w:rFonts w:hint="eastAsia" w:asciiTheme="minorEastAsia" w:hAnsiTheme="minorEastAsia" w:cstheme="minorEastAsia"/>
          <w:b/>
          <w:bCs/>
          <w:kern w:val="0"/>
          <w:sz w:val="24"/>
          <w:szCs w:val="24"/>
          <w:highlight w:val="none"/>
          <w:lang w:val="en-US" w:eastAsia="zh-CN"/>
        </w:rPr>
        <w:t>（1）技术指标：</w:t>
      </w:r>
    </w:p>
    <w:p>
      <w:pPr>
        <w:pStyle w:val="99"/>
        <w:numPr>
          <w:ilvl w:val="0"/>
          <w:numId w:val="13"/>
        </w:numPr>
        <w:spacing w:line="360" w:lineRule="auto"/>
        <w:ind w:firstLineChars="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lang w:eastAsia="zh-CN"/>
        </w:rPr>
        <w:t>通道：电刺激通道数≥</w:t>
      </w:r>
      <w:r>
        <w:rPr>
          <w:rFonts w:hint="eastAsia" w:asciiTheme="minorEastAsia" w:hAnsiTheme="minorEastAsia" w:cstheme="minorEastAsia"/>
          <w:kern w:val="0"/>
          <w:sz w:val="24"/>
          <w:szCs w:val="24"/>
          <w:highlight w:val="none"/>
          <w:lang w:val="en-US" w:eastAsia="zh-CN"/>
        </w:rPr>
        <w:t>3个，多功能通道数≥3个</w:t>
      </w:r>
    </w:p>
    <w:p>
      <w:pPr>
        <w:pStyle w:val="99"/>
        <w:numPr>
          <w:ilvl w:val="0"/>
          <w:numId w:val="13"/>
        </w:numPr>
        <w:spacing w:line="360" w:lineRule="auto"/>
        <w:ind w:firstLineChars="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神经肌肉电刺激通道</w:t>
      </w:r>
      <w:r>
        <w:rPr>
          <w:rFonts w:hint="eastAsia" w:asciiTheme="minorEastAsia" w:hAnsiTheme="minorEastAsia" w:cstheme="minorEastAsia"/>
          <w:kern w:val="0"/>
          <w:sz w:val="24"/>
          <w:szCs w:val="24"/>
          <w:highlight w:val="none"/>
          <w:lang w:eastAsia="zh-CN"/>
        </w:rPr>
        <w:t>数：≥</w:t>
      </w:r>
      <w:r>
        <w:rPr>
          <w:rFonts w:hint="eastAsia" w:asciiTheme="minorEastAsia" w:hAnsiTheme="minorEastAsia" w:cstheme="minorEastAsia"/>
          <w:kern w:val="0"/>
          <w:sz w:val="24"/>
          <w:szCs w:val="24"/>
          <w:highlight w:val="none"/>
          <w:lang w:val="en-US" w:eastAsia="zh-CN"/>
        </w:rPr>
        <w:t>2</w:t>
      </w:r>
    </w:p>
    <w:p>
      <w:pPr>
        <w:pStyle w:val="99"/>
        <w:numPr>
          <w:ilvl w:val="0"/>
          <w:numId w:val="13"/>
        </w:numPr>
        <w:spacing w:line="360" w:lineRule="auto"/>
        <w:ind w:firstLineChars="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通道独立，互不干扰，每个通道可独立调节</w:t>
      </w:r>
    </w:p>
    <w:p>
      <w:pPr>
        <w:pStyle w:val="99"/>
        <w:numPr>
          <w:ilvl w:val="0"/>
          <w:numId w:val="13"/>
        </w:numPr>
        <w:spacing w:line="360" w:lineRule="auto"/>
        <w:ind w:firstLineChars="0"/>
        <w:rPr>
          <w:rFonts w:asciiTheme="minorEastAsia" w:hAnsiTheme="minorEastAsia" w:cstheme="min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采样率</w:t>
      </w:r>
      <w:r>
        <w:rPr>
          <w:rFonts w:hint="eastAsia" w:asciiTheme="majorEastAsia" w:hAnsiTheme="majorEastAsia" w:eastAsiaTheme="majorEastAsia" w:cstheme="majorEastAsia"/>
          <w:color w:val="auto"/>
          <w:kern w:val="0"/>
          <w:sz w:val="24"/>
          <w:szCs w:val="24"/>
          <w:highlight w:val="none"/>
          <w:lang w:val="en-US" w:eastAsia="zh-CN"/>
        </w:rPr>
        <w:t>2000</w:t>
      </w:r>
      <w:r>
        <w:rPr>
          <w:rFonts w:hint="eastAsia" w:asciiTheme="majorEastAsia" w:hAnsiTheme="majorEastAsia" w:eastAsiaTheme="majorEastAsia" w:cstheme="majorEastAsia"/>
          <w:color w:val="auto"/>
          <w:kern w:val="0"/>
          <w:sz w:val="24"/>
          <w:szCs w:val="24"/>
          <w:highlight w:val="none"/>
        </w:rPr>
        <w:t>Hz以上</w:t>
      </w:r>
      <w:r>
        <w:rPr>
          <w:rFonts w:hint="eastAsia" w:asciiTheme="minorEastAsia" w:hAnsiTheme="minorEastAsia" w:cstheme="minorEastAsia"/>
          <w:color w:val="auto"/>
          <w:kern w:val="0"/>
          <w:sz w:val="24"/>
          <w:szCs w:val="24"/>
          <w:highlight w:val="none"/>
        </w:rPr>
        <w:t>， 保证肌电信号的准确性</w:t>
      </w:r>
    </w:p>
    <w:p>
      <w:pPr>
        <w:pStyle w:val="99"/>
        <w:numPr>
          <w:ilvl w:val="0"/>
          <w:numId w:val="13"/>
        </w:numPr>
        <w:spacing w:line="360" w:lineRule="auto"/>
        <w:ind w:firstLineChars="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电刺激强度：0mA</w:t>
      </w:r>
      <w:r>
        <w:rPr>
          <w:rFonts w:hint="eastAsia" w:asciiTheme="minorEastAsia" w:hAnsiTheme="minorEastAsia" w:cstheme="minorEastAsia"/>
          <w:color w:val="auto"/>
          <w:kern w:val="0"/>
          <w:sz w:val="24"/>
          <w:szCs w:val="24"/>
          <w:highlight w:val="none"/>
          <w:lang w:val="en-US" w:eastAsia="zh-CN"/>
        </w:rPr>
        <w:t>-</w:t>
      </w:r>
      <w:r>
        <w:rPr>
          <w:rFonts w:hint="eastAsia" w:asciiTheme="minorEastAsia" w:hAnsiTheme="minorEastAsia" w:cstheme="minorEastAsia"/>
          <w:color w:val="auto"/>
          <w:kern w:val="0"/>
          <w:sz w:val="24"/>
          <w:szCs w:val="24"/>
          <w:highlight w:val="none"/>
        </w:rPr>
        <w:t>100mA可调，</w:t>
      </w:r>
      <w:r>
        <w:rPr>
          <w:rFonts w:hint="eastAsia" w:asciiTheme="minorEastAsia" w:hAnsiTheme="minorEastAsia" w:cstheme="minorEastAsia"/>
          <w:color w:val="auto"/>
          <w:kern w:val="0"/>
          <w:sz w:val="24"/>
          <w:szCs w:val="24"/>
          <w:highlight w:val="none"/>
          <w:lang w:eastAsia="zh-CN"/>
        </w:rPr>
        <w:t>调节精度≤</w:t>
      </w:r>
      <w:r>
        <w:rPr>
          <w:rFonts w:hint="eastAsia" w:asciiTheme="minorEastAsia" w:hAnsiTheme="minorEastAsia" w:cstheme="minorEastAsia"/>
          <w:color w:val="auto"/>
          <w:kern w:val="0"/>
          <w:sz w:val="24"/>
          <w:szCs w:val="24"/>
          <w:highlight w:val="none"/>
          <w:lang w:val="en-US" w:eastAsia="zh-CN"/>
        </w:rPr>
        <w:t>0.5mA</w:t>
      </w:r>
    </w:p>
    <w:p>
      <w:pPr>
        <w:pStyle w:val="99"/>
        <w:numPr>
          <w:ilvl w:val="0"/>
          <w:numId w:val="13"/>
        </w:numPr>
        <w:spacing w:line="360" w:lineRule="auto"/>
        <w:ind w:firstLineChars="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电刺激脉冲频率：</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lang w:val="en-US" w:eastAsia="zh-CN"/>
        </w:rPr>
        <w:t>1-2000HZ</w:t>
      </w:r>
      <w:r>
        <w:rPr>
          <w:rFonts w:hint="eastAsia" w:asciiTheme="minorEastAsia" w:hAnsiTheme="minorEastAsia" w:cstheme="minorEastAsia"/>
          <w:color w:val="auto"/>
          <w:kern w:val="0"/>
          <w:sz w:val="24"/>
          <w:szCs w:val="24"/>
          <w:highlight w:val="none"/>
        </w:rPr>
        <w:t>，</w:t>
      </w:r>
      <w:r>
        <w:rPr>
          <w:rFonts w:hint="eastAsia" w:asciiTheme="minorEastAsia" w:hAnsiTheme="minorEastAsia" w:cstheme="minorEastAsia"/>
          <w:color w:val="auto"/>
          <w:kern w:val="0"/>
          <w:sz w:val="24"/>
          <w:szCs w:val="24"/>
          <w:highlight w:val="none"/>
          <w:lang w:eastAsia="zh-CN"/>
        </w:rPr>
        <w:t>其中至少</w:t>
      </w:r>
      <w:r>
        <w:rPr>
          <w:rFonts w:hint="eastAsia" w:asciiTheme="minorEastAsia" w:hAnsiTheme="minorEastAsia" w:cstheme="minorEastAsia"/>
          <w:color w:val="auto"/>
          <w:kern w:val="0"/>
          <w:sz w:val="24"/>
          <w:szCs w:val="24"/>
          <w:highlight w:val="none"/>
          <w:lang w:val="en-US" w:eastAsia="zh-CN"/>
        </w:rPr>
        <w:t>1-400Hz</w:t>
      </w:r>
      <w:r>
        <w:rPr>
          <w:rFonts w:hint="eastAsia" w:asciiTheme="minorEastAsia" w:hAnsiTheme="minorEastAsia" w:cstheme="minorEastAsia"/>
          <w:color w:val="auto"/>
          <w:kern w:val="0"/>
          <w:sz w:val="24"/>
          <w:szCs w:val="24"/>
          <w:highlight w:val="none"/>
        </w:rPr>
        <w:t>可调，调节</w:t>
      </w:r>
      <w:r>
        <w:rPr>
          <w:rFonts w:hint="eastAsia" w:asciiTheme="minorEastAsia" w:hAnsiTheme="minorEastAsia" w:cstheme="minorEastAsia"/>
          <w:color w:val="auto"/>
          <w:kern w:val="0"/>
          <w:sz w:val="24"/>
          <w:szCs w:val="24"/>
          <w:highlight w:val="none"/>
          <w:lang w:eastAsia="zh-CN"/>
        </w:rPr>
        <w:t>精度</w:t>
      </w:r>
      <w:r>
        <w:rPr>
          <w:rFonts w:hint="eastAsia" w:asciiTheme="minorEastAsia" w:hAnsiTheme="minorEastAsia" w:cstheme="minorEastAsia"/>
          <w:color w:val="auto"/>
          <w:kern w:val="0"/>
          <w:sz w:val="24"/>
          <w:szCs w:val="24"/>
          <w:highlight w:val="none"/>
        </w:rPr>
        <w:t>1Hz</w:t>
      </w:r>
    </w:p>
    <w:p>
      <w:pPr>
        <w:pStyle w:val="130"/>
        <w:numPr>
          <w:ilvl w:val="0"/>
          <w:numId w:val="13"/>
        </w:numPr>
        <w:spacing w:line="360" w:lineRule="auto"/>
        <w:ind w:firstLineChars="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电刺激脉冲宽度：</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lang w:val="en-US" w:eastAsia="zh-CN"/>
        </w:rPr>
        <w:t>50</w:t>
      </w:r>
      <w:r>
        <w:rPr>
          <w:rFonts w:hint="eastAsia" w:asciiTheme="minorEastAsia" w:hAnsiTheme="minorEastAsia" w:eastAsiaTheme="minorEastAsia"/>
          <w:color w:val="auto"/>
          <w:kern w:val="0"/>
          <w:sz w:val="24"/>
          <w:szCs w:val="24"/>
          <w:highlight w:val="none"/>
        </w:rPr>
        <w:t>us-</w:t>
      </w:r>
      <w:r>
        <w:rPr>
          <w:rFonts w:hint="eastAsia" w:asciiTheme="minorEastAsia" w:hAnsiTheme="minorEastAsia" w:eastAsiaTheme="minorEastAsia"/>
          <w:color w:val="auto"/>
          <w:kern w:val="0"/>
          <w:sz w:val="24"/>
          <w:szCs w:val="24"/>
          <w:highlight w:val="none"/>
          <w:lang w:val="en-US" w:eastAsia="zh-CN"/>
        </w:rPr>
        <w:t>1000u</w:t>
      </w:r>
      <w:r>
        <w:rPr>
          <w:rFonts w:hint="eastAsia" w:asciiTheme="minorEastAsia" w:hAnsiTheme="minorEastAsia" w:eastAsiaTheme="minorEastAsia"/>
          <w:color w:val="auto"/>
          <w:kern w:val="0"/>
          <w:sz w:val="24"/>
          <w:szCs w:val="24"/>
          <w:highlight w:val="none"/>
        </w:rPr>
        <w:t>s，</w:t>
      </w:r>
      <w:r>
        <w:rPr>
          <w:rFonts w:hint="eastAsia" w:asciiTheme="minorEastAsia" w:hAnsiTheme="minorEastAsia" w:eastAsiaTheme="minorEastAsia"/>
          <w:color w:val="auto"/>
          <w:kern w:val="0"/>
          <w:sz w:val="24"/>
          <w:szCs w:val="24"/>
          <w:highlight w:val="none"/>
          <w:lang w:eastAsia="zh-CN"/>
        </w:rPr>
        <w:t>可调节</w:t>
      </w:r>
    </w:p>
    <w:p>
      <w:pPr>
        <w:pStyle w:val="130"/>
        <w:numPr>
          <w:ilvl w:val="0"/>
          <w:numId w:val="13"/>
        </w:numPr>
        <w:spacing w:line="360" w:lineRule="auto"/>
        <w:ind w:firstLineChars="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eastAsia="zh-CN"/>
        </w:rPr>
        <w:t>内置计算机，在不依赖外部计算机的支持下，可独立运行</w:t>
      </w:r>
    </w:p>
    <w:p>
      <w:pPr>
        <w:pStyle w:val="130"/>
        <w:numPr>
          <w:ilvl w:val="0"/>
          <w:numId w:val="13"/>
        </w:numPr>
        <w:spacing w:line="360" w:lineRule="auto"/>
        <w:ind w:firstLineChars="0"/>
        <w:rPr>
          <w:rFonts w:ascii="宋体" w:hAnsi="宋体"/>
          <w:kern w:val="0"/>
          <w:sz w:val="24"/>
          <w:szCs w:val="24"/>
          <w:highlight w:val="none"/>
        </w:rPr>
      </w:pPr>
      <w:r>
        <w:rPr>
          <w:rFonts w:hint="eastAsia" w:ascii="宋体" w:hAnsi="宋体" w:cs="宋体"/>
          <w:kern w:val="0"/>
          <w:sz w:val="24"/>
          <w:szCs w:val="24"/>
          <w:highlight w:val="none"/>
        </w:rPr>
        <w:t>筛查模式</w:t>
      </w:r>
      <w:r>
        <w:rPr>
          <w:rFonts w:hint="eastAsia" w:ascii="宋体" w:hAnsi="宋体"/>
          <w:sz w:val="24"/>
          <w:szCs w:val="24"/>
          <w:highlight w:val="none"/>
        </w:rPr>
        <w:t>主要参数：Ⅰ类肌纤维肌力，Ⅰ类肌纤维疲劳度，Ⅱ类肌纤维肌力，Ⅱ类肌纤维疲劳度，肌电位，阴道收缩力（压力评估：厘米水柱）、A3反射指标</w:t>
      </w:r>
      <w:r>
        <w:rPr>
          <w:rFonts w:hint="eastAsia" w:ascii="宋体" w:hAnsi="宋体"/>
          <w:sz w:val="24"/>
          <w:szCs w:val="24"/>
          <w:highlight w:val="none"/>
          <w:lang w:eastAsia="zh-CN"/>
        </w:rPr>
        <w:t>等</w:t>
      </w:r>
      <w:r>
        <w:rPr>
          <w:rFonts w:hint="eastAsia" w:ascii="宋体" w:hAnsi="宋体"/>
          <w:sz w:val="24"/>
          <w:szCs w:val="24"/>
          <w:highlight w:val="none"/>
        </w:rPr>
        <w:t>。</w:t>
      </w:r>
    </w:p>
    <w:p>
      <w:pPr>
        <w:pStyle w:val="130"/>
        <w:numPr>
          <w:ilvl w:val="0"/>
          <w:numId w:val="13"/>
        </w:numPr>
        <w:spacing w:line="360" w:lineRule="auto"/>
        <w:ind w:firstLineChars="0"/>
        <w:rPr>
          <w:rFonts w:ascii="宋体" w:hAnsi="宋体"/>
          <w:kern w:val="0"/>
          <w:sz w:val="24"/>
          <w:szCs w:val="24"/>
          <w:highlight w:val="none"/>
        </w:rPr>
      </w:pPr>
      <w:r>
        <w:rPr>
          <w:rFonts w:hint="eastAsia" w:asciiTheme="minorEastAsia" w:hAnsiTheme="minorEastAsia" w:eastAsiaTheme="minorEastAsia"/>
          <w:color w:val="auto"/>
          <w:kern w:val="0"/>
          <w:sz w:val="24"/>
          <w:szCs w:val="24"/>
          <w:highlight w:val="none"/>
          <w:lang w:eastAsia="zh-CN"/>
        </w:rPr>
        <w:t>治疗模式至少包括</w:t>
      </w:r>
      <w:r>
        <w:rPr>
          <w:rFonts w:hint="eastAsia" w:asciiTheme="minorEastAsia" w:hAnsiTheme="minorEastAsia" w:eastAsiaTheme="minorEastAsia"/>
          <w:color w:val="auto"/>
          <w:kern w:val="0"/>
          <w:sz w:val="24"/>
          <w:szCs w:val="24"/>
          <w:highlight w:val="none"/>
        </w:rPr>
        <w:t>：平滑肌电刺激、横纹肌电刺激、反射采集、压力治疗、排尿记录表、离子导入、TENS 镇痛，多种症候群的康复。</w:t>
      </w:r>
    </w:p>
    <w:p>
      <w:pPr>
        <w:pStyle w:val="130"/>
        <w:numPr>
          <w:ilvl w:val="0"/>
          <w:numId w:val="13"/>
        </w:numPr>
        <w:spacing w:line="360" w:lineRule="auto"/>
        <w:ind w:firstLineChars="0"/>
        <w:rPr>
          <w:rFonts w:hint="eastAsia" w:ascii="宋体" w:hAnsi="宋体"/>
          <w:kern w:val="0"/>
          <w:sz w:val="24"/>
          <w:szCs w:val="24"/>
          <w:highlight w:val="none"/>
        </w:rPr>
      </w:pPr>
      <w:r>
        <w:rPr>
          <w:rFonts w:hint="eastAsia" w:ascii="宋体" w:hAnsi="宋体"/>
          <w:kern w:val="0"/>
          <w:sz w:val="24"/>
          <w:szCs w:val="24"/>
          <w:highlight w:val="none"/>
        </w:rPr>
        <w:t>改善子宫内膜营养平滑肌电刺激预置</w:t>
      </w:r>
      <w:r>
        <w:rPr>
          <w:rFonts w:hint="eastAsia" w:ascii="宋体" w:hAnsi="宋体"/>
          <w:kern w:val="0"/>
          <w:sz w:val="24"/>
          <w:szCs w:val="24"/>
          <w:highlight w:val="none"/>
          <w:lang w:eastAsia="zh-CN"/>
        </w:rPr>
        <w:t>至少</w:t>
      </w:r>
      <w:r>
        <w:rPr>
          <w:rFonts w:hint="eastAsia" w:ascii="宋体" w:hAnsi="宋体"/>
          <w:kern w:val="0"/>
          <w:sz w:val="24"/>
          <w:szCs w:val="24"/>
          <w:highlight w:val="none"/>
        </w:rPr>
        <w:t>1种。</w:t>
      </w:r>
    </w:p>
    <w:p>
      <w:pPr>
        <w:pStyle w:val="130"/>
        <w:numPr>
          <w:ilvl w:val="0"/>
          <w:numId w:val="13"/>
        </w:numPr>
        <w:spacing w:line="360" w:lineRule="auto"/>
        <w:ind w:firstLineChars="0"/>
        <w:rPr>
          <w:rFonts w:hint="eastAsia" w:ascii="宋体" w:hAnsi="宋体"/>
          <w:kern w:val="0"/>
          <w:sz w:val="24"/>
          <w:szCs w:val="24"/>
          <w:highlight w:val="none"/>
        </w:rPr>
      </w:pPr>
      <w:r>
        <w:rPr>
          <w:rFonts w:hint="eastAsia" w:ascii="宋体" w:hAnsi="宋体"/>
          <w:kern w:val="0"/>
          <w:sz w:val="24"/>
          <w:szCs w:val="24"/>
          <w:highlight w:val="none"/>
        </w:rPr>
        <w:t>改善阴道紧缩度平滑肌电刺激预置</w:t>
      </w:r>
      <w:r>
        <w:rPr>
          <w:rFonts w:hint="eastAsia" w:ascii="宋体" w:hAnsi="宋体"/>
          <w:kern w:val="0"/>
          <w:sz w:val="24"/>
          <w:szCs w:val="24"/>
          <w:highlight w:val="none"/>
          <w:lang w:eastAsia="zh-CN"/>
        </w:rPr>
        <w:t>至少</w:t>
      </w:r>
      <w:r>
        <w:rPr>
          <w:rFonts w:hint="eastAsia" w:ascii="宋体" w:hAnsi="宋体"/>
          <w:kern w:val="0"/>
          <w:sz w:val="24"/>
          <w:szCs w:val="24"/>
          <w:highlight w:val="none"/>
        </w:rPr>
        <w:t>1种。</w:t>
      </w:r>
    </w:p>
    <w:p>
      <w:pPr>
        <w:pStyle w:val="130"/>
        <w:numPr>
          <w:ilvl w:val="0"/>
          <w:numId w:val="13"/>
        </w:numPr>
        <w:spacing w:line="360" w:lineRule="auto"/>
        <w:ind w:firstLineChars="0"/>
        <w:rPr>
          <w:rFonts w:hint="eastAsia" w:ascii="宋体" w:hAnsi="宋体"/>
          <w:kern w:val="0"/>
          <w:sz w:val="24"/>
          <w:szCs w:val="24"/>
          <w:highlight w:val="none"/>
        </w:rPr>
      </w:pPr>
      <w:r>
        <w:rPr>
          <w:rFonts w:hint="eastAsia" w:ascii="宋体" w:hAnsi="宋体"/>
          <w:kern w:val="0"/>
          <w:sz w:val="24"/>
          <w:szCs w:val="24"/>
          <w:highlight w:val="none"/>
        </w:rPr>
        <w:t>直肠平滑肌电刺激预置</w:t>
      </w:r>
      <w:r>
        <w:rPr>
          <w:rFonts w:hint="eastAsia" w:ascii="宋体" w:hAnsi="宋体"/>
          <w:kern w:val="0"/>
          <w:sz w:val="24"/>
          <w:szCs w:val="24"/>
          <w:highlight w:val="none"/>
          <w:lang w:eastAsia="zh-CN"/>
        </w:rPr>
        <w:t>至少</w:t>
      </w:r>
      <w:r>
        <w:rPr>
          <w:rFonts w:hint="eastAsia" w:ascii="宋体" w:hAnsi="宋体"/>
          <w:kern w:val="0"/>
          <w:sz w:val="24"/>
          <w:szCs w:val="24"/>
          <w:highlight w:val="none"/>
        </w:rPr>
        <w:t>1 种。</w:t>
      </w:r>
    </w:p>
    <w:p>
      <w:pPr>
        <w:pStyle w:val="130"/>
        <w:numPr>
          <w:ilvl w:val="0"/>
          <w:numId w:val="13"/>
        </w:numPr>
        <w:spacing w:line="360" w:lineRule="auto"/>
        <w:ind w:firstLineChars="0"/>
        <w:rPr>
          <w:rFonts w:hint="eastAsia" w:ascii="宋体" w:hAnsi="宋体"/>
          <w:kern w:val="0"/>
          <w:sz w:val="24"/>
          <w:szCs w:val="24"/>
          <w:highlight w:val="none"/>
        </w:rPr>
      </w:pPr>
      <w:r>
        <w:rPr>
          <w:rFonts w:hint="eastAsia" w:ascii="宋体" w:hAnsi="宋体"/>
          <w:kern w:val="0"/>
          <w:sz w:val="24"/>
          <w:szCs w:val="24"/>
          <w:highlight w:val="none"/>
        </w:rPr>
        <w:t>改善血液循环平滑肌电刺激预置</w:t>
      </w:r>
      <w:r>
        <w:rPr>
          <w:rFonts w:hint="eastAsia" w:ascii="宋体" w:hAnsi="宋体"/>
          <w:kern w:val="0"/>
          <w:sz w:val="24"/>
          <w:szCs w:val="24"/>
          <w:highlight w:val="none"/>
          <w:lang w:eastAsia="zh-CN"/>
        </w:rPr>
        <w:t>至少</w:t>
      </w:r>
      <w:r>
        <w:rPr>
          <w:rFonts w:hint="eastAsia" w:ascii="宋体" w:hAnsi="宋体"/>
          <w:kern w:val="0"/>
          <w:sz w:val="24"/>
          <w:szCs w:val="24"/>
          <w:highlight w:val="none"/>
        </w:rPr>
        <w:t>1种。</w:t>
      </w:r>
    </w:p>
    <w:p>
      <w:pPr>
        <w:pStyle w:val="130"/>
        <w:numPr>
          <w:ilvl w:val="0"/>
          <w:numId w:val="13"/>
        </w:numPr>
        <w:spacing w:line="360" w:lineRule="auto"/>
        <w:ind w:firstLineChars="0"/>
        <w:rPr>
          <w:rFonts w:ascii="宋体" w:hAnsi="宋体"/>
          <w:kern w:val="0"/>
          <w:sz w:val="24"/>
          <w:szCs w:val="24"/>
          <w:highlight w:val="none"/>
        </w:rPr>
      </w:pPr>
      <w:r>
        <w:rPr>
          <w:rFonts w:hint="eastAsia" w:ascii="宋体" w:hAnsi="宋体"/>
          <w:kern w:val="0"/>
          <w:sz w:val="24"/>
          <w:szCs w:val="24"/>
          <w:highlight w:val="none"/>
        </w:rPr>
        <w:t>改善组织营养平滑肌电刺激预置</w:t>
      </w:r>
      <w:r>
        <w:rPr>
          <w:rFonts w:hint="eastAsia" w:ascii="宋体" w:hAnsi="宋体"/>
          <w:kern w:val="0"/>
          <w:sz w:val="24"/>
          <w:szCs w:val="24"/>
          <w:highlight w:val="none"/>
          <w:lang w:eastAsia="zh-CN"/>
        </w:rPr>
        <w:t>至少</w:t>
      </w:r>
      <w:r>
        <w:rPr>
          <w:rFonts w:hint="eastAsia" w:ascii="宋体" w:hAnsi="宋体"/>
          <w:kern w:val="0"/>
          <w:sz w:val="24"/>
          <w:szCs w:val="24"/>
          <w:highlight w:val="none"/>
        </w:rPr>
        <w:t>1种。</w:t>
      </w:r>
    </w:p>
    <w:p>
      <w:pPr>
        <w:pStyle w:val="130"/>
        <w:numPr>
          <w:ilvl w:val="0"/>
          <w:numId w:val="13"/>
        </w:numPr>
        <w:spacing w:line="360" w:lineRule="auto"/>
        <w:ind w:firstLineChars="0"/>
        <w:rPr>
          <w:rFonts w:ascii="宋体" w:hAnsi="宋体"/>
          <w:kern w:val="0"/>
          <w:sz w:val="24"/>
          <w:szCs w:val="24"/>
          <w:highlight w:val="none"/>
        </w:rPr>
      </w:pPr>
      <w:r>
        <w:rPr>
          <w:rFonts w:hint="eastAsia" w:ascii="宋体" w:hAnsi="宋体"/>
          <w:kern w:val="0"/>
          <w:sz w:val="24"/>
          <w:szCs w:val="24"/>
          <w:highlight w:val="none"/>
        </w:rPr>
        <w:t>治疗方案（机理）：内置包括止痛、无菌性炎症、静脉淋巴循环、神经肌肉反射、离子导入、纤维组织粘连、放松、营养等类别的治疗程序</w:t>
      </w:r>
    </w:p>
    <w:p>
      <w:pPr>
        <w:pStyle w:val="130"/>
        <w:numPr>
          <w:ilvl w:val="0"/>
          <w:numId w:val="13"/>
        </w:numPr>
        <w:spacing w:line="360" w:lineRule="auto"/>
        <w:ind w:firstLineChars="0"/>
        <w:rPr>
          <w:rFonts w:ascii="宋体" w:hAnsi="宋体"/>
          <w:kern w:val="0"/>
          <w:sz w:val="24"/>
          <w:szCs w:val="24"/>
          <w:highlight w:val="none"/>
        </w:rPr>
      </w:pPr>
      <w:r>
        <w:rPr>
          <w:rFonts w:hint="eastAsia" w:ascii="宋体" w:hAnsi="宋体"/>
          <w:kern w:val="0"/>
          <w:sz w:val="24"/>
          <w:szCs w:val="24"/>
          <w:highlight w:val="none"/>
        </w:rPr>
        <w:t>治疗方案（病理）：内置包括</w:t>
      </w:r>
      <w:r>
        <w:rPr>
          <w:rFonts w:hint="eastAsia" w:ascii="宋体" w:hAnsi="宋体"/>
          <w:kern w:val="0"/>
          <w:sz w:val="24"/>
          <w:szCs w:val="24"/>
          <w:highlight w:val="none"/>
          <w:lang w:eastAsia="zh-CN"/>
        </w:rPr>
        <w:t>不低于</w:t>
      </w:r>
      <w:r>
        <w:rPr>
          <w:rFonts w:hint="eastAsia" w:ascii="宋体" w:hAnsi="宋体"/>
          <w:kern w:val="0"/>
          <w:sz w:val="24"/>
          <w:szCs w:val="24"/>
          <w:highlight w:val="none"/>
        </w:rPr>
        <w:t>12 组平滑肌治疗方案，包括：腹直肌分离、局部营养改善、循环改善、阴道感觉恢复、子宫内膜营养、肌张力、疼痛等采用平滑肌电刺激与横纹肌电刺激结合的治疗程序。</w:t>
      </w:r>
    </w:p>
    <w:p>
      <w:pPr>
        <w:pStyle w:val="130"/>
        <w:numPr>
          <w:ilvl w:val="0"/>
          <w:numId w:val="13"/>
        </w:numPr>
        <w:spacing w:line="360" w:lineRule="auto"/>
        <w:ind w:firstLineChars="0"/>
        <w:rPr>
          <w:rFonts w:ascii="宋体" w:hAnsi="宋体"/>
          <w:kern w:val="0"/>
          <w:sz w:val="24"/>
          <w:szCs w:val="24"/>
          <w:highlight w:val="none"/>
        </w:rPr>
      </w:pPr>
      <w:r>
        <w:rPr>
          <w:rFonts w:ascii="宋体" w:hAnsi="宋体" w:cs="宋体"/>
          <w:color w:val="000000"/>
          <w:sz w:val="24"/>
          <w:szCs w:val="24"/>
          <w:highlight w:val="none"/>
        </w:rPr>
        <w:t>可编制基于平滑肌电刺激的治疗方案</w:t>
      </w:r>
    </w:p>
    <w:p>
      <w:pPr>
        <w:pStyle w:val="99"/>
        <w:numPr>
          <w:ilvl w:val="0"/>
          <w:numId w:val="13"/>
        </w:numPr>
        <w:spacing w:line="360" w:lineRule="auto"/>
        <w:ind w:firstLineChars="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一体化医学推车，可移动</w:t>
      </w:r>
    </w:p>
    <w:p>
      <w:pPr>
        <w:pStyle w:val="99"/>
        <w:numPr>
          <w:ilvl w:val="0"/>
          <w:numId w:val="0"/>
        </w:numPr>
        <w:spacing w:line="360" w:lineRule="auto"/>
        <w:ind w:leftChars="0"/>
        <w:rPr>
          <w:rFonts w:hint="eastAsia" w:eastAsia="宋体" w:asciiTheme="minorEastAsia" w:hAnsiTheme="minorEastAsia" w:cstheme="minorEastAsia"/>
          <w:b/>
          <w:bCs/>
          <w:kern w:val="0"/>
          <w:sz w:val="24"/>
          <w:szCs w:val="24"/>
          <w:highlight w:val="none"/>
          <w:lang w:eastAsia="zh-CN"/>
        </w:rPr>
      </w:pPr>
      <w:r>
        <w:rPr>
          <w:rFonts w:hint="eastAsia" w:asciiTheme="minorEastAsia" w:hAnsiTheme="minorEastAsia" w:cstheme="minorEastAsia"/>
          <w:b/>
          <w:bCs/>
          <w:kern w:val="0"/>
          <w:sz w:val="24"/>
          <w:szCs w:val="24"/>
          <w:highlight w:val="none"/>
          <w:lang w:eastAsia="zh-CN"/>
        </w:rPr>
        <w:t>（</w:t>
      </w:r>
      <w:r>
        <w:rPr>
          <w:rFonts w:hint="eastAsia" w:asciiTheme="minorEastAsia" w:hAnsiTheme="minorEastAsia" w:cstheme="minorEastAsia"/>
          <w:b/>
          <w:bCs/>
          <w:kern w:val="0"/>
          <w:sz w:val="24"/>
          <w:szCs w:val="24"/>
          <w:highlight w:val="none"/>
          <w:lang w:val="en-US" w:eastAsia="zh-CN"/>
        </w:rPr>
        <w:t>2</w:t>
      </w:r>
      <w:r>
        <w:rPr>
          <w:rFonts w:hint="eastAsia" w:asciiTheme="minorEastAsia" w:hAnsiTheme="minorEastAsia" w:cstheme="minorEastAsia"/>
          <w:b/>
          <w:bCs/>
          <w:kern w:val="0"/>
          <w:sz w:val="24"/>
          <w:szCs w:val="24"/>
          <w:highlight w:val="none"/>
          <w:lang w:eastAsia="zh-CN"/>
        </w:rPr>
        <w:t>）功能需求：</w:t>
      </w:r>
    </w:p>
    <w:p>
      <w:pPr>
        <w:pStyle w:val="99"/>
        <w:numPr>
          <w:ilvl w:val="0"/>
          <w:numId w:val="14"/>
        </w:numPr>
        <w:spacing w:line="360" w:lineRule="auto"/>
        <w:ind w:left="425" w:leftChars="0" w:hanging="425" w:firstLineChars="0"/>
        <w:rPr>
          <w:rFonts w:hint="eastAsia"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适用范围：采用电刺激疗法对神经和肌肉软组织进行治疗，具有缓解疼痛、改善肌肉健康状态、提高局部机能、促进软组织损伤和刺激细胞恢复功能，可用于术后恢复及康复治疗。</w:t>
      </w:r>
    </w:p>
    <w:p>
      <w:pPr>
        <w:pStyle w:val="99"/>
        <w:numPr>
          <w:ilvl w:val="0"/>
          <w:numId w:val="14"/>
        </w:numPr>
        <w:spacing w:line="360" w:lineRule="auto"/>
        <w:ind w:left="425" w:leftChars="0" w:hanging="425" w:firstLineChars="0"/>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采用国际通用的会阴肌力测试法，压力探头自动校准功能，边评估边治疗，可以根据评估结果实时调整治疗方案。</w:t>
      </w:r>
    </w:p>
    <w:p>
      <w:pPr>
        <w:pStyle w:val="99"/>
        <w:numPr>
          <w:ilvl w:val="0"/>
          <w:numId w:val="14"/>
        </w:numPr>
        <w:spacing w:line="360" w:lineRule="auto"/>
        <w:ind w:left="425" w:leftChars="0" w:hanging="425" w:firstLineChars="0"/>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多媒体肌电生物反馈训练，具备音乐反馈、动画反馈功能；声音反馈（可调）：实时提示患者是否达到设定的阈值；</w:t>
      </w:r>
    </w:p>
    <w:p>
      <w:pPr>
        <w:pStyle w:val="99"/>
        <w:numPr>
          <w:ilvl w:val="0"/>
          <w:numId w:val="14"/>
        </w:numPr>
        <w:spacing w:line="360" w:lineRule="auto"/>
        <w:ind w:left="425" w:leftChars="0" w:hanging="425" w:firstLineChars="0"/>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扫描功能：记录患者训练过程中肌肉收缩的最大值，最小值和平均值；缩放功能：可以轻松的将反馈数据和图标画面进行缩放，从而获得清晰直观的数据反馈；清晰的图像记录方式，包括线性和柱状图表；</w:t>
      </w:r>
    </w:p>
    <w:p>
      <w:pPr>
        <w:pStyle w:val="99"/>
        <w:numPr>
          <w:ilvl w:val="0"/>
          <w:numId w:val="14"/>
        </w:numPr>
        <w:spacing w:line="360" w:lineRule="auto"/>
        <w:ind w:left="425" w:leftChars="0" w:hanging="425" w:firstLineChars="0"/>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可选择不同的智能传感器探针，满足不同治疗师的习惯和患者的要求；全中文操作界面。</w:t>
      </w:r>
    </w:p>
    <w:p>
      <w:pPr>
        <w:pStyle w:val="99"/>
        <w:numPr>
          <w:ilvl w:val="0"/>
          <w:numId w:val="0"/>
        </w:numPr>
        <w:spacing w:line="360" w:lineRule="auto"/>
        <w:ind w:leftChars="0"/>
        <w:rPr>
          <w:rFonts w:hint="eastAsia" w:asciiTheme="minorEastAsia" w:hAnsiTheme="minorEastAsia" w:cstheme="minorEastAsia"/>
          <w:b/>
          <w:bCs/>
          <w:kern w:val="0"/>
          <w:sz w:val="24"/>
          <w:szCs w:val="24"/>
          <w:highlight w:val="none"/>
          <w:lang w:val="en-US" w:eastAsia="zh-CN"/>
        </w:rPr>
      </w:pPr>
      <w:r>
        <w:rPr>
          <w:rFonts w:hint="eastAsia" w:asciiTheme="minorEastAsia" w:hAnsiTheme="minorEastAsia" w:cstheme="minorEastAsia"/>
          <w:b/>
          <w:bCs/>
          <w:kern w:val="0"/>
          <w:sz w:val="24"/>
          <w:szCs w:val="24"/>
          <w:highlight w:val="none"/>
          <w:lang w:eastAsia="zh-CN"/>
        </w:rPr>
        <w:t>配套耗材单独报价，不计入总报价。质保≥</w:t>
      </w:r>
      <w:r>
        <w:rPr>
          <w:rFonts w:hint="eastAsia" w:asciiTheme="minorEastAsia" w:hAnsiTheme="minorEastAsia" w:cstheme="minorEastAsia"/>
          <w:b/>
          <w:bCs/>
          <w:kern w:val="0"/>
          <w:sz w:val="24"/>
          <w:szCs w:val="24"/>
          <w:highlight w:val="none"/>
          <w:lang w:val="en-US" w:eastAsia="zh-CN"/>
        </w:rPr>
        <w:t>3年，交货期厂家竞报</w:t>
      </w:r>
    </w:p>
    <w:p>
      <w:pPr>
        <w:numPr>
          <w:ilvl w:val="0"/>
          <w:numId w:val="0"/>
        </w:numPr>
        <w:spacing w:line="360" w:lineRule="auto"/>
        <w:ind w:leftChars="0"/>
        <w:rPr>
          <w:rFonts w:hint="eastAsia" w:ascii="宋体" w:hAnsi="宋体" w:eastAsia="宋体" w:cs="宋体"/>
          <w:b/>
          <w:bCs/>
          <w:sz w:val="24"/>
          <w:szCs w:val="24"/>
          <w:highlight w:val="none"/>
        </w:rPr>
      </w:pPr>
    </w:p>
    <w:p>
      <w:pPr>
        <w:numPr>
          <w:ilvl w:val="0"/>
          <w:numId w:val="0"/>
        </w:numPr>
        <w:spacing w:line="360" w:lineRule="auto"/>
        <w:ind w:leftChars="0"/>
        <w:rPr>
          <w:rFonts w:hint="default" w:ascii="宋体" w:hAnsi="宋体"/>
          <w:b/>
          <w:bCs/>
          <w:color w:val="000000"/>
          <w:sz w:val="24"/>
          <w:szCs w:val="24"/>
          <w:highlight w:val="none"/>
          <w:lang w:val="en-US"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rPr>
        <w:t>神经肌肉刺激治疗仪</w:t>
      </w:r>
      <w:r>
        <w:rPr>
          <w:rFonts w:hint="eastAsia" w:ascii="宋体" w:hAnsi="宋体" w:cs="宋体"/>
          <w:b/>
          <w:bCs/>
          <w:sz w:val="24"/>
          <w:szCs w:val="24"/>
          <w:highlight w:val="none"/>
          <w:lang w:val="en-US" w:eastAsia="zh-CN"/>
        </w:rPr>
        <w:t>（</w:t>
      </w:r>
      <w:r>
        <w:rPr>
          <w:rFonts w:hint="eastAsia" w:ascii="宋体" w:hAnsi="宋体"/>
          <w:b/>
          <w:bCs/>
          <w:color w:val="000000"/>
          <w:sz w:val="24"/>
          <w:szCs w:val="24"/>
          <w:highlight w:val="none"/>
          <w:lang w:val="en-US" w:eastAsia="zh-CN"/>
        </w:rPr>
        <w:t>可采进口</w:t>
      </w:r>
      <w:r>
        <w:rPr>
          <w:rFonts w:hint="eastAsia" w:ascii="宋体" w:hAnsi="宋体" w:cs="宋体"/>
          <w:b/>
          <w:bCs/>
          <w:sz w:val="24"/>
          <w:szCs w:val="24"/>
          <w:highlight w:val="none"/>
          <w:lang w:val="en-US" w:eastAsia="zh-CN"/>
        </w:rPr>
        <w:t xml:space="preserve"> ） </w:t>
      </w:r>
      <w:r>
        <w:rPr>
          <w:rFonts w:hint="eastAsia" w:ascii="宋体" w:hAnsi="宋体"/>
          <w:b/>
          <w:bCs/>
          <w:color w:val="000000"/>
          <w:sz w:val="24"/>
          <w:szCs w:val="24"/>
          <w:highlight w:val="none"/>
          <w:lang w:eastAsia="zh-CN"/>
        </w:rPr>
        <w:t>数量：</w:t>
      </w:r>
      <w:r>
        <w:rPr>
          <w:rFonts w:hint="eastAsia" w:ascii="宋体" w:hAnsi="宋体"/>
          <w:b/>
          <w:bCs/>
          <w:color w:val="000000"/>
          <w:sz w:val="24"/>
          <w:szCs w:val="24"/>
          <w:highlight w:val="none"/>
          <w:lang w:val="en-US" w:eastAsia="zh-CN"/>
        </w:rPr>
        <w:t xml:space="preserve">1台/套 </w:t>
      </w:r>
    </w:p>
    <w:p>
      <w:pPr>
        <w:pStyle w:val="99"/>
        <w:numPr>
          <w:ilvl w:val="0"/>
          <w:numId w:val="0"/>
        </w:numPr>
        <w:spacing w:line="360" w:lineRule="auto"/>
        <w:ind w:leftChars="0"/>
        <w:rPr>
          <w:rFonts w:hint="default" w:asciiTheme="minorEastAsia" w:hAnsiTheme="minorEastAsia" w:cstheme="minorEastAsia"/>
          <w:b/>
          <w:bCs/>
          <w:kern w:val="0"/>
          <w:sz w:val="24"/>
          <w:szCs w:val="24"/>
          <w:highlight w:val="none"/>
          <w:lang w:val="en-US" w:eastAsia="zh-CN"/>
        </w:rPr>
      </w:pPr>
      <w:r>
        <w:rPr>
          <w:rFonts w:hint="eastAsia" w:asciiTheme="minorEastAsia" w:hAnsiTheme="minorEastAsia" w:cstheme="minorEastAsia"/>
          <w:b/>
          <w:bCs/>
          <w:kern w:val="0"/>
          <w:sz w:val="24"/>
          <w:szCs w:val="24"/>
          <w:highlight w:val="none"/>
          <w:lang w:val="en-US" w:eastAsia="zh-CN"/>
        </w:rPr>
        <w:t>（1）技术指标：</w:t>
      </w:r>
    </w:p>
    <w:p>
      <w:pPr>
        <w:pStyle w:val="99"/>
        <w:numPr>
          <w:ilvl w:val="0"/>
          <w:numId w:val="15"/>
        </w:numPr>
        <w:spacing w:line="360" w:lineRule="auto"/>
        <w:ind w:firstLineChars="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lang w:eastAsia="zh-CN"/>
        </w:rPr>
        <w:t>通道：电刺激通道数≥</w:t>
      </w:r>
      <w:r>
        <w:rPr>
          <w:rFonts w:hint="eastAsia" w:asciiTheme="minorEastAsia" w:hAnsiTheme="minorEastAsia" w:cstheme="minorEastAsia"/>
          <w:kern w:val="0"/>
          <w:sz w:val="24"/>
          <w:szCs w:val="24"/>
          <w:highlight w:val="none"/>
          <w:lang w:val="en-US" w:eastAsia="zh-CN"/>
        </w:rPr>
        <w:t>3个，多功能通道数≥3个</w:t>
      </w:r>
    </w:p>
    <w:p>
      <w:pPr>
        <w:pStyle w:val="99"/>
        <w:numPr>
          <w:ilvl w:val="0"/>
          <w:numId w:val="15"/>
        </w:numPr>
        <w:spacing w:line="360" w:lineRule="auto"/>
        <w:ind w:firstLineChars="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神经肌肉电刺激通道</w:t>
      </w:r>
      <w:r>
        <w:rPr>
          <w:rFonts w:hint="eastAsia" w:asciiTheme="minorEastAsia" w:hAnsiTheme="minorEastAsia" w:cstheme="minorEastAsia"/>
          <w:kern w:val="0"/>
          <w:sz w:val="24"/>
          <w:szCs w:val="24"/>
          <w:highlight w:val="none"/>
          <w:lang w:eastAsia="zh-CN"/>
        </w:rPr>
        <w:t>数：≥</w:t>
      </w:r>
      <w:r>
        <w:rPr>
          <w:rFonts w:hint="eastAsia" w:asciiTheme="minorEastAsia" w:hAnsiTheme="minorEastAsia" w:cstheme="minorEastAsia"/>
          <w:kern w:val="0"/>
          <w:sz w:val="24"/>
          <w:szCs w:val="24"/>
          <w:highlight w:val="none"/>
          <w:lang w:val="en-US" w:eastAsia="zh-CN"/>
        </w:rPr>
        <w:t>2</w:t>
      </w:r>
    </w:p>
    <w:p>
      <w:pPr>
        <w:pStyle w:val="99"/>
        <w:numPr>
          <w:ilvl w:val="0"/>
          <w:numId w:val="15"/>
        </w:numPr>
        <w:spacing w:line="360" w:lineRule="auto"/>
        <w:ind w:firstLineChars="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通道独立，互不干扰，每个通道可独立调节</w:t>
      </w:r>
    </w:p>
    <w:p>
      <w:pPr>
        <w:pStyle w:val="99"/>
        <w:numPr>
          <w:ilvl w:val="0"/>
          <w:numId w:val="15"/>
        </w:numPr>
        <w:spacing w:line="360" w:lineRule="auto"/>
        <w:ind w:firstLineChars="0"/>
        <w:rPr>
          <w:rFonts w:asciiTheme="minorEastAsia" w:hAnsiTheme="minorEastAsia" w:cstheme="min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采样率</w:t>
      </w:r>
      <w:r>
        <w:rPr>
          <w:rFonts w:hint="eastAsia" w:asciiTheme="majorEastAsia" w:hAnsiTheme="majorEastAsia" w:eastAsiaTheme="majorEastAsia" w:cstheme="majorEastAsia"/>
          <w:color w:val="auto"/>
          <w:kern w:val="0"/>
          <w:sz w:val="24"/>
          <w:szCs w:val="24"/>
          <w:highlight w:val="none"/>
          <w:lang w:val="en-US" w:eastAsia="zh-CN"/>
        </w:rPr>
        <w:t>2000</w:t>
      </w:r>
      <w:r>
        <w:rPr>
          <w:rFonts w:hint="eastAsia" w:asciiTheme="majorEastAsia" w:hAnsiTheme="majorEastAsia" w:eastAsiaTheme="majorEastAsia" w:cstheme="majorEastAsia"/>
          <w:color w:val="auto"/>
          <w:kern w:val="0"/>
          <w:sz w:val="24"/>
          <w:szCs w:val="24"/>
          <w:highlight w:val="none"/>
        </w:rPr>
        <w:t>Hz以上</w:t>
      </w:r>
      <w:r>
        <w:rPr>
          <w:rFonts w:hint="eastAsia" w:asciiTheme="minorEastAsia" w:hAnsiTheme="minorEastAsia" w:cstheme="minorEastAsia"/>
          <w:color w:val="auto"/>
          <w:kern w:val="0"/>
          <w:sz w:val="24"/>
          <w:szCs w:val="24"/>
          <w:highlight w:val="none"/>
        </w:rPr>
        <w:t>， 保证肌电信号的准确性</w:t>
      </w:r>
    </w:p>
    <w:p>
      <w:pPr>
        <w:pStyle w:val="99"/>
        <w:numPr>
          <w:ilvl w:val="0"/>
          <w:numId w:val="15"/>
        </w:numPr>
        <w:spacing w:line="360" w:lineRule="auto"/>
        <w:ind w:firstLineChars="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电刺激强度：0mA</w:t>
      </w:r>
      <w:r>
        <w:rPr>
          <w:rFonts w:hint="eastAsia" w:asciiTheme="minorEastAsia" w:hAnsiTheme="minorEastAsia" w:cstheme="minorEastAsia"/>
          <w:color w:val="auto"/>
          <w:kern w:val="0"/>
          <w:sz w:val="24"/>
          <w:szCs w:val="24"/>
          <w:highlight w:val="none"/>
          <w:lang w:val="en-US" w:eastAsia="zh-CN"/>
        </w:rPr>
        <w:t>-</w:t>
      </w:r>
      <w:r>
        <w:rPr>
          <w:rFonts w:hint="eastAsia" w:asciiTheme="minorEastAsia" w:hAnsiTheme="minorEastAsia" w:cstheme="minorEastAsia"/>
          <w:color w:val="auto"/>
          <w:kern w:val="0"/>
          <w:sz w:val="24"/>
          <w:szCs w:val="24"/>
          <w:highlight w:val="none"/>
        </w:rPr>
        <w:t>100mA可调，</w:t>
      </w:r>
      <w:r>
        <w:rPr>
          <w:rFonts w:hint="eastAsia" w:asciiTheme="minorEastAsia" w:hAnsiTheme="minorEastAsia" w:cstheme="minorEastAsia"/>
          <w:color w:val="auto"/>
          <w:kern w:val="0"/>
          <w:sz w:val="24"/>
          <w:szCs w:val="24"/>
          <w:highlight w:val="none"/>
          <w:lang w:eastAsia="zh-CN"/>
        </w:rPr>
        <w:t>调节精度≤</w:t>
      </w:r>
      <w:r>
        <w:rPr>
          <w:rFonts w:hint="eastAsia" w:asciiTheme="minorEastAsia" w:hAnsiTheme="minorEastAsia" w:cstheme="minorEastAsia"/>
          <w:color w:val="auto"/>
          <w:kern w:val="0"/>
          <w:sz w:val="24"/>
          <w:szCs w:val="24"/>
          <w:highlight w:val="none"/>
          <w:lang w:val="en-US" w:eastAsia="zh-CN"/>
        </w:rPr>
        <w:t>0.5mA</w:t>
      </w:r>
    </w:p>
    <w:p>
      <w:pPr>
        <w:pStyle w:val="99"/>
        <w:numPr>
          <w:ilvl w:val="0"/>
          <w:numId w:val="15"/>
        </w:numPr>
        <w:spacing w:line="360" w:lineRule="auto"/>
        <w:ind w:firstLineChars="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电刺激脉冲频率：</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lang w:val="en-US" w:eastAsia="zh-CN"/>
        </w:rPr>
        <w:t>1-2000HZ</w:t>
      </w:r>
      <w:r>
        <w:rPr>
          <w:rFonts w:hint="eastAsia" w:asciiTheme="minorEastAsia" w:hAnsiTheme="minorEastAsia" w:cstheme="minorEastAsia"/>
          <w:color w:val="auto"/>
          <w:kern w:val="0"/>
          <w:sz w:val="24"/>
          <w:szCs w:val="24"/>
          <w:highlight w:val="none"/>
        </w:rPr>
        <w:t>，</w:t>
      </w:r>
      <w:r>
        <w:rPr>
          <w:rFonts w:hint="eastAsia" w:asciiTheme="minorEastAsia" w:hAnsiTheme="minorEastAsia" w:cstheme="minorEastAsia"/>
          <w:color w:val="auto"/>
          <w:kern w:val="0"/>
          <w:sz w:val="24"/>
          <w:szCs w:val="24"/>
          <w:highlight w:val="none"/>
          <w:lang w:eastAsia="zh-CN"/>
        </w:rPr>
        <w:t>其中至少</w:t>
      </w:r>
      <w:r>
        <w:rPr>
          <w:rFonts w:hint="eastAsia" w:asciiTheme="minorEastAsia" w:hAnsiTheme="minorEastAsia" w:cstheme="minorEastAsia"/>
          <w:color w:val="auto"/>
          <w:kern w:val="0"/>
          <w:sz w:val="24"/>
          <w:szCs w:val="24"/>
          <w:highlight w:val="none"/>
          <w:lang w:val="en-US" w:eastAsia="zh-CN"/>
        </w:rPr>
        <w:t>1-400Hz</w:t>
      </w:r>
      <w:r>
        <w:rPr>
          <w:rFonts w:hint="eastAsia" w:asciiTheme="minorEastAsia" w:hAnsiTheme="minorEastAsia" w:cstheme="minorEastAsia"/>
          <w:color w:val="auto"/>
          <w:kern w:val="0"/>
          <w:sz w:val="24"/>
          <w:szCs w:val="24"/>
          <w:highlight w:val="none"/>
        </w:rPr>
        <w:t>可调，调节</w:t>
      </w:r>
      <w:r>
        <w:rPr>
          <w:rFonts w:hint="eastAsia" w:asciiTheme="minorEastAsia" w:hAnsiTheme="minorEastAsia" w:cstheme="minorEastAsia"/>
          <w:color w:val="auto"/>
          <w:kern w:val="0"/>
          <w:sz w:val="24"/>
          <w:szCs w:val="24"/>
          <w:highlight w:val="none"/>
          <w:lang w:eastAsia="zh-CN"/>
        </w:rPr>
        <w:t>精度</w:t>
      </w:r>
      <w:r>
        <w:rPr>
          <w:rFonts w:hint="eastAsia" w:asciiTheme="minorEastAsia" w:hAnsiTheme="minorEastAsia" w:cstheme="minorEastAsia"/>
          <w:color w:val="auto"/>
          <w:kern w:val="0"/>
          <w:sz w:val="24"/>
          <w:szCs w:val="24"/>
          <w:highlight w:val="none"/>
        </w:rPr>
        <w:t>1Hz</w:t>
      </w:r>
    </w:p>
    <w:p>
      <w:pPr>
        <w:pStyle w:val="130"/>
        <w:numPr>
          <w:ilvl w:val="0"/>
          <w:numId w:val="15"/>
        </w:numPr>
        <w:spacing w:line="360" w:lineRule="auto"/>
        <w:ind w:firstLineChars="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电刺激脉冲宽度：</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lang w:val="en-US" w:eastAsia="zh-CN"/>
        </w:rPr>
        <w:t>50</w:t>
      </w:r>
      <w:r>
        <w:rPr>
          <w:rFonts w:hint="eastAsia" w:asciiTheme="minorEastAsia" w:hAnsiTheme="minorEastAsia" w:eastAsiaTheme="minorEastAsia"/>
          <w:color w:val="auto"/>
          <w:kern w:val="0"/>
          <w:sz w:val="24"/>
          <w:szCs w:val="24"/>
          <w:highlight w:val="none"/>
        </w:rPr>
        <w:t>us-</w:t>
      </w:r>
      <w:r>
        <w:rPr>
          <w:rFonts w:hint="eastAsia" w:asciiTheme="minorEastAsia" w:hAnsiTheme="minorEastAsia" w:eastAsiaTheme="minorEastAsia"/>
          <w:color w:val="auto"/>
          <w:kern w:val="0"/>
          <w:sz w:val="24"/>
          <w:szCs w:val="24"/>
          <w:highlight w:val="none"/>
          <w:lang w:val="en-US" w:eastAsia="zh-CN"/>
        </w:rPr>
        <w:t>1000u</w:t>
      </w:r>
      <w:r>
        <w:rPr>
          <w:rFonts w:hint="eastAsia" w:asciiTheme="minorEastAsia" w:hAnsiTheme="minorEastAsia" w:eastAsiaTheme="minorEastAsia"/>
          <w:color w:val="auto"/>
          <w:kern w:val="0"/>
          <w:sz w:val="24"/>
          <w:szCs w:val="24"/>
          <w:highlight w:val="none"/>
        </w:rPr>
        <w:t>s，</w:t>
      </w:r>
      <w:r>
        <w:rPr>
          <w:rFonts w:hint="eastAsia" w:asciiTheme="minorEastAsia" w:hAnsiTheme="minorEastAsia" w:eastAsiaTheme="minorEastAsia"/>
          <w:color w:val="auto"/>
          <w:kern w:val="0"/>
          <w:sz w:val="24"/>
          <w:szCs w:val="24"/>
          <w:highlight w:val="none"/>
          <w:lang w:eastAsia="zh-CN"/>
        </w:rPr>
        <w:t>可调节</w:t>
      </w:r>
    </w:p>
    <w:p>
      <w:pPr>
        <w:pStyle w:val="130"/>
        <w:numPr>
          <w:ilvl w:val="0"/>
          <w:numId w:val="15"/>
        </w:numPr>
        <w:spacing w:line="360" w:lineRule="auto"/>
        <w:ind w:firstLineChars="0"/>
        <w:jc w:val="left"/>
        <w:rPr>
          <w:rFonts w:ascii="宋体" w:hAnsi="宋体"/>
          <w:kern w:val="0"/>
          <w:sz w:val="24"/>
          <w:szCs w:val="24"/>
          <w:highlight w:val="none"/>
        </w:rPr>
      </w:pPr>
      <w:r>
        <w:rPr>
          <w:rFonts w:hint="eastAsia" w:ascii="宋体" w:hAnsi="宋体" w:cs="宋体"/>
          <w:kern w:val="0"/>
          <w:sz w:val="24"/>
          <w:szCs w:val="24"/>
          <w:highlight w:val="none"/>
        </w:rPr>
        <w:t>筛查模式</w:t>
      </w:r>
      <w:r>
        <w:rPr>
          <w:rFonts w:hint="eastAsia" w:ascii="宋体" w:hAnsi="宋体"/>
          <w:sz w:val="24"/>
          <w:szCs w:val="24"/>
          <w:highlight w:val="none"/>
        </w:rPr>
        <w:t>主要参数：Ⅰ类肌纤维肌力，Ⅰ类肌纤维疲劳度，Ⅱ类肌纤维肌力，Ⅱ类肌纤维疲劳度，肌电位，阴道收缩力（压力评估：厘米水柱）、A3反射指标</w:t>
      </w:r>
      <w:r>
        <w:rPr>
          <w:rFonts w:hint="eastAsia" w:ascii="宋体" w:hAnsi="宋体"/>
          <w:sz w:val="24"/>
          <w:szCs w:val="24"/>
          <w:highlight w:val="none"/>
          <w:lang w:eastAsia="zh-CN"/>
        </w:rPr>
        <w:t>等</w:t>
      </w:r>
      <w:r>
        <w:rPr>
          <w:rFonts w:hint="eastAsia" w:ascii="宋体" w:hAnsi="宋体"/>
          <w:sz w:val="24"/>
          <w:szCs w:val="24"/>
          <w:highlight w:val="none"/>
        </w:rPr>
        <w:t>。</w:t>
      </w:r>
    </w:p>
    <w:p>
      <w:pPr>
        <w:pStyle w:val="130"/>
        <w:numPr>
          <w:ilvl w:val="0"/>
          <w:numId w:val="15"/>
        </w:numPr>
        <w:spacing w:line="360" w:lineRule="auto"/>
        <w:ind w:firstLineChars="0"/>
        <w:jc w:val="left"/>
        <w:rPr>
          <w:rFonts w:ascii="宋体" w:hAnsi="宋体"/>
          <w:kern w:val="0"/>
          <w:sz w:val="24"/>
          <w:szCs w:val="24"/>
          <w:highlight w:val="none"/>
        </w:rPr>
      </w:pPr>
      <w:r>
        <w:rPr>
          <w:rFonts w:hint="eastAsia" w:asciiTheme="minorEastAsia" w:hAnsiTheme="minorEastAsia" w:eastAsiaTheme="minorEastAsia"/>
          <w:color w:val="auto"/>
          <w:kern w:val="0"/>
          <w:sz w:val="24"/>
          <w:szCs w:val="24"/>
          <w:highlight w:val="none"/>
        </w:rPr>
        <w:t>盆底电生理治疗指标要求： 治疗方案及治疗参数均可修改、多种治疗方式，治疗模式</w:t>
      </w:r>
      <w:r>
        <w:rPr>
          <w:rFonts w:hint="eastAsia" w:asciiTheme="minorEastAsia" w:hAnsiTheme="minorEastAsia" w:eastAsiaTheme="minorEastAsia"/>
          <w:color w:val="auto"/>
          <w:kern w:val="0"/>
          <w:sz w:val="24"/>
          <w:szCs w:val="24"/>
          <w:highlight w:val="none"/>
          <w:lang w:eastAsia="zh-CN"/>
        </w:rPr>
        <w:t>不低于</w:t>
      </w:r>
      <w:r>
        <w:rPr>
          <w:rFonts w:hint="eastAsia" w:asciiTheme="minorEastAsia" w:hAnsiTheme="minorEastAsia" w:eastAsiaTheme="minorEastAsia"/>
          <w:color w:val="auto"/>
          <w:kern w:val="0"/>
          <w:sz w:val="24"/>
          <w:szCs w:val="24"/>
          <w:highlight w:val="none"/>
        </w:rPr>
        <w:t>11 种，包括：电刺激、条件性电刺激、阈值电刺激、反射采集、负反射采集、反射采集-电刺激、场景反射、排尿记录表、镇痛、盆底肌肉康复器、盆底肌肉检查康复器治疗</w:t>
      </w:r>
      <w:r>
        <w:rPr>
          <w:rFonts w:hint="eastAsia" w:asciiTheme="minorEastAsia" w:hAnsiTheme="minorEastAsia" w:eastAsiaTheme="minorEastAsia"/>
          <w:color w:val="auto"/>
          <w:kern w:val="0"/>
          <w:sz w:val="24"/>
          <w:szCs w:val="24"/>
          <w:highlight w:val="none"/>
          <w:lang w:eastAsia="zh-CN"/>
        </w:rPr>
        <w:t>等</w:t>
      </w:r>
      <w:r>
        <w:rPr>
          <w:rFonts w:hint="eastAsia" w:asciiTheme="minorEastAsia" w:hAnsiTheme="minorEastAsia" w:eastAsiaTheme="minorEastAsia"/>
          <w:color w:val="auto"/>
          <w:kern w:val="0"/>
          <w:sz w:val="24"/>
          <w:szCs w:val="24"/>
          <w:highlight w:val="none"/>
        </w:rPr>
        <w:t>。</w:t>
      </w:r>
    </w:p>
    <w:p>
      <w:pPr>
        <w:pStyle w:val="99"/>
        <w:numPr>
          <w:ilvl w:val="0"/>
          <w:numId w:val="15"/>
        </w:numPr>
        <w:spacing w:line="360" w:lineRule="auto"/>
        <w:ind w:firstLineChars="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一体化医学推车，可移动</w:t>
      </w:r>
    </w:p>
    <w:p>
      <w:pPr>
        <w:pStyle w:val="99"/>
        <w:numPr>
          <w:ilvl w:val="0"/>
          <w:numId w:val="0"/>
        </w:numPr>
        <w:spacing w:line="360" w:lineRule="auto"/>
        <w:ind w:leftChars="0"/>
        <w:rPr>
          <w:rFonts w:hint="eastAsia" w:eastAsia="宋体" w:asciiTheme="minorEastAsia" w:hAnsiTheme="minorEastAsia" w:cstheme="minorEastAsia"/>
          <w:b/>
          <w:bCs/>
          <w:kern w:val="0"/>
          <w:sz w:val="24"/>
          <w:szCs w:val="24"/>
          <w:highlight w:val="none"/>
          <w:lang w:eastAsia="zh-CN"/>
        </w:rPr>
      </w:pPr>
      <w:r>
        <w:rPr>
          <w:rFonts w:hint="eastAsia" w:asciiTheme="minorEastAsia" w:hAnsiTheme="minorEastAsia" w:cstheme="minorEastAsia"/>
          <w:b/>
          <w:bCs/>
          <w:kern w:val="0"/>
          <w:sz w:val="24"/>
          <w:szCs w:val="24"/>
          <w:highlight w:val="none"/>
          <w:lang w:eastAsia="zh-CN"/>
        </w:rPr>
        <w:t>（</w:t>
      </w:r>
      <w:r>
        <w:rPr>
          <w:rFonts w:hint="eastAsia" w:asciiTheme="minorEastAsia" w:hAnsiTheme="minorEastAsia" w:cstheme="minorEastAsia"/>
          <w:b/>
          <w:bCs/>
          <w:kern w:val="0"/>
          <w:sz w:val="24"/>
          <w:szCs w:val="24"/>
          <w:highlight w:val="none"/>
          <w:lang w:val="en-US" w:eastAsia="zh-CN"/>
        </w:rPr>
        <w:t>2</w:t>
      </w:r>
      <w:r>
        <w:rPr>
          <w:rFonts w:hint="eastAsia" w:asciiTheme="minorEastAsia" w:hAnsiTheme="minorEastAsia" w:cstheme="minorEastAsia"/>
          <w:b/>
          <w:bCs/>
          <w:kern w:val="0"/>
          <w:sz w:val="24"/>
          <w:szCs w:val="24"/>
          <w:highlight w:val="none"/>
          <w:lang w:eastAsia="zh-CN"/>
        </w:rPr>
        <w:t>）功能需求：</w:t>
      </w:r>
    </w:p>
    <w:p>
      <w:pPr>
        <w:pStyle w:val="99"/>
        <w:numPr>
          <w:ilvl w:val="0"/>
          <w:numId w:val="16"/>
        </w:numPr>
        <w:spacing w:line="360" w:lineRule="auto"/>
        <w:ind w:left="425" w:leftChars="0" w:hanging="425" w:firstLineChars="0"/>
        <w:rPr>
          <w:rFonts w:hint="eastAsia"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适用范围：采用电刺激疗法对神经和肌肉软组织进行治疗，具有缓解疼痛、改善肌肉健康状态、提高局部机能、促进软组织损伤和刺激细胞恢复功能，可用于术后恢复及康复治疗。</w:t>
      </w:r>
    </w:p>
    <w:p>
      <w:pPr>
        <w:pStyle w:val="99"/>
        <w:numPr>
          <w:ilvl w:val="0"/>
          <w:numId w:val="16"/>
        </w:numPr>
        <w:spacing w:line="360" w:lineRule="auto"/>
        <w:ind w:left="425" w:leftChars="0" w:hanging="425" w:firstLineChars="0"/>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采用国际通用的会阴肌力测试法，压力探头自动校准功能，边评估边治疗，可以根据评估结果实时调整治疗方案。</w:t>
      </w:r>
    </w:p>
    <w:p>
      <w:pPr>
        <w:pStyle w:val="99"/>
        <w:numPr>
          <w:ilvl w:val="0"/>
          <w:numId w:val="16"/>
        </w:numPr>
        <w:spacing w:line="360" w:lineRule="auto"/>
        <w:ind w:left="425" w:leftChars="0" w:hanging="425" w:firstLineChars="0"/>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多媒体肌电生物反馈训练，具备音乐反馈、动画反馈功能；声音反馈（可调）：实时提示患者是否达到设定的阈值；</w:t>
      </w:r>
    </w:p>
    <w:p>
      <w:pPr>
        <w:pStyle w:val="99"/>
        <w:numPr>
          <w:ilvl w:val="0"/>
          <w:numId w:val="16"/>
        </w:numPr>
        <w:spacing w:line="360" w:lineRule="auto"/>
        <w:ind w:left="425" w:leftChars="0" w:hanging="425" w:firstLineChars="0"/>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扫描功能：记录患者训练过程中肌肉收缩的最大值，最小值和平均值；缩放功能：可以轻松的将反馈数据和图标画面进行缩放，从而获得清晰直观的数据反馈；清晰的图像记录方式，包括线性和柱状图表；</w:t>
      </w:r>
    </w:p>
    <w:p>
      <w:pPr>
        <w:pStyle w:val="99"/>
        <w:numPr>
          <w:ilvl w:val="0"/>
          <w:numId w:val="16"/>
        </w:numPr>
        <w:spacing w:line="360" w:lineRule="auto"/>
        <w:ind w:left="425" w:leftChars="0" w:hanging="425" w:firstLineChars="0"/>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可选择不同的智能传感器探针，满足不同治疗师的习惯和患者的要求；全中文操作界面。</w:t>
      </w:r>
    </w:p>
    <w:p>
      <w:pPr>
        <w:pStyle w:val="99"/>
        <w:numPr>
          <w:ilvl w:val="0"/>
          <w:numId w:val="0"/>
        </w:numPr>
        <w:spacing w:line="360" w:lineRule="auto"/>
        <w:ind w:leftChars="0"/>
        <w:rPr>
          <w:rFonts w:hint="default" w:asciiTheme="minorEastAsia" w:hAnsiTheme="minorEastAsia" w:cstheme="minorEastAsia"/>
          <w:b/>
          <w:bCs/>
          <w:kern w:val="0"/>
          <w:sz w:val="24"/>
          <w:szCs w:val="24"/>
          <w:highlight w:val="none"/>
          <w:lang w:val="en-US" w:eastAsia="zh-CN"/>
        </w:rPr>
      </w:pPr>
      <w:r>
        <w:rPr>
          <w:rFonts w:hint="eastAsia" w:asciiTheme="minorEastAsia" w:hAnsiTheme="minorEastAsia" w:cstheme="minorEastAsia"/>
          <w:b/>
          <w:bCs/>
          <w:kern w:val="0"/>
          <w:sz w:val="24"/>
          <w:szCs w:val="24"/>
          <w:highlight w:val="none"/>
          <w:lang w:eastAsia="zh-CN"/>
        </w:rPr>
        <w:t>配套耗材单独报价，不计入总报价。质保≥</w:t>
      </w:r>
      <w:r>
        <w:rPr>
          <w:rFonts w:hint="eastAsia" w:asciiTheme="minorEastAsia" w:hAnsiTheme="minorEastAsia" w:cstheme="minorEastAsia"/>
          <w:b/>
          <w:bCs/>
          <w:kern w:val="0"/>
          <w:sz w:val="24"/>
          <w:szCs w:val="24"/>
          <w:highlight w:val="none"/>
          <w:lang w:val="en-US" w:eastAsia="zh-CN"/>
        </w:rPr>
        <w:t>3年，交货期厂家竞报</w:t>
      </w:r>
    </w:p>
    <w:p>
      <w:pPr>
        <w:spacing w:line="360" w:lineRule="auto"/>
        <w:rPr>
          <w:rFonts w:hint="eastAsia" w:ascii="宋体" w:hAnsi="宋体" w:eastAsia="宋体" w:cs="宋体"/>
          <w:b/>
          <w:sz w:val="24"/>
          <w:szCs w:val="24"/>
          <w:highlight w:val="none"/>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w:t>
      </w: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rPr>
        <w:t>：设备清单及技术要求</w:t>
      </w:r>
    </w:p>
    <w:p>
      <w:pPr>
        <w:spacing w:line="360" w:lineRule="auto"/>
        <w:ind w:firstLine="120" w:firstLineChars="5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0676-196008ZB018028</w:t>
      </w:r>
      <w:r>
        <w:rPr>
          <w:rFonts w:hint="eastAsia" w:ascii="宋体" w:hAnsi="宋体" w:eastAsia="宋体" w:cs="宋体"/>
          <w:b/>
          <w:bCs/>
          <w:sz w:val="24"/>
          <w:szCs w:val="24"/>
          <w:highlight w:val="none"/>
        </w:rPr>
        <w:t>-0</w:t>
      </w:r>
      <w:r>
        <w:rPr>
          <w:rFonts w:hint="eastAsia" w:ascii="宋体" w:hAnsi="宋体" w:cs="宋体"/>
          <w:b/>
          <w:bCs/>
          <w:sz w:val="24"/>
          <w:szCs w:val="24"/>
          <w:highlight w:val="none"/>
          <w:lang w:val="en-US" w:eastAsia="zh-CN"/>
        </w:rPr>
        <w:t>3</w:t>
      </w:r>
    </w:p>
    <w:p>
      <w:pPr>
        <w:spacing w:line="360" w:lineRule="auto"/>
        <w:ind w:firstLine="120" w:firstLineChars="5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 xml:space="preserve">二、设备名称： </w:t>
      </w:r>
      <w:r>
        <w:rPr>
          <w:rFonts w:hint="eastAsia" w:ascii="宋体" w:hAnsi="宋体" w:cs="宋体"/>
          <w:b/>
          <w:bCs/>
          <w:sz w:val="24"/>
          <w:szCs w:val="24"/>
          <w:highlight w:val="none"/>
          <w:lang w:eastAsia="zh-CN"/>
        </w:rPr>
        <w:t>实时动态胰岛素监测系统</w:t>
      </w:r>
      <w:r>
        <w:rPr>
          <w:rFonts w:hint="eastAsia" w:ascii="宋体" w:hAnsi="宋体" w:eastAsia="宋体" w:cs="宋体"/>
          <w:b/>
          <w:bCs/>
          <w:sz w:val="24"/>
          <w:szCs w:val="24"/>
          <w:highlight w:val="none"/>
        </w:rPr>
        <w:t xml:space="preserve"> </w:t>
      </w:r>
      <w:r>
        <w:rPr>
          <w:rFonts w:hint="eastAsia" w:ascii="宋体" w:hAnsi="宋体" w:cs="宋体"/>
          <w:b/>
          <w:bCs/>
          <w:sz w:val="24"/>
          <w:szCs w:val="24"/>
          <w:highlight w:val="none"/>
          <w:lang w:eastAsia="zh-CN"/>
        </w:rPr>
        <w:t>（可采进口）</w:t>
      </w:r>
    </w:p>
    <w:p>
      <w:pPr>
        <w:spacing w:line="360" w:lineRule="auto"/>
        <w:ind w:firstLine="120" w:firstLineChars="5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1批</w:t>
      </w:r>
    </w:p>
    <w:p>
      <w:pPr>
        <w:spacing w:line="360" w:lineRule="auto"/>
        <w:ind w:left="10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highlight w:val="none"/>
        </w:rPr>
      </w:pPr>
      <w:r>
        <w:rPr>
          <w:rFonts w:hint="eastAsia" w:ascii="宋体" w:hAnsi="宋体"/>
          <w:sz w:val="24"/>
          <w:szCs w:val="24"/>
          <w:highlight w:val="none"/>
          <w:lang w:eastAsia="zh-CN"/>
        </w:rPr>
        <w:t>整体要求</w:t>
      </w:r>
      <w:r>
        <w:rPr>
          <w:rFonts w:hint="eastAsia" w:ascii="宋体" w:hAnsi="宋体"/>
          <w:sz w:val="24"/>
          <w:szCs w:val="24"/>
          <w:highlight w:val="none"/>
        </w:rPr>
        <w:t>：</w:t>
      </w:r>
      <w:r>
        <w:rPr>
          <w:rFonts w:hint="eastAsia" w:ascii="宋体" w:hAnsi="宋体"/>
          <w:sz w:val="24"/>
          <w:szCs w:val="24"/>
          <w:highlight w:val="none"/>
          <w:lang w:eastAsia="zh-CN"/>
        </w:rPr>
        <w:t>实时动态胰岛素监测工作站</w:t>
      </w:r>
      <w:r>
        <w:rPr>
          <w:rFonts w:hint="eastAsia" w:ascii="宋体" w:hAnsi="宋体"/>
          <w:sz w:val="24"/>
          <w:szCs w:val="24"/>
          <w:highlight w:val="none"/>
        </w:rPr>
        <w:t>1套</w:t>
      </w:r>
      <w:r>
        <w:rPr>
          <w:rFonts w:hint="eastAsia" w:ascii="宋体" w:hAnsi="宋体"/>
          <w:sz w:val="24"/>
          <w:szCs w:val="24"/>
          <w:highlight w:val="none"/>
          <w:lang w:val="en-US" w:eastAsia="zh-CN"/>
        </w:rPr>
        <w:t>+</w:t>
      </w:r>
      <w:r>
        <w:rPr>
          <w:rFonts w:hint="eastAsia" w:ascii="宋体" w:hAnsi="宋体"/>
          <w:sz w:val="24"/>
          <w:szCs w:val="24"/>
          <w:highlight w:val="none"/>
        </w:rPr>
        <w:t>实时动态胰岛素泵1台＋胰岛素泵15台</w:t>
      </w:r>
    </w:p>
    <w:p>
      <w:pPr>
        <w:pStyle w:val="99"/>
        <w:numPr>
          <w:ilvl w:val="0"/>
          <w:numId w:val="0"/>
        </w:numPr>
        <w:spacing w:line="360" w:lineRule="auto"/>
        <w:ind w:leftChars="0"/>
        <w:rPr>
          <w:rFonts w:hint="default" w:asciiTheme="minorEastAsia" w:hAnsiTheme="minorEastAsia" w:cstheme="minorEastAsia"/>
          <w:b/>
          <w:bCs/>
          <w:kern w:val="0"/>
          <w:sz w:val="24"/>
          <w:szCs w:val="24"/>
          <w:highlight w:val="none"/>
          <w:lang w:val="en-US" w:eastAsia="zh-CN"/>
        </w:rPr>
      </w:pPr>
      <w:r>
        <w:rPr>
          <w:rFonts w:hint="eastAsia" w:ascii="宋体" w:hAnsi="宋体"/>
          <w:sz w:val="24"/>
          <w:szCs w:val="24"/>
          <w:highlight w:val="none"/>
          <w:lang w:eastAsia="zh-CN"/>
        </w:rPr>
        <w:t>质保≥</w:t>
      </w:r>
      <w:r>
        <w:rPr>
          <w:rFonts w:hint="eastAsia" w:ascii="宋体" w:hAnsi="宋体"/>
          <w:sz w:val="24"/>
          <w:szCs w:val="24"/>
          <w:highlight w:val="none"/>
          <w:lang w:val="en-US" w:eastAsia="zh-CN"/>
        </w:rPr>
        <w:t xml:space="preserve">5年 </w:t>
      </w:r>
      <w:r>
        <w:rPr>
          <w:rFonts w:hint="eastAsia" w:asciiTheme="minorEastAsia" w:hAnsiTheme="minorEastAsia" w:cstheme="minorEastAsia"/>
          <w:b/>
          <w:bCs/>
          <w:kern w:val="0"/>
          <w:sz w:val="24"/>
          <w:szCs w:val="24"/>
          <w:highlight w:val="none"/>
          <w:lang w:val="en-US" w:eastAsia="zh-CN"/>
        </w:rPr>
        <w:t>交货期厂家竞报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highlight w:val="none"/>
        </w:rPr>
      </w:pPr>
      <w:r>
        <w:rPr>
          <w:rFonts w:hint="eastAsia" w:ascii="宋体" w:hAnsi="宋体"/>
          <w:sz w:val="24"/>
          <w:szCs w:val="24"/>
          <w:highlight w:val="none"/>
        </w:rPr>
        <w:t>适用范围：儿童及成人糖尿病患者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b/>
          <w:bCs/>
          <w:sz w:val="28"/>
          <w:szCs w:val="28"/>
          <w:highlight w:val="none"/>
          <w:lang w:val="en-US" w:eastAsia="zh-CN"/>
        </w:rPr>
      </w:pPr>
      <w:r>
        <w:rPr>
          <w:rFonts w:hint="eastAsia"/>
          <w:b/>
          <w:bCs/>
          <w:sz w:val="28"/>
          <w:szCs w:val="28"/>
          <w:highlight w:val="none"/>
          <w:lang w:val="en-US" w:eastAsia="zh-CN"/>
        </w:rPr>
        <w:t>1.实</w:t>
      </w:r>
      <w:r>
        <w:rPr>
          <w:rFonts w:hint="eastAsia" w:ascii="宋体" w:hAnsi="宋体"/>
          <w:b/>
          <w:bCs/>
          <w:sz w:val="28"/>
          <w:szCs w:val="28"/>
          <w:highlight w:val="none"/>
          <w:lang w:eastAsia="zh-CN"/>
        </w:rPr>
        <w:t>时动态胰岛素监测工作站</w:t>
      </w:r>
      <w:r>
        <w:rPr>
          <w:rFonts w:hint="eastAsia" w:ascii="宋体" w:hAnsi="宋体"/>
          <w:b/>
          <w:bCs/>
          <w:sz w:val="28"/>
          <w:szCs w:val="28"/>
          <w:highlight w:val="none"/>
          <w:lang w:val="en-US" w:eastAsia="zh-CN"/>
        </w:rPr>
        <w:t>1套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rPr>
      </w:pPr>
      <w:r>
        <w:rPr>
          <w:rFonts w:hint="eastAsia"/>
          <w:sz w:val="24"/>
          <w:szCs w:val="24"/>
          <w:highlight w:val="none"/>
          <w:lang w:val="en-US" w:eastAsia="zh-CN"/>
        </w:rPr>
        <w:t>1.1</w:t>
      </w:r>
      <w:r>
        <w:rPr>
          <w:rFonts w:hint="eastAsia"/>
          <w:sz w:val="24"/>
          <w:szCs w:val="24"/>
          <w:highlight w:val="none"/>
        </w:rPr>
        <w:t>工作站软件端口免费开放，可多台主机在工作站软件上下载数据分析</w:t>
      </w:r>
      <w:r>
        <w:rPr>
          <w:rFonts w:hint="eastAsia"/>
          <w:sz w:val="24"/>
          <w:szCs w:val="24"/>
          <w:highlight w:val="none"/>
          <w:lang w:eastAsia="zh-CN"/>
        </w:rPr>
        <w:t>，可</w:t>
      </w:r>
      <w:r>
        <w:rPr>
          <w:rFonts w:hint="eastAsia"/>
          <w:sz w:val="24"/>
          <w:szCs w:val="24"/>
          <w:highlight w:val="none"/>
        </w:rPr>
        <w:t>同时数据可下载同品牌胰岛素泵的数据分析。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rPr>
      </w:pPr>
      <w:r>
        <w:rPr>
          <w:rFonts w:hint="eastAsia"/>
          <w:sz w:val="24"/>
          <w:szCs w:val="24"/>
          <w:highlight w:val="none"/>
          <w:lang w:val="en-US" w:eastAsia="zh-CN"/>
        </w:rPr>
        <w:t>1.2</w:t>
      </w:r>
      <w:r>
        <w:rPr>
          <w:rFonts w:hint="eastAsia"/>
          <w:sz w:val="24"/>
          <w:szCs w:val="24"/>
          <w:highlight w:val="none"/>
        </w:rPr>
        <w:t>工作站包含电脑、打印机等硬件，无线接收胰岛素泵数据和分析统计功能。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4"/>
          <w:szCs w:val="24"/>
          <w:highlight w:val="none"/>
          <w:lang w:val="en-US" w:eastAsia="zh-CN"/>
        </w:rPr>
      </w:pPr>
      <w:r>
        <w:rPr>
          <w:rFonts w:hint="eastAsia"/>
          <w:sz w:val="24"/>
          <w:szCs w:val="24"/>
          <w:highlight w:val="none"/>
          <w:lang w:val="en-US" w:eastAsia="zh-CN"/>
        </w:rPr>
        <w:t>1.3</w:t>
      </w:r>
      <w:r>
        <w:rPr>
          <w:rFonts w:hint="eastAsia" w:ascii="宋体" w:hAnsi="宋体" w:cs="宋体"/>
          <w:kern w:val="0"/>
          <w:sz w:val="24"/>
          <w:szCs w:val="24"/>
          <w:highlight w:val="none"/>
          <w:lang w:eastAsia="zh-CN"/>
        </w:rPr>
        <w:t>糖尿病管理软件，要求整合多种糖尿病监测和治疗相关信息，包括血糖信息、胰岛素剂量、碳水化合物摄入量等，可辅助糖尿病治疗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Arial" w:hAnsi="Arial" w:cs="Arial"/>
          <w:kern w:val="0"/>
          <w:sz w:val="24"/>
          <w:szCs w:val="24"/>
          <w:highlight w:val="none"/>
          <w:lang w:val="en-US" w:eastAsia="zh-CN"/>
        </w:rPr>
      </w:pPr>
      <w:r>
        <w:rPr>
          <w:rFonts w:hint="eastAsia" w:ascii="Arial" w:hAnsi="Arial" w:cs="Arial"/>
          <w:kern w:val="0"/>
          <w:sz w:val="24"/>
          <w:szCs w:val="24"/>
          <w:highlight w:val="none"/>
          <w:lang w:val="en-US" w:eastAsia="zh-CN"/>
        </w:rPr>
        <w:t>1.4具有</w:t>
      </w:r>
      <w:r>
        <w:rPr>
          <w:rFonts w:hint="eastAsia" w:ascii="宋体" w:hAnsi="宋体" w:cs="宋体"/>
          <w:kern w:val="0"/>
          <w:sz w:val="24"/>
          <w:szCs w:val="24"/>
          <w:highlight w:val="none"/>
        </w:rPr>
        <w:t>实时动态血糖监测功能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Arial" w:hAnsi="Arial" w:cs="Arial"/>
          <w:kern w:val="0"/>
          <w:sz w:val="24"/>
          <w:szCs w:val="24"/>
          <w:highlight w:val="none"/>
          <w:lang w:val="en-US" w:eastAsia="zh-CN"/>
        </w:rPr>
      </w:pPr>
      <w:r>
        <w:rPr>
          <w:rFonts w:hint="eastAsia" w:ascii="Arial" w:hAnsi="Arial" w:cs="Arial"/>
          <w:kern w:val="0"/>
          <w:sz w:val="24"/>
          <w:szCs w:val="24"/>
          <w:highlight w:val="none"/>
          <w:lang w:val="en-US" w:eastAsia="zh-CN"/>
        </w:rPr>
        <w:t>1.5具有探头数据无线自动传输功能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Arial" w:hAnsi="Arial" w:cs="Arial"/>
          <w:kern w:val="0"/>
          <w:sz w:val="24"/>
          <w:szCs w:val="24"/>
          <w:highlight w:val="none"/>
          <w:lang w:val="en-US" w:eastAsia="zh-CN"/>
        </w:rPr>
      </w:pPr>
      <w:r>
        <w:rPr>
          <w:rFonts w:hint="eastAsia" w:ascii="Arial" w:hAnsi="Arial" w:cs="Arial"/>
          <w:kern w:val="0"/>
          <w:sz w:val="24"/>
          <w:szCs w:val="24"/>
          <w:highlight w:val="none"/>
          <w:lang w:val="en-US" w:eastAsia="zh-CN"/>
        </w:rPr>
        <w:t>1.6具有探头报警休眠设置功能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1.7具有发送器ID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1.8传输方式：无线电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1.9具有探头数据下载功能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1.10具有泵数据下载功能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4"/>
          <w:szCs w:val="24"/>
          <w:highlight w:val="none"/>
          <w:lang w:val="en-US" w:eastAsia="zh-CN"/>
        </w:rPr>
      </w:pPr>
      <w:r>
        <w:rPr>
          <w:rFonts w:hint="eastAsia"/>
          <w:sz w:val="24"/>
          <w:szCs w:val="24"/>
          <w:highlight w:val="none"/>
          <w:lang w:val="en-US" w:eastAsia="zh-CN"/>
        </w:rPr>
        <w:t>1.11可显示每日数据总值/均值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
          <w:bCs/>
          <w:sz w:val="28"/>
          <w:szCs w:val="28"/>
          <w:highlight w:val="none"/>
          <w:lang w:val="en-US" w:eastAsia="zh-CN"/>
        </w:rPr>
      </w:pPr>
      <w:r>
        <w:rPr>
          <w:rFonts w:hint="eastAsia"/>
          <w:b/>
          <w:bCs/>
          <w:sz w:val="28"/>
          <w:szCs w:val="28"/>
          <w:highlight w:val="none"/>
          <w:lang w:val="en-US" w:eastAsia="zh-CN"/>
        </w:rPr>
        <w:t>2.实时动态胰岛素泵1台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2.1基础率时段：≥48段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2.2声响大剂量：0.1-2.0 U 增量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2.3餐前大剂量：4种，常规、方、双波和声响大剂量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2.4适用胰岛素类型：短效和速效胰岛素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2.5血糖目标报警界限：(小于5.0 or 高于 7.8 mmol/L)</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2.6图形显示历史血糖值：3小时或24小时历史血糖图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2.7具有实时动态血糖监测功能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2.9具有探头报警休眠设置功能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2.10具有发送器ID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2.11具有泵数据下载功能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8"/>
          <w:szCs w:val="28"/>
          <w:highlight w:val="none"/>
          <w:lang w:val="en-US" w:eastAsia="zh-CN"/>
        </w:rPr>
      </w:pPr>
      <w:r>
        <w:rPr>
          <w:rFonts w:hint="eastAsia"/>
          <w:b/>
          <w:bCs/>
          <w:sz w:val="28"/>
          <w:szCs w:val="28"/>
          <w:highlight w:val="none"/>
          <w:lang w:val="en-US" w:eastAsia="zh-CN"/>
        </w:rPr>
        <w:t xml:space="preserve">3.胰岛素泵15台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3.1储药器：≥3ml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3.2基础率：0.05-35u/h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3.3基础率步长：最小0.05u/h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3.4基础率：≥48 段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3.5临时基础率：0.5－24H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3.6大剂量：0.1－25U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3.7每台电池：1 节 AAA 电池（同等规格或以上）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3.8电池寿命：≥ 1 个月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3.9安全直流电马达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3.10胰岛素浓度：U-100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3.11输注马达误差精度：≤±2%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3.12具有背景灯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3.13具有键盘锁定功能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3.14具有自检功能；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3.15报警记录：可回顾至少 36 次的报警，以及报警的时间和日期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3.16低液量报：剩余单位方式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3.17电池报警：≥5 种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3.18充盈记录：可回顾至少 20 次的排气记录，以及排气时间和日期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3.19大剂量历史：最多 24 个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 xml:space="preserve">3.20防水等级：IPX-7，可防溅水或一过性浸水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lang w:val="en-US" w:eastAsia="zh-CN"/>
        </w:rPr>
      </w:pPr>
      <w:r>
        <w:rPr>
          <w:rFonts w:hint="eastAsia"/>
          <w:sz w:val="24"/>
          <w:szCs w:val="24"/>
          <w:highlight w:val="none"/>
          <w:lang w:val="en-US" w:eastAsia="zh-CN"/>
        </w:rPr>
        <w:t>3.21安全设置：≥50 种独立的安全系统程序监视，每天数百万次的自动检查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sz w:val="24"/>
          <w:szCs w:val="24"/>
          <w:highlight w:val="none"/>
          <w:lang w:val="en-US" w:eastAsia="zh-CN"/>
        </w:rPr>
      </w:pPr>
      <w:r>
        <w:rPr>
          <w:rFonts w:hint="eastAsia"/>
          <w:sz w:val="24"/>
          <w:szCs w:val="24"/>
          <w:highlight w:val="none"/>
          <w:lang w:val="en-US" w:eastAsia="zh-CN"/>
        </w:rPr>
        <w:t>3.22传输方式：无线电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sz w:val="24"/>
          <w:szCs w:val="24"/>
          <w:highlight w:val="none"/>
          <w:lang w:val="en-US" w:eastAsia="zh-CN"/>
        </w:rPr>
      </w:pPr>
      <w:r>
        <w:rPr>
          <w:rFonts w:hint="eastAsia"/>
          <w:sz w:val="24"/>
          <w:szCs w:val="24"/>
          <w:highlight w:val="none"/>
          <w:lang w:val="en-US" w:eastAsia="zh-CN"/>
        </w:rPr>
        <w:t>3.23具有泵数据下载功能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sz w:val="24"/>
          <w:szCs w:val="24"/>
          <w:highlight w:val="none"/>
          <w:lang w:val="en-US" w:eastAsia="zh-CN"/>
        </w:rPr>
      </w:pPr>
      <w:r>
        <w:rPr>
          <w:rFonts w:hint="eastAsia"/>
          <w:sz w:val="24"/>
          <w:szCs w:val="24"/>
          <w:highlight w:val="none"/>
          <w:lang w:val="en-US" w:eastAsia="zh-CN"/>
        </w:rPr>
        <w:t>3.24其中两台胰岛素泵除满足以上要求外，还需满足下列要求：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sz w:val="24"/>
          <w:szCs w:val="24"/>
          <w:highlight w:val="none"/>
          <w:lang w:val="en-US" w:eastAsia="zh-CN"/>
        </w:rPr>
      </w:pPr>
      <w:r>
        <w:rPr>
          <w:rFonts w:hint="eastAsia"/>
          <w:sz w:val="24"/>
          <w:szCs w:val="24"/>
          <w:highlight w:val="none"/>
          <w:lang w:val="en-US" w:eastAsia="zh-CN"/>
        </w:rPr>
        <w:t>3.24.1临时基础率调节方式：单位和百分比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sz w:val="24"/>
          <w:szCs w:val="24"/>
          <w:highlight w:val="none"/>
          <w:lang w:val="en-US" w:eastAsia="zh-CN"/>
        </w:rPr>
      </w:pPr>
      <w:r>
        <w:rPr>
          <w:rFonts w:hint="eastAsia"/>
          <w:sz w:val="24"/>
          <w:szCs w:val="24"/>
          <w:highlight w:val="none"/>
          <w:lang w:val="en-US" w:eastAsia="zh-CN"/>
        </w:rPr>
        <w:t>3.24.2大剂量输注方式：正常波、方波、双波、声响/遥控大剂量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sz w:val="24"/>
          <w:szCs w:val="24"/>
          <w:highlight w:val="none"/>
          <w:lang w:val="en-US" w:eastAsia="zh-CN"/>
        </w:rPr>
      </w:pPr>
      <w:r>
        <w:rPr>
          <w:rFonts w:hint="eastAsia"/>
          <w:sz w:val="24"/>
          <w:szCs w:val="24"/>
          <w:highlight w:val="none"/>
          <w:lang w:val="en-US" w:eastAsia="zh-CN"/>
        </w:rPr>
        <w:t>3.24.3具有大剂量向导功能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default"/>
          <w:sz w:val="24"/>
          <w:szCs w:val="24"/>
          <w:highlight w:val="none"/>
          <w:lang w:val="en-US" w:eastAsia="zh-CN"/>
        </w:rPr>
      </w:pPr>
      <w:r>
        <w:rPr>
          <w:rFonts w:hint="eastAsia"/>
          <w:sz w:val="24"/>
          <w:szCs w:val="24"/>
          <w:highlight w:val="none"/>
          <w:lang w:val="en-US" w:eastAsia="zh-CN"/>
        </w:rPr>
        <w:t>3.24.4具有血糖测试和事件提醒功能</w:t>
      </w:r>
    </w:p>
    <w:p>
      <w:pPr>
        <w:spacing w:line="360" w:lineRule="auto"/>
        <w:ind w:left="105"/>
        <w:jc w:val="left"/>
        <w:rPr>
          <w:rFonts w:hint="eastAsia" w:ascii="宋体" w:hAnsi="宋体" w:eastAsia="宋体" w:cs="宋体"/>
          <w:b/>
          <w:bCs/>
          <w:sz w:val="24"/>
          <w:szCs w:val="24"/>
          <w:highlight w:val="none"/>
        </w:rPr>
      </w:pPr>
    </w:p>
    <w:p>
      <w:pPr>
        <w:spacing w:line="360" w:lineRule="auto"/>
        <w:ind w:left="105"/>
        <w:jc w:val="left"/>
        <w:rPr>
          <w:rFonts w:hint="eastAsia" w:ascii="宋体" w:hAnsi="宋体" w:eastAsia="宋体" w:cs="宋体"/>
          <w:b/>
          <w:bCs/>
          <w:sz w:val="24"/>
          <w:szCs w:val="24"/>
          <w:highlight w:val="none"/>
        </w:rPr>
      </w:pPr>
    </w:p>
    <w:p>
      <w:pPr>
        <w:spacing w:line="360" w:lineRule="auto"/>
        <w:rPr>
          <w:rFonts w:hint="eastAsia" w:ascii="宋体" w:hAnsi="宋体" w:eastAsia="宋体" w:cs="宋体"/>
          <w:color w:val="auto"/>
          <w:sz w:val="24"/>
          <w:szCs w:val="24"/>
          <w:highlight w:val="none"/>
          <w:vertAlign w:val="baseline"/>
          <w:lang w:val="en-US" w:eastAsia="zh-CN"/>
        </w:rPr>
      </w:pPr>
    </w:p>
    <w:p>
      <w:pPr>
        <w:spacing w:line="360" w:lineRule="auto"/>
        <w:ind w:left="105"/>
        <w:jc w:val="center"/>
        <w:rPr>
          <w:rFonts w:ascii="宋体"/>
          <w:b/>
          <w:sz w:val="36"/>
          <w:highlight w:val="none"/>
        </w:rPr>
      </w:pPr>
      <w:r>
        <w:rPr>
          <w:rFonts w:hint="eastAsia" w:ascii="宋体" w:hAnsi="宋体"/>
          <w:b/>
          <w:sz w:val="36"/>
          <w:highlight w:val="none"/>
        </w:rPr>
        <w:br w:type="page"/>
      </w:r>
      <w:r>
        <w:rPr>
          <w:rFonts w:hint="eastAsia" w:ascii="宋体" w:hAnsi="宋体"/>
          <w:b/>
          <w:sz w:val="36"/>
          <w:highlight w:val="none"/>
        </w:rPr>
        <w:t>第四部分合同条款及格式</w:t>
      </w:r>
      <w:bookmarkEnd w:id="128"/>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hint="eastAsia" w:ascii="宋体" w:hAnsi="宋体"/>
          <w:bCs/>
          <w:highlight w:val="none"/>
        </w:rPr>
      </w:pPr>
      <w:r>
        <w:rPr>
          <w:rFonts w:hint="eastAsia" w:ascii="宋体" w:hAnsi="宋体"/>
          <w:bCs/>
          <w:highlight w:val="none"/>
        </w:rPr>
        <w:t>付款方式：</w:t>
      </w:r>
    </w:p>
    <w:p>
      <w:pPr>
        <w:pStyle w:val="19"/>
        <w:spacing w:line="480" w:lineRule="exact"/>
        <w:ind w:left="1"/>
        <w:rPr>
          <w:rFonts w:ascii="宋体"/>
          <w:bCs/>
          <w:highlight w:val="none"/>
        </w:rPr>
      </w:pP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9" w:name="_Toc487900361"/>
      <w:r>
        <w:rPr>
          <w:rFonts w:ascii="宋体" w:hAnsi="宋体"/>
          <w:bCs/>
          <w:highlight w:val="none"/>
        </w:rPr>
        <w:t>11</w:t>
      </w:r>
      <w:r>
        <w:rPr>
          <w:rFonts w:hint="eastAsia" w:ascii="宋体" w:hAnsi="宋体"/>
          <w:bCs/>
          <w:highlight w:val="none"/>
        </w:rPr>
        <w:t>、索赔</w:t>
      </w:r>
      <w:bookmarkEnd w:id="129"/>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30"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0"/>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1"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69"/>
      <w:r>
        <w:rPr>
          <w:rFonts w:ascii="宋体" w:hAnsi="宋体"/>
          <w:bCs/>
          <w:highlight w:val="none"/>
        </w:rPr>
        <w:t xml:space="preserve">18   </w:t>
      </w:r>
      <w:r>
        <w:rPr>
          <w:rFonts w:hint="eastAsia" w:ascii="宋体" w:hAnsi="宋体"/>
          <w:bCs/>
          <w:highlight w:val="none"/>
        </w:rPr>
        <w:t>转让和分包</w:t>
      </w:r>
      <w:bookmarkEnd w:id="132"/>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3" w:name="_Toc487900371"/>
      <w:r>
        <w:rPr>
          <w:rFonts w:ascii="宋体" w:hAnsi="宋体"/>
          <w:bCs/>
          <w:highlight w:val="none"/>
        </w:rPr>
        <w:t xml:space="preserve">19   </w:t>
      </w:r>
      <w:r>
        <w:rPr>
          <w:rFonts w:hint="eastAsia" w:ascii="宋体" w:hAnsi="宋体"/>
          <w:bCs/>
          <w:highlight w:val="none"/>
        </w:rPr>
        <w:t>通知</w:t>
      </w:r>
      <w:bookmarkEnd w:id="133"/>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p>
    <w:p>
      <w:pPr>
        <w:pStyle w:val="19"/>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w:t>
      </w:r>
      <w:r>
        <w:rPr>
          <w:rFonts w:hint="eastAsia" w:ascii="宋体" w:hAnsi="宋体"/>
          <w:sz w:val="24"/>
          <w:highlight w:val="none"/>
          <w:lang w:eastAsia="zh-CN"/>
        </w:rPr>
        <w:t>招标形式</w:t>
      </w:r>
      <w:r>
        <w:rPr>
          <w:rFonts w:hint="eastAsia" w:ascii="宋体" w:hAnsi="宋体"/>
          <w:sz w:val="24"/>
          <w:highlight w:val="none"/>
        </w:rPr>
        <w:t>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4" w:name="_Toc27021"/>
      <w:bookmarkStart w:id="135" w:name="_Toc15866"/>
      <w:bookmarkStart w:id="136" w:name="_Toc15550"/>
      <w:r>
        <w:rPr>
          <w:rFonts w:hint="eastAsia" w:ascii="宋体" w:hAnsi="宋体"/>
          <w:b/>
          <w:bCs/>
          <w:sz w:val="24"/>
          <w:highlight w:val="none"/>
        </w:rPr>
        <w:t>一、本合同由合同文本和下列文件组成</w:t>
      </w:r>
      <w:bookmarkEnd w:id="134"/>
      <w:bookmarkEnd w:id="135"/>
      <w:bookmarkEnd w:id="136"/>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7" w:name="_Toc16073"/>
      <w:bookmarkStart w:id="138" w:name="_Toc9903"/>
      <w:bookmarkStart w:id="139" w:name="_Toc9153"/>
      <w:r>
        <w:rPr>
          <w:rFonts w:hint="eastAsia" w:ascii="宋体" w:hAnsi="宋体"/>
          <w:b/>
          <w:bCs/>
          <w:sz w:val="24"/>
          <w:highlight w:val="none"/>
        </w:rPr>
        <w:t>二、货物的名称、数量</w:t>
      </w:r>
      <w:bookmarkEnd w:id="137"/>
      <w:bookmarkEnd w:id="138"/>
      <w:bookmarkEnd w:id="139"/>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0" w:name="_Toc14263"/>
      <w:bookmarkStart w:id="141" w:name="_Toc4618"/>
      <w:bookmarkStart w:id="142" w:name="_Toc1690"/>
      <w:r>
        <w:rPr>
          <w:rFonts w:hint="eastAsia" w:ascii="宋体" w:hAnsi="宋体"/>
          <w:b/>
          <w:bCs/>
          <w:sz w:val="24"/>
          <w:highlight w:val="none"/>
        </w:rPr>
        <w:t>三、合同金额</w:t>
      </w:r>
      <w:bookmarkEnd w:id="140"/>
      <w:bookmarkEnd w:id="141"/>
      <w:bookmarkEnd w:id="142"/>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3" w:name="_Toc10675"/>
      <w:bookmarkStart w:id="144" w:name="_Toc19878"/>
      <w:bookmarkStart w:id="145" w:name="_Toc23604"/>
      <w:r>
        <w:rPr>
          <w:rFonts w:hint="eastAsia" w:ascii="宋体" w:hAnsi="宋体"/>
          <w:b/>
          <w:bCs/>
          <w:sz w:val="24"/>
          <w:highlight w:val="none"/>
        </w:rPr>
        <w:t>四、</w:t>
      </w:r>
      <w:bookmarkEnd w:id="143"/>
      <w:bookmarkEnd w:id="144"/>
      <w:bookmarkEnd w:id="145"/>
      <w:r>
        <w:rPr>
          <w:rFonts w:hint="eastAsia" w:ascii="宋体" w:hAnsi="宋体"/>
          <w:b/>
          <w:bCs/>
          <w:sz w:val="24"/>
          <w:highlight w:val="none"/>
        </w:rPr>
        <w:t>付款方式：</w:t>
      </w:r>
    </w:p>
    <w:p>
      <w:pPr>
        <w:tabs>
          <w:tab w:val="left" w:pos="764"/>
        </w:tabs>
        <w:snapToGrid w:val="0"/>
        <w:spacing w:line="480" w:lineRule="exact"/>
        <w:ind w:firstLine="480" w:firstLineChars="20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6" w:name="_Toc28569"/>
      <w:bookmarkStart w:id="147" w:name="_Toc12280"/>
      <w:bookmarkStart w:id="148" w:name="_Toc28907"/>
      <w:r>
        <w:rPr>
          <w:rFonts w:hint="eastAsia" w:ascii="宋体" w:hAnsi="宋体"/>
          <w:b/>
          <w:bCs/>
          <w:sz w:val="24"/>
          <w:highlight w:val="none"/>
        </w:rPr>
        <w:t>六、履约保证金</w:t>
      </w:r>
      <w:bookmarkEnd w:id="146"/>
      <w:bookmarkEnd w:id="147"/>
      <w:bookmarkEnd w:id="148"/>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9" w:name="_Toc29637"/>
      <w:bookmarkStart w:id="150" w:name="_Toc24320"/>
      <w:bookmarkStart w:id="151" w:name="_Toc609"/>
      <w:r>
        <w:rPr>
          <w:rFonts w:hint="eastAsia" w:ascii="宋体" w:hAnsi="宋体"/>
          <w:b/>
          <w:bCs/>
          <w:sz w:val="24"/>
          <w:highlight w:val="none"/>
        </w:rPr>
        <w:t>七、合同生效</w:t>
      </w:r>
      <w:bookmarkEnd w:id="149"/>
      <w:bookmarkEnd w:id="150"/>
      <w:bookmarkEnd w:id="151"/>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2" w:name="_Toc10585"/>
      <w:bookmarkStart w:id="153" w:name="_Toc28312"/>
      <w:bookmarkStart w:id="154" w:name="_Toc20385"/>
      <w:r>
        <w:rPr>
          <w:rFonts w:hint="eastAsia" w:ascii="宋体" w:hAnsi="宋体"/>
          <w:b/>
          <w:bCs/>
          <w:sz w:val="24"/>
          <w:highlight w:val="none"/>
        </w:rPr>
        <w:t>八、合同保存</w:t>
      </w:r>
      <w:bookmarkEnd w:id="152"/>
      <w:bookmarkEnd w:id="153"/>
      <w:bookmarkEnd w:id="154"/>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5" w:name="_Toc14149"/>
      <w:bookmarkStart w:id="156" w:name="_Toc17788"/>
      <w:bookmarkStart w:id="157" w:name="_Toc23003"/>
      <w:r>
        <w:rPr>
          <w:rFonts w:hint="eastAsia" w:ascii="宋体" w:hAnsi="宋体"/>
          <w:b/>
          <w:bCs/>
          <w:sz w:val="24"/>
          <w:highlight w:val="none"/>
        </w:rPr>
        <w:t>九、违约条款</w:t>
      </w:r>
      <w:bookmarkEnd w:id="155"/>
      <w:bookmarkEnd w:id="156"/>
      <w:bookmarkEnd w:id="157"/>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8" w:name="_Toc25277"/>
      <w:bookmarkStart w:id="159" w:name="_Toc4944"/>
      <w:bookmarkStart w:id="160" w:name="_Toc2531"/>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8"/>
      <w:bookmarkEnd w:id="159"/>
      <w:bookmarkEnd w:id="160"/>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bookmarkStart w:id="224" w:name="_GoBack"/>
      <w:bookmarkEnd w:id="224"/>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1" w:name="_Toc4921"/>
      <w:r>
        <w:rPr>
          <w:rFonts w:hint="eastAsia" w:ascii="宋体" w:hAnsi="宋体"/>
          <w:b/>
          <w:kern w:val="0"/>
          <w:sz w:val="36"/>
          <w:szCs w:val="20"/>
          <w:highlight w:val="none"/>
        </w:rPr>
        <w:t>第五部分附件</w:t>
      </w:r>
      <w:bookmarkEnd w:id="161"/>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w:t>
      </w:r>
      <w:r>
        <w:rPr>
          <w:rFonts w:hint="eastAsia" w:ascii="宋体" w:hAnsi="宋体"/>
          <w:highlight w:val="none"/>
          <w:lang w:eastAsia="zh-CN"/>
        </w:rPr>
        <w:t>包</w:t>
      </w:r>
      <w:r>
        <w:rPr>
          <w:rFonts w:hint="eastAsia" w:ascii="宋体" w:hAnsi="宋体"/>
          <w:highlight w:val="none"/>
          <w:lang w:val="en-US" w:eastAsia="zh-CN"/>
        </w:rPr>
        <w:t>__</w:t>
      </w:r>
      <w:r>
        <w:rPr>
          <w:rFonts w:hint="eastAsia" w:ascii="宋体" w:hAnsi="宋体"/>
          <w:highlight w:val="none"/>
        </w:rPr>
        <w:t>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w:t>
      </w:r>
      <w:r>
        <w:rPr>
          <w:rFonts w:hint="eastAsia" w:ascii="宋体" w:hAnsi="宋体"/>
          <w:highlight w:val="none"/>
          <w:lang w:eastAsia="zh-CN"/>
        </w:rPr>
        <w:t>投标保证金、</w:t>
      </w:r>
      <w:r>
        <w:rPr>
          <w:rFonts w:hint="eastAsia" w:ascii="宋体" w:hAnsi="宋体"/>
          <w:highlight w:val="none"/>
        </w:rPr>
        <w:t>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hint="eastAsia" w:ascii="宋体" w:hAnsi="宋体"/>
                <w:bCs/>
                <w:sz w:val="24"/>
                <w:highlight w:val="none"/>
              </w:rPr>
            </w:pPr>
            <w:r>
              <w:rPr>
                <w:rFonts w:hint="eastAsia" w:ascii="宋体" w:hAnsi="宋体"/>
                <w:bCs/>
                <w:sz w:val="24"/>
                <w:highlight w:val="none"/>
              </w:rPr>
              <w:t>所投包号及货物名称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5"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5"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5"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5"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5"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pgNumType w:fmt="decimal"/>
          <w:cols w:space="720" w:num="1"/>
          <w:titlePg/>
          <w:docGrid w:type="lines" w:linePitch="290" w:charSpace="-3931"/>
        </w:sectPr>
      </w:pPr>
    </w:p>
    <w:p>
      <w:pPr>
        <w:pStyle w:val="19"/>
        <w:spacing w:line="480" w:lineRule="exact"/>
        <w:outlineLvl w:val="0"/>
        <w:rPr>
          <w:rFonts w:ascii="宋体"/>
          <w:highlight w:val="none"/>
        </w:rPr>
      </w:pPr>
      <w:bookmarkStart w:id="162" w:name="_Toc5221"/>
      <w:bookmarkStart w:id="163" w:name="_Toc23111"/>
      <w:bookmarkStart w:id="164" w:name="_Toc32015"/>
      <w:r>
        <w:rPr>
          <w:rFonts w:hint="eastAsia" w:ascii="宋体" w:hAnsi="宋体"/>
          <w:highlight w:val="none"/>
        </w:rPr>
        <w:t>附件四：</w:t>
      </w:r>
      <w:bookmarkEnd w:id="162"/>
      <w:bookmarkEnd w:id="163"/>
      <w:bookmarkEnd w:id="164"/>
    </w:p>
    <w:p>
      <w:pPr>
        <w:pStyle w:val="19"/>
        <w:spacing w:line="480" w:lineRule="exact"/>
        <w:jc w:val="center"/>
        <w:outlineLvl w:val="0"/>
        <w:rPr>
          <w:rFonts w:ascii="宋体"/>
          <w:b/>
          <w:sz w:val="32"/>
          <w:szCs w:val="32"/>
          <w:highlight w:val="none"/>
        </w:rPr>
      </w:pPr>
      <w:bookmarkStart w:id="165" w:name="_Toc27446"/>
      <w:bookmarkStart w:id="166" w:name="_Toc26583"/>
      <w:bookmarkStart w:id="167" w:name="_Toc17048"/>
      <w:r>
        <w:rPr>
          <w:rFonts w:hint="eastAsia" w:ascii="宋体" w:hAnsi="宋体"/>
          <w:b/>
          <w:sz w:val="32"/>
          <w:szCs w:val="32"/>
          <w:highlight w:val="none"/>
        </w:rPr>
        <w:t>投标明细表</w:t>
      </w:r>
      <w:bookmarkEnd w:id="165"/>
      <w:bookmarkEnd w:id="166"/>
      <w:bookmarkEnd w:id="167"/>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rPr>
        <w:t>包号：</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19"/>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8" w:name="_Toc13100"/>
      <w:bookmarkStart w:id="169" w:name="_Toc13424"/>
      <w:bookmarkStart w:id="170" w:name="_Toc29000"/>
      <w:r>
        <w:rPr>
          <w:rFonts w:hint="eastAsia" w:ascii="宋体" w:hAnsi="宋体"/>
          <w:sz w:val="24"/>
          <w:highlight w:val="none"/>
        </w:rPr>
        <w:t>附件七：</w:t>
      </w:r>
      <w:r>
        <w:rPr>
          <w:rFonts w:hint="eastAsia" w:ascii="宋体" w:hAnsi="宋体"/>
          <w:b/>
          <w:sz w:val="28"/>
          <w:highlight w:val="none"/>
        </w:rPr>
        <w:t>服务承诺及其它优惠条件</w:t>
      </w:r>
      <w:bookmarkEnd w:id="168"/>
      <w:bookmarkEnd w:id="169"/>
      <w:bookmarkEnd w:id="170"/>
    </w:p>
    <w:p>
      <w:pPr>
        <w:spacing w:line="480" w:lineRule="exact"/>
        <w:jc w:val="center"/>
        <w:outlineLvl w:val="0"/>
        <w:rPr>
          <w:rFonts w:ascii="宋体"/>
          <w:bCs/>
          <w:sz w:val="28"/>
          <w:szCs w:val="28"/>
          <w:highlight w:val="none"/>
        </w:rPr>
      </w:pPr>
      <w:bookmarkStart w:id="171" w:name="_Toc13684"/>
      <w:bookmarkStart w:id="172" w:name="_Toc22463"/>
      <w:bookmarkStart w:id="173" w:name="_Toc24720"/>
      <w:r>
        <w:rPr>
          <w:rFonts w:hint="eastAsia" w:ascii="宋体" w:hAnsi="宋体"/>
          <w:bCs/>
          <w:sz w:val="28"/>
          <w:szCs w:val="28"/>
          <w:highlight w:val="none"/>
        </w:rPr>
        <w:t>（格式自定）</w:t>
      </w:r>
      <w:bookmarkEnd w:id="171"/>
      <w:bookmarkEnd w:id="172"/>
      <w:bookmarkEnd w:id="17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4" w:name="_Toc10218"/>
      <w:bookmarkStart w:id="175" w:name="_Toc17401"/>
      <w:bookmarkStart w:id="176" w:name="_Toc696"/>
      <w:r>
        <w:rPr>
          <w:rFonts w:hint="eastAsia" w:ascii="宋体" w:hAnsi="宋体"/>
          <w:sz w:val="24"/>
          <w:highlight w:val="none"/>
        </w:rPr>
        <w:t>附件八：</w:t>
      </w:r>
      <w:r>
        <w:rPr>
          <w:rFonts w:hint="eastAsia" w:ascii="宋体" w:hAnsi="宋体"/>
          <w:b/>
          <w:sz w:val="28"/>
          <w:highlight w:val="none"/>
        </w:rPr>
        <w:t>质保期外备品备件、易损件报价表</w:t>
      </w:r>
      <w:bookmarkEnd w:id="174"/>
      <w:bookmarkEnd w:id="175"/>
      <w:bookmarkEnd w:id="176"/>
    </w:p>
    <w:p>
      <w:pPr>
        <w:spacing w:line="480" w:lineRule="exact"/>
        <w:jc w:val="center"/>
        <w:outlineLvl w:val="0"/>
        <w:rPr>
          <w:rFonts w:ascii="宋体"/>
          <w:b/>
          <w:sz w:val="28"/>
          <w:highlight w:val="none"/>
        </w:rPr>
      </w:pPr>
      <w:bookmarkStart w:id="177" w:name="_Toc1232"/>
      <w:bookmarkStart w:id="178" w:name="_Toc11451"/>
      <w:bookmarkStart w:id="179" w:name="_Toc10814"/>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7"/>
      <w:bookmarkEnd w:id="178"/>
      <w:bookmarkEnd w:id="17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80" w:name="_Toc28785"/>
      <w:bookmarkStart w:id="181" w:name="_Toc1332"/>
      <w:bookmarkStart w:id="182" w:name="_Toc1358"/>
      <w:r>
        <w:rPr>
          <w:rFonts w:hint="eastAsia" w:ascii="宋体" w:hAnsi="宋体"/>
          <w:sz w:val="24"/>
          <w:highlight w:val="none"/>
        </w:rPr>
        <w:t>附件九：</w:t>
      </w:r>
      <w:r>
        <w:rPr>
          <w:rFonts w:hint="eastAsia" w:ascii="宋体" w:hAnsi="宋体"/>
          <w:b/>
          <w:sz w:val="28"/>
          <w:highlight w:val="none"/>
        </w:rPr>
        <w:t>与所投设备配套耗材的价格表</w:t>
      </w:r>
      <w:bookmarkEnd w:id="180"/>
      <w:bookmarkEnd w:id="181"/>
      <w:bookmarkEnd w:id="182"/>
    </w:p>
    <w:p>
      <w:pPr>
        <w:spacing w:line="480" w:lineRule="exact"/>
        <w:jc w:val="center"/>
        <w:outlineLvl w:val="0"/>
        <w:rPr>
          <w:rFonts w:ascii="宋体"/>
          <w:b/>
          <w:sz w:val="28"/>
          <w:highlight w:val="none"/>
        </w:rPr>
      </w:pPr>
      <w:r>
        <w:rPr>
          <w:rFonts w:ascii="宋体" w:hAnsi="宋体"/>
          <w:b/>
          <w:sz w:val="28"/>
          <w:highlight w:val="none"/>
        </w:rPr>
        <w:t xml:space="preserve">     </w:t>
      </w:r>
      <w:bookmarkStart w:id="183" w:name="_Toc5244"/>
      <w:bookmarkStart w:id="184" w:name="_Toc19558"/>
      <w:bookmarkStart w:id="185" w:name="_Toc9985"/>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3"/>
      <w:bookmarkEnd w:id="184"/>
      <w:bookmarkEnd w:id="185"/>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6" w:name="_Toc26987"/>
      <w:bookmarkStart w:id="187" w:name="_Toc13044"/>
      <w:bookmarkStart w:id="188" w:name="_Toc27071"/>
      <w:r>
        <w:rPr>
          <w:rFonts w:hint="eastAsia" w:ascii="宋体" w:hAnsi="宋体"/>
          <w:sz w:val="24"/>
          <w:highlight w:val="none"/>
        </w:rPr>
        <w:t>附件十：</w:t>
      </w:r>
      <w:r>
        <w:rPr>
          <w:rFonts w:hint="eastAsia" w:ascii="宋体" w:hAnsi="宋体"/>
          <w:b/>
          <w:sz w:val="28"/>
          <w:highlight w:val="none"/>
        </w:rPr>
        <w:t>维保方案及维保费用报价表</w:t>
      </w:r>
      <w:bookmarkEnd w:id="186"/>
      <w:bookmarkEnd w:id="187"/>
      <w:bookmarkEnd w:id="188"/>
    </w:p>
    <w:p>
      <w:pPr>
        <w:spacing w:line="440" w:lineRule="exact"/>
        <w:rPr>
          <w:rFonts w:ascii="宋体"/>
          <w:b/>
          <w:bCs/>
          <w:sz w:val="24"/>
          <w:highlight w:val="none"/>
        </w:rPr>
      </w:pPr>
      <w:r>
        <w:rPr>
          <w:rFonts w:hint="eastAsia" w:ascii="宋体" w:hAnsi="宋体"/>
          <w:b/>
          <w:bCs/>
          <w:sz w:val="24"/>
          <w:highlight w:val="none"/>
        </w:rPr>
        <w:t>包</w:t>
      </w:r>
      <w:r>
        <w:rPr>
          <w:rFonts w:ascii="宋体" w:hAnsi="宋体"/>
          <w:b/>
          <w:bCs/>
          <w:sz w:val="24"/>
          <w:highlight w:val="none"/>
          <w:u w:val="single"/>
        </w:rPr>
        <w:t xml:space="preserve">   </w:t>
      </w: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17"/>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17"/>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9" w:name="_Toc14611"/>
      <w:bookmarkStart w:id="190" w:name="_Toc14477"/>
      <w:bookmarkStart w:id="191" w:name="_Toc15805"/>
      <w:r>
        <w:rPr>
          <w:rFonts w:hint="eastAsia" w:ascii="宋体" w:hAnsi="宋体"/>
          <w:sz w:val="24"/>
          <w:highlight w:val="none"/>
        </w:rPr>
        <w:t>附件十一：</w:t>
      </w:r>
      <w:r>
        <w:rPr>
          <w:rFonts w:hint="eastAsia" w:ascii="宋体" w:hAnsi="宋体"/>
          <w:b/>
          <w:sz w:val="28"/>
          <w:highlight w:val="none"/>
        </w:rPr>
        <w:t>证明文件格式</w:t>
      </w:r>
      <w:bookmarkEnd w:id="189"/>
      <w:bookmarkEnd w:id="190"/>
      <w:bookmarkEnd w:id="19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2" w:name="_Toc5230"/>
      <w:bookmarkStart w:id="193" w:name="_Toc19508"/>
      <w:bookmarkStart w:id="194" w:name="_Toc28149"/>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8</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2"/>
      <w:bookmarkEnd w:id="193"/>
      <w:bookmarkEnd w:id="194"/>
    </w:p>
    <w:p>
      <w:pPr>
        <w:spacing w:line="480" w:lineRule="exact"/>
        <w:jc w:val="center"/>
        <w:outlineLvl w:val="0"/>
        <w:rPr>
          <w:rFonts w:ascii="宋体"/>
          <w:sz w:val="24"/>
          <w:highlight w:val="none"/>
        </w:rPr>
      </w:pPr>
      <w:bookmarkStart w:id="195" w:name="_Toc16969"/>
      <w:bookmarkStart w:id="196" w:name="_Toc5579"/>
      <w:bookmarkStart w:id="197" w:name="_Toc29571"/>
      <w:r>
        <w:rPr>
          <w:rFonts w:hint="eastAsia" w:ascii="宋体" w:hAnsi="宋体"/>
          <w:sz w:val="24"/>
          <w:highlight w:val="none"/>
        </w:rPr>
        <w:t>（需声明投标人近三年未发生重大质量安全事故；无弄虚作假和重大违法违纪行为；无医药购销领域商业贿赂方面的不良记录。）</w:t>
      </w:r>
      <w:bookmarkEnd w:id="195"/>
      <w:bookmarkEnd w:id="196"/>
      <w:bookmarkEnd w:id="197"/>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8" w:name="_Toc1781"/>
      <w:bookmarkStart w:id="199" w:name="_Toc5573"/>
      <w:bookmarkStart w:id="200" w:name="_Toc25890"/>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近两年（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8"/>
      <w:bookmarkEnd w:id="199"/>
      <w:bookmarkEnd w:id="200"/>
    </w:p>
    <w:p>
      <w:pPr>
        <w:spacing w:line="480" w:lineRule="exact"/>
        <w:jc w:val="center"/>
        <w:outlineLvl w:val="0"/>
        <w:rPr>
          <w:rFonts w:ascii="宋体"/>
          <w:sz w:val="24"/>
          <w:highlight w:val="none"/>
        </w:rPr>
      </w:pPr>
      <w:bookmarkStart w:id="201" w:name="_Toc29391"/>
      <w:bookmarkStart w:id="202" w:name="_Toc3211"/>
      <w:bookmarkStart w:id="203" w:name="_Toc24571"/>
      <w:r>
        <w:rPr>
          <w:rFonts w:hint="eastAsia" w:ascii="宋体" w:hAnsi="宋体"/>
          <w:sz w:val="24"/>
          <w:highlight w:val="none"/>
        </w:rPr>
        <w:t>（附财务报表（含资产负债表、现金流量表、利润表的复印件），或其基本开户银行出具的资信证明）</w:t>
      </w:r>
      <w:bookmarkEnd w:id="201"/>
      <w:bookmarkEnd w:id="202"/>
      <w:bookmarkEnd w:id="203"/>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4" w:name="_Toc23494"/>
      <w:bookmarkStart w:id="205" w:name="_Toc13521"/>
      <w:bookmarkStart w:id="206"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4"/>
      <w:bookmarkEnd w:id="205"/>
      <w:bookmarkEnd w:id="206"/>
    </w:p>
    <w:p>
      <w:pPr>
        <w:spacing w:line="480" w:lineRule="exact"/>
        <w:jc w:val="center"/>
        <w:outlineLvl w:val="0"/>
        <w:rPr>
          <w:rFonts w:hint="eastAsia" w:ascii="宋体" w:hAnsi="宋体"/>
          <w:sz w:val="24"/>
          <w:highlight w:val="none"/>
        </w:rPr>
      </w:pPr>
      <w:bookmarkStart w:id="207" w:name="_Toc20732"/>
      <w:bookmarkStart w:id="208" w:name="_Toc1183"/>
      <w:bookmarkStart w:id="209" w:name="_Toc16451"/>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7"/>
    <w:bookmarkEnd w:id="208"/>
    <w:bookmarkEnd w:id="209"/>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10" w:name="_Toc4"/>
      <w:bookmarkStart w:id="211" w:name="_Toc3815"/>
      <w:bookmarkStart w:id="212" w:name="_Toc31328"/>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10"/>
      <w:bookmarkEnd w:id="211"/>
      <w:bookmarkEnd w:id="212"/>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3" w:name="_Toc4460"/>
      <w:bookmarkStart w:id="214" w:name="_Toc11678"/>
      <w:bookmarkStart w:id="215" w:name="_Toc15082"/>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3"/>
      <w:bookmarkEnd w:id="214"/>
      <w:bookmarkEnd w:id="215"/>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6" w:name="_Toc170"/>
      <w:bookmarkStart w:id="217" w:name="_Toc9435"/>
      <w:bookmarkStart w:id="218" w:name="_Toc14964"/>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6"/>
      <w:bookmarkEnd w:id="217"/>
      <w:bookmarkEnd w:id="218"/>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9" w:name="_Toc492372156"/>
      <w:bookmarkStart w:id="220" w:name="_Toc503943637"/>
      <w:bookmarkStart w:id="221" w:name="_Toc499831025"/>
      <w:bookmarkStart w:id="222" w:name="_Toc15306"/>
      <w:bookmarkStart w:id="223" w:name="_Toc499827580"/>
      <w:r>
        <w:rPr>
          <w:rFonts w:hint="eastAsia"/>
          <w:sz w:val="28"/>
          <w:szCs w:val="28"/>
          <w:highlight w:val="none"/>
        </w:rPr>
        <w:t>格式</w:t>
      </w:r>
      <w:r>
        <w:rPr>
          <w:sz w:val="28"/>
          <w:szCs w:val="28"/>
          <w:highlight w:val="none"/>
        </w:rPr>
        <w:t xml:space="preserve">7  </w:t>
      </w:r>
      <w:bookmarkEnd w:id="219"/>
      <w:r>
        <w:rPr>
          <w:rFonts w:hint="eastAsia"/>
          <w:sz w:val="28"/>
          <w:szCs w:val="28"/>
          <w:highlight w:val="none"/>
        </w:rPr>
        <w:t>残疾人福利性单位声明函</w:t>
      </w:r>
      <w:bookmarkEnd w:id="220"/>
      <w:bookmarkEnd w:id="221"/>
      <w:bookmarkEnd w:id="222"/>
      <w:bookmarkEnd w:id="223"/>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b/>
                <w:bCs/>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D0EA6"/>
    <w:multiLevelType w:val="singleLevel"/>
    <w:tmpl w:val="952D0EA6"/>
    <w:lvl w:ilvl="0" w:tentative="0">
      <w:start w:val="1"/>
      <w:numFmt w:val="decimal"/>
      <w:suff w:val="nothing"/>
      <w:lvlText w:val="%1、"/>
      <w:lvlJc w:val="left"/>
    </w:lvl>
  </w:abstractNum>
  <w:abstractNum w:abstractNumId="1">
    <w:nsid w:val="AF39FEAD"/>
    <w:multiLevelType w:val="singleLevel"/>
    <w:tmpl w:val="AF39FEAD"/>
    <w:lvl w:ilvl="0" w:tentative="0">
      <w:start w:val="1"/>
      <w:numFmt w:val="decimal"/>
      <w:lvlText w:val="%1."/>
      <w:lvlJc w:val="left"/>
      <w:pPr>
        <w:ind w:left="425" w:hanging="425"/>
      </w:pPr>
      <w:rPr>
        <w:rFonts w:hint="default"/>
      </w:rPr>
    </w:lvl>
  </w:abstractNum>
  <w:abstractNum w:abstractNumId="2">
    <w:nsid w:val="B6D5A044"/>
    <w:multiLevelType w:val="singleLevel"/>
    <w:tmpl w:val="B6D5A044"/>
    <w:lvl w:ilvl="0" w:tentative="0">
      <w:start w:val="1"/>
      <w:numFmt w:val="decimal"/>
      <w:lvlText w:val="%1."/>
      <w:lvlJc w:val="left"/>
      <w:pPr>
        <w:ind w:left="425" w:hanging="425"/>
      </w:pPr>
      <w:rPr>
        <w:rFonts w:hint="default"/>
      </w:rPr>
    </w:lvl>
  </w:abstractNum>
  <w:abstractNum w:abstractNumId="3">
    <w:nsid w:val="B9A399A6"/>
    <w:multiLevelType w:val="singleLevel"/>
    <w:tmpl w:val="B9A399A6"/>
    <w:lvl w:ilvl="0" w:tentative="0">
      <w:start w:val="2"/>
      <w:numFmt w:val="chineseCounting"/>
      <w:suff w:val="nothing"/>
      <w:lvlText w:val="（%1）"/>
      <w:lvlJc w:val="left"/>
      <w:rPr>
        <w:rFonts w:hint="eastAsia"/>
      </w:rPr>
    </w:lvl>
  </w:abstractNum>
  <w:abstractNum w:abstractNumId="4">
    <w:nsid w:val="CE65EF40"/>
    <w:multiLevelType w:val="singleLevel"/>
    <w:tmpl w:val="CE65EF40"/>
    <w:lvl w:ilvl="0" w:tentative="0">
      <w:start w:val="1"/>
      <w:numFmt w:val="decimal"/>
      <w:lvlText w:val="%1."/>
      <w:lvlJc w:val="left"/>
      <w:pPr>
        <w:ind w:left="425" w:hanging="425"/>
      </w:pPr>
      <w:rPr>
        <w:rFonts w:hint="default"/>
      </w:rPr>
    </w:lvl>
  </w:abstractNum>
  <w:abstractNum w:abstractNumId="5">
    <w:nsid w:val="DCC176BB"/>
    <w:multiLevelType w:val="singleLevel"/>
    <w:tmpl w:val="DCC176BB"/>
    <w:lvl w:ilvl="0" w:tentative="0">
      <w:start w:val="1"/>
      <w:numFmt w:val="decimal"/>
      <w:lvlText w:val="%1."/>
      <w:lvlJc w:val="left"/>
      <w:pPr>
        <w:ind w:left="425" w:hanging="425"/>
      </w:pPr>
      <w:rPr>
        <w:rFonts w:hint="default"/>
      </w:rPr>
    </w:lvl>
  </w:abstractNum>
  <w:abstractNum w:abstractNumId="6">
    <w:nsid w:val="E7503BF0"/>
    <w:multiLevelType w:val="singleLevel"/>
    <w:tmpl w:val="E7503BF0"/>
    <w:lvl w:ilvl="0" w:tentative="0">
      <w:start w:val="1"/>
      <w:numFmt w:val="decimal"/>
      <w:lvlText w:val="%1."/>
      <w:lvlJc w:val="left"/>
      <w:pPr>
        <w:ind w:left="425" w:hanging="425"/>
      </w:pPr>
      <w:rPr>
        <w:rFonts w:hint="default"/>
      </w:rPr>
    </w:lvl>
  </w:abstractNum>
  <w:abstractNum w:abstractNumId="7">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8">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9">
    <w:nsid w:val="28EF0272"/>
    <w:multiLevelType w:val="multilevel"/>
    <w:tmpl w:val="28EF0272"/>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0">
    <w:nsid w:val="36AB5236"/>
    <w:multiLevelType w:val="multilevel"/>
    <w:tmpl w:val="36AB5236"/>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1">
    <w:nsid w:val="387D45E9"/>
    <w:multiLevelType w:val="singleLevel"/>
    <w:tmpl w:val="387D45E9"/>
    <w:lvl w:ilvl="0" w:tentative="0">
      <w:start w:val="1"/>
      <w:numFmt w:val="decimal"/>
      <w:lvlText w:val="%1."/>
      <w:lvlJc w:val="left"/>
      <w:pPr>
        <w:ind w:left="425" w:hanging="425"/>
      </w:pPr>
      <w:rPr>
        <w:rFonts w:hint="default"/>
      </w:rPr>
    </w:lvl>
  </w:abstractNum>
  <w:abstractNum w:abstractNumId="12">
    <w:nsid w:val="39413581"/>
    <w:multiLevelType w:val="singleLevel"/>
    <w:tmpl w:val="39413581"/>
    <w:lvl w:ilvl="0" w:tentative="0">
      <w:start w:val="1"/>
      <w:numFmt w:val="decimal"/>
      <w:lvlText w:val="%1."/>
      <w:lvlJc w:val="left"/>
      <w:pPr>
        <w:ind w:left="425" w:hanging="425"/>
      </w:pPr>
      <w:rPr>
        <w:rFonts w:hint="default"/>
      </w:rPr>
    </w:lvl>
  </w:abstractNum>
  <w:abstractNum w:abstractNumId="13">
    <w:nsid w:val="3E7B3558"/>
    <w:multiLevelType w:val="multilevel"/>
    <w:tmpl w:val="3E7B35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E0118E"/>
    <w:multiLevelType w:val="singleLevel"/>
    <w:tmpl w:val="5AE0118E"/>
    <w:lvl w:ilvl="0" w:tentative="0">
      <w:start w:val="5"/>
      <w:numFmt w:val="decimal"/>
      <w:suff w:val="nothing"/>
      <w:lvlText w:val="%1、"/>
      <w:lvlJc w:val="left"/>
      <w:rPr>
        <w:rFonts w:cs="Times New Roman"/>
      </w:rPr>
    </w:lvl>
  </w:abstractNum>
  <w:abstractNum w:abstractNumId="15">
    <w:nsid w:val="61E1CC4A"/>
    <w:multiLevelType w:val="singleLevel"/>
    <w:tmpl w:val="61E1CC4A"/>
    <w:lvl w:ilvl="0" w:tentative="0">
      <w:start w:val="1"/>
      <w:numFmt w:val="decimal"/>
      <w:lvlText w:val="%1."/>
      <w:lvlJc w:val="left"/>
      <w:pPr>
        <w:ind w:left="425" w:hanging="425"/>
      </w:pPr>
      <w:rPr>
        <w:rFonts w:hint="default"/>
      </w:rPr>
    </w:lvl>
  </w:abstractNum>
  <w:abstractNum w:abstractNumId="16">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7"/>
  </w:num>
  <w:num w:numId="3">
    <w:abstractNumId w:val="14"/>
  </w:num>
  <w:num w:numId="4">
    <w:abstractNumId w:val="8"/>
  </w:num>
  <w:num w:numId="5">
    <w:abstractNumId w:val="15"/>
  </w:num>
  <w:num w:numId="6">
    <w:abstractNumId w:val="3"/>
  </w:num>
  <w:num w:numId="7">
    <w:abstractNumId w:val="5"/>
  </w:num>
  <w:num w:numId="8">
    <w:abstractNumId w:val="12"/>
  </w:num>
  <w:num w:numId="9">
    <w:abstractNumId w:val="13"/>
  </w:num>
  <w:num w:numId="10">
    <w:abstractNumId w:val="6"/>
  </w:num>
  <w:num w:numId="11">
    <w:abstractNumId w:val="2"/>
  </w:num>
  <w:num w:numId="12">
    <w:abstractNumId w:val="11"/>
  </w:num>
  <w:num w:numId="13">
    <w:abstractNumId w:val="9"/>
  </w:num>
  <w:num w:numId="14">
    <w:abstractNumId w:val="1"/>
  </w:num>
  <w:num w:numId="15">
    <w:abstractNumId w:val="1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94398"/>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5D7CBB"/>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054B"/>
    <w:rsid w:val="00DE31F6"/>
    <w:rsid w:val="00E17C0E"/>
    <w:rsid w:val="00E352B5"/>
    <w:rsid w:val="00E6261D"/>
    <w:rsid w:val="00E849CB"/>
    <w:rsid w:val="00EA13C3"/>
    <w:rsid w:val="00EB7236"/>
    <w:rsid w:val="00F5673C"/>
    <w:rsid w:val="00FC0E0C"/>
    <w:rsid w:val="00FD1F62"/>
    <w:rsid w:val="00FD3231"/>
    <w:rsid w:val="00FD5088"/>
    <w:rsid w:val="01367B2E"/>
    <w:rsid w:val="013B7FED"/>
    <w:rsid w:val="01477457"/>
    <w:rsid w:val="01483AE6"/>
    <w:rsid w:val="016171C3"/>
    <w:rsid w:val="0178463B"/>
    <w:rsid w:val="01833406"/>
    <w:rsid w:val="018B4463"/>
    <w:rsid w:val="018B6312"/>
    <w:rsid w:val="019D0F86"/>
    <w:rsid w:val="019F1051"/>
    <w:rsid w:val="01B0280C"/>
    <w:rsid w:val="01CA7137"/>
    <w:rsid w:val="01CB7896"/>
    <w:rsid w:val="01E6238E"/>
    <w:rsid w:val="01F902EC"/>
    <w:rsid w:val="02227C57"/>
    <w:rsid w:val="022C7141"/>
    <w:rsid w:val="02347B0F"/>
    <w:rsid w:val="023A5D18"/>
    <w:rsid w:val="023D5D3A"/>
    <w:rsid w:val="027236E2"/>
    <w:rsid w:val="0276583F"/>
    <w:rsid w:val="02855076"/>
    <w:rsid w:val="02A254D3"/>
    <w:rsid w:val="02B053ED"/>
    <w:rsid w:val="02B16F47"/>
    <w:rsid w:val="02D35B8B"/>
    <w:rsid w:val="02D601CF"/>
    <w:rsid w:val="02DC73A5"/>
    <w:rsid w:val="02E45A48"/>
    <w:rsid w:val="02EE0490"/>
    <w:rsid w:val="02FA6999"/>
    <w:rsid w:val="03190F6E"/>
    <w:rsid w:val="031B5DA2"/>
    <w:rsid w:val="03522D6F"/>
    <w:rsid w:val="03563A14"/>
    <w:rsid w:val="0368561C"/>
    <w:rsid w:val="036E457D"/>
    <w:rsid w:val="037B55A1"/>
    <w:rsid w:val="037E752F"/>
    <w:rsid w:val="03D9691B"/>
    <w:rsid w:val="040E3633"/>
    <w:rsid w:val="042D27C9"/>
    <w:rsid w:val="04322750"/>
    <w:rsid w:val="048C0542"/>
    <w:rsid w:val="04BD332D"/>
    <w:rsid w:val="04C60BF6"/>
    <w:rsid w:val="04C64C86"/>
    <w:rsid w:val="04D04155"/>
    <w:rsid w:val="04D46BF9"/>
    <w:rsid w:val="04F856AF"/>
    <w:rsid w:val="0526784C"/>
    <w:rsid w:val="052E7492"/>
    <w:rsid w:val="05446C17"/>
    <w:rsid w:val="05563819"/>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6E51FD2"/>
    <w:rsid w:val="07011658"/>
    <w:rsid w:val="07255034"/>
    <w:rsid w:val="073C5E08"/>
    <w:rsid w:val="074155D6"/>
    <w:rsid w:val="074D6753"/>
    <w:rsid w:val="075258A9"/>
    <w:rsid w:val="075713E8"/>
    <w:rsid w:val="076C384E"/>
    <w:rsid w:val="078475F2"/>
    <w:rsid w:val="078B0666"/>
    <w:rsid w:val="07963322"/>
    <w:rsid w:val="07BD01C3"/>
    <w:rsid w:val="07BD4DD1"/>
    <w:rsid w:val="07D84AF8"/>
    <w:rsid w:val="08010237"/>
    <w:rsid w:val="080B3E19"/>
    <w:rsid w:val="0811349E"/>
    <w:rsid w:val="08121A78"/>
    <w:rsid w:val="081F4806"/>
    <w:rsid w:val="08397BFF"/>
    <w:rsid w:val="08490850"/>
    <w:rsid w:val="085415DF"/>
    <w:rsid w:val="087C3B7A"/>
    <w:rsid w:val="087E432D"/>
    <w:rsid w:val="08873EAB"/>
    <w:rsid w:val="089116C8"/>
    <w:rsid w:val="08BA02CC"/>
    <w:rsid w:val="08CE65E6"/>
    <w:rsid w:val="08D614C7"/>
    <w:rsid w:val="08E30A55"/>
    <w:rsid w:val="0926027A"/>
    <w:rsid w:val="094C1DDF"/>
    <w:rsid w:val="09646610"/>
    <w:rsid w:val="097621BE"/>
    <w:rsid w:val="09782E97"/>
    <w:rsid w:val="09955B90"/>
    <w:rsid w:val="0996643B"/>
    <w:rsid w:val="09A1593F"/>
    <w:rsid w:val="09A6309D"/>
    <w:rsid w:val="09BA02F2"/>
    <w:rsid w:val="09CA79E9"/>
    <w:rsid w:val="09DD512F"/>
    <w:rsid w:val="09F55CE3"/>
    <w:rsid w:val="0A014875"/>
    <w:rsid w:val="0A0F6BF1"/>
    <w:rsid w:val="0A1A3BD9"/>
    <w:rsid w:val="0A405D2D"/>
    <w:rsid w:val="0A5A6458"/>
    <w:rsid w:val="0A6F663E"/>
    <w:rsid w:val="0A7C58C9"/>
    <w:rsid w:val="0A8054FA"/>
    <w:rsid w:val="0AC241A3"/>
    <w:rsid w:val="0AD00FE0"/>
    <w:rsid w:val="0AE21508"/>
    <w:rsid w:val="0AE73FAC"/>
    <w:rsid w:val="0AE77507"/>
    <w:rsid w:val="0AEF47FB"/>
    <w:rsid w:val="0AF9564E"/>
    <w:rsid w:val="0B033309"/>
    <w:rsid w:val="0B07100B"/>
    <w:rsid w:val="0B1B6B69"/>
    <w:rsid w:val="0B235BF3"/>
    <w:rsid w:val="0B4D0516"/>
    <w:rsid w:val="0B8D10E4"/>
    <w:rsid w:val="0B942855"/>
    <w:rsid w:val="0B981026"/>
    <w:rsid w:val="0BBC755F"/>
    <w:rsid w:val="0C0D3E59"/>
    <w:rsid w:val="0C3E6AC4"/>
    <w:rsid w:val="0C620D79"/>
    <w:rsid w:val="0C6B59DB"/>
    <w:rsid w:val="0C9A2D16"/>
    <w:rsid w:val="0C9E6B40"/>
    <w:rsid w:val="0CA61420"/>
    <w:rsid w:val="0CAC6AE8"/>
    <w:rsid w:val="0CC37BE2"/>
    <w:rsid w:val="0CC64DD0"/>
    <w:rsid w:val="0CE2121D"/>
    <w:rsid w:val="0CE41B37"/>
    <w:rsid w:val="0CF4329D"/>
    <w:rsid w:val="0D0750CB"/>
    <w:rsid w:val="0D086F79"/>
    <w:rsid w:val="0D0B7061"/>
    <w:rsid w:val="0D2A2B39"/>
    <w:rsid w:val="0D4E351D"/>
    <w:rsid w:val="0D6774D6"/>
    <w:rsid w:val="0D8D2290"/>
    <w:rsid w:val="0D9945DA"/>
    <w:rsid w:val="0D99769E"/>
    <w:rsid w:val="0DA07A20"/>
    <w:rsid w:val="0DD80D8A"/>
    <w:rsid w:val="0DE02318"/>
    <w:rsid w:val="0E007950"/>
    <w:rsid w:val="0E090B33"/>
    <w:rsid w:val="0E172A1B"/>
    <w:rsid w:val="0E1967C1"/>
    <w:rsid w:val="0E2F42D1"/>
    <w:rsid w:val="0E335405"/>
    <w:rsid w:val="0E3B2EEC"/>
    <w:rsid w:val="0E4D3146"/>
    <w:rsid w:val="0E6F5851"/>
    <w:rsid w:val="0E770F0B"/>
    <w:rsid w:val="0ECB11B5"/>
    <w:rsid w:val="0ED22571"/>
    <w:rsid w:val="0ED7443F"/>
    <w:rsid w:val="0ED974C9"/>
    <w:rsid w:val="0EDB0F07"/>
    <w:rsid w:val="0EDF2B60"/>
    <w:rsid w:val="0EEE03B8"/>
    <w:rsid w:val="0EF512E5"/>
    <w:rsid w:val="0F167C07"/>
    <w:rsid w:val="0F2A62A0"/>
    <w:rsid w:val="0F501C07"/>
    <w:rsid w:val="0F507736"/>
    <w:rsid w:val="0F583E24"/>
    <w:rsid w:val="0F7449C0"/>
    <w:rsid w:val="0F973E9F"/>
    <w:rsid w:val="0FA82E1F"/>
    <w:rsid w:val="0FA96252"/>
    <w:rsid w:val="0FB03457"/>
    <w:rsid w:val="0FBC441C"/>
    <w:rsid w:val="0FC116A7"/>
    <w:rsid w:val="0FC95D8D"/>
    <w:rsid w:val="0FE576A4"/>
    <w:rsid w:val="0FEA2AA1"/>
    <w:rsid w:val="104352A2"/>
    <w:rsid w:val="104F28D6"/>
    <w:rsid w:val="10632D51"/>
    <w:rsid w:val="10847FCD"/>
    <w:rsid w:val="1086577E"/>
    <w:rsid w:val="10980533"/>
    <w:rsid w:val="10A34487"/>
    <w:rsid w:val="10B72F5D"/>
    <w:rsid w:val="10BD3919"/>
    <w:rsid w:val="10C1206B"/>
    <w:rsid w:val="10E8007A"/>
    <w:rsid w:val="10F75CBD"/>
    <w:rsid w:val="10FE5ED8"/>
    <w:rsid w:val="110045A1"/>
    <w:rsid w:val="110643AE"/>
    <w:rsid w:val="110E4253"/>
    <w:rsid w:val="11442249"/>
    <w:rsid w:val="114D3221"/>
    <w:rsid w:val="114E7E07"/>
    <w:rsid w:val="11CE7DFC"/>
    <w:rsid w:val="11E95CE2"/>
    <w:rsid w:val="11E96D3A"/>
    <w:rsid w:val="11EA4504"/>
    <w:rsid w:val="120129C4"/>
    <w:rsid w:val="120301D5"/>
    <w:rsid w:val="122649FF"/>
    <w:rsid w:val="123B2C78"/>
    <w:rsid w:val="124219E9"/>
    <w:rsid w:val="1256132F"/>
    <w:rsid w:val="125C1D1E"/>
    <w:rsid w:val="125D168B"/>
    <w:rsid w:val="126B3ACC"/>
    <w:rsid w:val="127B5B8A"/>
    <w:rsid w:val="127C7A7B"/>
    <w:rsid w:val="12815604"/>
    <w:rsid w:val="12861902"/>
    <w:rsid w:val="1297465C"/>
    <w:rsid w:val="129E3A93"/>
    <w:rsid w:val="12E37BC0"/>
    <w:rsid w:val="12F234F4"/>
    <w:rsid w:val="12F31760"/>
    <w:rsid w:val="12F70183"/>
    <w:rsid w:val="12F75240"/>
    <w:rsid w:val="13153B92"/>
    <w:rsid w:val="132F60FE"/>
    <w:rsid w:val="13410E38"/>
    <w:rsid w:val="134E6871"/>
    <w:rsid w:val="136658C4"/>
    <w:rsid w:val="136B4814"/>
    <w:rsid w:val="1377104B"/>
    <w:rsid w:val="137E50DC"/>
    <w:rsid w:val="138F504A"/>
    <w:rsid w:val="139103F2"/>
    <w:rsid w:val="13A64BAD"/>
    <w:rsid w:val="13B13EB8"/>
    <w:rsid w:val="13B25516"/>
    <w:rsid w:val="13B34CC6"/>
    <w:rsid w:val="13BA0ACF"/>
    <w:rsid w:val="13D705AF"/>
    <w:rsid w:val="13F906A1"/>
    <w:rsid w:val="140C65BF"/>
    <w:rsid w:val="14175C7D"/>
    <w:rsid w:val="141845CC"/>
    <w:rsid w:val="14272C54"/>
    <w:rsid w:val="143945FD"/>
    <w:rsid w:val="14497C26"/>
    <w:rsid w:val="144C1E1B"/>
    <w:rsid w:val="146A73ED"/>
    <w:rsid w:val="14744D84"/>
    <w:rsid w:val="1476244A"/>
    <w:rsid w:val="147D31D6"/>
    <w:rsid w:val="1487005D"/>
    <w:rsid w:val="148A1490"/>
    <w:rsid w:val="14970036"/>
    <w:rsid w:val="14A251C4"/>
    <w:rsid w:val="14AB5BA1"/>
    <w:rsid w:val="14D51C51"/>
    <w:rsid w:val="14E37F8F"/>
    <w:rsid w:val="15046A51"/>
    <w:rsid w:val="15431BD8"/>
    <w:rsid w:val="1544535D"/>
    <w:rsid w:val="15531B38"/>
    <w:rsid w:val="155C65D2"/>
    <w:rsid w:val="156231BF"/>
    <w:rsid w:val="157442E0"/>
    <w:rsid w:val="15772110"/>
    <w:rsid w:val="157D04F6"/>
    <w:rsid w:val="158762D8"/>
    <w:rsid w:val="158A61CC"/>
    <w:rsid w:val="15AA5AE6"/>
    <w:rsid w:val="15AD53FA"/>
    <w:rsid w:val="15B863E2"/>
    <w:rsid w:val="15C17AA5"/>
    <w:rsid w:val="15C336BD"/>
    <w:rsid w:val="15CB45F5"/>
    <w:rsid w:val="15D86AE1"/>
    <w:rsid w:val="15DD5050"/>
    <w:rsid w:val="15E11A76"/>
    <w:rsid w:val="15EC15CC"/>
    <w:rsid w:val="16053F66"/>
    <w:rsid w:val="16060B72"/>
    <w:rsid w:val="160A6351"/>
    <w:rsid w:val="160E6831"/>
    <w:rsid w:val="161367AB"/>
    <w:rsid w:val="16165FE6"/>
    <w:rsid w:val="16634357"/>
    <w:rsid w:val="167D4F4F"/>
    <w:rsid w:val="16825E91"/>
    <w:rsid w:val="16993D4F"/>
    <w:rsid w:val="16AC36D9"/>
    <w:rsid w:val="16BF72A7"/>
    <w:rsid w:val="16DF10FC"/>
    <w:rsid w:val="16EB36B3"/>
    <w:rsid w:val="16ED1D96"/>
    <w:rsid w:val="170A75B6"/>
    <w:rsid w:val="1714786D"/>
    <w:rsid w:val="172743CE"/>
    <w:rsid w:val="17682F23"/>
    <w:rsid w:val="178017C5"/>
    <w:rsid w:val="17862DA8"/>
    <w:rsid w:val="178C35AF"/>
    <w:rsid w:val="17991B6E"/>
    <w:rsid w:val="17B02FF0"/>
    <w:rsid w:val="17B113C3"/>
    <w:rsid w:val="17B331B6"/>
    <w:rsid w:val="17CB4092"/>
    <w:rsid w:val="17D016D3"/>
    <w:rsid w:val="17D63E38"/>
    <w:rsid w:val="180E66C1"/>
    <w:rsid w:val="18274AC7"/>
    <w:rsid w:val="18294C2A"/>
    <w:rsid w:val="18363926"/>
    <w:rsid w:val="183752E1"/>
    <w:rsid w:val="18433E74"/>
    <w:rsid w:val="186D4C9B"/>
    <w:rsid w:val="187A0FF6"/>
    <w:rsid w:val="188651D5"/>
    <w:rsid w:val="189F70A8"/>
    <w:rsid w:val="18BB1E8F"/>
    <w:rsid w:val="18C37E50"/>
    <w:rsid w:val="18EB1198"/>
    <w:rsid w:val="18EB3D30"/>
    <w:rsid w:val="18F843A5"/>
    <w:rsid w:val="19075860"/>
    <w:rsid w:val="193A692A"/>
    <w:rsid w:val="19424471"/>
    <w:rsid w:val="194B5E15"/>
    <w:rsid w:val="194C631E"/>
    <w:rsid w:val="1968709D"/>
    <w:rsid w:val="198056E5"/>
    <w:rsid w:val="198236EE"/>
    <w:rsid w:val="19862474"/>
    <w:rsid w:val="198854CF"/>
    <w:rsid w:val="198E5062"/>
    <w:rsid w:val="19BA593C"/>
    <w:rsid w:val="19C76609"/>
    <w:rsid w:val="19CB2001"/>
    <w:rsid w:val="19D83891"/>
    <w:rsid w:val="19DA4BAF"/>
    <w:rsid w:val="19F75513"/>
    <w:rsid w:val="19FE5F9F"/>
    <w:rsid w:val="1A1E020D"/>
    <w:rsid w:val="1A233813"/>
    <w:rsid w:val="1A6B7E1C"/>
    <w:rsid w:val="1A8A2B1B"/>
    <w:rsid w:val="1AAD7C8B"/>
    <w:rsid w:val="1AB07BA3"/>
    <w:rsid w:val="1ADA7273"/>
    <w:rsid w:val="1AE63CDE"/>
    <w:rsid w:val="1AEE232C"/>
    <w:rsid w:val="1AF47D69"/>
    <w:rsid w:val="1B05081F"/>
    <w:rsid w:val="1B0C07E7"/>
    <w:rsid w:val="1B3215A8"/>
    <w:rsid w:val="1B3D67C6"/>
    <w:rsid w:val="1B3E5015"/>
    <w:rsid w:val="1B41002B"/>
    <w:rsid w:val="1B6E0CCB"/>
    <w:rsid w:val="1B7319FB"/>
    <w:rsid w:val="1B835053"/>
    <w:rsid w:val="1B9C3B8A"/>
    <w:rsid w:val="1BBC1D6E"/>
    <w:rsid w:val="1BC001BE"/>
    <w:rsid w:val="1BCE25D1"/>
    <w:rsid w:val="1BE94888"/>
    <w:rsid w:val="1C253871"/>
    <w:rsid w:val="1C6B1C30"/>
    <w:rsid w:val="1CC0618E"/>
    <w:rsid w:val="1CC32179"/>
    <w:rsid w:val="1CDA24D0"/>
    <w:rsid w:val="1CEA0481"/>
    <w:rsid w:val="1CEF4CDC"/>
    <w:rsid w:val="1CF80043"/>
    <w:rsid w:val="1D2A03E0"/>
    <w:rsid w:val="1D3925B2"/>
    <w:rsid w:val="1D4072F6"/>
    <w:rsid w:val="1D5B00E9"/>
    <w:rsid w:val="1D7442DF"/>
    <w:rsid w:val="1D7C7E64"/>
    <w:rsid w:val="1D897F94"/>
    <w:rsid w:val="1D904EA6"/>
    <w:rsid w:val="1D9C3BA7"/>
    <w:rsid w:val="1DA03982"/>
    <w:rsid w:val="1DB117B6"/>
    <w:rsid w:val="1DCC1FD2"/>
    <w:rsid w:val="1DCD5344"/>
    <w:rsid w:val="1DD84FE2"/>
    <w:rsid w:val="1DD9314E"/>
    <w:rsid w:val="1DE514B9"/>
    <w:rsid w:val="1E10357E"/>
    <w:rsid w:val="1E1A5F3A"/>
    <w:rsid w:val="1E1B3F90"/>
    <w:rsid w:val="1E45640A"/>
    <w:rsid w:val="1E590170"/>
    <w:rsid w:val="1E711D3D"/>
    <w:rsid w:val="1E7A7A7D"/>
    <w:rsid w:val="1EB44780"/>
    <w:rsid w:val="1EC36841"/>
    <w:rsid w:val="1EC74D10"/>
    <w:rsid w:val="1ED560B1"/>
    <w:rsid w:val="1EDA73E1"/>
    <w:rsid w:val="1F083EC3"/>
    <w:rsid w:val="1F091532"/>
    <w:rsid w:val="1F39229F"/>
    <w:rsid w:val="1F574973"/>
    <w:rsid w:val="1F9E611E"/>
    <w:rsid w:val="1FB10B7E"/>
    <w:rsid w:val="1FB57903"/>
    <w:rsid w:val="1FC2047B"/>
    <w:rsid w:val="1FDC172F"/>
    <w:rsid w:val="1FF33CDA"/>
    <w:rsid w:val="1FFB5863"/>
    <w:rsid w:val="1FFC257E"/>
    <w:rsid w:val="20153B98"/>
    <w:rsid w:val="20844FBF"/>
    <w:rsid w:val="20AE149D"/>
    <w:rsid w:val="20B45D5E"/>
    <w:rsid w:val="20B7137B"/>
    <w:rsid w:val="20DB381D"/>
    <w:rsid w:val="20E51521"/>
    <w:rsid w:val="20E62554"/>
    <w:rsid w:val="211F3838"/>
    <w:rsid w:val="213C1F4F"/>
    <w:rsid w:val="214E32E4"/>
    <w:rsid w:val="21577A83"/>
    <w:rsid w:val="215D4DDE"/>
    <w:rsid w:val="21610A7A"/>
    <w:rsid w:val="216B37D0"/>
    <w:rsid w:val="217976A3"/>
    <w:rsid w:val="21854D0F"/>
    <w:rsid w:val="21B06DEE"/>
    <w:rsid w:val="21B827F2"/>
    <w:rsid w:val="21C46CEC"/>
    <w:rsid w:val="21D234BA"/>
    <w:rsid w:val="21D40159"/>
    <w:rsid w:val="2241166E"/>
    <w:rsid w:val="22495289"/>
    <w:rsid w:val="224A3975"/>
    <w:rsid w:val="2262123C"/>
    <w:rsid w:val="22652F4C"/>
    <w:rsid w:val="22712127"/>
    <w:rsid w:val="227600A8"/>
    <w:rsid w:val="2282753B"/>
    <w:rsid w:val="228E5FD0"/>
    <w:rsid w:val="22966B68"/>
    <w:rsid w:val="229C224B"/>
    <w:rsid w:val="229F7773"/>
    <w:rsid w:val="22AC7DCD"/>
    <w:rsid w:val="22AF1342"/>
    <w:rsid w:val="22CC59AF"/>
    <w:rsid w:val="22CD0B61"/>
    <w:rsid w:val="22EA0F92"/>
    <w:rsid w:val="23160B35"/>
    <w:rsid w:val="231E6A95"/>
    <w:rsid w:val="231F0708"/>
    <w:rsid w:val="231F3121"/>
    <w:rsid w:val="23442187"/>
    <w:rsid w:val="2355113E"/>
    <w:rsid w:val="23561CF1"/>
    <w:rsid w:val="238064FD"/>
    <w:rsid w:val="2391601A"/>
    <w:rsid w:val="23A25530"/>
    <w:rsid w:val="23CD38EE"/>
    <w:rsid w:val="23DE5801"/>
    <w:rsid w:val="24052EB3"/>
    <w:rsid w:val="240A3D34"/>
    <w:rsid w:val="241234A7"/>
    <w:rsid w:val="241F0CB3"/>
    <w:rsid w:val="24332838"/>
    <w:rsid w:val="24485949"/>
    <w:rsid w:val="244D4391"/>
    <w:rsid w:val="24710A0A"/>
    <w:rsid w:val="247A3095"/>
    <w:rsid w:val="247F7B7E"/>
    <w:rsid w:val="2487513F"/>
    <w:rsid w:val="24937AF5"/>
    <w:rsid w:val="24942F10"/>
    <w:rsid w:val="24B60F3A"/>
    <w:rsid w:val="24B95AB2"/>
    <w:rsid w:val="25024A59"/>
    <w:rsid w:val="250D78DC"/>
    <w:rsid w:val="25103F6B"/>
    <w:rsid w:val="252C2BB4"/>
    <w:rsid w:val="255D7BED"/>
    <w:rsid w:val="25696BEC"/>
    <w:rsid w:val="257379EA"/>
    <w:rsid w:val="258D58DB"/>
    <w:rsid w:val="259D7AF5"/>
    <w:rsid w:val="25BD613A"/>
    <w:rsid w:val="25E30E41"/>
    <w:rsid w:val="25EE1A8D"/>
    <w:rsid w:val="25FD5076"/>
    <w:rsid w:val="260362D3"/>
    <w:rsid w:val="260531C3"/>
    <w:rsid w:val="260D5DE2"/>
    <w:rsid w:val="26103C4A"/>
    <w:rsid w:val="26614252"/>
    <w:rsid w:val="266734AD"/>
    <w:rsid w:val="267079A3"/>
    <w:rsid w:val="26750E3C"/>
    <w:rsid w:val="267968DD"/>
    <w:rsid w:val="2681167F"/>
    <w:rsid w:val="26974EBE"/>
    <w:rsid w:val="26A230F1"/>
    <w:rsid w:val="26AE7538"/>
    <w:rsid w:val="26BC1220"/>
    <w:rsid w:val="26C9354E"/>
    <w:rsid w:val="26E36D28"/>
    <w:rsid w:val="270A5328"/>
    <w:rsid w:val="270F7F7E"/>
    <w:rsid w:val="27173B22"/>
    <w:rsid w:val="271D10B1"/>
    <w:rsid w:val="27266254"/>
    <w:rsid w:val="272B06AF"/>
    <w:rsid w:val="273F795A"/>
    <w:rsid w:val="274330A7"/>
    <w:rsid w:val="274679B8"/>
    <w:rsid w:val="274C1A4C"/>
    <w:rsid w:val="274E0D59"/>
    <w:rsid w:val="27522728"/>
    <w:rsid w:val="27571C19"/>
    <w:rsid w:val="27591A0D"/>
    <w:rsid w:val="275A793D"/>
    <w:rsid w:val="27647129"/>
    <w:rsid w:val="27845067"/>
    <w:rsid w:val="27906AFD"/>
    <w:rsid w:val="279573FC"/>
    <w:rsid w:val="279B6F30"/>
    <w:rsid w:val="27C83924"/>
    <w:rsid w:val="27D17719"/>
    <w:rsid w:val="27D22A70"/>
    <w:rsid w:val="27DD3D8A"/>
    <w:rsid w:val="27F14FB6"/>
    <w:rsid w:val="27FC08D7"/>
    <w:rsid w:val="280005D9"/>
    <w:rsid w:val="28011091"/>
    <w:rsid w:val="280C219C"/>
    <w:rsid w:val="280E5E45"/>
    <w:rsid w:val="280F1C18"/>
    <w:rsid w:val="281B4F97"/>
    <w:rsid w:val="281C6476"/>
    <w:rsid w:val="28400D6D"/>
    <w:rsid w:val="28655342"/>
    <w:rsid w:val="289A2570"/>
    <w:rsid w:val="28AA32D9"/>
    <w:rsid w:val="28B962B7"/>
    <w:rsid w:val="28BE47BE"/>
    <w:rsid w:val="28C43CBF"/>
    <w:rsid w:val="28E307C0"/>
    <w:rsid w:val="28FB727A"/>
    <w:rsid w:val="29111004"/>
    <w:rsid w:val="2916585E"/>
    <w:rsid w:val="292A57AC"/>
    <w:rsid w:val="29302A01"/>
    <w:rsid w:val="298E12C2"/>
    <w:rsid w:val="29B67DDC"/>
    <w:rsid w:val="29BC7983"/>
    <w:rsid w:val="29BF4C34"/>
    <w:rsid w:val="29C0639D"/>
    <w:rsid w:val="29CE7F54"/>
    <w:rsid w:val="29F678ED"/>
    <w:rsid w:val="2A0503EE"/>
    <w:rsid w:val="2A213403"/>
    <w:rsid w:val="2A37334A"/>
    <w:rsid w:val="2A6A01CF"/>
    <w:rsid w:val="2A763C3F"/>
    <w:rsid w:val="2A812209"/>
    <w:rsid w:val="2A9161AE"/>
    <w:rsid w:val="2AA208EC"/>
    <w:rsid w:val="2AC6783D"/>
    <w:rsid w:val="2ADC4EDF"/>
    <w:rsid w:val="2AEC2DEC"/>
    <w:rsid w:val="2B0351AB"/>
    <w:rsid w:val="2BC0015D"/>
    <w:rsid w:val="2BC33263"/>
    <w:rsid w:val="2BC55D1D"/>
    <w:rsid w:val="2BD346BF"/>
    <w:rsid w:val="2C103E0B"/>
    <w:rsid w:val="2C1D0A52"/>
    <w:rsid w:val="2C406641"/>
    <w:rsid w:val="2C595DDD"/>
    <w:rsid w:val="2C6C41B6"/>
    <w:rsid w:val="2C8D48A3"/>
    <w:rsid w:val="2C8E2D71"/>
    <w:rsid w:val="2C906D72"/>
    <w:rsid w:val="2CA57250"/>
    <w:rsid w:val="2CB32C76"/>
    <w:rsid w:val="2CB4229C"/>
    <w:rsid w:val="2CB92B18"/>
    <w:rsid w:val="2CD262A2"/>
    <w:rsid w:val="2CF7361C"/>
    <w:rsid w:val="2CFA7496"/>
    <w:rsid w:val="2CFF6EF7"/>
    <w:rsid w:val="2D16157A"/>
    <w:rsid w:val="2D2C151F"/>
    <w:rsid w:val="2D2C1CEC"/>
    <w:rsid w:val="2D302CE5"/>
    <w:rsid w:val="2D3629D1"/>
    <w:rsid w:val="2D4D04D3"/>
    <w:rsid w:val="2D760C43"/>
    <w:rsid w:val="2D7A3452"/>
    <w:rsid w:val="2DA53DE6"/>
    <w:rsid w:val="2DBE1E56"/>
    <w:rsid w:val="2DC710BF"/>
    <w:rsid w:val="2E06172C"/>
    <w:rsid w:val="2E162CEE"/>
    <w:rsid w:val="2E274498"/>
    <w:rsid w:val="2E2D3233"/>
    <w:rsid w:val="2E8E0891"/>
    <w:rsid w:val="2EA760C8"/>
    <w:rsid w:val="2EBF18B7"/>
    <w:rsid w:val="2EC24D67"/>
    <w:rsid w:val="2ED66A2F"/>
    <w:rsid w:val="2EF14075"/>
    <w:rsid w:val="2F4F2FBB"/>
    <w:rsid w:val="2F6616FB"/>
    <w:rsid w:val="2F6C68D2"/>
    <w:rsid w:val="2F70132B"/>
    <w:rsid w:val="2F7D7574"/>
    <w:rsid w:val="2F9B417A"/>
    <w:rsid w:val="2FAF6E10"/>
    <w:rsid w:val="2FC26088"/>
    <w:rsid w:val="2FED4A2A"/>
    <w:rsid w:val="2FF93510"/>
    <w:rsid w:val="301C20C2"/>
    <w:rsid w:val="30245948"/>
    <w:rsid w:val="302F78CB"/>
    <w:rsid w:val="304609FF"/>
    <w:rsid w:val="304D4243"/>
    <w:rsid w:val="30500FC1"/>
    <w:rsid w:val="30721654"/>
    <w:rsid w:val="30724CBD"/>
    <w:rsid w:val="30B33417"/>
    <w:rsid w:val="30B75341"/>
    <w:rsid w:val="30B927A4"/>
    <w:rsid w:val="30C55BD7"/>
    <w:rsid w:val="30C673C6"/>
    <w:rsid w:val="30EA0C9B"/>
    <w:rsid w:val="30F04A33"/>
    <w:rsid w:val="30FA0D3D"/>
    <w:rsid w:val="31010608"/>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C00B70"/>
    <w:rsid w:val="31C04C8B"/>
    <w:rsid w:val="31F41846"/>
    <w:rsid w:val="320C1B00"/>
    <w:rsid w:val="322940DE"/>
    <w:rsid w:val="323C4A94"/>
    <w:rsid w:val="32480A64"/>
    <w:rsid w:val="324827C7"/>
    <w:rsid w:val="324F2948"/>
    <w:rsid w:val="324F7F9E"/>
    <w:rsid w:val="32581AE0"/>
    <w:rsid w:val="325B4AA4"/>
    <w:rsid w:val="32631746"/>
    <w:rsid w:val="327F49C9"/>
    <w:rsid w:val="32820D11"/>
    <w:rsid w:val="32897A58"/>
    <w:rsid w:val="32A45645"/>
    <w:rsid w:val="32B91B04"/>
    <w:rsid w:val="32D91938"/>
    <w:rsid w:val="32F31F65"/>
    <w:rsid w:val="32F442F8"/>
    <w:rsid w:val="33031CA3"/>
    <w:rsid w:val="33100032"/>
    <w:rsid w:val="33177552"/>
    <w:rsid w:val="331B1158"/>
    <w:rsid w:val="3324428B"/>
    <w:rsid w:val="334D4B72"/>
    <w:rsid w:val="335E5632"/>
    <w:rsid w:val="33667F60"/>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614F84"/>
    <w:rsid w:val="34776A27"/>
    <w:rsid w:val="34B52C24"/>
    <w:rsid w:val="34CB09E3"/>
    <w:rsid w:val="34D57484"/>
    <w:rsid w:val="34EF1945"/>
    <w:rsid w:val="35016370"/>
    <w:rsid w:val="350A6DBB"/>
    <w:rsid w:val="35401164"/>
    <w:rsid w:val="35443611"/>
    <w:rsid w:val="35461E69"/>
    <w:rsid w:val="35695C04"/>
    <w:rsid w:val="357C2E1A"/>
    <w:rsid w:val="357F7A06"/>
    <w:rsid w:val="35946B47"/>
    <w:rsid w:val="35D27572"/>
    <w:rsid w:val="35E85002"/>
    <w:rsid w:val="360151C5"/>
    <w:rsid w:val="36112DD8"/>
    <w:rsid w:val="363A49EC"/>
    <w:rsid w:val="3640342D"/>
    <w:rsid w:val="36A16820"/>
    <w:rsid w:val="36A77B65"/>
    <w:rsid w:val="36B00264"/>
    <w:rsid w:val="36F43CD9"/>
    <w:rsid w:val="36F50FF0"/>
    <w:rsid w:val="370E6157"/>
    <w:rsid w:val="37351E78"/>
    <w:rsid w:val="373E147E"/>
    <w:rsid w:val="37440291"/>
    <w:rsid w:val="37616FF2"/>
    <w:rsid w:val="37774365"/>
    <w:rsid w:val="379E19F4"/>
    <w:rsid w:val="37A503C1"/>
    <w:rsid w:val="37AB2367"/>
    <w:rsid w:val="37AE1114"/>
    <w:rsid w:val="3807791B"/>
    <w:rsid w:val="38107A88"/>
    <w:rsid w:val="381941D9"/>
    <w:rsid w:val="38230347"/>
    <w:rsid w:val="38245841"/>
    <w:rsid w:val="382F21F6"/>
    <w:rsid w:val="3838592B"/>
    <w:rsid w:val="3841192C"/>
    <w:rsid w:val="385873D9"/>
    <w:rsid w:val="38595DF5"/>
    <w:rsid w:val="386D69C1"/>
    <w:rsid w:val="388616BA"/>
    <w:rsid w:val="388A1154"/>
    <w:rsid w:val="3899137B"/>
    <w:rsid w:val="389978B1"/>
    <w:rsid w:val="38AB7213"/>
    <w:rsid w:val="38BB74B3"/>
    <w:rsid w:val="38C026D8"/>
    <w:rsid w:val="38C212FE"/>
    <w:rsid w:val="38F20527"/>
    <w:rsid w:val="38FD4BDC"/>
    <w:rsid w:val="391C30A1"/>
    <w:rsid w:val="39452871"/>
    <w:rsid w:val="39473146"/>
    <w:rsid w:val="3959196E"/>
    <w:rsid w:val="3960729B"/>
    <w:rsid w:val="39764C13"/>
    <w:rsid w:val="397D5852"/>
    <w:rsid w:val="398205C3"/>
    <w:rsid w:val="399105D0"/>
    <w:rsid w:val="39950593"/>
    <w:rsid w:val="39B62462"/>
    <w:rsid w:val="39BE0852"/>
    <w:rsid w:val="39D92EFE"/>
    <w:rsid w:val="39DE4367"/>
    <w:rsid w:val="39E264FC"/>
    <w:rsid w:val="39E72493"/>
    <w:rsid w:val="39EC4F48"/>
    <w:rsid w:val="39F31009"/>
    <w:rsid w:val="3A1B1537"/>
    <w:rsid w:val="3A283C67"/>
    <w:rsid w:val="3A3A68A8"/>
    <w:rsid w:val="3A41272A"/>
    <w:rsid w:val="3A551997"/>
    <w:rsid w:val="3A5B0712"/>
    <w:rsid w:val="3A5B2342"/>
    <w:rsid w:val="3A6A3CA7"/>
    <w:rsid w:val="3A6F37A7"/>
    <w:rsid w:val="3A732F0A"/>
    <w:rsid w:val="3A795124"/>
    <w:rsid w:val="3A7F32C6"/>
    <w:rsid w:val="3A9009FF"/>
    <w:rsid w:val="3A997359"/>
    <w:rsid w:val="3AA008D0"/>
    <w:rsid w:val="3AAD3EFA"/>
    <w:rsid w:val="3AAD5053"/>
    <w:rsid w:val="3AB72BEB"/>
    <w:rsid w:val="3AE47094"/>
    <w:rsid w:val="3B2C5CE6"/>
    <w:rsid w:val="3B440B2D"/>
    <w:rsid w:val="3B5B6B36"/>
    <w:rsid w:val="3B6B0742"/>
    <w:rsid w:val="3B713E35"/>
    <w:rsid w:val="3B843773"/>
    <w:rsid w:val="3BE81CC8"/>
    <w:rsid w:val="3C0122B4"/>
    <w:rsid w:val="3C0B47C3"/>
    <w:rsid w:val="3C0F2E5C"/>
    <w:rsid w:val="3C232E49"/>
    <w:rsid w:val="3C294808"/>
    <w:rsid w:val="3C5A1F12"/>
    <w:rsid w:val="3C662EDF"/>
    <w:rsid w:val="3C9B4D04"/>
    <w:rsid w:val="3CA72903"/>
    <w:rsid w:val="3CAE4F60"/>
    <w:rsid w:val="3CC9647F"/>
    <w:rsid w:val="3CDC2B0A"/>
    <w:rsid w:val="3CE14229"/>
    <w:rsid w:val="3CF96CA1"/>
    <w:rsid w:val="3D092504"/>
    <w:rsid w:val="3D1B751F"/>
    <w:rsid w:val="3D1D3010"/>
    <w:rsid w:val="3D212D9D"/>
    <w:rsid w:val="3D2D4894"/>
    <w:rsid w:val="3D320965"/>
    <w:rsid w:val="3D3246B3"/>
    <w:rsid w:val="3D4E790E"/>
    <w:rsid w:val="3D700D52"/>
    <w:rsid w:val="3D770A1E"/>
    <w:rsid w:val="3D78505A"/>
    <w:rsid w:val="3DA26D47"/>
    <w:rsid w:val="3DAD3632"/>
    <w:rsid w:val="3DB01E78"/>
    <w:rsid w:val="3DB24B0C"/>
    <w:rsid w:val="3DBC092E"/>
    <w:rsid w:val="3DDD25C1"/>
    <w:rsid w:val="3DE9435F"/>
    <w:rsid w:val="3E053264"/>
    <w:rsid w:val="3E083B2C"/>
    <w:rsid w:val="3E0C40FA"/>
    <w:rsid w:val="3E1F0680"/>
    <w:rsid w:val="3E481A2D"/>
    <w:rsid w:val="3E4B0C50"/>
    <w:rsid w:val="3E5C4F6C"/>
    <w:rsid w:val="3E7819B1"/>
    <w:rsid w:val="3E802B14"/>
    <w:rsid w:val="3EB021FA"/>
    <w:rsid w:val="3EC43DC1"/>
    <w:rsid w:val="3EE651EF"/>
    <w:rsid w:val="3F000F93"/>
    <w:rsid w:val="3F042F23"/>
    <w:rsid w:val="3F0C13B6"/>
    <w:rsid w:val="3F40400F"/>
    <w:rsid w:val="3F6B3B01"/>
    <w:rsid w:val="3F9A7607"/>
    <w:rsid w:val="3F9D1772"/>
    <w:rsid w:val="3F9E338F"/>
    <w:rsid w:val="3FAB63AE"/>
    <w:rsid w:val="40033BCB"/>
    <w:rsid w:val="400B3D58"/>
    <w:rsid w:val="402166A4"/>
    <w:rsid w:val="4039779C"/>
    <w:rsid w:val="403F4AD6"/>
    <w:rsid w:val="4055421F"/>
    <w:rsid w:val="407F379A"/>
    <w:rsid w:val="4098721B"/>
    <w:rsid w:val="40A30CB7"/>
    <w:rsid w:val="410D50E4"/>
    <w:rsid w:val="410E3226"/>
    <w:rsid w:val="411E1F5F"/>
    <w:rsid w:val="41287C6E"/>
    <w:rsid w:val="412C6073"/>
    <w:rsid w:val="41335E35"/>
    <w:rsid w:val="41625ED3"/>
    <w:rsid w:val="416A5C1B"/>
    <w:rsid w:val="416F2BBE"/>
    <w:rsid w:val="417144B1"/>
    <w:rsid w:val="4189511A"/>
    <w:rsid w:val="41A03E55"/>
    <w:rsid w:val="41B60441"/>
    <w:rsid w:val="41CB13D4"/>
    <w:rsid w:val="41D47FBA"/>
    <w:rsid w:val="41ED1B1E"/>
    <w:rsid w:val="4211574A"/>
    <w:rsid w:val="4216392F"/>
    <w:rsid w:val="421D7007"/>
    <w:rsid w:val="42264F86"/>
    <w:rsid w:val="425A401B"/>
    <w:rsid w:val="425B0051"/>
    <w:rsid w:val="42905AAA"/>
    <w:rsid w:val="429B3F8F"/>
    <w:rsid w:val="42CE6B71"/>
    <w:rsid w:val="42D71369"/>
    <w:rsid w:val="42DB7DEF"/>
    <w:rsid w:val="42DF0DF6"/>
    <w:rsid w:val="42E34D2A"/>
    <w:rsid w:val="42EA5C2A"/>
    <w:rsid w:val="42EB1A6F"/>
    <w:rsid w:val="42EB44C6"/>
    <w:rsid w:val="42F4186C"/>
    <w:rsid w:val="42F805B7"/>
    <w:rsid w:val="43017D07"/>
    <w:rsid w:val="4328593E"/>
    <w:rsid w:val="4346230B"/>
    <w:rsid w:val="43470790"/>
    <w:rsid w:val="43793D50"/>
    <w:rsid w:val="437B1757"/>
    <w:rsid w:val="43BB1045"/>
    <w:rsid w:val="43C91B45"/>
    <w:rsid w:val="43C96C82"/>
    <w:rsid w:val="43CC0A77"/>
    <w:rsid w:val="43F244DD"/>
    <w:rsid w:val="43F34F0A"/>
    <w:rsid w:val="43F67CAD"/>
    <w:rsid w:val="44197675"/>
    <w:rsid w:val="442134A5"/>
    <w:rsid w:val="446B0DA7"/>
    <w:rsid w:val="44896E05"/>
    <w:rsid w:val="449263B1"/>
    <w:rsid w:val="44A252E3"/>
    <w:rsid w:val="44CE05B1"/>
    <w:rsid w:val="44EC5492"/>
    <w:rsid w:val="45143E62"/>
    <w:rsid w:val="451963D2"/>
    <w:rsid w:val="45472394"/>
    <w:rsid w:val="45724740"/>
    <w:rsid w:val="457B07D4"/>
    <w:rsid w:val="4584601C"/>
    <w:rsid w:val="45A17614"/>
    <w:rsid w:val="45A77792"/>
    <w:rsid w:val="45AC2C16"/>
    <w:rsid w:val="45B8521A"/>
    <w:rsid w:val="45CF386F"/>
    <w:rsid w:val="46056421"/>
    <w:rsid w:val="460C04D4"/>
    <w:rsid w:val="46113C23"/>
    <w:rsid w:val="46215D1B"/>
    <w:rsid w:val="466331AA"/>
    <w:rsid w:val="466A1851"/>
    <w:rsid w:val="46787235"/>
    <w:rsid w:val="46885EC5"/>
    <w:rsid w:val="46887AEB"/>
    <w:rsid w:val="46951251"/>
    <w:rsid w:val="46A176A3"/>
    <w:rsid w:val="46B27462"/>
    <w:rsid w:val="46BC31AA"/>
    <w:rsid w:val="46C93A01"/>
    <w:rsid w:val="46D404E0"/>
    <w:rsid w:val="46EA0B8E"/>
    <w:rsid w:val="46F31900"/>
    <w:rsid w:val="46F5741D"/>
    <w:rsid w:val="471E5360"/>
    <w:rsid w:val="472B3E49"/>
    <w:rsid w:val="473105C2"/>
    <w:rsid w:val="47692187"/>
    <w:rsid w:val="476F4169"/>
    <w:rsid w:val="476F45D2"/>
    <w:rsid w:val="4778041E"/>
    <w:rsid w:val="47890CE4"/>
    <w:rsid w:val="47B41CE4"/>
    <w:rsid w:val="47B47EEE"/>
    <w:rsid w:val="47BB12D0"/>
    <w:rsid w:val="47F77B0F"/>
    <w:rsid w:val="48071BA2"/>
    <w:rsid w:val="48111F72"/>
    <w:rsid w:val="483D2593"/>
    <w:rsid w:val="48676FF8"/>
    <w:rsid w:val="48842DA4"/>
    <w:rsid w:val="488525DC"/>
    <w:rsid w:val="488C3A69"/>
    <w:rsid w:val="488C7D67"/>
    <w:rsid w:val="48997517"/>
    <w:rsid w:val="48A02163"/>
    <w:rsid w:val="48A67A6B"/>
    <w:rsid w:val="48AB7154"/>
    <w:rsid w:val="48B37A1C"/>
    <w:rsid w:val="48DB33FE"/>
    <w:rsid w:val="49230E35"/>
    <w:rsid w:val="492A0B4A"/>
    <w:rsid w:val="493F3170"/>
    <w:rsid w:val="49486A0E"/>
    <w:rsid w:val="49495705"/>
    <w:rsid w:val="494B6EB7"/>
    <w:rsid w:val="495513EB"/>
    <w:rsid w:val="497A03CE"/>
    <w:rsid w:val="49B74CC7"/>
    <w:rsid w:val="49C93046"/>
    <w:rsid w:val="49CB6EC3"/>
    <w:rsid w:val="49D2508E"/>
    <w:rsid w:val="49DF06B0"/>
    <w:rsid w:val="4A086368"/>
    <w:rsid w:val="4A37247D"/>
    <w:rsid w:val="4A5D1A04"/>
    <w:rsid w:val="4A5D7DAA"/>
    <w:rsid w:val="4A641C09"/>
    <w:rsid w:val="4A724ECC"/>
    <w:rsid w:val="4A987EF3"/>
    <w:rsid w:val="4A995123"/>
    <w:rsid w:val="4AA0090F"/>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3342E0"/>
    <w:rsid w:val="4C416776"/>
    <w:rsid w:val="4C451933"/>
    <w:rsid w:val="4C522EDB"/>
    <w:rsid w:val="4C53587C"/>
    <w:rsid w:val="4C662841"/>
    <w:rsid w:val="4C6E2B8E"/>
    <w:rsid w:val="4C7C3B09"/>
    <w:rsid w:val="4C8205AE"/>
    <w:rsid w:val="4C9E7FD4"/>
    <w:rsid w:val="4CB9680F"/>
    <w:rsid w:val="4CC159EE"/>
    <w:rsid w:val="4CCA2679"/>
    <w:rsid w:val="4CE84C22"/>
    <w:rsid w:val="4CEE55F9"/>
    <w:rsid w:val="4CF21B51"/>
    <w:rsid w:val="4D071B5B"/>
    <w:rsid w:val="4D0B1077"/>
    <w:rsid w:val="4D251A8D"/>
    <w:rsid w:val="4D2757CE"/>
    <w:rsid w:val="4D34309E"/>
    <w:rsid w:val="4D3B2402"/>
    <w:rsid w:val="4D4A5484"/>
    <w:rsid w:val="4D552535"/>
    <w:rsid w:val="4D73653A"/>
    <w:rsid w:val="4D8D7B77"/>
    <w:rsid w:val="4D9715DC"/>
    <w:rsid w:val="4D9F307A"/>
    <w:rsid w:val="4DB925D0"/>
    <w:rsid w:val="4DD17A54"/>
    <w:rsid w:val="4DE76A72"/>
    <w:rsid w:val="4DED7B7B"/>
    <w:rsid w:val="4DF0776C"/>
    <w:rsid w:val="4DFC6F40"/>
    <w:rsid w:val="4E205AB9"/>
    <w:rsid w:val="4E346CAD"/>
    <w:rsid w:val="4E37492E"/>
    <w:rsid w:val="4E395D9C"/>
    <w:rsid w:val="4E467737"/>
    <w:rsid w:val="4E4F5A01"/>
    <w:rsid w:val="4E580033"/>
    <w:rsid w:val="4E616A5C"/>
    <w:rsid w:val="4E693B74"/>
    <w:rsid w:val="4E6A4C09"/>
    <w:rsid w:val="4E6E3E0B"/>
    <w:rsid w:val="4E7534C5"/>
    <w:rsid w:val="4E76661A"/>
    <w:rsid w:val="4E7C7399"/>
    <w:rsid w:val="4E977205"/>
    <w:rsid w:val="4EB827B3"/>
    <w:rsid w:val="4ED3637B"/>
    <w:rsid w:val="4EE20D35"/>
    <w:rsid w:val="4F0C05E8"/>
    <w:rsid w:val="4F1F345D"/>
    <w:rsid w:val="4F333B3B"/>
    <w:rsid w:val="4F622289"/>
    <w:rsid w:val="4F712C49"/>
    <w:rsid w:val="4F7B27D9"/>
    <w:rsid w:val="4F87770B"/>
    <w:rsid w:val="4F90601D"/>
    <w:rsid w:val="4FC56263"/>
    <w:rsid w:val="4FC9190E"/>
    <w:rsid w:val="4FD330DE"/>
    <w:rsid w:val="4FD82EBA"/>
    <w:rsid w:val="4FE0355B"/>
    <w:rsid w:val="4FE03B09"/>
    <w:rsid w:val="4FEA1DA8"/>
    <w:rsid w:val="4FED7E4A"/>
    <w:rsid w:val="5005319C"/>
    <w:rsid w:val="500F018A"/>
    <w:rsid w:val="500F0855"/>
    <w:rsid w:val="501248D5"/>
    <w:rsid w:val="504815B1"/>
    <w:rsid w:val="504E5BD3"/>
    <w:rsid w:val="505C1EA2"/>
    <w:rsid w:val="508B6AC9"/>
    <w:rsid w:val="50995FE1"/>
    <w:rsid w:val="50A57F20"/>
    <w:rsid w:val="50B62894"/>
    <w:rsid w:val="50B630A1"/>
    <w:rsid w:val="50B6395E"/>
    <w:rsid w:val="50B8297E"/>
    <w:rsid w:val="50DA59F5"/>
    <w:rsid w:val="50E25EDC"/>
    <w:rsid w:val="51221EB8"/>
    <w:rsid w:val="512A162D"/>
    <w:rsid w:val="513A5742"/>
    <w:rsid w:val="514F6C05"/>
    <w:rsid w:val="515A6CD7"/>
    <w:rsid w:val="517109FA"/>
    <w:rsid w:val="51717A51"/>
    <w:rsid w:val="51781C23"/>
    <w:rsid w:val="519C32A5"/>
    <w:rsid w:val="51B035DC"/>
    <w:rsid w:val="51B404DB"/>
    <w:rsid w:val="51D54204"/>
    <w:rsid w:val="51EC12C8"/>
    <w:rsid w:val="51F67C2A"/>
    <w:rsid w:val="52030077"/>
    <w:rsid w:val="521A7F24"/>
    <w:rsid w:val="52200C03"/>
    <w:rsid w:val="52302068"/>
    <w:rsid w:val="52485217"/>
    <w:rsid w:val="525E02D9"/>
    <w:rsid w:val="52626214"/>
    <w:rsid w:val="52651E63"/>
    <w:rsid w:val="52931EA1"/>
    <w:rsid w:val="52A33D9C"/>
    <w:rsid w:val="52A50F59"/>
    <w:rsid w:val="52B61BC0"/>
    <w:rsid w:val="52BA5D97"/>
    <w:rsid w:val="52C21A5F"/>
    <w:rsid w:val="52DD11F2"/>
    <w:rsid w:val="52F45961"/>
    <w:rsid w:val="53715C89"/>
    <w:rsid w:val="53844150"/>
    <w:rsid w:val="538E3101"/>
    <w:rsid w:val="53955515"/>
    <w:rsid w:val="53B0479A"/>
    <w:rsid w:val="53C85EEB"/>
    <w:rsid w:val="53D86CEE"/>
    <w:rsid w:val="53F83D51"/>
    <w:rsid w:val="542B3576"/>
    <w:rsid w:val="542E33A9"/>
    <w:rsid w:val="54370630"/>
    <w:rsid w:val="543A749F"/>
    <w:rsid w:val="543E0450"/>
    <w:rsid w:val="543F7DF3"/>
    <w:rsid w:val="5468040B"/>
    <w:rsid w:val="547804C3"/>
    <w:rsid w:val="54967F9A"/>
    <w:rsid w:val="549B378E"/>
    <w:rsid w:val="549C1223"/>
    <w:rsid w:val="54A7060D"/>
    <w:rsid w:val="54CB0AD8"/>
    <w:rsid w:val="54DC57FB"/>
    <w:rsid w:val="55063AA0"/>
    <w:rsid w:val="551B3C23"/>
    <w:rsid w:val="552B3541"/>
    <w:rsid w:val="553A6E72"/>
    <w:rsid w:val="554C2981"/>
    <w:rsid w:val="555173B6"/>
    <w:rsid w:val="555C44A6"/>
    <w:rsid w:val="557A3593"/>
    <w:rsid w:val="557F05FE"/>
    <w:rsid w:val="55986395"/>
    <w:rsid w:val="55B01C76"/>
    <w:rsid w:val="55BB3B99"/>
    <w:rsid w:val="55D56AB5"/>
    <w:rsid w:val="55F112D3"/>
    <w:rsid w:val="560A3DED"/>
    <w:rsid w:val="565E25B5"/>
    <w:rsid w:val="5660004C"/>
    <w:rsid w:val="566912B5"/>
    <w:rsid w:val="5679751E"/>
    <w:rsid w:val="56C204B1"/>
    <w:rsid w:val="56DC07B3"/>
    <w:rsid w:val="56E124D0"/>
    <w:rsid w:val="56E70EE9"/>
    <w:rsid w:val="56F11C95"/>
    <w:rsid w:val="56F65FA4"/>
    <w:rsid w:val="57085A5F"/>
    <w:rsid w:val="5712294D"/>
    <w:rsid w:val="57203CE2"/>
    <w:rsid w:val="57245E6C"/>
    <w:rsid w:val="574A48FC"/>
    <w:rsid w:val="57516D3B"/>
    <w:rsid w:val="575B5170"/>
    <w:rsid w:val="576205A6"/>
    <w:rsid w:val="576B13D9"/>
    <w:rsid w:val="57716D4D"/>
    <w:rsid w:val="577F3A42"/>
    <w:rsid w:val="57957FA2"/>
    <w:rsid w:val="57A074AD"/>
    <w:rsid w:val="57A76B2E"/>
    <w:rsid w:val="57B80494"/>
    <w:rsid w:val="57CC2E79"/>
    <w:rsid w:val="57D54F13"/>
    <w:rsid w:val="57D868C5"/>
    <w:rsid w:val="57F31A73"/>
    <w:rsid w:val="580B6363"/>
    <w:rsid w:val="581500E7"/>
    <w:rsid w:val="581570D7"/>
    <w:rsid w:val="582C3328"/>
    <w:rsid w:val="58483122"/>
    <w:rsid w:val="58584D43"/>
    <w:rsid w:val="58585757"/>
    <w:rsid w:val="585F4ABD"/>
    <w:rsid w:val="586A54E0"/>
    <w:rsid w:val="58763C80"/>
    <w:rsid w:val="588D3903"/>
    <w:rsid w:val="58AD2A41"/>
    <w:rsid w:val="58CA22FD"/>
    <w:rsid w:val="58CB571C"/>
    <w:rsid w:val="58FA36DF"/>
    <w:rsid w:val="59185B23"/>
    <w:rsid w:val="591A0FF8"/>
    <w:rsid w:val="59224DFD"/>
    <w:rsid w:val="594413B6"/>
    <w:rsid w:val="5945092A"/>
    <w:rsid w:val="594E47FA"/>
    <w:rsid w:val="595D44CA"/>
    <w:rsid w:val="596229BA"/>
    <w:rsid w:val="5965407F"/>
    <w:rsid w:val="598D2DC2"/>
    <w:rsid w:val="598E798D"/>
    <w:rsid w:val="5A0B0F42"/>
    <w:rsid w:val="5A405D38"/>
    <w:rsid w:val="5A423CC1"/>
    <w:rsid w:val="5A4F77F7"/>
    <w:rsid w:val="5A540A75"/>
    <w:rsid w:val="5A5F3C5F"/>
    <w:rsid w:val="5A6B4B3B"/>
    <w:rsid w:val="5A74777A"/>
    <w:rsid w:val="5AC1451D"/>
    <w:rsid w:val="5B1B278B"/>
    <w:rsid w:val="5B356B4F"/>
    <w:rsid w:val="5B45668A"/>
    <w:rsid w:val="5B483D9D"/>
    <w:rsid w:val="5B4B4861"/>
    <w:rsid w:val="5B4F4307"/>
    <w:rsid w:val="5B514E4B"/>
    <w:rsid w:val="5B550F93"/>
    <w:rsid w:val="5B625BE5"/>
    <w:rsid w:val="5B743EDD"/>
    <w:rsid w:val="5BA302A1"/>
    <w:rsid w:val="5BA86868"/>
    <w:rsid w:val="5BAE772A"/>
    <w:rsid w:val="5BAF03D2"/>
    <w:rsid w:val="5BD137D6"/>
    <w:rsid w:val="5BDF75DB"/>
    <w:rsid w:val="5BE565AF"/>
    <w:rsid w:val="5BF52022"/>
    <w:rsid w:val="5BF81582"/>
    <w:rsid w:val="5BFA45DF"/>
    <w:rsid w:val="5C01463C"/>
    <w:rsid w:val="5C027076"/>
    <w:rsid w:val="5C1B112A"/>
    <w:rsid w:val="5C306CA5"/>
    <w:rsid w:val="5C3830AD"/>
    <w:rsid w:val="5C4252F8"/>
    <w:rsid w:val="5C4F7F3B"/>
    <w:rsid w:val="5C9D156D"/>
    <w:rsid w:val="5CA049EF"/>
    <w:rsid w:val="5CA13735"/>
    <w:rsid w:val="5CAD02F5"/>
    <w:rsid w:val="5CF30491"/>
    <w:rsid w:val="5CFA684E"/>
    <w:rsid w:val="5D2E1346"/>
    <w:rsid w:val="5D435AE7"/>
    <w:rsid w:val="5D4A1997"/>
    <w:rsid w:val="5D625B21"/>
    <w:rsid w:val="5D74299B"/>
    <w:rsid w:val="5DA50DB0"/>
    <w:rsid w:val="5DC90247"/>
    <w:rsid w:val="5E0A377C"/>
    <w:rsid w:val="5E230525"/>
    <w:rsid w:val="5E2324B5"/>
    <w:rsid w:val="5E265D92"/>
    <w:rsid w:val="5E316D7C"/>
    <w:rsid w:val="5E3A7444"/>
    <w:rsid w:val="5E4C71CC"/>
    <w:rsid w:val="5E4E0212"/>
    <w:rsid w:val="5E4E5FEC"/>
    <w:rsid w:val="5E7A4C32"/>
    <w:rsid w:val="5E8B02E6"/>
    <w:rsid w:val="5EA47F79"/>
    <w:rsid w:val="5EA7756C"/>
    <w:rsid w:val="5EAC7C32"/>
    <w:rsid w:val="5EBC35F3"/>
    <w:rsid w:val="5ECA7640"/>
    <w:rsid w:val="5ED57C67"/>
    <w:rsid w:val="5EFD5FFE"/>
    <w:rsid w:val="5F173A2B"/>
    <w:rsid w:val="5F243B32"/>
    <w:rsid w:val="5F25704F"/>
    <w:rsid w:val="5F2D64C4"/>
    <w:rsid w:val="5F302A42"/>
    <w:rsid w:val="5F676A86"/>
    <w:rsid w:val="5F816F30"/>
    <w:rsid w:val="5F95270F"/>
    <w:rsid w:val="5FBA092D"/>
    <w:rsid w:val="5FC35293"/>
    <w:rsid w:val="60033374"/>
    <w:rsid w:val="600D1887"/>
    <w:rsid w:val="601F39AC"/>
    <w:rsid w:val="60456E5A"/>
    <w:rsid w:val="606611F8"/>
    <w:rsid w:val="606A0927"/>
    <w:rsid w:val="60750A5B"/>
    <w:rsid w:val="607522E4"/>
    <w:rsid w:val="607934F6"/>
    <w:rsid w:val="607A0CA4"/>
    <w:rsid w:val="607F0D85"/>
    <w:rsid w:val="608D6203"/>
    <w:rsid w:val="60A7237F"/>
    <w:rsid w:val="60D914F9"/>
    <w:rsid w:val="60DC420F"/>
    <w:rsid w:val="60EA42BB"/>
    <w:rsid w:val="610B17B3"/>
    <w:rsid w:val="610E045B"/>
    <w:rsid w:val="6148513F"/>
    <w:rsid w:val="614900DA"/>
    <w:rsid w:val="614958AE"/>
    <w:rsid w:val="614B2C99"/>
    <w:rsid w:val="61501332"/>
    <w:rsid w:val="61517704"/>
    <w:rsid w:val="61A00D01"/>
    <w:rsid w:val="61CB0398"/>
    <w:rsid w:val="61E77F11"/>
    <w:rsid w:val="61FA2D57"/>
    <w:rsid w:val="62073131"/>
    <w:rsid w:val="620B5412"/>
    <w:rsid w:val="620F34E4"/>
    <w:rsid w:val="621D2C7D"/>
    <w:rsid w:val="62304F98"/>
    <w:rsid w:val="624C7762"/>
    <w:rsid w:val="62622680"/>
    <w:rsid w:val="62651F9B"/>
    <w:rsid w:val="62785189"/>
    <w:rsid w:val="627C2E83"/>
    <w:rsid w:val="628561B1"/>
    <w:rsid w:val="62936A2E"/>
    <w:rsid w:val="62B23C0C"/>
    <w:rsid w:val="62DF451C"/>
    <w:rsid w:val="62E479F1"/>
    <w:rsid w:val="62E75E06"/>
    <w:rsid w:val="62E84015"/>
    <w:rsid w:val="62EE7FBB"/>
    <w:rsid w:val="630E3028"/>
    <w:rsid w:val="632743B5"/>
    <w:rsid w:val="6337726C"/>
    <w:rsid w:val="633D728E"/>
    <w:rsid w:val="63593384"/>
    <w:rsid w:val="636A08A2"/>
    <w:rsid w:val="636B2783"/>
    <w:rsid w:val="63777684"/>
    <w:rsid w:val="639022D0"/>
    <w:rsid w:val="63DA603A"/>
    <w:rsid w:val="63E83945"/>
    <w:rsid w:val="64066321"/>
    <w:rsid w:val="642F23C5"/>
    <w:rsid w:val="64427CA3"/>
    <w:rsid w:val="649E03FE"/>
    <w:rsid w:val="64A47D9C"/>
    <w:rsid w:val="64BE53A3"/>
    <w:rsid w:val="64D1763C"/>
    <w:rsid w:val="64DB4A0D"/>
    <w:rsid w:val="64F3490E"/>
    <w:rsid w:val="64F475D0"/>
    <w:rsid w:val="64FB09DF"/>
    <w:rsid w:val="6502028F"/>
    <w:rsid w:val="650A4E00"/>
    <w:rsid w:val="65123550"/>
    <w:rsid w:val="6517300B"/>
    <w:rsid w:val="65267D7D"/>
    <w:rsid w:val="654C0271"/>
    <w:rsid w:val="654D1FDF"/>
    <w:rsid w:val="657140B6"/>
    <w:rsid w:val="65743936"/>
    <w:rsid w:val="657630EF"/>
    <w:rsid w:val="65AC593A"/>
    <w:rsid w:val="65B0610E"/>
    <w:rsid w:val="65DA6CA5"/>
    <w:rsid w:val="65EC496C"/>
    <w:rsid w:val="65F1000E"/>
    <w:rsid w:val="660B002C"/>
    <w:rsid w:val="66200283"/>
    <w:rsid w:val="663F542A"/>
    <w:rsid w:val="664C0DCF"/>
    <w:rsid w:val="66724724"/>
    <w:rsid w:val="66BB5299"/>
    <w:rsid w:val="66C8550E"/>
    <w:rsid w:val="66CD4FB4"/>
    <w:rsid w:val="66E35836"/>
    <w:rsid w:val="670747EC"/>
    <w:rsid w:val="67301B6F"/>
    <w:rsid w:val="67493059"/>
    <w:rsid w:val="675672BB"/>
    <w:rsid w:val="675D6959"/>
    <w:rsid w:val="676E3F0B"/>
    <w:rsid w:val="67722BEE"/>
    <w:rsid w:val="678A77BE"/>
    <w:rsid w:val="67A14CCC"/>
    <w:rsid w:val="67A84C8D"/>
    <w:rsid w:val="67B0630D"/>
    <w:rsid w:val="67B853CF"/>
    <w:rsid w:val="67C83087"/>
    <w:rsid w:val="67DF74D4"/>
    <w:rsid w:val="67F37CEC"/>
    <w:rsid w:val="680F66F8"/>
    <w:rsid w:val="6816723B"/>
    <w:rsid w:val="6827226A"/>
    <w:rsid w:val="682C2940"/>
    <w:rsid w:val="683E75F2"/>
    <w:rsid w:val="68467ABC"/>
    <w:rsid w:val="6865718C"/>
    <w:rsid w:val="68680574"/>
    <w:rsid w:val="689602F4"/>
    <w:rsid w:val="68C15FD1"/>
    <w:rsid w:val="690C66BC"/>
    <w:rsid w:val="691122AE"/>
    <w:rsid w:val="695406E0"/>
    <w:rsid w:val="695A6274"/>
    <w:rsid w:val="697D5D48"/>
    <w:rsid w:val="697F2809"/>
    <w:rsid w:val="698F17E8"/>
    <w:rsid w:val="6991028E"/>
    <w:rsid w:val="699A1E01"/>
    <w:rsid w:val="69A52777"/>
    <w:rsid w:val="69C0298F"/>
    <w:rsid w:val="69CA4BCF"/>
    <w:rsid w:val="6A020F97"/>
    <w:rsid w:val="6A082292"/>
    <w:rsid w:val="6A227444"/>
    <w:rsid w:val="6A3D1A13"/>
    <w:rsid w:val="6A4673F3"/>
    <w:rsid w:val="6A472C58"/>
    <w:rsid w:val="6A51156E"/>
    <w:rsid w:val="6A6F5DBB"/>
    <w:rsid w:val="6A9B7DD8"/>
    <w:rsid w:val="6AA46897"/>
    <w:rsid w:val="6AAA418C"/>
    <w:rsid w:val="6ABD3077"/>
    <w:rsid w:val="6AD505F2"/>
    <w:rsid w:val="6AED38B0"/>
    <w:rsid w:val="6AF066C5"/>
    <w:rsid w:val="6B0D2E6C"/>
    <w:rsid w:val="6B1A18CC"/>
    <w:rsid w:val="6B1E47C4"/>
    <w:rsid w:val="6B385F86"/>
    <w:rsid w:val="6B3C1ADE"/>
    <w:rsid w:val="6B442E5D"/>
    <w:rsid w:val="6B611003"/>
    <w:rsid w:val="6B6E6074"/>
    <w:rsid w:val="6B9337AD"/>
    <w:rsid w:val="6B9D5759"/>
    <w:rsid w:val="6BBE7F33"/>
    <w:rsid w:val="6BBF2471"/>
    <w:rsid w:val="6BC3620B"/>
    <w:rsid w:val="6BDF7F28"/>
    <w:rsid w:val="6C340198"/>
    <w:rsid w:val="6C404726"/>
    <w:rsid w:val="6C465105"/>
    <w:rsid w:val="6C61108B"/>
    <w:rsid w:val="6C6A7B7C"/>
    <w:rsid w:val="6C6B76E4"/>
    <w:rsid w:val="6CE31E95"/>
    <w:rsid w:val="6CEA2506"/>
    <w:rsid w:val="6CFA02EB"/>
    <w:rsid w:val="6D0A2DFE"/>
    <w:rsid w:val="6D146220"/>
    <w:rsid w:val="6D2D541D"/>
    <w:rsid w:val="6D2F26CC"/>
    <w:rsid w:val="6D3839A0"/>
    <w:rsid w:val="6D5E05B4"/>
    <w:rsid w:val="6D6340C5"/>
    <w:rsid w:val="6D6D4857"/>
    <w:rsid w:val="6D8952C4"/>
    <w:rsid w:val="6D9466CD"/>
    <w:rsid w:val="6D984603"/>
    <w:rsid w:val="6D9A2ED9"/>
    <w:rsid w:val="6DAC05E0"/>
    <w:rsid w:val="6DAF0687"/>
    <w:rsid w:val="6DC3749A"/>
    <w:rsid w:val="6DD06048"/>
    <w:rsid w:val="6DE2571C"/>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825173"/>
    <w:rsid w:val="6E935534"/>
    <w:rsid w:val="6E9B3CBB"/>
    <w:rsid w:val="6EBB33FE"/>
    <w:rsid w:val="6ED23C2E"/>
    <w:rsid w:val="6EE07773"/>
    <w:rsid w:val="6EF675F4"/>
    <w:rsid w:val="6EFF0393"/>
    <w:rsid w:val="6F224A9A"/>
    <w:rsid w:val="6F2D2520"/>
    <w:rsid w:val="6F43582A"/>
    <w:rsid w:val="6F4E6A62"/>
    <w:rsid w:val="6F51727C"/>
    <w:rsid w:val="6F891938"/>
    <w:rsid w:val="6F93722C"/>
    <w:rsid w:val="6F99791C"/>
    <w:rsid w:val="6FD35B04"/>
    <w:rsid w:val="6FDE5BAB"/>
    <w:rsid w:val="6FF036DD"/>
    <w:rsid w:val="7001053D"/>
    <w:rsid w:val="703F56BE"/>
    <w:rsid w:val="70461870"/>
    <w:rsid w:val="70574C0E"/>
    <w:rsid w:val="7066163C"/>
    <w:rsid w:val="7075449A"/>
    <w:rsid w:val="70957F22"/>
    <w:rsid w:val="70CA434A"/>
    <w:rsid w:val="70D464A7"/>
    <w:rsid w:val="70D727DD"/>
    <w:rsid w:val="70EF0410"/>
    <w:rsid w:val="70F62BCC"/>
    <w:rsid w:val="70FF136C"/>
    <w:rsid w:val="710010D9"/>
    <w:rsid w:val="71013CFA"/>
    <w:rsid w:val="711112DF"/>
    <w:rsid w:val="711F132C"/>
    <w:rsid w:val="7134426B"/>
    <w:rsid w:val="716A1FBB"/>
    <w:rsid w:val="716E32F1"/>
    <w:rsid w:val="718D7630"/>
    <w:rsid w:val="71910A05"/>
    <w:rsid w:val="71BF767B"/>
    <w:rsid w:val="71CE63D4"/>
    <w:rsid w:val="71D22D28"/>
    <w:rsid w:val="71E03E7D"/>
    <w:rsid w:val="71E12F48"/>
    <w:rsid w:val="71E44647"/>
    <w:rsid w:val="72290171"/>
    <w:rsid w:val="722A607A"/>
    <w:rsid w:val="724F4046"/>
    <w:rsid w:val="729749D4"/>
    <w:rsid w:val="72AE0C4A"/>
    <w:rsid w:val="72B375A2"/>
    <w:rsid w:val="72C0586E"/>
    <w:rsid w:val="72F8181C"/>
    <w:rsid w:val="72FE0D2A"/>
    <w:rsid w:val="73163B23"/>
    <w:rsid w:val="731B3260"/>
    <w:rsid w:val="7334225F"/>
    <w:rsid w:val="734D438E"/>
    <w:rsid w:val="734E4B79"/>
    <w:rsid w:val="735C1BCC"/>
    <w:rsid w:val="735C2A7D"/>
    <w:rsid w:val="736F5EC2"/>
    <w:rsid w:val="737C5956"/>
    <w:rsid w:val="7382006E"/>
    <w:rsid w:val="73A91A87"/>
    <w:rsid w:val="73B10B9E"/>
    <w:rsid w:val="73E349D9"/>
    <w:rsid w:val="73F36DD0"/>
    <w:rsid w:val="74105E85"/>
    <w:rsid w:val="74280B5A"/>
    <w:rsid w:val="743E01B2"/>
    <w:rsid w:val="74492D05"/>
    <w:rsid w:val="745768E1"/>
    <w:rsid w:val="74611604"/>
    <w:rsid w:val="74616FA7"/>
    <w:rsid w:val="747B74C6"/>
    <w:rsid w:val="74A93E82"/>
    <w:rsid w:val="74BD73CE"/>
    <w:rsid w:val="74BF628F"/>
    <w:rsid w:val="74CF24EA"/>
    <w:rsid w:val="74DF64DD"/>
    <w:rsid w:val="75017DB1"/>
    <w:rsid w:val="75044D2B"/>
    <w:rsid w:val="751A26FA"/>
    <w:rsid w:val="751A6AA1"/>
    <w:rsid w:val="751B5142"/>
    <w:rsid w:val="7526066C"/>
    <w:rsid w:val="753A2E76"/>
    <w:rsid w:val="75437EB4"/>
    <w:rsid w:val="75611536"/>
    <w:rsid w:val="757C338F"/>
    <w:rsid w:val="75906F35"/>
    <w:rsid w:val="75DB58CF"/>
    <w:rsid w:val="75EE0A32"/>
    <w:rsid w:val="75F61D4B"/>
    <w:rsid w:val="760714CE"/>
    <w:rsid w:val="76191871"/>
    <w:rsid w:val="76290E42"/>
    <w:rsid w:val="763C49A2"/>
    <w:rsid w:val="764B4E40"/>
    <w:rsid w:val="76913910"/>
    <w:rsid w:val="7692221F"/>
    <w:rsid w:val="76944F51"/>
    <w:rsid w:val="76951C2D"/>
    <w:rsid w:val="76976122"/>
    <w:rsid w:val="769B4F81"/>
    <w:rsid w:val="76A50F7A"/>
    <w:rsid w:val="76B64AD8"/>
    <w:rsid w:val="76E621C3"/>
    <w:rsid w:val="76F81151"/>
    <w:rsid w:val="77395144"/>
    <w:rsid w:val="77417882"/>
    <w:rsid w:val="77616036"/>
    <w:rsid w:val="778E761C"/>
    <w:rsid w:val="77916499"/>
    <w:rsid w:val="77A96C0F"/>
    <w:rsid w:val="77AB3782"/>
    <w:rsid w:val="77C16D8A"/>
    <w:rsid w:val="77D31D57"/>
    <w:rsid w:val="77D53B7E"/>
    <w:rsid w:val="77E0692E"/>
    <w:rsid w:val="77F07BA5"/>
    <w:rsid w:val="77F35B67"/>
    <w:rsid w:val="78080864"/>
    <w:rsid w:val="780A05C0"/>
    <w:rsid w:val="78276BEA"/>
    <w:rsid w:val="78337AD6"/>
    <w:rsid w:val="783A2BBF"/>
    <w:rsid w:val="784B4388"/>
    <w:rsid w:val="78840773"/>
    <w:rsid w:val="788A5245"/>
    <w:rsid w:val="78990D40"/>
    <w:rsid w:val="78B47DF0"/>
    <w:rsid w:val="78BD7CCE"/>
    <w:rsid w:val="78BF75CB"/>
    <w:rsid w:val="78C01776"/>
    <w:rsid w:val="78C0654C"/>
    <w:rsid w:val="78C748FE"/>
    <w:rsid w:val="78D808F3"/>
    <w:rsid w:val="78D9272A"/>
    <w:rsid w:val="78E63BF6"/>
    <w:rsid w:val="78F61FAE"/>
    <w:rsid w:val="791B1828"/>
    <w:rsid w:val="792A6FFF"/>
    <w:rsid w:val="792B2AD0"/>
    <w:rsid w:val="79330898"/>
    <w:rsid w:val="79362295"/>
    <w:rsid w:val="7946391D"/>
    <w:rsid w:val="79717EC3"/>
    <w:rsid w:val="79760722"/>
    <w:rsid w:val="79A15A0C"/>
    <w:rsid w:val="79A32C7B"/>
    <w:rsid w:val="79A81FAE"/>
    <w:rsid w:val="79AC0891"/>
    <w:rsid w:val="79AC45E0"/>
    <w:rsid w:val="79AC4D82"/>
    <w:rsid w:val="79D336E1"/>
    <w:rsid w:val="79D9115C"/>
    <w:rsid w:val="79E97912"/>
    <w:rsid w:val="79FB0742"/>
    <w:rsid w:val="7A0213AE"/>
    <w:rsid w:val="7A0B0004"/>
    <w:rsid w:val="7A172839"/>
    <w:rsid w:val="7A306A90"/>
    <w:rsid w:val="7A890A65"/>
    <w:rsid w:val="7A8F26A7"/>
    <w:rsid w:val="7A925C99"/>
    <w:rsid w:val="7A9961D7"/>
    <w:rsid w:val="7A9C34D6"/>
    <w:rsid w:val="7AAC76B9"/>
    <w:rsid w:val="7ABF51CD"/>
    <w:rsid w:val="7AE12202"/>
    <w:rsid w:val="7B022F10"/>
    <w:rsid w:val="7B0D2F9A"/>
    <w:rsid w:val="7B3B125D"/>
    <w:rsid w:val="7B3F013E"/>
    <w:rsid w:val="7B43183F"/>
    <w:rsid w:val="7B590B76"/>
    <w:rsid w:val="7B6139F0"/>
    <w:rsid w:val="7B873792"/>
    <w:rsid w:val="7BB14D15"/>
    <w:rsid w:val="7BD9713D"/>
    <w:rsid w:val="7BFB2649"/>
    <w:rsid w:val="7C02600A"/>
    <w:rsid w:val="7C153412"/>
    <w:rsid w:val="7C195509"/>
    <w:rsid w:val="7C400E30"/>
    <w:rsid w:val="7C511DFE"/>
    <w:rsid w:val="7C593EAE"/>
    <w:rsid w:val="7C8860C7"/>
    <w:rsid w:val="7CBE0892"/>
    <w:rsid w:val="7CE55FBE"/>
    <w:rsid w:val="7CE80B33"/>
    <w:rsid w:val="7D134E44"/>
    <w:rsid w:val="7D171DDD"/>
    <w:rsid w:val="7D2A2F5A"/>
    <w:rsid w:val="7D3F16EC"/>
    <w:rsid w:val="7D4679B5"/>
    <w:rsid w:val="7D5167D6"/>
    <w:rsid w:val="7D5E31AA"/>
    <w:rsid w:val="7D611DF2"/>
    <w:rsid w:val="7D7C35F3"/>
    <w:rsid w:val="7D8B55FE"/>
    <w:rsid w:val="7D8D4931"/>
    <w:rsid w:val="7DC3440A"/>
    <w:rsid w:val="7DDA027D"/>
    <w:rsid w:val="7DE201AC"/>
    <w:rsid w:val="7DE46520"/>
    <w:rsid w:val="7DF65060"/>
    <w:rsid w:val="7E0702D8"/>
    <w:rsid w:val="7E1A1248"/>
    <w:rsid w:val="7E312E27"/>
    <w:rsid w:val="7E4013C8"/>
    <w:rsid w:val="7E611873"/>
    <w:rsid w:val="7E83663A"/>
    <w:rsid w:val="7E846634"/>
    <w:rsid w:val="7EB31AB8"/>
    <w:rsid w:val="7EBB77C0"/>
    <w:rsid w:val="7EBC71FA"/>
    <w:rsid w:val="7ECB3119"/>
    <w:rsid w:val="7ED3266C"/>
    <w:rsid w:val="7EEE218F"/>
    <w:rsid w:val="7EEE6B7F"/>
    <w:rsid w:val="7EF4144E"/>
    <w:rsid w:val="7EF7261F"/>
    <w:rsid w:val="7F15145C"/>
    <w:rsid w:val="7F3A7824"/>
    <w:rsid w:val="7F4360B6"/>
    <w:rsid w:val="7F46795F"/>
    <w:rsid w:val="7F4D7148"/>
    <w:rsid w:val="7F577569"/>
    <w:rsid w:val="7F627193"/>
    <w:rsid w:val="7FBC7702"/>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basedOn w:val="51"/>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31</TotalTime>
  <ScaleCrop>false</ScaleCrop>
  <LinksUpToDate>false</LinksUpToDate>
  <CharactersWithSpaces>31608</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zhaobiao</cp:lastModifiedBy>
  <cp:lastPrinted>2018-07-23T02:56:00Z</cp:lastPrinted>
  <dcterms:modified xsi:type="dcterms:W3CDTF">2019-08-09T01:52:45Z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