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highlight w:val="none"/>
        </w:rPr>
      </w:pPr>
      <w:r>
        <w:rPr>
          <w:rFonts w:eastAsia="黑体"/>
          <w:sz w:val="52"/>
          <w:highlight w:val="none"/>
        </w:rPr>
        <w:pict>
          <v:shape id="_x0000_i1025" o:spt="75" alt="图片1" type="#_x0000_t75" style="height:34.5pt;width:87.75pt;" filled="f" o:preferrelative="t" stroked="f" coordsize="21600,21600">
            <v:path/>
            <v:fill on="f" focussize="0,0"/>
            <v:stroke on="f" joinstyle="miter"/>
            <v:imagedata r:id="rId10" o:title=""/>
            <o:lock v:ext="edit" aspectratio="t"/>
            <w10:wrap type="none"/>
            <w10:anchorlock/>
          </v:shape>
        </w:pict>
      </w:r>
    </w:p>
    <w:p>
      <w:pPr>
        <w:pStyle w:val="40"/>
        <w:spacing w:line="240" w:lineRule="auto"/>
        <w:ind w:firstLine="0" w:firstLineChars="0"/>
        <w:jc w:val="center"/>
        <w:rPr>
          <w:sz w:val="52"/>
          <w:highlight w:val="none"/>
        </w:rPr>
      </w:pPr>
      <w:bookmarkStart w:id="224" w:name="_GoBack"/>
      <w:bookmarkEnd w:id="224"/>
      <w:r>
        <w:rPr>
          <w:sz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249" w:firstLineChars="700"/>
        <w:textAlignment w:val="auto"/>
        <w:outlineLvl w:val="9"/>
        <w:rPr>
          <w:rFonts w:ascii="宋体" w:hAnsi="宋体"/>
          <w:b/>
          <w:sz w:val="32"/>
          <w:szCs w:val="24"/>
          <w:highlight w:val="none"/>
        </w:rPr>
      </w:pPr>
      <w:r>
        <w:rPr>
          <w:rFonts w:hint="eastAsia" w:ascii="宋体" w:hAnsi="宋体"/>
          <w:b/>
          <w:sz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eastAsia="华文中宋"/>
          <w:b/>
          <w:sz w:val="72"/>
          <w:szCs w:val="32"/>
          <w:highlight w:val="none"/>
        </w:rPr>
      </w:pPr>
      <w:r>
        <w:rPr>
          <w:rFonts w:hint="eastAsia" w:ascii="宋体" w:hAnsi="宋体"/>
          <w:b/>
          <w:sz w:val="44"/>
          <w:szCs w:val="36"/>
          <w:highlight w:val="none"/>
        </w:rPr>
        <w:t>山东大学第二医院医疗设备采购项目</w:t>
      </w: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both"/>
        <w:rPr>
          <w:rFonts w:eastAsia="华文中宋"/>
          <w:b/>
          <w:sz w:val="52"/>
          <w:highlight w:val="none"/>
        </w:rPr>
      </w:pPr>
    </w:p>
    <w:p>
      <w:pPr>
        <w:pStyle w:val="19"/>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w:t>
      </w:r>
      <w:r>
        <w:rPr>
          <w:rFonts w:hint="eastAsia" w:ascii="宋体" w:hAnsi="宋体"/>
          <w:b/>
          <w:sz w:val="32"/>
          <w:highlight w:val="none"/>
          <w:lang w:eastAsia="zh-CN"/>
        </w:rPr>
        <w:t>招标</w:t>
      </w:r>
      <w:r>
        <w:rPr>
          <w:rFonts w:hint="eastAsia" w:ascii="宋体" w:hAnsi="宋体"/>
          <w:b/>
          <w:sz w:val="32"/>
          <w:highlight w:val="none"/>
        </w:rPr>
        <w:t>编号</w:t>
      </w:r>
      <w:r>
        <w:rPr>
          <w:rFonts w:hint="eastAsia" w:ascii="宋体" w:hAnsi="宋体"/>
          <w:b/>
          <w:sz w:val="32"/>
          <w:highlight w:val="none"/>
          <w:lang w:val="en-US" w:eastAsia="zh-CN"/>
        </w:rPr>
        <w:t>：</w:t>
      </w:r>
      <w:r>
        <w:rPr>
          <w:rFonts w:hint="eastAsia" w:ascii="宋体" w:hAnsi="宋体"/>
          <w:b/>
          <w:sz w:val="32"/>
          <w:highlight w:val="none"/>
          <w:lang w:eastAsia="zh-CN"/>
        </w:rPr>
        <w:t>0676-196008ZB018029</w:t>
      </w:r>
    </w:p>
    <w:p>
      <w:pPr>
        <w:spacing w:line="480" w:lineRule="auto"/>
        <w:rPr>
          <w:rFonts w:hint="eastAsia" w:ascii="宋体" w:hAnsi="宋体" w:cs="Times New Roman"/>
          <w:b/>
          <w:sz w:val="32"/>
          <w:highlight w:val="none"/>
          <w:lang w:val="en-US" w:eastAsia="zh-CN"/>
        </w:rPr>
      </w:pPr>
      <w:r>
        <w:rPr>
          <w:rFonts w:hint="eastAsia" w:ascii="宋体" w:hAnsi="宋体"/>
          <w:b/>
          <w:sz w:val="32"/>
          <w:highlight w:val="none"/>
          <w:lang w:val="en-US" w:eastAsia="zh-CN"/>
        </w:rPr>
        <w:t xml:space="preserve">          招标内容：医疗设备采购</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lang w:eastAsia="zh-CN"/>
        </w:rPr>
        <w:t>〇</w:t>
      </w:r>
      <w:r>
        <w:rPr>
          <w:rFonts w:hint="eastAsia" w:ascii="宋体" w:hAnsi="宋体"/>
          <w:b/>
          <w:sz w:val="32"/>
          <w:szCs w:val="32"/>
          <w:highlight w:val="none"/>
        </w:rPr>
        <w:t>一九年</w:t>
      </w:r>
      <w:r>
        <w:rPr>
          <w:rFonts w:hint="eastAsia" w:ascii="宋体" w:hAnsi="宋体"/>
          <w:b/>
          <w:sz w:val="32"/>
          <w:szCs w:val="32"/>
          <w:highlight w:val="none"/>
          <w:lang w:eastAsia="zh-CN"/>
        </w:rPr>
        <w:t>八</w:t>
      </w:r>
      <w:r>
        <w:rPr>
          <w:rFonts w:hint="eastAsia" w:ascii="宋体" w:hAnsi="宋体"/>
          <w:b/>
          <w:sz w:val="32"/>
          <w:szCs w:val="32"/>
          <w:highlight w:val="none"/>
        </w:rPr>
        <w:t>月</w:t>
      </w:r>
    </w:p>
    <w:p>
      <w:pPr>
        <w:pStyle w:val="19"/>
        <w:spacing w:line="360" w:lineRule="auto"/>
        <w:jc w:val="center"/>
        <w:rPr>
          <w:rFonts w:ascii="宋体"/>
          <w:sz w:val="30"/>
          <w:szCs w:val="30"/>
          <w:highlight w:val="none"/>
        </w:rPr>
        <w:sectPr>
          <w:headerReference r:id="rId4" w:type="first"/>
          <w:footerReference r:id="rId6" w:type="first"/>
          <w:headerReference r:id="rId3" w:type="default"/>
          <w:footerReference r:id="rId5" w:type="default"/>
          <w:type w:val="continuous"/>
          <w:pgSz w:w="11906" w:h="16838"/>
          <w:pgMar w:top="1440" w:right="1800" w:bottom="1440" w:left="1800" w:header="851" w:footer="992" w:gutter="0"/>
          <w:pgNumType w:fmt="decimal" w:start="0"/>
          <w:cols w:space="0" w:num="1"/>
          <w:titlePg/>
          <w:rtlGutter w:val="0"/>
          <w:docGrid w:type="lines" w:linePitch="312" w:charSpace="0"/>
        </w:sectPr>
      </w:pPr>
    </w:p>
    <w:p>
      <w:pPr>
        <w:pStyle w:val="19"/>
        <w:spacing w:line="360" w:lineRule="auto"/>
        <w:jc w:val="center"/>
        <w:rPr>
          <w:rFonts w:ascii="宋体"/>
          <w:sz w:val="30"/>
          <w:szCs w:val="30"/>
          <w:highlight w:val="none"/>
        </w:rPr>
      </w:pPr>
    </w:p>
    <w:p>
      <w:pPr>
        <w:pStyle w:val="19"/>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sz w:val="24"/>
          <w:szCs w:val="22"/>
          <w:highlight w:val="none"/>
        </w:rPr>
        <w:fldChar w:fldCharType="begin"/>
      </w:r>
      <w:r>
        <w:rPr>
          <w:sz w:val="24"/>
          <w:szCs w:val="22"/>
          <w:highlight w:val="none"/>
        </w:rPr>
        <w:instrText xml:space="preserve"> PAGEREF _Toc15040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9</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9</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28</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29</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sz w:val="24"/>
          <w:szCs w:val="22"/>
          <w:highlight w:val="none"/>
        </w:rPr>
        <w:fldChar w:fldCharType="begin"/>
      </w:r>
      <w:r>
        <w:rPr>
          <w:sz w:val="24"/>
          <w:szCs w:val="22"/>
          <w:highlight w:val="none"/>
        </w:rPr>
        <w:instrText xml:space="preserve"> PAGEREF _Toc2031 </w:instrText>
      </w:r>
      <w:r>
        <w:rPr>
          <w:sz w:val="24"/>
          <w:szCs w:val="22"/>
          <w:highlight w:val="none"/>
        </w:rPr>
        <w:fldChar w:fldCharType="separate"/>
      </w:r>
      <w:r>
        <w:rPr>
          <w:sz w:val="24"/>
          <w:szCs w:val="22"/>
          <w:highlight w:val="none"/>
        </w:rPr>
        <w:t>30</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44</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19"/>
        <w:spacing w:line="360" w:lineRule="auto"/>
        <w:jc w:val="center"/>
        <w:rPr>
          <w:rFonts w:ascii="宋体"/>
          <w:bCs/>
          <w:highlight w:val="none"/>
        </w:rPr>
      </w:pPr>
      <w:r>
        <w:rPr>
          <w:rFonts w:ascii="宋体"/>
          <w:bCs/>
          <w:highlight w:val="none"/>
        </w:rPr>
        <w:fldChar w:fldCharType="end"/>
      </w:r>
    </w:p>
    <w:p>
      <w:pPr>
        <w:pStyle w:val="19"/>
        <w:spacing w:line="360" w:lineRule="auto"/>
        <w:jc w:val="both"/>
        <w:rPr>
          <w:rFonts w:ascii="宋体"/>
          <w:b/>
          <w:sz w:val="36"/>
          <w:highlight w:val="none"/>
        </w:rPr>
      </w:pPr>
    </w:p>
    <w:p>
      <w:pPr>
        <w:pStyle w:val="20"/>
        <w:tabs>
          <w:tab w:val="left" w:pos="0"/>
        </w:tabs>
        <w:spacing w:line="440" w:lineRule="exact"/>
        <w:ind w:left="0" w:leftChars="0" w:firstLine="0" w:firstLineChars="0"/>
        <w:jc w:val="center"/>
        <w:outlineLvl w:val="0"/>
        <w:rPr>
          <w:rFonts w:hint="eastAsia" w:ascii="宋体" w:hAnsi="宋体"/>
          <w:b/>
          <w:sz w:val="36"/>
          <w:highlight w:val="none"/>
        </w:rPr>
      </w:pPr>
      <w:bookmarkStart w:id="0" w:name="_Toc15040"/>
      <w:r>
        <w:rPr>
          <w:rFonts w:hint="eastAsia" w:ascii="宋体" w:hAnsi="宋体"/>
          <w:b/>
          <w:sz w:val="36"/>
          <w:highlight w:val="none"/>
        </w:rPr>
        <w:br w:type="page"/>
      </w:r>
      <w:r>
        <w:rPr>
          <w:rFonts w:hint="eastAsia" w:ascii="宋体" w:hAnsi="宋体"/>
          <w:b/>
          <w:sz w:val="36"/>
          <w:highlight w:val="none"/>
        </w:rPr>
        <w:t>第一部分</w:t>
      </w:r>
      <w:r>
        <w:rPr>
          <w:rFonts w:hint="eastAsia" w:ascii="宋体" w:hAnsi="宋体"/>
          <w:b/>
          <w:sz w:val="36"/>
          <w:highlight w:val="none"/>
          <w:lang w:val="en-US" w:eastAsia="zh-CN"/>
        </w:rPr>
        <w:t xml:space="preserve">   </w:t>
      </w:r>
      <w:r>
        <w:rPr>
          <w:rFonts w:hint="eastAsia" w:ascii="宋体" w:hAnsi="宋体"/>
          <w:b/>
          <w:sz w:val="36"/>
          <w:highlight w:val="none"/>
        </w:rPr>
        <w:t>招标公告</w:t>
      </w:r>
      <w:bookmarkEnd w:id="0"/>
    </w:p>
    <w:p>
      <w:pPr>
        <w:pStyle w:val="20"/>
        <w:tabs>
          <w:tab w:val="left" w:pos="0"/>
        </w:tabs>
        <w:spacing w:line="440" w:lineRule="exact"/>
        <w:ind w:left="0" w:leftChars="0" w:firstLine="0" w:firstLineChars="0"/>
        <w:jc w:val="center"/>
        <w:outlineLvl w:val="0"/>
        <w:rPr>
          <w:rFonts w:hint="eastAsia" w:ascii="宋体" w:hAnsi="宋体"/>
          <w:b/>
          <w:sz w:val="36"/>
          <w:highlight w:val="none"/>
        </w:rPr>
      </w:pPr>
    </w:p>
    <w:p>
      <w:pPr>
        <w:pStyle w:val="20"/>
        <w:tabs>
          <w:tab w:val="left" w:pos="0"/>
        </w:tabs>
        <w:spacing w:line="440" w:lineRule="exact"/>
        <w:ind w:left="0" w:leftChars="0" w:firstLine="0" w:firstLineChars="0"/>
        <w:jc w:val="center"/>
        <w:outlineLvl w:val="0"/>
        <w:rPr>
          <w:rFonts w:hint="eastAsia" w:ascii="宋体" w:hAnsi="宋体"/>
          <w:b/>
          <w:color w:val="000000"/>
          <w:sz w:val="30"/>
          <w:szCs w:val="30"/>
          <w:highlight w:val="none"/>
        </w:rPr>
      </w:pPr>
      <w:r>
        <w:rPr>
          <w:rFonts w:hint="eastAsia" w:ascii="宋体" w:hAnsi="宋体"/>
          <w:b/>
          <w:color w:val="000000"/>
          <w:sz w:val="30"/>
          <w:szCs w:val="30"/>
          <w:highlight w:val="none"/>
        </w:rPr>
        <w:t>山东大学第二医院医疗设备采购招标公告</w:t>
      </w:r>
    </w:p>
    <w:p>
      <w:pPr>
        <w:pStyle w:val="20"/>
        <w:tabs>
          <w:tab w:val="left" w:pos="0"/>
        </w:tabs>
        <w:spacing w:line="440" w:lineRule="exact"/>
        <w:ind w:left="0" w:leftChars="0" w:firstLine="0" w:firstLineChars="0"/>
        <w:jc w:val="center"/>
        <w:outlineLvl w:val="0"/>
        <w:rPr>
          <w:rFonts w:hint="eastAsia" w:ascii="宋体" w:hAnsi="宋体"/>
          <w:b/>
          <w:color w:val="000000"/>
          <w:sz w:val="30"/>
          <w:szCs w:val="30"/>
          <w:highlight w:val="none"/>
        </w:rPr>
      </w:pP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w:t>
      </w:r>
      <w:r>
        <w:rPr>
          <w:rFonts w:hint="eastAsia" w:ascii="宋体" w:hAnsi="宋体" w:cs="宋体"/>
          <w:b/>
          <w:sz w:val="24"/>
          <w:highlight w:val="none"/>
          <w:lang w:eastAsia="zh-CN"/>
        </w:rPr>
        <w:t>采购人</w:t>
      </w:r>
      <w:r>
        <w:rPr>
          <w:rFonts w:hint="eastAsia" w:ascii="宋体" w:hAnsi="宋体" w:cs="宋体"/>
          <w:b/>
          <w:sz w:val="24"/>
          <w:highlight w:val="none"/>
        </w:rPr>
        <w:t>名称：</w:t>
      </w:r>
      <w:r>
        <w:rPr>
          <w:rFonts w:hint="eastAsia" w:ascii="宋体" w:hAnsi="宋体" w:cs="宋体"/>
          <w:sz w:val="24"/>
          <w:highlight w:val="none"/>
        </w:rPr>
        <w:t>山东大学第二医院</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w:t>
      </w:r>
      <w:r>
        <w:rPr>
          <w:rFonts w:hint="eastAsia" w:ascii="宋体" w:hAnsi="宋体" w:cs="宋体"/>
          <w:b/>
          <w:sz w:val="24"/>
          <w:highlight w:val="none"/>
          <w:lang w:eastAsia="zh-CN"/>
        </w:rPr>
        <w:t>采购代理</w:t>
      </w:r>
      <w:r>
        <w:rPr>
          <w:rFonts w:hint="eastAsia" w:ascii="宋体" w:hAnsi="宋体" w:cs="宋体"/>
          <w:b/>
          <w:sz w:val="24"/>
          <w:highlight w:val="none"/>
        </w:rPr>
        <w:t>机构名称：</w:t>
      </w:r>
      <w:r>
        <w:rPr>
          <w:rFonts w:hint="eastAsia" w:ascii="宋体" w:hAnsi="宋体" w:cs="宋体"/>
          <w:sz w:val="24"/>
          <w:highlight w:val="none"/>
        </w:rPr>
        <w:t>山东省鲁成招标有限公司</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asci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联系方式：0531-83191865</w:t>
      </w:r>
      <w:r>
        <w:rPr>
          <w:rFonts w:hint="eastAsia" w:ascii="宋体" w:hAnsi="宋体" w:cs="宋体"/>
          <w:sz w:val="24"/>
          <w:highlight w:val="none"/>
          <w:lang w:val="en-US" w:eastAsia="zh-CN"/>
        </w:rPr>
        <w:t>/83191895</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ascii="宋体" w:hAnsi="宋体" w:cs="宋体"/>
          <w:b/>
          <w:sz w:val="24"/>
          <w:highlight w:val="none"/>
        </w:rPr>
        <w:t>3</w:t>
      </w:r>
      <w:r>
        <w:rPr>
          <w:rFonts w:hint="eastAsia" w:ascii="宋体" w:hAnsi="宋体" w:cs="宋体"/>
          <w:b/>
          <w:sz w:val="24"/>
          <w:highlight w:val="none"/>
        </w:rPr>
        <w:t>、项目名称：</w:t>
      </w:r>
      <w:r>
        <w:rPr>
          <w:rFonts w:hint="eastAsia" w:ascii="宋体" w:hAnsi="宋体" w:cs="宋体"/>
          <w:sz w:val="24"/>
          <w:highlight w:val="none"/>
        </w:rPr>
        <w:t>山东大学第二医院医疗设备采购</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sz w:val="24"/>
          <w:highlight w:val="none"/>
          <w:lang w:eastAsia="zh-CN"/>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lang w:eastAsia="zh-CN"/>
        </w:rPr>
        <w:t>0676-196008ZB018029</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w:t>
      </w:r>
      <w:r>
        <w:rPr>
          <w:rFonts w:hint="eastAsia" w:ascii="宋体" w:hAnsi="宋体" w:cs="宋体"/>
          <w:b/>
          <w:sz w:val="24"/>
          <w:highlight w:val="none"/>
          <w:lang w:eastAsia="zh-CN"/>
        </w:rPr>
        <w:t>采购项目分包情况</w:t>
      </w:r>
      <w:r>
        <w:rPr>
          <w:rFonts w:hint="eastAsia" w:ascii="宋体" w:hAnsi="宋体" w:cs="宋体"/>
          <w:b/>
          <w:sz w:val="24"/>
          <w:highlight w:val="none"/>
        </w:rPr>
        <w:t>：</w:t>
      </w:r>
      <w:r>
        <w:rPr>
          <w:rFonts w:hint="eastAsia" w:ascii="宋体" w:hAnsi="宋体" w:cs="宋体"/>
          <w:sz w:val="24"/>
          <w:highlight w:val="none"/>
        </w:rPr>
        <w:t>本次招标为山东大学第二医院医疗设备</w:t>
      </w:r>
      <w:r>
        <w:rPr>
          <w:rFonts w:hint="eastAsia" w:ascii="宋体" w:hAnsi="宋体" w:cs="宋体"/>
          <w:sz w:val="24"/>
          <w:highlight w:val="none"/>
          <w:lang w:eastAsia="zh-CN"/>
        </w:rPr>
        <w:t>采购项目</w:t>
      </w:r>
      <w:r>
        <w:rPr>
          <w:rFonts w:hint="eastAsia" w:ascii="宋体" w:hAnsi="宋体" w:cs="宋体"/>
          <w:sz w:val="24"/>
          <w:highlight w:val="none"/>
        </w:rPr>
        <w:t>，具体技术要求详见招标文件，共分</w:t>
      </w:r>
      <w:r>
        <w:rPr>
          <w:rFonts w:hint="eastAsia" w:ascii="宋体" w:hAnsi="宋体" w:cs="宋体"/>
          <w:sz w:val="24"/>
          <w:highlight w:val="none"/>
          <w:lang w:val="en-US" w:eastAsia="zh-CN"/>
        </w:rPr>
        <w:t>2</w:t>
      </w:r>
      <w:r>
        <w:rPr>
          <w:rFonts w:hint="eastAsia" w:ascii="宋体" w:hAnsi="宋体" w:cs="宋体"/>
          <w:sz w:val="24"/>
          <w:highlight w:val="none"/>
        </w:rPr>
        <w:t>个包，分包情况如下：</w:t>
      </w:r>
    </w:p>
    <w:tbl>
      <w:tblPr>
        <w:tblStyle w:val="49"/>
        <w:tblW w:w="10080" w:type="dxa"/>
        <w:jc w:val="center"/>
        <w:tblInd w:w="97" w:type="dxa"/>
        <w:tblLayout w:type="fixed"/>
        <w:tblCellMar>
          <w:top w:w="0" w:type="dxa"/>
          <w:left w:w="15" w:type="dxa"/>
          <w:bottom w:w="0" w:type="dxa"/>
          <w:right w:w="15" w:type="dxa"/>
        </w:tblCellMar>
      </w:tblPr>
      <w:tblGrid>
        <w:gridCol w:w="2226"/>
        <w:gridCol w:w="1569"/>
        <w:gridCol w:w="1658"/>
        <w:gridCol w:w="1809"/>
        <w:gridCol w:w="1629"/>
        <w:gridCol w:w="1189"/>
      </w:tblGrid>
      <w:tr>
        <w:tblPrEx>
          <w:tblLayout w:type="fixed"/>
          <w:tblCellMar>
            <w:top w:w="0" w:type="dxa"/>
            <w:left w:w="15" w:type="dxa"/>
            <w:bottom w:w="0" w:type="dxa"/>
            <w:right w:w="15" w:type="dxa"/>
          </w:tblCellMar>
        </w:tblPrEx>
        <w:trPr>
          <w:trHeight w:val="949" w:hRule="atLeast"/>
          <w:jc w:val="center"/>
        </w:trPr>
        <w:tc>
          <w:tcPr>
            <w:tcW w:w="22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设备名称</w:t>
            </w:r>
          </w:p>
        </w:tc>
        <w:tc>
          <w:tcPr>
            <w:tcW w:w="15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使用科室</w:t>
            </w: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数量</w:t>
            </w:r>
            <w:r>
              <w:rPr>
                <w:rFonts w:hint="eastAsia" w:ascii="宋体" w:hAnsi="宋体"/>
                <w:color w:val="000000"/>
                <w:sz w:val="24"/>
                <w:highlight w:val="none"/>
                <w:lang w:eastAsia="zh-CN"/>
              </w:rPr>
              <w:t>（台/套）</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预算金额（万元）</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备注</w:t>
            </w:r>
          </w:p>
        </w:tc>
      </w:tr>
      <w:tr>
        <w:tblPrEx>
          <w:tblLayout w:type="fixed"/>
          <w:tblCellMar>
            <w:top w:w="0" w:type="dxa"/>
            <w:left w:w="15" w:type="dxa"/>
            <w:bottom w:w="0" w:type="dxa"/>
            <w:right w:w="15" w:type="dxa"/>
          </w:tblCellMar>
        </w:tblPrEx>
        <w:trPr>
          <w:trHeight w:val="761" w:hRule="atLeast"/>
          <w:jc w:val="center"/>
        </w:trPr>
        <w:tc>
          <w:tcPr>
            <w:tcW w:w="22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宋体" w:eastAsia="宋体"/>
                <w:color w:val="000000"/>
                <w:sz w:val="24"/>
                <w:highlight w:val="none"/>
                <w:lang w:val="en-US" w:eastAsia="zh-CN"/>
              </w:rPr>
            </w:pPr>
            <w:r>
              <w:rPr>
                <w:rFonts w:hint="eastAsia" w:ascii="宋体"/>
                <w:color w:val="000000"/>
                <w:sz w:val="24"/>
                <w:highlight w:val="none"/>
                <w:lang w:eastAsia="zh-CN"/>
              </w:rPr>
              <w:t>包</w:t>
            </w:r>
            <w:r>
              <w:rPr>
                <w:rFonts w:hint="eastAsia" w:ascii="宋体"/>
                <w:color w:val="000000"/>
                <w:sz w:val="24"/>
                <w:highlight w:val="none"/>
                <w:lang w:val="en-US" w:eastAsia="zh-CN"/>
              </w:rPr>
              <w:t>1：</w:t>
            </w:r>
            <w:r>
              <w:rPr>
                <w:rFonts w:hint="eastAsia" w:ascii="宋体"/>
                <w:color w:val="000000"/>
                <w:sz w:val="24"/>
                <w:highlight w:val="none"/>
                <w:lang w:eastAsia="zh-CN"/>
              </w:rPr>
              <w:t>电子鼻咽喉镜</w:t>
            </w:r>
          </w:p>
        </w:tc>
        <w:tc>
          <w:tcPr>
            <w:tcW w:w="15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bidi w:val="0"/>
              <w:adjustRightInd w:val="0"/>
              <w:snapToGrid w:val="0"/>
              <w:spacing w:line="360" w:lineRule="auto"/>
              <w:jc w:val="center"/>
              <w:textAlignment w:val="center"/>
              <w:rPr>
                <w:rFonts w:hint="eastAsia" w:ascii="宋体" w:eastAsia="宋体"/>
                <w:color w:val="000000"/>
                <w:sz w:val="24"/>
                <w:highlight w:val="none"/>
                <w:lang w:eastAsia="zh-CN"/>
              </w:rPr>
            </w:pPr>
            <w:r>
              <w:rPr>
                <w:rFonts w:hint="eastAsia" w:ascii="宋体"/>
                <w:color w:val="000000"/>
                <w:sz w:val="24"/>
                <w:highlight w:val="none"/>
              </w:rPr>
              <w:t xml:space="preserve"> </w:t>
            </w:r>
            <w:r>
              <w:rPr>
                <w:rFonts w:hint="eastAsia" w:ascii="宋体"/>
                <w:color w:val="000000"/>
                <w:sz w:val="24"/>
                <w:highlight w:val="none"/>
                <w:lang w:eastAsia="zh-CN"/>
              </w:rPr>
              <w:t>耳鼻喉科</w:t>
            </w: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000000"/>
                <w:sz w:val="24"/>
                <w:highlight w:val="none"/>
                <w:lang w:val="en-US" w:eastAsia="zh-CN"/>
              </w:rPr>
            </w:pPr>
            <w:r>
              <w:rPr>
                <w:rFonts w:hint="eastAsia" w:ascii="宋体"/>
                <w:color w:val="000000"/>
                <w:sz w:val="24"/>
                <w:highlight w:val="none"/>
                <w:lang w:val="en-US" w:eastAsia="zh-CN"/>
              </w:rPr>
              <w:t>1</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eastAsia="宋体" w:cs="宋体"/>
                <w:color w:val="000000"/>
                <w:kern w:val="0"/>
                <w:sz w:val="24"/>
                <w:highlight w:val="none"/>
                <w:lang w:val="en-US" w:eastAsia="zh-CN"/>
              </w:rPr>
            </w:pPr>
            <w:r>
              <w:rPr>
                <w:rFonts w:hint="eastAsia" w:ascii="宋体" w:cs="宋体"/>
                <w:color w:val="000000"/>
                <w:kern w:val="0"/>
                <w:sz w:val="24"/>
                <w:highlight w:val="none"/>
                <w:lang w:val="en-US" w:eastAsia="zh-CN"/>
              </w:rPr>
              <w:t>50</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详见招标文件</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lang w:eastAsia="zh-CN"/>
              </w:rPr>
              <w:t>可采进口</w:t>
            </w:r>
          </w:p>
        </w:tc>
      </w:tr>
      <w:tr>
        <w:tblPrEx>
          <w:tblLayout w:type="fixed"/>
          <w:tblCellMar>
            <w:top w:w="0" w:type="dxa"/>
            <w:left w:w="15" w:type="dxa"/>
            <w:bottom w:w="0" w:type="dxa"/>
            <w:right w:w="15" w:type="dxa"/>
          </w:tblCellMar>
        </w:tblPrEx>
        <w:trPr>
          <w:trHeight w:val="859" w:hRule="atLeast"/>
          <w:jc w:val="center"/>
        </w:trPr>
        <w:tc>
          <w:tcPr>
            <w:tcW w:w="22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宋体" w:hAnsi="Times New Roman" w:cs="Times New Roman"/>
                <w:color w:val="000000"/>
                <w:sz w:val="24"/>
                <w:highlight w:val="none"/>
                <w:lang w:val="en-US" w:eastAsia="zh-CN"/>
              </w:rPr>
            </w:pPr>
            <w:r>
              <w:rPr>
                <w:rFonts w:hint="eastAsia" w:ascii="宋体" w:hAnsi="Times New Roman" w:cs="Times New Roman"/>
                <w:color w:val="000000"/>
                <w:sz w:val="24"/>
                <w:highlight w:val="none"/>
                <w:lang w:eastAsia="zh-CN"/>
              </w:rPr>
              <w:t>包</w:t>
            </w:r>
            <w:r>
              <w:rPr>
                <w:rFonts w:hint="eastAsia" w:ascii="宋体" w:cs="Times New Roman"/>
                <w:color w:val="000000"/>
                <w:sz w:val="24"/>
                <w:highlight w:val="none"/>
                <w:lang w:val="en-US" w:eastAsia="zh-CN"/>
              </w:rPr>
              <w:t>2</w:t>
            </w:r>
            <w:r>
              <w:rPr>
                <w:rFonts w:hint="eastAsia" w:ascii="宋体" w:hAnsi="Times New Roman" w:cs="Times New Roman"/>
                <w:color w:val="000000"/>
                <w:sz w:val="24"/>
                <w:highlight w:val="none"/>
                <w:lang w:val="en-US" w:eastAsia="zh-CN"/>
              </w:rPr>
              <w:t>：</w:t>
            </w:r>
            <w:r>
              <w:rPr>
                <w:rFonts w:hint="eastAsia" w:ascii="宋体" w:cs="Times New Roman"/>
                <w:color w:val="000000"/>
                <w:sz w:val="24"/>
                <w:highlight w:val="none"/>
                <w:lang w:eastAsia="zh-CN"/>
              </w:rPr>
              <w:t>儿科呼吸机</w:t>
            </w:r>
          </w:p>
        </w:tc>
        <w:tc>
          <w:tcPr>
            <w:tcW w:w="15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Times New Roman" w:cs="Times New Roman"/>
                <w:color w:val="000000"/>
                <w:sz w:val="24"/>
                <w:highlight w:val="none"/>
                <w:lang w:eastAsia="zh-CN"/>
              </w:rPr>
            </w:pPr>
            <w:r>
              <w:rPr>
                <w:rFonts w:hint="eastAsia" w:ascii="宋体" w:cs="Times New Roman"/>
                <w:color w:val="000000"/>
                <w:sz w:val="24"/>
                <w:highlight w:val="none"/>
                <w:lang w:eastAsia="zh-CN"/>
              </w:rPr>
              <w:t>儿科</w:t>
            </w:r>
            <w:r>
              <w:rPr>
                <w:rFonts w:hint="eastAsia" w:ascii="宋体" w:hAnsi="Times New Roman" w:cs="Times New Roman"/>
                <w:color w:val="000000"/>
                <w:sz w:val="24"/>
                <w:highlight w:val="none"/>
                <w:lang w:eastAsia="zh-CN"/>
              </w:rPr>
              <w:t xml:space="preserve"> </w:t>
            </w: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Times New Roman" w:cs="Times New Roman"/>
                <w:color w:val="000000"/>
                <w:sz w:val="24"/>
                <w:highlight w:val="none"/>
                <w:lang w:val="en-US" w:eastAsia="zh-CN"/>
              </w:rPr>
            </w:pPr>
            <w:r>
              <w:rPr>
                <w:rFonts w:hint="eastAsia" w:ascii="宋体" w:cs="Times New Roman"/>
                <w:color w:val="000000"/>
                <w:sz w:val="24"/>
                <w:highlight w:val="none"/>
                <w:lang w:val="en-US" w:eastAsia="zh-CN"/>
              </w:rPr>
              <w:t>1批</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150</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rPr>
              <w:t>详见招标文件</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lang w:eastAsia="zh-CN"/>
              </w:rPr>
              <w:t>可采进口</w:t>
            </w:r>
          </w:p>
        </w:tc>
      </w:tr>
    </w:tbl>
    <w:p>
      <w:pPr>
        <w:keepNext w:val="0"/>
        <w:keepLines w:val="0"/>
        <w:pageBreakBefore w:val="0"/>
        <w:shd w:val="solid" w:color="FFFFFF" w:fill="auto"/>
        <w:kinsoku/>
        <w:wordWrap/>
        <w:overflowPunct/>
        <w:topLinePunct w:val="0"/>
        <w:autoSpaceDE/>
        <w:autoSpaceDN w:val="0"/>
        <w:bidi w:val="0"/>
        <w:adjustRightInd w:val="0"/>
        <w:snapToGrid w:val="0"/>
        <w:spacing w:line="360" w:lineRule="auto"/>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b/>
          <w:sz w:val="24"/>
          <w:highlight w:val="none"/>
        </w:rPr>
      </w:pPr>
      <w:r>
        <w:rPr>
          <w:rFonts w:hint="eastAsia" w:ascii="宋体" w:hAnsi="宋体" w:cs="宋体"/>
          <w:b/>
          <w:sz w:val="24"/>
          <w:highlight w:val="none"/>
          <w:lang w:val="en-US" w:eastAsia="zh-CN"/>
        </w:rPr>
        <w:t>6</w:t>
      </w:r>
      <w:r>
        <w:rPr>
          <w:rFonts w:hint="eastAsia" w:ascii="宋体" w:hAnsi="宋体" w:cs="宋体"/>
          <w:b/>
          <w:sz w:val="24"/>
          <w:highlight w:val="none"/>
        </w:rPr>
        <w:t>、投标人资格要求</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.1</w:t>
      </w:r>
      <w:r>
        <w:rPr>
          <w:rFonts w:hint="eastAsia" w:ascii="宋体" w:hAnsi="宋体"/>
          <w:color w:val="000000"/>
          <w:sz w:val="24"/>
          <w:highlight w:val="none"/>
        </w:rPr>
        <w:t>符合《中华人民共和国政府采购法》第二十二条规定；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.2</w:t>
      </w:r>
      <w:r>
        <w:rPr>
          <w:rFonts w:hint="eastAsia" w:ascii="宋体" w:hAnsi="宋体"/>
          <w:color w:val="000000"/>
          <w:sz w:val="24"/>
          <w:highlight w:val="none"/>
        </w:rPr>
        <w:t>投标人须是在中国境内注册具有独立法人资格的法人单位，营业执照经营范围包含本次采购内容；</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宋体" w:hAnsi="宋体"/>
          <w:color w:val="000000"/>
          <w:sz w:val="24"/>
          <w:highlight w:val="none"/>
          <w:lang w:eastAsia="zh-CN"/>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.3</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000000"/>
          <w:sz w:val="24"/>
          <w:highlight w:val="none"/>
          <w:lang w:eastAsia="zh-CN"/>
        </w:rPr>
        <w:t>）；</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hint="eastAsia" w:ascii="宋体" w:hAnsi="宋体" w:eastAsia="宋体" w:cs="宋体"/>
          <w:sz w:val="24"/>
          <w:highlight w:val="none"/>
          <w:lang w:val="en-US" w:eastAsia="zh-CN"/>
        </w:rPr>
        <w:t xml:space="preserve"> 6.4</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单位负责人为同一人或者存在直接控股、管理关系的不同投标人，不得参加同一合同项下的采购活动；；</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6</w:t>
      </w:r>
      <w:r>
        <w:rPr>
          <w:rFonts w:hint="eastAsia" w:ascii="宋体" w:hAnsi="宋体"/>
          <w:color w:val="000000"/>
          <w:sz w:val="24"/>
          <w:highlight w:val="none"/>
        </w:rPr>
        <w:t>本次采购不接受联合体报价；</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Tahoma"/>
          <w:color w:val="393939"/>
          <w:sz w:val="24"/>
          <w:highlight w:val="none"/>
          <w:shd w:val="clear" w:color="auto" w:fill="FFFFFF"/>
        </w:rPr>
      </w:pPr>
      <w:r>
        <w:rPr>
          <w:rFonts w:ascii="宋体" w:hAnsi="宋体"/>
          <w:color w:val="000000"/>
          <w:sz w:val="24"/>
          <w:highlight w:val="none"/>
        </w:rPr>
        <w:t xml:space="preserve"> </w:t>
      </w:r>
      <w:r>
        <w:rPr>
          <w:rFonts w:hint="eastAsia" w:ascii="宋体" w:hAnsi="宋体"/>
          <w:color w:val="000000"/>
          <w:sz w:val="24"/>
          <w:highlight w:val="none"/>
          <w:lang w:val="en-US" w:eastAsia="zh-CN"/>
        </w:rPr>
        <w:t>6.7</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p>
      <w:pPr>
        <w:keepNext w:val="0"/>
        <w:keepLines w:val="0"/>
        <w:pageBreakBefore w:val="0"/>
        <w:kinsoku/>
        <w:wordWrap/>
        <w:overflowPunct/>
        <w:topLinePunct w:val="0"/>
        <w:autoSpaceDE/>
        <w:bidi w:val="0"/>
        <w:adjustRightInd w:val="0"/>
        <w:snapToGrid w:val="0"/>
        <w:spacing w:line="360" w:lineRule="auto"/>
        <w:rPr>
          <w:rFonts w:ascii="Tahoma"/>
          <w:b/>
          <w:color w:val="393939"/>
          <w:sz w:val="24"/>
          <w:highlight w:val="none"/>
          <w:shd w:val="clear" w:color="auto" w:fill="FFFFFF"/>
        </w:rPr>
      </w:pPr>
      <w:r>
        <w:rPr>
          <w:rFonts w:hint="eastAsia" w:ascii="Tahoma"/>
          <w:b/>
          <w:color w:val="393939"/>
          <w:sz w:val="24"/>
          <w:highlight w:val="none"/>
          <w:shd w:val="clear" w:color="auto" w:fill="FFFFFF"/>
          <w:lang w:val="en-US" w:eastAsia="zh-CN"/>
        </w:rPr>
        <w:t>7、</w:t>
      </w:r>
      <w:r>
        <w:rPr>
          <w:rFonts w:hint="eastAsia" w:ascii="宋体" w:hAnsi="宋体" w:cs="宋体"/>
          <w:b/>
          <w:sz w:val="24"/>
          <w:highlight w:val="none"/>
        </w:rPr>
        <w:t>获取招标文件的时间期限、地点、方式及招标文件售价：</w:t>
      </w:r>
    </w:p>
    <w:p>
      <w:pPr>
        <w:keepNext w:val="0"/>
        <w:keepLines w:val="0"/>
        <w:pageBreakBefore w:val="0"/>
        <w:kinsoku/>
        <w:wordWrap/>
        <w:overflowPunct/>
        <w:topLinePunct w:val="0"/>
        <w:autoSpaceDE/>
        <w:autoSpaceDN w:val="0"/>
        <w:bidi w:val="0"/>
        <w:adjustRightInd w:val="0"/>
        <w:snapToGrid w:val="0"/>
        <w:spacing w:line="360" w:lineRule="auto"/>
        <w:ind w:left="0" w:leftChars="-95" w:hanging="199" w:hangingChars="83"/>
        <w:jc w:val="left"/>
        <w:textAlignment w:val="center"/>
        <w:rPr>
          <w:rFonts w:hint="eastAsia" w:ascii="宋体" w:hAnsi="宋体"/>
          <w:color w:val="000000"/>
          <w:sz w:val="24"/>
          <w:highlight w:val="none"/>
        </w:rPr>
      </w:pPr>
      <w:r>
        <w:rPr>
          <w:rFonts w:ascii="Tahoma"/>
          <w:color w:val="393939"/>
          <w:sz w:val="24"/>
          <w:highlight w:val="none"/>
          <w:shd w:val="clear" w:color="auto" w:fill="FFFFFF"/>
        </w:rPr>
        <w:t xml:space="preserve"> </w:t>
      </w:r>
      <w:r>
        <w:rPr>
          <w:rFonts w:hint="eastAsia" w:ascii="Tahoma"/>
          <w:color w:val="393939"/>
          <w:sz w:val="24"/>
          <w:highlight w:val="none"/>
          <w:shd w:val="clear" w:color="auto" w:fill="FFFFFF"/>
          <w:lang w:val="en-US" w:eastAsia="zh-CN"/>
        </w:rPr>
        <w:t xml:space="preserve"> </w:t>
      </w:r>
      <w:r>
        <w:rPr>
          <w:rFonts w:hint="eastAsia" w:ascii="宋体" w:hAnsi="宋体" w:cs="宋体"/>
          <w:bCs/>
          <w:kern w:val="0"/>
          <w:sz w:val="24"/>
          <w:highlight w:val="none"/>
          <w:lang w:val="en-US" w:eastAsia="zh-CN"/>
        </w:rPr>
        <w:t xml:space="preserve">   7.1</w:t>
      </w:r>
      <w:r>
        <w:rPr>
          <w:rFonts w:hint="eastAsia" w:ascii="宋体" w:hAnsi="宋体"/>
          <w:sz w:val="24"/>
          <w:highlight w:val="none"/>
        </w:rPr>
        <w:t>凡有意参加投标者，请于</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8</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19</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8</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26</w:t>
      </w:r>
      <w:r>
        <w:rPr>
          <w:rFonts w:hint="eastAsia" w:ascii="宋体" w:hAnsi="宋体" w:cs="宋体"/>
          <w:b/>
          <w:bCs/>
          <w:sz w:val="24"/>
          <w:highlight w:val="none"/>
          <w:shd w:val="clear" w:color="auto" w:fill="FFFFFF"/>
        </w:rPr>
        <w:t>日</w:t>
      </w:r>
      <w:r>
        <w:rPr>
          <w:rFonts w:hint="eastAsia" w:ascii="宋体" w:hAnsi="宋体"/>
          <w:sz w:val="24"/>
          <w:highlight w:val="none"/>
        </w:rPr>
        <w:t>（不含节假日），每日上午</w:t>
      </w:r>
      <w:r>
        <w:rPr>
          <w:rFonts w:ascii="宋体" w:hAnsi="宋体"/>
          <w:sz w:val="24"/>
          <w:highlight w:val="none"/>
        </w:rPr>
        <w:t>9:00</w:t>
      </w:r>
      <w:r>
        <w:rPr>
          <w:rFonts w:hint="eastAsia" w:ascii="宋体" w:hAnsi="宋体"/>
          <w:sz w:val="24"/>
          <w:highlight w:val="none"/>
        </w:rPr>
        <w:t>时至</w:t>
      </w:r>
      <w:r>
        <w:rPr>
          <w:rFonts w:ascii="宋体" w:hAnsi="宋体"/>
          <w:sz w:val="24"/>
          <w:highlight w:val="none"/>
        </w:rPr>
        <w:t>11:30</w:t>
      </w:r>
      <w:r>
        <w:rPr>
          <w:rFonts w:hint="eastAsia" w:ascii="宋体" w:hAnsi="宋体"/>
          <w:sz w:val="24"/>
          <w:highlight w:val="none"/>
        </w:rPr>
        <w:t>时，下午</w:t>
      </w:r>
      <w:r>
        <w:rPr>
          <w:rFonts w:ascii="宋体" w:hAnsi="宋体"/>
          <w:sz w:val="24"/>
          <w:highlight w:val="none"/>
        </w:rPr>
        <w:t>13:30</w:t>
      </w:r>
      <w:r>
        <w:rPr>
          <w:rFonts w:hint="eastAsia" w:ascii="宋体" w:hAnsi="宋体"/>
          <w:sz w:val="24"/>
          <w:highlight w:val="none"/>
        </w:rPr>
        <w:t>时至</w:t>
      </w:r>
      <w:r>
        <w:rPr>
          <w:rFonts w:ascii="宋体" w:hAnsi="宋体"/>
          <w:sz w:val="24"/>
          <w:highlight w:val="none"/>
        </w:rPr>
        <w:t>16:30</w:t>
      </w:r>
      <w:r>
        <w:rPr>
          <w:rFonts w:hint="eastAsia" w:ascii="宋体" w:hAnsi="宋体"/>
          <w:sz w:val="24"/>
          <w:highlight w:val="none"/>
        </w:rPr>
        <w:t>时（北京时间，下同），持下列资料到山东省鲁成招标有限公司</w:t>
      </w:r>
      <w:r>
        <w:rPr>
          <w:rFonts w:hint="eastAsia" w:ascii="宋体" w:hAnsi="宋体"/>
          <w:sz w:val="24"/>
          <w:highlight w:val="none"/>
          <w:lang w:val="en-US" w:eastAsia="zh-CN"/>
        </w:rPr>
        <w:t>2407</w:t>
      </w:r>
      <w:r>
        <w:rPr>
          <w:rFonts w:hint="eastAsia" w:ascii="宋体" w:hAnsi="宋体"/>
          <w:sz w:val="24"/>
          <w:highlight w:val="none"/>
        </w:rPr>
        <w:t>室（济南市经十路</w:t>
      </w:r>
      <w:r>
        <w:rPr>
          <w:rFonts w:ascii="宋体" w:hAnsi="宋体"/>
          <w:sz w:val="24"/>
          <w:highlight w:val="none"/>
        </w:rPr>
        <w:t>10567</w:t>
      </w:r>
      <w:r>
        <w:rPr>
          <w:rFonts w:hint="eastAsia" w:ascii="宋体" w:hAnsi="宋体"/>
          <w:sz w:val="24"/>
          <w:highlight w:val="none"/>
        </w:rPr>
        <w:t>号成城大厦</w:t>
      </w:r>
      <w:r>
        <w:rPr>
          <w:rFonts w:ascii="宋体" w:hAnsi="宋体"/>
          <w:sz w:val="24"/>
          <w:highlight w:val="none"/>
        </w:rPr>
        <w:t>A</w:t>
      </w:r>
      <w:r>
        <w:rPr>
          <w:rFonts w:hint="eastAsia" w:ascii="宋体" w:hAnsi="宋体"/>
          <w:sz w:val="24"/>
          <w:highlight w:val="none"/>
        </w:rPr>
        <w:t>座）报名并购买招标文件（报名审核不代表资格审查的最终通过或合格）：</w:t>
      </w: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r>
        <w:rPr>
          <w:rFonts w:hint="eastAsia" w:ascii="宋体"/>
          <w:color w:val="000000"/>
          <w:sz w:val="24"/>
          <w:highlight w:val="none"/>
          <w:lang w:eastAsia="zh-CN"/>
        </w:rPr>
        <w:t>（</w:t>
      </w:r>
      <w:r>
        <w:rPr>
          <w:rFonts w:hint="eastAsia" w:ascii="宋体"/>
          <w:color w:val="000000"/>
          <w:sz w:val="24"/>
          <w:highlight w:val="none"/>
          <w:lang w:val="en-US" w:eastAsia="zh-CN"/>
        </w:rPr>
        <w:t>2</w:t>
      </w:r>
      <w:r>
        <w:rPr>
          <w:rFonts w:hint="eastAsia" w:ascii="宋体"/>
          <w:color w:val="000000"/>
          <w:sz w:val="24"/>
          <w:highlight w:val="none"/>
          <w:lang w:eastAsia="zh-CN"/>
        </w:rPr>
        <w:t>）</w:t>
      </w:r>
      <w:r>
        <w:rPr>
          <w:rFonts w:hint="eastAsia" w:ascii="宋体" w:hAnsi="宋体"/>
          <w:color w:val="000000"/>
          <w:sz w:val="24"/>
          <w:highlight w:val="none"/>
        </w:rPr>
        <w:t>企业法人《营业执照》副本；</w:t>
      </w:r>
      <w:r>
        <w:rPr>
          <w:rFonts w:hint="eastAsia" w:ascii="宋体"/>
          <w:color w:val="000000"/>
          <w:sz w:val="24"/>
          <w:highlight w:val="none"/>
          <w:lang w:eastAsia="zh-CN"/>
        </w:rPr>
        <w:t>（</w:t>
      </w:r>
      <w:r>
        <w:rPr>
          <w:rFonts w:hint="eastAsia" w:ascii="宋体"/>
          <w:color w:val="000000"/>
          <w:sz w:val="24"/>
          <w:highlight w:val="none"/>
          <w:lang w:val="en-US" w:eastAsia="zh-CN"/>
        </w:rPr>
        <w:t>3</w:t>
      </w:r>
      <w:r>
        <w:rPr>
          <w:rFonts w:hint="eastAsia" w:ascii="宋体"/>
          <w:color w:val="000000"/>
          <w:sz w:val="24"/>
          <w:highlight w:val="none"/>
          <w:lang w:eastAsia="zh-CN"/>
        </w:rPr>
        <w:t>）</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color w:val="000000"/>
          <w:sz w:val="24"/>
          <w:highlight w:val="none"/>
          <w:lang w:eastAsia="zh-CN"/>
        </w:rPr>
        <w:t>（</w:t>
      </w:r>
      <w:r>
        <w:rPr>
          <w:rFonts w:hint="eastAsia" w:ascii="宋体"/>
          <w:color w:val="000000"/>
          <w:sz w:val="24"/>
          <w:highlight w:val="none"/>
          <w:lang w:val="en-US" w:eastAsia="zh-CN"/>
        </w:rPr>
        <w:t>4</w:t>
      </w:r>
      <w:r>
        <w:rPr>
          <w:rFonts w:hint="eastAsia" w:ascii="宋体"/>
          <w:color w:val="000000"/>
          <w:sz w:val="24"/>
          <w:highlight w:val="none"/>
          <w:lang w:eastAsia="zh-CN"/>
        </w:rPr>
        <w:t>）</w:t>
      </w:r>
      <w:r>
        <w:rPr>
          <w:rFonts w:hint="eastAsia" w:ascii="宋体" w:hAnsi="宋体"/>
          <w:color w:val="000000"/>
          <w:sz w:val="24"/>
          <w:highlight w:val="none"/>
        </w:rPr>
        <w:t>近两年财务状况（包含资产负债表、利润表）；</w:t>
      </w:r>
      <w:r>
        <w:rPr>
          <w:rFonts w:hint="eastAsia" w:ascii="宋体"/>
          <w:color w:val="000000"/>
          <w:sz w:val="24"/>
          <w:highlight w:val="none"/>
          <w:lang w:eastAsia="zh-CN"/>
        </w:rPr>
        <w:t>（</w:t>
      </w:r>
      <w:r>
        <w:rPr>
          <w:rFonts w:hint="eastAsia" w:ascii="宋体"/>
          <w:color w:val="000000"/>
          <w:sz w:val="24"/>
          <w:highlight w:val="none"/>
          <w:lang w:val="en-US" w:eastAsia="zh-CN"/>
        </w:rPr>
        <w:t>5</w:t>
      </w:r>
      <w:r>
        <w:rPr>
          <w:rFonts w:hint="eastAsia" w:ascii="宋体"/>
          <w:color w:val="000000"/>
          <w:sz w:val="24"/>
          <w:highlight w:val="none"/>
          <w:lang w:eastAsia="zh-CN"/>
        </w:rPr>
        <w:t>）</w:t>
      </w:r>
      <w:r>
        <w:rPr>
          <w:rFonts w:hint="eastAsia" w:ascii="宋体" w:hAnsi="宋体"/>
          <w:color w:val="000000"/>
          <w:sz w:val="24"/>
          <w:highlight w:val="none"/>
        </w:rPr>
        <w:t>近三个月依法缴纳税收和社会保障资金缴纳相关证明资料；</w:t>
      </w:r>
      <w:r>
        <w:rPr>
          <w:rFonts w:hint="eastAsia" w:ascii="宋体"/>
          <w:color w:val="000000"/>
          <w:sz w:val="24"/>
          <w:highlight w:val="none"/>
          <w:lang w:eastAsia="zh-CN"/>
        </w:rPr>
        <w:t>（</w:t>
      </w:r>
      <w:r>
        <w:rPr>
          <w:rFonts w:hint="eastAsia" w:ascii="宋体"/>
          <w:color w:val="000000"/>
          <w:sz w:val="24"/>
          <w:highlight w:val="none"/>
          <w:lang w:val="en-US" w:eastAsia="zh-CN"/>
        </w:rPr>
        <w:t>6</w:t>
      </w:r>
      <w:r>
        <w:rPr>
          <w:rFonts w:hint="eastAsia" w:ascii="宋体"/>
          <w:color w:val="000000"/>
          <w:sz w:val="24"/>
          <w:highlight w:val="none"/>
          <w:lang w:eastAsia="zh-CN"/>
        </w:rPr>
        <w:t>）</w:t>
      </w:r>
      <w:r>
        <w:rPr>
          <w:rFonts w:hint="eastAsia" w:ascii="宋体" w:hAnsi="宋体"/>
          <w:color w:val="000000"/>
          <w:sz w:val="24"/>
          <w:highlight w:val="none"/>
        </w:rPr>
        <w:t>参加政府采购活动前三年内，在经营活动中没有重大违法记录相关证明资料；</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sz w:val="24"/>
          <w:highlight w:val="none"/>
        </w:rPr>
      </w:pP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号文的规定，采购代理机构应当通过“信用中国”网站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autoSpaceDE/>
        <w:bidi w:val="0"/>
        <w:adjustRightInd w:val="0"/>
        <w:snapToGrid w:val="0"/>
        <w:spacing w:line="360" w:lineRule="auto"/>
        <w:ind w:firstLine="482" w:firstLineChars="200"/>
        <w:rPr>
          <w:rFonts w:ascii="宋体"/>
          <w:b/>
          <w:sz w:val="24"/>
          <w:highlight w:val="none"/>
        </w:rPr>
      </w:pPr>
      <w:r>
        <w:rPr>
          <w:rFonts w:hint="eastAsia" w:ascii="宋体" w:hAnsi="宋体"/>
          <w:b/>
          <w:sz w:val="24"/>
          <w:highlight w:val="none"/>
        </w:rPr>
        <w:t>上述资料需加盖公章复印件</w:t>
      </w:r>
      <w:r>
        <w:rPr>
          <w:rFonts w:ascii="宋体" w:hAnsi="宋体"/>
          <w:b/>
          <w:sz w:val="24"/>
          <w:highlight w:val="none"/>
        </w:rPr>
        <w:t>1</w:t>
      </w:r>
      <w:r>
        <w:rPr>
          <w:rFonts w:hint="eastAsia" w:ascii="宋体" w:hAnsi="宋体"/>
          <w:b/>
          <w:sz w:val="24"/>
          <w:highlight w:val="none"/>
        </w:rPr>
        <w:t>套，简单装订。</w:t>
      </w:r>
    </w:p>
    <w:p>
      <w:pPr>
        <w:keepNext w:val="0"/>
        <w:keepLines w:val="0"/>
        <w:pageBreakBefore w:val="0"/>
        <w:kinsoku/>
        <w:wordWrap/>
        <w:overflowPunct/>
        <w:topLinePunct w:val="0"/>
        <w:autoSpaceDE/>
        <w:autoSpaceDN w:val="0"/>
        <w:bidi w:val="0"/>
        <w:adjustRightInd w:val="0"/>
        <w:snapToGrid w:val="0"/>
        <w:spacing w:line="360" w:lineRule="auto"/>
        <w:ind w:firstLine="480"/>
        <w:jc w:val="left"/>
        <w:textAlignment w:val="center"/>
        <w:rPr>
          <w:rFonts w:hint="eastAsia" w:ascii="宋体" w:hAnsi="宋体"/>
          <w:color w:val="000000"/>
          <w:sz w:val="24"/>
          <w:highlight w:val="none"/>
        </w:rPr>
      </w:pPr>
      <w:r>
        <w:rPr>
          <w:rFonts w:hint="eastAsia" w:ascii="宋体" w:hAnsi="宋体" w:cs="宋体"/>
          <w:bCs/>
          <w:kern w:val="0"/>
          <w:sz w:val="24"/>
          <w:highlight w:val="none"/>
          <w:lang w:val="en-US" w:eastAsia="zh-CN"/>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r>
        <w:rPr>
          <w:rFonts w:hint="eastAsia" w:ascii="宋体" w:hAnsi="宋体"/>
          <w:color w:val="000000"/>
          <w:sz w:val="24"/>
          <w:highlight w:val="none"/>
        </w:rPr>
        <w:t>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keepNext w:val="0"/>
        <w:keepLines w:val="0"/>
        <w:pageBreakBefore w:val="0"/>
        <w:kinsoku/>
        <w:wordWrap/>
        <w:overflowPunct/>
        <w:topLinePunct w:val="0"/>
        <w:autoSpaceDE/>
        <w:bidi w:val="0"/>
        <w:adjustRightInd w:val="0"/>
        <w:snapToGrid w:val="0"/>
        <w:spacing w:line="360" w:lineRule="auto"/>
        <w:rPr>
          <w:rFonts w:hint="eastAsia" w:ascii="宋体" w:hAnsi="宋体"/>
          <w:color w:val="000000"/>
          <w:sz w:val="24"/>
          <w:highlight w:val="none"/>
        </w:rPr>
      </w:pPr>
      <w:r>
        <w:rPr>
          <w:rFonts w:hint="eastAsia" w:ascii="宋体" w:hAnsi="宋体" w:cs="宋体"/>
          <w:b/>
          <w:sz w:val="24"/>
          <w:highlight w:val="none"/>
          <w:lang w:val="en-US" w:eastAsia="zh-CN"/>
        </w:rPr>
        <w:t>8</w:t>
      </w:r>
      <w:r>
        <w:rPr>
          <w:rFonts w:hint="eastAsia" w:ascii="宋体" w:hAnsi="宋体" w:cs="宋体"/>
          <w:b/>
          <w:sz w:val="24"/>
          <w:highlight w:val="none"/>
        </w:rPr>
        <w:t>、公告期限：</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19</w:t>
      </w:r>
      <w:r>
        <w:rPr>
          <w:rFonts w:hint="eastAsia" w:ascii="宋体" w:hAnsi="宋体"/>
          <w:sz w:val="24"/>
          <w:highlight w:val="none"/>
        </w:rPr>
        <w:t>日至</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26</w:t>
      </w:r>
      <w:r>
        <w:rPr>
          <w:rFonts w:hint="eastAsia" w:ascii="宋体" w:hAnsi="宋体"/>
          <w:sz w:val="24"/>
          <w:highlight w:val="none"/>
        </w:rPr>
        <w:t>日</w:t>
      </w:r>
      <w:r>
        <w:rPr>
          <w:rFonts w:hint="eastAsia" w:ascii="宋体" w:hAnsi="宋体"/>
          <w:sz w:val="24"/>
          <w:highlight w:val="none"/>
        </w:rPr>
        <w:t>（不含节假日）</w:t>
      </w:r>
    </w:p>
    <w:p>
      <w:pPr>
        <w:keepNext w:val="0"/>
        <w:keepLines w:val="0"/>
        <w:pageBreakBefore w:val="0"/>
        <w:kinsoku/>
        <w:wordWrap/>
        <w:overflowPunct/>
        <w:topLinePunct w:val="0"/>
        <w:autoSpaceDE/>
        <w:bidi w:val="0"/>
        <w:adjustRightInd w:val="0"/>
        <w:snapToGrid w:val="0"/>
        <w:spacing w:line="360" w:lineRule="auto"/>
        <w:rPr>
          <w:rFonts w:ascii="宋体" w:cs="宋体"/>
          <w:b/>
          <w:sz w:val="24"/>
          <w:highlight w:val="none"/>
        </w:rPr>
      </w:pPr>
      <w:r>
        <w:rPr>
          <w:rFonts w:hint="eastAsia" w:ascii="宋体" w:hAnsi="宋体" w:cs="宋体"/>
          <w:b/>
          <w:sz w:val="24"/>
          <w:highlight w:val="none"/>
          <w:lang w:val="en-US" w:eastAsia="zh-CN"/>
        </w:rPr>
        <w:t>9</w:t>
      </w:r>
      <w:r>
        <w:rPr>
          <w:rFonts w:hint="eastAsia" w:ascii="宋体" w:hAnsi="宋体" w:cs="宋体"/>
          <w:b/>
          <w:sz w:val="24"/>
          <w:highlight w:val="none"/>
        </w:rPr>
        <w:t>、投标文件递交截止时间及</w:t>
      </w:r>
      <w:r>
        <w:rPr>
          <w:rFonts w:hint="eastAsia" w:ascii="宋体" w:hAnsi="宋体" w:cs="宋体"/>
          <w:b/>
          <w:sz w:val="24"/>
          <w:highlight w:val="none"/>
          <w:lang w:eastAsia="zh-CN"/>
        </w:rPr>
        <w:t>开标</w:t>
      </w:r>
      <w:r>
        <w:rPr>
          <w:rFonts w:hint="eastAsia" w:ascii="宋体" w:hAnsi="宋体" w:cs="宋体"/>
          <w:b/>
          <w:sz w:val="24"/>
          <w:highlight w:val="none"/>
        </w:rPr>
        <w:t>时间：</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.1</w:t>
      </w:r>
      <w:r>
        <w:rPr>
          <w:rFonts w:hint="eastAsia" w:ascii="宋体" w:hAnsi="宋体" w:cs="宋体"/>
          <w:kern w:val="0"/>
          <w:sz w:val="24"/>
          <w:highlight w:val="none"/>
        </w:rPr>
        <w:t>投标文件递交截止时间及开标时间：</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9</w:t>
      </w:r>
      <w:r>
        <w:rPr>
          <w:rFonts w:hint="eastAsia" w:ascii="宋体" w:hAnsi="宋体"/>
          <w:sz w:val="24"/>
          <w:highlight w:val="none"/>
        </w:rPr>
        <w:t>月</w:t>
      </w:r>
      <w:r>
        <w:rPr>
          <w:rFonts w:hint="eastAsia" w:ascii="宋体" w:hAnsi="宋体"/>
          <w:sz w:val="24"/>
          <w:highlight w:val="none"/>
          <w:lang w:val="en-US" w:eastAsia="zh-CN"/>
        </w:rPr>
        <w:t>11</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时（北京时间）；</w:t>
      </w:r>
    </w:p>
    <w:p>
      <w:pPr>
        <w:keepNext w:val="0"/>
        <w:keepLines w:val="0"/>
        <w:pageBreakBefore w:val="0"/>
        <w:kinsoku/>
        <w:wordWrap/>
        <w:overflowPunct/>
        <w:topLinePunct w:val="0"/>
        <w:autoSpaceDE/>
        <w:bidi w:val="0"/>
        <w:adjustRightInd w:val="0"/>
        <w:snapToGrid w:val="0"/>
        <w:spacing w:line="360" w:lineRule="auto"/>
        <w:rPr>
          <w:rFonts w:ascii="宋体" w:cs="宋体"/>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投标文件递交地点及开标地点：</w:t>
      </w:r>
      <w:bookmarkStart w:id="1" w:name="OLE_LINK1"/>
      <w:bookmarkStart w:id="2" w:name="OLE_LINK2"/>
      <w:r>
        <w:rPr>
          <w:rFonts w:hint="eastAsia" w:ascii="宋体" w:hAnsi="宋体"/>
          <w:color w:val="000000"/>
          <w:sz w:val="24"/>
          <w:highlight w:val="none"/>
        </w:rPr>
        <w:t>山东大学第二医院办公楼</w:t>
      </w:r>
      <w:r>
        <w:rPr>
          <w:rFonts w:hint="eastAsia" w:ascii="宋体" w:hAnsi="宋体"/>
          <w:color w:val="000000"/>
          <w:sz w:val="24"/>
          <w:highlight w:val="none"/>
          <w:lang w:eastAsia="zh-CN"/>
        </w:rPr>
        <w:t>五</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lang w:eastAsia="zh-CN"/>
        </w:rPr>
        <w:t>（如需变更另行通知）</w:t>
      </w:r>
      <w:r>
        <w:rPr>
          <w:rFonts w:hint="eastAsia" w:ascii="宋体" w:hAnsi="宋体"/>
          <w:color w:val="000000"/>
          <w:sz w:val="24"/>
          <w:highlight w:val="none"/>
        </w:rPr>
        <w:t>；</w:t>
      </w:r>
    </w:p>
    <w:p>
      <w:pPr>
        <w:keepNext w:val="0"/>
        <w:keepLines w:val="0"/>
        <w:pageBreakBefore w:val="0"/>
        <w:widowControl/>
        <w:kinsoku/>
        <w:wordWrap/>
        <w:overflowPunct/>
        <w:topLinePunct w:val="0"/>
        <w:autoSpaceDE/>
        <w:bidi w:val="0"/>
        <w:adjustRightInd w:val="0"/>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w:t>
      </w:r>
      <w:r>
        <w:rPr>
          <w:rFonts w:hint="eastAsia" w:ascii="宋体" w:hAnsi="宋体" w:cs="宋体"/>
          <w:kern w:val="0"/>
          <w:sz w:val="24"/>
          <w:highlight w:val="none"/>
          <w:lang w:eastAsia="zh-CN"/>
        </w:rPr>
        <w:t>采购人</w:t>
      </w:r>
      <w:r>
        <w:rPr>
          <w:rFonts w:hint="eastAsia" w:ascii="宋体" w:hAnsi="宋体" w:cs="宋体"/>
          <w:kern w:val="0"/>
          <w:sz w:val="24"/>
          <w:highlight w:val="none"/>
        </w:rPr>
        <w:t>不予受理。</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lang w:val="en-US" w:eastAsia="zh-CN"/>
        </w:rPr>
        <w:t>0</w:t>
      </w:r>
      <w:r>
        <w:rPr>
          <w:rFonts w:hint="eastAsia" w:ascii="宋体" w:hAnsi="宋体" w:cs="宋体"/>
          <w:b/>
          <w:sz w:val="24"/>
          <w:highlight w:val="none"/>
        </w:rPr>
        <w:t>、</w:t>
      </w:r>
      <w:r>
        <w:rPr>
          <w:rFonts w:hint="eastAsia" w:ascii="宋体" w:hAnsi="宋体" w:cs="宋体"/>
          <w:b/>
          <w:bCs/>
          <w:kern w:val="0"/>
          <w:sz w:val="24"/>
          <w:highlight w:val="none"/>
        </w:rPr>
        <w:t>发布公告的媒介</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hint="eastAsia"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keepNext w:val="0"/>
        <w:keepLines w:val="0"/>
        <w:pageBreakBefore w:val="0"/>
        <w:widowControl/>
        <w:kinsoku/>
        <w:wordWrap/>
        <w:overflowPunct/>
        <w:topLinePunct w:val="0"/>
        <w:autoSpaceDE/>
        <w:bidi w:val="0"/>
        <w:adjustRightInd w:val="0"/>
        <w:snapToGrid w:val="0"/>
        <w:spacing w:line="360" w:lineRule="auto"/>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1</w:t>
      </w:r>
      <w:r>
        <w:rPr>
          <w:rFonts w:hint="eastAsia" w:ascii="宋体" w:hAnsi="宋体" w:cs="宋体"/>
          <w:b/>
          <w:bCs/>
          <w:kern w:val="0"/>
          <w:sz w:val="24"/>
          <w:highlight w:val="none"/>
        </w:rPr>
        <w:t>、采购项目需要落实的政府采购政策：</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ascii="宋体" w:hAnsi="宋体" w:cs="宋体"/>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、联系方式</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招标人：山东大学第二医院</w:t>
      </w:r>
      <w:r>
        <w:rPr>
          <w:rFonts w:ascii="宋体" w:hAnsi="宋体"/>
          <w:color w:val="000000"/>
          <w:sz w:val="24"/>
          <w:highlight w:val="none"/>
        </w:rPr>
        <w:t xml:space="preserve">              </w:t>
      </w:r>
      <w:r>
        <w:rPr>
          <w:rFonts w:hint="eastAsia" w:ascii="宋体" w:hAnsi="宋体"/>
          <w:color w:val="000000"/>
          <w:sz w:val="24"/>
          <w:highlight w:val="none"/>
        </w:rPr>
        <w:t>招标代理：山东省鲁成招标有限公司</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址：济南市天桥区北园路</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 xml:space="preserve">0531-85875076                  </w:t>
      </w:r>
      <w:r>
        <w:rPr>
          <w:rFonts w:hint="eastAsia" w:ascii="宋体" w:hAnsi="宋体"/>
          <w:color w:val="000000"/>
          <w:sz w:val="24"/>
          <w:highlight w:val="none"/>
        </w:rPr>
        <w:t>邮</w:t>
      </w:r>
      <w:r>
        <w:rPr>
          <w:rFonts w:ascii="宋体" w:hAnsi="宋体"/>
          <w:color w:val="000000"/>
          <w:sz w:val="24"/>
          <w:highlight w:val="none"/>
        </w:rPr>
        <w:t xml:space="preserve"> </w:t>
      </w:r>
      <w:r>
        <w:rPr>
          <w:rFonts w:hint="eastAsia" w:ascii="宋体" w:hAnsi="宋体"/>
          <w:color w:val="000000"/>
          <w:sz w:val="24"/>
          <w:highlight w:val="none"/>
        </w:rPr>
        <w:t>编：</w:t>
      </w:r>
      <w:r>
        <w:rPr>
          <w:rFonts w:ascii="宋体" w:hAnsi="宋体"/>
          <w:color w:val="000000"/>
          <w:sz w:val="24"/>
          <w:highlight w:val="none"/>
        </w:rPr>
        <w:t>250014</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联系人：褚桐、李文华</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default" w:ascii="宋体"/>
          <w:color w:val="000000"/>
          <w:sz w:val="24"/>
          <w:highlight w:val="none"/>
          <w:lang w:val="en-US"/>
        </w:rPr>
      </w:pP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0531-83191865/</w:t>
      </w:r>
      <w:r>
        <w:rPr>
          <w:rFonts w:hint="eastAsia" w:ascii="宋体" w:hAnsi="宋体"/>
          <w:color w:val="000000"/>
          <w:sz w:val="24"/>
          <w:highlight w:val="none"/>
          <w:lang w:val="en-US" w:eastAsia="zh-CN"/>
        </w:rPr>
        <w:t>83191895</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传</w:t>
      </w:r>
      <w:r>
        <w:rPr>
          <w:rFonts w:ascii="宋体" w:hAnsi="宋体"/>
          <w:color w:val="000000"/>
          <w:sz w:val="24"/>
          <w:highlight w:val="none"/>
        </w:rPr>
        <w:t xml:space="preserve"> </w:t>
      </w:r>
      <w:r>
        <w:rPr>
          <w:rFonts w:hint="eastAsia" w:ascii="宋体" w:hAnsi="宋体"/>
          <w:color w:val="000000"/>
          <w:sz w:val="24"/>
          <w:highlight w:val="none"/>
        </w:rPr>
        <w:t>真：</w:t>
      </w:r>
      <w:r>
        <w:rPr>
          <w:rFonts w:ascii="宋体" w:hAnsi="宋体"/>
          <w:color w:val="000000"/>
          <w:sz w:val="24"/>
          <w:highlight w:val="none"/>
        </w:rPr>
        <w:t>0531-83191895</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olor w:val="000000"/>
          <w:sz w:val="24"/>
          <w:highlight w:val="none"/>
        </w:rPr>
        <w:t>lczb08@126.com</w:t>
      </w:r>
      <w:r>
        <w:rPr>
          <w:rFonts w:ascii="宋体" w:hAnsi="宋体"/>
          <w:color w:val="000000"/>
          <w:sz w:val="24"/>
          <w:highlight w:val="none"/>
        </w:rPr>
        <w:fldChar w:fldCharType="end"/>
      </w:r>
    </w:p>
    <w:p>
      <w:pPr>
        <w:autoSpaceDN w:val="0"/>
        <w:spacing w:line="440" w:lineRule="exact"/>
        <w:ind w:left="0" w:leftChars="-95" w:hanging="199" w:hangingChars="83"/>
        <w:jc w:val="left"/>
        <w:textAlignment w:val="center"/>
        <w:rPr>
          <w:rFonts w:hint="eastAsia" w:ascii="宋体" w:hAnsi="宋体" w:eastAsia="宋体"/>
          <w:color w:val="000000"/>
          <w:sz w:val="24"/>
          <w:highlight w:val="none"/>
          <w:lang w:val="en-US" w:eastAsia="zh-CN"/>
        </w:rPr>
      </w:pPr>
    </w:p>
    <w:p>
      <w:pPr>
        <w:pStyle w:val="20"/>
        <w:tabs>
          <w:tab w:val="left" w:pos="0"/>
        </w:tabs>
        <w:spacing w:line="480" w:lineRule="exact"/>
        <w:ind w:left="0" w:leftChars="0" w:firstLine="0" w:firstLineChars="0"/>
        <w:jc w:val="center"/>
        <w:outlineLvl w:val="0"/>
        <w:rPr>
          <w:rFonts w:ascii="宋体" w:cs="宋体"/>
          <w:highlight w:val="none"/>
        </w:rPr>
      </w:pPr>
      <w:bookmarkStart w:id="3" w:name="_Toc15243"/>
      <w:r>
        <w:rPr>
          <w:rFonts w:ascii="宋体"/>
          <w:b/>
          <w:sz w:val="36"/>
          <w:highlight w:val="none"/>
        </w:rPr>
        <w:br w:type="page"/>
      </w:r>
      <w:r>
        <w:rPr>
          <w:rFonts w:hint="eastAsia" w:ascii="宋体" w:hAnsi="宋体"/>
          <w:b/>
          <w:sz w:val="36"/>
          <w:highlight w:val="none"/>
        </w:rPr>
        <w:t>第二部分投标人须知</w:t>
      </w:r>
      <w:bookmarkEnd w:id="3"/>
    </w:p>
    <w:p>
      <w:pPr>
        <w:pStyle w:val="88"/>
        <w:spacing w:before="240"/>
        <w:outlineLvl w:val="1"/>
        <w:rPr>
          <w:highlight w:val="none"/>
        </w:rPr>
      </w:pPr>
      <w:bookmarkStart w:id="4" w:name="_Toc243041162"/>
      <w:bookmarkStart w:id="5" w:name="_Toc1284"/>
      <w:r>
        <w:rPr>
          <w:rFonts w:hint="eastAsia"/>
          <w:highlight w:val="none"/>
        </w:rPr>
        <w:t>投标人须知前附表</w:t>
      </w:r>
      <w:bookmarkEnd w:id="4"/>
      <w:bookmarkEnd w:id="5"/>
    </w:p>
    <w:tbl>
      <w:tblPr>
        <w:tblStyle w:val="49"/>
        <w:tblW w:w="10160" w:type="dxa"/>
        <w:jc w:val="center"/>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635"/>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序号</w:t>
            </w:r>
          </w:p>
        </w:tc>
        <w:tc>
          <w:tcPr>
            <w:tcW w:w="2635" w:type="dxa"/>
            <w:vAlign w:val="center"/>
          </w:tcPr>
          <w:p>
            <w:pPr>
              <w:pStyle w:val="20"/>
              <w:tabs>
                <w:tab w:val="left" w:pos="0"/>
                <w:tab w:val="left" w:pos="955"/>
              </w:tabs>
              <w:snapToGrid w:val="0"/>
              <w:spacing w:line="360" w:lineRule="auto"/>
              <w:ind w:left="0" w:leftChars="0" w:firstLine="0" w:firstLineChars="0"/>
              <w:rPr>
                <w:rFonts w:ascii="宋体" w:cs="宋体"/>
                <w:highlight w:val="none"/>
              </w:rPr>
            </w:pPr>
            <w:r>
              <w:rPr>
                <w:rFonts w:ascii="宋体" w:hAnsi="宋体" w:cs="宋体"/>
                <w:highlight w:val="none"/>
              </w:rPr>
              <w:t xml:space="preserve">    </w:t>
            </w:r>
            <w:r>
              <w:rPr>
                <w:rFonts w:hint="eastAsia" w:ascii="宋体" w:hAnsi="宋体" w:cs="宋体"/>
                <w:highlight w:val="none"/>
              </w:rPr>
              <w:t>项</w:t>
            </w:r>
            <w:r>
              <w:rPr>
                <w:rFonts w:ascii="宋体" w:hAnsi="宋体" w:cs="宋体"/>
                <w:highlight w:val="none"/>
              </w:rPr>
              <w:t xml:space="preserve">    </w:t>
            </w:r>
            <w:r>
              <w:rPr>
                <w:rFonts w:hint="eastAsia" w:ascii="宋体" w:hAnsi="宋体" w:cs="宋体"/>
                <w:highlight w:val="none"/>
              </w:rPr>
              <w:t>目</w:t>
            </w:r>
          </w:p>
        </w:tc>
        <w:tc>
          <w:tcPr>
            <w:tcW w:w="6636" w:type="dxa"/>
            <w:vAlign w:val="center"/>
          </w:tcPr>
          <w:p>
            <w:pPr>
              <w:pStyle w:val="20"/>
              <w:tabs>
                <w:tab w:val="left" w:pos="0"/>
                <w:tab w:val="left" w:pos="955"/>
              </w:tabs>
              <w:snapToGrid w:val="0"/>
              <w:spacing w:line="360" w:lineRule="auto"/>
              <w:ind w:left="0" w:leftChars="0" w:firstLine="960" w:firstLineChars="400"/>
              <w:rPr>
                <w:rFonts w:ascii="宋体" w:cs="宋体"/>
                <w:highlight w:val="none"/>
              </w:rPr>
            </w:pPr>
            <w:r>
              <w:rPr>
                <w:rFonts w:ascii="宋体" w:hAnsi="宋体" w:cs="宋体"/>
                <w:highlight w:val="none"/>
              </w:rPr>
              <w:t xml:space="preserve">            </w:t>
            </w:r>
            <w:r>
              <w:rPr>
                <w:rFonts w:hint="eastAsia" w:ascii="宋体" w:hAnsi="宋体" w:cs="宋体"/>
                <w:highlight w:val="none"/>
              </w:rPr>
              <w:t>内</w:t>
            </w:r>
            <w:r>
              <w:rPr>
                <w:rFonts w:ascii="宋体" w:hAnsi="宋体" w:cs="宋体"/>
                <w:highlight w:val="none"/>
              </w:rPr>
              <w:t xml:space="preserve">       </w:t>
            </w:r>
            <w:r>
              <w:rPr>
                <w:rFonts w:hint="eastAsia" w:ascii="宋体" w:hAnsi="宋体" w:cs="宋体"/>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招标人</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招标人：山东大学第二医院</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址：济南市天桥区北园路</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p>
          <w:p>
            <w:pPr>
              <w:pStyle w:val="111"/>
              <w:snapToGrid w:val="0"/>
              <w:spacing w:line="360" w:lineRule="auto"/>
              <w:jc w:val="left"/>
              <w:rPr>
                <w:rFonts w:ascii="宋体" w:cs="宋体"/>
                <w:highlight w:val="none"/>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招标代理机构</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名</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称：山东省鲁成招标有限公司</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址：济南市经十东路</w:t>
            </w:r>
            <w:r>
              <w:rPr>
                <w:rFonts w:ascii="宋体" w:hAnsi="宋体" w:cs="宋体"/>
                <w:color w:val="000000"/>
                <w:spacing w:val="7"/>
                <w:sz w:val="24"/>
                <w:highlight w:val="none"/>
                <w:lang w:eastAsia="zh-CN"/>
              </w:rPr>
              <w:t>10567</w:t>
            </w:r>
            <w:r>
              <w:rPr>
                <w:rFonts w:hint="eastAsia" w:ascii="宋体" w:hAnsi="宋体" w:cs="宋体"/>
                <w:color w:val="000000"/>
                <w:spacing w:val="7"/>
                <w:sz w:val="24"/>
                <w:highlight w:val="none"/>
                <w:lang w:eastAsia="zh-CN"/>
              </w:rPr>
              <w:t>号成城大厦</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联系人：褚桐、李文华</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0531-83191865</w:t>
            </w:r>
            <w:r>
              <w:rPr>
                <w:rFonts w:hint="eastAsia" w:ascii="宋体" w:hAnsi="宋体" w:cs="宋体"/>
                <w:color w:val="000000"/>
                <w:spacing w:val="7"/>
                <w:sz w:val="24"/>
                <w:highlight w:val="none"/>
                <w:lang w:eastAsia="zh-CN"/>
              </w:rPr>
              <w:t>、</w:t>
            </w:r>
            <w:r>
              <w:rPr>
                <w:rFonts w:ascii="宋体" w:hAnsi="宋体" w:cs="宋体"/>
                <w:color w:val="000000"/>
                <w:spacing w:val="7"/>
                <w:sz w:val="24"/>
                <w:highlight w:val="none"/>
                <w:lang w:val="en-US" w:eastAsia="zh-CN"/>
              </w:rPr>
              <w:t>83191895</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邮箱：</w:t>
            </w:r>
            <w:r>
              <w:rPr>
                <w:rFonts w:ascii="宋体" w:hAnsi="宋体" w:cs="宋体"/>
                <w:color w:val="000000"/>
                <w:spacing w:val="7"/>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3</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项目编号</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项目名称：山东大学第二医院医疗设备采购项目</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项目编号：0676-196008ZB018029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4</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招标范围</w:t>
            </w:r>
          </w:p>
        </w:tc>
        <w:tc>
          <w:tcPr>
            <w:tcW w:w="6636"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本项目分为</w:t>
            </w:r>
            <w:r>
              <w:rPr>
                <w:rFonts w:hint="eastAsia" w:ascii="宋体" w:hAnsi="宋体" w:cs="宋体"/>
                <w:color w:val="000000"/>
                <w:spacing w:val="7"/>
                <w:sz w:val="24"/>
                <w:highlight w:val="none"/>
                <w:lang w:val="en-US" w:eastAsia="zh-CN"/>
              </w:rPr>
              <w:t>2</w:t>
            </w:r>
            <w:r>
              <w:rPr>
                <w:rFonts w:hint="eastAsia" w:ascii="宋体" w:hAnsi="宋体" w:cs="宋体"/>
                <w:color w:val="000000"/>
                <w:spacing w:val="7"/>
                <w:sz w:val="24"/>
                <w:highlight w:val="none"/>
                <w:lang w:eastAsia="zh-CN"/>
              </w:rPr>
              <w:t>个包：</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包1：电子鼻咽喉镜；</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包2：儿科呼吸机；</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5</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项目预算</w:t>
            </w:r>
          </w:p>
        </w:tc>
        <w:tc>
          <w:tcPr>
            <w:tcW w:w="6636" w:type="dxa"/>
            <w:vAlign w:val="center"/>
          </w:tcPr>
          <w:p>
            <w:pPr>
              <w:pStyle w:val="111"/>
              <w:snapToGrid w:val="0"/>
              <w:spacing w:line="360" w:lineRule="auto"/>
              <w:jc w:val="left"/>
              <w:rPr>
                <w:rFonts w:hint="eastAsia" w:ascii="宋体" w:hAnsi="宋体" w:cs="宋体"/>
                <w:color w:val="000000"/>
                <w:spacing w:val="7"/>
                <w:sz w:val="24"/>
                <w:highlight w:val="none"/>
                <w:lang w:val="en-US" w:eastAsia="zh-CN"/>
              </w:rPr>
            </w:pPr>
            <w:r>
              <w:rPr>
                <w:rFonts w:hint="eastAsia" w:ascii="宋体" w:hAnsi="宋体" w:cs="宋体"/>
                <w:color w:val="000000"/>
                <w:spacing w:val="7"/>
                <w:sz w:val="24"/>
                <w:highlight w:val="none"/>
                <w:lang w:eastAsia="zh-CN"/>
              </w:rPr>
              <w:t>预算金额如下</w:t>
            </w:r>
            <w:r>
              <w:rPr>
                <w:rFonts w:hint="eastAsia" w:ascii="宋体" w:hAnsi="宋体" w:cs="宋体"/>
                <w:color w:val="000000"/>
                <w:spacing w:val="7"/>
                <w:sz w:val="24"/>
                <w:highlight w:val="none"/>
                <w:lang w:val="en-US" w:eastAsia="zh-CN"/>
              </w:rPr>
              <w:t>：</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w:t>
            </w:r>
            <w:r>
              <w:rPr>
                <w:rFonts w:hint="eastAsia" w:ascii="宋体" w:hAnsi="宋体" w:cs="宋体"/>
                <w:color w:val="000000"/>
                <w:spacing w:val="7"/>
                <w:sz w:val="24"/>
                <w:highlight w:val="none"/>
                <w:lang w:val="en-US" w:eastAsia="zh-CN"/>
              </w:rPr>
              <w:t>1：50</w:t>
            </w:r>
            <w:r>
              <w:rPr>
                <w:rFonts w:hint="eastAsia" w:ascii="宋体" w:hAnsi="宋体" w:cs="宋体"/>
                <w:color w:val="000000"/>
                <w:spacing w:val="7"/>
                <w:sz w:val="24"/>
                <w:highlight w:val="none"/>
                <w:lang w:eastAsia="zh-CN"/>
              </w:rPr>
              <w:t>万元（包含税费）；</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w:t>
            </w:r>
            <w:r>
              <w:rPr>
                <w:rFonts w:hint="eastAsia" w:ascii="宋体" w:hAnsi="宋体" w:cs="宋体"/>
                <w:color w:val="000000"/>
                <w:spacing w:val="7"/>
                <w:sz w:val="24"/>
                <w:highlight w:val="none"/>
                <w:lang w:val="en-US" w:eastAsia="zh-CN"/>
              </w:rPr>
              <w:t>2: 150万元 （包含税费）</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6</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投标人资格要求</w:t>
            </w:r>
          </w:p>
        </w:tc>
        <w:tc>
          <w:tcPr>
            <w:tcW w:w="6636" w:type="dxa"/>
            <w:vAlign w:val="center"/>
          </w:tcPr>
          <w:p>
            <w:pPr>
              <w:autoSpaceDN w:val="0"/>
              <w:spacing w:line="360" w:lineRule="auto"/>
              <w:jc w:val="left"/>
              <w:textAlignment w:val="center"/>
              <w:rPr>
                <w:rFonts w:ascii="宋体"/>
                <w:color w:val="000000"/>
                <w:sz w:val="24"/>
                <w:highlight w:val="none"/>
              </w:rPr>
            </w:pPr>
            <w:r>
              <w:rPr>
                <w:rFonts w:ascii="宋体" w:hAnsi="宋体"/>
                <w:color w:val="000000"/>
                <w:sz w:val="24"/>
                <w:highlight w:val="none"/>
              </w:rPr>
              <w:t xml:space="preserve"> 1</w:t>
            </w:r>
            <w:r>
              <w:rPr>
                <w:rFonts w:hint="eastAsia" w:ascii="宋体" w:hAnsi="宋体"/>
                <w:color w:val="000000"/>
                <w:sz w:val="24"/>
                <w:highlight w:val="none"/>
                <w:lang w:eastAsia="zh-CN"/>
              </w:rPr>
              <w:t>、</w:t>
            </w:r>
            <w:r>
              <w:rPr>
                <w:rFonts w:hint="eastAsia" w:ascii="宋体" w:hAnsi="宋体"/>
                <w:color w:val="000000"/>
                <w:sz w:val="24"/>
                <w:highlight w:val="none"/>
              </w:rPr>
              <w:t>符合《中华人民共和国政府采购法》第二十二条规定；</w:t>
            </w:r>
          </w:p>
          <w:p>
            <w:pPr>
              <w:autoSpaceDN w:val="0"/>
              <w:spacing w:line="360" w:lineRule="auto"/>
              <w:jc w:val="left"/>
              <w:textAlignment w:val="center"/>
              <w:rPr>
                <w:rFonts w:ascii="宋体"/>
                <w:color w:val="000000"/>
                <w:sz w:val="24"/>
                <w:highlight w:val="none"/>
              </w:rPr>
            </w:pPr>
            <w:r>
              <w:rPr>
                <w:rFonts w:ascii="宋体" w:hAnsi="宋体"/>
                <w:color w:val="000000"/>
                <w:sz w:val="24"/>
                <w:highlight w:val="none"/>
              </w:rPr>
              <w:t xml:space="preserve"> 2</w:t>
            </w:r>
            <w:r>
              <w:rPr>
                <w:rFonts w:hint="eastAsia" w:ascii="宋体" w:hAnsi="宋体"/>
                <w:color w:val="000000"/>
                <w:sz w:val="24"/>
                <w:highlight w:val="none"/>
                <w:lang w:eastAsia="zh-CN"/>
              </w:rPr>
              <w:t>、</w:t>
            </w:r>
            <w:r>
              <w:rPr>
                <w:rFonts w:hint="eastAsia" w:ascii="宋体" w:hAnsi="宋体"/>
                <w:color w:val="000000"/>
                <w:sz w:val="24"/>
                <w:highlight w:val="none"/>
              </w:rPr>
              <w:t>投标人须是在中国境内注册具有独立法人资格的法人单位，营业执照经营范围包含本次采购内容；</w:t>
            </w:r>
          </w:p>
          <w:p>
            <w:pPr>
              <w:autoSpaceDN w:val="0"/>
              <w:spacing w:line="360" w:lineRule="auto"/>
              <w:jc w:val="left"/>
              <w:textAlignment w:val="center"/>
              <w:rPr>
                <w:rFonts w:hint="eastAsia" w:ascii="宋体" w:hAnsi="宋体"/>
                <w:color w:val="000000"/>
                <w:sz w:val="24"/>
                <w:highlight w:val="none"/>
                <w:lang w:eastAsia="zh-CN"/>
              </w:rPr>
            </w:pPr>
            <w:r>
              <w:rPr>
                <w:rFonts w:ascii="宋体" w:hAnsi="宋体"/>
                <w:color w:val="000000"/>
                <w:sz w:val="24"/>
                <w:highlight w:val="none"/>
              </w:rPr>
              <w:t xml:space="preserve"> 3</w:t>
            </w:r>
            <w:r>
              <w:rPr>
                <w:rFonts w:hint="eastAsia" w:ascii="宋体" w:hAnsi="宋体"/>
                <w:color w:val="000000"/>
                <w:sz w:val="24"/>
                <w:highlight w:val="none"/>
                <w:lang w:eastAsia="zh-CN"/>
              </w:rPr>
              <w:t>、</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000000"/>
                <w:sz w:val="24"/>
                <w:highlight w:val="none"/>
                <w:lang w:eastAsia="zh-CN"/>
              </w:rPr>
              <w:t>）；</w:t>
            </w:r>
          </w:p>
          <w:p>
            <w:pPr>
              <w:spacing w:line="360" w:lineRule="auto"/>
              <w:rPr>
                <w:rFonts w:ascii="宋体" w:cs="宋体"/>
                <w:sz w:val="24"/>
                <w:highlight w:val="none"/>
              </w:rPr>
            </w:pPr>
            <w:r>
              <w:rPr>
                <w:rFonts w:hint="eastAsia" w:ascii="宋体" w:hAnsi="宋体" w:eastAsia="宋体" w:cs="宋体"/>
                <w:sz w:val="24"/>
                <w:highlight w:val="none"/>
                <w:lang w:val="en-US" w:eastAsia="zh-CN"/>
              </w:rPr>
              <w:t xml:space="preserve"> 4、</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autoSpaceDN w:val="0"/>
              <w:spacing w:line="360" w:lineRule="auto"/>
              <w:jc w:val="left"/>
              <w:textAlignment w:val="center"/>
              <w:rPr>
                <w:rFonts w:ascii="宋体"/>
                <w:color w:val="000000"/>
                <w:sz w:val="24"/>
                <w:highlight w:val="none"/>
              </w:rPr>
            </w:pPr>
            <w:r>
              <w:rPr>
                <w:rFonts w:hint="eastAsia" w:ascii="宋体" w:hAnsi="宋体"/>
                <w:color w:val="000000"/>
                <w:sz w:val="24"/>
                <w:highlight w:val="none"/>
                <w:lang w:val="en-US" w:eastAsia="zh-CN"/>
              </w:rPr>
              <w:t xml:space="preserve"> 5、</w:t>
            </w:r>
            <w:r>
              <w:rPr>
                <w:rFonts w:hint="eastAsia" w:ascii="宋体" w:hAnsi="宋体"/>
                <w:color w:val="000000"/>
                <w:sz w:val="24"/>
                <w:highlight w:val="none"/>
              </w:rPr>
              <w:t>单位负责人为同一人或者存在直接控股、管理关系的不同投标人，不得参加同一合同项下的采购活动；；</w:t>
            </w:r>
          </w:p>
          <w:p>
            <w:pPr>
              <w:autoSpaceDN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hint="eastAsia" w:ascii="宋体" w:hAnsi="宋体"/>
                <w:color w:val="000000"/>
                <w:sz w:val="24"/>
                <w:highlight w:val="none"/>
              </w:rPr>
              <w:t>本次采购不接受联合体报价；</w:t>
            </w:r>
          </w:p>
          <w:p>
            <w:pPr>
              <w:autoSpaceDN w:val="0"/>
              <w:spacing w:line="360" w:lineRule="auto"/>
              <w:jc w:val="left"/>
              <w:textAlignment w:val="center"/>
              <w:rPr>
                <w:rFonts w:ascii="宋体" w:cs="宋体"/>
                <w:color w:val="000000"/>
                <w:spacing w:val="7"/>
                <w:sz w:val="24"/>
                <w:highlight w:val="none"/>
                <w:lang w:eastAsia="zh-CN"/>
              </w:rPr>
            </w:pPr>
            <w:r>
              <w:rPr>
                <w:rFonts w:ascii="宋体" w:hAnsi="宋体"/>
                <w:color w:val="000000"/>
                <w:sz w:val="24"/>
                <w:highlight w:val="none"/>
              </w:rPr>
              <w:t xml:space="preserve"> </w:t>
            </w:r>
            <w:r>
              <w:rPr>
                <w:rFonts w:hint="eastAsia" w:ascii="宋体" w:hAnsi="宋体"/>
                <w:color w:val="000000"/>
                <w:sz w:val="24"/>
                <w:highlight w:val="none"/>
                <w:lang w:val="en-US" w:eastAsia="zh-CN"/>
              </w:rPr>
              <w:t>7、</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7</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资格审查方式</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8</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付款方式</w:t>
            </w:r>
          </w:p>
        </w:tc>
        <w:tc>
          <w:tcPr>
            <w:tcW w:w="6636" w:type="dxa"/>
            <w:vAlign w:val="center"/>
          </w:tcPr>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货物交付后，经双方验收合格签字且财务入账三个月内，支付合同总金额90%，余款作为质量保证金，自财务入账之日起满12个月后，无质量问题，付清总金额的10%。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9</w:t>
            </w:r>
          </w:p>
        </w:tc>
        <w:tc>
          <w:tcPr>
            <w:tcW w:w="2635" w:type="dxa"/>
            <w:vAlign w:val="center"/>
          </w:tcPr>
          <w:p>
            <w:pPr>
              <w:pStyle w:val="20"/>
              <w:tabs>
                <w:tab w:val="left" w:pos="0"/>
                <w:tab w:val="left" w:pos="955"/>
                <w:tab w:val="center" w:pos="1168"/>
                <w:tab w:val="right" w:pos="2216"/>
              </w:tabs>
              <w:snapToGrid w:val="0"/>
              <w:spacing w:line="360" w:lineRule="auto"/>
              <w:ind w:left="0" w:leftChars="0" w:firstLine="0" w:firstLineChars="0"/>
              <w:jc w:val="center"/>
              <w:rPr>
                <w:rFonts w:hint="eastAsia" w:ascii="宋体" w:eastAsia="宋体" w:cs="宋体"/>
                <w:highlight w:val="none"/>
                <w:lang w:eastAsia="zh-CN"/>
              </w:rPr>
            </w:pPr>
            <w:r>
              <w:rPr>
                <w:rFonts w:hint="eastAsia" w:ascii="宋体" w:hAnsi="宋体" w:cs="宋体"/>
                <w:highlight w:val="none"/>
              </w:rPr>
              <w:t>投标文件</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投标文件共</w:t>
            </w:r>
            <w:r>
              <w:rPr>
                <w:rFonts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份，正本</w:t>
            </w: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份，副本</w:t>
            </w: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份；电子文档</w:t>
            </w:r>
            <w:r>
              <w:rPr>
                <w:rFonts w:hint="eastAsia" w:ascii="宋体" w:hAnsi="宋体" w:cs="宋体"/>
                <w:color w:val="auto"/>
                <w:spacing w:val="7"/>
                <w:sz w:val="24"/>
                <w:highlight w:val="none"/>
                <w:lang w:eastAsia="zh-CN"/>
              </w:rPr>
              <w:t>（</w:t>
            </w:r>
            <w:r>
              <w:rPr>
                <w:rFonts w:hint="eastAsia" w:ascii="宋体" w:hAnsi="宋体" w:cs="宋体"/>
                <w:b/>
                <w:color w:val="auto"/>
                <w:spacing w:val="7"/>
                <w:sz w:val="24"/>
                <w:highlight w:val="none"/>
                <w:lang w:val="en-US" w:eastAsia="zh-CN"/>
              </w:rPr>
              <w:t>U</w:t>
            </w:r>
            <w:r>
              <w:rPr>
                <w:rFonts w:hint="eastAsia" w:ascii="宋体" w:hAnsi="宋体" w:cs="宋体"/>
                <w:b/>
                <w:color w:val="auto"/>
                <w:spacing w:val="7"/>
                <w:sz w:val="24"/>
                <w:highlight w:val="none"/>
                <w:lang w:eastAsia="zh-CN"/>
              </w:rPr>
              <w:t>盘</w:t>
            </w:r>
            <w:r>
              <w:rPr>
                <w:rFonts w:hint="eastAsia" w:ascii="宋体" w:hAnsi="宋体" w:cs="宋体"/>
                <w:color w:val="auto"/>
                <w:spacing w:val="7"/>
                <w:sz w:val="24"/>
                <w:highlight w:val="none"/>
                <w:lang w:eastAsia="zh-CN"/>
              </w:rPr>
              <w:t>）</w:t>
            </w:r>
            <w:r>
              <w:rPr>
                <w:rFonts w:hint="eastAsia" w:ascii="宋体" w:hAnsi="宋体" w:cs="宋体"/>
                <w:color w:val="000000"/>
                <w:spacing w:val="7"/>
                <w:sz w:val="24"/>
                <w:highlight w:val="none"/>
                <w:lang w:eastAsia="zh-CN"/>
              </w:rPr>
              <w:t>投标文件一份，采用</w:t>
            </w:r>
            <w:r>
              <w:rPr>
                <w:rFonts w:ascii="宋体" w:hAnsi="宋体" w:cs="宋体"/>
                <w:color w:val="000000"/>
                <w:spacing w:val="7"/>
                <w:sz w:val="24"/>
                <w:highlight w:val="none"/>
                <w:lang w:val="en-US" w:eastAsia="zh-CN"/>
              </w:rPr>
              <w:t>PDF</w:t>
            </w:r>
            <w:r>
              <w:rPr>
                <w:rFonts w:hint="eastAsia" w:ascii="宋体" w:hAnsi="宋体" w:cs="宋体"/>
                <w:color w:val="000000"/>
                <w:spacing w:val="7"/>
                <w:sz w:val="24"/>
                <w:highlight w:val="none"/>
                <w:lang w:eastAsia="zh-CN"/>
              </w:rPr>
              <w:t>中文版，与纸质投标文件一致。</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b/>
                <w:bCs/>
                <w:color w:val="000000"/>
                <w:spacing w:val="7"/>
                <w:sz w:val="24"/>
                <w:highlight w:val="none"/>
                <w:lang w:eastAsia="zh-CN"/>
              </w:rPr>
              <w:t>（装订方式：为节约成本，投标文件封皮请勿使用硬版纸，每页均应标注页码，装订应牢固、不易拆散和换页。投标文件每册不超过4.5厘米，如超过请分册。</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10</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开标一览表</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密封和标记</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12</w:t>
            </w:r>
          </w:p>
        </w:tc>
        <w:tc>
          <w:tcPr>
            <w:tcW w:w="2635" w:type="dxa"/>
            <w:vAlign w:val="center"/>
          </w:tcPr>
          <w:p>
            <w:pPr>
              <w:snapToGrid w:val="0"/>
              <w:spacing w:line="360" w:lineRule="auto"/>
              <w:jc w:val="center"/>
              <w:rPr>
                <w:rFonts w:ascii="宋体"/>
                <w:sz w:val="24"/>
                <w:highlight w:val="none"/>
              </w:rPr>
            </w:pPr>
            <w:r>
              <w:rPr>
                <w:rFonts w:hint="eastAsia" w:ascii="宋体" w:hAnsi="宋体"/>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highlight w:val="none"/>
              </w:rPr>
              <w:t>截止时间</w:t>
            </w:r>
          </w:p>
        </w:tc>
        <w:tc>
          <w:tcPr>
            <w:tcW w:w="6636" w:type="dxa"/>
            <w:vAlign w:val="center"/>
          </w:tcPr>
          <w:p>
            <w:pPr>
              <w:snapToGrid w:val="0"/>
              <w:spacing w:line="360" w:lineRule="auto"/>
              <w:ind w:right="113"/>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26</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13</w:t>
            </w:r>
          </w:p>
        </w:tc>
        <w:tc>
          <w:tcPr>
            <w:tcW w:w="2635" w:type="dxa"/>
            <w:vAlign w:val="center"/>
          </w:tcPr>
          <w:p>
            <w:pPr>
              <w:snapToGrid w:val="0"/>
              <w:spacing w:line="360" w:lineRule="auto"/>
              <w:jc w:val="center"/>
              <w:rPr>
                <w:rFonts w:ascii="宋体"/>
                <w:sz w:val="24"/>
                <w:highlight w:val="none"/>
              </w:rPr>
            </w:pPr>
            <w:r>
              <w:rPr>
                <w:rFonts w:hint="eastAsia" w:ascii="宋体" w:hAnsi="宋体"/>
                <w:sz w:val="24"/>
                <w:highlight w:val="none"/>
              </w:rPr>
              <w:t>投标人要求澄清</w:t>
            </w:r>
          </w:p>
          <w:p>
            <w:pPr>
              <w:snapToGrid w:val="0"/>
              <w:spacing w:line="360" w:lineRule="auto"/>
              <w:jc w:val="center"/>
              <w:rPr>
                <w:rFonts w:ascii="宋体"/>
                <w:sz w:val="24"/>
                <w:highlight w:val="none"/>
              </w:rPr>
            </w:pPr>
            <w:r>
              <w:rPr>
                <w:rFonts w:hint="eastAsia" w:ascii="宋体" w:hAnsi="宋体"/>
                <w:sz w:val="24"/>
                <w:highlight w:val="none"/>
              </w:rPr>
              <w:t>招标文件的截止时间</w:t>
            </w:r>
          </w:p>
        </w:tc>
        <w:tc>
          <w:tcPr>
            <w:tcW w:w="6636" w:type="dxa"/>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27</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14</w:t>
            </w:r>
          </w:p>
        </w:tc>
        <w:tc>
          <w:tcPr>
            <w:tcW w:w="2635" w:type="dxa"/>
            <w:vAlign w:val="center"/>
          </w:tcPr>
          <w:p>
            <w:pPr>
              <w:snapToGrid w:val="0"/>
              <w:spacing w:line="360" w:lineRule="auto"/>
              <w:jc w:val="center"/>
              <w:rPr>
                <w:rFonts w:ascii="宋体"/>
                <w:sz w:val="24"/>
                <w:highlight w:val="none"/>
              </w:rPr>
            </w:pPr>
            <w:r>
              <w:rPr>
                <w:rFonts w:hint="eastAsia" w:ascii="宋体" w:hAnsi="宋体"/>
                <w:sz w:val="24"/>
                <w:highlight w:val="none"/>
              </w:rPr>
              <w:t>招标人书面澄清的时间</w:t>
            </w:r>
          </w:p>
        </w:tc>
        <w:tc>
          <w:tcPr>
            <w:tcW w:w="6636"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27</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15</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投标有效期</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90</w:t>
            </w:r>
            <w:r>
              <w:rPr>
                <w:rFonts w:hint="eastAsia" w:ascii="宋体" w:hAnsi="宋体" w:cs="宋体"/>
                <w:color w:val="000000"/>
                <w:spacing w:val="7"/>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highlight w:val="none"/>
              </w:rPr>
            </w:pPr>
            <w:r>
              <w:rPr>
                <w:rFonts w:ascii="宋体" w:hAnsi="宋体" w:cs="宋体"/>
                <w:highlight w:val="none"/>
              </w:rPr>
              <w:t>16</w:t>
            </w:r>
          </w:p>
        </w:tc>
        <w:tc>
          <w:tcPr>
            <w:tcW w:w="2635"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cs="宋体"/>
                <w:highlight w:val="none"/>
              </w:rPr>
            </w:pPr>
            <w:r>
              <w:rPr>
                <w:rFonts w:hint="eastAsia" w:ascii="宋体" w:hAnsi="宋体" w:cs="宋体"/>
                <w:highlight w:val="none"/>
              </w:rPr>
              <w:t>投标保证金交纳</w:t>
            </w:r>
          </w:p>
        </w:tc>
        <w:tc>
          <w:tcPr>
            <w:tcW w:w="6636" w:type="dxa"/>
            <w:vAlign w:val="center"/>
          </w:tcPr>
          <w:p>
            <w:pPr>
              <w:pStyle w:val="111"/>
              <w:numPr>
                <w:ilvl w:val="0"/>
                <w:numId w:val="1"/>
              </w:numPr>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投标保证金的金额：</w:t>
            </w:r>
          </w:p>
          <w:p>
            <w:pPr>
              <w:pStyle w:val="111"/>
              <w:numPr>
                <w:ilvl w:val="0"/>
                <w:numId w:val="0"/>
              </w:numPr>
              <w:snapToGrid w:val="0"/>
              <w:spacing w:line="360" w:lineRule="auto"/>
              <w:ind w:firstLine="510" w:firstLineChars="200"/>
              <w:jc w:val="left"/>
              <w:rPr>
                <w:rFonts w:hint="eastAsia" w:ascii="宋体" w:hAnsi="宋体" w:cs="宋体"/>
                <w:b/>
                <w:bCs/>
                <w:color w:val="000000"/>
                <w:spacing w:val="7"/>
                <w:sz w:val="24"/>
                <w:highlight w:val="none"/>
                <w:lang w:val="en-US" w:eastAsia="zh-CN"/>
              </w:rPr>
            </w:pPr>
            <w:r>
              <w:rPr>
                <w:rFonts w:hint="eastAsia" w:ascii="宋体" w:hAnsi="宋体" w:cs="宋体"/>
                <w:b/>
                <w:bCs/>
                <w:color w:val="000000"/>
                <w:spacing w:val="7"/>
                <w:sz w:val="24"/>
                <w:highlight w:val="none"/>
                <w:lang w:val="en-US" w:eastAsia="zh-CN"/>
              </w:rPr>
              <w:t>包1：8000元；  大写：捌仟元整；</w:t>
            </w:r>
          </w:p>
          <w:p>
            <w:pPr>
              <w:pStyle w:val="111"/>
              <w:numPr>
                <w:ilvl w:val="0"/>
                <w:numId w:val="0"/>
              </w:numPr>
              <w:snapToGrid w:val="0"/>
              <w:spacing w:line="360" w:lineRule="auto"/>
              <w:ind w:firstLine="510" w:firstLineChars="200"/>
              <w:jc w:val="left"/>
              <w:rPr>
                <w:rFonts w:hint="eastAsia" w:ascii="宋体" w:hAnsi="宋体" w:cs="宋体"/>
                <w:b/>
                <w:bCs/>
                <w:color w:val="000000"/>
                <w:spacing w:val="7"/>
                <w:sz w:val="24"/>
                <w:highlight w:val="none"/>
                <w:lang w:val="en-US" w:eastAsia="zh-CN"/>
              </w:rPr>
            </w:pPr>
            <w:r>
              <w:rPr>
                <w:rFonts w:hint="eastAsia" w:ascii="宋体" w:hAnsi="宋体" w:cs="宋体"/>
                <w:b/>
                <w:bCs/>
                <w:color w:val="000000"/>
                <w:spacing w:val="7"/>
                <w:sz w:val="24"/>
                <w:highlight w:val="none"/>
                <w:lang w:val="en-US" w:eastAsia="zh-CN"/>
              </w:rPr>
              <w:t>包2：20000元； 大写：贰万肆仟元整。</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、递交方式：电汇（电汇时需备注：招标八部）</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、投标保证金汇入银行及账号：</w:t>
            </w:r>
          </w:p>
          <w:p>
            <w:pPr>
              <w:pStyle w:val="111"/>
              <w:snapToGrid w:val="0"/>
              <w:spacing w:line="360" w:lineRule="auto"/>
              <w:jc w:val="left"/>
              <w:rPr>
                <w:rFonts w:ascii="宋体" w:cs="宋体"/>
                <w:color w:val="000000"/>
                <w:spacing w:val="7"/>
                <w:sz w:val="24"/>
                <w:highlight w:val="none"/>
                <w:lang w:eastAsia="zh-CN"/>
              </w:rPr>
            </w:pPr>
            <w:r>
              <w:rPr>
                <w:rFonts w:ascii="宋体" w:cs="宋体"/>
                <w:color w:val="000000"/>
                <w:spacing w:val="7"/>
                <w:sz w:val="24"/>
                <w:highlight w:val="none"/>
                <w:lang w:eastAsia="zh-CN"/>
              </w:rPr>
              <w:t>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开户名称：山东省鲁成招标有限公司</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开户银行：中国农业银行济南分行</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银行账号：</w:t>
            </w:r>
            <w:r>
              <w:rPr>
                <w:rFonts w:ascii="宋体" w:hAnsi="宋体" w:cs="宋体"/>
                <w:color w:val="000000"/>
                <w:spacing w:val="7"/>
                <w:sz w:val="24"/>
                <w:highlight w:val="none"/>
                <w:lang w:eastAsia="zh-CN"/>
              </w:rPr>
              <w:t>15110101040001136</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（行号：</w:t>
            </w:r>
            <w:r>
              <w:rPr>
                <w:rFonts w:ascii="宋体" w:hAnsi="宋体" w:cs="宋体"/>
                <w:color w:val="000000"/>
                <w:spacing w:val="7"/>
                <w:sz w:val="24"/>
                <w:highlight w:val="none"/>
                <w:lang w:eastAsia="zh-CN"/>
              </w:rPr>
              <w:t>103451011106</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hAns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hint="eastAsia" w:ascii="宋体" w:hAnsi="宋体" w:cs="宋体"/>
                <w:b/>
                <w:bCs/>
                <w:highlight w:val="none"/>
                <w:lang w:eastAsia="zh-CN"/>
              </w:rPr>
              <w:t>2019年</w:t>
            </w:r>
            <w:r>
              <w:rPr>
                <w:rFonts w:hint="eastAsia" w:ascii="宋体" w:hAnsi="宋体" w:cs="宋体"/>
                <w:b/>
                <w:bCs/>
                <w:highlight w:val="none"/>
                <w:lang w:val="en-US" w:eastAsia="zh-CN"/>
              </w:rPr>
              <w:t>9</w:t>
            </w:r>
            <w:r>
              <w:rPr>
                <w:rFonts w:hint="eastAsia" w:ascii="宋体" w:hAnsi="宋体" w:cs="宋体"/>
                <w:b/>
                <w:bCs/>
                <w:highlight w:val="none"/>
                <w:lang w:eastAsia="zh-CN"/>
              </w:rPr>
              <w:t>月</w:t>
            </w:r>
            <w:r>
              <w:rPr>
                <w:rFonts w:hint="eastAsia" w:ascii="宋体" w:hAnsi="宋体" w:cs="宋体"/>
                <w:b/>
                <w:bCs/>
                <w:highlight w:val="none"/>
                <w:lang w:val="en-US" w:eastAsia="zh-CN"/>
              </w:rPr>
              <w:t>11</w:t>
            </w:r>
            <w:r>
              <w:rPr>
                <w:rFonts w:hint="eastAsia" w:ascii="宋体" w:hAnsi="宋体" w:cs="宋体"/>
                <w:b/>
                <w:bCs/>
                <w:highlight w:val="none"/>
                <w:lang w:eastAsia="zh-CN"/>
              </w:rPr>
              <w:t>日</w:t>
            </w:r>
            <w:r>
              <w:rPr>
                <w:rFonts w:hint="eastAsia" w:ascii="宋体" w:hAnsi="宋体" w:cs="宋体"/>
                <w:b/>
                <w:bCs/>
                <w:highlight w:val="none"/>
                <w:lang w:val="en-US" w:eastAsia="zh-CN"/>
              </w:rPr>
              <w:t>9</w:t>
            </w:r>
            <w:r>
              <w:rPr>
                <w:rFonts w:hint="eastAsia" w:ascii="宋体" w:hAnsi="宋体" w:cs="宋体"/>
                <w:b/>
                <w:bCs/>
                <w:highlight w:val="none"/>
                <w:lang w:eastAsia="zh-CN"/>
              </w:rPr>
              <w:t>:00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17</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投标文件递交时间</w:t>
            </w:r>
          </w:p>
        </w:tc>
        <w:tc>
          <w:tcPr>
            <w:tcW w:w="6636" w:type="dxa"/>
            <w:vAlign w:val="center"/>
          </w:tcPr>
          <w:p>
            <w:pPr>
              <w:pStyle w:val="20"/>
              <w:tabs>
                <w:tab w:val="left" w:pos="0"/>
                <w:tab w:val="left" w:pos="955"/>
              </w:tabs>
              <w:spacing w:line="360" w:lineRule="auto"/>
              <w:ind w:left="0" w:leftChars="0" w:firstLine="0" w:firstLineChars="0"/>
              <w:rPr>
                <w:rFonts w:ascii="宋体" w:cs="宋体"/>
                <w:color w:val="000000"/>
                <w:spacing w:val="7"/>
                <w:sz w:val="24"/>
                <w:highlight w:val="none"/>
                <w:lang w:eastAsia="zh-CN"/>
              </w:rPr>
            </w:pPr>
            <w:r>
              <w:rPr>
                <w:rFonts w:hint="eastAsia" w:ascii="宋体" w:hAnsi="宋体" w:cs="宋体"/>
                <w:b/>
                <w:bCs/>
                <w:highlight w:val="none"/>
              </w:rPr>
              <w:t>2019年</w:t>
            </w:r>
            <w:r>
              <w:rPr>
                <w:rFonts w:hint="eastAsia" w:ascii="宋体" w:hAnsi="宋体" w:cs="宋体"/>
                <w:b/>
                <w:bCs/>
                <w:highlight w:val="none"/>
                <w:lang w:val="en-US" w:eastAsia="zh-CN"/>
              </w:rPr>
              <w:t>9</w:t>
            </w:r>
            <w:r>
              <w:rPr>
                <w:rFonts w:hint="eastAsia" w:ascii="宋体" w:hAnsi="宋体" w:cs="宋体"/>
                <w:b/>
                <w:bCs/>
                <w:highlight w:val="none"/>
              </w:rPr>
              <w:t>月</w:t>
            </w:r>
            <w:r>
              <w:rPr>
                <w:rFonts w:hint="eastAsia" w:ascii="宋体" w:hAnsi="宋体" w:cs="宋体"/>
                <w:b/>
                <w:bCs/>
                <w:highlight w:val="none"/>
                <w:lang w:val="en-US" w:eastAsia="zh-CN"/>
              </w:rPr>
              <w:t>11</w:t>
            </w:r>
            <w:r>
              <w:rPr>
                <w:rFonts w:hint="eastAsia" w:ascii="宋体" w:hAnsi="宋体" w:cs="宋体"/>
                <w:b/>
                <w:bCs/>
                <w:highlight w:val="none"/>
              </w:rPr>
              <w:t>日</w:t>
            </w:r>
            <w:r>
              <w:rPr>
                <w:rFonts w:hint="eastAsia" w:ascii="宋体" w:hAnsi="宋体" w:cs="宋体"/>
                <w:b/>
                <w:bCs/>
                <w:highlight w:val="none"/>
              </w:rPr>
              <w:t>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18</w:t>
            </w:r>
          </w:p>
        </w:tc>
        <w:tc>
          <w:tcPr>
            <w:tcW w:w="263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投标文件递交的</w:t>
            </w:r>
          </w:p>
          <w:p>
            <w:pPr>
              <w:pStyle w:val="111"/>
              <w:snapToGrid w:val="0"/>
              <w:spacing w:line="360" w:lineRule="auto"/>
              <w:ind w:firstLine="508" w:firstLineChars="200"/>
              <w:rPr>
                <w:rFonts w:ascii="宋体" w:cs="宋体"/>
                <w:highlight w:val="none"/>
              </w:rPr>
            </w:pPr>
            <w:r>
              <w:rPr>
                <w:rFonts w:hint="eastAsia" w:ascii="宋体" w:hAnsi="宋体" w:cs="宋体"/>
                <w:color w:val="000000"/>
                <w:spacing w:val="7"/>
                <w:sz w:val="24"/>
                <w:highlight w:val="none"/>
                <w:lang w:eastAsia="zh-CN"/>
              </w:rPr>
              <w:t>截止时间</w:t>
            </w:r>
          </w:p>
        </w:tc>
        <w:tc>
          <w:tcPr>
            <w:tcW w:w="6636"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9</w:t>
            </w:r>
            <w:r>
              <w:rPr>
                <w:rFonts w:hint="eastAsia" w:ascii="宋体" w:hAnsi="宋体" w:cs="宋体"/>
                <w:b/>
                <w:bCs/>
                <w:highlight w:val="none"/>
              </w:rPr>
              <w:t>月</w:t>
            </w:r>
            <w:r>
              <w:rPr>
                <w:rFonts w:hint="eastAsia" w:ascii="宋体" w:hAnsi="宋体" w:cs="宋体"/>
                <w:b/>
                <w:bCs/>
                <w:highlight w:val="none"/>
                <w:lang w:val="en-US" w:eastAsia="zh-CN"/>
              </w:rPr>
              <w:t>11</w:t>
            </w:r>
            <w:r>
              <w:rPr>
                <w:rFonts w:hint="eastAsia" w:ascii="宋体" w:hAnsi="宋体" w:cs="宋体"/>
                <w:b/>
                <w:bCs/>
                <w:highlight w:val="none"/>
              </w:rPr>
              <w:t>日</w:t>
            </w:r>
            <w:r>
              <w:rPr>
                <w:rFonts w:hint="eastAsia" w:ascii="宋体" w:hAnsi="宋体" w:cs="宋体"/>
                <w:b/>
                <w:bCs/>
                <w:highlight w:val="none"/>
              </w:rPr>
              <w:t>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19</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eastAsia="zh-CN"/>
              </w:rPr>
            </w:pPr>
            <w:r>
              <w:rPr>
                <w:rFonts w:hint="eastAsia" w:ascii="宋体" w:hAnsi="宋体" w:cs="宋体"/>
                <w:highlight w:val="none"/>
              </w:rPr>
              <w:t>递交投标文件地点</w:t>
            </w:r>
          </w:p>
        </w:tc>
        <w:tc>
          <w:tcPr>
            <w:tcW w:w="6636" w:type="dxa"/>
            <w:vAlign w:val="center"/>
          </w:tcPr>
          <w:p>
            <w:pPr>
              <w:pStyle w:val="111"/>
              <w:snapToGrid w:val="0"/>
              <w:spacing w:line="360" w:lineRule="auto"/>
              <w:jc w:val="left"/>
              <w:rPr>
                <w:rFonts w:ascii="宋体" w:cs="宋体"/>
                <w:color w:val="000000"/>
                <w:spacing w:val="7"/>
                <w:highlight w:val="none"/>
              </w:rPr>
            </w:pPr>
            <w:r>
              <w:rPr>
                <w:rFonts w:hint="eastAsia" w:ascii="宋体" w:hAnsi="宋体" w:cs="宋体"/>
                <w:color w:val="000000"/>
                <w:spacing w:val="7"/>
                <w:sz w:val="24"/>
                <w:highlight w:val="none"/>
                <w:lang w:eastAsia="zh-CN"/>
              </w:rPr>
              <w:t>山东大学第二医院办公楼五楼会议室（济南市天桥区北园大街</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r>
              <w:rPr>
                <w:rFonts w:hint="eastAsia" w:ascii="宋体" w:cs="宋体"/>
                <w:spacing w:val="6"/>
                <w:sz w:val="24"/>
                <w:highlight w:val="none"/>
                <w:lang w:eastAsia="zh-CN"/>
              </w:rPr>
              <w:t>（如有变动临时通知）</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20</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评审方法</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同品牌产品</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投标说明</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hint="default" w:ascii="宋体" w:eastAsia="宋体" w:cs="宋体"/>
                <w:highlight w:val="none"/>
                <w:lang w:val="en-US" w:eastAsia="zh-CN"/>
              </w:rPr>
            </w:pPr>
            <w:r>
              <w:rPr>
                <w:rFonts w:hint="eastAsia" w:ascii="宋体" w:cs="宋体"/>
                <w:highlight w:val="none"/>
                <w:lang w:val="en-US" w:eastAsia="zh-CN"/>
              </w:rPr>
              <w:t>22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投标费用</w:t>
            </w:r>
          </w:p>
        </w:tc>
        <w:tc>
          <w:tcPr>
            <w:tcW w:w="6636" w:type="dxa"/>
            <w:vAlign w:val="center"/>
          </w:tcPr>
          <w:p>
            <w:pPr>
              <w:pStyle w:val="20"/>
              <w:tabs>
                <w:tab w:val="left" w:pos="0"/>
                <w:tab w:val="left" w:pos="840"/>
                <w:tab w:val="left" w:pos="955"/>
              </w:tabs>
              <w:snapToGrid w:val="0"/>
              <w:spacing w:line="360" w:lineRule="auto"/>
              <w:ind w:left="0" w:leftChars="0" w:firstLine="0" w:firstLineChars="0"/>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中标服务费：按国家计委计价格</w:t>
            </w:r>
            <w:r>
              <w:rPr>
                <w:rFonts w:ascii="宋体" w:hAnsi="宋体" w:cs="宋体"/>
                <w:color w:val="000000"/>
                <w:spacing w:val="7"/>
                <w:sz w:val="24"/>
                <w:highlight w:val="none"/>
                <w:lang w:eastAsia="zh-CN"/>
              </w:rPr>
              <w:t>[2002]1980</w:t>
            </w:r>
            <w:r>
              <w:rPr>
                <w:rFonts w:hint="eastAsia" w:ascii="宋体" w:hAnsi="宋体" w:cs="宋体"/>
                <w:color w:val="000000"/>
                <w:spacing w:val="7"/>
                <w:sz w:val="24"/>
                <w:highlight w:val="none"/>
                <w:lang w:eastAsia="zh-CN"/>
              </w:rPr>
              <w:t>号文收费标准下浮</w:t>
            </w:r>
            <w:r>
              <w:rPr>
                <w:rFonts w:ascii="宋体" w:hAnsi="宋体" w:cs="宋体"/>
                <w:color w:val="000000"/>
                <w:spacing w:val="7"/>
                <w:sz w:val="24"/>
                <w:highlight w:val="none"/>
                <w:lang w:val="en-US" w:eastAsia="zh-CN"/>
              </w:rPr>
              <w:t>30%</w:t>
            </w:r>
            <w:r>
              <w:rPr>
                <w:rFonts w:hint="eastAsia" w:ascii="宋体" w:hAnsi="宋体" w:cs="宋体"/>
                <w:color w:val="000000"/>
                <w:spacing w:val="7"/>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6" w:name="_Toc16191"/>
      <w:bookmarkStart w:id="7" w:name="_Toc12225"/>
      <w:bookmarkStart w:id="8" w:name="_Toc10957"/>
      <w:r>
        <w:rPr>
          <w:rFonts w:hint="eastAsia" w:ascii="宋体" w:hAnsi="宋体"/>
          <w:b/>
          <w:sz w:val="28"/>
          <w:highlight w:val="none"/>
        </w:rPr>
        <w:t>一、说明</w:t>
      </w:r>
      <w:bookmarkEnd w:id="6"/>
      <w:bookmarkEnd w:id="7"/>
      <w:bookmarkEnd w:id="8"/>
    </w:p>
    <w:p>
      <w:pPr>
        <w:pStyle w:val="12"/>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2"/>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2"/>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2"/>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9" w:name="_Toc7693"/>
      <w:bookmarkStart w:id="10" w:name="_Toc6481"/>
      <w:bookmarkStart w:id="11" w:name="_Toc32185"/>
      <w:r>
        <w:rPr>
          <w:rFonts w:ascii="宋体" w:hAnsi="宋体"/>
          <w:b/>
          <w:sz w:val="24"/>
          <w:highlight w:val="none"/>
        </w:rPr>
        <w:t xml:space="preserve">3.  </w:t>
      </w:r>
      <w:r>
        <w:rPr>
          <w:rFonts w:hint="eastAsia" w:ascii="宋体" w:hAnsi="宋体"/>
          <w:b/>
          <w:sz w:val="24"/>
          <w:highlight w:val="none"/>
        </w:rPr>
        <w:t>合格投标人</w:t>
      </w:r>
      <w:bookmarkEnd w:id="9"/>
      <w:bookmarkEnd w:id="10"/>
      <w:bookmarkEnd w:id="11"/>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参加政府采购活动前三年内，未发生重大质量安全事故；无弄虚作假和重大违法违纪行为；无医药购销领域商业贿赂方面的不良记录；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3.1.7</w:t>
      </w:r>
      <w:r>
        <w:rPr>
          <w:rFonts w:hint="eastAsia" w:ascii="宋体"/>
          <w:sz w:val="24"/>
          <w:highlight w:val="none"/>
        </w:rPr>
        <w:t>法律、行政法规规定的其他条件。</w:t>
      </w:r>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 xml:space="preserve">3.6 </w:t>
      </w:r>
      <w:r>
        <w:rPr>
          <w:rFonts w:hint="eastAsia" w:ascii="宋体" w:hAnsi="宋体"/>
          <w:bCs/>
          <w:sz w:val="24"/>
          <w:highlight w:val="none"/>
        </w:rPr>
        <w:t>本次招标不接受联合体投标；</w:t>
      </w:r>
    </w:p>
    <w:p>
      <w:pPr>
        <w:pStyle w:val="21"/>
        <w:tabs>
          <w:tab w:val="left" w:pos="1146"/>
        </w:tabs>
        <w:spacing w:line="480" w:lineRule="exact"/>
        <w:ind w:left="1144" w:leftChars="272" w:hanging="573" w:hangingChars="238"/>
        <w:outlineLvl w:val="0"/>
        <w:rPr>
          <w:rFonts w:ascii="宋体"/>
          <w:b/>
          <w:sz w:val="24"/>
          <w:highlight w:val="none"/>
        </w:rPr>
      </w:pPr>
      <w:bookmarkStart w:id="12" w:name="_Toc9430"/>
      <w:bookmarkStart w:id="13" w:name="_Toc28524"/>
      <w:bookmarkStart w:id="14" w:name="_Toc10338"/>
      <w:r>
        <w:rPr>
          <w:rFonts w:ascii="宋体" w:hAnsi="宋体"/>
          <w:b/>
          <w:sz w:val="24"/>
          <w:highlight w:val="none"/>
        </w:rPr>
        <w:t xml:space="preserve">4  </w:t>
      </w:r>
      <w:r>
        <w:rPr>
          <w:rFonts w:hint="eastAsia" w:ascii="宋体" w:hAnsi="宋体"/>
          <w:b/>
          <w:sz w:val="24"/>
          <w:highlight w:val="none"/>
        </w:rPr>
        <w:t>货物定义</w:t>
      </w:r>
      <w:bookmarkEnd w:id="12"/>
      <w:bookmarkEnd w:id="13"/>
      <w:bookmarkEnd w:id="14"/>
    </w:p>
    <w:p>
      <w:pPr>
        <w:pStyle w:val="21"/>
        <w:tabs>
          <w:tab w:val="left" w:pos="1146"/>
        </w:tabs>
        <w:spacing w:line="480" w:lineRule="exact"/>
        <w:ind w:left="128" w:leftChars="61" w:firstLine="480" w:firstLineChars="200"/>
        <w:outlineLvl w:val="0"/>
        <w:rPr>
          <w:rFonts w:ascii="宋体"/>
          <w:sz w:val="24"/>
          <w:highlight w:val="none"/>
        </w:rPr>
      </w:pPr>
      <w:bookmarkStart w:id="15" w:name="_Toc1705"/>
      <w:bookmarkStart w:id="16" w:name="_Toc979"/>
      <w:bookmarkStart w:id="17" w:name="_Toc13517"/>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5"/>
      <w:bookmarkEnd w:id="16"/>
      <w:bookmarkEnd w:id="17"/>
    </w:p>
    <w:p>
      <w:pPr>
        <w:pStyle w:val="21"/>
        <w:tabs>
          <w:tab w:val="left" w:pos="1146"/>
        </w:tabs>
        <w:spacing w:line="480" w:lineRule="exact"/>
        <w:ind w:left="128" w:leftChars="61" w:firstLine="480" w:firstLineChars="200"/>
        <w:outlineLvl w:val="0"/>
        <w:rPr>
          <w:rFonts w:ascii="宋体"/>
          <w:sz w:val="24"/>
          <w:highlight w:val="none"/>
        </w:rPr>
      </w:pPr>
      <w:bookmarkStart w:id="18" w:name="_Toc17993"/>
      <w:bookmarkStart w:id="19" w:name="_Toc13825"/>
      <w:bookmarkStart w:id="20" w:name="_Toc15995"/>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8"/>
      <w:bookmarkEnd w:id="19"/>
      <w:bookmarkEnd w:id="20"/>
    </w:p>
    <w:p>
      <w:pPr>
        <w:pStyle w:val="21"/>
        <w:tabs>
          <w:tab w:val="left" w:pos="955"/>
        </w:tabs>
        <w:spacing w:line="480" w:lineRule="exact"/>
        <w:ind w:left="571" w:leftChars="272" w:firstLine="2" w:firstLineChars="0"/>
        <w:outlineLvl w:val="0"/>
        <w:rPr>
          <w:rFonts w:ascii="宋体"/>
          <w:b/>
          <w:sz w:val="24"/>
          <w:highlight w:val="none"/>
        </w:rPr>
      </w:pPr>
      <w:bookmarkStart w:id="21" w:name="_Toc30324"/>
      <w:bookmarkStart w:id="22" w:name="_Toc32728"/>
      <w:bookmarkStart w:id="23" w:name="_Toc6605"/>
      <w:r>
        <w:rPr>
          <w:rFonts w:ascii="宋体" w:hAnsi="宋体"/>
          <w:b/>
          <w:sz w:val="24"/>
          <w:highlight w:val="none"/>
        </w:rPr>
        <w:t xml:space="preserve">5.  </w:t>
      </w:r>
      <w:r>
        <w:rPr>
          <w:rFonts w:hint="eastAsia" w:ascii="宋体" w:hAnsi="宋体"/>
          <w:b/>
          <w:sz w:val="24"/>
          <w:highlight w:val="none"/>
        </w:rPr>
        <w:t>投标费用</w:t>
      </w:r>
      <w:bookmarkEnd w:id="21"/>
      <w:bookmarkEnd w:id="22"/>
      <w:bookmarkEnd w:id="23"/>
    </w:p>
    <w:p>
      <w:pPr>
        <w:pStyle w:val="21"/>
        <w:spacing w:line="480" w:lineRule="exact"/>
        <w:ind w:left="48" w:leftChars="23" w:firstLine="480" w:firstLineChars="200"/>
        <w:outlineLvl w:val="0"/>
        <w:rPr>
          <w:rFonts w:ascii="宋体"/>
          <w:sz w:val="24"/>
          <w:highlight w:val="none"/>
        </w:rPr>
      </w:pPr>
      <w:bookmarkStart w:id="24" w:name="_Toc17097"/>
      <w:bookmarkStart w:id="25" w:name="_Toc8916"/>
      <w:bookmarkStart w:id="26" w:name="_Toc7414"/>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4"/>
      <w:bookmarkEnd w:id="25"/>
      <w:bookmarkEnd w:id="26"/>
    </w:p>
    <w:p>
      <w:pPr>
        <w:pStyle w:val="21"/>
        <w:spacing w:line="480" w:lineRule="exact"/>
        <w:ind w:left="48" w:leftChars="23" w:firstLine="480" w:firstLineChars="200"/>
        <w:outlineLvl w:val="0"/>
        <w:rPr>
          <w:rFonts w:ascii="宋体"/>
          <w:sz w:val="24"/>
          <w:highlight w:val="none"/>
        </w:rPr>
      </w:pPr>
      <w:bookmarkStart w:id="27"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7"/>
    </w:p>
    <w:p>
      <w:pPr>
        <w:pStyle w:val="21"/>
        <w:spacing w:line="480" w:lineRule="exact"/>
        <w:ind w:left="0" w:leftChars="0" w:firstLine="0" w:firstLineChars="0"/>
        <w:outlineLvl w:val="1"/>
        <w:rPr>
          <w:rFonts w:ascii="宋体"/>
          <w:b/>
          <w:sz w:val="28"/>
          <w:highlight w:val="none"/>
        </w:rPr>
      </w:pPr>
      <w:bookmarkStart w:id="28" w:name="_Toc8225"/>
      <w:bookmarkStart w:id="29" w:name="_Toc7019"/>
      <w:bookmarkStart w:id="30" w:name="_Toc22107"/>
      <w:r>
        <w:rPr>
          <w:rFonts w:hint="eastAsia" w:ascii="宋体" w:hAnsi="宋体"/>
          <w:b/>
          <w:sz w:val="28"/>
          <w:highlight w:val="none"/>
        </w:rPr>
        <w:t>二、招标文件</w:t>
      </w:r>
      <w:bookmarkEnd w:id="28"/>
      <w:bookmarkEnd w:id="29"/>
      <w:bookmarkEnd w:id="30"/>
    </w:p>
    <w:p>
      <w:pPr>
        <w:pStyle w:val="21"/>
        <w:spacing w:line="480" w:lineRule="exact"/>
        <w:ind w:left="569" w:leftChars="271" w:firstLine="2" w:firstLineChars="1"/>
        <w:outlineLvl w:val="0"/>
        <w:rPr>
          <w:rFonts w:ascii="宋体"/>
          <w:b/>
          <w:sz w:val="24"/>
          <w:highlight w:val="none"/>
        </w:rPr>
      </w:pPr>
      <w:bookmarkStart w:id="31" w:name="_Toc29387"/>
      <w:bookmarkStart w:id="32" w:name="_Toc8798"/>
      <w:bookmarkStart w:id="33" w:name="_Toc31893"/>
      <w:r>
        <w:rPr>
          <w:rFonts w:ascii="宋体" w:hAnsi="宋体"/>
          <w:b/>
          <w:sz w:val="24"/>
          <w:highlight w:val="none"/>
        </w:rPr>
        <w:t xml:space="preserve">6.  </w:t>
      </w:r>
      <w:r>
        <w:rPr>
          <w:rFonts w:hint="eastAsia" w:ascii="宋体" w:hAnsi="宋体"/>
          <w:b/>
          <w:sz w:val="24"/>
          <w:highlight w:val="none"/>
        </w:rPr>
        <w:t>招标文件构成</w:t>
      </w:r>
      <w:bookmarkEnd w:id="31"/>
      <w:bookmarkEnd w:id="32"/>
      <w:bookmarkEnd w:id="33"/>
    </w:p>
    <w:p>
      <w:pPr>
        <w:pStyle w:val="21"/>
        <w:spacing w:line="480" w:lineRule="exact"/>
        <w:ind w:left="197" w:leftChars="94" w:firstLine="360" w:firstLineChars="150"/>
        <w:outlineLvl w:val="0"/>
        <w:rPr>
          <w:rFonts w:ascii="宋体"/>
          <w:sz w:val="24"/>
          <w:highlight w:val="none"/>
        </w:rPr>
      </w:pPr>
      <w:bookmarkStart w:id="34" w:name="_Toc27616"/>
      <w:bookmarkStart w:id="35" w:name="_Toc29308"/>
      <w:bookmarkStart w:id="36" w:name="_Toc22244"/>
      <w:r>
        <w:rPr>
          <w:rFonts w:hint="eastAsia" w:ascii="宋体" w:hAnsi="宋体"/>
          <w:sz w:val="24"/>
          <w:highlight w:val="none"/>
        </w:rPr>
        <w:t>本招标文件共分五部分，内容如下：</w:t>
      </w:r>
      <w:bookmarkEnd w:id="34"/>
      <w:bookmarkEnd w:id="35"/>
      <w:bookmarkEnd w:id="36"/>
    </w:p>
    <w:p>
      <w:pPr>
        <w:pStyle w:val="21"/>
        <w:spacing w:line="480" w:lineRule="exact"/>
        <w:ind w:left="199" w:leftChars="95" w:firstLine="840" w:firstLineChars="350"/>
        <w:outlineLvl w:val="0"/>
        <w:rPr>
          <w:rFonts w:ascii="宋体"/>
          <w:sz w:val="24"/>
          <w:highlight w:val="none"/>
        </w:rPr>
      </w:pPr>
      <w:bookmarkStart w:id="37" w:name="_Toc22769"/>
      <w:bookmarkStart w:id="38" w:name="_Toc22328"/>
      <w:bookmarkStart w:id="39" w:name="_Toc24847"/>
      <w:r>
        <w:rPr>
          <w:rFonts w:hint="eastAsia" w:ascii="宋体" w:hAnsi="宋体"/>
          <w:sz w:val="24"/>
          <w:highlight w:val="none"/>
        </w:rPr>
        <w:t>第一部分招标公告</w:t>
      </w:r>
      <w:bookmarkEnd w:id="37"/>
      <w:bookmarkEnd w:id="38"/>
      <w:bookmarkEnd w:id="39"/>
    </w:p>
    <w:p>
      <w:pPr>
        <w:pStyle w:val="21"/>
        <w:spacing w:line="480" w:lineRule="exact"/>
        <w:ind w:left="199" w:leftChars="95" w:firstLine="840" w:firstLineChars="350"/>
        <w:outlineLvl w:val="0"/>
        <w:rPr>
          <w:rFonts w:ascii="宋体"/>
          <w:sz w:val="24"/>
          <w:highlight w:val="none"/>
        </w:rPr>
      </w:pPr>
      <w:bookmarkStart w:id="40" w:name="_Toc30737"/>
      <w:bookmarkStart w:id="41" w:name="_Toc21707"/>
      <w:bookmarkStart w:id="42" w:name="_Toc3662"/>
      <w:r>
        <w:rPr>
          <w:rFonts w:hint="eastAsia" w:ascii="宋体" w:hAnsi="宋体"/>
          <w:sz w:val="24"/>
          <w:highlight w:val="none"/>
        </w:rPr>
        <w:t>第二部分投标人须知</w:t>
      </w:r>
      <w:bookmarkEnd w:id="40"/>
      <w:bookmarkEnd w:id="41"/>
      <w:bookmarkEnd w:id="42"/>
    </w:p>
    <w:p>
      <w:pPr>
        <w:pStyle w:val="21"/>
        <w:spacing w:line="480" w:lineRule="exact"/>
        <w:ind w:left="199" w:leftChars="95" w:firstLine="840" w:firstLineChars="350"/>
        <w:outlineLvl w:val="0"/>
        <w:rPr>
          <w:rFonts w:ascii="宋体"/>
          <w:sz w:val="24"/>
          <w:highlight w:val="none"/>
        </w:rPr>
      </w:pPr>
      <w:bookmarkStart w:id="43" w:name="_Toc5592"/>
      <w:bookmarkStart w:id="44" w:name="_Toc6061"/>
      <w:bookmarkStart w:id="45" w:name="_Toc25164"/>
      <w:r>
        <w:rPr>
          <w:rFonts w:hint="eastAsia" w:ascii="宋体" w:hAnsi="宋体"/>
          <w:sz w:val="24"/>
          <w:highlight w:val="none"/>
        </w:rPr>
        <w:t>第三部分招标要求</w:t>
      </w:r>
      <w:bookmarkEnd w:id="43"/>
      <w:bookmarkEnd w:id="44"/>
      <w:bookmarkEnd w:id="45"/>
    </w:p>
    <w:p>
      <w:pPr>
        <w:pStyle w:val="21"/>
        <w:spacing w:line="480" w:lineRule="exact"/>
        <w:ind w:left="199" w:leftChars="95" w:firstLine="840" w:firstLineChars="350"/>
        <w:outlineLvl w:val="0"/>
        <w:rPr>
          <w:rFonts w:ascii="宋体"/>
          <w:sz w:val="24"/>
          <w:highlight w:val="none"/>
        </w:rPr>
      </w:pPr>
      <w:bookmarkStart w:id="46" w:name="_Toc8921"/>
      <w:bookmarkStart w:id="47" w:name="_Toc27874"/>
      <w:bookmarkStart w:id="48" w:name="_Toc26235"/>
      <w:r>
        <w:rPr>
          <w:rFonts w:hint="eastAsia" w:ascii="宋体" w:hAnsi="宋体"/>
          <w:sz w:val="24"/>
          <w:highlight w:val="none"/>
        </w:rPr>
        <w:t>第四部分合同条款及格式</w:t>
      </w:r>
      <w:bookmarkEnd w:id="46"/>
      <w:bookmarkEnd w:id="47"/>
      <w:bookmarkEnd w:id="48"/>
    </w:p>
    <w:p>
      <w:pPr>
        <w:pStyle w:val="21"/>
        <w:spacing w:line="480" w:lineRule="exact"/>
        <w:ind w:left="199" w:leftChars="95" w:firstLine="840" w:firstLineChars="350"/>
        <w:outlineLvl w:val="0"/>
        <w:rPr>
          <w:rFonts w:ascii="宋体"/>
          <w:sz w:val="24"/>
          <w:highlight w:val="none"/>
        </w:rPr>
      </w:pPr>
      <w:bookmarkStart w:id="49" w:name="_Toc24995"/>
      <w:bookmarkStart w:id="50" w:name="_Toc1085"/>
      <w:bookmarkStart w:id="51" w:name="_Toc23721"/>
      <w:r>
        <w:rPr>
          <w:rFonts w:hint="eastAsia" w:ascii="宋体" w:hAnsi="宋体"/>
          <w:sz w:val="24"/>
          <w:highlight w:val="none"/>
        </w:rPr>
        <w:t>第五部分附件</w:t>
      </w:r>
      <w:bookmarkEnd w:id="49"/>
      <w:bookmarkEnd w:id="50"/>
      <w:bookmarkEnd w:id="51"/>
    </w:p>
    <w:p>
      <w:pPr>
        <w:pStyle w:val="21"/>
        <w:spacing w:line="480" w:lineRule="exact"/>
        <w:ind w:left="197" w:leftChars="94" w:firstLine="376" w:firstLineChars="156"/>
        <w:outlineLvl w:val="0"/>
        <w:rPr>
          <w:rFonts w:ascii="宋体"/>
          <w:b/>
          <w:sz w:val="24"/>
          <w:highlight w:val="none"/>
        </w:rPr>
      </w:pPr>
      <w:bookmarkStart w:id="52" w:name="_Toc27057"/>
      <w:bookmarkStart w:id="53" w:name="_Toc31858"/>
      <w:bookmarkStart w:id="54" w:name="_Toc4919"/>
      <w:r>
        <w:rPr>
          <w:rFonts w:ascii="宋体" w:hAnsi="宋体"/>
          <w:b/>
          <w:sz w:val="24"/>
          <w:highlight w:val="none"/>
        </w:rPr>
        <w:t xml:space="preserve">7.  </w:t>
      </w:r>
      <w:r>
        <w:rPr>
          <w:rFonts w:hint="eastAsia" w:ascii="宋体" w:hAnsi="宋体"/>
          <w:b/>
          <w:sz w:val="24"/>
          <w:highlight w:val="none"/>
        </w:rPr>
        <w:t>招标文件澄清和修改</w:t>
      </w:r>
      <w:bookmarkEnd w:id="52"/>
      <w:bookmarkEnd w:id="53"/>
      <w:bookmarkEnd w:id="54"/>
    </w:p>
    <w:p>
      <w:pPr>
        <w:pStyle w:val="21"/>
        <w:spacing w:line="480" w:lineRule="exact"/>
        <w:ind w:left="286" w:leftChars="136" w:firstLine="480" w:firstLineChars="200"/>
        <w:outlineLvl w:val="0"/>
        <w:rPr>
          <w:rFonts w:ascii="宋体"/>
          <w:sz w:val="24"/>
          <w:highlight w:val="none"/>
        </w:rPr>
      </w:pPr>
      <w:bookmarkStart w:id="55" w:name="_Toc15456"/>
      <w:bookmarkStart w:id="56" w:name="_Toc14329"/>
      <w:bookmarkStart w:id="57" w:name="_Toc32322"/>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5"/>
      <w:bookmarkEnd w:id="56"/>
      <w:bookmarkEnd w:id="57"/>
    </w:p>
    <w:p>
      <w:pPr>
        <w:pStyle w:val="21"/>
        <w:spacing w:line="480" w:lineRule="exact"/>
        <w:ind w:left="286" w:leftChars="136" w:firstLine="480" w:firstLineChars="200"/>
        <w:outlineLvl w:val="0"/>
        <w:rPr>
          <w:rFonts w:ascii="宋体"/>
          <w:sz w:val="24"/>
          <w:highlight w:val="none"/>
        </w:rPr>
      </w:pPr>
      <w:bookmarkStart w:id="58" w:name="_Toc7023"/>
      <w:bookmarkStart w:id="59" w:name="_Toc2503"/>
      <w:bookmarkStart w:id="60" w:name="_Toc3003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8"/>
      <w:bookmarkEnd w:id="59"/>
      <w:bookmarkEnd w:id="60"/>
    </w:p>
    <w:p>
      <w:pPr>
        <w:pStyle w:val="21"/>
        <w:spacing w:line="480" w:lineRule="exact"/>
        <w:ind w:left="286" w:leftChars="136" w:firstLine="480" w:firstLineChars="200"/>
        <w:outlineLvl w:val="0"/>
        <w:rPr>
          <w:rFonts w:ascii="宋体"/>
          <w:sz w:val="24"/>
          <w:highlight w:val="none"/>
        </w:rPr>
      </w:pPr>
      <w:bookmarkStart w:id="61" w:name="_Toc23881"/>
      <w:bookmarkStart w:id="62" w:name="_Toc27548"/>
      <w:bookmarkStart w:id="63" w:name="_Toc6239"/>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61"/>
      <w:bookmarkEnd w:id="62"/>
      <w:bookmarkEnd w:id="63"/>
    </w:p>
    <w:p>
      <w:pPr>
        <w:pStyle w:val="21"/>
        <w:spacing w:line="480" w:lineRule="exact"/>
        <w:ind w:left="286" w:leftChars="136" w:firstLine="480" w:firstLineChars="200"/>
        <w:outlineLvl w:val="0"/>
        <w:rPr>
          <w:rFonts w:ascii="宋体"/>
          <w:sz w:val="24"/>
          <w:highlight w:val="none"/>
        </w:rPr>
      </w:pPr>
      <w:bookmarkStart w:id="64" w:name="_Toc6905"/>
      <w:bookmarkStart w:id="65" w:name="_Toc17859"/>
      <w:bookmarkStart w:id="66" w:name="_Toc17449"/>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4"/>
      <w:bookmarkEnd w:id="65"/>
      <w:bookmarkEnd w:id="66"/>
    </w:p>
    <w:p>
      <w:pPr>
        <w:pStyle w:val="21"/>
        <w:spacing w:line="480" w:lineRule="exact"/>
        <w:ind w:left="0" w:leftChars="0" w:firstLine="0" w:firstLineChars="0"/>
        <w:outlineLvl w:val="1"/>
        <w:rPr>
          <w:rFonts w:ascii="宋体"/>
          <w:b/>
          <w:sz w:val="28"/>
          <w:highlight w:val="none"/>
        </w:rPr>
      </w:pPr>
      <w:bookmarkStart w:id="67" w:name="_Toc21443"/>
      <w:bookmarkStart w:id="68" w:name="_Toc13670"/>
      <w:bookmarkStart w:id="69" w:name="_Toc20316"/>
      <w:r>
        <w:rPr>
          <w:rFonts w:hint="eastAsia" w:ascii="宋体" w:hAnsi="宋体"/>
          <w:b/>
          <w:sz w:val="28"/>
          <w:highlight w:val="none"/>
        </w:rPr>
        <w:t>三、投标文件编制</w:t>
      </w:r>
      <w:bookmarkEnd w:id="67"/>
      <w:bookmarkEnd w:id="68"/>
      <w:bookmarkEnd w:id="69"/>
    </w:p>
    <w:p>
      <w:pPr>
        <w:pStyle w:val="19"/>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8.</w:t>
      </w:r>
      <w:r>
        <w:rPr>
          <w:rFonts w:hint="eastAsia" w:ascii="宋体" w:hAnsi="宋体"/>
          <w:highlight w:val="none"/>
          <w:lang w:val="en-US" w:eastAsia="zh-CN"/>
        </w:rPr>
        <w:t>4</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19"/>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19"/>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19"/>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19"/>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2"/>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2"/>
        <w:spacing w:line="480" w:lineRule="exact"/>
        <w:ind w:left="197" w:leftChars="94" w:firstLine="720" w:firstLineChars="300"/>
        <w:rPr>
          <w:rFonts w:ascii="宋体"/>
          <w:sz w:val="24"/>
          <w:highlight w:val="none"/>
        </w:rPr>
      </w:pPr>
      <w:r>
        <w:rPr>
          <w:rFonts w:ascii="宋体" w:hAnsi="宋体"/>
          <w:sz w:val="24"/>
          <w:highlight w:val="none"/>
        </w:rPr>
        <w:t>2</w:t>
      </w:r>
      <w:r>
        <w:rPr>
          <w:rFonts w:hint="eastAsia" w:ascii="宋体" w:hAnsi="宋体"/>
          <w:sz w:val="24"/>
          <w:highlight w:val="none"/>
        </w:rPr>
        <w:t>）投标明细表（附件四）；</w:t>
      </w:r>
    </w:p>
    <w:p>
      <w:pPr>
        <w:pStyle w:val="19"/>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2"/>
        <w:spacing w:line="480" w:lineRule="exact"/>
        <w:ind w:left="197" w:leftChars="94"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）医疗器械生产或经营企业许可证、医疗器械注册证或医疗器械备案凭证复印件（临床医疗器械提供）；采购设备标注为可采进口的，所投设备为进口产品需提供生产厂家授权书或代理证书复印件；</w:t>
      </w:r>
    </w:p>
    <w:p>
      <w:pPr>
        <w:pStyle w:val="12"/>
        <w:spacing w:line="480" w:lineRule="exact"/>
        <w:ind w:left="197" w:leftChars="94" w:firstLine="360" w:firstLineChars="150"/>
        <w:rPr>
          <w:rFonts w:ascii="宋体" w:cs="宋体"/>
          <w:kern w:val="0"/>
          <w:sz w:val="24"/>
          <w:highlight w:val="none"/>
        </w:rPr>
      </w:pPr>
      <w:r>
        <w:rPr>
          <w:rFonts w:ascii="宋体" w:hAnsi="宋体" w:cs="宋体"/>
          <w:kern w:val="0"/>
          <w:sz w:val="24"/>
          <w:highlight w:val="none"/>
        </w:rPr>
        <w:t>4</w:t>
      </w:r>
      <w:r>
        <w:rPr>
          <w:rFonts w:hint="eastAsia" w:ascii="宋体" w:hAnsi="宋体" w:cs="宋体"/>
          <w:kern w:val="0"/>
          <w:sz w:val="24"/>
          <w:highlight w:val="none"/>
        </w:rPr>
        <w:t>）投标人所投设备须具有中华人民共和国医疗器械注册证及《医疗器械注册登记表》（临床医疗器械提供）；</w:t>
      </w:r>
    </w:p>
    <w:p>
      <w:pPr>
        <w:pStyle w:val="12"/>
        <w:spacing w:line="480" w:lineRule="exact"/>
        <w:ind w:left="197" w:leftChars="94" w:firstLine="360" w:firstLineChars="150"/>
        <w:rPr>
          <w:rFonts w:ascii="宋体"/>
          <w:sz w:val="24"/>
          <w:highlight w:val="none"/>
        </w:rPr>
      </w:pPr>
      <w:r>
        <w:rPr>
          <w:rFonts w:ascii="宋体" w:hAnsi="宋体"/>
          <w:sz w:val="24"/>
          <w:highlight w:val="none"/>
        </w:rPr>
        <w:t>5</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8</w:t>
      </w:r>
      <w:r>
        <w:rPr>
          <w:rFonts w:hint="eastAsia" w:ascii="宋体" w:hAnsi="宋体"/>
          <w:sz w:val="24"/>
          <w:highlight w:val="none"/>
        </w:rPr>
        <w:t>月</w:t>
      </w:r>
      <w:r>
        <w:rPr>
          <w:rFonts w:ascii="宋体" w:hAnsi="宋体"/>
          <w:sz w:val="24"/>
          <w:highlight w:val="none"/>
        </w:rPr>
        <w:t>1</w:t>
      </w:r>
      <w:r>
        <w:rPr>
          <w:rFonts w:hint="eastAsia" w:ascii="宋体" w:hAnsi="宋体"/>
          <w:sz w:val="24"/>
          <w:highlight w:val="none"/>
        </w:rPr>
        <w:t>日至今）无不良信誉证明，“信用中国”网站（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如投标单位成立不足三年供应商需提供自成立至今的。（附件十一的格式</w:t>
      </w:r>
      <w:r>
        <w:rPr>
          <w:rFonts w:ascii="宋体" w:hAnsi="宋体"/>
          <w:sz w:val="24"/>
          <w:highlight w:val="none"/>
        </w:rPr>
        <w:t>1</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）近两年（</w:t>
      </w:r>
      <w:r>
        <w:rPr>
          <w:rFonts w:ascii="宋体" w:hAnsi="宋体"/>
          <w:sz w:val="24"/>
          <w:highlight w:val="none"/>
        </w:rPr>
        <w:t>201</w:t>
      </w:r>
      <w:r>
        <w:rPr>
          <w:rFonts w:hint="eastAsia" w:ascii="宋体" w:hAnsi="宋体"/>
          <w:sz w:val="24"/>
          <w:highlight w:val="none"/>
          <w:lang w:val="en-US" w:eastAsia="zh-CN"/>
        </w:rPr>
        <w:t>7</w:t>
      </w:r>
      <w:r>
        <w:rPr>
          <w:rFonts w:hint="eastAsia" w:ascii="宋体" w:hAnsi="宋体"/>
          <w:sz w:val="24"/>
          <w:highlight w:val="none"/>
        </w:rPr>
        <w:t>年、</w:t>
      </w:r>
      <w:r>
        <w:rPr>
          <w:rFonts w:ascii="宋体" w:hAnsi="宋体"/>
          <w:sz w:val="24"/>
          <w:highlight w:val="none"/>
        </w:rPr>
        <w:t>201</w:t>
      </w:r>
      <w:r>
        <w:rPr>
          <w:rFonts w:hint="eastAsia" w:ascii="宋体" w:hAnsi="宋体"/>
          <w:sz w:val="24"/>
          <w:highlight w:val="none"/>
          <w:lang w:val="en-US" w:eastAsia="zh-CN"/>
        </w:rPr>
        <w:t>8</w:t>
      </w:r>
      <w:r>
        <w:rPr>
          <w:rFonts w:hint="eastAsia" w:ascii="宋体" w:hAnsi="宋体"/>
          <w:sz w:val="24"/>
          <w:highlight w:val="none"/>
        </w:rPr>
        <w:t>年）财务状况报告（附件十一的格式</w:t>
      </w:r>
      <w:r>
        <w:rPr>
          <w:rFonts w:ascii="宋体" w:hAnsi="宋体"/>
          <w:sz w:val="24"/>
          <w:highlight w:val="none"/>
        </w:rPr>
        <w:t>2</w:t>
      </w:r>
      <w:r>
        <w:rPr>
          <w:rFonts w:hint="eastAsia" w:ascii="宋体" w:hAnsi="宋体"/>
          <w:sz w:val="24"/>
          <w:highlight w:val="none"/>
        </w:rPr>
        <w:t>）及依法缴纳税收和社会保障资金的相关材料，（附件十一的格式</w:t>
      </w:r>
      <w:r>
        <w:rPr>
          <w:rFonts w:ascii="宋体" w:hAnsi="宋体"/>
          <w:sz w:val="24"/>
          <w:highlight w:val="none"/>
        </w:rPr>
        <w:t>3</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）具备履行合同所必需的设备和专业技术能力的证明材料（附件十一的格式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8</w:t>
      </w:r>
      <w:r>
        <w:rPr>
          <w:rFonts w:hint="eastAsia" w:ascii="宋体" w:hAnsi="宋体"/>
          <w:sz w:val="24"/>
          <w:highlight w:val="none"/>
        </w:rPr>
        <w:t>）</w:t>
      </w:r>
      <w:r>
        <w:rPr>
          <w:rFonts w:hint="eastAsia" w:ascii="宋体" w:hAnsi="宋体" w:cs="宋体"/>
          <w:kern w:val="0"/>
          <w:sz w:val="24"/>
          <w:highlight w:val="none"/>
        </w:rPr>
        <w:t>进口商品安全质量许可证（采购产品属于《实施安全质量许可制度的进口商品目录》中产品，必需提供）</w:t>
      </w:r>
      <w:r>
        <w:rPr>
          <w:rFonts w:hint="eastAsia" w:ascii="宋体" w:hAnsi="宋体"/>
          <w:sz w:val="24"/>
          <w:highlight w:val="none"/>
        </w:rPr>
        <w:t>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9</w:t>
      </w:r>
      <w:r>
        <w:rPr>
          <w:rFonts w:hint="eastAsia" w:ascii="宋体" w:hAnsi="宋体"/>
          <w:sz w:val="24"/>
          <w:highlight w:val="none"/>
        </w:rPr>
        <w:t>）经评标委员会认可的进口产品证明材料</w:t>
      </w:r>
      <w:r>
        <w:rPr>
          <w:rFonts w:ascii="宋体" w:hAnsi="宋体"/>
          <w:sz w:val="24"/>
          <w:highlight w:val="none"/>
        </w:rPr>
        <w:t>(</w:t>
      </w:r>
      <w:r>
        <w:rPr>
          <w:rFonts w:hint="eastAsia" w:ascii="宋体" w:hAnsi="宋体"/>
          <w:sz w:val="24"/>
          <w:highlight w:val="none"/>
        </w:rPr>
        <w:t>如果有</w:t>
      </w:r>
      <w:r>
        <w:rPr>
          <w:rFonts w:ascii="宋体" w:hAnsi="宋体"/>
          <w:sz w:val="24"/>
          <w:highlight w:val="none"/>
        </w:rPr>
        <w:t>)</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10</w:t>
      </w:r>
      <w:r>
        <w:rPr>
          <w:rFonts w:hint="eastAsia" w:ascii="宋体" w:hAnsi="宋体"/>
          <w:sz w:val="24"/>
          <w:highlight w:val="none"/>
        </w:rPr>
        <w:t>）有关的质量体系、安全等认证证书：例如</w:t>
      </w:r>
      <w:r>
        <w:rPr>
          <w:rFonts w:ascii="宋体" w:hAnsi="宋体"/>
          <w:sz w:val="24"/>
          <w:highlight w:val="none"/>
        </w:rPr>
        <w:t>ISO</w:t>
      </w:r>
      <w:r>
        <w:rPr>
          <w:rFonts w:hint="eastAsia" w:ascii="宋体" w:hAnsi="宋体"/>
          <w:sz w:val="24"/>
          <w:highlight w:val="none"/>
        </w:rPr>
        <w:t>、</w:t>
      </w:r>
      <w:r>
        <w:rPr>
          <w:rFonts w:ascii="宋体" w:hAnsi="宋体"/>
          <w:sz w:val="24"/>
          <w:highlight w:val="none"/>
        </w:rPr>
        <w:t>FDA</w:t>
      </w:r>
      <w:r>
        <w:rPr>
          <w:rFonts w:hint="eastAsia" w:ascii="宋体" w:hAnsi="宋体"/>
          <w:sz w:val="24"/>
          <w:highlight w:val="none"/>
        </w:rPr>
        <w:t>、</w:t>
      </w:r>
      <w:r>
        <w:rPr>
          <w:rFonts w:ascii="宋体" w:hAnsi="宋体"/>
          <w:sz w:val="24"/>
          <w:highlight w:val="none"/>
        </w:rPr>
        <w:t>CE</w:t>
      </w:r>
      <w:r>
        <w:rPr>
          <w:rFonts w:hint="eastAsia" w:ascii="宋体" w:hAnsi="宋体"/>
          <w:sz w:val="24"/>
          <w:highlight w:val="none"/>
        </w:rPr>
        <w:t>、</w:t>
      </w:r>
      <w:r>
        <w:rPr>
          <w:rFonts w:ascii="宋体" w:hAnsi="宋体"/>
          <w:sz w:val="24"/>
          <w:highlight w:val="none"/>
        </w:rPr>
        <w:t>3C</w:t>
      </w:r>
      <w:r>
        <w:rPr>
          <w:rFonts w:hint="eastAsia" w:ascii="宋体" w:hAnsi="宋体"/>
          <w:sz w:val="24"/>
          <w:highlight w:val="none"/>
        </w:rPr>
        <w:t>等（国家强制要求的设备必须提供）（如果有）；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11</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1日</w:t>
      </w:r>
      <w:r>
        <w:rPr>
          <w:rFonts w:hint="eastAsia" w:ascii="宋体" w:hAnsi="宋体"/>
          <w:sz w:val="24"/>
          <w:highlight w:val="none"/>
        </w:rPr>
        <w:t>至今）所投货物（同品牌、同型号）的业绩一览表及合同复印件加盖公章，应提供用户的单位名称、地址、邮编、联系电话、联系人（附件十一的格式</w:t>
      </w:r>
      <w:r>
        <w:rPr>
          <w:rFonts w:ascii="宋体" w:hAnsi="宋体"/>
          <w:sz w:val="24"/>
          <w:highlight w:val="none"/>
        </w:rPr>
        <w:t>8</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12</w:t>
      </w:r>
      <w:r>
        <w:rPr>
          <w:rFonts w:hint="eastAsia" w:ascii="宋体" w:hAnsi="宋体"/>
          <w:sz w:val="24"/>
          <w:highlight w:val="none"/>
        </w:rPr>
        <w:t>）投标人为小型和微型企业的，须提供企业所在地的县级以上中小企业主管部门出具的证明文件、《小微企业声明函》（附件十一的格式</w:t>
      </w:r>
      <w:r>
        <w:rPr>
          <w:rFonts w:ascii="宋体" w:hAnsi="宋体"/>
          <w:sz w:val="24"/>
          <w:highlight w:val="none"/>
        </w:rPr>
        <w:t>5</w:t>
      </w:r>
      <w:r>
        <w:rPr>
          <w:rFonts w:hint="eastAsia" w:ascii="宋体" w:hAnsi="宋体"/>
          <w:sz w:val="24"/>
          <w:highlight w:val="none"/>
        </w:rPr>
        <w:t>）、《从业人员声明函》（附件十一的格式</w:t>
      </w:r>
      <w:r>
        <w:rPr>
          <w:rFonts w:ascii="宋体" w:hAnsi="宋体"/>
          <w:sz w:val="24"/>
          <w:highlight w:val="none"/>
        </w:rPr>
        <w:t>6</w:t>
      </w:r>
      <w:r>
        <w:rPr>
          <w:rFonts w:hint="eastAsia" w:ascii="宋体" w:hAnsi="宋体"/>
          <w:sz w:val="24"/>
          <w:highlight w:val="none"/>
        </w:rPr>
        <w:t>）原件及复印件（如果有）；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13</w:t>
      </w:r>
      <w:r>
        <w:rPr>
          <w:rFonts w:hint="eastAsia" w:ascii="宋体" w:hAnsi="宋体"/>
          <w:sz w:val="24"/>
          <w:highlight w:val="none"/>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14</w:t>
      </w:r>
      <w:r>
        <w:rPr>
          <w:rFonts w:hint="eastAsia" w:ascii="宋体" w:hAnsi="宋体"/>
          <w:sz w:val="24"/>
          <w:highlight w:val="none"/>
        </w:rPr>
        <w:t>）节能或环保产品证明（如果有）；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15</w:t>
      </w:r>
      <w:r>
        <w:rPr>
          <w:rFonts w:hint="eastAsia" w:ascii="宋体" w:hAnsi="宋体"/>
          <w:sz w:val="24"/>
          <w:highlight w:val="none"/>
        </w:rPr>
        <w:t>）投标人认为需要提交的其他文件。</w:t>
      </w:r>
    </w:p>
    <w:p>
      <w:pPr>
        <w:pStyle w:val="12"/>
        <w:spacing w:line="480" w:lineRule="exact"/>
        <w:ind w:left="197" w:leftChars="94" w:firstLine="361" w:firstLineChars="150"/>
        <w:rPr>
          <w:rFonts w:asci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9.4  </w:t>
      </w:r>
      <w:r>
        <w:rPr>
          <w:rFonts w:hint="eastAsia" w:ascii="宋体" w:hAnsi="宋体"/>
          <w:sz w:val="24"/>
          <w:highlight w:val="none"/>
        </w:rPr>
        <w:t>技术文件</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1) </w:t>
      </w:r>
      <w:r>
        <w:rPr>
          <w:rFonts w:hint="eastAsia" w:ascii="宋体" w:hAnsi="宋体"/>
          <w:sz w:val="24"/>
          <w:highlight w:val="none"/>
        </w:rPr>
        <w:t>货物主要技术指标和性能的详细说明，包括</w:t>
      </w:r>
      <w:r>
        <w:rPr>
          <w:rFonts w:hint="eastAsia" w:ascii="宋体" w:hAnsi="宋体"/>
          <w:b/>
          <w:sz w:val="24"/>
          <w:highlight w:val="none"/>
        </w:rPr>
        <w:t>产品宣传彩页</w:t>
      </w:r>
      <w:r>
        <w:rPr>
          <w:rFonts w:hint="eastAsia" w:ascii="宋体" w:hAnsi="宋体"/>
          <w:sz w:val="24"/>
          <w:highlight w:val="none"/>
        </w:rPr>
        <w:t>、图纸、数据、检测报告、技术支持资料等；</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2) </w:t>
      </w:r>
      <w:r>
        <w:rPr>
          <w:rFonts w:hint="eastAsia" w:ascii="宋体" w:hAnsi="宋体"/>
          <w:sz w:val="24"/>
          <w:highlight w:val="none"/>
        </w:rPr>
        <w:t>按期交货的保证措施；</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3) </w:t>
      </w:r>
      <w:r>
        <w:rPr>
          <w:rFonts w:hint="eastAsia" w:ascii="宋体" w:hAnsi="宋体"/>
          <w:sz w:val="24"/>
          <w:highlight w:val="none"/>
        </w:rPr>
        <w:t>安装调试方案；</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4) </w:t>
      </w:r>
      <w:r>
        <w:rPr>
          <w:rFonts w:hint="eastAsia" w:ascii="宋体" w:hAnsi="宋体"/>
          <w:bCs/>
          <w:sz w:val="24"/>
          <w:highlight w:val="none"/>
        </w:rPr>
        <w:t>维保方案及维保费用报价表（附件十）；</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5) </w:t>
      </w:r>
      <w:r>
        <w:rPr>
          <w:rFonts w:hint="eastAsia" w:ascii="宋体" w:hAnsi="宋体"/>
          <w:sz w:val="24"/>
          <w:highlight w:val="none"/>
        </w:rPr>
        <w:t>技术规格偏离表（附件五）。</w:t>
      </w:r>
    </w:p>
    <w:p>
      <w:pPr>
        <w:pStyle w:val="19"/>
        <w:spacing w:line="480" w:lineRule="exact"/>
        <w:ind w:firstLine="600" w:firstLineChars="250"/>
        <w:rPr>
          <w:rFonts w:ascii="宋体"/>
          <w:highlight w:val="none"/>
        </w:rPr>
      </w:pPr>
      <w:r>
        <w:rPr>
          <w:rFonts w:ascii="宋体" w:hAnsi="宋体"/>
          <w:highlight w:val="none"/>
        </w:rPr>
        <w:t xml:space="preserve">9.5  </w:t>
      </w:r>
      <w:r>
        <w:rPr>
          <w:rFonts w:hint="eastAsia" w:ascii="宋体" w:hAnsi="宋体"/>
          <w:highlight w:val="none"/>
        </w:rPr>
        <w:t>商务文件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售后服务条款；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对货物负责维修、维护；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质量保证期以后的维修、维护内容及服务方式、范围和收费等情况；</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h  </w:t>
      </w:r>
      <w:r>
        <w:rPr>
          <w:rFonts w:hint="eastAsia" w:ascii="宋体" w:hAnsi="宋体" w:cs="宋体"/>
          <w:kern w:val="0"/>
          <w:sz w:val="24"/>
          <w:highlight w:val="none"/>
        </w:rPr>
        <w:t>质保期内及质保期外维护保修方案；</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I  </w:t>
      </w:r>
      <w:r>
        <w:rPr>
          <w:rFonts w:hint="eastAsia" w:ascii="宋体" w:hAnsi="宋体" w:cs="宋体"/>
          <w:kern w:val="0"/>
          <w:sz w:val="24"/>
          <w:highlight w:val="none"/>
        </w:rPr>
        <w:t>投标人应报出质保期外两年内备品备件、易损件的详细清单及分项报价</w:t>
      </w:r>
      <w:r>
        <w:rPr>
          <w:rFonts w:ascii="宋体" w:hAnsi="宋体" w:cs="宋体"/>
          <w:kern w:val="0"/>
          <w:sz w:val="24"/>
          <w:highlight w:val="none"/>
        </w:rPr>
        <w:t>(</w:t>
      </w:r>
      <w:r>
        <w:rPr>
          <w:rFonts w:hint="eastAsia" w:ascii="宋体" w:hAnsi="宋体" w:cs="宋体"/>
          <w:kern w:val="0"/>
          <w:sz w:val="24"/>
          <w:highlight w:val="none"/>
        </w:rPr>
        <w:t>不计入总报价</w:t>
      </w:r>
      <w:r>
        <w:rPr>
          <w:rFonts w:ascii="宋体" w:hAnsi="宋体" w:cs="宋体"/>
          <w:kern w:val="0"/>
          <w:sz w:val="24"/>
          <w:highlight w:val="none"/>
        </w:rPr>
        <w:t>)</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  </w:t>
      </w:r>
      <w:r>
        <w:rPr>
          <w:rFonts w:hint="eastAsia" w:ascii="宋体" w:hAnsi="宋体" w:cs="宋体"/>
          <w:kern w:val="0"/>
          <w:sz w:val="24"/>
          <w:highlight w:val="none"/>
        </w:rPr>
        <w:t>商务条款偏离表（附件六）</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4)  </w:t>
      </w:r>
      <w:r>
        <w:rPr>
          <w:rFonts w:hint="eastAsia" w:ascii="宋体" w:hAnsi="宋体" w:cs="宋体"/>
          <w:kern w:val="0"/>
          <w:sz w:val="24"/>
          <w:highlight w:val="none"/>
        </w:rPr>
        <w:t>其他优惠条件。</w:t>
      </w:r>
    </w:p>
    <w:p>
      <w:pPr>
        <w:pStyle w:val="12"/>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本次投标报价为一次性报价，报价币种为人民币。投标报价应报出运至项目现场并安装调试后价格，含主件</w:t>
      </w:r>
      <w:r>
        <w:rPr>
          <w:rFonts w:ascii="宋体" w:hAnsi="宋体" w:cs="宋体"/>
          <w:kern w:val="0"/>
          <w:sz w:val="24"/>
          <w:highlight w:val="none"/>
        </w:rPr>
        <w:t>(</w:t>
      </w:r>
      <w:r>
        <w:rPr>
          <w:rFonts w:hint="eastAsia" w:ascii="宋体" w:hAnsi="宋体" w:cs="宋体"/>
          <w:kern w:val="0"/>
          <w:sz w:val="24"/>
          <w:highlight w:val="none"/>
        </w:rPr>
        <w:t>包括软件</w:t>
      </w:r>
      <w:r>
        <w:rPr>
          <w:rFonts w:ascii="宋体" w:hAnsi="宋体" w:cs="宋体"/>
          <w:kern w:val="0"/>
          <w:sz w:val="24"/>
          <w:highlight w:val="none"/>
        </w:rPr>
        <w:t>)</w:t>
      </w:r>
      <w:r>
        <w:rPr>
          <w:rFonts w:hint="eastAsia" w:ascii="宋体" w:hAnsi="宋体" w:cs="宋体"/>
          <w:kern w:val="0"/>
          <w:sz w:val="24"/>
          <w:highlight w:val="none"/>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70" w:name="_Toc5125"/>
      <w:bookmarkStart w:id="71" w:name="_Toc22972"/>
      <w:bookmarkStart w:id="72" w:name="_Toc16942"/>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70"/>
      <w:bookmarkEnd w:id="71"/>
      <w:bookmarkEnd w:id="72"/>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投标人应准备三份投标文件，一份正本和两份副本以及单独密封的开标一览表一份。在每一份投标文件上要注明“正本”或“副本”字样。投标文件每册不超过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3" w:name="_Toc14371"/>
      <w:bookmarkStart w:id="74" w:name="_Toc28577"/>
      <w:bookmarkStart w:id="75" w:name="_Toc8600"/>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3"/>
      <w:bookmarkEnd w:id="74"/>
      <w:bookmarkEnd w:id="75"/>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6" w:name="_Toc28358"/>
      <w:bookmarkStart w:id="77" w:name="_Toc9239"/>
      <w:bookmarkStart w:id="78" w:name="_Toc26505"/>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6"/>
      <w:bookmarkEnd w:id="77"/>
      <w:bookmarkEnd w:id="78"/>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招标编号、项目名称、包号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为方便公开唱标，请投标人将“开标一览表”单独密封，并注明开标一览表，项目名称、招标编号、包号、投标人名称（加盖公章），与投标文件同时提交。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w:t>
      </w:r>
      <w:r>
        <w:rPr>
          <w:rFonts w:hint="eastAsia" w:ascii="宋体" w:hAnsi="宋体" w:cs="宋体"/>
          <w:kern w:val="0"/>
          <w:sz w:val="24"/>
          <w:highlight w:val="none"/>
          <w:lang w:eastAsia="zh-CN"/>
        </w:rPr>
        <w:t>文件</w:t>
      </w:r>
      <w:r>
        <w:rPr>
          <w:rFonts w:hint="eastAsia" w:ascii="宋体" w:hAnsi="宋体" w:cs="宋体"/>
          <w:kern w:val="0"/>
          <w:sz w:val="24"/>
          <w:highlight w:val="none"/>
        </w:rPr>
        <w:t>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hint="eastAsia" w:ascii="宋体" w:eastAsia="宋体" w:cs="宋体"/>
          <w:kern w:val="0"/>
          <w:sz w:val="24"/>
          <w:highlight w:val="none"/>
          <w:lang w:eastAsia="zh-CN"/>
        </w:rPr>
      </w:pPr>
      <w:bookmarkStart w:id="79" w:name="_Toc31000"/>
      <w:bookmarkStart w:id="80" w:name="_Toc31899"/>
      <w:bookmarkStart w:id="81" w:name="_Toc9397"/>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9"/>
      <w:bookmarkEnd w:id="80"/>
      <w:bookmarkEnd w:id="81"/>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hint="eastAsia" w:ascii="宋体" w:eastAsia="宋体"/>
          <w:bCs/>
          <w:highlight w:val="none"/>
          <w:lang w:eastAsia="zh-CN"/>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r>
        <w:rPr>
          <w:rFonts w:hint="eastAsia" w:ascii="宋体" w:hAnsi="宋体" w:cs="宋体"/>
          <w:kern w:val="0"/>
          <w:sz w:val="24"/>
          <w:highlight w:val="none"/>
          <w:lang w:eastAsia="zh-CN"/>
        </w:rPr>
        <w:t>。</w:t>
      </w:r>
    </w:p>
    <w:p>
      <w:pPr>
        <w:pStyle w:val="21"/>
        <w:spacing w:line="480" w:lineRule="exact"/>
        <w:ind w:leftChars="0" w:hanging="100" w:firstLineChars="0"/>
        <w:outlineLvl w:val="1"/>
        <w:rPr>
          <w:rFonts w:ascii="宋体"/>
          <w:b/>
          <w:bCs/>
          <w:sz w:val="24"/>
          <w:highlight w:val="none"/>
        </w:rPr>
      </w:pPr>
      <w:bookmarkStart w:id="82" w:name="_Toc18910"/>
      <w:bookmarkStart w:id="83" w:name="_Toc1930"/>
      <w:bookmarkStart w:id="84" w:name="_Toc3684"/>
      <w:r>
        <w:rPr>
          <w:rFonts w:hint="eastAsia" w:ascii="宋体" w:hAnsi="宋体"/>
          <w:b/>
          <w:bCs/>
          <w:sz w:val="24"/>
          <w:highlight w:val="none"/>
        </w:rPr>
        <w:t>四、投标文件递交</w:t>
      </w:r>
      <w:bookmarkEnd w:id="82"/>
      <w:bookmarkEnd w:id="83"/>
      <w:bookmarkEnd w:id="84"/>
    </w:p>
    <w:p>
      <w:pPr>
        <w:pStyle w:val="19"/>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19"/>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19"/>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19"/>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19"/>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19"/>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19"/>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5" w:name="_Toc5371"/>
      <w:bookmarkStart w:id="86" w:name="_Toc13548"/>
      <w:bookmarkStart w:id="87" w:name="_Toc22790"/>
      <w:r>
        <w:rPr>
          <w:rFonts w:ascii="宋体" w:hAnsi="宋体"/>
          <w:bCs/>
          <w:sz w:val="24"/>
          <w:highlight w:val="none"/>
        </w:rPr>
        <w:t xml:space="preserve">18.  </w:t>
      </w:r>
      <w:r>
        <w:rPr>
          <w:rFonts w:hint="eastAsia" w:ascii="宋体" w:hAnsi="宋体"/>
          <w:bCs/>
          <w:sz w:val="24"/>
          <w:highlight w:val="none"/>
        </w:rPr>
        <w:t>投标文件修改与撤回</w:t>
      </w:r>
      <w:bookmarkEnd w:id="85"/>
      <w:bookmarkEnd w:id="86"/>
      <w:bookmarkEnd w:id="87"/>
    </w:p>
    <w:p>
      <w:pPr>
        <w:pStyle w:val="19"/>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19"/>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19"/>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19"/>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19"/>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8" w:name="_Toc29966"/>
      <w:bookmarkStart w:id="89" w:name="_Toc142"/>
      <w:r>
        <w:rPr>
          <w:rFonts w:hint="eastAsia" w:ascii="宋体" w:hAnsi="宋体"/>
          <w:b/>
          <w:bCs/>
          <w:sz w:val="24"/>
          <w:highlight w:val="none"/>
        </w:rPr>
        <w:t>五、开标与评标</w:t>
      </w:r>
      <w:bookmarkEnd w:id="88"/>
      <w:bookmarkEnd w:id="89"/>
    </w:p>
    <w:p>
      <w:pPr>
        <w:pStyle w:val="19"/>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19"/>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19"/>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19"/>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19"/>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r>
        <w:rPr>
          <w:rFonts w:ascii="宋体" w:hAnsi="宋体"/>
          <w:bCs/>
          <w:highlight w:val="none"/>
        </w:rPr>
        <w:t>5</w:t>
      </w:r>
      <w:r>
        <w:rPr>
          <w:rFonts w:hint="eastAsia" w:ascii="宋体" w:hAnsi="宋体"/>
          <w:bCs/>
          <w:highlight w:val="none"/>
        </w:rPr>
        <w:t>）开标会结束，投标人退场。</w:t>
      </w:r>
    </w:p>
    <w:p>
      <w:pPr>
        <w:pStyle w:val="19"/>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19"/>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9"/>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19"/>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19"/>
        <w:spacing w:line="480" w:lineRule="exact"/>
        <w:ind w:firstLine="480" w:firstLineChars="200"/>
        <w:rPr>
          <w:rFonts w:hint="eastAsia" w:ascii="宋体" w:hAnsi="宋体"/>
          <w:bCs/>
          <w:highlight w:val="none"/>
          <w:lang w:eastAsia="zh-CN"/>
        </w:rPr>
      </w:pPr>
      <w:r>
        <w:rPr>
          <w:rFonts w:ascii="宋体" w:hAnsi="宋体"/>
          <w:bCs/>
          <w:highlight w:val="none"/>
        </w:rPr>
        <w:t xml:space="preserve">(4) </w:t>
      </w:r>
      <w:r>
        <w:rPr>
          <w:rFonts w:hint="eastAsia" w:ascii="宋体" w:hAnsi="宋体"/>
          <w:bCs/>
          <w:highlight w:val="none"/>
        </w:rPr>
        <w:t>投标人名称或组织结构与购买招标文件时不一致的；</w:t>
      </w:r>
      <w:r>
        <w:rPr>
          <w:rFonts w:hint="eastAsia" w:ascii="宋体" w:hAnsi="宋体"/>
          <w:bCs/>
          <w:highlight w:val="none"/>
          <w:lang w:eastAsia="zh-CN"/>
        </w:rPr>
        <w:t>‘</w:t>
      </w:r>
    </w:p>
    <w:p>
      <w:pPr>
        <w:pStyle w:val="19"/>
        <w:spacing w:line="480" w:lineRule="exact"/>
        <w:ind w:firstLine="480" w:firstLineChars="200"/>
        <w:rPr>
          <w:rFonts w:hint="eastAsia" w:ascii="宋体" w:hAnsi="宋体"/>
          <w:bCs/>
          <w:highlight w:val="none"/>
          <w:lang w:eastAsia="zh-CN"/>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19"/>
        <w:spacing w:line="480" w:lineRule="exact"/>
        <w:ind w:firstLine="480" w:firstLineChars="200"/>
        <w:rPr>
          <w:rFonts w:ascii="宋体"/>
          <w:bCs/>
          <w:highlight w:val="none"/>
        </w:rPr>
      </w:pPr>
      <w:r>
        <w:rPr>
          <w:rFonts w:ascii="宋体" w:hAnsi="宋体"/>
          <w:bCs/>
          <w:highlight w:val="none"/>
        </w:rPr>
        <w:t>(</w:t>
      </w:r>
      <w:r>
        <w:rPr>
          <w:rFonts w:hint="eastAsia" w:ascii="宋体" w:hAnsi="宋体"/>
          <w:bCs/>
          <w:highlight w:val="none"/>
          <w:lang w:val="en-US" w:eastAsia="zh-CN"/>
        </w:rPr>
        <w:t>6</w:t>
      </w:r>
      <w:r>
        <w:rPr>
          <w:rFonts w:ascii="宋体" w:hAnsi="宋体"/>
          <w:bCs/>
          <w:highlight w:val="none"/>
        </w:rPr>
        <w:t xml:space="preserve">)  </w:t>
      </w:r>
      <w:r>
        <w:rPr>
          <w:rFonts w:hint="eastAsia" w:ascii="宋体" w:hAnsi="宋体"/>
          <w:bCs/>
          <w:highlight w:val="none"/>
        </w:rPr>
        <w:t>评标委员会认定投标人有围标、串通投标情形，按废标处理，取消其投标资格。</w:t>
      </w:r>
    </w:p>
    <w:p>
      <w:pPr>
        <w:pStyle w:val="19"/>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19"/>
        <w:spacing w:line="480" w:lineRule="exact"/>
        <w:ind w:firstLine="480" w:firstLineChars="200"/>
        <w:rPr>
          <w:rFonts w:ascii="宋体"/>
          <w:bCs/>
          <w:highlight w:val="none"/>
        </w:rPr>
      </w:pPr>
      <w:r>
        <w:rPr>
          <w:rFonts w:hint="eastAsia" w:ascii="宋体" w:hAnsi="宋体"/>
          <w:bCs/>
          <w:highlight w:val="none"/>
        </w:rPr>
        <w:t>招标</w:t>
      </w:r>
      <w:r>
        <w:rPr>
          <w:rFonts w:hint="eastAsia" w:ascii="宋体" w:hAnsi="宋体"/>
          <w:bCs/>
          <w:highlight w:val="none"/>
          <w:lang w:eastAsia="zh-CN"/>
        </w:rPr>
        <w:t>代理</w:t>
      </w:r>
      <w:r>
        <w:rPr>
          <w:rFonts w:hint="eastAsia" w:ascii="宋体" w:hAnsi="宋体"/>
          <w:bCs/>
          <w:highlight w:val="none"/>
        </w:rPr>
        <w:t>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人及以上单数组成，其中技术、经济等方面的专家不少于成员总数的三分之二，评标委员会负责对投标文件进行审查、澄清、推荐中标候选人或经招标人授权直接确定中标人。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90" w:name="_Toc24408"/>
      <w:bookmarkStart w:id="91" w:name="_Toc26178"/>
      <w:bookmarkStart w:id="92" w:name="_Toc6823"/>
      <w:r>
        <w:rPr>
          <w:rFonts w:ascii="宋体" w:hAnsi="宋体"/>
          <w:bCs/>
          <w:sz w:val="24"/>
          <w:highlight w:val="none"/>
        </w:rPr>
        <w:t xml:space="preserve">21.  </w:t>
      </w:r>
      <w:r>
        <w:rPr>
          <w:rFonts w:hint="eastAsia" w:ascii="宋体" w:hAnsi="宋体"/>
          <w:bCs/>
          <w:sz w:val="24"/>
          <w:highlight w:val="none"/>
        </w:rPr>
        <w:t>评标原则</w:t>
      </w:r>
      <w:bookmarkEnd w:id="90"/>
      <w:bookmarkEnd w:id="91"/>
      <w:bookmarkEnd w:id="92"/>
    </w:p>
    <w:p>
      <w:pPr>
        <w:pStyle w:val="19"/>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19"/>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19"/>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19"/>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19"/>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19"/>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19"/>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9"/>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19"/>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19"/>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19"/>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19"/>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19"/>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19"/>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19"/>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19"/>
        <w:tabs>
          <w:tab w:val="left" w:pos="0"/>
        </w:tabs>
        <w:spacing w:line="480" w:lineRule="exact"/>
        <w:ind w:firstLine="720" w:firstLineChars="300"/>
        <w:rPr>
          <w:rFonts w:hint="eastAsia" w:ascii="宋体" w:hAns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19"/>
        <w:tabs>
          <w:tab w:val="left" w:pos="0"/>
        </w:tabs>
        <w:spacing w:line="480" w:lineRule="exact"/>
        <w:ind w:firstLine="720" w:firstLineChars="300"/>
        <w:rPr>
          <w:rFonts w:hint="eastAsia" w:ascii="宋体" w:hAnsi="宋体" w:eastAsia="宋体"/>
          <w:bCs/>
          <w:highlight w:val="none"/>
          <w:lang w:val="en-US" w:eastAsia="zh-CN"/>
        </w:rPr>
      </w:pPr>
      <w:r>
        <w:rPr>
          <w:rFonts w:hint="eastAsia" w:ascii="宋体" w:hAnsi="宋体"/>
          <w:bCs/>
          <w:highlight w:val="none"/>
          <w:lang w:val="en-US" w:eastAsia="zh-CN"/>
        </w:rPr>
        <w:t>I、未全部响应招标文件规定的实质性要求（含*项）的；</w:t>
      </w:r>
    </w:p>
    <w:p>
      <w:pPr>
        <w:pStyle w:val="19"/>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19"/>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19"/>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19"/>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19"/>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19"/>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19"/>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19"/>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19"/>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19"/>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9"/>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19"/>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19"/>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highlight w:val="none"/>
        </w:rPr>
      </w:pPr>
      <w:bookmarkStart w:id="93" w:name="_Toc31292"/>
      <w:bookmarkStart w:id="94" w:name="_Toc2195"/>
      <w:bookmarkStart w:id="95" w:name="_Toc27597"/>
      <w:r>
        <w:rPr>
          <w:rFonts w:ascii="宋体" w:hAnsi="宋体"/>
          <w:bCs/>
          <w:sz w:val="24"/>
          <w:highlight w:val="none"/>
        </w:rPr>
        <w:t xml:space="preserve">24.  </w:t>
      </w:r>
      <w:r>
        <w:rPr>
          <w:rFonts w:hint="eastAsia" w:ascii="宋体" w:hAnsi="宋体"/>
          <w:bCs/>
          <w:sz w:val="24"/>
          <w:highlight w:val="none"/>
        </w:rPr>
        <w:t>综合评审</w:t>
      </w:r>
      <w:bookmarkEnd w:id="93"/>
      <w:bookmarkEnd w:id="94"/>
      <w:bookmarkEnd w:id="95"/>
    </w:p>
    <w:p>
      <w:pPr>
        <w:pStyle w:val="19"/>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19"/>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货物的性能指标、工艺的先进性、使用寿命；</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安装调试方案的合理性、先进性；</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维保方案；</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售后服务条款；</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技术及商务有无偏离；</w:t>
      </w:r>
    </w:p>
    <w:p>
      <w:pPr>
        <w:pStyle w:val="19"/>
        <w:spacing w:line="480" w:lineRule="exact"/>
        <w:ind w:firstLine="480" w:firstLineChars="200"/>
        <w:rPr>
          <w:rFonts w:ascii="宋体"/>
          <w:bCs/>
          <w:highlight w:val="none"/>
        </w:rPr>
      </w:pPr>
      <w:r>
        <w:rPr>
          <w:rFonts w:ascii="宋体" w:hAnsi="宋体"/>
          <w:bCs/>
          <w:highlight w:val="none"/>
        </w:rPr>
        <w:t xml:space="preserve">7) </w:t>
      </w:r>
      <w:r>
        <w:rPr>
          <w:rFonts w:hint="eastAsia" w:ascii="宋体" w:hAnsi="宋体"/>
          <w:bCs/>
          <w:highlight w:val="none"/>
        </w:rPr>
        <w:t>投标人资信情况和履约能力；</w:t>
      </w:r>
    </w:p>
    <w:p>
      <w:pPr>
        <w:pStyle w:val="19"/>
        <w:spacing w:line="480" w:lineRule="exact"/>
        <w:ind w:firstLine="480" w:firstLineChars="200"/>
        <w:rPr>
          <w:rFonts w:ascii="宋体"/>
          <w:bCs/>
          <w:highlight w:val="none"/>
        </w:rPr>
      </w:pPr>
      <w:r>
        <w:rPr>
          <w:rFonts w:ascii="宋体" w:hAnsi="宋体"/>
          <w:bCs/>
          <w:highlight w:val="none"/>
        </w:rPr>
        <w:t xml:space="preserve">8) </w:t>
      </w:r>
      <w:r>
        <w:rPr>
          <w:rFonts w:hint="eastAsia" w:ascii="宋体" w:hAnsi="宋体"/>
          <w:bCs/>
          <w:highlight w:val="none"/>
        </w:rPr>
        <w:t>投标人的经营业绩；</w:t>
      </w:r>
    </w:p>
    <w:p>
      <w:pPr>
        <w:pStyle w:val="19"/>
        <w:spacing w:line="360" w:lineRule="auto"/>
        <w:ind w:firstLine="480" w:firstLineChars="200"/>
        <w:rPr>
          <w:rFonts w:ascii="宋体"/>
          <w:bCs/>
          <w:highlight w:val="none"/>
        </w:rPr>
      </w:pPr>
      <w:r>
        <w:rPr>
          <w:rFonts w:ascii="宋体" w:hAnsi="宋体"/>
          <w:bCs/>
          <w:highlight w:val="none"/>
        </w:rPr>
        <w:t xml:space="preserve">9) </w:t>
      </w:r>
      <w:r>
        <w:rPr>
          <w:rFonts w:hint="eastAsia" w:ascii="宋体" w:hAnsi="宋体"/>
          <w:bCs/>
          <w:highlight w:val="none"/>
        </w:rPr>
        <w:t>优惠条件；</w:t>
      </w:r>
    </w:p>
    <w:p>
      <w:pPr>
        <w:pStyle w:val="19"/>
        <w:spacing w:line="360" w:lineRule="auto"/>
        <w:ind w:firstLine="480" w:firstLineChars="200"/>
        <w:rPr>
          <w:rFonts w:ascii="宋体"/>
          <w:bCs/>
          <w:highlight w:val="none"/>
        </w:rPr>
      </w:pPr>
      <w:r>
        <w:rPr>
          <w:rFonts w:ascii="宋体" w:hAnsi="宋体"/>
          <w:bCs/>
          <w:highlight w:val="none"/>
        </w:rPr>
        <w:t>10</w:t>
      </w:r>
      <w:r>
        <w:rPr>
          <w:rFonts w:hint="eastAsia" w:ascii="宋体" w:hAnsi="宋体"/>
          <w:bCs/>
          <w:highlight w:val="none"/>
        </w:rPr>
        <w:t>）其他。</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highlight w:val="none"/>
        </w:rPr>
      </w:pPr>
      <w:r>
        <w:rPr>
          <w:rFonts w:ascii="宋体" w:hAnsi="宋体"/>
          <w:bCs/>
          <w:highlight w:val="none"/>
        </w:rPr>
        <w:t>24.3</w:t>
      </w:r>
      <w:r>
        <w:rPr>
          <w:rFonts w:hint="eastAsia" w:ascii="宋体" w:hAnsi="宋体"/>
          <w:highlight w:val="none"/>
        </w:rPr>
        <w:t>评标方法：本项目采用综合评分法，评标委员会将对投标人的报价、产品主要技术性能、按期交货的保证措施、安装调试方案、维保方案、售后服务及培训计划、业绩等综合评分，择优选择中标人。</w:t>
      </w:r>
    </w:p>
    <w:p>
      <w:pPr>
        <w:pStyle w:val="12"/>
        <w:spacing w:line="480" w:lineRule="exact"/>
        <w:ind w:left="197" w:leftChars="94" w:firstLine="482" w:firstLineChars="150"/>
        <w:jc w:val="center"/>
        <w:rPr>
          <w:rFonts w:ascii="宋体"/>
          <w:b/>
          <w:bCs/>
          <w:sz w:val="32"/>
          <w:szCs w:val="32"/>
          <w:highlight w:val="none"/>
        </w:rPr>
      </w:pPr>
      <w:bookmarkStart w:id="96" w:name="_Toc482367258"/>
      <w:bookmarkStart w:id="97" w:name="_Toc326"/>
      <w:r>
        <w:rPr>
          <w:rFonts w:ascii="宋体"/>
          <w:b/>
          <w:bCs/>
          <w:sz w:val="32"/>
          <w:szCs w:val="32"/>
          <w:highlight w:val="none"/>
        </w:rPr>
        <w:br w:type="page"/>
      </w:r>
      <w:r>
        <w:rPr>
          <w:rFonts w:hint="eastAsia" w:ascii="宋体" w:hAnsi="宋体"/>
          <w:b/>
          <w:bCs/>
          <w:sz w:val="32"/>
          <w:szCs w:val="32"/>
          <w:highlight w:val="none"/>
        </w:rPr>
        <w:t>评分细则</w:t>
      </w:r>
      <w:bookmarkEnd w:id="96"/>
      <w:bookmarkEnd w:id="97"/>
    </w:p>
    <w:tbl>
      <w:tblPr>
        <w:tblStyle w:val="49"/>
        <w:tblW w:w="9940"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58"/>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783"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序号</w:t>
            </w:r>
          </w:p>
        </w:tc>
        <w:tc>
          <w:tcPr>
            <w:tcW w:w="1958"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评分项目</w:t>
            </w:r>
          </w:p>
        </w:tc>
        <w:tc>
          <w:tcPr>
            <w:tcW w:w="7199"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1</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商务部分</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30分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投标报价采用低价优先法，经招标小组评审确认的最终有效报价中的最低报价为评审基准值。</w:t>
            </w:r>
          </w:p>
          <w:p>
            <w:pPr>
              <w:spacing w:line="340" w:lineRule="atLeast"/>
              <w:rPr>
                <w:rFonts w:hint="eastAsia" w:ascii="宋体" w:hAnsi="宋体"/>
                <w:color w:val="000000"/>
                <w:sz w:val="24"/>
                <w:highlight w:val="none"/>
              </w:rPr>
            </w:pPr>
            <w:r>
              <w:rPr>
                <w:rFonts w:hint="eastAsia" w:ascii="宋体" w:hAnsi="宋体"/>
                <w:color w:val="000000"/>
                <w:sz w:val="24"/>
                <w:highlight w:val="none"/>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5"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2</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产品主要技术性能、指标、功能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45分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1、对投标人所报产品的技术性能、指标进行综合评估，比较各投标人所报产品，综合评估产品生产工艺的先进性，货物技术指标的优良性，投标文件中提供的检测报告是否齐全等因素：优得25-30分；良得15-25分；一般得3-15分。若此条缺项不得分；产品主要技术性能、指标、功能与招标文件有重大偏离的则按废标处理。</w:t>
            </w:r>
          </w:p>
          <w:p>
            <w:pPr>
              <w:spacing w:line="340" w:lineRule="atLeast"/>
              <w:rPr>
                <w:rFonts w:hint="eastAsia" w:ascii="宋体" w:hAnsi="宋体"/>
                <w:color w:val="000000"/>
                <w:sz w:val="24"/>
                <w:highlight w:val="none"/>
              </w:rPr>
            </w:pPr>
            <w:r>
              <w:rPr>
                <w:rFonts w:hint="eastAsia" w:ascii="宋体" w:hAnsi="宋体"/>
                <w:color w:val="000000"/>
                <w:sz w:val="24"/>
                <w:highlight w:val="none"/>
              </w:rPr>
              <w:t>2、由评委根据投标人所提供产品的技术参数和配置要求及对临床医学使用具有实际意义的</w:t>
            </w:r>
            <w:r>
              <w:rPr>
                <w:rFonts w:hint="eastAsia" w:ascii="宋体" w:hAnsi="宋体"/>
                <w:color w:val="000000"/>
                <w:sz w:val="24"/>
                <w:highlight w:val="none"/>
                <w:lang w:eastAsia="zh-CN"/>
              </w:rPr>
              <w:t>独特设计和</w:t>
            </w:r>
            <w:r>
              <w:rPr>
                <w:rFonts w:hint="eastAsia" w:ascii="宋体" w:hAnsi="宋体"/>
                <w:color w:val="000000"/>
                <w:sz w:val="24"/>
                <w:highlight w:val="none"/>
              </w:rPr>
              <w:t>特色技术的描述酌情打分，优得10-15分，良得5-10分，一般得3-5分，若此条缺项不得分。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3</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按期交货的</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保证措施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5</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由评委根据投标人提供的按期交货的保证措施情况进行打分，优得</w:t>
            </w:r>
            <w:r>
              <w:rPr>
                <w:rFonts w:hint="eastAsia" w:ascii="宋体" w:hAnsi="宋体"/>
                <w:color w:val="000000"/>
                <w:sz w:val="24"/>
                <w:highlight w:val="none"/>
                <w:lang w:val="en-US" w:eastAsia="zh-CN"/>
              </w:rPr>
              <w:t>3</w:t>
            </w:r>
            <w:r>
              <w:rPr>
                <w:rFonts w:hint="eastAsia"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分；良得</w:t>
            </w:r>
            <w:r>
              <w:rPr>
                <w:rFonts w:hint="eastAsia" w:ascii="宋体" w:hAnsi="宋体"/>
                <w:color w:val="000000"/>
                <w:sz w:val="24"/>
                <w:highlight w:val="none"/>
                <w:lang w:val="en-US" w:eastAsia="zh-CN"/>
              </w:rPr>
              <w:t>1</w:t>
            </w:r>
            <w:r>
              <w:rPr>
                <w:rFonts w:hint="eastAsia" w:ascii="宋体" w:hAnsi="宋体"/>
                <w:color w:val="000000"/>
                <w:sz w:val="24"/>
                <w:highlight w:val="none"/>
              </w:rPr>
              <w:t>-</w:t>
            </w:r>
            <w:r>
              <w:rPr>
                <w:rFonts w:hint="eastAsia" w:ascii="宋体" w:hAnsi="宋体"/>
                <w:color w:val="000000"/>
                <w:sz w:val="24"/>
                <w:highlight w:val="none"/>
                <w:lang w:val="en-US" w:eastAsia="zh-CN"/>
              </w:rPr>
              <w:t>3</w:t>
            </w:r>
            <w:r>
              <w:rPr>
                <w:rFonts w:hint="eastAsia" w:ascii="宋体" w:hAnsi="宋体"/>
                <w:color w:val="000000"/>
                <w:sz w:val="24"/>
                <w:highlight w:val="none"/>
              </w:rPr>
              <w:t>分；一般得0-</w:t>
            </w:r>
            <w:r>
              <w:rPr>
                <w:rFonts w:hint="eastAsia" w:ascii="宋体" w:hAnsi="宋体"/>
                <w:color w:val="000000"/>
                <w:sz w:val="24"/>
                <w:highlight w:val="none"/>
                <w:lang w:val="en-US" w:eastAsia="zh-CN"/>
              </w:rPr>
              <w:t>1</w:t>
            </w:r>
            <w:r>
              <w:rPr>
                <w:rFonts w:hint="eastAsia" w:ascii="宋体" w:hAnsi="宋体"/>
                <w:color w:val="000000"/>
                <w:sz w:val="24"/>
                <w:highlight w:val="none"/>
              </w:rPr>
              <w:t>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4</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安装调试方案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安装调试方案切实可行,进度计划完善，优得2-3分；良得1-2分；一般得0-1分，无此项内容不得。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5</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维保方案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8</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质保期满足招标文件要求得2分，每延长1年加1分，此项最多得</w:t>
            </w:r>
            <w:r>
              <w:rPr>
                <w:rFonts w:hint="eastAsia" w:ascii="宋体" w:hAnsi="宋体"/>
                <w:color w:val="000000"/>
                <w:sz w:val="24"/>
                <w:highlight w:val="none"/>
                <w:lang w:val="en-US" w:eastAsia="zh-CN"/>
              </w:rPr>
              <w:t>3</w:t>
            </w:r>
            <w:r>
              <w:rPr>
                <w:rFonts w:hint="eastAsia" w:ascii="宋体" w:hAnsi="宋体"/>
                <w:color w:val="000000"/>
                <w:sz w:val="24"/>
                <w:highlight w:val="none"/>
              </w:rPr>
              <w:t>分。</w:t>
            </w:r>
          </w:p>
          <w:p>
            <w:pPr>
              <w:spacing w:line="340" w:lineRule="atLeast"/>
              <w:rPr>
                <w:rFonts w:hint="eastAsia" w:ascii="宋体" w:hAnsi="宋体"/>
                <w:color w:val="000000"/>
                <w:sz w:val="24"/>
                <w:highlight w:val="none"/>
              </w:rPr>
            </w:pPr>
            <w:r>
              <w:rPr>
                <w:rFonts w:hint="eastAsia" w:ascii="宋体" w:hAnsi="宋体"/>
                <w:color w:val="000000"/>
                <w:sz w:val="24"/>
                <w:highlight w:val="none"/>
              </w:rPr>
              <w:t>维保方案切实可行，定期检测周期合理不影响</w:t>
            </w:r>
            <w:r>
              <w:rPr>
                <w:rFonts w:hint="eastAsia" w:ascii="宋体" w:hAnsi="宋体"/>
                <w:color w:val="000000"/>
                <w:sz w:val="24"/>
                <w:highlight w:val="none"/>
                <w:lang w:eastAsia="zh-CN"/>
              </w:rPr>
              <w:t>器械</w:t>
            </w:r>
            <w:r>
              <w:rPr>
                <w:rFonts w:hint="eastAsia" w:ascii="宋体" w:hAnsi="宋体"/>
                <w:color w:val="000000"/>
                <w:sz w:val="24"/>
                <w:highlight w:val="none"/>
              </w:rPr>
              <w:t>正常使用，优得4-5分；良得2-4分；一般得0-2分，无此项内容不得。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6</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售后服务及</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培训计划</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6分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服务（售后维修、技术支持、技术培训、备品备件供应）及时周到且有相应的承诺和保证措施，优得4-6分；良得2-4分；一般得0-2分，无此项内容不得。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7</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业绩</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3</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投标产品近三年（201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8</w:t>
            </w:r>
            <w:r>
              <w:rPr>
                <w:rFonts w:hint="eastAsia" w:ascii="宋体" w:hAnsi="宋体"/>
                <w:color w:val="000000"/>
                <w:sz w:val="24"/>
                <w:highlight w:val="none"/>
              </w:rPr>
              <w:t>月1日后签订的）以来完成同品牌、同型号业绩，每项1分，最高得3分。没有类似业绩不得分。（备注：业绩合同复印件做在投标文件中加盖公章才可计分，否则不得分。原件备查）。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741" w:type="dxa"/>
            <w:gridSpan w:val="2"/>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合计</w:t>
            </w:r>
          </w:p>
        </w:tc>
        <w:tc>
          <w:tcPr>
            <w:tcW w:w="719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val="en-US" w:eastAsia="zh-CN"/>
              </w:rPr>
              <w:t>100分</w:t>
            </w:r>
          </w:p>
        </w:tc>
      </w:tr>
    </w:tbl>
    <w:p>
      <w:pPr>
        <w:rPr>
          <w:rFonts w:ascii="宋体"/>
          <w:sz w:val="24"/>
          <w:highlight w:val="none"/>
          <w:u w:val="single"/>
        </w:rPr>
      </w:pPr>
      <w:r>
        <w:rPr>
          <w:rFonts w:hint="eastAsia" w:ascii="宋体" w:hAnsi="宋体"/>
          <w:color w:val="000000"/>
          <w:sz w:val="24"/>
          <w:highlight w:val="none"/>
        </w:rPr>
        <w:t>说明：</w:t>
      </w:r>
      <w:r>
        <w:rPr>
          <w:rFonts w:ascii="宋体" w:hAnsi="宋体"/>
          <w:sz w:val="24"/>
          <w:highlight w:val="none"/>
        </w:rPr>
        <w:t>1</w:t>
      </w:r>
      <w:r>
        <w:rPr>
          <w:rFonts w:hint="eastAsia" w:ascii="宋体" w:hAnsi="宋体"/>
          <w:sz w:val="24"/>
          <w:highlight w:val="none"/>
        </w:rPr>
        <w:t>、同类业绩指：</w:t>
      </w:r>
      <w:r>
        <w:rPr>
          <w:rFonts w:ascii="宋体" w:hAnsi="宋体"/>
          <w:sz w:val="24"/>
          <w:highlight w:val="none"/>
          <w:u w:val="single"/>
        </w:rPr>
        <w:t xml:space="preserve"> </w:t>
      </w:r>
      <w:r>
        <w:rPr>
          <w:rFonts w:hint="eastAsia" w:ascii="宋体" w:hAnsi="宋体"/>
          <w:sz w:val="24"/>
          <w:highlight w:val="none"/>
          <w:u w:val="single"/>
        </w:rPr>
        <w:t>投标产品同品牌同型号的业绩。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highlight w:val="none"/>
        </w:rPr>
      </w:pPr>
      <w:r>
        <w:rPr>
          <w:rFonts w:ascii="宋体" w:hAnsi="宋体"/>
          <w:sz w:val="24"/>
          <w:highlight w:val="none"/>
        </w:rPr>
        <w:t>2</w:t>
      </w:r>
      <w:r>
        <w:rPr>
          <w:rFonts w:hint="eastAsia" w:ascii="宋体" w:hAnsi="宋体"/>
          <w:sz w:val="24"/>
          <w:highlight w:val="none"/>
        </w:rPr>
        <w:t>、投标人须提供业绩证明的合同原件或加盖公章的复印件（日期以签订合同日期为准），加盖公章的合同复印件需附在投标文件中，若无，不得分。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3</w:t>
      </w:r>
      <w:r>
        <w:rPr>
          <w:rFonts w:hint="eastAsia" w:ascii="宋体" w:hAnsi="宋体"/>
          <w:sz w:val="24"/>
          <w:highlight w:val="none"/>
        </w:rPr>
        <w:t>、近三年是指2016年</w:t>
      </w:r>
      <w:r>
        <w:rPr>
          <w:rFonts w:hint="eastAsia" w:ascii="宋体" w:hAnsi="宋体"/>
          <w:sz w:val="24"/>
          <w:highlight w:val="none"/>
          <w:lang w:val="en-US" w:eastAsia="zh-CN"/>
        </w:rPr>
        <w:t>8</w:t>
      </w:r>
      <w:r>
        <w:rPr>
          <w:rFonts w:hint="eastAsia" w:ascii="宋体" w:hAnsi="宋体"/>
          <w:sz w:val="24"/>
          <w:highlight w:val="none"/>
        </w:rPr>
        <w:t>月1日至今。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4</w:t>
      </w:r>
      <w:r>
        <w:rPr>
          <w:rFonts w:hint="eastAsia" w:ascii="宋体" w:hAnsi="宋体"/>
          <w:sz w:val="24"/>
          <w:highlight w:val="none"/>
        </w:rPr>
        <w:t>、计算各评审项目得分时，按四舍五入保留二位小数。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5</w:t>
      </w:r>
      <w:r>
        <w:rPr>
          <w:rFonts w:hint="eastAsia" w:ascii="宋体" w:hAnsi="宋体"/>
          <w:sz w:val="24"/>
          <w:highlight w:val="none"/>
        </w:rPr>
        <w:t>、各投标人的计分方法：汇总所有评委对各投标人的有效记分的算术平均值为该投标人的综合得分。</w:t>
      </w:r>
    </w:p>
    <w:p>
      <w:pPr>
        <w:pStyle w:val="19"/>
        <w:spacing w:line="360" w:lineRule="auto"/>
        <w:rPr>
          <w:rFonts w:ascii="宋体"/>
          <w:bCs/>
          <w:highlight w:val="none"/>
        </w:rPr>
      </w:pPr>
      <w:r>
        <w:rPr>
          <w:rFonts w:ascii="宋体" w:hAnsi="宋体"/>
          <w:bCs/>
          <w:highlight w:val="none"/>
        </w:rPr>
        <w:t>24.4</w:t>
      </w:r>
      <w:r>
        <w:rPr>
          <w:rFonts w:hint="eastAsia" w:ascii="宋体" w:hAnsi="宋体"/>
          <w:bCs/>
          <w:highlight w:val="none"/>
        </w:rPr>
        <w:t>评标办法说明：支持小微企业发展、节能环保的鼓励优惠政策：</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19"/>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hint="eastAsia" w:ascii="宋体" w:hAnsi="宋体"/>
          <w:bCs/>
          <w:highlight w:val="none"/>
          <w:lang w:eastAsia="zh-CN"/>
        </w:rPr>
        <w:t>最新一期</w:t>
      </w:r>
      <w:r>
        <w:rPr>
          <w:rFonts w:hint="eastAsia" w:ascii="宋体" w:hAnsi="宋体"/>
          <w:bCs/>
          <w:highlight w:val="none"/>
        </w:rPr>
        <w:t>）、加盖公章的节能产品政府采购清单官方网站截图及产品目录（财政部、国家发改委</w:t>
      </w:r>
      <w:r>
        <w:rPr>
          <w:rFonts w:hint="eastAsia" w:ascii="宋体" w:hAnsi="宋体"/>
          <w:bCs/>
          <w:highlight w:val="none"/>
          <w:lang w:eastAsia="zh-CN"/>
        </w:rPr>
        <w:t>最新一期</w:t>
      </w:r>
      <w:r>
        <w:rPr>
          <w:rFonts w:hint="eastAsia" w:ascii="宋体" w:hAnsi="宋体"/>
          <w:bCs/>
          <w:highlight w:val="none"/>
        </w:rPr>
        <w:t>）），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19"/>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19"/>
        <w:spacing w:line="360" w:lineRule="auto"/>
        <w:ind w:firstLine="480" w:firstLineChars="200"/>
        <w:rPr>
          <w:rFonts w:hint="eastAsia" w:ascii="宋体" w:hAnsi="宋体"/>
          <w:bCs/>
          <w:highlight w:val="none"/>
        </w:rPr>
      </w:pPr>
      <w:r>
        <w:rPr>
          <w:rFonts w:hint="eastAsia" w:ascii="宋体" w:hAnsi="宋体"/>
          <w:bCs/>
          <w:highlight w:val="none"/>
        </w:rPr>
        <w:t>1) 投标人如属小微企业，产品价格需扣除的，须按照工信部联企业[2011]300号文《关于印发中小企业划型标准规定的通知》及财政部、工信部等部委发布的《政府采购促进中小企业发展暂行办法》的规定需提供《小微企业声明函》、《从业人员声明函》，否则评标时不予承认；</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19"/>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19"/>
        <w:numPr>
          <w:ilvl w:val="0"/>
          <w:numId w:val="3"/>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19"/>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19"/>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19"/>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19"/>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19"/>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19"/>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19"/>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19"/>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2"/>
        <w:spacing w:line="360" w:lineRule="auto"/>
        <w:ind w:left="571" w:leftChars="272" w:firstLine="0" w:firstLineChars="0"/>
        <w:outlineLvl w:val="0"/>
        <w:rPr>
          <w:rFonts w:ascii="宋体"/>
          <w:bCs/>
          <w:sz w:val="24"/>
          <w:highlight w:val="none"/>
        </w:rPr>
      </w:pPr>
      <w:bookmarkStart w:id="98" w:name="_Toc29202"/>
      <w:bookmarkStart w:id="99" w:name="_Toc30962"/>
      <w:bookmarkStart w:id="100" w:name="_Toc10857"/>
      <w:r>
        <w:rPr>
          <w:rFonts w:ascii="宋体" w:hAnsi="宋体"/>
          <w:bCs/>
          <w:sz w:val="24"/>
          <w:highlight w:val="none"/>
        </w:rPr>
        <w:t xml:space="preserve">27.  </w:t>
      </w:r>
      <w:r>
        <w:rPr>
          <w:rFonts w:hint="eastAsia" w:ascii="宋体" w:hAnsi="宋体"/>
          <w:bCs/>
          <w:sz w:val="24"/>
          <w:highlight w:val="none"/>
        </w:rPr>
        <w:t>投标人瑕疵滞后的处理</w:t>
      </w:r>
      <w:bookmarkEnd w:id="98"/>
      <w:bookmarkEnd w:id="99"/>
      <w:bookmarkEnd w:id="100"/>
    </w:p>
    <w:p>
      <w:pPr>
        <w:pStyle w:val="19"/>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9"/>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101" w:name="_Toc28609"/>
      <w:bookmarkStart w:id="102" w:name="_Toc7870"/>
      <w:r>
        <w:rPr>
          <w:rFonts w:hint="eastAsia" w:ascii="宋体" w:hAnsi="宋体"/>
          <w:b/>
          <w:bCs/>
          <w:sz w:val="24"/>
          <w:highlight w:val="none"/>
        </w:rPr>
        <w:t>六、合同签订</w:t>
      </w:r>
      <w:bookmarkEnd w:id="101"/>
      <w:bookmarkEnd w:id="102"/>
    </w:p>
    <w:p>
      <w:pPr>
        <w:pStyle w:val="19"/>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19"/>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19"/>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19"/>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19"/>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19"/>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19"/>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19"/>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19"/>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3" w:name="_Toc3157"/>
      <w:bookmarkStart w:id="104" w:name="_Toc13878"/>
      <w:bookmarkStart w:id="105" w:name="_Toc30952"/>
      <w:r>
        <w:rPr>
          <w:rFonts w:hint="eastAsia" w:ascii="宋体" w:hAnsi="宋体"/>
          <w:b/>
          <w:bCs/>
          <w:sz w:val="24"/>
          <w:highlight w:val="none"/>
        </w:rPr>
        <w:t>七、处罚、质疑</w:t>
      </w:r>
      <w:bookmarkEnd w:id="103"/>
      <w:bookmarkEnd w:id="104"/>
      <w:bookmarkEnd w:id="105"/>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19"/>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19"/>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19"/>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19"/>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19"/>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6" w:name="_Toc26147"/>
      <w:bookmarkStart w:id="107" w:name="_Toc1537"/>
      <w:bookmarkStart w:id="108" w:name="_Toc1876"/>
      <w:r>
        <w:rPr>
          <w:rFonts w:hint="eastAsia" w:ascii="宋体" w:hAnsi="宋体"/>
          <w:b/>
          <w:bCs/>
          <w:sz w:val="24"/>
          <w:highlight w:val="none"/>
        </w:rPr>
        <w:t>八、保密</w:t>
      </w:r>
      <w:bookmarkEnd w:id="106"/>
      <w:bookmarkEnd w:id="107"/>
      <w:bookmarkEnd w:id="108"/>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19"/>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9" w:name="_Toc11927"/>
      <w:bookmarkStart w:id="110" w:name="_Toc28213"/>
      <w:bookmarkStart w:id="111" w:name="_Toc14534"/>
      <w:r>
        <w:rPr>
          <w:rFonts w:hint="eastAsia" w:ascii="宋体" w:hAnsi="宋体"/>
          <w:b/>
          <w:bCs/>
          <w:sz w:val="24"/>
          <w:highlight w:val="none"/>
        </w:rPr>
        <w:t>九、专利权</w:t>
      </w:r>
      <w:bookmarkEnd w:id="109"/>
      <w:bookmarkEnd w:id="110"/>
      <w:bookmarkEnd w:id="111"/>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19"/>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2" w:name="_Toc5288"/>
      <w:bookmarkStart w:id="113" w:name="_Toc1386"/>
      <w:bookmarkStart w:id="114" w:name="_Toc9163"/>
      <w:r>
        <w:rPr>
          <w:rFonts w:hint="eastAsia" w:ascii="宋体" w:hAnsi="宋体"/>
          <w:b/>
          <w:bCs/>
          <w:sz w:val="24"/>
          <w:highlight w:val="none"/>
        </w:rPr>
        <w:t>十、解释权</w:t>
      </w:r>
      <w:bookmarkEnd w:id="112"/>
      <w:bookmarkEnd w:id="113"/>
      <w:bookmarkEnd w:id="114"/>
    </w:p>
    <w:p>
      <w:pPr>
        <w:pStyle w:val="19"/>
        <w:spacing w:line="360" w:lineRule="auto"/>
        <w:ind w:firstLine="480" w:firstLineChars="200"/>
        <w:rPr>
          <w:rFonts w:hint="eastAsia" w:ascii="宋体" w:hAnsi="宋体"/>
          <w:bCs/>
          <w:highlight w:val="none"/>
        </w:rPr>
      </w:pPr>
      <w:r>
        <w:rPr>
          <w:rFonts w:hint="eastAsia" w:ascii="宋体" w:hAnsi="宋体"/>
          <w:bCs/>
          <w:highlight w:val="none"/>
        </w:rPr>
        <w:t>35.  解释权</w:t>
      </w:r>
    </w:p>
    <w:p>
      <w:pPr>
        <w:pStyle w:val="19"/>
        <w:spacing w:line="360" w:lineRule="auto"/>
        <w:ind w:firstLine="480" w:firstLineChars="200"/>
        <w:rPr>
          <w:rFonts w:hint="eastAsia"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5" w:name="_Toc27088"/>
      <w:bookmarkStart w:id="116" w:name="_Toc1488"/>
      <w:bookmarkStart w:id="117" w:name="_Toc8805"/>
      <w:r>
        <w:rPr>
          <w:rFonts w:hint="eastAsia" w:ascii="宋体" w:hAnsi="宋体"/>
          <w:b/>
          <w:bCs/>
          <w:sz w:val="24"/>
          <w:highlight w:val="none"/>
        </w:rPr>
        <w:t>十一、其他</w:t>
      </w:r>
      <w:bookmarkEnd w:id="115"/>
      <w:bookmarkEnd w:id="116"/>
      <w:bookmarkEnd w:id="117"/>
    </w:p>
    <w:p>
      <w:pPr>
        <w:pStyle w:val="21"/>
        <w:numPr>
          <w:ilvl w:val="0"/>
          <w:numId w:val="4"/>
        </w:numPr>
        <w:snapToGrid w:val="0"/>
        <w:spacing w:line="360" w:lineRule="auto"/>
        <w:ind w:leftChars="0" w:firstLineChars="0"/>
        <w:outlineLvl w:val="0"/>
        <w:rPr>
          <w:rFonts w:ascii="宋体"/>
          <w:bCs/>
          <w:sz w:val="24"/>
          <w:highlight w:val="none"/>
        </w:rPr>
      </w:pPr>
      <w:bookmarkStart w:id="118" w:name="_Toc17247"/>
      <w:bookmarkStart w:id="119" w:name="_Toc30190"/>
      <w:bookmarkStart w:id="120" w:name="_Toc19127"/>
      <w:r>
        <w:rPr>
          <w:rFonts w:hint="eastAsia" w:ascii="宋体" w:hAnsi="宋体"/>
          <w:bCs/>
          <w:sz w:val="24"/>
          <w:highlight w:val="none"/>
        </w:rPr>
        <w:t>其他</w:t>
      </w:r>
      <w:bookmarkEnd w:id="118"/>
      <w:bookmarkEnd w:id="119"/>
      <w:bookmarkEnd w:id="120"/>
    </w:p>
    <w:p>
      <w:pPr>
        <w:pStyle w:val="21"/>
        <w:snapToGrid w:val="0"/>
        <w:spacing w:line="360" w:lineRule="auto"/>
        <w:ind w:left="570" w:leftChars="0" w:firstLine="0" w:firstLineChars="0"/>
        <w:outlineLvl w:val="0"/>
        <w:rPr>
          <w:rFonts w:ascii="宋体"/>
          <w:bCs/>
          <w:sz w:val="24"/>
          <w:highlight w:val="none"/>
        </w:rPr>
      </w:pPr>
      <w:bookmarkStart w:id="121" w:name="_Toc7890"/>
      <w:bookmarkStart w:id="122" w:name="_Toc4557"/>
      <w:bookmarkStart w:id="123" w:name="_Toc12623"/>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21"/>
      <w:bookmarkEnd w:id="122"/>
      <w:bookmarkEnd w:id="123"/>
    </w:p>
    <w:p>
      <w:pPr>
        <w:pStyle w:val="21"/>
        <w:snapToGrid w:val="0"/>
        <w:spacing w:line="360" w:lineRule="auto"/>
        <w:ind w:left="570" w:leftChars="0" w:firstLine="0" w:firstLineChars="0"/>
        <w:outlineLvl w:val="0"/>
        <w:rPr>
          <w:rFonts w:ascii="宋体"/>
          <w:bCs/>
          <w:sz w:val="24"/>
          <w:highlight w:val="none"/>
        </w:rPr>
      </w:pPr>
      <w:bookmarkStart w:id="124" w:name="_Toc9875"/>
      <w:bookmarkStart w:id="125" w:name="_Toc30966"/>
      <w:bookmarkStart w:id="126" w:name="_Toc20220"/>
      <w:r>
        <w:rPr>
          <w:rFonts w:ascii="宋体" w:hAnsi="宋体"/>
          <w:bCs/>
          <w:sz w:val="24"/>
          <w:highlight w:val="none"/>
        </w:rPr>
        <w:t xml:space="preserve">36.2 </w:t>
      </w:r>
      <w:r>
        <w:rPr>
          <w:rFonts w:hint="eastAsia" w:ascii="宋体" w:hAnsi="宋体"/>
          <w:bCs/>
          <w:sz w:val="24"/>
          <w:highlight w:val="none"/>
        </w:rPr>
        <w:t>招标人不保证低价中标。</w:t>
      </w:r>
      <w:bookmarkEnd w:id="124"/>
      <w:bookmarkEnd w:id="125"/>
      <w:bookmarkEnd w:id="126"/>
    </w:p>
    <w:p>
      <w:pPr>
        <w:pStyle w:val="20"/>
        <w:tabs>
          <w:tab w:val="left" w:pos="0"/>
        </w:tabs>
        <w:spacing w:line="480" w:lineRule="exact"/>
        <w:ind w:left="0" w:leftChars="0" w:firstLine="0" w:firstLineChars="0"/>
        <w:jc w:val="center"/>
        <w:rPr>
          <w:rFonts w:ascii="宋体"/>
          <w:b/>
          <w:sz w:val="36"/>
          <w:highlight w:val="none"/>
        </w:rPr>
      </w:pPr>
      <w:r>
        <w:rPr>
          <w:rFonts w:ascii="宋体"/>
          <w:bCs/>
          <w:highlight w:val="none"/>
        </w:rPr>
        <w:br w:type="page"/>
      </w:r>
      <w:bookmarkStart w:id="127" w:name="_Toc21726"/>
      <w:r>
        <w:rPr>
          <w:rFonts w:hint="eastAsia" w:ascii="宋体" w:hAnsi="宋体"/>
          <w:b/>
          <w:sz w:val="36"/>
          <w:highlight w:val="none"/>
        </w:rPr>
        <w:t>第三部分招标要求</w:t>
      </w:r>
      <w:bookmarkEnd w:id="127"/>
    </w:p>
    <w:p>
      <w:pPr>
        <w:spacing w:line="440" w:lineRule="exact"/>
        <w:rPr>
          <w:rFonts w:ascii="宋体"/>
          <w:bCs/>
          <w:highlight w:val="none"/>
        </w:rPr>
      </w:pPr>
    </w:p>
    <w:p>
      <w:pPr>
        <w:spacing w:line="360" w:lineRule="auto"/>
        <w:rPr>
          <w:b/>
          <w:szCs w:val="28"/>
          <w:highlight w:val="none"/>
        </w:rPr>
      </w:pPr>
      <w:r>
        <w:rPr>
          <w:rFonts w:hint="eastAsia"/>
          <w:b/>
          <w:bCs/>
          <w:sz w:val="28"/>
          <w:highlight w:val="none"/>
        </w:rPr>
        <w:t>一、本项目分包情况</w:t>
      </w:r>
    </w:p>
    <w:p>
      <w:pPr>
        <w:spacing w:line="360" w:lineRule="auto"/>
        <w:ind w:firstLine="240" w:firstLineChars="100"/>
        <w:rPr>
          <w:rFonts w:hint="eastAsia"/>
          <w:b/>
          <w:bCs/>
          <w:sz w:val="24"/>
          <w:szCs w:val="24"/>
          <w:highlight w:val="none"/>
        </w:rPr>
      </w:pPr>
      <w:r>
        <w:rPr>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本次招标为山东大学第二医院医疗设备采购项目，本项目共分为</w:t>
      </w:r>
      <w:r>
        <w:rPr>
          <w:rFonts w:hint="eastAsia"/>
          <w:sz w:val="24"/>
          <w:szCs w:val="24"/>
          <w:highlight w:val="none"/>
          <w:lang w:val="en-US" w:eastAsia="zh-CN"/>
        </w:rPr>
        <w:t>2</w:t>
      </w:r>
      <w:r>
        <w:rPr>
          <w:rFonts w:hint="eastAsia"/>
          <w:sz w:val="24"/>
          <w:szCs w:val="24"/>
          <w:highlight w:val="none"/>
        </w:rPr>
        <w:t>个包，包1：</w:t>
      </w:r>
      <w:r>
        <w:rPr>
          <w:rFonts w:hint="eastAsia"/>
          <w:sz w:val="24"/>
          <w:szCs w:val="24"/>
          <w:highlight w:val="none"/>
          <w:lang w:eastAsia="zh-CN"/>
        </w:rPr>
        <w:t>电子鼻咽喉镜</w:t>
      </w:r>
      <w:r>
        <w:rPr>
          <w:rFonts w:hint="eastAsia"/>
          <w:sz w:val="24"/>
          <w:szCs w:val="24"/>
          <w:highlight w:val="none"/>
        </w:rPr>
        <w:t>（</w:t>
      </w:r>
      <w:r>
        <w:rPr>
          <w:rFonts w:hint="eastAsia"/>
          <w:sz w:val="24"/>
          <w:szCs w:val="24"/>
          <w:highlight w:val="none"/>
          <w:lang w:val="en-US" w:eastAsia="zh-CN"/>
        </w:rPr>
        <w:t>1台</w:t>
      </w:r>
      <w:r>
        <w:rPr>
          <w:rFonts w:hint="eastAsia"/>
          <w:sz w:val="24"/>
          <w:szCs w:val="24"/>
          <w:highlight w:val="none"/>
        </w:rPr>
        <w:t>）；包2：</w:t>
      </w:r>
      <w:r>
        <w:rPr>
          <w:rFonts w:hint="eastAsia"/>
          <w:sz w:val="24"/>
          <w:szCs w:val="24"/>
          <w:highlight w:val="none"/>
          <w:lang w:eastAsia="zh-CN"/>
        </w:rPr>
        <w:t>儿科呼吸机</w:t>
      </w:r>
      <w:r>
        <w:rPr>
          <w:rFonts w:hint="eastAsia"/>
          <w:sz w:val="24"/>
          <w:szCs w:val="24"/>
          <w:highlight w:val="none"/>
        </w:rPr>
        <w:t>（</w:t>
      </w:r>
      <w:r>
        <w:rPr>
          <w:rFonts w:hint="eastAsia"/>
          <w:sz w:val="24"/>
          <w:szCs w:val="24"/>
          <w:highlight w:val="none"/>
          <w:lang w:val="en-US" w:eastAsia="zh-CN"/>
        </w:rPr>
        <w:t>1批</w:t>
      </w:r>
      <w:r>
        <w:rPr>
          <w:rFonts w:hint="eastAsia"/>
          <w:sz w:val="24"/>
          <w:szCs w:val="24"/>
          <w:highlight w:val="none"/>
        </w:rPr>
        <w:t>）。投标人必须对所报包内的设备完全响应，不得对包内设备分解后进行响应。</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二、</w:t>
      </w:r>
      <w:r>
        <w:rPr>
          <w:rFonts w:hint="eastAsia"/>
          <w:b/>
          <w:bCs/>
          <w:sz w:val="24"/>
          <w:szCs w:val="24"/>
          <w:highlight w:val="none"/>
        </w:rPr>
        <w:t>项目要求与说明</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1</w:t>
      </w:r>
      <w:r>
        <w:rPr>
          <w:rFonts w:hint="eastAsia"/>
          <w:kern w:val="2"/>
          <w:sz w:val="24"/>
          <w:szCs w:val="24"/>
          <w:highlight w:val="none"/>
        </w:rPr>
        <w:t>、交货期：投标企业自行提报最快交货期；</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2</w:t>
      </w:r>
      <w:r>
        <w:rPr>
          <w:rFonts w:hint="eastAsia"/>
          <w:kern w:val="2"/>
          <w:sz w:val="24"/>
          <w:szCs w:val="24"/>
          <w:highlight w:val="none"/>
        </w:rPr>
        <w:t>、交货地点：用户指定地点；</w:t>
      </w:r>
    </w:p>
    <w:p>
      <w:pPr>
        <w:pStyle w:val="20"/>
        <w:spacing w:line="360" w:lineRule="auto"/>
        <w:ind w:left="0" w:leftChars="0" w:firstLine="0" w:firstLineChars="0"/>
        <w:jc w:val="left"/>
        <w:rPr>
          <w:rFonts w:hint="eastAsia"/>
          <w:kern w:val="2"/>
          <w:sz w:val="24"/>
          <w:szCs w:val="24"/>
          <w:highlight w:val="none"/>
          <w:lang w:eastAsia="zh-CN"/>
        </w:rPr>
      </w:pPr>
      <w:r>
        <w:rPr>
          <w:kern w:val="2"/>
          <w:sz w:val="24"/>
          <w:szCs w:val="24"/>
          <w:highlight w:val="none"/>
        </w:rPr>
        <w:t xml:space="preserve"> </w:t>
      </w:r>
      <w:r>
        <w:rPr>
          <w:rFonts w:hint="eastAsia"/>
          <w:kern w:val="2"/>
          <w:sz w:val="24"/>
          <w:szCs w:val="24"/>
          <w:highlight w:val="none"/>
        </w:rPr>
        <w:t xml:space="preserve"> 3、质保期：</w:t>
      </w:r>
      <w:r>
        <w:rPr>
          <w:rFonts w:hint="eastAsia"/>
          <w:kern w:val="2"/>
          <w:sz w:val="24"/>
          <w:szCs w:val="24"/>
          <w:highlight w:val="none"/>
          <w:lang w:eastAsia="zh-CN"/>
        </w:rPr>
        <w:t>具体详见各包技术要求和参数</w:t>
      </w:r>
      <w:r>
        <w:rPr>
          <w:rFonts w:hint="eastAsia"/>
          <w:kern w:val="2"/>
          <w:sz w:val="24"/>
          <w:szCs w:val="24"/>
          <w:highlight w:val="none"/>
        </w:rPr>
        <w:t>；</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4</w:t>
      </w:r>
      <w:r>
        <w:rPr>
          <w:rFonts w:hint="eastAsia"/>
          <w:kern w:val="2"/>
          <w:sz w:val="24"/>
          <w:szCs w:val="24"/>
          <w:highlight w:val="none"/>
        </w:rPr>
        <w:t>、负责安装、调试、培训；</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5</w:t>
      </w:r>
      <w:r>
        <w:rPr>
          <w:rFonts w:hint="eastAsia"/>
          <w:kern w:val="2"/>
          <w:sz w:val="24"/>
          <w:szCs w:val="24"/>
          <w:highlight w:val="none"/>
        </w:rPr>
        <w:t>、所有设备必备配件必须齐全；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6</w:t>
      </w:r>
      <w:r>
        <w:rPr>
          <w:rFonts w:hint="eastAsia"/>
          <w:kern w:val="2"/>
          <w:sz w:val="24"/>
          <w:szCs w:val="24"/>
          <w:highlight w:val="none"/>
        </w:rPr>
        <w:t>、维修服务中应能及时提供备品备件，保证用户使用；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7</w:t>
      </w:r>
      <w:r>
        <w:rPr>
          <w:rFonts w:hint="eastAsia"/>
          <w:kern w:val="2"/>
          <w:sz w:val="24"/>
          <w:szCs w:val="24"/>
          <w:highlight w:val="none"/>
        </w:rPr>
        <w:t>、不接受备选方案</w:t>
      </w:r>
      <w:r>
        <w:rPr>
          <w:rFonts w:hint="eastAsia"/>
          <w:kern w:val="2"/>
          <w:sz w:val="24"/>
          <w:szCs w:val="24"/>
          <w:highlight w:val="none"/>
          <w:lang w:eastAsia="zh-CN"/>
        </w:rPr>
        <w:t>。</w:t>
      </w:r>
      <w:r>
        <w:rPr>
          <w:kern w:val="2"/>
          <w:sz w:val="24"/>
          <w:szCs w:val="24"/>
          <w:highlight w:val="none"/>
        </w:rPr>
        <w:t xml:space="preserve"> </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三、</w:t>
      </w:r>
      <w:r>
        <w:rPr>
          <w:rFonts w:hint="eastAsia"/>
          <w:b/>
          <w:bCs/>
          <w:sz w:val="24"/>
          <w:szCs w:val="24"/>
          <w:highlight w:val="none"/>
        </w:rPr>
        <w:t>技术要求和参数</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包1：设备清单及技术要求</w:t>
      </w:r>
    </w:p>
    <w:p>
      <w:pPr>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一、项目编号：</w:t>
      </w:r>
      <w:r>
        <w:rPr>
          <w:rFonts w:hint="eastAsia" w:ascii="宋体" w:hAnsi="宋体" w:cs="宋体"/>
          <w:b/>
          <w:bCs/>
          <w:sz w:val="24"/>
          <w:szCs w:val="24"/>
          <w:highlight w:val="none"/>
          <w:lang w:eastAsia="zh-CN"/>
        </w:rPr>
        <w:t>0676-196008ZB018029</w:t>
      </w:r>
      <w:r>
        <w:rPr>
          <w:rFonts w:hint="eastAsia" w:ascii="宋体" w:hAnsi="宋体" w:eastAsia="宋体" w:cs="宋体"/>
          <w:b/>
          <w:bCs/>
          <w:sz w:val="24"/>
          <w:szCs w:val="24"/>
          <w:highlight w:val="none"/>
        </w:rPr>
        <w:t>-01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二、设备名称：</w:t>
      </w:r>
      <w:r>
        <w:rPr>
          <w:rFonts w:hint="eastAsia" w:ascii="宋体" w:hAnsi="宋体" w:cs="宋体"/>
          <w:b/>
          <w:bCs/>
          <w:sz w:val="24"/>
          <w:szCs w:val="24"/>
          <w:highlight w:val="none"/>
          <w:lang w:eastAsia="zh-CN"/>
        </w:rPr>
        <w:t>电子鼻咽喉镜（</w:t>
      </w:r>
      <w:r>
        <w:rPr>
          <w:rFonts w:hint="eastAsia" w:ascii="宋体" w:hAnsi="宋体"/>
          <w:b/>
          <w:bCs/>
          <w:color w:val="000000"/>
          <w:sz w:val="24"/>
          <w:szCs w:val="24"/>
          <w:highlight w:val="none"/>
          <w:lang w:val="en-US" w:eastAsia="zh-CN"/>
        </w:rPr>
        <w:t>可采进口</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 xml:space="preserve">       </w:t>
      </w:r>
    </w:p>
    <w:p>
      <w:pPr>
        <w:spacing w:line="360" w:lineRule="auto"/>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三、数量：</w:t>
      </w:r>
      <w:r>
        <w:rPr>
          <w:rFonts w:hint="eastAsia" w:ascii="宋体" w:hAnsi="宋体" w:cs="宋体"/>
          <w:b/>
          <w:bCs/>
          <w:sz w:val="24"/>
          <w:szCs w:val="24"/>
          <w:highlight w:val="none"/>
          <w:lang w:val="en-US" w:eastAsia="zh-CN"/>
        </w:rPr>
        <w:t>1台</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四、技术要求和参数</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textAlignment w:val="auto"/>
        <w:rPr>
          <w:rFonts w:ascii="宋体" w:hAnsi="宋体"/>
          <w:b/>
          <w:bCs/>
          <w:color w:val="auto"/>
          <w:sz w:val="24"/>
          <w:highlight w:val="none"/>
        </w:rPr>
      </w:pPr>
      <w:r>
        <w:rPr>
          <w:rFonts w:hint="eastAsia" w:ascii="宋体" w:hAnsi="宋体"/>
          <w:color w:val="auto"/>
          <w:sz w:val="24"/>
          <w:highlight w:val="none"/>
        </w:rPr>
        <w:t>治疗型</w:t>
      </w:r>
      <w:r>
        <w:rPr>
          <w:rFonts w:ascii="宋体" w:hAnsi="宋体"/>
          <w:color w:val="auto"/>
          <w:sz w:val="24"/>
          <w:highlight w:val="none"/>
        </w:rPr>
        <w:t>电子鼻咽喉镜</w:t>
      </w:r>
      <w:r>
        <w:rPr>
          <w:rFonts w:hint="eastAsia" w:ascii="宋体" w:hAnsi="宋体"/>
          <w:color w:val="auto"/>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hAnsi="宋体"/>
          <w:color w:val="auto"/>
          <w:sz w:val="24"/>
          <w:highlight w:val="none"/>
        </w:rPr>
      </w:pPr>
      <w:r>
        <w:rPr>
          <w:rFonts w:hint="eastAsia" w:ascii="宋体" w:hAnsi="宋体"/>
          <w:color w:val="auto"/>
          <w:sz w:val="24"/>
          <w:highlight w:val="none"/>
          <w:lang w:val="en-US" w:eastAsia="zh-CN"/>
        </w:rPr>
        <w:t>1.1</w:t>
      </w:r>
      <w:r>
        <w:rPr>
          <w:rFonts w:ascii="宋体" w:hAnsi="宋体"/>
          <w:color w:val="auto"/>
          <w:sz w:val="24"/>
          <w:highlight w:val="none"/>
        </w:rPr>
        <w:t>视野范围：≥</w:t>
      </w:r>
      <w:r>
        <w:rPr>
          <w:rFonts w:hint="eastAsia" w:ascii="宋体" w:hAnsi="宋体"/>
          <w:color w:val="auto"/>
          <w:sz w:val="24"/>
          <w:highlight w:val="none"/>
        </w:rPr>
        <w:t>88</w:t>
      </w:r>
      <w:r>
        <w:rPr>
          <w:rFonts w:ascii="宋体" w:hAnsi="宋体"/>
          <w:color w:val="auto"/>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hAnsi="宋体"/>
          <w:color w:val="auto"/>
          <w:sz w:val="24"/>
          <w:highlight w:val="none"/>
        </w:rPr>
      </w:pPr>
      <w:r>
        <w:rPr>
          <w:rFonts w:hint="eastAsia" w:ascii="宋体" w:hAnsi="宋体"/>
          <w:color w:val="auto"/>
          <w:sz w:val="24"/>
          <w:highlight w:val="none"/>
          <w:lang w:val="en-US" w:eastAsia="zh-CN"/>
        </w:rPr>
        <w:t>1.2</w:t>
      </w:r>
      <w:r>
        <w:rPr>
          <w:rFonts w:ascii="宋体" w:hAnsi="宋体"/>
          <w:color w:val="auto"/>
          <w:sz w:val="24"/>
          <w:highlight w:val="none"/>
        </w:rPr>
        <w:t>视野方向：0°（前视）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hAnsi="宋体"/>
          <w:color w:val="auto"/>
          <w:sz w:val="24"/>
          <w:highlight w:val="none"/>
        </w:rPr>
      </w:pPr>
      <w:r>
        <w:rPr>
          <w:rFonts w:hint="eastAsia" w:ascii="宋体" w:hAnsi="宋体"/>
          <w:color w:val="auto"/>
          <w:sz w:val="24"/>
          <w:highlight w:val="none"/>
          <w:lang w:val="en-US" w:eastAsia="zh-CN"/>
        </w:rPr>
        <w:t>1.3</w:t>
      </w:r>
      <w:r>
        <w:rPr>
          <w:rFonts w:ascii="宋体" w:hAnsi="宋体"/>
          <w:color w:val="auto"/>
          <w:sz w:val="24"/>
          <w:highlight w:val="none"/>
        </w:rPr>
        <w:t>景深：2-40mm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r>
        <w:rPr>
          <w:rFonts w:ascii="宋体" w:hAnsi="宋体"/>
          <w:color w:val="auto"/>
          <w:sz w:val="24"/>
          <w:highlight w:val="none"/>
        </w:rPr>
        <w:t>先端部外径≤4.8mm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hAnsi="宋体"/>
          <w:color w:val="auto"/>
          <w:sz w:val="24"/>
          <w:highlight w:val="none"/>
        </w:rPr>
      </w:pPr>
      <w:r>
        <w:rPr>
          <w:rFonts w:hint="eastAsia" w:ascii="宋体" w:hAnsi="宋体"/>
          <w:color w:val="auto"/>
          <w:sz w:val="24"/>
          <w:highlight w:val="none"/>
          <w:lang w:val="en-US" w:eastAsia="zh-CN"/>
        </w:rPr>
        <w:t>1.5</w:t>
      </w:r>
      <w:r>
        <w:rPr>
          <w:rFonts w:ascii="宋体" w:hAnsi="宋体"/>
          <w:color w:val="auto"/>
          <w:sz w:val="24"/>
          <w:highlight w:val="none"/>
        </w:rPr>
        <w:t>工作长度≥360mm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hAnsi="宋体"/>
          <w:color w:val="auto"/>
          <w:sz w:val="24"/>
          <w:highlight w:val="none"/>
        </w:rPr>
      </w:pPr>
      <w:r>
        <w:rPr>
          <w:rFonts w:hint="eastAsia" w:ascii="宋体" w:hAnsi="宋体"/>
          <w:color w:val="auto"/>
          <w:sz w:val="24"/>
          <w:highlight w:val="none"/>
          <w:lang w:val="en-US" w:eastAsia="zh-CN"/>
        </w:rPr>
        <w:t>1.6</w:t>
      </w:r>
      <w:r>
        <w:rPr>
          <w:rFonts w:ascii="宋体" w:hAnsi="宋体"/>
          <w:color w:val="auto"/>
          <w:sz w:val="24"/>
          <w:highlight w:val="none"/>
        </w:rPr>
        <w:t>管道内径</w:t>
      </w:r>
      <w:r>
        <w:rPr>
          <w:rFonts w:hint="eastAsia" w:ascii="宋体" w:hAnsi="宋体"/>
          <w:color w:val="auto"/>
          <w:sz w:val="24"/>
          <w:highlight w:val="none"/>
        </w:rPr>
        <w:t>（内置）</w:t>
      </w:r>
      <w:r>
        <w:rPr>
          <w:rFonts w:ascii="宋体" w:hAnsi="宋体"/>
          <w:color w:val="auto"/>
          <w:sz w:val="24"/>
          <w:highlight w:val="none"/>
        </w:rPr>
        <w:t>≥2mm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hAnsi="宋体"/>
          <w:color w:val="auto"/>
          <w:sz w:val="24"/>
          <w:highlight w:val="none"/>
        </w:rPr>
      </w:pPr>
      <w:r>
        <w:rPr>
          <w:rFonts w:hint="eastAsia" w:ascii="宋体" w:hAnsi="宋体"/>
          <w:color w:val="auto"/>
          <w:sz w:val="24"/>
          <w:highlight w:val="none"/>
          <w:lang w:val="en-US" w:eastAsia="zh-CN"/>
        </w:rPr>
        <w:t>1.7</w:t>
      </w:r>
      <w:r>
        <w:rPr>
          <w:rFonts w:ascii="宋体" w:hAnsi="宋体"/>
          <w:color w:val="auto"/>
          <w:sz w:val="24"/>
          <w:highlight w:val="none"/>
        </w:rPr>
        <w:t>最小可视距离：≤2mm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hAnsi="宋体"/>
          <w:color w:val="auto"/>
          <w:sz w:val="24"/>
          <w:highlight w:val="none"/>
        </w:rPr>
      </w:pPr>
      <w:r>
        <w:rPr>
          <w:rFonts w:hint="eastAsia" w:ascii="宋体" w:hAnsi="宋体"/>
          <w:color w:val="auto"/>
          <w:sz w:val="24"/>
          <w:highlight w:val="none"/>
          <w:lang w:val="en-US" w:eastAsia="zh-CN"/>
        </w:rPr>
        <w:t>1.8</w:t>
      </w:r>
      <w:r>
        <w:rPr>
          <w:rFonts w:ascii="宋体" w:hAnsi="宋体"/>
          <w:color w:val="auto"/>
          <w:sz w:val="24"/>
          <w:highlight w:val="none"/>
        </w:rPr>
        <w:t>角度范围：上130°,下130°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r>
        <w:rPr>
          <w:rFonts w:ascii="宋体" w:hAnsi="宋体"/>
          <w:color w:val="auto"/>
          <w:sz w:val="24"/>
          <w:highlight w:val="none"/>
        </w:rPr>
        <w:t>总长：≥600mm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hAnsi="宋体"/>
          <w:color w:val="auto"/>
          <w:sz w:val="24"/>
          <w:highlight w:val="none"/>
        </w:rPr>
      </w:pPr>
      <w:r>
        <w:rPr>
          <w:rFonts w:hint="eastAsia" w:ascii="宋体" w:hAnsi="宋体"/>
          <w:color w:val="auto"/>
          <w:sz w:val="24"/>
          <w:highlight w:val="none"/>
          <w:lang w:val="en-US" w:eastAsia="zh-CN"/>
        </w:rPr>
        <w:t>1.10</w:t>
      </w:r>
      <w:r>
        <w:rPr>
          <w:rFonts w:ascii="宋体" w:hAnsi="宋体"/>
          <w:color w:val="auto"/>
          <w:sz w:val="24"/>
          <w:highlight w:val="none"/>
        </w:rPr>
        <w:t>兼容：LD/YAG激光/高频电刀</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b/>
          <w:bCs/>
          <w:color w:val="auto"/>
          <w:sz w:val="24"/>
          <w:highlight w:val="none"/>
          <w:lang w:val="en-US" w:eastAsia="zh-CN"/>
        </w:rPr>
      </w:pPr>
      <w:r>
        <w:rPr>
          <w:rFonts w:hint="eastAsia" w:ascii="宋体" w:hAnsi="宋体"/>
          <w:color w:val="auto"/>
          <w:sz w:val="24"/>
          <w:highlight w:val="none"/>
          <w:lang w:val="en-US" w:eastAsia="zh-CN"/>
        </w:rPr>
        <w:t xml:space="preserve">检查型电子鼻咽喉镜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hAnsi="宋体"/>
          <w:color w:val="auto"/>
          <w:sz w:val="24"/>
          <w:highlight w:val="none"/>
        </w:rPr>
      </w:pPr>
      <w:r>
        <w:rPr>
          <w:rFonts w:hint="eastAsia" w:ascii="宋体" w:hAnsi="宋体"/>
          <w:color w:val="auto"/>
          <w:sz w:val="24"/>
          <w:highlight w:val="none"/>
          <w:lang w:val="en-US" w:eastAsia="zh-CN"/>
        </w:rPr>
        <w:t>2.1</w:t>
      </w:r>
      <w:r>
        <w:rPr>
          <w:rFonts w:ascii="宋体" w:hAnsi="宋体"/>
          <w:color w:val="auto"/>
          <w:sz w:val="24"/>
          <w:highlight w:val="none"/>
        </w:rPr>
        <w:t>视野范围：≥</w:t>
      </w:r>
      <w:r>
        <w:rPr>
          <w:rFonts w:hint="eastAsia" w:ascii="宋体" w:hAnsi="宋体"/>
          <w:color w:val="auto"/>
          <w:sz w:val="24"/>
          <w:highlight w:val="none"/>
        </w:rPr>
        <w:t>88</w:t>
      </w:r>
      <w:r>
        <w:rPr>
          <w:rFonts w:ascii="宋体" w:hAnsi="宋体"/>
          <w:color w:val="auto"/>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hAnsi="宋体"/>
          <w:color w:val="auto"/>
          <w:sz w:val="24"/>
          <w:highlight w:val="none"/>
        </w:rPr>
      </w:pPr>
      <w:r>
        <w:rPr>
          <w:rFonts w:hint="eastAsia" w:ascii="宋体" w:hAnsi="宋体"/>
          <w:color w:val="auto"/>
          <w:sz w:val="24"/>
          <w:highlight w:val="none"/>
          <w:lang w:val="en-US" w:eastAsia="zh-CN"/>
        </w:rPr>
        <w:t>2.2</w:t>
      </w:r>
      <w:r>
        <w:rPr>
          <w:rFonts w:ascii="宋体" w:hAnsi="宋体"/>
          <w:color w:val="auto"/>
          <w:sz w:val="24"/>
          <w:highlight w:val="none"/>
        </w:rPr>
        <w:t>视野方向：0°（前视）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hAnsi="宋体"/>
          <w:color w:val="auto"/>
          <w:sz w:val="24"/>
          <w:highlight w:val="none"/>
        </w:rPr>
      </w:pPr>
      <w:r>
        <w:rPr>
          <w:rFonts w:hint="eastAsia" w:ascii="宋体" w:hAnsi="宋体"/>
          <w:color w:val="auto"/>
          <w:sz w:val="24"/>
          <w:highlight w:val="none"/>
          <w:lang w:val="en-US" w:eastAsia="zh-CN"/>
        </w:rPr>
        <w:t>2.3</w:t>
      </w:r>
      <w:r>
        <w:rPr>
          <w:rFonts w:ascii="宋体" w:hAnsi="宋体"/>
          <w:color w:val="auto"/>
          <w:sz w:val="24"/>
          <w:highlight w:val="none"/>
        </w:rPr>
        <w:t>景深：</w:t>
      </w:r>
      <w:r>
        <w:rPr>
          <w:rFonts w:hint="eastAsia" w:ascii="宋体" w:hAnsi="宋体"/>
          <w:color w:val="auto"/>
          <w:sz w:val="24"/>
          <w:highlight w:val="none"/>
          <w:lang w:val="en-US" w:eastAsia="zh-CN"/>
        </w:rPr>
        <w:t>5</w:t>
      </w:r>
      <w:r>
        <w:rPr>
          <w:rFonts w:ascii="宋体" w:hAnsi="宋体"/>
          <w:color w:val="auto"/>
          <w:sz w:val="24"/>
          <w:highlight w:val="none"/>
        </w:rPr>
        <w:t>-</w:t>
      </w:r>
      <w:r>
        <w:rPr>
          <w:rFonts w:hint="eastAsia" w:ascii="宋体" w:hAnsi="宋体"/>
          <w:color w:val="auto"/>
          <w:sz w:val="24"/>
          <w:highlight w:val="none"/>
          <w:lang w:val="en-US" w:eastAsia="zh-CN"/>
        </w:rPr>
        <w:t>5</w:t>
      </w:r>
      <w:r>
        <w:rPr>
          <w:rFonts w:ascii="宋体" w:hAnsi="宋体"/>
          <w:color w:val="auto"/>
          <w:sz w:val="24"/>
          <w:highlight w:val="none"/>
        </w:rPr>
        <w:t>0mm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2.4</w:t>
      </w:r>
      <w:r>
        <w:rPr>
          <w:rFonts w:ascii="宋体" w:hAnsi="宋体"/>
          <w:color w:val="auto"/>
          <w:sz w:val="24"/>
          <w:highlight w:val="none"/>
        </w:rPr>
        <w:t>先端部外径≤</w:t>
      </w:r>
      <w:r>
        <w:rPr>
          <w:rFonts w:hint="eastAsia" w:ascii="宋体" w:hAnsi="宋体"/>
          <w:color w:val="auto"/>
          <w:sz w:val="24"/>
          <w:highlight w:val="none"/>
          <w:lang w:val="en-US" w:eastAsia="zh-CN"/>
        </w:rPr>
        <w:t>3</w:t>
      </w:r>
      <w:r>
        <w:rPr>
          <w:rFonts w:ascii="宋体" w:hAnsi="宋体"/>
          <w:color w:val="auto"/>
          <w:sz w:val="24"/>
          <w:highlight w:val="none"/>
        </w:rPr>
        <w:t>.</w:t>
      </w:r>
      <w:r>
        <w:rPr>
          <w:rFonts w:hint="eastAsia" w:ascii="宋体" w:hAnsi="宋体"/>
          <w:color w:val="auto"/>
          <w:sz w:val="24"/>
          <w:highlight w:val="none"/>
          <w:lang w:val="en-US" w:eastAsia="zh-CN"/>
        </w:rPr>
        <w:t>9</w:t>
      </w:r>
      <w:r>
        <w:rPr>
          <w:rFonts w:ascii="宋体" w:hAnsi="宋体"/>
          <w:color w:val="auto"/>
          <w:sz w:val="24"/>
          <w:highlight w:val="none"/>
        </w:rPr>
        <w:t>mm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hAnsi="宋体"/>
          <w:color w:val="auto"/>
          <w:sz w:val="24"/>
          <w:highlight w:val="none"/>
        </w:rPr>
      </w:pPr>
      <w:r>
        <w:rPr>
          <w:rFonts w:hint="eastAsia" w:ascii="宋体" w:hAnsi="宋体"/>
          <w:color w:val="auto"/>
          <w:sz w:val="24"/>
          <w:highlight w:val="none"/>
          <w:lang w:val="en-US" w:eastAsia="zh-CN"/>
        </w:rPr>
        <w:t>2.5</w:t>
      </w:r>
      <w:r>
        <w:rPr>
          <w:rFonts w:ascii="宋体" w:hAnsi="宋体"/>
          <w:color w:val="auto"/>
          <w:sz w:val="24"/>
          <w:highlight w:val="none"/>
        </w:rPr>
        <w:t>工作长度≥3</w:t>
      </w:r>
      <w:r>
        <w:rPr>
          <w:rFonts w:hint="eastAsia" w:ascii="宋体" w:hAnsi="宋体"/>
          <w:color w:val="auto"/>
          <w:sz w:val="24"/>
          <w:highlight w:val="none"/>
          <w:lang w:val="en-US" w:eastAsia="zh-CN"/>
        </w:rPr>
        <w:t>0</w:t>
      </w:r>
      <w:r>
        <w:rPr>
          <w:rFonts w:ascii="宋体" w:hAnsi="宋体"/>
          <w:color w:val="auto"/>
          <w:sz w:val="24"/>
          <w:highlight w:val="none"/>
        </w:rPr>
        <w:t>0mm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hAnsi="宋体"/>
          <w:color w:val="auto"/>
          <w:sz w:val="24"/>
          <w:highlight w:val="none"/>
        </w:rPr>
      </w:pPr>
      <w:r>
        <w:rPr>
          <w:rFonts w:hint="eastAsia" w:ascii="宋体" w:hAnsi="宋体"/>
          <w:color w:val="auto"/>
          <w:sz w:val="24"/>
          <w:highlight w:val="none"/>
          <w:lang w:val="en-US" w:eastAsia="zh-CN"/>
        </w:rPr>
        <w:t>2.6</w:t>
      </w:r>
      <w:r>
        <w:rPr>
          <w:rFonts w:ascii="宋体" w:hAnsi="宋体"/>
          <w:color w:val="auto"/>
          <w:sz w:val="24"/>
          <w:highlight w:val="none"/>
        </w:rPr>
        <w:t>角度范围：上130°,下130°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2.7</w:t>
      </w:r>
      <w:r>
        <w:rPr>
          <w:rFonts w:ascii="宋体" w:hAnsi="宋体"/>
          <w:color w:val="auto"/>
          <w:sz w:val="24"/>
          <w:highlight w:val="none"/>
        </w:rPr>
        <w:t>总长：≥</w:t>
      </w:r>
      <w:r>
        <w:rPr>
          <w:rFonts w:hint="eastAsia" w:ascii="宋体" w:hAnsi="宋体"/>
          <w:color w:val="auto"/>
          <w:sz w:val="24"/>
          <w:highlight w:val="none"/>
          <w:lang w:val="en-US" w:eastAsia="zh-CN"/>
        </w:rPr>
        <w:t>520</w:t>
      </w:r>
      <w:r>
        <w:rPr>
          <w:rFonts w:ascii="宋体" w:hAnsi="宋体"/>
          <w:color w:val="auto"/>
          <w:sz w:val="24"/>
          <w:highlight w:val="none"/>
        </w:rPr>
        <w:t>mm</w:t>
      </w:r>
    </w:p>
    <w:p>
      <w:pPr>
        <w:pStyle w:val="130"/>
        <w:keepNext w:val="0"/>
        <w:keepLines w:val="0"/>
        <w:pageBreakBefore w:val="0"/>
        <w:widowControl w:val="0"/>
        <w:numPr>
          <w:ilvl w:val="0"/>
          <w:numId w:val="0"/>
        </w:numPr>
        <w:tabs>
          <w:tab w:val="left" w:pos="585"/>
        </w:tabs>
        <w:kinsoku/>
        <w:wordWrap/>
        <w:overflowPunct/>
        <w:topLinePunct w:val="0"/>
        <w:autoSpaceDE/>
        <w:autoSpaceDN/>
        <w:bidi w:val="0"/>
        <w:adjustRightInd w:val="0"/>
        <w:snapToGrid w:val="0"/>
        <w:spacing w:line="360" w:lineRule="auto"/>
        <w:ind w:leftChars="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2.8图像大小</w:t>
      </w:r>
      <w:r>
        <w:rPr>
          <w:rFonts w:ascii="宋体" w:hAnsi="宋体"/>
          <w:color w:val="auto"/>
          <w:sz w:val="24"/>
          <w:highlight w:val="none"/>
        </w:rPr>
        <w:t>：</w:t>
      </w:r>
      <w:r>
        <w:rPr>
          <w:rFonts w:hint="eastAsia" w:ascii="宋体" w:hAnsi="宋体"/>
          <w:color w:val="auto"/>
          <w:sz w:val="24"/>
          <w:highlight w:val="none"/>
          <w:lang w:val="en-US" w:eastAsia="zh-CN"/>
        </w:rPr>
        <w:t>全屏显示</w:t>
      </w:r>
    </w:p>
    <w:p>
      <w:pPr>
        <w:pStyle w:val="130"/>
        <w:numPr>
          <w:ilvl w:val="0"/>
          <w:numId w:val="0"/>
        </w:numPr>
        <w:tabs>
          <w:tab w:val="left" w:pos="585"/>
        </w:tabs>
        <w:ind w:leftChars="0"/>
        <w:rPr>
          <w:rFonts w:hint="default" w:eastAsia="宋体" w:cs="Times New Roman" w:asciiTheme="minorEastAsia" w:hAnsiTheme="minorEastAsia"/>
          <w:b/>
          <w:kern w:val="2"/>
          <w:sz w:val="24"/>
          <w:szCs w:val="24"/>
          <w:highlight w:val="none"/>
          <w:lang w:val="en-US" w:eastAsia="zh-CN" w:bidi="ar-SA"/>
        </w:rPr>
      </w:pPr>
      <w:r>
        <w:rPr>
          <w:rFonts w:hint="eastAsia" w:cs="Times New Roman" w:asciiTheme="minorEastAsia" w:hAnsiTheme="minorEastAsia"/>
          <w:b/>
          <w:kern w:val="2"/>
          <w:sz w:val="24"/>
          <w:szCs w:val="24"/>
          <w:highlight w:val="none"/>
          <w:lang w:val="en-US" w:eastAsia="zh-CN" w:bidi="ar-SA"/>
        </w:rPr>
        <w:t>3.</w:t>
      </w:r>
      <w:r>
        <w:rPr>
          <w:rFonts w:hint="eastAsia" w:eastAsia="宋体" w:cs="Times New Roman" w:asciiTheme="minorEastAsia" w:hAnsiTheme="minorEastAsia"/>
          <w:b/>
          <w:kern w:val="2"/>
          <w:sz w:val="24"/>
          <w:szCs w:val="24"/>
          <w:highlight w:val="none"/>
          <w:lang w:val="en-US" w:eastAsia="zh-CN" w:bidi="ar-SA"/>
        </w:rPr>
        <w:t>质保≥2年，交货期厂家竞报</w:t>
      </w:r>
    </w:p>
    <w:p>
      <w:pPr>
        <w:spacing w:line="360" w:lineRule="auto"/>
        <w:rPr>
          <w:rFonts w:hint="eastAsia" w:ascii="宋体" w:hAnsi="宋体" w:eastAsia="宋体" w:cs="宋体"/>
          <w:b/>
          <w:sz w:val="24"/>
          <w:szCs w:val="24"/>
          <w:highlight w:val="none"/>
        </w:rPr>
      </w:pP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包2：设备清单及技术要求</w:t>
      </w:r>
    </w:p>
    <w:p>
      <w:p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一、项目编号：</w:t>
      </w:r>
      <w:r>
        <w:rPr>
          <w:rFonts w:hint="eastAsia" w:ascii="宋体" w:hAnsi="宋体" w:cs="宋体"/>
          <w:b/>
          <w:bCs/>
          <w:sz w:val="24"/>
          <w:szCs w:val="24"/>
          <w:highlight w:val="none"/>
          <w:lang w:eastAsia="zh-CN"/>
        </w:rPr>
        <w:t>0676-196008ZB018029</w:t>
      </w:r>
      <w:r>
        <w:rPr>
          <w:rFonts w:hint="eastAsia" w:ascii="宋体" w:hAnsi="宋体" w:eastAsia="宋体" w:cs="宋体"/>
          <w:b/>
          <w:bCs/>
          <w:sz w:val="24"/>
          <w:szCs w:val="24"/>
          <w:highlight w:val="none"/>
        </w:rPr>
        <w:t>-0</w:t>
      </w:r>
      <w:r>
        <w:rPr>
          <w:rFonts w:hint="eastAsia" w:ascii="宋体" w:hAnsi="宋体" w:cs="宋体"/>
          <w:b/>
          <w:bCs/>
          <w:sz w:val="24"/>
          <w:szCs w:val="24"/>
          <w:highlight w:val="none"/>
          <w:lang w:val="en-US" w:eastAsia="zh-CN"/>
        </w:rPr>
        <w:t>2</w:t>
      </w:r>
    </w:p>
    <w:p>
      <w:pPr>
        <w:numPr>
          <w:ilvl w:val="0"/>
          <w:numId w:val="0"/>
        </w:num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二、设备名称：</w:t>
      </w:r>
      <w:r>
        <w:rPr>
          <w:rFonts w:hint="eastAsia" w:ascii="宋体" w:hAnsi="宋体" w:cs="宋体"/>
          <w:b/>
          <w:bCs/>
          <w:sz w:val="24"/>
          <w:szCs w:val="24"/>
          <w:highlight w:val="none"/>
          <w:lang w:eastAsia="zh-CN"/>
        </w:rPr>
        <w:t>儿科呼吸机（</w:t>
      </w:r>
      <w:r>
        <w:rPr>
          <w:rFonts w:hint="eastAsia" w:ascii="宋体" w:hAnsi="宋体"/>
          <w:b/>
          <w:bCs/>
          <w:color w:val="000000"/>
          <w:sz w:val="24"/>
          <w:highlight w:val="none"/>
          <w:lang w:val="en-US" w:eastAsia="zh-CN"/>
        </w:rPr>
        <w:t>可采进口</w:t>
      </w:r>
      <w:r>
        <w:rPr>
          <w:rFonts w:hint="eastAsia" w:ascii="宋体" w:hAnsi="宋体" w:cs="宋体"/>
          <w:b/>
          <w:bCs/>
          <w:sz w:val="24"/>
          <w:szCs w:val="24"/>
          <w:highlight w:val="none"/>
          <w:lang w:eastAsia="zh-CN"/>
        </w:rPr>
        <w:t>）</w:t>
      </w:r>
    </w:p>
    <w:p>
      <w:pPr>
        <w:spacing w:line="360" w:lineRule="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三、数量：</w:t>
      </w:r>
      <w:r>
        <w:rPr>
          <w:rFonts w:hint="eastAsia" w:ascii="宋体" w:hAnsi="宋体" w:cs="宋体"/>
          <w:b/>
          <w:bCs/>
          <w:sz w:val="24"/>
          <w:szCs w:val="24"/>
          <w:highlight w:val="none"/>
          <w:lang w:val="en-US" w:eastAsia="zh-CN"/>
        </w:rPr>
        <w:t>1批</w:t>
      </w:r>
    </w:p>
    <w:p>
      <w:pPr>
        <w:spacing w:line="360" w:lineRule="auto"/>
        <w:ind w:left="10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四、技术要求和参数</w:t>
      </w:r>
    </w:p>
    <w:p>
      <w:pPr>
        <w:spacing w:line="360" w:lineRule="auto"/>
        <w:ind w:left="105"/>
        <w:rPr>
          <w:rFonts w:hint="default" w:ascii="宋体" w:hAnsi="宋体" w:eastAsia="宋体" w:cs="宋体"/>
          <w:b/>
          <w:bCs/>
          <w:sz w:val="24"/>
          <w:szCs w:val="24"/>
          <w:highlight w:val="none"/>
          <w:lang w:val="en-US" w:eastAsia="zh-CN"/>
        </w:rPr>
      </w:pPr>
      <w:bookmarkStart w:id="128" w:name="_Toc2031"/>
      <w:r>
        <w:rPr>
          <w:rFonts w:hint="eastAsia" w:ascii="宋体" w:hAnsi="宋体" w:eastAsia="宋体" w:cs="宋体"/>
          <w:b/>
          <w:bCs/>
          <w:sz w:val="24"/>
          <w:szCs w:val="24"/>
          <w:highlight w:val="none"/>
          <w:lang w:eastAsia="zh-CN"/>
        </w:rPr>
        <w:t>新生儿高频呼吸机</w:t>
      </w:r>
      <w:r>
        <w:rPr>
          <w:rFonts w:hint="eastAsia" w:ascii="宋体" w:hAnsi="宋体" w:eastAsia="宋体" w:cs="宋体"/>
          <w:b/>
          <w:bCs/>
          <w:sz w:val="24"/>
          <w:szCs w:val="24"/>
          <w:highlight w:val="none"/>
          <w:lang w:val="en-US" w:eastAsia="zh-CN"/>
        </w:rPr>
        <w:t xml:space="preserve"> 2台 质保≥2年 可采进口</w:t>
      </w:r>
    </w:p>
    <w:p>
      <w:pPr>
        <w:spacing w:line="360" w:lineRule="auto"/>
        <w:ind w:left="105"/>
        <w:rPr>
          <w:rFonts w:hint="eastAsia" w:ascii="宋体" w:hAnsi="宋体" w:eastAsia="宋体" w:cs="宋体"/>
          <w:b w:val="0"/>
          <w:bCs w:val="0"/>
          <w:sz w:val="24"/>
          <w:szCs w:val="24"/>
          <w:highlight w:val="none"/>
          <w:lang w:eastAsia="zh-CN"/>
        </w:rPr>
      </w:pPr>
      <w:r>
        <w:rPr>
          <w:rFonts w:hint="eastAsia" w:ascii="宋体" w:hAnsi="宋体" w:eastAsia="宋体" w:cs="宋体"/>
          <w:b/>
          <w:bCs/>
          <w:sz w:val="24"/>
          <w:szCs w:val="24"/>
          <w:highlight w:val="none"/>
          <w:lang w:eastAsia="zh-CN"/>
        </w:rPr>
        <w:t>适用范围：</w:t>
      </w:r>
      <w:r>
        <w:rPr>
          <w:rFonts w:hint="eastAsia" w:ascii="宋体" w:hAnsi="宋体" w:eastAsia="宋体" w:cs="宋体"/>
          <w:b w:val="0"/>
          <w:bCs w:val="0"/>
          <w:sz w:val="24"/>
          <w:szCs w:val="24"/>
          <w:highlight w:val="none"/>
          <w:lang w:eastAsia="zh-CN"/>
        </w:rPr>
        <w:t>用于早产儿、新生儿、婴幼儿及小儿的机械通气和辅助治疗</w:t>
      </w:r>
    </w:p>
    <w:p>
      <w:pPr>
        <w:spacing w:line="360" w:lineRule="auto"/>
        <w:ind w:left="105"/>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（一）主要技术参数及性能</w:t>
      </w:r>
    </w:p>
    <w:p>
      <w:pPr>
        <w:keepNext w:val="0"/>
        <w:keepLines w:val="0"/>
        <w:pageBreakBefore w:val="0"/>
        <w:widowControl w:val="0"/>
        <w:kinsoku/>
        <w:wordWrap/>
        <w:overflowPunct/>
        <w:topLinePunct w:val="0"/>
        <w:autoSpaceDE/>
        <w:autoSpaceDN/>
        <w:bidi w:val="0"/>
        <w:spacing w:line="360" w:lineRule="auto"/>
        <w:ind w:left="420" w:hanging="480" w:hangingChars="200"/>
        <w:textAlignment w:val="auto"/>
        <w:rPr>
          <w:rFonts w:hint="eastAsia"/>
          <w:sz w:val="24"/>
          <w:szCs w:val="24"/>
          <w:highlight w:val="none"/>
        </w:rPr>
      </w:pPr>
      <w:r>
        <w:rPr>
          <w:rFonts w:hint="eastAsia"/>
          <w:sz w:val="24"/>
          <w:szCs w:val="24"/>
          <w:highlight w:val="none"/>
        </w:rPr>
        <w:t>1、全电脑彩色触摸屏，可显示压力，流速，容量，传感器监测波形，压力-容量环，流量容量环。</w:t>
      </w:r>
    </w:p>
    <w:p>
      <w:pPr>
        <w:keepNext w:val="0"/>
        <w:keepLines w:val="0"/>
        <w:pageBreakBefore w:val="0"/>
        <w:widowControl w:val="0"/>
        <w:kinsoku/>
        <w:wordWrap/>
        <w:overflowPunct/>
        <w:topLinePunct w:val="0"/>
        <w:autoSpaceDE/>
        <w:autoSpaceDN/>
        <w:bidi w:val="0"/>
        <w:spacing w:line="360" w:lineRule="auto"/>
        <w:ind w:left="420" w:hanging="480" w:hangingChars="200"/>
        <w:textAlignment w:val="auto"/>
        <w:rPr>
          <w:rFonts w:hint="eastAsia"/>
          <w:sz w:val="24"/>
          <w:szCs w:val="24"/>
          <w:highlight w:val="none"/>
        </w:rPr>
      </w:pPr>
      <w:r>
        <w:rPr>
          <w:rFonts w:hint="eastAsia"/>
          <w:sz w:val="24"/>
          <w:szCs w:val="24"/>
          <w:highlight w:val="none"/>
          <w:lang w:val="en-US" w:eastAsia="zh-CN"/>
        </w:rPr>
        <w:t>2、</w:t>
      </w:r>
      <w:r>
        <w:rPr>
          <w:rFonts w:hint="eastAsia"/>
          <w:sz w:val="24"/>
          <w:szCs w:val="24"/>
          <w:highlight w:val="none"/>
          <w:lang w:eastAsia="zh-CN"/>
        </w:rPr>
        <w:t>具备</w:t>
      </w:r>
      <w:r>
        <w:rPr>
          <w:rFonts w:hint="eastAsia"/>
          <w:sz w:val="24"/>
          <w:szCs w:val="24"/>
          <w:highlight w:val="none"/>
        </w:rPr>
        <w:t>高频通气、常频通气、nCPAP、</w:t>
      </w:r>
      <w:r>
        <w:rPr>
          <w:rFonts w:hint="eastAsia"/>
          <w:sz w:val="24"/>
          <w:szCs w:val="24"/>
          <w:highlight w:val="none"/>
          <w:lang w:eastAsia="zh-CN"/>
        </w:rPr>
        <w:t>无创双水平通气、</w:t>
      </w:r>
      <w:r>
        <w:rPr>
          <w:rFonts w:hint="eastAsia"/>
          <w:sz w:val="24"/>
          <w:szCs w:val="24"/>
          <w:highlight w:val="none"/>
        </w:rPr>
        <w:t>氧疗功能</w:t>
      </w:r>
      <w:r>
        <w:rPr>
          <w:rFonts w:hint="eastAsia"/>
          <w:sz w:val="24"/>
          <w:szCs w:val="24"/>
          <w:highlight w:val="none"/>
          <w:lang w:eastAsia="zh-CN"/>
        </w:rPr>
        <w:t>、窒息通气功能</w:t>
      </w:r>
    </w:p>
    <w:p>
      <w:pPr>
        <w:keepNext w:val="0"/>
        <w:keepLines w:val="0"/>
        <w:pageBreakBefore w:val="0"/>
        <w:widowControl w:val="0"/>
        <w:kinsoku/>
        <w:wordWrap/>
        <w:overflowPunct/>
        <w:topLinePunct w:val="0"/>
        <w:autoSpaceDE/>
        <w:autoSpaceDN/>
        <w:bidi w:val="0"/>
        <w:spacing w:line="360" w:lineRule="auto"/>
        <w:ind w:left="420" w:hanging="480" w:hangingChars="200"/>
        <w:textAlignment w:val="auto"/>
        <w:rPr>
          <w:rFonts w:hint="eastAsia"/>
          <w:sz w:val="24"/>
          <w:szCs w:val="24"/>
          <w:highlight w:val="none"/>
        </w:rPr>
      </w:pPr>
      <w:r>
        <w:rPr>
          <w:rFonts w:hint="eastAsia"/>
          <w:sz w:val="24"/>
          <w:szCs w:val="24"/>
          <w:highlight w:val="none"/>
          <w:lang w:val="en-US" w:eastAsia="zh-CN"/>
        </w:rPr>
        <w:t>3</w:t>
      </w:r>
      <w:r>
        <w:rPr>
          <w:rFonts w:hint="eastAsia"/>
          <w:sz w:val="24"/>
          <w:szCs w:val="24"/>
          <w:highlight w:val="none"/>
        </w:rPr>
        <w:t>、常频与高频通气可以使用同一呼吸回路，无需更换回路。</w:t>
      </w:r>
    </w:p>
    <w:p>
      <w:pPr>
        <w:keepNext w:val="0"/>
        <w:keepLines w:val="0"/>
        <w:pageBreakBefore w:val="0"/>
        <w:widowControl w:val="0"/>
        <w:kinsoku/>
        <w:wordWrap/>
        <w:overflowPunct/>
        <w:topLinePunct w:val="0"/>
        <w:autoSpaceDE/>
        <w:autoSpaceDN/>
        <w:bidi w:val="0"/>
        <w:spacing w:line="360" w:lineRule="auto"/>
        <w:ind w:left="420" w:hanging="480" w:hangingChars="200"/>
        <w:textAlignment w:val="auto"/>
        <w:rPr>
          <w:rFonts w:hint="eastAsia"/>
          <w:sz w:val="24"/>
          <w:szCs w:val="24"/>
          <w:highlight w:val="none"/>
        </w:rPr>
      </w:pPr>
      <w:r>
        <w:rPr>
          <w:rFonts w:hint="eastAsia"/>
          <w:sz w:val="24"/>
          <w:szCs w:val="24"/>
          <w:highlight w:val="none"/>
          <w:lang w:val="en-US" w:eastAsia="zh-CN"/>
        </w:rPr>
        <w:t>4</w:t>
      </w:r>
      <w:r>
        <w:rPr>
          <w:rFonts w:hint="eastAsia"/>
          <w:sz w:val="24"/>
          <w:szCs w:val="24"/>
          <w:highlight w:val="none"/>
        </w:rPr>
        <w:t>、呼出模块可以拆卸并高温高压消毒。</w:t>
      </w:r>
    </w:p>
    <w:p>
      <w:pPr>
        <w:keepNext w:val="0"/>
        <w:keepLines w:val="0"/>
        <w:pageBreakBefore w:val="0"/>
        <w:widowControl w:val="0"/>
        <w:kinsoku/>
        <w:wordWrap/>
        <w:overflowPunct/>
        <w:topLinePunct w:val="0"/>
        <w:autoSpaceDE/>
        <w:autoSpaceDN/>
        <w:bidi w:val="0"/>
        <w:spacing w:line="360" w:lineRule="auto"/>
        <w:ind w:left="420" w:hanging="480" w:hangingChars="200"/>
        <w:textAlignment w:val="auto"/>
        <w:rPr>
          <w:rFonts w:hint="eastAsia"/>
          <w:sz w:val="24"/>
          <w:szCs w:val="24"/>
          <w:highlight w:val="none"/>
          <w:lang w:val="en-US" w:eastAsia="zh-CN"/>
        </w:rPr>
      </w:pPr>
      <w:r>
        <w:rPr>
          <w:rFonts w:hint="eastAsia"/>
          <w:sz w:val="24"/>
          <w:szCs w:val="24"/>
          <w:highlight w:val="none"/>
          <w:lang w:val="en-US" w:eastAsia="zh-CN"/>
        </w:rPr>
        <w:t>5、患儿近端压力传感器，测量精确。</w:t>
      </w:r>
    </w:p>
    <w:p>
      <w:pPr>
        <w:keepNext w:val="0"/>
        <w:keepLines w:val="0"/>
        <w:pageBreakBefore w:val="0"/>
        <w:widowControl w:val="0"/>
        <w:kinsoku/>
        <w:wordWrap/>
        <w:overflowPunct/>
        <w:topLinePunct w:val="0"/>
        <w:autoSpaceDE/>
        <w:autoSpaceDN/>
        <w:bidi w:val="0"/>
        <w:spacing w:line="360" w:lineRule="auto"/>
        <w:ind w:left="420" w:hanging="480" w:hangingChars="200"/>
        <w:textAlignment w:val="auto"/>
        <w:rPr>
          <w:rFonts w:hint="eastAsia"/>
          <w:sz w:val="24"/>
          <w:szCs w:val="24"/>
          <w:highlight w:val="none"/>
          <w:lang w:val="en-US" w:eastAsia="zh-CN"/>
        </w:rPr>
      </w:pPr>
      <w:r>
        <w:rPr>
          <w:rFonts w:hint="eastAsia"/>
          <w:sz w:val="24"/>
          <w:szCs w:val="24"/>
          <w:highlight w:val="none"/>
          <w:lang w:val="en-US" w:eastAsia="zh-CN"/>
        </w:rPr>
        <w:t>6、配置进口空气压缩机</w:t>
      </w:r>
    </w:p>
    <w:p>
      <w:pPr>
        <w:keepNext w:val="0"/>
        <w:keepLines w:val="0"/>
        <w:pageBreakBefore w:val="0"/>
        <w:widowControl w:val="0"/>
        <w:kinsoku/>
        <w:wordWrap/>
        <w:overflowPunct/>
        <w:topLinePunct w:val="0"/>
        <w:autoSpaceDE/>
        <w:autoSpaceDN/>
        <w:bidi w:val="0"/>
        <w:spacing w:line="360" w:lineRule="auto"/>
        <w:ind w:left="420" w:hanging="480" w:hangingChars="200"/>
        <w:textAlignment w:val="auto"/>
        <w:rPr>
          <w:rFonts w:hint="default"/>
          <w:sz w:val="24"/>
          <w:szCs w:val="24"/>
          <w:highlight w:val="none"/>
          <w:lang w:val="en-US" w:eastAsia="zh-CN"/>
        </w:rPr>
      </w:pPr>
      <w:r>
        <w:rPr>
          <w:rFonts w:hint="eastAsia"/>
          <w:sz w:val="24"/>
          <w:szCs w:val="24"/>
          <w:highlight w:val="none"/>
          <w:lang w:val="en-US" w:eastAsia="zh-CN"/>
        </w:rPr>
        <w:t>7、配置850湿化器</w:t>
      </w:r>
    </w:p>
    <w:p>
      <w:pPr>
        <w:keepNext w:val="0"/>
        <w:keepLines w:val="0"/>
        <w:pageBreakBefore w:val="0"/>
        <w:widowControl w:val="0"/>
        <w:kinsoku/>
        <w:wordWrap/>
        <w:overflowPunct/>
        <w:topLinePunct w:val="0"/>
        <w:autoSpaceDE/>
        <w:autoSpaceDN/>
        <w:bidi w:val="0"/>
        <w:spacing w:line="360" w:lineRule="auto"/>
        <w:ind w:left="420" w:hanging="480" w:hangingChars="200"/>
        <w:textAlignment w:val="auto"/>
        <w:rPr>
          <w:rFonts w:hint="eastAsia"/>
          <w:sz w:val="24"/>
          <w:szCs w:val="24"/>
          <w:highlight w:val="none"/>
          <w:lang w:val="en-US" w:eastAsia="zh-CN"/>
        </w:rPr>
      </w:pPr>
      <w:r>
        <w:rPr>
          <w:rFonts w:hint="eastAsia"/>
          <w:sz w:val="24"/>
          <w:szCs w:val="24"/>
          <w:highlight w:val="none"/>
          <w:lang w:val="en-US" w:eastAsia="zh-CN"/>
        </w:rPr>
        <w:t>8、热敏式流速传感器，近端流速传感器和触发</w:t>
      </w:r>
    </w:p>
    <w:p>
      <w:pPr>
        <w:keepNext w:val="0"/>
        <w:keepLines w:val="0"/>
        <w:pageBreakBefore w:val="0"/>
        <w:widowControl w:val="0"/>
        <w:kinsoku/>
        <w:wordWrap/>
        <w:overflowPunct/>
        <w:topLinePunct w:val="0"/>
        <w:autoSpaceDE/>
        <w:autoSpaceDN/>
        <w:bidi w:val="0"/>
        <w:spacing w:line="360" w:lineRule="auto"/>
        <w:ind w:left="420" w:hanging="480" w:hangingChars="200"/>
        <w:textAlignment w:val="auto"/>
        <w:rPr>
          <w:rFonts w:hint="eastAsia"/>
          <w:sz w:val="24"/>
          <w:szCs w:val="24"/>
          <w:highlight w:val="none"/>
          <w:lang w:val="en-US" w:eastAsia="zh-CN"/>
        </w:rPr>
      </w:pPr>
      <w:r>
        <w:rPr>
          <w:rFonts w:hint="eastAsia"/>
          <w:sz w:val="24"/>
          <w:szCs w:val="24"/>
          <w:highlight w:val="none"/>
          <w:lang w:val="en-US" w:eastAsia="zh-CN"/>
        </w:rPr>
        <w:t>9、具备高频功能CPAP+HFO，和双水平高频CMV+HFO</w:t>
      </w:r>
    </w:p>
    <w:p>
      <w:pPr>
        <w:keepNext w:val="0"/>
        <w:keepLines w:val="0"/>
        <w:pageBreakBefore w:val="0"/>
        <w:widowControl w:val="0"/>
        <w:kinsoku/>
        <w:wordWrap/>
        <w:overflowPunct/>
        <w:topLinePunct w:val="0"/>
        <w:autoSpaceDE/>
        <w:autoSpaceDN/>
        <w:bidi w:val="0"/>
        <w:spacing w:line="360" w:lineRule="auto"/>
        <w:ind w:left="420" w:hanging="480" w:hangingChars="200"/>
        <w:textAlignment w:val="auto"/>
        <w:rPr>
          <w:rFonts w:hint="eastAsia"/>
          <w:sz w:val="24"/>
          <w:szCs w:val="24"/>
          <w:highlight w:val="none"/>
          <w:lang w:val="en-US" w:eastAsia="zh-CN"/>
        </w:rPr>
      </w:pPr>
      <w:r>
        <w:rPr>
          <w:rFonts w:hint="eastAsia"/>
          <w:sz w:val="24"/>
          <w:szCs w:val="24"/>
          <w:highlight w:val="none"/>
          <w:lang w:val="en-US" w:eastAsia="zh-CN"/>
        </w:rPr>
        <w:t>10、交流电/电池≥1小时，电池寿命3-5年</w:t>
      </w:r>
    </w:p>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cs="Times New Roman"/>
          <w:b/>
          <w:sz w:val="24"/>
          <w:szCs w:val="24"/>
          <w:highlight w:val="none"/>
        </w:rPr>
      </w:pPr>
      <w:r>
        <w:rPr>
          <w:rFonts w:hint="eastAsia" w:ascii="Times New Roman" w:hAnsi="Times New Roman" w:cs="Times New Roman"/>
          <w:b/>
          <w:sz w:val="24"/>
          <w:szCs w:val="24"/>
          <w:highlight w:val="none"/>
        </w:rPr>
        <w:t>（二）所具备的通气模式</w:t>
      </w:r>
    </w:p>
    <w:p>
      <w:pPr>
        <w:keepNext w:val="0"/>
        <w:keepLines w:val="0"/>
        <w:pageBreakBefore w:val="0"/>
        <w:widowControl w:val="0"/>
        <w:kinsoku/>
        <w:wordWrap/>
        <w:overflowPunct/>
        <w:topLinePunct w:val="0"/>
        <w:autoSpaceDE/>
        <w:autoSpaceDN/>
        <w:bidi w:val="0"/>
        <w:snapToGrid w:val="0"/>
        <w:spacing w:line="360" w:lineRule="auto"/>
        <w:ind w:left="420" w:hanging="480" w:hangingChars="200"/>
        <w:textAlignment w:val="auto"/>
        <w:rPr>
          <w:rFonts w:hint="eastAsia"/>
          <w:sz w:val="24"/>
          <w:szCs w:val="24"/>
          <w:highlight w:val="none"/>
        </w:rPr>
      </w:pPr>
      <w:r>
        <w:rPr>
          <w:rFonts w:hint="eastAsia"/>
          <w:sz w:val="24"/>
          <w:szCs w:val="32"/>
          <w:highlight w:val="none"/>
        </w:rPr>
        <w:tab/>
      </w:r>
      <w:r>
        <w:rPr>
          <w:rFonts w:hint="eastAsia"/>
          <w:sz w:val="24"/>
          <w:szCs w:val="24"/>
          <w:highlight w:val="none"/>
        </w:rPr>
        <w:t>A/CMV辅助控制通气</w:t>
      </w:r>
      <w:r>
        <w:rPr>
          <w:rFonts w:hint="eastAsia"/>
          <w:sz w:val="24"/>
          <w:szCs w:val="24"/>
          <w:highlight w:val="none"/>
          <w:lang w:eastAsia="zh-CN"/>
        </w:rPr>
        <w:t>、</w:t>
      </w:r>
      <w:r>
        <w:rPr>
          <w:rFonts w:hint="eastAsia"/>
          <w:sz w:val="24"/>
          <w:szCs w:val="24"/>
          <w:highlight w:val="none"/>
        </w:rPr>
        <w:t>PTV自主呼吸通气</w:t>
      </w:r>
      <w:r>
        <w:rPr>
          <w:rFonts w:hint="eastAsia"/>
          <w:sz w:val="24"/>
          <w:szCs w:val="24"/>
          <w:highlight w:val="none"/>
          <w:lang w:eastAsia="zh-CN"/>
        </w:rPr>
        <w:t>、</w:t>
      </w:r>
      <w:r>
        <w:rPr>
          <w:rFonts w:hint="eastAsia"/>
          <w:sz w:val="24"/>
          <w:szCs w:val="24"/>
          <w:highlight w:val="none"/>
        </w:rPr>
        <w:t>SIMV同步间隙指令通气</w:t>
      </w:r>
      <w:r>
        <w:rPr>
          <w:rFonts w:hint="eastAsia"/>
          <w:sz w:val="24"/>
          <w:szCs w:val="24"/>
          <w:highlight w:val="none"/>
          <w:lang w:eastAsia="zh-CN"/>
        </w:rPr>
        <w:t>、</w:t>
      </w:r>
      <w:r>
        <w:rPr>
          <w:rFonts w:hint="eastAsia"/>
          <w:sz w:val="24"/>
          <w:szCs w:val="24"/>
          <w:highlight w:val="none"/>
        </w:rPr>
        <w:t>CPAP持</w:t>
      </w:r>
    </w:p>
    <w:p>
      <w:pPr>
        <w:keepNext w:val="0"/>
        <w:keepLines w:val="0"/>
        <w:pageBreakBefore w:val="0"/>
        <w:widowControl w:val="0"/>
        <w:kinsoku/>
        <w:wordWrap/>
        <w:overflowPunct/>
        <w:topLinePunct w:val="0"/>
        <w:autoSpaceDE/>
        <w:autoSpaceDN/>
        <w:bidi w:val="0"/>
        <w:snapToGrid w:val="0"/>
        <w:spacing w:line="360" w:lineRule="auto"/>
        <w:ind w:left="420" w:hanging="480" w:hangingChars="200"/>
        <w:textAlignment w:val="auto"/>
        <w:rPr>
          <w:rFonts w:hint="eastAsia"/>
          <w:sz w:val="24"/>
          <w:szCs w:val="24"/>
          <w:highlight w:val="none"/>
          <w:lang w:eastAsia="zh-CN"/>
        </w:rPr>
      </w:pPr>
      <w:r>
        <w:rPr>
          <w:rFonts w:hint="eastAsia"/>
          <w:sz w:val="24"/>
          <w:szCs w:val="24"/>
          <w:highlight w:val="none"/>
        </w:rPr>
        <w:t>续气道正压通气</w:t>
      </w:r>
      <w:r>
        <w:rPr>
          <w:rFonts w:hint="eastAsia"/>
          <w:sz w:val="24"/>
          <w:szCs w:val="24"/>
          <w:highlight w:val="none"/>
          <w:lang w:eastAsia="zh-CN"/>
        </w:rPr>
        <w:t>、</w:t>
      </w:r>
      <w:r>
        <w:rPr>
          <w:rFonts w:hint="eastAsia"/>
          <w:sz w:val="24"/>
          <w:szCs w:val="24"/>
          <w:highlight w:val="none"/>
          <w:lang w:val="en-US" w:eastAsia="zh-CN"/>
        </w:rPr>
        <w:t>PSV压力支持通气、</w:t>
      </w:r>
      <w:r>
        <w:rPr>
          <w:rFonts w:hint="eastAsia"/>
          <w:sz w:val="24"/>
          <w:szCs w:val="24"/>
          <w:highlight w:val="none"/>
          <w:lang w:eastAsia="zh-CN"/>
        </w:rPr>
        <w:t>窒息后备通气模式、</w:t>
      </w:r>
      <w:r>
        <w:rPr>
          <w:rFonts w:hint="eastAsia"/>
          <w:sz w:val="24"/>
          <w:szCs w:val="24"/>
          <w:highlight w:val="none"/>
        </w:rPr>
        <w:t>目标容量保证</w:t>
      </w:r>
      <w:r>
        <w:rPr>
          <w:rFonts w:hint="eastAsia"/>
          <w:sz w:val="24"/>
          <w:szCs w:val="24"/>
          <w:highlight w:val="none"/>
          <w:lang w:eastAsia="zh-CN"/>
        </w:rPr>
        <w:t>通气、高频</w:t>
      </w:r>
    </w:p>
    <w:p>
      <w:pPr>
        <w:keepNext w:val="0"/>
        <w:keepLines w:val="0"/>
        <w:pageBreakBefore w:val="0"/>
        <w:widowControl w:val="0"/>
        <w:kinsoku/>
        <w:wordWrap/>
        <w:overflowPunct/>
        <w:topLinePunct w:val="0"/>
        <w:autoSpaceDE/>
        <w:autoSpaceDN/>
        <w:bidi w:val="0"/>
        <w:snapToGrid w:val="0"/>
        <w:spacing w:line="360" w:lineRule="auto"/>
        <w:ind w:left="420" w:hanging="480" w:hangingChars="200"/>
        <w:textAlignment w:val="auto"/>
        <w:rPr>
          <w:rFonts w:hint="eastAsia"/>
          <w:sz w:val="24"/>
          <w:szCs w:val="24"/>
          <w:highlight w:val="none"/>
          <w:lang w:eastAsia="zh-CN"/>
        </w:rPr>
      </w:pPr>
      <w:r>
        <w:rPr>
          <w:rFonts w:hint="eastAsia"/>
          <w:sz w:val="24"/>
          <w:szCs w:val="24"/>
          <w:highlight w:val="none"/>
          <w:lang w:eastAsia="zh-CN"/>
        </w:rPr>
        <w:t>振荡</w:t>
      </w:r>
    </w:p>
    <w:p>
      <w:pPr>
        <w:keepNext w:val="0"/>
        <w:keepLines w:val="0"/>
        <w:pageBreakBefore w:val="0"/>
        <w:widowControl w:val="0"/>
        <w:kinsoku/>
        <w:wordWrap/>
        <w:overflowPunct/>
        <w:topLinePunct w:val="0"/>
        <w:autoSpaceDE/>
        <w:autoSpaceDN/>
        <w:bidi w:val="0"/>
        <w:spacing w:line="360" w:lineRule="auto"/>
        <w:textAlignment w:val="auto"/>
        <w:rPr>
          <w:rFonts w:hint="eastAsia"/>
          <w:b/>
          <w:sz w:val="24"/>
          <w:szCs w:val="24"/>
          <w:highlight w:val="none"/>
        </w:rPr>
      </w:pPr>
      <w:r>
        <w:rPr>
          <w:rFonts w:hint="eastAsia"/>
          <w:b/>
          <w:sz w:val="24"/>
          <w:szCs w:val="24"/>
          <w:highlight w:val="none"/>
        </w:rPr>
        <w:t>（</w:t>
      </w:r>
      <w:r>
        <w:rPr>
          <w:rFonts w:hint="eastAsia"/>
          <w:b/>
          <w:sz w:val="24"/>
          <w:szCs w:val="24"/>
          <w:highlight w:val="none"/>
          <w:lang w:eastAsia="zh-CN"/>
        </w:rPr>
        <w:t>三</w:t>
      </w:r>
      <w:r>
        <w:rPr>
          <w:rFonts w:hint="eastAsia"/>
          <w:b/>
          <w:sz w:val="24"/>
          <w:szCs w:val="24"/>
          <w:highlight w:val="none"/>
        </w:rPr>
        <w:t>）技术</w:t>
      </w:r>
      <w:r>
        <w:rPr>
          <w:rFonts w:hint="eastAsia"/>
          <w:b/>
          <w:sz w:val="24"/>
          <w:szCs w:val="24"/>
          <w:highlight w:val="none"/>
          <w:lang w:eastAsia="zh-CN"/>
        </w:rPr>
        <w:t>参数</w:t>
      </w:r>
      <w:r>
        <w:rPr>
          <w:rFonts w:hint="eastAsia"/>
          <w:b/>
          <w:sz w:val="24"/>
          <w:szCs w:val="24"/>
          <w:highlight w:val="none"/>
        </w:rPr>
        <w:t>要求</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highlight w:val="none"/>
          <w:lang w:eastAsia="zh-CN"/>
        </w:rPr>
      </w:pPr>
      <w:r>
        <w:rPr>
          <w:rFonts w:hint="eastAsia"/>
          <w:sz w:val="24"/>
          <w:szCs w:val="24"/>
          <w:highlight w:val="none"/>
          <w:lang w:val="en-US" w:eastAsia="zh-CN"/>
        </w:rPr>
        <w:t>1</w:t>
      </w:r>
      <w:r>
        <w:rPr>
          <w:rFonts w:hint="eastAsia"/>
          <w:sz w:val="24"/>
          <w:szCs w:val="24"/>
          <w:highlight w:val="none"/>
          <w:lang w:eastAsia="zh-CN"/>
        </w:rPr>
        <w:t>、呼吸频率≥</w:t>
      </w:r>
      <w:r>
        <w:rPr>
          <w:rFonts w:hint="eastAsia"/>
          <w:sz w:val="24"/>
          <w:szCs w:val="24"/>
          <w:highlight w:val="none"/>
          <w:lang w:val="en-US" w:eastAsia="zh-CN"/>
        </w:rPr>
        <w:t>1-150次/分</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highlight w:val="none"/>
          <w:lang w:eastAsia="zh-CN"/>
        </w:rPr>
      </w:pPr>
      <w:r>
        <w:rPr>
          <w:rFonts w:hint="eastAsia"/>
          <w:sz w:val="24"/>
          <w:szCs w:val="24"/>
          <w:highlight w:val="none"/>
          <w:lang w:val="en-US" w:eastAsia="zh-CN"/>
        </w:rPr>
        <w:t>2</w:t>
      </w:r>
      <w:r>
        <w:rPr>
          <w:rFonts w:hint="eastAsia"/>
          <w:sz w:val="24"/>
          <w:szCs w:val="24"/>
          <w:highlight w:val="none"/>
          <w:lang w:eastAsia="zh-CN"/>
        </w:rPr>
        <w:t>、高频振荡频率≥</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lang w:val="en-US" w:eastAsia="zh-CN"/>
        </w:rPr>
        <w:t>15</w:t>
      </w:r>
      <w:r>
        <w:rPr>
          <w:rFonts w:hint="eastAsia"/>
          <w:sz w:val="24"/>
          <w:szCs w:val="24"/>
          <w:highlight w:val="none"/>
          <w:lang w:eastAsia="zh-CN"/>
        </w:rPr>
        <w:t>Hz，避免</w:t>
      </w:r>
      <w:r>
        <w:rPr>
          <w:rFonts w:hint="eastAsia"/>
          <w:sz w:val="24"/>
          <w:szCs w:val="24"/>
          <w:highlight w:val="none"/>
          <w:lang w:val="en-US" w:eastAsia="zh-CN"/>
        </w:rPr>
        <w:t>CO2潴留</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highlight w:val="none"/>
          <w:lang w:eastAsia="zh-CN"/>
        </w:rPr>
      </w:pPr>
      <w:r>
        <w:rPr>
          <w:rFonts w:hint="eastAsia"/>
          <w:sz w:val="24"/>
          <w:szCs w:val="24"/>
          <w:highlight w:val="none"/>
          <w:lang w:val="en-US" w:eastAsia="zh-CN"/>
        </w:rPr>
        <w:t>3、</w:t>
      </w:r>
      <w:r>
        <w:rPr>
          <w:rFonts w:hint="eastAsia"/>
          <w:sz w:val="24"/>
          <w:szCs w:val="24"/>
          <w:highlight w:val="none"/>
          <w:lang w:eastAsia="zh-CN"/>
        </w:rPr>
        <w:t>潮气量≥2-200ml</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highlight w:val="none"/>
          <w:lang w:eastAsia="zh-CN"/>
        </w:rPr>
      </w:pPr>
      <w:r>
        <w:rPr>
          <w:rFonts w:hint="eastAsia"/>
          <w:sz w:val="24"/>
          <w:szCs w:val="24"/>
          <w:highlight w:val="none"/>
          <w:lang w:val="en-US" w:eastAsia="zh-CN"/>
        </w:rPr>
        <w:t>4、</w:t>
      </w:r>
      <w:r>
        <w:rPr>
          <w:rFonts w:hint="eastAsia"/>
          <w:sz w:val="24"/>
          <w:szCs w:val="24"/>
          <w:highlight w:val="none"/>
          <w:lang w:eastAsia="zh-CN"/>
        </w:rPr>
        <w:t>氧浓度：21-100％</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highlight w:val="none"/>
          <w:lang w:eastAsia="zh-CN"/>
        </w:rPr>
      </w:pPr>
      <w:r>
        <w:rPr>
          <w:rFonts w:hint="eastAsia"/>
          <w:sz w:val="24"/>
          <w:szCs w:val="24"/>
          <w:highlight w:val="none"/>
          <w:lang w:val="en-US" w:eastAsia="zh-CN"/>
        </w:rPr>
        <w:t>5、</w:t>
      </w:r>
      <w:r>
        <w:rPr>
          <w:rFonts w:hint="eastAsia"/>
          <w:sz w:val="24"/>
          <w:szCs w:val="24"/>
          <w:highlight w:val="none"/>
          <w:lang w:eastAsia="zh-CN"/>
        </w:rPr>
        <w:t>PEEP≥0-20mbar</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highlight w:val="none"/>
          <w:lang w:eastAsia="zh-CN"/>
        </w:rPr>
      </w:pPr>
      <w:r>
        <w:rPr>
          <w:rFonts w:hint="eastAsia"/>
          <w:sz w:val="24"/>
          <w:szCs w:val="24"/>
          <w:highlight w:val="none"/>
          <w:lang w:val="en-US" w:eastAsia="zh-CN"/>
        </w:rPr>
        <w:t>6、</w:t>
      </w:r>
      <w:r>
        <w:rPr>
          <w:rFonts w:hint="eastAsia"/>
          <w:sz w:val="24"/>
          <w:szCs w:val="24"/>
          <w:highlight w:val="none"/>
          <w:lang w:eastAsia="zh-CN"/>
        </w:rPr>
        <w:t>吸气上升时间频率可调</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highlight w:val="none"/>
          <w:lang w:eastAsia="zh-CN"/>
        </w:rPr>
      </w:pPr>
      <w:r>
        <w:rPr>
          <w:rFonts w:hint="eastAsia"/>
          <w:sz w:val="24"/>
          <w:szCs w:val="24"/>
          <w:highlight w:val="none"/>
          <w:lang w:val="en-US" w:eastAsia="zh-CN"/>
        </w:rPr>
        <w:t>7、具备</w:t>
      </w:r>
      <w:r>
        <w:rPr>
          <w:rFonts w:hint="eastAsia"/>
          <w:sz w:val="24"/>
          <w:szCs w:val="24"/>
          <w:highlight w:val="none"/>
          <w:lang w:eastAsia="zh-CN"/>
        </w:rPr>
        <w:t>压力触发和流量触发</w:t>
      </w:r>
    </w:p>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cs="Times New Roman"/>
          <w:b/>
          <w:sz w:val="24"/>
          <w:szCs w:val="24"/>
          <w:highlight w:val="none"/>
        </w:rPr>
      </w:pPr>
      <w:r>
        <w:rPr>
          <w:rFonts w:hint="eastAsia" w:ascii="Times New Roman" w:hAnsi="Times New Roman" w:cs="Times New Roman"/>
          <w:b/>
          <w:sz w:val="24"/>
          <w:szCs w:val="24"/>
          <w:highlight w:val="none"/>
        </w:rPr>
        <w:t>（</w:t>
      </w:r>
      <w:r>
        <w:rPr>
          <w:rFonts w:hint="eastAsia" w:ascii="Times New Roman" w:hAnsi="Times New Roman" w:cs="Times New Roman"/>
          <w:b/>
          <w:sz w:val="24"/>
          <w:szCs w:val="24"/>
          <w:highlight w:val="none"/>
          <w:lang w:eastAsia="zh-CN"/>
        </w:rPr>
        <w:t>四</w:t>
      </w:r>
      <w:r>
        <w:rPr>
          <w:rFonts w:hint="eastAsia" w:ascii="Times New Roman" w:hAnsi="Times New Roman" w:cs="Times New Roman"/>
          <w:b/>
          <w:sz w:val="24"/>
          <w:szCs w:val="24"/>
          <w:highlight w:val="none"/>
        </w:rPr>
        <w:t>）须具备的监测项目</w:t>
      </w:r>
    </w:p>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一般监测参数：</w:t>
      </w:r>
    </w:p>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分钟通气量、潮气量、呼吸频率</w:t>
      </w:r>
      <w:r>
        <w:rPr>
          <w:rFonts w:hint="eastAsia"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eastAsia="zh-CN"/>
        </w:rPr>
        <w:t>气道压力、平均压、PEEP、持续气流、吸气时间、吸呼比、氧浓度</w:t>
      </w:r>
    </w:p>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cs="Times New Roman"/>
          <w:b/>
          <w:sz w:val="24"/>
          <w:szCs w:val="24"/>
          <w:highlight w:val="none"/>
        </w:rPr>
      </w:pPr>
      <w:r>
        <w:rPr>
          <w:rFonts w:hint="eastAsia" w:ascii="Times New Roman" w:hAnsi="Times New Roman" w:cs="Times New Roman"/>
          <w:b/>
          <w:sz w:val="24"/>
          <w:szCs w:val="24"/>
          <w:highlight w:val="none"/>
        </w:rPr>
        <w:t>（</w:t>
      </w:r>
      <w:r>
        <w:rPr>
          <w:rFonts w:hint="eastAsia" w:ascii="Times New Roman" w:hAnsi="Times New Roman" w:cs="Times New Roman"/>
          <w:b/>
          <w:sz w:val="24"/>
          <w:szCs w:val="24"/>
          <w:highlight w:val="none"/>
          <w:lang w:eastAsia="zh-CN"/>
        </w:rPr>
        <w:t>五</w:t>
      </w:r>
      <w:r>
        <w:rPr>
          <w:rFonts w:hint="eastAsia" w:ascii="Times New Roman" w:hAnsi="Times New Roman" w:cs="Times New Roman"/>
          <w:b/>
          <w:sz w:val="24"/>
          <w:szCs w:val="24"/>
          <w:highlight w:val="none"/>
        </w:rPr>
        <w:t>）呼吸机报警项目</w:t>
      </w:r>
    </w:p>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报警方式：声、光、色报警、文字显示</w:t>
      </w:r>
    </w:p>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报警参数：气道峰压、平均压和气道最低压力，分钟通气量，吸入氧浓度，吸入气体温度，窒息，管道脱落，低电量，气体、电源故障等。</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sz w:val="24"/>
          <w:szCs w:val="32"/>
          <w:highlight w:val="none"/>
        </w:rPr>
      </w:pPr>
    </w:p>
    <w:p>
      <w:pPr>
        <w:pStyle w:val="20"/>
        <w:keepNext w:val="0"/>
        <w:keepLines w:val="0"/>
        <w:pageBreakBefore w:val="0"/>
        <w:widowControl w:val="0"/>
        <w:kinsoku/>
        <w:wordWrap/>
        <w:overflowPunct/>
        <w:topLinePunct w:val="0"/>
        <w:autoSpaceDE/>
        <w:autoSpaceDN/>
        <w:bidi w:val="0"/>
        <w:snapToGrid w:val="0"/>
        <w:spacing w:line="360" w:lineRule="auto"/>
        <w:ind w:left="-77" w:leftChars="-257" w:right="-334" w:rightChars="-159" w:hanging="463" w:hangingChars="192"/>
        <w:textAlignment w:val="auto"/>
        <w:rPr>
          <w:rFonts w:hint="eastAsia" w:ascii="宋体" w:hAnsi="宋体"/>
          <w:b/>
          <w:bCs/>
          <w:sz w:val="24"/>
          <w:szCs w:val="24"/>
          <w:highlight w:val="none"/>
          <w:lang w:eastAsia="zh-CN"/>
        </w:rPr>
      </w:pPr>
    </w:p>
    <w:p>
      <w:pPr>
        <w:pStyle w:val="20"/>
        <w:keepNext w:val="0"/>
        <w:keepLines w:val="0"/>
        <w:pageBreakBefore w:val="0"/>
        <w:widowControl w:val="0"/>
        <w:kinsoku/>
        <w:wordWrap/>
        <w:overflowPunct/>
        <w:topLinePunct w:val="0"/>
        <w:autoSpaceDE/>
        <w:autoSpaceDN/>
        <w:bidi w:val="0"/>
        <w:snapToGrid w:val="0"/>
        <w:spacing w:line="480" w:lineRule="auto"/>
        <w:ind w:left="-540" w:leftChars="-257" w:right="-334" w:rightChars="-159" w:firstLine="420" w:firstLineChars="0"/>
        <w:textAlignment w:val="auto"/>
        <w:rPr>
          <w:rFonts w:hint="eastAsia" w:ascii="宋体" w:hAnsi="宋体"/>
          <w:b/>
          <w:bCs/>
          <w:sz w:val="24"/>
          <w:szCs w:val="24"/>
          <w:highlight w:val="none"/>
          <w:lang w:val="en-US" w:eastAsia="zh-CN"/>
        </w:rPr>
      </w:pPr>
      <w:r>
        <w:rPr>
          <w:rFonts w:hint="eastAsia" w:ascii="宋体" w:hAnsi="宋体"/>
          <w:b/>
          <w:bCs/>
          <w:sz w:val="24"/>
          <w:szCs w:val="24"/>
          <w:highlight w:val="none"/>
          <w:lang w:eastAsia="zh-CN"/>
        </w:rPr>
        <w:t>婴儿、儿童无创呼吸机</w:t>
      </w:r>
      <w:r>
        <w:rPr>
          <w:rFonts w:hint="eastAsia" w:ascii="宋体" w:hAnsi="宋体"/>
          <w:b/>
          <w:bCs/>
          <w:sz w:val="24"/>
          <w:szCs w:val="24"/>
          <w:highlight w:val="none"/>
          <w:lang w:val="en-US" w:eastAsia="zh-CN"/>
        </w:rPr>
        <w:t xml:space="preserve"> 1台 质保≥2年 可采进口</w:t>
      </w:r>
    </w:p>
    <w:p>
      <w:pPr>
        <w:pStyle w:val="20"/>
        <w:keepNext w:val="0"/>
        <w:keepLines w:val="0"/>
        <w:pageBreakBefore w:val="0"/>
        <w:widowControl w:val="0"/>
        <w:numPr>
          <w:ilvl w:val="0"/>
          <w:numId w:val="6"/>
        </w:numPr>
        <w:kinsoku/>
        <w:wordWrap/>
        <w:overflowPunct/>
        <w:topLinePunct w:val="0"/>
        <w:autoSpaceDE/>
        <w:autoSpaceDN/>
        <w:bidi w:val="0"/>
        <w:adjustRightInd w:val="0"/>
        <w:snapToGrid w:val="0"/>
        <w:spacing w:line="480" w:lineRule="auto"/>
        <w:ind w:left="0" w:leftChars="-57" w:right="-334" w:rightChars="-159" w:hanging="120" w:firstLineChars="0"/>
        <w:textAlignment w:val="auto"/>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用于新生儿、小儿无创通气治疗</w:t>
      </w:r>
    </w:p>
    <w:p>
      <w:pPr>
        <w:pStyle w:val="20"/>
        <w:keepNext w:val="0"/>
        <w:keepLines w:val="0"/>
        <w:pageBreakBefore w:val="0"/>
        <w:widowControl w:val="0"/>
        <w:numPr>
          <w:ilvl w:val="0"/>
          <w:numId w:val="6"/>
        </w:numPr>
        <w:kinsoku/>
        <w:wordWrap/>
        <w:overflowPunct/>
        <w:topLinePunct w:val="0"/>
        <w:autoSpaceDE/>
        <w:autoSpaceDN/>
        <w:bidi w:val="0"/>
        <w:adjustRightInd w:val="0"/>
        <w:snapToGrid w:val="0"/>
        <w:spacing w:line="480" w:lineRule="auto"/>
        <w:ind w:left="-199" w:leftChars="-95" w:right="172" w:rightChars="82" w:firstLine="80" w:firstLineChars="0"/>
        <w:textAlignment w:val="auto"/>
        <w:rPr>
          <w:rFonts w:hint="eastAsia" w:ascii="宋体" w:hAnsi="宋体"/>
          <w:b w:val="0"/>
          <w:bCs w:val="0"/>
          <w:color w:val="000000"/>
          <w:sz w:val="24"/>
          <w:szCs w:val="24"/>
          <w:highlight w:val="none"/>
        </w:rPr>
      </w:pPr>
      <w:r>
        <w:rPr>
          <w:rFonts w:hint="eastAsia" w:ascii="宋体" w:hAnsi="宋体"/>
          <w:color w:val="auto"/>
          <w:sz w:val="24"/>
          <w:szCs w:val="24"/>
          <w:highlight w:val="none"/>
        </w:rPr>
        <w:t>无创呼吸机模式：常规NCPAP，</w:t>
      </w:r>
      <w:r>
        <w:rPr>
          <w:rFonts w:hint="eastAsia" w:ascii="宋体" w:hAnsi="宋体"/>
          <w:color w:val="auto"/>
          <w:sz w:val="24"/>
          <w:szCs w:val="24"/>
          <w:highlight w:val="none"/>
          <w:lang w:val="en-US" w:eastAsia="zh-CN"/>
        </w:rPr>
        <w:t>N</w:t>
      </w:r>
      <w:r>
        <w:rPr>
          <w:rFonts w:hint="eastAsia" w:ascii="宋体" w:hAnsi="宋体"/>
          <w:color w:val="auto"/>
          <w:sz w:val="24"/>
          <w:szCs w:val="24"/>
          <w:highlight w:val="none"/>
        </w:rPr>
        <w:t>CPAP+漏气补偿监测</w:t>
      </w:r>
      <w:r>
        <w:rPr>
          <w:rFonts w:hint="eastAsia" w:ascii="宋体" w:hAnsi="宋体"/>
          <w:color w:val="auto"/>
          <w:sz w:val="24"/>
          <w:szCs w:val="24"/>
          <w:highlight w:val="none"/>
          <w:lang w:val="en-US" w:eastAsia="zh-CN"/>
        </w:rPr>
        <w:t xml:space="preserve"> ,NCPAP+窒息，N</w:t>
      </w:r>
      <w:r>
        <w:rPr>
          <w:rFonts w:hint="eastAsia" w:ascii="宋体" w:hAnsi="宋体"/>
          <w:color w:val="auto"/>
          <w:sz w:val="24"/>
          <w:szCs w:val="24"/>
          <w:highlight w:val="none"/>
        </w:rPr>
        <w:t>CPAP窒息后备通气功能，双水平NIPPV</w:t>
      </w:r>
      <w:r>
        <w:rPr>
          <w:rFonts w:hint="eastAsia" w:ascii="宋体" w:hAnsi="宋体"/>
          <w:color w:val="auto"/>
          <w:sz w:val="24"/>
          <w:szCs w:val="24"/>
          <w:highlight w:val="none"/>
          <w:lang w:val="en-US" w:eastAsia="zh-CN"/>
        </w:rPr>
        <w:t>,</w:t>
      </w:r>
      <w:r>
        <w:rPr>
          <w:rFonts w:ascii="宋体" w:hAnsi="宋体"/>
          <w:color w:val="auto"/>
          <w:sz w:val="24"/>
          <w:szCs w:val="24"/>
          <w:highlight w:val="none"/>
        </w:rPr>
        <w:t>SNIPPV</w:t>
      </w:r>
      <w:r>
        <w:rPr>
          <w:rFonts w:hint="eastAsia" w:ascii="宋体" w:hAnsi="宋体" w:cs="Times New Roman"/>
          <w:color w:val="auto"/>
          <w:sz w:val="24"/>
          <w:szCs w:val="24"/>
          <w:highlight w:val="none"/>
        </w:rPr>
        <w:t>同步</w:t>
      </w:r>
      <w:r>
        <w:rPr>
          <w:rFonts w:hint="eastAsia" w:ascii="宋体" w:hAnsi="宋体"/>
          <w:color w:val="auto"/>
          <w:sz w:val="24"/>
          <w:szCs w:val="24"/>
          <w:highlight w:val="none"/>
        </w:rPr>
        <w:t>双</w:t>
      </w:r>
      <w:r>
        <w:rPr>
          <w:rFonts w:hint="eastAsia" w:ascii="宋体" w:hAnsi="宋体"/>
          <w:color w:val="000000"/>
          <w:sz w:val="24"/>
          <w:szCs w:val="24"/>
          <w:highlight w:val="none"/>
        </w:rPr>
        <w:t>水平正压通气</w:t>
      </w:r>
      <w:r>
        <w:rPr>
          <w:rFonts w:hint="eastAsia" w:ascii="宋体" w:hAnsi="宋体"/>
          <w:color w:val="000000"/>
          <w:sz w:val="24"/>
          <w:szCs w:val="24"/>
          <w:highlight w:val="none"/>
          <w:lang w:eastAsia="zh-CN"/>
        </w:rPr>
        <w:t>，</w:t>
      </w:r>
      <w:r>
        <w:rPr>
          <w:rFonts w:ascii="宋体" w:hAnsi="宋体"/>
          <w:color w:val="000000"/>
          <w:sz w:val="24"/>
          <w:szCs w:val="24"/>
          <w:highlight w:val="none"/>
        </w:rPr>
        <w:t>SNIPPV</w:t>
      </w:r>
      <w:r>
        <w:rPr>
          <w:rFonts w:hint="eastAsia" w:ascii="宋体" w:hAnsi="宋体"/>
          <w:color w:val="000000"/>
          <w:sz w:val="24"/>
          <w:szCs w:val="24"/>
          <w:highlight w:val="none"/>
          <w:lang w:val="en-US" w:eastAsia="zh-CN"/>
        </w:rPr>
        <w:t>+NIPPV</w:t>
      </w:r>
      <w:r>
        <w:rPr>
          <w:rFonts w:hint="eastAsia" w:ascii="宋体" w:hAnsi="宋体"/>
          <w:color w:val="000000"/>
          <w:sz w:val="24"/>
          <w:szCs w:val="24"/>
          <w:highlight w:val="none"/>
        </w:rPr>
        <w:t>同步双水平正压通气</w:t>
      </w:r>
      <w:r>
        <w:rPr>
          <w:rFonts w:hint="eastAsia" w:ascii="宋体" w:hAnsi="宋体"/>
          <w:color w:val="000000"/>
          <w:sz w:val="24"/>
          <w:szCs w:val="24"/>
          <w:highlight w:val="none"/>
          <w:lang w:eastAsia="zh-CN"/>
        </w:rPr>
        <w:t>模式加</w:t>
      </w:r>
      <w:r>
        <w:rPr>
          <w:rFonts w:hint="eastAsia" w:ascii="宋体" w:hAnsi="宋体"/>
          <w:color w:val="000000"/>
          <w:sz w:val="24"/>
          <w:szCs w:val="24"/>
          <w:highlight w:val="none"/>
        </w:rPr>
        <w:t>双水平正压通气</w:t>
      </w:r>
      <w:r>
        <w:rPr>
          <w:rFonts w:hint="eastAsia" w:ascii="宋体" w:hAnsi="宋体"/>
          <w:color w:val="000000"/>
          <w:sz w:val="24"/>
          <w:szCs w:val="24"/>
          <w:highlight w:val="none"/>
          <w:lang w:eastAsia="zh-CN"/>
        </w:rPr>
        <w:t>模式互换模式；</w:t>
      </w:r>
      <w:r>
        <w:rPr>
          <w:rFonts w:hint="eastAsia" w:ascii="宋体" w:hAnsi="宋体"/>
          <w:color w:val="000000"/>
          <w:sz w:val="24"/>
          <w:szCs w:val="24"/>
          <w:highlight w:val="none"/>
          <w:lang w:val="en-US" w:eastAsia="zh-CN"/>
        </w:rPr>
        <w:t>辅助模式，高流量氧疗通气模式、安全模式、待机模式、手动增压。</w:t>
      </w:r>
    </w:p>
    <w:p>
      <w:pPr>
        <w:pStyle w:val="20"/>
        <w:keepNext w:val="0"/>
        <w:keepLines w:val="0"/>
        <w:pageBreakBefore w:val="0"/>
        <w:widowControl w:val="0"/>
        <w:numPr>
          <w:ilvl w:val="0"/>
          <w:numId w:val="6"/>
        </w:numPr>
        <w:kinsoku/>
        <w:wordWrap/>
        <w:overflowPunct/>
        <w:topLinePunct w:val="0"/>
        <w:autoSpaceDE/>
        <w:autoSpaceDN/>
        <w:bidi w:val="0"/>
        <w:adjustRightInd w:val="0"/>
        <w:snapToGrid w:val="0"/>
        <w:spacing w:line="480" w:lineRule="auto"/>
        <w:ind w:left="-540" w:leftChars="-257" w:right="-334" w:rightChars="-159" w:firstLine="420" w:firstLineChars="0"/>
        <w:textAlignment w:val="auto"/>
        <w:rPr>
          <w:rFonts w:hint="eastAsia" w:ascii="宋体" w:hAnsi="宋体"/>
          <w:sz w:val="24"/>
          <w:szCs w:val="24"/>
          <w:highlight w:val="none"/>
        </w:rPr>
      </w:pPr>
      <w:r>
        <w:rPr>
          <w:rFonts w:hint="eastAsia" w:ascii="宋体" w:hAnsi="宋体"/>
          <w:sz w:val="24"/>
          <w:szCs w:val="24"/>
          <w:highlight w:val="none"/>
        </w:rPr>
        <w:t>具有内置空气/氧气混合功能，输出氧浓度范围21-100%</w:t>
      </w:r>
    </w:p>
    <w:p>
      <w:pPr>
        <w:pStyle w:val="20"/>
        <w:keepNext w:val="0"/>
        <w:keepLines w:val="0"/>
        <w:pageBreakBefore w:val="0"/>
        <w:widowControl w:val="0"/>
        <w:numPr>
          <w:ilvl w:val="0"/>
          <w:numId w:val="6"/>
        </w:numPr>
        <w:kinsoku/>
        <w:wordWrap/>
        <w:overflowPunct/>
        <w:topLinePunct w:val="0"/>
        <w:autoSpaceDE/>
        <w:autoSpaceDN/>
        <w:bidi w:val="0"/>
        <w:adjustRightInd w:val="0"/>
        <w:snapToGrid w:val="0"/>
        <w:spacing w:line="480" w:lineRule="auto"/>
        <w:ind w:left="-540" w:leftChars="-257" w:right="-334" w:rightChars="-159" w:firstLine="420" w:firstLineChars="0"/>
        <w:textAlignment w:val="auto"/>
        <w:rPr>
          <w:rFonts w:hint="eastAsia" w:ascii="宋体" w:hAnsi="宋体"/>
          <w:sz w:val="24"/>
          <w:szCs w:val="24"/>
          <w:highlight w:val="none"/>
        </w:rPr>
      </w:pPr>
      <w:r>
        <w:rPr>
          <w:rFonts w:hint="eastAsia" w:ascii="宋体" w:hAnsi="宋体"/>
          <w:sz w:val="24"/>
          <w:szCs w:val="24"/>
          <w:highlight w:val="none"/>
        </w:rPr>
        <w:t>具有内置式氧浓度监测功能</w:t>
      </w:r>
    </w:p>
    <w:p>
      <w:pPr>
        <w:pStyle w:val="20"/>
        <w:keepNext w:val="0"/>
        <w:keepLines w:val="0"/>
        <w:pageBreakBefore w:val="0"/>
        <w:widowControl w:val="0"/>
        <w:numPr>
          <w:ilvl w:val="0"/>
          <w:numId w:val="6"/>
        </w:numPr>
        <w:kinsoku/>
        <w:wordWrap/>
        <w:overflowPunct/>
        <w:topLinePunct w:val="0"/>
        <w:autoSpaceDE/>
        <w:autoSpaceDN/>
        <w:bidi w:val="0"/>
        <w:adjustRightInd w:val="0"/>
        <w:snapToGrid w:val="0"/>
        <w:spacing w:line="480" w:lineRule="auto"/>
        <w:ind w:left="-540" w:leftChars="-257" w:right="-334" w:rightChars="-159" w:firstLine="420" w:firstLineChars="0"/>
        <w:textAlignment w:val="auto"/>
        <w:rPr>
          <w:rFonts w:hint="eastAsia" w:ascii="宋体" w:hAnsi="宋体"/>
          <w:color w:val="auto"/>
          <w:sz w:val="24"/>
          <w:szCs w:val="24"/>
          <w:highlight w:val="none"/>
        </w:rPr>
      </w:pPr>
      <w:r>
        <w:rPr>
          <w:rFonts w:hint="eastAsia" w:ascii="宋体" w:hAnsi="宋体"/>
          <w:color w:val="auto"/>
          <w:sz w:val="24"/>
          <w:szCs w:val="24"/>
          <w:highlight w:val="none"/>
        </w:rPr>
        <w:t>具有氧浓度偏离报警，保证对婴幼儿使用氧的安全性</w:t>
      </w:r>
    </w:p>
    <w:p>
      <w:pPr>
        <w:pStyle w:val="20"/>
        <w:keepNext w:val="0"/>
        <w:keepLines w:val="0"/>
        <w:pageBreakBefore w:val="0"/>
        <w:widowControl w:val="0"/>
        <w:numPr>
          <w:ilvl w:val="0"/>
          <w:numId w:val="6"/>
        </w:numPr>
        <w:kinsoku/>
        <w:wordWrap/>
        <w:overflowPunct/>
        <w:topLinePunct w:val="0"/>
        <w:autoSpaceDE/>
        <w:autoSpaceDN/>
        <w:bidi w:val="0"/>
        <w:adjustRightInd w:val="0"/>
        <w:snapToGrid w:val="0"/>
        <w:spacing w:line="480" w:lineRule="auto"/>
        <w:ind w:left="-199" w:leftChars="-95" w:right="172" w:rightChars="82" w:firstLine="80" w:firstLineChars="0"/>
        <w:textAlignment w:val="auto"/>
        <w:rPr>
          <w:rFonts w:hint="eastAsia" w:ascii="宋体" w:hAnsi="宋体"/>
          <w:color w:val="auto"/>
          <w:sz w:val="24"/>
          <w:szCs w:val="24"/>
          <w:highlight w:val="none"/>
        </w:rPr>
      </w:pPr>
      <w:r>
        <w:rPr>
          <w:rFonts w:hint="eastAsia" w:ascii="宋体" w:hAnsi="宋体"/>
          <w:color w:val="auto"/>
          <w:sz w:val="24"/>
          <w:szCs w:val="24"/>
          <w:highlight w:val="none"/>
        </w:rPr>
        <w:t>病人近端鼻腔处电子压力监测，监测范围为新生儿无创使用范围</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2-15</w:t>
      </w:r>
      <w:r>
        <w:rPr>
          <w:rFonts w:hint="eastAsia" w:ascii="宋体" w:hAnsi="宋体"/>
          <w:color w:val="auto"/>
          <w:sz w:val="24"/>
          <w:szCs w:val="24"/>
          <w:highlight w:val="none"/>
        </w:rPr>
        <w:t>cmH2O,并具有压力高、低报警，可独立设置高压力及低压力报警范围</w:t>
      </w:r>
    </w:p>
    <w:p>
      <w:pPr>
        <w:pStyle w:val="20"/>
        <w:keepNext w:val="0"/>
        <w:keepLines w:val="0"/>
        <w:pageBreakBefore w:val="0"/>
        <w:widowControl w:val="0"/>
        <w:numPr>
          <w:ilvl w:val="0"/>
          <w:numId w:val="6"/>
        </w:numPr>
        <w:kinsoku/>
        <w:wordWrap/>
        <w:overflowPunct/>
        <w:topLinePunct w:val="0"/>
        <w:autoSpaceDE/>
        <w:autoSpaceDN/>
        <w:bidi w:val="0"/>
        <w:adjustRightInd w:val="0"/>
        <w:snapToGrid w:val="0"/>
        <w:spacing w:line="480" w:lineRule="auto"/>
        <w:ind w:left="-540" w:leftChars="-257" w:right="-334" w:rightChars="-159" w:firstLine="420" w:firstLineChars="0"/>
        <w:textAlignment w:val="auto"/>
        <w:rPr>
          <w:rFonts w:hint="eastAsia" w:ascii="宋体" w:hAnsi="宋体"/>
          <w:color w:val="auto"/>
          <w:sz w:val="24"/>
          <w:szCs w:val="24"/>
          <w:highlight w:val="none"/>
        </w:rPr>
      </w:pPr>
      <w:r>
        <w:rPr>
          <w:rFonts w:hint="eastAsia" w:ascii="宋体" w:hAnsi="宋体"/>
          <w:color w:val="auto"/>
          <w:sz w:val="24"/>
          <w:szCs w:val="24"/>
          <w:highlight w:val="none"/>
        </w:rPr>
        <w:t>流量控制范围</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0-15</w:t>
      </w:r>
      <w:r>
        <w:rPr>
          <w:rFonts w:hint="eastAsia" w:ascii="宋体" w:hAnsi="宋体"/>
          <w:color w:val="auto"/>
          <w:sz w:val="24"/>
          <w:szCs w:val="24"/>
          <w:highlight w:val="none"/>
        </w:rPr>
        <w:t>升/分</w:t>
      </w:r>
    </w:p>
    <w:p>
      <w:pPr>
        <w:pStyle w:val="20"/>
        <w:keepNext w:val="0"/>
        <w:keepLines w:val="0"/>
        <w:pageBreakBefore w:val="0"/>
        <w:widowControl w:val="0"/>
        <w:numPr>
          <w:ilvl w:val="0"/>
          <w:numId w:val="6"/>
        </w:numPr>
        <w:kinsoku/>
        <w:wordWrap/>
        <w:overflowPunct/>
        <w:topLinePunct w:val="0"/>
        <w:autoSpaceDE/>
        <w:autoSpaceDN/>
        <w:bidi w:val="0"/>
        <w:adjustRightInd w:val="0"/>
        <w:snapToGrid w:val="0"/>
        <w:spacing w:line="480" w:lineRule="auto"/>
        <w:ind w:left="-540" w:leftChars="-257" w:right="-334" w:rightChars="-159" w:firstLine="420" w:firstLineChars="0"/>
        <w:textAlignment w:val="auto"/>
        <w:rPr>
          <w:rFonts w:hint="eastAsia" w:ascii="宋体" w:hAnsi="宋体"/>
          <w:color w:val="auto"/>
          <w:sz w:val="24"/>
          <w:szCs w:val="24"/>
          <w:highlight w:val="none"/>
        </w:rPr>
      </w:pPr>
      <w:r>
        <w:rPr>
          <w:rFonts w:hint="eastAsia" w:ascii="宋体" w:hAnsi="宋体"/>
          <w:color w:val="auto"/>
          <w:sz w:val="24"/>
          <w:szCs w:val="24"/>
          <w:highlight w:val="none"/>
        </w:rPr>
        <w:t>配有原厂婴幼儿专用各种规格</w:t>
      </w:r>
      <w:r>
        <w:rPr>
          <w:rFonts w:hint="eastAsia" w:ascii="宋体" w:hAnsi="宋体"/>
          <w:color w:val="auto"/>
          <w:sz w:val="24"/>
          <w:szCs w:val="24"/>
          <w:highlight w:val="none"/>
          <w:lang w:eastAsia="zh-CN"/>
        </w:rPr>
        <w:t>的配套耗材</w:t>
      </w:r>
    </w:p>
    <w:p>
      <w:pPr>
        <w:pStyle w:val="20"/>
        <w:keepNext w:val="0"/>
        <w:keepLines w:val="0"/>
        <w:pageBreakBefore w:val="0"/>
        <w:widowControl w:val="0"/>
        <w:numPr>
          <w:ilvl w:val="0"/>
          <w:numId w:val="6"/>
        </w:numPr>
        <w:kinsoku/>
        <w:wordWrap/>
        <w:overflowPunct/>
        <w:topLinePunct w:val="0"/>
        <w:autoSpaceDE/>
        <w:autoSpaceDN/>
        <w:bidi w:val="0"/>
        <w:adjustRightInd w:val="0"/>
        <w:snapToGrid w:val="0"/>
        <w:spacing w:line="480" w:lineRule="auto"/>
        <w:ind w:left="-540" w:leftChars="-257" w:right="-334" w:rightChars="-159" w:firstLine="420" w:firstLineChars="0"/>
        <w:textAlignment w:val="auto"/>
        <w:rPr>
          <w:rFonts w:hint="eastAsia" w:ascii="宋体" w:hAnsi="宋体"/>
          <w:color w:val="auto"/>
          <w:sz w:val="24"/>
          <w:szCs w:val="24"/>
          <w:highlight w:val="none"/>
        </w:rPr>
      </w:pPr>
      <w:r>
        <w:rPr>
          <w:rFonts w:hint="eastAsia" w:ascii="宋体" w:hAnsi="宋体"/>
          <w:color w:val="auto"/>
          <w:sz w:val="24"/>
          <w:szCs w:val="24"/>
          <w:highlight w:val="none"/>
        </w:rPr>
        <w:t>具有呼吸暂停监测，并有窒息后备通气</w:t>
      </w:r>
    </w:p>
    <w:p>
      <w:pPr>
        <w:pStyle w:val="20"/>
        <w:keepNext w:val="0"/>
        <w:keepLines w:val="0"/>
        <w:pageBreakBefore w:val="0"/>
        <w:widowControl w:val="0"/>
        <w:numPr>
          <w:ilvl w:val="0"/>
          <w:numId w:val="6"/>
        </w:numPr>
        <w:kinsoku/>
        <w:wordWrap/>
        <w:overflowPunct/>
        <w:topLinePunct w:val="0"/>
        <w:autoSpaceDE/>
        <w:autoSpaceDN/>
        <w:bidi w:val="0"/>
        <w:adjustRightInd w:val="0"/>
        <w:snapToGrid w:val="0"/>
        <w:spacing w:line="480" w:lineRule="auto"/>
        <w:ind w:left="-540" w:leftChars="-257" w:right="-334" w:rightChars="-159" w:firstLine="420" w:firstLineChars="0"/>
        <w:textAlignment w:val="auto"/>
        <w:rPr>
          <w:rFonts w:hint="eastAsia" w:ascii="宋体" w:hAnsi="宋体"/>
          <w:color w:val="auto"/>
          <w:sz w:val="24"/>
          <w:szCs w:val="24"/>
          <w:highlight w:val="none"/>
        </w:rPr>
      </w:pPr>
      <w:r>
        <w:rPr>
          <w:rFonts w:hint="eastAsia" w:ascii="宋体" w:hAnsi="宋体"/>
          <w:color w:val="auto"/>
          <w:sz w:val="24"/>
          <w:szCs w:val="24"/>
          <w:highlight w:val="none"/>
        </w:rPr>
        <w:t>实时监测CPAP（PEEP），呼吸频率，增压频率，平均气道压力，峰压的数据</w:t>
      </w:r>
      <w:r>
        <w:rPr>
          <w:rFonts w:hint="eastAsia" w:ascii="宋体" w:hAnsi="宋体"/>
          <w:color w:val="auto"/>
          <w:sz w:val="24"/>
          <w:szCs w:val="24"/>
          <w:highlight w:val="none"/>
          <w:lang w:eastAsia="zh-CN"/>
        </w:rPr>
        <w:t>等</w:t>
      </w:r>
    </w:p>
    <w:p>
      <w:pPr>
        <w:pStyle w:val="20"/>
        <w:keepNext w:val="0"/>
        <w:keepLines w:val="0"/>
        <w:pageBreakBefore w:val="0"/>
        <w:widowControl w:val="0"/>
        <w:numPr>
          <w:ilvl w:val="0"/>
          <w:numId w:val="6"/>
        </w:numPr>
        <w:kinsoku/>
        <w:wordWrap/>
        <w:overflowPunct/>
        <w:topLinePunct w:val="0"/>
        <w:autoSpaceDE/>
        <w:autoSpaceDN/>
        <w:bidi w:val="0"/>
        <w:adjustRightInd w:val="0"/>
        <w:snapToGrid w:val="0"/>
        <w:spacing w:line="480" w:lineRule="auto"/>
        <w:ind w:left="-540" w:leftChars="-257" w:right="-334" w:rightChars="-159" w:firstLine="420" w:firstLineChars="0"/>
        <w:textAlignment w:val="auto"/>
        <w:rPr>
          <w:rFonts w:hint="eastAsia" w:ascii="宋体" w:hAnsi="宋体"/>
          <w:color w:val="auto"/>
          <w:sz w:val="24"/>
          <w:szCs w:val="24"/>
          <w:highlight w:val="none"/>
        </w:rPr>
      </w:pPr>
      <w:r>
        <w:rPr>
          <w:rFonts w:hint="eastAsia" w:ascii="宋体" w:hAnsi="宋体"/>
          <w:color w:val="auto"/>
          <w:sz w:val="24"/>
          <w:szCs w:val="24"/>
          <w:highlight w:val="none"/>
        </w:rPr>
        <w:t>具有彩色屏幕，显示实时监测波形</w:t>
      </w:r>
      <w:r>
        <w:rPr>
          <w:rFonts w:hint="eastAsia" w:ascii="宋体" w:hAnsi="宋体"/>
          <w:color w:val="auto"/>
          <w:sz w:val="24"/>
          <w:szCs w:val="24"/>
          <w:highlight w:val="none"/>
          <w:lang w:eastAsia="zh-CN"/>
        </w:rPr>
        <w:t>曲线</w:t>
      </w:r>
    </w:p>
    <w:p>
      <w:pPr>
        <w:pStyle w:val="20"/>
        <w:keepNext w:val="0"/>
        <w:keepLines w:val="0"/>
        <w:pageBreakBefore w:val="0"/>
        <w:widowControl w:val="0"/>
        <w:numPr>
          <w:ilvl w:val="0"/>
          <w:numId w:val="6"/>
        </w:numPr>
        <w:kinsoku/>
        <w:wordWrap/>
        <w:overflowPunct/>
        <w:topLinePunct w:val="0"/>
        <w:autoSpaceDE/>
        <w:autoSpaceDN/>
        <w:bidi w:val="0"/>
        <w:adjustRightInd w:val="0"/>
        <w:snapToGrid w:val="0"/>
        <w:spacing w:line="480" w:lineRule="auto"/>
        <w:ind w:left="-540" w:leftChars="-257" w:right="-334" w:rightChars="-159" w:firstLine="420" w:firstLineChars="0"/>
        <w:textAlignment w:val="auto"/>
        <w:rPr>
          <w:rFonts w:hint="eastAsia" w:ascii="宋体" w:hAnsi="宋体"/>
          <w:color w:val="auto"/>
          <w:sz w:val="24"/>
          <w:szCs w:val="24"/>
          <w:highlight w:val="none"/>
        </w:rPr>
      </w:pPr>
      <w:r>
        <w:rPr>
          <w:rFonts w:hint="eastAsia" w:ascii="宋体" w:hAnsi="宋体" w:cs="宋体"/>
          <w:color w:val="auto"/>
          <w:sz w:val="24"/>
          <w:szCs w:val="24"/>
          <w:highlight w:val="none"/>
        </w:rPr>
        <w:t>安全限制阀：压力超过</w:t>
      </w:r>
      <w:r>
        <w:rPr>
          <w:rFonts w:hint="eastAsia" w:ascii="宋体" w:hAnsi="宋体" w:cs="宋体"/>
          <w:color w:val="auto"/>
          <w:sz w:val="24"/>
          <w:szCs w:val="24"/>
          <w:highlight w:val="none"/>
          <w:lang w:eastAsia="zh-CN"/>
        </w:rPr>
        <w:t>限定值</w:t>
      </w:r>
      <w:r>
        <w:rPr>
          <w:rFonts w:hint="eastAsia" w:ascii="宋体" w:hAnsi="宋体" w:cs="宋体"/>
          <w:color w:val="auto"/>
          <w:sz w:val="24"/>
          <w:szCs w:val="24"/>
          <w:highlight w:val="none"/>
        </w:rPr>
        <w:t>则停止送气</w:t>
      </w:r>
    </w:p>
    <w:p>
      <w:pPr>
        <w:pStyle w:val="20"/>
        <w:keepNext w:val="0"/>
        <w:keepLines w:val="0"/>
        <w:pageBreakBefore w:val="0"/>
        <w:widowControl w:val="0"/>
        <w:numPr>
          <w:ilvl w:val="0"/>
          <w:numId w:val="6"/>
        </w:numPr>
        <w:kinsoku/>
        <w:wordWrap/>
        <w:overflowPunct/>
        <w:topLinePunct w:val="0"/>
        <w:autoSpaceDE/>
        <w:autoSpaceDN/>
        <w:bidi w:val="0"/>
        <w:adjustRightInd w:val="0"/>
        <w:snapToGrid w:val="0"/>
        <w:spacing w:line="480" w:lineRule="auto"/>
        <w:ind w:left="-540" w:leftChars="-257" w:right="-334" w:rightChars="-159" w:firstLine="420" w:firstLineChars="0"/>
        <w:textAlignment w:val="auto"/>
        <w:rPr>
          <w:rFonts w:hint="eastAsia" w:ascii="宋体" w:hAnsi="宋体"/>
          <w:color w:val="auto"/>
          <w:sz w:val="24"/>
          <w:szCs w:val="24"/>
          <w:highlight w:val="none"/>
        </w:rPr>
      </w:pPr>
      <w:r>
        <w:rPr>
          <w:rFonts w:hint="eastAsia" w:ascii="宋体" w:hAnsi="宋体"/>
          <w:bCs/>
          <w:color w:val="auto"/>
          <w:sz w:val="24"/>
          <w:szCs w:val="24"/>
          <w:highlight w:val="none"/>
          <w:lang w:val="zh-CN"/>
        </w:rPr>
        <w:t>高流量吸氧操作：至少10% 20% 30% 100%可选</w:t>
      </w:r>
    </w:p>
    <w:p>
      <w:pPr>
        <w:pStyle w:val="20"/>
        <w:keepNext w:val="0"/>
        <w:keepLines w:val="0"/>
        <w:pageBreakBefore w:val="0"/>
        <w:widowControl w:val="0"/>
        <w:numPr>
          <w:ilvl w:val="0"/>
          <w:numId w:val="6"/>
        </w:numPr>
        <w:kinsoku/>
        <w:wordWrap/>
        <w:overflowPunct/>
        <w:topLinePunct w:val="0"/>
        <w:autoSpaceDE/>
        <w:autoSpaceDN/>
        <w:bidi w:val="0"/>
        <w:adjustRightInd w:val="0"/>
        <w:snapToGrid w:val="0"/>
        <w:spacing w:line="480" w:lineRule="auto"/>
        <w:ind w:left="-540" w:leftChars="-257" w:right="-334" w:rightChars="-159" w:firstLine="420" w:firstLineChars="0"/>
        <w:textAlignment w:val="auto"/>
        <w:rPr>
          <w:rFonts w:hint="eastAsia" w:ascii="宋体" w:hAnsi="宋体"/>
          <w:color w:val="auto"/>
          <w:sz w:val="24"/>
          <w:szCs w:val="24"/>
          <w:highlight w:val="none"/>
        </w:rPr>
      </w:pPr>
      <w:r>
        <w:rPr>
          <w:rFonts w:hint="eastAsia" w:ascii="宋体" w:hAnsi="宋体"/>
          <w:bCs/>
          <w:color w:val="auto"/>
          <w:sz w:val="24"/>
          <w:szCs w:val="24"/>
          <w:highlight w:val="none"/>
          <w:lang w:val="zh-CN"/>
        </w:rPr>
        <w:t>吸气相、呼气相由病人自主呼吸自动切换</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leftChars="-257" w:right="-334" w:rightChars="-159" w:firstLine="480" w:firstLineChars="200"/>
        <w:textAlignment w:val="auto"/>
        <w:rPr>
          <w:rFonts w:hint="eastAsia" w:ascii="宋体" w:hAnsi="宋体"/>
          <w:strike/>
          <w:dstrike w:val="0"/>
          <w:color w:val="000000" w:themeColor="text1"/>
          <w:sz w:val="24"/>
          <w:szCs w:val="24"/>
          <w:highlight w:val="none"/>
        </w:rPr>
      </w:pPr>
      <w:r>
        <w:rPr>
          <w:rFonts w:hint="eastAsia" w:ascii="宋体" w:hAnsi="宋体"/>
          <w:bCs/>
          <w:strike w:val="0"/>
          <w:dstrike w:val="0"/>
          <w:color w:val="000000" w:themeColor="text1"/>
          <w:sz w:val="24"/>
          <w:szCs w:val="24"/>
          <w:highlight w:val="none"/>
          <w:lang w:val="en-US" w:eastAsia="zh-CN"/>
        </w:rPr>
        <w:t>15、配置进口空气压缩机</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right="-334" w:rightChars="-159"/>
        <w:jc w:val="both"/>
        <w:textAlignment w:val="auto"/>
        <w:rPr>
          <w:rFonts w:hint="eastAsia" w:ascii="宋体" w:hAnsi="宋体"/>
          <w:bCs/>
          <w:color w:val="auto"/>
          <w:sz w:val="24"/>
          <w:szCs w:val="24"/>
          <w:highlight w:val="none"/>
          <w:lang w:val="zh-CN"/>
        </w:rPr>
      </w:pPr>
    </w:p>
    <w:p>
      <w:pPr>
        <w:keepNext w:val="0"/>
        <w:keepLines w:val="0"/>
        <w:pageBreakBefore w:val="0"/>
        <w:widowControl w:val="0"/>
        <w:kinsoku/>
        <w:wordWrap/>
        <w:overflowPunct/>
        <w:topLinePunct w:val="0"/>
        <w:autoSpaceDE/>
        <w:autoSpaceDN/>
        <w:bidi w:val="0"/>
        <w:snapToGrid w:val="0"/>
        <w:spacing w:line="480" w:lineRule="auto"/>
        <w:textAlignment w:val="auto"/>
        <w:rPr>
          <w:rFonts w:hint="default" w:eastAsia="宋体"/>
          <w:b/>
          <w:bCs/>
          <w:sz w:val="24"/>
          <w:szCs w:val="24"/>
          <w:highlight w:val="none"/>
          <w:lang w:val="en-US" w:eastAsia="zh-CN"/>
        </w:rPr>
      </w:pPr>
      <w:r>
        <w:rPr>
          <w:rFonts w:hint="eastAsia"/>
          <w:b/>
          <w:bCs/>
          <w:sz w:val="24"/>
          <w:szCs w:val="24"/>
          <w:highlight w:val="none"/>
          <w:lang w:eastAsia="zh-CN"/>
        </w:rPr>
        <w:t>儿童呼吸机</w:t>
      </w:r>
      <w:r>
        <w:rPr>
          <w:rFonts w:hint="eastAsia"/>
          <w:b/>
          <w:bCs/>
          <w:sz w:val="24"/>
          <w:szCs w:val="24"/>
          <w:highlight w:val="none"/>
          <w:lang w:val="en-US" w:eastAsia="zh-CN"/>
        </w:rPr>
        <w:t xml:space="preserve"> 2台 质保≥2年 可采进口</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jc w:val="both"/>
        <w:textAlignment w:val="auto"/>
        <w:outlineLvl w:val="9"/>
        <w:rPr>
          <w:rFonts w:hint="eastAsia" w:ascii="宋体" w:hAnsi="宋体"/>
          <w:sz w:val="24"/>
          <w:szCs w:val="24"/>
          <w:highlight w:val="none"/>
          <w:u w:val="none"/>
        </w:rPr>
      </w:pPr>
      <w:r>
        <w:rPr>
          <w:rFonts w:hint="eastAsia" w:ascii="宋体" w:hAnsi="宋体"/>
          <w:sz w:val="24"/>
          <w:szCs w:val="24"/>
          <w:highlight w:val="none"/>
          <w:u w:val="none"/>
          <w:lang w:eastAsia="zh-CN"/>
        </w:rPr>
        <w:t>一、彩色触摸屏</w:t>
      </w:r>
      <w:r>
        <w:rPr>
          <w:rFonts w:hint="eastAsia" w:ascii="宋体" w:hAnsi="宋体" w:cs="宋体"/>
          <w:bCs/>
          <w:sz w:val="24"/>
          <w:szCs w:val="24"/>
          <w:highlight w:val="none"/>
          <w:u w:val="none"/>
        </w:rPr>
        <w:t>≥</w:t>
      </w:r>
      <w:r>
        <w:rPr>
          <w:rFonts w:hint="eastAsia" w:ascii="宋体" w:hAnsi="宋体" w:cs="宋体"/>
          <w:bCs/>
          <w:color w:val="000000"/>
          <w:sz w:val="24"/>
          <w:szCs w:val="24"/>
          <w:highlight w:val="none"/>
          <w:u w:val="none"/>
        </w:rPr>
        <w:t xml:space="preserve"> </w:t>
      </w:r>
      <w:r>
        <w:rPr>
          <w:rFonts w:hint="eastAsia"/>
          <w:sz w:val="24"/>
          <w:szCs w:val="24"/>
          <w:highlight w:val="none"/>
          <w:u w:val="none"/>
        </w:rPr>
        <w:t>1</w:t>
      </w:r>
      <w:r>
        <w:rPr>
          <w:rFonts w:hint="eastAsia"/>
          <w:sz w:val="24"/>
          <w:szCs w:val="24"/>
          <w:highlight w:val="none"/>
          <w:u w:val="none"/>
          <w:lang w:val="en-US" w:eastAsia="zh-CN"/>
        </w:rPr>
        <w:t>2</w:t>
      </w:r>
      <w:r>
        <w:rPr>
          <w:rFonts w:hint="eastAsia"/>
          <w:sz w:val="24"/>
          <w:szCs w:val="24"/>
          <w:highlight w:val="none"/>
          <w:u w:val="none"/>
          <w:lang w:eastAsia="zh-CN"/>
        </w:rPr>
        <w:t>英寸，</w:t>
      </w:r>
      <w:r>
        <w:rPr>
          <w:rFonts w:hint="eastAsia"/>
          <w:sz w:val="24"/>
          <w:szCs w:val="24"/>
          <w:highlight w:val="none"/>
          <w:u w:val="none"/>
          <w:lang w:val="en-US" w:eastAsia="zh-CN"/>
        </w:rPr>
        <w:t>超静音</w:t>
      </w:r>
      <w:r>
        <w:rPr>
          <w:rFonts w:hint="eastAsia" w:ascii="宋体" w:hAnsi="宋体"/>
          <w:sz w:val="24"/>
          <w:szCs w:val="24"/>
          <w:highlight w:val="none"/>
          <w:u w:val="none"/>
          <w:lang w:eastAsia="zh-CN"/>
        </w:rPr>
        <w:t>涡轮供气，可连接中心压缩空气。</w:t>
      </w:r>
    </w:p>
    <w:p>
      <w:pPr>
        <w:keepNext w:val="0"/>
        <w:keepLines w:val="0"/>
        <w:pageBreakBefore w:val="0"/>
        <w:widowControl w:val="0"/>
        <w:numPr>
          <w:ilvl w:val="0"/>
          <w:numId w:val="7"/>
        </w:numPr>
        <w:kinsoku/>
        <w:wordWrap/>
        <w:overflowPunct/>
        <w:topLinePunct w:val="0"/>
        <w:autoSpaceDE/>
        <w:autoSpaceDN/>
        <w:bidi w:val="0"/>
        <w:adjustRightInd w:val="0"/>
        <w:snapToGrid w:val="0"/>
        <w:spacing w:line="480" w:lineRule="auto"/>
        <w:ind w:right="0" w:rightChars="0"/>
        <w:jc w:val="both"/>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rPr>
        <w:t>适用范围：</w:t>
      </w:r>
      <w:r>
        <w:rPr>
          <w:rFonts w:hint="eastAsia" w:ascii="宋体" w:hAnsi="宋体"/>
          <w:sz w:val="24"/>
          <w:szCs w:val="24"/>
          <w:highlight w:val="none"/>
          <w:u w:val="none"/>
          <w:lang w:eastAsia="zh-CN"/>
        </w:rPr>
        <w:t>新生儿、儿童</w:t>
      </w:r>
    </w:p>
    <w:p>
      <w:pPr>
        <w:keepNext w:val="0"/>
        <w:keepLines w:val="0"/>
        <w:pageBreakBefore w:val="0"/>
        <w:widowControl w:val="0"/>
        <w:numPr>
          <w:ilvl w:val="0"/>
          <w:numId w:val="7"/>
        </w:numPr>
        <w:kinsoku/>
        <w:wordWrap/>
        <w:overflowPunct/>
        <w:topLinePunct w:val="0"/>
        <w:autoSpaceDE/>
        <w:autoSpaceDN/>
        <w:bidi w:val="0"/>
        <w:adjustRightInd w:val="0"/>
        <w:snapToGrid w:val="0"/>
        <w:spacing w:line="480" w:lineRule="auto"/>
        <w:ind w:left="0" w:leftChars="0" w:right="0" w:rightChars="0" w:firstLine="0" w:firstLineChars="0"/>
        <w:jc w:val="both"/>
        <w:textAlignment w:val="auto"/>
        <w:outlineLvl w:val="9"/>
        <w:rPr>
          <w:rFonts w:hint="eastAsia"/>
          <w:sz w:val="24"/>
          <w:szCs w:val="24"/>
          <w:highlight w:val="none"/>
          <w:u w:val="none"/>
        </w:rPr>
      </w:pPr>
      <w:r>
        <w:rPr>
          <w:rFonts w:hint="eastAsia" w:ascii="宋体" w:hAnsi="宋体"/>
          <w:sz w:val="24"/>
          <w:szCs w:val="24"/>
          <w:highlight w:val="none"/>
          <w:u w:val="none"/>
        </w:rPr>
        <w:t>具备</w:t>
      </w:r>
      <w:r>
        <w:rPr>
          <w:rFonts w:hint="eastAsia" w:ascii="宋体" w:hAnsi="宋体"/>
          <w:sz w:val="24"/>
          <w:szCs w:val="24"/>
          <w:highlight w:val="none"/>
          <w:u w:val="none"/>
          <w:lang w:eastAsia="zh-CN"/>
        </w:rPr>
        <w:t>快速设定参数功能，</w:t>
      </w:r>
      <w:r>
        <w:rPr>
          <w:rFonts w:hint="eastAsia"/>
          <w:sz w:val="24"/>
          <w:szCs w:val="24"/>
          <w:highlight w:val="none"/>
          <w:u w:val="none"/>
        </w:rPr>
        <w:t>可个性化设置医生界面（根据医生</w:t>
      </w:r>
      <w:r>
        <w:rPr>
          <w:rFonts w:hint="eastAsia"/>
          <w:sz w:val="24"/>
          <w:szCs w:val="24"/>
          <w:highlight w:val="none"/>
          <w:u w:val="none"/>
          <w:lang w:eastAsia="zh-CN"/>
        </w:rPr>
        <w:t>习惯</w:t>
      </w:r>
      <w:r>
        <w:rPr>
          <w:rFonts w:hint="eastAsia"/>
          <w:sz w:val="24"/>
          <w:szCs w:val="24"/>
          <w:highlight w:val="none"/>
          <w:u w:val="none"/>
        </w:rPr>
        <w:t>设置呼吸机的监测参数和波形</w:t>
      </w:r>
      <w:r>
        <w:rPr>
          <w:rFonts w:hint="eastAsia"/>
          <w:sz w:val="24"/>
          <w:szCs w:val="24"/>
          <w:highlight w:val="none"/>
          <w:u w:val="none"/>
          <w:lang w:eastAsia="zh-CN"/>
        </w:rPr>
        <w:t>及</w:t>
      </w:r>
      <w:r>
        <w:rPr>
          <w:rFonts w:hint="eastAsia"/>
          <w:sz w:val="24"/>
          <w:szCs w:val="24"/>
          <w:highlight w:val="none"/>
          <w:u w:val="none"/>
        </w:rPr>
        <w:t>向量环在界面上的位置）</w:t>
      </w:r>
      <w:r>
        <w:rPr>
          <w:rFonts w:hint="eastAsia"/>
          <w:sz w:val="24"/>
          <w:szCs w:val="24"/>
          <w:highlight w:val="none"/>
          <w:u w:val="none"/>
          <w:lang w:eastAsia="zh-CN"/>
        </w:rPr>
        <w:t>保存至硬盘，支持再次开机导入使用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leftChars="0" w:right="0" w:rightChars="0"/>
        <w:jc w:val="both"/>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四、</w:t>
      </w:r>
      <w:r>
        <w:rPr>
          <w:rFonts w:ascii="宋体" w:hAnsi="宋体"/>
          <w:sz w:val="24"/>
          <w:szCs w:val="24"/>
          <w:highlight w:val="none"/>
          <w:u w:val="none"/>
        </w:rPr>
        <w:t>屏幕能</w:t>
      </w:r>
      <w:r>
        <w:rPr>
          <w:rFonts w:hint="eastAsia" w:ascii="宋体" w:hAnsi="宋体"/>
          <w:sz w:val="24"/>
          <w:szCs w:val="24"/>
          <w:highlight w:val="none"/>
          <w:u w:val="none"/>
          <w:lang w:eastAsia="zh-CN"/>
        </w:rPr>
        <w:t>同时</w:t>
      </w:r>
      <w:r>
        <w:rPr>
          <w:rFonts w:ascii="宋体" w:hAnsi="宋体"/>
          <w:sz w:val="24"/>
          <w:szCs w:val="24"/>
          <w:highlight w:val="none"/>
          <w:u w:val="none"/>
        </w:rPr>
        <w:t>显示呼吸波形（容积时间波形、压力时间波形、流速时间波形）</w:t>
      </w:r>
      <w:r>
        <w:rPr>
          <w:rFonts w:hint="eastAsia" w:ascii="宋体" w:hAnsi="宋体"/>
          <w:sz w:val="24"/>
          <w:szCs w:val="24"/>
          <w:highlight w:val="none"/>
          <w:u w:val="none"/>
          <w:lang w:eastAsia="zh-CN"/>
        </w:rPr>
        <w:t>和</w:t>
      </w:r>
      <w:r>
        <w:rPr>
          <w:rFonts w:hint="eastAsia" w:ascii="宋体" w:hAnsi="宋体"/>
          <w:sz w:val="24"/>
          <w:szCs w:val="24"/>
          <w:highlight w:val="none"/>
          <w:u w:val="none"/>
        </w:rPr>
        <w:t>呼吸动力环（压力、容量、流速任意组合），</w:t>
      </w:r>
      <w:r>
        <w:rPr>
          <w:rFonts w:ascii="宋体" w:hAnsi="宋体"/>
          <w:sz w:val="24"/>
          <w:szCs w:val="24"/>
          <w:highlight w:val="none"/>
          <w:u w:val="none"/>
        </w:rPr>
        <w:t>呼吸参数（要求具备潮气量、呼吸频率、气道峰值压力、吸入氧浓度、分钟通气量等），中</w:t>
      </w:r>
      <w:r>
        <w:rPr>
          <w:rFonts w:hint="eastAsia" w:ascii="宋体" w:hAnsi="宋体"/>
          <w:sz w:val="24"/>
          <w:szCs w:val="24"/>
          <w:highlight w:val="none"/>
          <w:u w:val="none"/>
          <w:lang w:eastAsia="zh-CN"/>
        </w:rPr>
        <w:t>文</w:t>
      </w:r>
      <w:r>
        <w:rPr>
          <w:rFonts w:ascii="宋体" w:hAnsi="宋体"/>
          <w:sz w:val="24"/>
          <w:szCs w:val="24"/>
          <w:highlight w:val="none"/>
          <w:u w:val="none"/>
        </w:rPr>
        <w:t>操作界面</w:t>
      </w:r>
      <w:r>
        <w:rPr>
          <w:rFonts w:hint="eastAsia" w:ascii="宋体" w:hAnsi="宋体"/>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rFonts w:ascii="宋体" w:hAnsi="宋体"/>
          <w:sz w:val="24"/>
          <w:szCs w:val="24"/>
          <w:highlight w:val="none"/>
          <w:u w:val="none"/>
        </w:rPr>
      </w:pPr>
      <w:r>
        <w:rPr>
          <w:rFonts w:hint="eastAsia" w:ascii="宋体" w:hAnsi="宋体"/>
          <w:sz w:val="24"/>
          <w:szCs w:val="24"/>
          <w:highlight w:val="none"/>
          <w:u w:val="none"/>
          <w:lang w:eastAsia="zh-CN"/>
        </w:rPr>
        <w:t>五、呼吸模式</w:t>
      </w:r>
    </w:p>
    <w:p>
      <w:pPr>
        <w:pStyle w:val="99"/>
        <w:keepNext w:val="0"/>
        <w:keepLines w:val="0"/>
        <w:pageBreakBefore w:val="0"/>
        <w:widowControl w:val="0"/>
        <w:kinsoku/>
        <w:wordWrap/>
        <w:overflowPunct/>
        <w:topLinePunct w:val="0"/>
        <w:autoSpaceDE/>
        <w:autoSpaceDN/>
        <w:bidi w:val="0"/>
        <w:adjustRightInd w:val="0"/>
        <w:snapToGrid w:val="0"/>
        <w:spacing w:line="480" w:lineRule="auto"/>
        <w:ind w:left="375" w:right="0" w:rightChars="0" w:firstLine="0" w:firstLineChars="0"/>
        <w:jc w:val="both"/>
        <w:textAlignment w:val="auto"/>
        <w:outlineLvl w:val="9"/>
        <w:rPr>
          <w:rFonts w:hint="eastAsia"/>
          <w:b w:val="0"/>
          <w:bCs w:val="0"/>
          <w:sz w:val="24"/>
          <w:szCs w:val="24"/>
          <w:highlight w:val="none"/>
          <w:u w:val="none"/>
          <w:lang w:val="en-US" w:eastAsia="zh-CN"/>
        </w:rPr>
      </w:pPr>
      <w:r>
        <w:rPr>
          <w:rFonts w:hint="eastAsia"/>
          <w:sz w:val="24"/>
          <w:szCs w:val="24"/>
          <w:highlight w:val="none"/>
          <w:u w:val="none"/>
          <w:lang w:val="en-US" w:eastAsia="zh-CN"/>
        </w:rPr>
        <w:t>有创通气模式：</w:t>
      </w:r>
      <w:r>
        <w:rPr>
          <w:rFonts w:hint="eastAsia"/>
          <w:b w:val="0"/>
          <w:bCs w:val="0"/>
          <w:sz w:val="24"/>
          <w:szCs w:val="24"/>
          <w:highlight w:val="none"/>
          <w:u w:val="none"/>
          <w:lang w:val="en-US" w:eastAsia="zh-CN"/>
        </w:rPr>
        <w:t>持续气道正压通气、压力控制通气、压力辅助控制通气、同步间歇指令通气、同步间歇指令通气+自主通气、自主通气、目标通气</w:t>
      </w:r>
    </w:p>
    <w:p>
      <w:pPr>
        <w:pStyle w:val="99"/>
        <w:keepNext w:val="0"/>
        <w:keepLines w:val="0"/>
        <w:pageBreakBefore w:val="0"/>
        <w:widowControl w:val="0"/>
        <w:kinsoku/>
        <w:wordWrap/>
        <w:overflowPunct/>
        <w:topLinePunct w:val="0"/>
        <w:autoSpaceDE/>
        <w:autoSpaceDN/>
        <w:bidi w:val="0"/>
        <w:adjustRightInd w:val="0"/>
        <w:snapToGrid w:val="0"/>
        <w:spacing w:line="480" w:lineRule="auto"/>
        <w:ind w:left="375" w:right="0" w:rightChars="0" w:firstLine="0" w:firstLineChars="0"/>
        <w:jc w:val="both"/>
        <w:textAlignment w:val="auto"/>
        <w:outlineLvl w:val="9"/>
        <w:rPr>
          <w:rFonts w:hint="eastAsia"/>
          <w:b w:val="0"/>
          <w:bCs w:val="0"/>
          <w:sz w:val="24"/>
          <w:szCs w:val="24"/>
          <w:highlight w:val="none"/>
          <w:u w:val="none"/>
          <w:lang w:val="en-US" w:eastAsia="zh-CN"/>
        </w:rPr>
      </w:pPr>
      <w:r>
        <w:rPr>
          <w:rFonts w:hint="eastAsia"/>
          <w:b w:val="0"/>
          <w:bCs w:val="0"/>
          <w:sz w:val="24"/>
          <w:szCs w:val="24"/>
          <w:highlight w:val="none"/>
          <w:u w:val="none"/>
          <w:lang w:val="en-US" w:eastAsia="zh-CN"/>
        </w:rPr>
        <w:t>无创通气模式：nCPAP、NIPPV</w:t>
      </w:r>
    </w:p>
    <w:p>
      <w:pPr>
        <w:pStyle w:val="99"/>
        <w:keepNext w:val="0"/>
        <w:keepLines w:val="0"/>
        <w:pageBreakBefore w:val="0"/>
        <w:widowControl w:val="0"/>
        <w:kinsoku/>
        <w:wordWrap/>
        <w:overflowPunct/>
        <w:topLinePunct w:val="0"/>
        <w:autoSpaceDE/>
        <w:autoSpaceDN/>
        <w:bidi w:val="0"/>
        <w:adjustRightInd w:val="0"/>
        <w:snapToGrid w:val="0"/>
        <w:spacing w:line="480" w:lineRule="auto"/>
        <w:ind w:left="375" w:right="0" w:rightChars="0" w:firstLine="0" w:firstLineChars="0"/>
        <w:jc w:val="both"/>
        <w:textAlignment w:val="auto"/>
        <w:outlineLvl w:val="9"/>
        <w:rPr>
          <w:rFonts w:hint="eastAsia"/>
          <w:b w:val="0"/>
          <w:bCs w:val="0"/>
          <w:sz w:val="24"/>
          <w:szCs w:val="24"/>
          <w:highlight w:val="none"/>
          <w:u w:val="none"/>
          <w:lang w:val="en-US" w:eastAsia="zh-CN"/>
        </w:rPr>
      </w:pPr>
      <w:r>
        <w:rPr>
          <w:rFonts w:hint="eastAsia"/>
          <w:b w:val="0"/>
          <w:bCs w:val="0"/>
          <w:sz w:val="24"/>
          <w:szCs w:val="24"/>
          <w:highlight w:val="none"/>
          <w:u w:val="none"/>
          <w:lang w:val="en-US" w:eastAsia="zh-CN"/>
        </w:rPr>
        <w:t>有创无创模式切换无需更换呼吸管路</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rFonts w:ascii="宋体" w:hAnsi="宋体"/>
          <w:sz w:val="24"/>
          <w:szCs w:val="24"/>
          <w:highlight w:val="none"/>
          <w:u w:val="none"/>
        </w:rPr>
      </w:pPr>
      <w:r>
        <w:rPr>
          <w:rFonts w:hint="eastAsia"/>
          <w:color w:val="auto"/>
          <w:sz w:val="24"/>
          <w:szCs w:val="24"/>
          <w:highlight w:val="none"/>
          <w:u w:val="none"/>
          <w:lang w:val="en-US" w:eastAsia="zh-CN"/>
        </w:rPr>
        <w:t>六、</w:t>
      </w:r>
      <w:r>
        <w:rPr>
          <w:rFonts w:ascii="宋体" w:hAnsi="宋体"/>
          <w:sz w:val="24"/>
          <w:szCs w:val="24"/>
          <w:highlight w:val="none"/>
          <w:u w:val="none"/>
        </w:rPr>
        <w:t>主要呼吸参数：</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rFonts w:hint="default" w:ascii="Times New Roman" w:hAnsi="Times New Roman" w:cs="Times New Roman"/>
          <w:color w:val="auto"/>
          <w:sz w:val="24"/>
          <w:szCs w:val="24"/>
          <w:highlight w:val="none"/>
          <w:u w:val="none"/>
        </w:rPr>
      </w:pPr>
      <w:r>
        <w:rPr>
          <w:rFonts w:hint="eastAsia" w:ascii="宋体" w:hAnsi="宋体"/>
          <w:color w:val="auto"/>
          <w:sz w:val="24"/>
          <w:szCs w:val="24"/>
          <w:highlight w:val="none"/>
          <w:u w:val="none"/>
          <w:lang w:val="en-US" w:eastAsia="zh-CN"/>
        </w:rPr>
        <w:t>1、</w:t>
      </w:r>
      <w:r>
        <w:rPr>
          <w:rFonts w:hint="eastAsia" w:ascii="宋体" w:hAnsi="宋体"/>
          <w:color w:val="auto"/>
          <w:sz w:val="24"/>
          <w:szCs w:val="24"/>
          <w:highlight w:val="none"/>
          <w:u w:val="none"/>
        </w:rPr>
        <w:t>潮气量：</w:t>
      </w:r>
      <w:r>
        <w:rPr>
          <w:rFonts w:hint="eastAsia" w:ascii="宋体" w:hAnsi="宋体"/>
          <w:color w:val="auto"/>
          <w:sz w:val="24"/>
          <w:szCs w:val="24"/>
          <w:highlight w:val="none"/>
          <w:u w:val="none"/>
          <w:lang w:val="en-US" w:eastAsia="zh-CN"/>
        </w:rPr>
        <w:t>新生儿≥</w:t>
      </w:r>
      <w:r>
        <w:rPr>
          <w:rFonts w:hint="default" w:ascii="Times New Roman" w:hAnsi="Times New Roman" w:cs="Times New Roman"/>
          <w:color w:val="auto"/>
          <w:sz w:val="24"/>
          <w:szCs w:val="24"/>
          <w:highlight w:val="none"/>
          <w:u w:val="none"/>
          <w:lang w:val="en-US" w:eastAsia="zh-CN"/>
        </w:rPr>
        <w:t>2</w:t>
      </w:r>
      <w:r>
        <w:rPr>
          <w:rFonts w:hint="eastAsia" w:ascii="Times New Roman" w:hAnsi="Times New Roman" w:cs="Times New Roman"/>
          <w:color w:val="auto"/>
          <w:sz w:val="24"/>
          <w:szCs w:val="24"/>
          <w:highlight w:val="none"/>
          <w:u w:val="none"/>
          <w:lang w:val="en-US" w:eastAsia="zh-CN"/>
        </w:rPr>
        <w:t>ml</w:t>
      </w:r>
      <w:r>
        <w:rPr>
          <w:rFonts w:hint="default" w:ascii="Times New Roman" w:hAnsi="Times New Roman" w:cs="Times New Roman"/>
          <w:color w:val="auto"/>
          <w:sz w:val="24"/>
          <w:szCs w:val="24"/>
          <w:highlight w:val="none"/>
          <w:u w:val="none"/>
        </w:rPr>
        <w:t>-</w:t>
      </w:r>
      <w:r>
        <w:rPr>
          <w:rFonts w:hint="eastAsia" w:cs="Times New Roman"/>
          <w:color w:val="auto"/>
          <w:sz w:val="24"/>
          <w:szCs w:val="24"/>
          <w:highlight w:val="none"/>
          <w:u w:val="none"/>
          <w:lang w:val="en-US" w:eastAsia="zh-CN"/>
        </w:rPr>
        <w:t>200</w:t>
      </w:r>
      <w:r>
        <w:rPr>
          <w:rFonts w:hint="default" w:ascii="Times New Roman" w:hAnsi="Times New Roman" w:cs="Times New Roman"/>
          <w:color w:val="auto"/>
          <w:sz w:val="24"/>
          <w:szCs w:val="24"/>
          <w:highlight w:val="none"/>
          <w:u w:val="none"/>
        </w:rPr>
        <w:t>ml</w:t>
      </w:r>
      <w:r>
        <w:rPr>
          <w:rFonts w:hint="eastAsia" w:ascii="Times New Roman" w:hAnsi="Times New Roman" w:cs="Times New Roman"/>
          <w:color w:val="auto"/>
          <w:sz w:val="24"/>
          <w:szCs w:val="24"/>
          <w:highlight w:val="none"/>
          <w:u w:val="none"/>
          <w:lang w:val="en-US" w:eastAsia="zh-CN"/>
        </w:rPr>
        <w:t xml:space="preserve">  儿童</w:t>
      </w:r>
      <w:r>
        <w:rPr>
          <w:rFonts w:hint="eastAsia" w:cs="Times New Roman"/>
          <w:color w:val="auto"/>
          <w:sz w:val="24"/>
          <w:szCs w:val="24"/>
          <w:highlight w:val="none"/>
          <w:u w:val="none"/>
          <w:lang w:val="en-US" w:eastAsia="zh-CN"/>
        </w:rPr>
        <w:t>≥</w:t>
      </w:r>
      <w:r>
        <w:rPr>
          <w:rFonts w:hint="eastAsia" w:ascii="Times New Roman" w:hAnsi="Times New Roman" w:cs="Times New Roman"/>
          <w:color w:val="auto"/>
          <w:sz w:val="24"/>
          <w:szCs w:val="24"/>
          <w:highlight w:val="none"/>
          <w:u w:val="none"/>
          <w:lang w:val="en-US" w:eastAsia="zh-CN"/>
        </w:rPr>
        <w:t>40ml-500ml</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color w:val="auto"/>
          <w:sz w:val="24"/>
          <w:szCs w:val="24"/>
          <w:highlight w:val="none"/>
          <w:u w:val="none"/>
        </w:rPr>
      </w:pPr>
      <w:r>
        <w:rPr>
          <w:rFonts w:hint="eastAsia"/>
          <w:color w:val="auto"/>
          <w:sz w:val="24"/>
          <w:szCs w:val="24"/>
          <w:highlight w:val="none"/>
          <w:u w:val="none"/>
          <w:lang w:val="en-US" w:eastAsia="zh-CN"/>
        </w:rPr>
        <w:t>4、</w:t>
      </w:r>
      <w:r>
        <w:rPr>
          <w:rFonts w:hint="eastAsia"/>
          <w:color w:val="auto"/>
          <w:sz w:val="24"/>
          <w:szCs w:val="24"/>
          <w:highlight w:val="none"/>
          <w:u w:val="none"/>
        </w:rPr>
        <w:t xml:space="preserve">压力支持: </w:t>
      </w:r>
      <w:r>
        <w:rPr>
          <w:rFonts w:hint="eastAsia"/>
          <w:color w:val="auto"/>
          <w:sz w:val="24"/>
          <w:szCs w:val="24"/>
          <w:highlight w:val="none"/>
          <w:u w:val="none"/>
          <w:lang w:eastAsia="zh-CN"/>
        </w:rPr>
        <w:t>≥</w:t>
      </w:r>
      <w:r>
        <w:rPr>
          <w:rFonts w:hint="eastAsia"/>
          <w:color w:val="auto"/>
          <w:sz w:val="24"/>
          <w:szCs w:val="24"/>
          <w:highlight w:val="none"/>
          <w:u w:val="none"/>
        </w:rPr>
        <w:t>0-</w:t>
      </w:r>
      <w:r>
        <w:rPr>
          <w:rFonts w:hint="eastAsia"/>
          <w:color w:val="auto"/>
          <w:sz w:val="24"/>
          <w:szCs w:val="24"/>
          <w:highlight w:val="none"/>
          <w:u w:val="none"/>
          <w:lang w:val="en-US" w:eastAsia="zh-CN"/>
        </w:rPr>
        <w:t>45</w:t>
      </w:r>
      <w:r>
        <w:rPr>
          <w:rFonts w:hint="eastAsia"/>
          <w:color w:val="auto"/>
          <w:sz w:val="24"/>
          <w:szCs w:val="24"/>
          <w:highlight w:val="none"/>
          <w:u w:val="none"/>
        </w:rPr>
        <w:t>mbar</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color w:val="auto"/>
          <w:sz w:val="24"/>
          <w:szCs w:val="24"/>
          <w:highlight w:val="none"/>
          <w:u w:val="none"/>
        </w:rPr>
      </w:pPr>
      <w:r>
        <w:rPr>
          <w:rFonts w:hint="eastAsia"/>
          <w:color w:val="auto"/>
          <w:sz w:val="24"/>
          <w:szCs w:val="24"/>
          <w:highlight w:val="none"/>
          <w:u w:val="none"/>
          <w:lang w:val="en-US" w:eastAsia="zh-CN"/>
        </w:rPr>
        <w:t>5、</w:t>
      </w:r>
      <w:r>
        <w:rPr>
          <w:rFonts w:hint="eastAsia"/>
          <w:color w:val="auto"/>
          <w:sz w:val="24"/>
          <w:szCs w:val="24"/>
          <w:highlight w:val="none"/>
          <w:u w:val="none"/>
        </w:rPr>
        <w:t>PEEP(</w:t>
      </w:r>
      <w:r>
        <w:rPr>
          <w:rFonts w:hint="eastAsia"/>
          <w:color w:val="auto"/>
          <w:sz w:val="24"/>
          <w:szCs w:val="24"/>
          <w:highlight w:val="none"/>
          <w:u w:val="none"/>
          <w:lang w:val="en-US" w:eastAsia="zh-CN"/>
        </w:rPr>
        <w:t>C</w:t>
      </w:r>
      <w:r>
        <w:rPr>
          <w:rFonts w:hint="eastAsia"/>
          <w:color w:val="auto"/>
          <w:sz w:val="24"/>
          <w:szCs w:val="24"/>
          <w:highlight w:val="none"/>
          <w:u w:val="none"/>
        </w:rPr>
        <w:t xml:space="preserve">PAP): </w:t>
      </w:r>
      <w:r>
        <w:rPr>
          <w:rFonts w:hint="eastAsia"/>
          <w:color w:val="auto"/>
          <w:sz w:val="24"/>
          <w:szCs w:val="24"/>
          <w:highlight w:val="none"/>
          <w:u w:val="none"/>
          <w:lang w:eastAsia="zh-CN"/>
        </w:rPr>
        <w:t>≥</w:t>
      </w:r>
      <w:r>
        <w:rPr>
          <w:rFonts w:hint="eastAsia"/>
          <w:color w:val="auto"/>
          <w:sz w:val="24"/>
          <w:szCs w:val="24"/>
          <w:highlight w:val="none"/>
          <w:u w:val="none"/>
        </w:rPr>
        <w:t>0-</w:t>
      </w:r>
      <w:r>
        <w:rPr>
          <w:rFonts w:hint="eastAsia"/>
          <w:color w:val="auto"/>
          <w:sz w:val="24"/>
          <w:szCs w:val="24"/>
          <w:highlight w:val="none"/>
          <w:u w:val="none"/>
          <w:lang w:val="en-US" w:eastAsia="zh-CN"/>
        </w:rPr>
        <w:t>3</w:t>
      </w:r>
      <w:r>
        <w:rPr>
          <w:rFonts w:hint="eastAsia"/>
          <w:color w:val="auto"/>
          <w:sz w:val="24"/>
          <w:szCs w:val="24"/>
          <w:highlight w:val="none"/>
          <w:u w:val="none"/>
        </w:rPr>
        <w:t>0mbar</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color w:val="auto"/>
          <w:sz w:val="24"/>
          <w:szCs w:val="24"/>
          <w:highlight w:val="none"/>
          <w:u w:val="none"/>
        </w:rPr>
      </w:pPr>
      <w:r>
        <w:rPr>
          <w:rFonts w:hint="eastAsia"/>
          <w:color w:val="auto"/>
          <w:sz w:val="24"/>
          <w:szCs w:val="24"/>
          <w:highlight w:val="none"/>
          <w:u w:val="none"/>
          <w:lang w:val="en-US" w:eastAsia="zh-CN"/>
        </w:rPr>
        <w:t>7、</w:t>
      </w:r>
      <w:r>
        <w:rPr>
          <w:rFonts w:hint="eastAsia"/>
          <w:color w:val="auto"/>
          <w:sz w:val="24"/>
          <w:szCs w:val="24"/>
          <w:highlight w:val="none"/>
          <w:u w:val="none"/>
        </w:rPr>
        <w:t xml:space="preserve">呼吸频率: </w:t>
      </w:r>
      <w:r>
        <w:rPr>
          <w:rFonts w:hint="eastAsia"/>
          <w:color w:val="auto"/>
          <w:sz w:val="24"/>
          <w:szCs w:val="24"/>
          <w:highlight w:val="none"/>
          <w:u w:val="none"/>
          <w:lang w:val="en-US" w:eastAsia="zh-CN"/>
        </w:rPr>
        <w:t>5</w:t>
      </w:r>
      <w:r>
        <w:rPr>
          <w:rFonts w:hint="eastAsia"/>
          <w:color w:val="auto"/>
          <w:sz w:val="24"/>
          <w:szCs w:val="24"/>
          <w:highlight w:val="none"/>
          <w:u w:val="none"/>
        </w:rPr>
        <w:t>-150bpm</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color w:val="auto"/>
          <w:sz w:val="24"/>
          <w:szCs w:val="24"/>
          <w:highlight w:val="none"/>
          <w:u w:val="none"/>
        </w:rPr>
      </w:pPr>
      <w:r>
        <w:rPr>
          <w:rFonts w:hint="eastAsia"/>
          <w:color w:val="auto"/>
          <w:sz w:val="24"/>
          <w:szCs w:val="24"/>
          <w:highlight w:val="none"/>
          <w:u w:val="none"/>
        </w:rPr>
        <w:t>1</w:t>
      </w:r>
      <w:r>
        <w:rPr>
          <w:rFonts w:hint="eastAsia"/>
          <w:color w:val="auto"/>
          <w:sz w:val="24"/>
          <w:szCs w:val="24"/>
          <w:highlight w:val="none"/>
          <w:u w:val="none"/>
          <w:lang w:val="en-US" w:eastAsia="zh-CN"/>
        </w:rPr>
        <w:t>0</w:t>
      </w:r>
      <w:r>
        <w:rPr>
          <w:rFonts w:hint="eastAsia"/>
          <w:color w:val="auto"/>
          <w:sz w:val="24"/>
          <w:szCs w:val="24"/>
          <w:highlight w:val="none"/>
          <w:u w:val="none"/>
          <w:lang w:eastAsia="zh-CN"/>
        </w:rPr>
        <w:t>、</w:t>
      </w:r>
      <w:r>
        <w:rPr>
          <w:rFonts w:hint="eastAsia"/>
          <w:color w:val="auto"/>
          <w:sz w:val="24"/>
          <w:szCs w:val="32"/>
          <w:highlight w:val="none"/>
          <w:lang w:val="en-US" w:eastAsia="zh-CN"/>
        </w:rPr>
        <w:t>具备</w:t>
      </w:r>
      <w:r>
        <w:rPr>
          <w:rFonts w:hint="eastAsia"/>
          <w:color w:val="auto"/>
          <w:sz w:val="24"/>
          <w:szCs w:val="32"/>
          <w:highlight w:val="none"/>
        </w:rPr>
        <w:t>压力触发和流量触发</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color w:val="auto"/>
          <w:sz w:val="24"/>
          <w:szCs w:val="24"/>
          <w:highlight w:val="none"/>
          <w:u w:val="none"/>
        </w:rPr>
      </w:pPr>
      <w:r>
        <w:rPr>
          <w:rFonts w:hint="eastAsia"/>
          <w:color w:val="auto"/>
          <w:sz w:val="24"/>
          <w:szCs w:val="24"/>
          <w:highlight w:val="none"/>
          <w:u w:val="none"/>
        </w:rPr>
        <w:t>1</w:t>
      </w:r>
      <w:r>
        <w:rPr>
          <w:rFonts w:hint="eastAsia"/>
          <w:color w:val="auto"/>
          <w:sz w:val="24"/>
          <w:szCs w:val="24"/>
          <w:highlight w:val="none"/>
          <w:u w:val="none"/>
          <w:lang w:val="en-US" w:eastAsia="zh-CN"/>
        </w:rPr>
        <w:t>2</w:t>
      </w:r>
      <w:r>
        <w:rPr>
          <w:rFonts w:hint="eastAsia"/>
          <w:color w:val="auto"/>
          <w:sz w:val="24"/>
          <w:szCs w:val="24"/>
          <w:highlight w:val="none"/>
          <w:u w:val="none"/>
          <w:lang w:eastAsia="zh-CN"/>
        </w:rPr>
        <w:t>、可根据气道压力变化</w:t>
      </w:r>
      <w:r>
        <w:rPr>
          <w:rFonts w:hint="eastAsia"/>
          <w:color w:val="auto"/>
          <w:sz w:val="24"/>
          <w:szCs w:val="24"/>
          <w:highlight w:val="none"/>
          <w:u w:val="none"/>
        </w:rPr>
        <w:t>自动</w:t>
      </w:r>
      <w:r>
        <w:rPr>
          <w:rFonts w:hint="eastAsia"/>
          <w:color w:val="auto"/>
          <w:sz w:val="24"/>
          <w:szCs w:val="24"/>
          <w:highlight w:val="none"/>
          <w:u w:val="none"/>
          <w:lang w:eastAsia="zh-CN"/>
        </w:rPr>
        <w:t>终止吸气，避免人机对抗。</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rFonts w:hint="eastAsia"/>
          <w:color w:val="auto"/>
          <w:sz w:val="24"/>
          <w:szCs w:val="24"/>
          <w:highlight w:val="none"/>
          <w:u w:val="none"/>
        </w:rPr>
      </w:pPr>
      <w:r>
        <w:rPr>
          <w:rFonts w:hint="eastAsia"/>
          <w:color w:val="auto"/>
          <w:sz w:val="24"/>
          <w:szCs w:val="24"/>
          <w:highlight w:val="none"/>
          <w:u w:val="none"/>
        </w:rPr>
        <w:t>1</w:t>
      </w:r>
      <w:r>
        <w:rPr>
          <w:rFonts w:hint="eastAsia"/>
          <w:color w:val="auto"/>
          <w:sz w:val="24"/>
          <w:szCs w:val="24"/>
          <w:highlight w:val="none"/>
          <w:u w:val="none"/>
          <w:lang w:val="en-US" w:eastAsia="zh-CN"/>
        </w:rPr>
        <w:t>3</w:t>
      </w:r>
      <w:r>
        <w:rPr>
          <w:rFonts w:hint="eastAsia"/>
          <w:color w:val="auto"/>
          <w:sz w:val="24"/>
          <w:szCs w:val="24"/>
          <w:highlight w:val="none"/>
          <w:u w:val="none"/>
          <w:lang w:eastAsia="zh-CN"/>
        </w:rPr>
        <w:t>、</w:t>
      </w:r>
      <w:r>
        <w:rPr>
          <w:rFonts w:hint="eastAsia"/>
          <w:color w:val="auto"/>
          <w:sz w:val="24"/>
          <w:szCs w:val="24"/>
          <w:highlight w:val="none"/>
          <w:u w:val="none"/>
        </w:rPr>
        <w:t>窒息后备通气</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rFonts w:ascii="宋体" w:hAnsi="宋体"/>
          <w:color w:val="auto"/>
          <w:sz w:val="24"/>
          <w:szCs w:val="24"/>
          <w:highlight w:val="none"/>
          <w:u w:val="none"/>
        </w:rPr>
      </w:pPr>
      <w:r>
        <w:rPr>
          <w:rFonts w:hint="eastAsia"/>
          <w:color w:val="auto"/>
          <w:sz w:val="24"/>
          <w:szCs w:val="24"/>
          <w:highlight w:val="none"/>
          <w:u w:val="none"/>
        </w:rPr>
        <w:t>1</w:t>
      </w:r>
      <w:r>
        <w:rPr>
          <w:rFonts w:hint="eastAsia"/>
          <w:color w:val="auto"/>
          <w:sz w:val="24"/>
          <w:szCs w:val="24"/>
          <w:highlight w:val="none"/>
          <w:u w:val="none"/>
          <w:lang w:val="en-US" w:eastAsia="zh-CN"/>
        </w:rPr>
        <w:t>4</w:t>
      </w:r>
      <w:r>
        <w:rPr>
          <w:rFonts w:hint="eastAsia"/>
          <w:color w:val="auto"/>
          <w:sz w:val="24"/>
          <w:szCs w:val="24"/>
          <w:highlight w:val="none"/>
          <w:u w:val="none"/>
          <w:lang w:eastAsia="zh-CN"/>
        </w:rPr>
        <w:t>、</w:t>
      </w:r>
      <w:r>
        <w:rPr>
          <w:rFonts w:hint="eastAsia"/>
          <w:color w:val="auto"/>
          <w:sz w:val="24"/>
          <w:szCs w:val="24"/>
          <w:highlight w:val="none"/>
          <w:u w:val="none"/>
        </w:rPr>
        <w:t>氧浓度: 21-100%</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rFonts w:hint="eastAsia" w:ascii="宋体" w:hAnsi="宋体" w:eastAsia="宋体"/>
          <w:color w:val="auto"/>
          <w:sz w:val="24"/>
          <w:szCs w:val="24"/>
          <w:highlight w:val="none"/>
          <w:u w:val="none"/>
          <w:lang w:eastAsia="zh-CN"/>
        </w:rPr>
      </w:pPr>
      <w:r>
        <w:rPr>
          <w:rFonts w:hint="eastAsia"/>
          <w:color w:val="auto"/>
          <w:sz w:val="24"/>
          <w:szCs w:val="24"/>
          <w:highlight w:val="none"/>
          <w:u w:val="none"/>
          <w:lang w:val="en-US" w:eastAsia="zh-CN"/>
        </w:rPr>
        <w:t>15</w:t>
      </w:r>
      <w:r>
        <w:rPr>
          <w:rFonts w:hint="eastAsia"/>
          <w:color w:val="auto"/>
          <w:sz w:val="24"/>
          <w:szCs w:val="24"/>
          <w:highlight w:val="none"/>
          <w:u w:val="none"/>
          <w:lang w:eastAsia="zh-CN"/>
        </w:rPr>
        <w:t>、内置</w:t>
      </w:r>
      <w:r>
        <w:rPr>
          <w:rFonts w:hint="eastAsia"/>
          <w:color w:val="auto"/>
          <w:sz w:val="24"/>
          <w:szCs w:val="24"/>
          <w:highlight w:val="none"/>
          <w:u w:val="none"/>
        </w:rPr>
        <w:t>电池</w:t>
      </w:r>
      <w:r>
        <w:rPr>
          <w:rFonts w:hint="eastAsia"/>
          <w:color w:val="auto"/>
          <w:sz w:val="24"/>
          <w:szCs w:val="24"/>
          <w:highlight w:val="none"/>
          <w:u w:val="none"/>
          <w:lang w:eastAsia="zh-CN"/>
        </w:rPr>
        <w:t>供应整机工作≥</w:t>
      </w:r>
      <w:r>
        <w:rPr>
          <w:rFonts w:hint="eastAsia"/>
          <w:color w:val="auto"/>
          <w:sz w:val="24"/>
          <w:szCs w:val="24"/>
          <w:highlight w:val="none"/>
          <w:u w:val="none"/>
          <w:lang w:val="en-US" w:eastAsia="zh-CN"/>
        </w:rPr>
        <w:t>5</w:t>
      </w:r>
      <w:r>
        <w:rPr>
          <w:rFonts w:hint="eastAsia"/>
          <w:color w:val="auto"/>
          <w:sz w:val="24"/>
          <w:szCs w:val="24"/>
          <w:highlight w:val="none"/>
          <w:u w:val="none"/>
          <w:lang w:eastAsia="zh-CN"/>
        </w:rPr>
        <w:t>小时</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七、需具备的监测项目：</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rFonts w:hint="eastAsia"/>
          <w:color w:val="auto"/>
          <w:sz w:val="24"/>
          <w:szCs w:val="24"/>
          <w:highlight w:val="none"/>
          <w:u w:val="none"/>
        </w:rPr>
      </w:pPr>
      <w:r>
        <w:rPr>
          <w:rFonts w:hint="eastAsia"/>
          <w:color w:val="auto"/>
          <w:sz w:val="24"/>
          <w:szCs w:val="24"/>
          <w:highlight w:val="none"/>
          <w:u w:val="none"/>
          <w:lang w:val="en-US" w:eastAsia="zh-CN"/>
        </w:rPr>
        <w:t>1、</w:t>
      </w:r>
      <w:r>
        <w:rPr>
          <w:rFonts w:hint="eastAsia"/>
          <w:color w:val="auto"/>
          <w:sz w:val="24"/>
          <w:szCs w:val="24"/>
          <w:highlight w:val="none"/>
          <w:u w:val="none"/>
        </w:rPr>
        <w:t>肺动力学监测</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rFonts w:hint="eastAsia"/>
          <w:color w:val="auto"/>
          <w:sz w:val="24"/>
          <w:szCs w:val="24"/>
          <w:highlight w:val="none"/>
          <w:u w:val="none"/>
        </w:rPr>
      </w:pPr>
      <w:r>
        <w:rPr>
          <w:rFonts w:hint="eastAsia"/>
          <w:color w:val="auto"/>
          <w:sz w:val="24"/>
          <w:szCs w:val="24"/>
          <w:highlight w:val="none"/>
          <w:u w:val="none"/>
          <w:lang w:val="en-US" w:eastAsia="zh-CN"/>
        </w:rPr>
        <w:t>2、呼吸</w:t>
      </w:r>
      <w:r>
        <w:rPr>
          <w:rFonts w:hint="eastAsia"/>
          <w:color w:val="auto"/>
          <w:sz w:val="24"/>
          <w:szCs w:val="24"/>
          <w:highlight w:val="none"/>
          <w:u w:val="none"/>
        </w:rPr>
        <w:t>压力</w:t>
      </w:r>
      <w:r>
        <w:rPr>
          <w:rFonts w:hint="eastAsia"/>
          <w:color w:val="auto"/>
          <w:sz w:val="24"/>
          <w:szCs w:val="24"/>
          <w:highlight w:val="none"/>
          <w:u w:val="none"/>
          <w:lang w:eastAsia="zh-CN"/>
        </w:rPr>
        <w:t>监测</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color w:val="auto"/>
          <w:sz w:val="24"/>
          <w:szCs w:val="24"/>
          <w:highlight w:val="none"/>
          <w:u w:val="none"/>
        </w:rPr>
      </w:pPr>
      <w:r>
        <w:rPr>
          <w:rFonts w:hint="eastAsia"/>
          <w:color w:val="auto"/>
          <w:sz w:val="24"/>
          <w:szCs w:val="24"/>
          <w:highlight w:val="none"/>
          <w:u w:val="none"/>
          <w:lang w:val="en-US" w:eastAsia="zh-CN"/>
        </w:rPr>
        <w:t>3、</w:t>
      </w:r>
      <w:r>
        <w:rPr>
          <w:rFonts w:hint="eastAsia"/>
          <w:color w:val="auto"/>
          <w:sz w:val="24"/>
          <w:szCs w:val="24"/>
          <w:highlight w:val="none"/>
          <w:u w:val="none"/>
        </w:rPr>
        <w:t>潮气量</w:t>
      </w:r>
      <w:r>
        <w:rPr>
          <w:rFonts w:hint="eastAsia"/>
          <w:color w:val="auto"/>
          <w:sz w:val="24"/>
          <w:szCs w:val="24"/>
          <w:highlight w:val="none"/>
          <w:u w:val="none"/>
          <w:lang w:eastAsia="zh-CN"/>
        </w:rPr>
        <w:t>监测</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sz w:val="24"/>
          <w:szCs w:val="24"/>
          <w:highlight w:val="none"/>
          <w:u w:val="none"/>
        </w:rPr>
      </w:pPr>
      <w:r>
        <w:rPr>
          <w:rFonts w:hint="eastAsia"/>
          <w:sz w:val="24"/>
          <w:szCs w:val="24"/>
          <w:highlight w:val="none"/>
          <w:u w:val="none"/>
        </w:rPr>
        <w:t>4</w:t>
      </w:r>
      <w:r>
        <w:rPr>
          <w:rFonts w:hint="eastAsia"/>
          <w:sz w:val="24"/>
          <w:szCs w:val="24"/>
          <w:highlight w:val="none"/>
          <w:u w:val="none"/>
          <w:lang w:eastAsia="zh-CN"/>
        </w:rPr>
        <w:t>、</w:t>
      </w:r>
      <w:r>
        <w:rPr>
          <w:rFonts w:hint="eastAsia"/>
          <w:sz w:val="24"/>
          <w:szCs w:val="24"/>
          <w:highlight w:val="none"/>
          <w:u w:val="none"/>
        </w:rPr>
        <w:t>呼吸</w:t>
      </w:r>
      <w:r>
        <w:rPr>
          <w:rFonts w:hint="eastAsia"/>
          <w:sz w:val="24"/>
          <w:szCs w:val="24"/>
          <w:highlight w:val="none"/>
          <w:u w:val="none"/>
          <w:lang w:eastAsia="zh-CN"/>
        </w:rPr>
        <w:t>数值监测：</w:t>
      </w:r>
      <w:r>
        <w:rPr>
          <w:rFonts w:hint="eastAsia"/>
          <w:sz w:val="24"/>
          <w:szCs w:val="24"/>
          <w:highlight w:val="none"/>
          <w:u w:val="none"/>
        </w:rPr>
        <w:t>呼吸频率，</w:t>
      </w:r>
      <w:r>
        <w:rPr>
          <w:rFonts w:hint="eastAsia"/>
          <w:sz w:val="24"/>
          <w:szCs w:val="24"/>
          <w:highlight w:val="none"/>
          <w:u w:val="none"/>
          <w:lang w:eastAsia="zh-CN"/>
        </w:rPr>
        <w:t>目标频率、</w:t>
      </w:r>
      <w:r>
        <w:rPr>
          <w:rFonts w:hint="eastAsia"/>
          <w:sz w:val="24"/>
          <w:szCs w:val="24"/>
          <w:highlight w:val="none"/>
          <w:u w:val="none"/>
        </w:rPr>
        <w:t>吸气时间，呼气时间，Ti/Tot</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rFonts w:hint="eastAsia"/>
          <w:sz w:val="24"/>
          <w:szCs w:val="24"/>
          <w:highlight w:val="none"/>
          <w:u w:val="none"/>
        </w:rPr>
      </w:pPr>
      <w:r>
        <w:rPr>
          <w:rFonts w:hint="eastAsia"/>
          <w:sz w:val="24"/>
          <w:szCs w:val="24"/>
          <w:highlight w:val="none"/>
          <w:u w:val="none"/>
        </w:rPr>
        <w:t>5</w:t>
      </w:r>
      <w:r>
        <w:rPr>
          <w:rFonts w:hint="eastAsia"/>
          <w:sz w:val="24"/>
          <w:szCs w:val="24"/>
          <w:highlight w:val="none"/>
          <w:u w:val="none"/>
          <w:lang w:eastAsia="zh-CN"/>
        </w:rPr>
        <w:t>、</w:t>
      </w:r>
      <w:r>
        <w:rPr>
          <w:rFonts w:hint="eastAsia"/>
          <w:sz w:val="24"/>
          <w:szCs w:val="24"/>
          <w:highlight w:val="none"/>
          <w:u w:val="none"/>
        </w:rPr>
        <w:t>氧气浓度</w:t>
      </w:r>
      <w:r>
        <w:rPr>
          <w:rFonts w:hint="eastAsia"/>
          <w:sz w:val="24"/>
          <w:szCs w:val="24"/>
          <w:highlight w:val="none"/>
          <w:u w:val="none"/>
          <w:lang w:val="en-US" w:eastAsia="zh-CN"/>
        </w:rPr>
        <w:t>监测</w:t>
      </w:r>
    </w:p>
    <w:p>
      <w:pPr>
        <w:keepNext w:val="0"/>
        <w:keepLines w:val="0"/>
        <w:pageBreakBefore w:val="0"/>
        <w:widowControl w:val="0"/>
        <w:numPr>
          <w:ilvl w:val="0"/>
          <w:numId w:val="8"/>
        </w:numPr>
        <w:kinsoku/>
        <w:wordWrap/>
        <w:overflowPunct/>
        <w:topLinePunct w:val="0"/>
        <w:autoSpaceDE/>
        <w:autoSpaceDN/>
        <w:bidi w:val="0"/>
        <w:adjustRightInd w:val="0"/>
        <w:snapToGrid w:val="0"/>
        <w:spacing w:line="480" w:lineRule="auto"/>
        <w:ind w:right="0" w:rightChars="0"/>
        <w:jc w:val="both"/>
        <w:textAlignment w:val="auto"/>
        <w:outlineLvl w:val="9"/>
        <w:rPr>
          <w:rFonts w:ascii="宋体" w:hAnsi="宋体"/>
          <w:sz w:val="24"/>
          <w:szCs w:val="24"/>
          <w:highlight w:val="none"/>
          <w:u w:val="none"/>
        </w:rPr>
      </w:pPr>
      <w:r>
        <w:rPr>
          <w:rFonts w:ascii="宋体" w:hAnsi="宋体"/>
          <w:sz w:val="24"/>
          <w:szCs w:val="24"/>
          <w:highlight w:val="none"/>
          <w:u w:val="none"/>
        </w:rPr>
        <w:t>具备</w:t>
      </w:r>
      <w:r>
        <w:rPr>
          <w:rFonts w:hint="eastAsia" w:ascii="宋体" w:hAnsi="宋体"/>
          <w:sz w:val="24"/>
          <w:szCs w:val="24"/>
          <w:highlight w:val="none"/>
          <w:u w:val="none"/>
          <w:lang w:eastAsia="zh-CN"/>
        </w:rPr>
        <w:t>内置一体化</w:t>
      </w:r>
      <w:r>
        <w:rPr>
          <w:rFonts w:ascii="宋体" w:hAnsi="宋体"/>
          <w:sz w:val="24"/>
          <w:szCs w:val="24"/>
          <w:highlight w:val="none"/>
          <w:u w:val="none"/>
        </w:rPr>
        <w:t>药物雾化功能</w:t>
      </w:r>
    </w:p>
    <w:p>
      <w:pPr>
        <w:keepNext w:val="0"/>
        <w:keepLines w:val="0"/>
        <w:pageBreakBefore w:val="0"/>
        <w:widowControl w:val="0"/>
        <w:kinsoku/>
        <w:wordWrap/>
        <w:overflowPunct/>
        <w:topLinePunct w:val="0"/>
        <w:autoSpaceDE/>
        <w:autoSpaceDN/>
        <w:bidi w:val="0"/>
        <w:adjustRightInd w:val="0"/>
        <w:snapToGrid w:val="0"/>
        <w:spacing w:line="480" w:lineRule="auto"/>
        <w:ind w:right="0" w:rightChars="0"/>
        <w:jc w:val="both"/>
        <w:textAlignment w:val="auto"/>
        <w:outlineLvl w:val="9"/>
        <w:rPr>
          <w:rFonts w:hint="eastAsia" w:ascii="Times New Roman" w:hAnsi="Times New Roman" w:cs="Times New Roman"/>
          <w:sz w:val="24"/>
          <w:szCs w:val="24"/>
          <w:highlight w:val="none"/>
          <w:u w:val="none"/>
        </w:rPr>
      </w:pPr>
      <w:r>
        <w:rPr>
          <w:rFonts w:hint="eastAsia" w:ascii="Times New Roman" w:hAnsi="Times New Roman" w:cs="Times New Roman"/>
          <w:sz w:val="24"/>
          <w:szCs w:val="24"/>
          <w:highlight w:val="none"/>
          <w:u w:val="none"/>
          <w:lang w:val="en-US" w:eastAsia="zh-CN"/>
        </w:rPr>
        <w:t>九、配置850湿化器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jc w:val="both"/>
        <w:textAlignment w:val="auto"/>
        <w:outlineLvl w:val="9"/>
        <w:rPr>
          <w:rFonts w:hint="eastAsia" w:ascii="宋体" w:hAnsi="宋体"/>
          <w:sz w:val="24"/>
          <w:szCs w:val="24"/>
          <w:highlight w:val="none"/>
          <w:u w:val="none"/>
        </w:rPr>
      </w:pPr>
      <w:r>
        <w:rPr>
          <w:rFonts w:hint="eastAsia" w:ascii="宋体" w:hAnsi="宋体"/>
          <w:sz w:val="24"/>
          <w:szCs w:val="24"/>
          <w:highlight w:val="none"/>
          <w:u w:val="none"/>
          <w:lang w:eastAsia="zh-CN"/>
        </w:rPr>
        <w:t>十、具备多种通信输出接口：包括</w:t>
      </w:r>
      <w:r>
        <w:rPr>
          <w:rFonts w:hint="eastAsia" w:ascii="宋体" w:hAnsi="宋体"/>
          <w:sz w:val="24"/>
          <w:szCs w:val="24"/>
          <w:highlight w:val="none"/>
          <w:u w:val="none"/>
          <w:lang w:val="en-US" w:eastAsia="zh-CN"/>
        </w:rPr>
        <w:t>VGA接口、3个以上USB接口等，方便科研教学</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jc w:val="both"/>
        <w:textAlignment w:val="auto"/>
        <w:outlineLvl w:val="9"/>
        <w:rPr>
          <w:rFonts w:hint="eastAsia" w:ascii="宋体" w:hAnsi="宋体"/>
          <w:sz w:val="24"/>
          <w:szCs w:val="24"/>
          <w:highlight w:val="none"/>
          <w:u w:val="none"/>
        </w:rPr>
      </w:pPr>
      <w:r>
        <w:rPr>
          <w:rFonts w:hint="eastAsia" w:ascii="宋体" w:hAnsi="宋体"/>
          <w:sz w:val="24"/>
          <w:szCs w:val="24"/>
          <w:highlight w:val="none"/>
          <w:u w:val="none"/>
          <w:lang w:val="en-US" w:eastAsia="zh-CN"/>
        </w:rPr>
        <w:t>十一、具备高级拓展功能平台，可拓展血氧饱和度监测及呼末二氧化碳监测功能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jc w:val="both"/>
        <w:textAlignment w:val="auto"/>
        <w:outlineLvl w:val="9"/>
        <w:rPr>
          <w:rFonts w:hint="eastAsia" w:ascii="宋体" w:hAnsi="宋体"/>
          <w:sz w:val="24"/>
          <w:szCs w:val="24"/>
          <w:highlight w:val="none"/>
          <w:u w:val="none"/>
        </w:rPr>
      </w:pPr>
      <w:r>
        <w:rPr>
          <w:rFonts w:hint="eastAsia" w:ascii="宋体" w:hAnsi="宋体"/>
          <w:sz w:val="24"/>
          <w:szCs w:val="24"/>
          <w:highlight w:val="none"/>
          <w:u w:val="none"/>
          <w:lang w:val="en-US" w:eastAsia="zh-CN"/>
        </w:rPr>
        <w:t>十二、具备完善的报警及系统自检功能</w:t>
      </w:r>
    </w:p>
    <w:p>
      <w:pPr>
        <w:spacing w:line="360" w:lineRule="auto"/>
        <w:ind w:left="105"/>
        <w:jc w:val="center"/>
        <w:rPr>
          <w:rFonts w:ascii="宋体"/>
          <w:b/>
          <w:sz w:val="36"/>
          <w:highlight w:val="none"/>
        </w:rPr>
      </w:pPr>
      <w:r>
        <w:rPr>
          <w:rFonts w:hint="eastAsia" w:ascii="宋体" w:hAnsi="宋体"/>
          <w:b/>
          <w:sz w:val="36"/>
          <w:highlight w:val="none"/>
        </w:rPr>
        <w:br w:type="page"/>
      </w:r>
      <w:r>
        <w:rPr>
          <w:rFonts w:hint="eastAsia" w:ascii="宋体" w:hAnsi="宋体"/>
          <w:b/>
          <w:sz w:val="36"/>
          <w:highlight w:val="none"/>
        </w:rPr>
        <w:t>第四部分合同条款及格式</w:t>
      </w:r>
      <w:bookmarkEnd w:id="128"/>
    </w:p>
    <w:p>
      <w:pPr>
        <w:pStyle w:val="20"/>
        <w:tabs>
          <w:tab w:val="left" w:pos="0"/>
        </w:tabs>
        <w:spacing w:line="480" w:lineRule="exact"/>
        <w:ind w:left="0" w:leftChars="0" w:firstLine="0" w:firstLineChars="0"/>
        <w:jc w:val="center"/>
        <w:rPr>
          <w:rFonts w:ascii="宋体"/>
          <w:sz w:val="28"/>
          <w:szCs w:val="28"/>
          <w:highlight w:val="none"/>
        </w:rPr>
      </w:pPr>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19"/>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19"/>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19"/>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19"/>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19"/>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19"/>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19"/>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19"/>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19"/>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19"/>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9"/>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19"/>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19"/>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19"/>
        <w:spacing w:line="480" w:lineRule="exact"/>
        <w:ind w:left="1"/>
        <w:rPr>
          <w:rFonts w:hint="eastAsia" w:ascii="宋体" w:hAnsi="宋体"/>
          <w:bCs/>
          <w:highlight w:val="none"/>
        </w:rPr>
      </w:pPr>
      <w:r>
        <w:rPr>
          <w:rFonts w:hint="eastAsia" w:ascii="宋体" w:hAnsi="宋体"/>
          <w:bCs/>
          <w:highlight w:val="none"/>
        </w:rPr>
        <w:t>付款方式：</w:t>
      </w:r>
    </w:p>
    <w:p>
      <w:pPr>
        <w:pStyle w:val="19"/>
        <w:spacing w:line="480" w:lineRule="exact"/>
        <w:ind w:left="1"/>
        <w:rPr>
          <w:rFonts w:ascii="宋体"/>
          <w:bCs/>
          <w:highlight w:val="none"/>
        </w:rPr>
      </w:pPr>
      <w:r>
        <w:rPr>
          <w:rFonts w:hint="eastAsia" w:ascii="宋体" w:hAnsi="宋体" w:cs="宋体"/>
          <w:color w:val="000000"/>
          <w:spacing w:val="7"/>
          <w:highlight w:val="none"/>
        </w:rPr>
        <w:t>货物交付后，经双方验收合格签字且财务入账三个月内，支付合同总金额90%，余款作为质量保证金，自财务入账之日起满12个月后，无质量问题，付清总金额的10%。</w:t>
      </w: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19"/>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19"/>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19"/>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19"/>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9"/>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9"/>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9"/>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19"/>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19"/>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19"/>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19"/>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19"/>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19"/>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19"/>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19"/>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19"/>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19"/>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19"/>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19"/>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19"/>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19"/>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19"/>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19"/>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19"/>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19"/>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9"/>
        <w:spacing w:line="480" w:lineRule="exact"/>
        <w:rPr>
          <w:rFonts w:ascii="宋体"/>
          <w:bCs/>
          <w:highlight w:val="none"/>
        </w:rPr>
      </w:pPr>
      <w:bookmarkStart w:id="129" w:name="_Toc487900361"/>
      <w:r>
        <w:rPr>
          <w:rFonts w:ascii="宋体" w:hAnsi="宋体"/>
          <w:bCs/>
          <w:highlight w:val="none"/>
        </w:rPr>
        <w:t>11</w:t>
      </w:r>
      <w:r>
        <w:rPr>
          <w:rFonts w:hint="eastAsia" w:ascii="宋体" w:hAnsi="宋体"/>
          <w:bCs/>
          <w:highlight w:val="none"/>
        </w:rPr>
        <w:t>、索赔</w:t>
      </w:r>
      <w:bookmarkEnd w:id="129"/>
    </w:p>
    <w:p>
      <w:pPr>
        <w:pStyle w:val="19"/>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9"/>
        <w:spacing w:line="480" w:lineRule="exact"/>
        <w:ind w:left="1"/>
        <w:rPr>
          <w:rFonts w:ascii="宋体"/>
          <w:bCs/>
          <w:highlight w:val="none"/>
        </w:rPr>
      </w:pPr>
      <w:bookmarkStart w:id="130"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30"/>
    </w:p>
    <w:p>
      <w:pPr>
        <w:pStyle w:val="19"/>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19"/>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9"/>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19"/>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19"/>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19"/>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19"/>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19"/>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19"/>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19"/>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19"/>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19"/>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19"/>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19"/>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9"/>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19"/>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19"/>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19"/>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19"/>
        <w:spacing w:line="480" w:lineRule="exact"/>
        <w:ind w:left="1"/>
        <w:rPr>
          <w:rFonts w:ascii="宋体"/>
          <w:bCs/>
          <w:highlight w:val="none"/>
        </w:rPr>
      </w:pPr>
      <w:bookmarkStart w:id="131"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 xml:space="preserve">17   </w:t>
      </w:r>
      <w:r>
        <w:rPr>
          <w:rFonts w:hint="eastAsia" w:ascii="宋体" w:hAnsi="宋体"/>
          <w:bCs/>
          <w:highlight w:val="none"/>
        </w:rPr>
        <w:t>税费</w:t>
      </w:r>
      <w:bookmarkEnd w:id="131"/>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2" w:name="_Toc487900369"/>
      <w:r>
        <w:rPr>
          <w:rFonts w:ascii="宋体" w:hAnsi="宋体"/>
          <w:bCs/>
          <w:highlight w:val="none"/>
        </w:rPr>
        <w:t xml:space="preserve">18   </w:t>
      </w:r>
      <w:r>
        <w:rPr>
          <w:rFonts w:hint="eastAsia" w:ascii="宋体" w:hAnsi="宋体"/>
          <w:bCs/>
          <w:highlight w:val="none"/>
        </w:rPr>
        <w:t>转让和分包</w:t>
      </w:r>
      <w:bookmarkEnd w:id="132"/>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hint="eastAsia" w:ascii="宋体" w:hAnsi="宋体"/>
          <w:bCs/>
          <w:highlight w:val="none"/>
        </w:rPr>
        <w:t>未经允许，本招标采购项目不得转让。</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3" w:name="_Toc487900371"/>
      <w:r>
        <w:rPr>
          <w:rFonts w:ascii="宋体" w:hAnsi="宋体"/>
          <w:bCs/>
          <w:highlight w:val="none"/>
        </w:rPr>
        <w:t xml:space="preserve">19   </w:t>
      </w:r>
      <w:r>
        <w:rPr>
          <w:rFonts w:hint="eastAsia" w:ascii="宋体" w:hAnsi="宋体"/>
          <w:bCs/>
          <w:highlight w:val="none"/>
        </w:rPr>
        <w:t>通知</w:t>
      </w:r>
      <w:bookmarkEnd w:id="133"/>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20</w:t>
      </w:r>
      <w:r>
        <w:rPr>
          <w:rFonts w:hint="eastAsia" w:ascii="宋体" w:hAnsi="宋体"/>
          <w:bCs/>
          <w:highlight w:val="none"/>
        </w:rPr>
        <w:t>、争议的解决</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highlight w:val="none"/>
        </w:rPr>
      </w:pPr>
      <w:r>
        <w:rPr>
          <w:rFonts w:hint="eastAsia" w:ascii="宋体" w:hAnsi="宋体"/>
          <w:bCs/>
          <w:highlight w:val="none"/>
        </w:rPr>
        <w:t>合同发生纠纷时，双方应协商解决，协商不成可以提交济南仲裁委员会仲裁。</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21</w:t>
      </w:r>
      <w:r>
        <w:rPr>
          <w:rFonts w:hint="eastAsia" w:ascii="宋体" w:hAnsi="宋体"/>
          <w:bCs/>
          <w:highlight w:val="none"/>
        </w:rPr>
        <w:t>、合同生效</w:t>
      </w:r>
    </w:p>
    <w:p>
      <w:pPr>
        <w:pStyle w:val="19"/>
        <w:keepNext w:val="0"/>
        <w:keepLines w:val="0"/>
        <w:pageBreakBefore w:val="0"/>
        <w:widowControl w:val="0"/>
        <w:kinsoku/>
        <w:wordWrap/>
        <w:overflowPunct/>
        <w:topLinePunct w:val="0"/>
        <w:autoSpaceDE/>
        <w:autoSpaceDN/>
        <w:bidi w:val="0"/>
        <w:adjustRightInd/>
        <w:snapToGrid/>
        <w:spacing w:line="420" w:lineRule="exact"/>
        <w:ind w:left="703" w:leftChars="200" w:right="0" w:rightChars="0" w:hanging="283" w:hangingChars="118"/>
        <w:jc w:val="both"/>
        <w:textAlignment w:val="auto"/>
        <w:outlineLvl w:val="9"/>
        <w:rPr>
          <w:rFonts w:ascii="宋体"/>
          <w:bCs/>
          <w:highlight w:val="none"/>
        </w:rPr>
      </w:pP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r>
        <w:rPr>
          <w:rFonts w:hint="eastAsia" w:ascii="宋体" w:hAnsi="宋体"/>
          <w:sz w:val="32"/>
          <w:szCs w:val="32"/>
          <w:highlight w:val="none"/>
        </w:rPr>
        <w:t>（货物类）</w:t>
      </w: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货物名称</w:t>
      </w:r>
      <w:r>
        <w:rPr>
          <w:rFonts w:ascii="宋体" w:hAnsi="宋体"/>
          <w:sz w:val="24"/>
          <w:highlight w:val="none"/>
        </w:rPr>
        <w:t>)</w:t>
      </w:r>
      <w:r>
        <w:rPr>
          <w:rFonts w:hint="eastAsia" w:ascii="宋体" w:hAnsi="宋体"/>
          <w:sz w:val="24"/>
          <w:highlight w:val="none"/>
        </w:rPr>
        <w:t>经（代理机构名称）以</w:t>
      </w:r>
      <w:r>
        <w:rPr>
          <w:rFonts w:hint="eastAsia" w:ascii="宋体" w:hAnsi="宋体"/>
          <w:sz w:val="24"/>
          <w:highlight w:val="none"/>
          <w:lang w:eastAsia="zh-CN"/>
        </w:rPr>
        <w:t>招标形式</w:t>
      </w:r>
      <w:r>
        <w:rPr>
          <w:rFonts w:hint="eastAsia" w:ascii="宋体" w:hAnsi="宋体"/>
          <w:sz w:val="24"/>
          <w:highlight w:val="none"/>
        </w:rPr>
        <w:t>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4" w:name="_Toc27021"/>
      <w:bookmarkStart w:id="135" w:name="_Toc15866"/>
      <w:bookmarkStart w:id="136" w:name="_Toc15550"/>
      <w:r>
        <w:rPr>
          <w:rFonts w:hint="eastAsia" w:ascii="宋体" w:hAnsi="宋体"/>
          <w:b/>
          <w:bCs/>
          <w:sz w:val="24"/>
          <w:highlight w:val="none"/>
        </w:rPr>
        <w:t>一、本合同由合同文本和下列文件组成</w:t>
      </w:r>
      <w:bookmarkEnd w:id="134"/>
      <w:bookmarkEnd w:id="135"/>
      <w:bookmarkEnd w:id="136"/>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7" w:name="_Toc16073"/>
      <w:bookmarkStart w:id="138" w:name="_Toc9903"/>
      <w:bookmarkStart w:id="139" w:name="_Toc9153"/>
      <w:r>
        <w:rPr>
          <w:rFonts w:hint="eastAsia" w:ascii="宋体" w:hAnsi="宋体"/>
          <w:b/>
          <w:bCs/>
          <w:sz w:val="24"/>
          <w:highlight w:val="none"/>
        </w:rPr>
        <w:t>二、货物的名称、数量</w:t>
      </w:r>
      <w:bookmarkEnd w:id="137"/>
      <w:bookmarkEnd w:id="138"/>
      <w:bookmarkEnd w:id="139"/>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40" w:name="_Toc14263"/>
      <w:bookmarkStart w:id="141" w:name="_Toc1690"/>
      <w:bookmarkStart w:id="142" w:name="_Toc4618"/>
      <w:r>
        <w:rPr>
          <w:rFonts w:hint="eastAsia" w:ascii="宋体" w:hAnsi="宋体"/>
          <w:b/>
          <w:bCs/>
          <w:sz w:val="24"/>
          <w:highlight w:val="none"/>
        </w:rPr>
        <w:t>三、合同金额</w:t>
      </w:r>
      <w:bookmarkEnd w:id="140"/>
      <w:bookmarkEnd w:id="141"/>
      <w:bookmarkEnd w:id="142"/>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4"/>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382"/>
        <w:outlineLvl w:val="0"/>
        <w:rPr>
          <w:rFonts w:ascii="宋体"/>
          <w:b/>
          <w:sz w:val="24"/>
          <w:highlight w:val="none"/>
        </w:rPr>
      </w:pPr>
      <w:bookmarkStart w:id="143" w:name="_Toc23604"/>
      <w:bookmarkStart w:id="144" w:name="_Toc19878"/>
      <w:bookmarkStart w:id="145" w:name="_Toc10675"/>
      <w:r>
        <w:rPr>
          <w:rFonts w:hint="eastAsia" w:ascii="宋体" w:hAnsi="宋体"/>
          <w:b/>
          <w:bCs/>
          <w:sz w:val="24"/>
          <w:highlight w:val="none"/>
        </w:rPr>
        <w:t>四、</w:t>
      </w:r>
      <w:bookmarkEnd w:id="143"/>
      <w:bookmarkEnd w:id="144"/>
      <w:bookmarkEnd w:id="145"/>
      <w:r>
        <w:rPr>
          <w:rFonts w:hint="eastAsia" w:ascii="宋体" w:hAnsi="宋体"/>
          <w:b/>
          <w:bCs/>
          <w:sz w:val="24"/>
          <w:highlight w:val="none"/>
        </w:rPr>
        <w:t>付款方式：</w:t>
      </w:r>
    </w:p>
    <w:p>
      <w:pPr>
        <w:tabs>
          <w:tab w:val="left" w:pos="764"/>
        </w:tabs>
        <w:snapToGrid w:val="0"/>
        <w:spacing w:line="480" w:lineRule="exact"/>
        <w:ind w:firstLine="480" w:firstLineChars="200"/>
        <w:rPr>
          <w:rFonts w:hint="eastAsia"/>
          <w:color w:val="000000"/>
          <w:kern w:val="2"/>
          <w:sz w:val="24"/>
          <w:szCs w:val="20"/>
          <w:highlight w:val="none"/>
          <w:lang w:val="en-US" w:eastAsia="zh-CN"/>
        </w:rPr>
      </w:pPr>
      <w:r>
        <w:rPr>
          <w:rFonts w:hint="eastAsia"/>
          <w:color w:val="000000"/>
          <w:kern w:val="2"/>
          <w:sz w:val="24"/>
          <w:szCs w:val="20"/>
          <w:highlight w:val="none"/>
          <w:lang w:val="en-US" w:eastAsia="zh-CN"/>
        </w:rPr>
        <w:t>货物交付后，经双方验收合格签字且财务入账三个月内，支付合同总金额90%，余款作为质量保证金，自财务入账之日起满12个月后，无质量问题，付清总金额的10%。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五、交货时间、地点、验收方式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、交货安装时间：合同生效后于以前交货并安装。</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6" w:name="_Toc28907"/>
      <w:bookmarkStart w:id="147" w:name="_Toc12280"/>
      <w:bookmarkStart w:id="148" w:name="_Toc28569"/>
      <w:r>
        <w:rPr>
          <w:rFonts w:hint="eastAsia" w:ascii="宋体" w:hAnsi="宋体"/>
          <w:b/>
          <w:bCs/>
          <w:sz w:val="24"/>
          <w:highlight w:val="none"/>
        </w:rPr>
        <w:t>六、履约保证金</w:t>
      </w:r>
      <w:bookmarkEnd w:id="146"/>
      <w:bookmarkEnd w:id="147"/>
      <w:bookmarkEnd w:id="148"/>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9" w:name="_Toc609"/>
      <w:bookmarkStart w:id="150" w:name="_Toc24320"/>
      <w:bookmarkStart w:id="151" w:name="_Toc29637"/>
      <w:r>
        <w:rPr>
          <w:rFonts w:hint="eastAsia" w:ascii="宋体" w:hAnsi="宋体"/>
          <w:b/>
          <w:bCs/>
          <w:sz w:val="24"/>
          <w:highlight w:val="none"/>
        </w:rPr>
        <w:t>七、合同生效</w:t>
      </w:r>
      <w:bookmarkEnd w:id="149"/>
      <w:bookmarkEnd w:id="150"/>
      <w:bookmarkEnd w:id="151"/>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2" w:name="_Toc20385"/>
      <w:bookmarkStart w:id="153" w:name="_Toc28312"/>
      <w:bookmarkStart w:id="154" w:name="_Toc10585"/>
      <w:r>
        <w:rPr>
          <w:rFonts w:hint="eastAsia" w:ascii="宋体" w:hAnsi="宋体"/>
          <w:b/>
          <w:bCs/>
          <w:sz w:val="24"/>
          <w:highlight w:val="none"/>
        </w:rPr>
        <w:t>八、合同保存</w:t>
      </w:r>
      <w:bookmarkEnd w:id="152"/>
      <w:bookmarkEnd w:id="153"/>
      <w:bookmarkEnd w:id="154"/>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5" w:name="_Toc23003"/>
      <w:bookmarkStart w:id="156" w:name="_Toc17788"/>
      <w:bookmarkStart w:id="157" w:name="_Toc14149"/>
      <w:r>
        <w:rPr>
          <w:rFonts w:hint="eastAsia" w:ascii="宋体" w:hAnsi="宋体"/>
          <w:b/>
          <w:bCs/>
          <w:sz w:val="24"/>
          <w:highlight w:val="none"/>
        </w:rPr>
        <w:t>九、违约条款</w:t>
      </w:r>
      <w:bookmarkEnd w:id="155"/>
      <w:bookmarkEnd w:id="156"/>
      <w:bookmarkEnd w:id="157"/>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8" w:name="_Toc2531"/>
      <w:bookmarkStart w:id="159" w:name="_Toc4944"/>
      <w:bookmarkStart w:id="160" w:name="_Toc25277"/>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8"/>
      <w:bookmarkEnd w:id="159"/>
      <w:bookmarkEnd w:id="160"/>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61" w:name="_Toc4921"/>
      <w:r>
        <w:rPr>
          <w:rFonts w:hint="eastAsia" w:ascii="宋体" w:hAnsi="宋体"/>
          <w:b/>
          <w:kern w:val="0"/>
          <w:sz w:val="36"/>
          <w:szCs w:val="20"/>
          <w:highlight w:val="none"/>
        </w:rPr>
        <w:t>第五部分附件</w:t>
      </w:r>
      <w:bookmarkEnd w:id="161"/>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w:t>
      </w:r>
      <w:r>
        <w:rPr>
          <w:rFonts w:hint="eastAsia" w:ascii="宋体" w:hAnsi="宋体"/>
          <w:highlight w:val="none"/>
          <w:lang w:eastAsia="zh-CN"/>
        </w:rPr>
        <w:t>包</w:t>
      </w:r>
      <w:r>
        <w:rPr>
          <w:rFonts w:hint="eastAsia" w:ascii="宋体" w:hAnsi="宋体"/>
          <w:highlight w:val="none"/>
          <w:lang w:val="en-US" w:eastAsia="zh-CN"/>
        </w:rPr>
        <w:t>__</w:t>
      </w:r>
      <w:r>
        <w:rPr>
          <w:rFonts w:hint="eastAsia" w:ascii="宋体" w:hAnsi="宋体"/>
          <w:highlight w:val="none"/>
        </w:rPr>
        <w:t>货物供货、安装调试、人员培训、售后服务等投标活动并提交投标文件。为此，我方郑重声明以下诸点，并负法律责任。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w:t>
      </w:r>
      <w:r>
        <w:rPr>
          <w:rFonts w:hint="eastAsia" w:ascii="宋体" w:hAnsi="宋体"/>
          <w:highlight w:val="none"/>
          <w:lang w:eastAsia="zh-CN"/>
        </w:rPr>
        <w:t>投标保证金、</w:t>
      </w:r>
      <w:r>
        <w:rPr>
          <w:rFonts w:hint="eastAsia" w:ascii="宋体" w:hAnsi="宋体"/>
          <w:highlight w:val="none"/>
        </w:rPr>
        <w:t>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19"/>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19"/>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19"/>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19"/>
        <w:spacing w:after="145" w:afterLines="50" w:line="480" w:lineRule="exact"/>
        <w:jc w:val="center"/>
        <w:rPr>
          <w:rFonts w:ascii="宋体"/>
          <w:b/>
          <w:bCs/>
          <w:sz w:val="32"/>
          <w:szCs w:val="32"/>
          <w:highlight w:val="none"/>
        </w:rPr>
      </w:pPr>
      <w:r>
        <w:rPr>
          <w:rFonts w:hint="eastAsia" w:ascii="宋体" w:hAnsi="宋体"/>
          <w:b/>
          <w:bCs/>
          <w:sz w:val="32"/>
          <w:szCs w:val="32"/>
          <w:highlight w:val="none"/>
        </w:rPr>
        <w:t>开标一览表</w:t>
      </w:r>
    </w:p>
    <w:p>
      <w:pPr>
        <w:pStyle w:val="19"/>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5"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hint="eastAsia" w:ascii="宋体" w:hAnsi="宋体"/>
                <w:bCs/>
                <w:sz w:val="24"/>
                <w:highlight w:val="none"/>
              </w:rPr>
            </w:pPr>
            <w:r>
              <w:rPr>
                <w:rFonts w:hint="eastAsia" w:ascii="宋体" w:hAnsi="宋体"/>
                <w:bCs/>
                <w:sz w:val="24"/>
                <w:highlight w:val="none"/>
              </w:rPr>
              <w:t>所投包号及货物名称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tcBorders>
              <w:top w:val="nil"/>
            </w:tcBorders>
            <w:vAlign w:val="center"/>
          </w:tcPr>
          <w:p>
            <w:pPr>
              <w:spacing w:line="480" w:lineRule="exact"/>
              <w:jc w:val="center"/>
              <w:rPr>
                <w:rFonts w:ascii="宋体"/>
                <w:bCs/>
                <w:sz w:val="24"/>
                <w:highlight w:val="none"/>
              </w:rPr>
            </w:pPr>
            <w:r>
              <w:rPr>
                <w:rFonts w:hint="eastAsia" w:ascii="宋体" w:hAnsi="宋体"/>
                <w:bCs/>
                <w:sz w:val="24"/>
                <w:highlight w:val="none"/>
              </w:rPr>
              <w:t>产地</w:t>
            </w:r>
            <w:r>
              <w:rPr>
                <w:rFonts w:ascii="宋体" w:hAnsi="宋体"/>
                <w:bCs/>
                <w:sz w:val="24"/>
                <w:highlight w:val="none"/>
              </w:rPr>
              <w:t>/</w:t>
            </w:r>
            <w:r>
              <w:rPr>
                <w:rFonts w:hint="eastAsia" w:ascii="宋体" w:hAnsi="宋体"/>
                <w:bCs/>
                <w:sz w:val="24"/>
                <w:highlight w:val="none"/>
              </w:rPr>
              <w:t>品牌</w:t>
            </w:r>
            <w:r>
              <w:rPr>
                <w:rFonts w:ascii="宋体" w:hAnsi="宋体"/>
                <w:bCs/>
                <w:sz w:val="24"/>
                <w:highlight w:val="none"/>
              </w:rPr>
              <w:t>/</w:t>
            </w:r>
            <w:r>
              <w:rPr>
                <w:rFonts w:hint="eastAsia" w:ascii="宋体" w:hAnsi="宋体"/>
                <w:bCs/>
                <w:sz w:val="24"/>
                <w:highlight w:val="none"/>
              </w:rPr>
              <w:t>型号</w:t>
            </w:r>
          </w:p>
        </w:tc>
        <w:tc>
          <w:tcPr>
            <w:tcW w:w="7125" w:type="dxa"/>
            <w:vAlign w:val="center"/>
          </w:tcPr>
          <w:p>
            <w:pPr>
              <w:spacing w:line="48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w:t>
            </w:r>
            <w:r>
              <w:rPr>
                <w:rFonts w:hint="eastAsia" w:ascii="宋体" w:hAnsi="宋体"/>
                <w:bCs/>
                <w:sz w:val="24"/>
                <w:highlight w:val="none"/>
                <w:lang w:eastAsia="zh-CN"/>
              </w:rPr>
              <w:t>报</w:t>
            </w:r>
            <w:r>
              <w:rPr>
                <w:rFonts w:hint="eastAsia" w:ascii="宋体" w:hAnsi="宋体"/>
                <w:bCs/>
                <w:sz w:val="24"/>
                <w:highlight w:val="none"/>
              </w:rPr>
              <w:t>价</w:t>
            </w:r>
          </w:p>
        </w:tc>
        <w:tc>
          <w:tcPr>
            <w:tcW w:w="7125" w:type="dxa"/>
            <w:vAlign w:val="center"/>
          </w:tcPr>
          <w:p>
            <w:pPr>
              <w:spacing w:line="360" w:lineRule="auto"/>
              <w:rPr>
                <w:rFonts w:ascii="宋体" w:hAnsi="宋体" w:cs="宋体"/>
                <w:color w:val="auto"/>
                <w:szCs w:val="20"/>
                <w:highlight w:val="none"/>
              </w:rPr>
            </w:pPr>
            <w:r>
              <w:rPr>
                <w:rFonts w:ascii="宋体" w:hAnsi="宋体" w:cs="宋体"/>
                <w:color w:val="auto"/>
                <w:szCs w:val="20"/>
                <w:highlight w:val="none"/>
              </w:rPr>
              <w:t>（大写）：</w:t>
            </w:r>
          </w:p>
          <w:p>
            <w:pPr>
              <w:spacing w:line="480" w:lineRule="exact"/>
              <w:rPr>
                <w:rFonts w:hint="eastAsia" w:ascii="宋体" w:hAnsi="宋体" w:eastAsia="宋体"/>
                <w:sz w:val="24"/>
                <w:highlight w:val="none"/>
                <w:lang w:eastAsia="zh-CN"/>
              </w:rPr>
            </w:pPr>
            <w:r>
              <w:rPr>
                <w:rFonts w:ascii="宋体" w:hAnsi="宋体" w:cs="宋体"/>
                <w:color w:val="auto"/>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5" w:type="dxa"/>
            <w:vAlign w:val="center"/>
          </w:tcPr>
          <w:p>
            <w:pPr>
              <w:spacing w:line="480" w:lineRule="exact"/>
              <w:rPr>
                <w:rFonts w:ascii="宋体"/>
                <w:bCs/>
                <w:sz w:val="24"/>
                <w:highlight w:val="none"/>
              </w:rPr>
            </w:pPr>
            <w:r>
              <w:rPr>
                <w:rFonts w:ascii="宋体" w:hAnsi="宋体"/>
                <w:sz w:val="24"/>
                <w:highlight w:val="none"/>
                <w:u w:val="single"/>
              </w:rPr>
              <w:t xml:space="preserve">     </w:t>
            </w:r>
            <w:r>
              <w:rPr>
                <w:rFonts w:hint="eastAsia" w:ascii="宋体" w:hAnsi="宋体"/>
                <w:sz w:val="24"/>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7125"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5"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8" w:type="first"/>
          <w:footerReference r:id="rId7" w:type="default"/>
          <w:type w:val="continuous"/>
          <w:pgSz w:w="11907" w:h="16840"/>
          <w:pgMar w:top="1304" w:right="1383" w:bottom="1157" w:left="1531" w:header="851" w:footer="850" w:gutter="0"/>
          <w:pgNumType w:fmt="decimal"/>
          <w:cols w:space="0" w:num="1"/>
          <w:titlePg/>
          <w:rtlGutter w:val="0"/>
          <w:docGrid w:type="lines" w:linePitch="290" w:charSpace="0"/>
        </w:sectPr>
      </w:pPr>
    </w:p>
    <w:p>
      <w:pPr>
        <w:pStyle w:val="19"/>
        <w:spacing w:line="480" w:lineRule="exact"/>
        <w:outlineLvl w:val="0"/>
        <w:rPr>
          <w:rFonts w:ascii="宋体"/>
          <w:highlight w:val="none"/>
        </w:rPr>
      </w:pPr>
      <w:bookmarkStart w:id="162" w:name="_Toc23111"/>
      <w:bookmarkStart w:id="163" w:name="_Toc32015"/>
      <w:bookmarkStart w:id="164" w:name="_Toc5221"/>
      <w:r>
        <w:rPr>
          <w:rFonts w:hint="eastAsia" w:ascii="宋体" w:hAnsi="宋体"/>
          <w:highlight w:val="none"/>
        </w:rPr>
        <w:t>附件四：</w:t>
      </w:r>
      <w:bookmarkEnd w:id="162"/>
      <w:bookmarkEnd w:id="163"/>
      <w:bookmarkEnd w:id="164"/>
    </w:p>
    <w:p>
      <w:pPr>
        <w:pStyle w:val="19"/>
        <w:spacing w:line="480" w:lineRule="exact"/>
        <w:jc w:val="center"/>
        <w:outlineLvl w:val="0"/>
        <w:rPr>
          <w:rFonts w:ascii="宋体"/>
          <w:b/>
          <w:sz w:val="32"/>
          <w:szCs w:val="32"/>
          <w:highlight w:val="none"/>
        </w:rPr>
      </w:pPr>
      <w:bookmarkStart w:id="165" w:name="_Toc27446"/>
      <w:bookmarkStart w:id="166" w:name="_Toc26583"/>
      <w:bookmarkStart w:id="167" w:name="_Toc17048"/>
      <w:r>
        <w:rPr>
          <w:rFonts w:hint="eastAsia" w:ascii="宋体" w:hAnsi="宋体"/>
          <w:b/>
          <w:sz w:val="32"/>
          <w:szCs w:val="32"/>
          <w:highlight w:val="none"/>
        </w:rPr>
        <w:t>投标明细表</w:t>
      </w:r>
      <w:bookmarkEnd w:id="165"/>
      <w:bookmarkEnd w:id="166"/>
      <w:bookmarkEnd w:id="167"/>
    </w:p>
    <w:p>
      <w:pPr>
        <w:tabs>
          <w:tab w:val="left" w:pos="1785"/>
        </w:tabs>
        <w:spacing w:line="480" w:lineRule="exact"/>
        <w:rPr>
          <w:rFonts w:ascii="宋体"/>
          <w:sz w:val="24"/>
          <w:highlight w:val="none"/>
        </w:rPr>
      </w:pPr>
      <w:r>
        <w:rPr>
          <w:rFonts w:hint="eastAsia" w:ascii="宋体" w:hAnsi="宋体"/>
          <w:b/>
          <w:sz w:val="24"/>
          <w:highlight w:val="none"/>
        </w:rPr>
        <w:t>货物名称</w:t>
      </w:r>
      <w:r>
        <w:rPr>
          <w:rFonts w:ascii="宋体" w:hAnsi="宋体"/>
          <w:b/>
          <w:sz w:val="24"/>
          <w:highlight w:val="none"/>
        </w:rPr>
        <w:t xml:space="preserve"> :                                                     </w:t>
      </w:r>
      <w:r>
        <w:rPr>
          <w:rFonts w:hint="eastAsia" w:ascii="宋体" w:hAnsi="宋体"/>
          <w:b/>
          <w:sz w:val="24"/>
          <w:highlight w:val="none"/>
        </w:rPr>
        <w:t>包号：</w:t>
      </w:r>
      <w:r>
        <w:rPr>
          <w:rFonts w:ascii="宋体" w:hAnsi="宋体"/>
          <w:b/>
          <w:sz w:val="24"/>
          <w:highlight w:val="none"/>
        </w:rPr>
        <w:t xml:space="preserve">                                     </w:t>
      </w:r>
      <w:r>
        <w:rPr>
          <w:rFonts w:hint="eastAsia" w:ascii="宋体" w:hAnsi="宋体"/>
          <w:b/>
          <w:sz w:val="24"/>
          <w:highlight w:val="none"/>
        </w:rPr>
        <w:t>投标货币：</w:t>
      </w:r>
      <w:r>
        <w:rPr>
          <w:rFonts w:ascii="宋体" w:hAnsi="宋体"/>
          <w:sz w:val="24"/>
          <w:highlight w:val="none"/>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highlight w:val="none"/>
              </w:rPr>
            </w:pPr>
          </w:p>
        </w:tc>
        <w:tc>
          <w:tcPr>
            <w:tcW w:w="1164" w:type="dxa"/>
            <w:vMerge w:val="continue"/>
            <w:vAlign w:val="center"/>
          </w:tcPr>
          <w:p>
            <w:pPr>
              <w:spacing w:line="480" w:lineRule="exact"/>
              <w:jc w:val="center"/>
              <w:rPr>
                <w:rFonts w:ascii="宋体"/>
                <w:sz w:val="24"/>
                <w:highlight w:val="none"/>
              </w:rPr>
            </w:pPr>
          </w:p>
        </w:tc>
        <w:tc>
          <w:tcPr>
            <w:tcW w:w="1566" w:type="dxa"/>
            <w:vMerge w:val="continue"/>
          </w:tcPr>
          <w:p>
            <w:pPr>
              <w:spacing w:line="480" w:lineRule="exact"/>
              <w:rPr>
                <w:rFonts w:ascii="宋体"/>
                <w:sz w:val="24"/>
                <w:highlight w:val="none"/>
              </w:rPr>
            </w:pPr>
          </w:p>
        </w:tc>
        <w:tc>
          <w:tcPr>
            <w:tcW w:w="1602" w:type="dxa"/>
            <w:vMerge w:val="continue"/>
          </w:tcPr>
          <w:p>
            <w:pPr>
              <w:spacing w:line="480" w:lineRule="exact"/>
              <w:rPr>
                <w:rFonts w:ascii="宋体"/>
                <w:sz w:val="24"/>
                <w:highlight w:val="none"/>
              </w:rPr>
            </w:pPr>
          </w:p>
        </w:tc>
        <w:tc>
          <w:tcPr>
            <w:tcW w:w="1056" w:type="dxa"/>
            <w:vMerge w:val="continue"/>
          </w:tcPr>
          <w:p>
            <w:pPr>
              <w:spacing w:line="480" w:lineRule="exact"/>
              <w:rPr>
                <w:rFonts w:ascii="宋体"/>
                <w:sz w:val="24"/>
                <w:highlight w:val="none"/>
              </w:rPr>
            </w:pPr>
          </w:p>
        </w:tc>
        <w:tc>
          <w:tcPr>
            <w:tcW w:w="702"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tcPr>
          <w:p>
            <w:pPr>
              <w:spacing w:line="480" w:lineRule="exact"/>
              <w:jc w:val="center"/>
              <w:rPr>
                <w:rFonts w:ascii="宋体"/>
                <w:sz w:val="24"/>
                <w:highlight w:val="none"/>
              </w:rPr>
            </w:pPr>
          </w:p>
        </w:tc>
        <w:tc>
          <w:tcPr>
            <w:tcW w:w="1260" w:type="dxa"/>
            <w:vMerge w:val="continue"/>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tcPr>
          <w:p>
            <w:pPr>
              <w:widowControl/>
              <w:spacing w:line="480" w:lineRule="exact"/>
              <w:jc w:val="left"/>
              <w:rPr>
                <w:rFonts w:ascii="宋体"/>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授权代表（签字或盖章）：年月日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ascii="宋体"/>
          <w:sz w:val="24"/>
          <w:highlight w:val="none"/>
        </w:r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tabs>
          <w:tab w:val="left" w:pos="930"/>
        </w:tabs>
        <w:spacing w:line="480" w:lineRule="exact"/>
        <w:ind w:firstLine="553" w:firstLineChars="250"/>
        <w:rPr>
          <w:rFonts w:ascii="宋体"/>
          <w:sz w:val="24"/>
          <w:highlight w:val="none"/>
        </w:rPr>
      </w:pPr>
      <w:r>
        <w:rPr>
          <w:rFonts w:ascii="宋体" w:hAnsi="宋体"/>
          <w:sz w:val="24"/>
          <w:highlight w:val="none"/>
        </w:rPr>
        <w:t>3.</w:t>
      </w:r>
      <w:r>
        <w:rPr>
          <w:rFonts w:hint="eastAsia" w:ascii="宋体" w:hAnsi="宋体"/>
          <w:sz w:val="24"/>
          <w:highlight w:val="none"/>
        </w:rPr>
        <w:t>如上表中有关费用投标人免费提供，请注明“免费”字样。</w:t>
      </w:r>
    </w:p>
    <w:p>
      <w:pPr>
        <w:pStyle w:val="19"/>
        <w:spacing w:line="480" w:lineRule="exact"/>
        <w:ind w:firstLine="553" w:firstLineChars="250"/>
        <w:outlineLvl w:val="0"/>
        <w:rPr>
          <w:rFonts w:ascii="宋体"/>
          <w:highlight w:val="none"/>
        </w:rPr>
        <w:sectPr>
          <w:pgSz w:w="16840" w:h="11907" w:orient="landscape"/>
          <w:pgMar w:top="1418" w:right="1157" w:bottom="1418" w:left="1304" w:header="851" w:footer="851" w:gutter="0"/>
          <w:pgNumType w:fmt="decimal"/>
          <w:cols w:space="720" w:num="1"/>
          <w:docGrid w:type="linesAndChars" w:linePitch="290" w:charSpace="-3931"/>
        </w:sectPr>
      </w:pPr>
    </w:p>
    <w:p>
      <w:pPr>
        <w:pStyle w:val="15"/>
        <w:spacing w:line="480" w:lineRule="exact"/>
        <w:rPr>
          <w:rFonts w:ascii="宋体" w:hAnsi="宋体" w:eastAsia="宋体"/>
          <w:highlight w:val="none"/>
        </w:rPr>
      </w:pPr>
      <w:r>
        <w:rPr>
          <w:rFonts w:hint="eastAsia" w:ascii="宋体" w:hAnsi="宋体" w:eastAsia="宋体" w:cs="Times New Roman"/>
          <w:sz w:val="24"/>
          <w:szCs w:val="24"/>
          <w:highlight w:val="none"/>
        </w:rPr>
        <w:t>附件五：</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r>
        <w:rPr>
          <w:rFonts w:hint="eastAsia" w:ascii="宋体" w:hAnsi="宋体"/>
          <w:sz w:val="24"/>
          <w:highlight w:val="none"/>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5"/>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附件六</w:t>
      </w:r>
      <w:r>
        <w:rPr>
          <w:rFonts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r>
        <w:rPr>
          <w:rFonts w:hint="eastAsia" w:ascii="宋体" w:hAnsi="宋体"/>
          <w:sz w:val="24"/>
          <w:highlight w:val="none"/>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68" w:name="_Toc13100"/>
      <w:bookmarkStart w:id="169" w:name="_Toc13424"/>
      <w:bookmarkStart w:id="170" w:name="_Toc29000"/>
      <w:r>
        <w:rPr>
          <w:rFonts w:hint="eastAsia" w:ascii="宋体" w:hAnsi="宋体"/>
          <w:sz w:val="24"/>
          <w:highlight w:val="none"/>
        </w:rPr>
        <w:t>附件七：</w:t>
      </w:r>
      <w:r>
        <w:rPr>
          <w:rFonts w:hint="eastAsia" w:ascii="宋体" w:hAnsi="宋体"/>
          <w:b/>
          <w:sz w:val="28"/>
          <w:highlight w:val="none"/>
        </w:rPr>
        <w:t>服务承诺及其它优惠条件</w:t>
      </w:r>
      <w:bookmarkEnd w:id="168"/>
      <w:bookmarkEnd w:id="169"/>
      <w:bookmarkEnd w:id="170"/>
    </w:p>
    <w:p>
      <w:pPr>
        <w:spacing w:line="480" w:lineRule="exact"/>
        <w:jc w:val="center"/>
        <w:outlineLvl w:val="0"/>
        <w:rPr>
          <w:rFonts w:ascii="宋体"/>
          <w:bCs/>
          <w:sz w:val="28"/>
          <w:szCs w:val="28"/>
          <w:highlight w:val="none"/>
        </w:rPr>
      </w:pPr>
      <w:bookmarkStart w:id="171" w:name="_Toc13684"/>
      <w:bookmarkStart w:id="172" w:name="_Toc22463"/>
      <w:bookmarkStart w:id="173" w:name="_Toc24720"/>
      <w:r>
        <w:rPr>
          <w:rFonts w:hint="eastAsia" w:ascii="宋体" w:hAnsi="宋体"/>
          <w:bCs/>
          <w:sz w:val="28"/>
          <w:szCs w:val="28"/>
          <w:highlight w:val="none"/>
        </w:rPr>
        <w:t>（格式自定）</w:t>
      </w:r>
      <w:bookmarkEnd w:id="171"/>
      <w:bookmarkEnd w:id="172"/>
      <w:bookmarkEnd w:id="173"/>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74" w:name="_Toc10218"/>
      <w:bookmarkStart w:id="175" w:name="_Toc17401"/>
      <w:bookmarkStart w:id="176" w:name="_Toc696"/>
      <w:r>
        <w:rPr>
          <w:rFonts w:hint="eastAsia" w:ascii="宋体" w:hAnsi="宋体"/>
          <w:sz w:val="24"/>
          <w:highlight w:val="none"/>
        </w:rPr>
        <w:t>附件八：</w:t>
      </w:r>
      <w:r>
        <w:rPr>
          <w:rFonts w:hint="eastAsia" w:ascii="宋体" w:hAnsi="宋体"/>
          <w:b/>
          <w:sz w:val="28"/>
          <w:highlight w:val="none"/>
        </w:rPr>
        <w:t>质保期外备品备件、易损件报价表</w:t>
      </w:r>
      <w:bookmarkEnd w:id="174"/>
      <w:bookmarkEnd w:id="175"/>
      <w:bookmarkEnd w:id="176"/>
    </w:p>
    <w:p>
      <w:pPr>
        <w:spacing w:line="480" w:lineRule="exact"/>
        <w:jc w:val="center"/>
        <w:outlineLvl w:val="0"/>
        <w:rPr>
          <w:rFonts w:ascii="宋体"/>
          <w:b/>
          <w:sz w:val="28"/>
          <w:highlight w:val="none"/>
        </w:rPr>
      </w:pPr>
      <w:bookmarkStart w:id="177" w:name="_Toc1232"/>
      <w:bookmarkStart w:id="178" w:name="_Toc11451"/>
      <w:bookmarkStart w:id="179" w:name="_Toc10814"/>
      <w:r>
        <w:rPr>
          <w:rFonts w:ascii="宋体" w:hAnsi="宋体"/>
          <w:b/>
          <w:sz w:val="28"/>
          <w:highlight w:val="none"/>
        </w:rPr>
        <w:t>(</w:t>
      </w:r>
      <w:r>
        <w:rPr>
          <w:rFonts w:hint="eastAsia" w:ascii="宋体" w:hAnsi="宋体"/>
          <w:b/>
          <w:sz w:val="28"/>
          <w:highlight w:val="none"/>
        </w:rPr>
        <w:t>不包含在总报价中</w:t>
      </w:r>
      <w:r>
        <w:rPr>
          <w:rFonts w:ascii="宋体"/>
          <w:b/>
          <w:sz w:val="28"/>
          <w:highlight w:val="none"/>
        </w:rPr>
        <w:t>,</w:t>
      </w:r>
      <w:r>
        <w:rPr>
          <w:rFonts w:hint="eastAsia" w:ascii="宋体" w:hAnsi="宋体"/>
          <w:b/>
          <w:bCs/>
          <w:sz w:val="28"/>
          <w:szCs w:val="28"/>
          <w:highlight w:val="none"/>
        </w:rPr>
        <w:t>格式自定</w:t>
      </w:r>
      <w:r>
        <w:rPr>
          <w:rFonts w:ascii="宋体" w:hAnsi="宋体"/>
          <w:b/>
          <w:sz w:val="28"/>
          <w:highlight w:val="none"/>
        </w:rPr>
        <w:t>)</w:t>
      </w:r>
      <w:bookmarkEnd w:id="177"/>
      <w:bookmarkEnd w:id="178"/>
      <w:bookmarkEnd w:id="179"/>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bookmarkStart w:id="180" w:name="_Toc28785"/>
      <w:bookmarkStart w:id="181" w:name="_Toc1332"/>
      <w:bookmarkStart w:id="182" w:name="_Toc1358"/>
      <w:r>
        <w:rPr>
          <w:rFonts w:hint="eastAsia" w:ascii="宋体" w:hAnsi="宋体"/>
          <w:sz w:val="24"/>
          <w:highlight w:val="none"/>
        </w:rPr>
        <w:t>附件九：</w:t>
      </w:r>
      <w:r>
        <w:rPr>
          <w:rFonts w:hint="eastAsia" w:ascii="宋体" w:hAnsi="宋体"/>
          <w:b/>
          <w:sz w:val="28"/>
          <w:highlight w:val="none"/>
        </w:rPr>
        <w:t>与所投设备配套耗材的价格表</w:t>
      </w:r>
      <w:bookmarkEnd w:id="180"/>
      <w:bookmarkEnd w:id="181"/>
      <w:bookmarkEnd w:id="182"/>
    </w:p>
    <w:p>
      <w:pPr>
        <w:spacing w:line="480" w:lineRule="exact"/>
        <w:jc w:val="center"/>
        <w:outlineLvl w:val="0"/>
        <w:rPr>
          <w:rFonts w:ascii="宋体"/>
          <w:b/>
          <w:sz w:val="28"/>
          <w:highlight w:val="none"/>
        </w:rPr>
      </w:pPr>
      <w:r>
        <w:rPr>
          <w:rFonts w:ascii="宋体" w:hAnsi="宋体"/>
          <w:b/>
          <w:sz w:val="28"/>
          <w:highlight w:val="none"/>
        </w:rPr>
        <w:t xml:space="preserve">     </w:t>
      </w:r>
      <w:bookmarkStart w:id="183" w:name="_Toc5244"/>
      <w:bookmarkStart w:id="184" w:name="_Toc19558"/>
      <w:bookmarkStart w:id="185" w:name="_Toc9985"/>
      <w:r>
        <w:rPr>
          <w:rFonts w:ascii="宋体" w:hAnsi="宋体"/>
          <w:b/>
          <w:sz w:val="28"/>
          <w:highlight w:val="none"/>
        </w:rPr>
        <w:t>(</w:t>
      </w:r>
      <w:r>
        <w:rPr>
          <w:rFonts w:hint="eastAsia" w:ascii="宋体" w:hAnsi="宋体"/>
          <w:b/>
          <w:sz w:val="28"/>
          <w:highlight w:val="none"/>
        </w:rPr>
        <w:t>耗材报价不包含在总报价中</w:t>
      </w:r>
      <w:r>
        <w:rPr>
          <w:rFonts w:ascii="宋体"/>
          <w:b/>
          <w:sz w:val="28"/>
          <w:highlight w:val="none"/>
        </w:rPr>
        <w:t>,</w:t>
      </w:r>
      <w:r>
        <w:rPr>
          <w:rFonts w:hint="eastAsia" w:ascii="宋体" w:hAnsi="宋体"/>
          <w:b/>
          <w:bCs/>
          <w:sz w:val="28"/>
          <w:szCs w:val="28"/>
          <w:highlight w:val="none"/>
        </w:rPr>
        <w:t>格式自定，注明耗材价格几年不变</w:t>
      </w:r>
      <w:r>
        <w:rPr>
          <w:rFonts w:ascii="宋体" w:hAnsi="宋体"/>
          <w:b/>
          <w:sz w:val="28"/>
          <w:highlight w:val="none"/>
        </w:rPr>
        <w:t>)</w:t>
      </w:r>
      <w:bookmarkEnd w:id="183"/>
      <w:bookmarkEnd w:id="184"/>
      <w:bookmarkEnd w:id="185"/>
    </w:p>
    <w:p>
      <w:pPr>
        <w:spacing w:line="480" w:lineRule="exact"/>
        <w:jc w:val="center"/>
        <w:outlineLvl w:val="0"/>
        <w:rPr>
          <w:rFonts w:ascii="宋体"/>
          <w:b/>
          <w:sz w:val="28"/>
          <w:highlight w:val="none"/>
        </w:rPr>
      </w:pPr>
    </w:p>
    <w:p>
      <w:pPr>
        <w:spacing w:line="480" w:lineRule="exact"/>
        <w:jc w:val="center"/>
        <w:outlineLvl w:val="0"/>
        <w:rPr>
          <w:rFonts w:ascii="宋体"/>
          <w:sz w:val="24"/>
          <w:highlight w:val="none"/>
        </w:rPr>
      </w:pPr>
    </w:p>
    <w:p>
      <w:pPr>
        <w:spacing w:line="480" w:lineRule="exact"/>
        <w:outlineLvl w:val="0"/>
        <w:rPr>
          <w:rFonts w:ascii="宋体"/>
          <w:sz w:val="24"/>
          <w:highlight w:val="none"/>
        </w:rPr>
      </w:pPr>
      <w:r>
        <w:rPr>
          <w:rFonts w:ascii="宋体"/>
          <w:sz w:val="24"/>
          <w:highlight w:val="none"/>
        </w:rPr>
        <w:br w:type="page"/>
      </w:r>
    </w:p>
    <w:p>
      <w:pPr>
        <w:spacing w:line="480" w:lineRule="exact"/>
        <w:jc w:val="center"/>
        <w:outlineLvl w:val="0"/>
        <w:rPr>
          <w:rFonts w:ascii="宋体"/>
          <w:b/>
          <w:sz w:val="28"/>
          <w:highlight w:val="none"/>
        </w:rPr>
      </w:pPr>
      <w:bookmarkStart w:id="186" w:name="_Toc26987"/>
      <w:bookmarkStart w:id="187" w:name="_Toc13044"/>
      <w:bookmarkStart w:id="188" w:name="_Toc27071"/>
      <w:r>
        <w:rPr>
          <w:rFonts w:hint="eastAsia" w:ascii="宋体" w:hAnsi="宋体"/>
          <w:sz w:val="24"/>
          <w:highlight w:val="none"/>
        </w:rPr>
        <w:t>附件十：</w:t>
      </w:r>
      <w:r>
        <w:rPr>
          <w:rFonts w:hint="eastAsia" w:ascii="宋体" w:hAnsi="宋体"/>
          <w:b/>
          <w:sz w:val="28"/>
          <w:highlight w:val="none"/>
        </w:rPr>
        <w:t>维保方案及维保费用报价表</w:t>
      </w:r>
      <w:bookmarkEnd w:id="186"/>
      <w:bookmarkEnd w:id="187"/>
      <w:bookmarkEnd w:id="188"/>
    </w:p>
    <w:p>
      <w:pPr>
        <w:spacing w:line="440" w:lineRule="exact"/>
        <w:rPr>
          <w:rFonts w:ascii="宋体"/>
          <w:b/>
          <w:bCs/>
          <w:sz w:val="24"/>
          <w:highlight w:val="none"/>
        </w:rPr>
      </w:pPr>
      <w:r>
        <w:rPr>
          <w:rFonts w:hint="eastAsia" w:ascii="宋体" w:hAnsi="宋体"/>
          <w:b/>
          <w:bCs/>
          <w:sz w:val="24"/>
          <w:highlight w:val="none"/>
        </w:rPr>
        <w:t>包</w:t>
      </w:r>
      <w:r>
        <w:rPr>
          <w:rFonts w:ascii="宋体" w:hAnsi="宋体"/>
          <w:b/>
          <w:bCs/>
          <w:sz w:val="24"/>
          <w:highlight w:val="none"/>
          <w:u w:val="single"/>
        </w:rPr>
        <w:t xml:space="preserve">   </w:t>
      </w:r>
      <w:r>
        <w:rPr>
          <w:rFonts w:hint="eastAsia" w:ascii="宋体" w:hAnsi="宋体"/>
          <w:b/>
          <w:bCs/>
          <w:sz w:val="24"/>
          <w:highlight w:val="none"/>
        </w:rPr>
        <w:t>保修期内、外维护方案及报价</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35" w:hRule="atLeast"/>
        </w:trPr>
        <w:tc>
          <w:tcPr>
            <w:tcW w:w="9570" w:type="dxa"/>
          </w:tcPr>
          <w:p>
            <w:pPr>
              <w:spacing w:line="440" w:lineRule="exact"/>
              <w:rPr>
                <w:rFonts w:ascii="宋体"/>
                <w:sz w:val="24"/>
                <w:highlight w:val="none"/>
              </w:rPr>
            </w:pPr>
            <w:r>
              <w:rPr>
                <w:rFonts w:ascii="宋体" w:hAnsi="宋体"/>
                <w:sz w:val="24"/>
                <w:highlight w:val="none"/>
              </w:rPr>
              <w:t>1</w:t>
            </w:r>
            <w:r>
              <w:rPr>
                <w:rFonts w:hint="eastAsia" w:ascii="宋体" w:hAnsi="宋体"/>
                <w:sz w:val="24"/>
                <w:highlight w:val="none"/>
              </w:rPr>
              <w:t>、服务范围</w:t>
            </w:r>
          </w:p>
          <w:p>
            <w:pPr>
              <w:spacing w:line="440" w:lineRule="exact"/>
              <w:rPr>
                <w:rFonts w:ascii="宋体"/>
                <w:sz w:val="24"/>
                <w:highlight w:val="none"/>
              </w:rPr>
            </w:pPr>
            <w:r>
              <w:rPr>
                <w:rFonts w:ascii="宋体" w:hAnsi="宋体"/>
                <w:sz w:val="24"/>
                <w:highlight w:val="none"/>
              </w:rPr>
              <w:t>2</w:t>
            </w:r>
            <w:r>
              <w:rPr>
                <w:rFonts w:hint="eastAsia" w:ascii="宋体" w:hAnsi="宋体"/>
                <w:sz w:val="24"/>
                <w:highlight w:val="none"/>
              </w:rPr>
              <w:t>、服务期限</w:t>
            </w:r>
          </w:p>
          <w:p>
            <w:pPr>
              <w:spacing w:line="440" w:lineRule="exact"/>
              <w:rPr>
                <w:rFonts w:ascii="宋体"/>
                <w:sz w:val="24"/>
                <w:highlight w:val="none"/>
              </w:rPr>
            </w:pPr>
            <w:r>
              <w:rPr>
                <w:rFonts w:ascii="宋体" w:hAnsi="宋体"/>
                <w:sz w:val="24"/>
                <w:highlight w:val="none"/>
              </w:rPr>
              <w:t>3</w:t>
            </w:r>
            <w:r>
              <w:rPr>
                <w:rFonts w:hint="eastAsia" w:ascii="宋体" w:hAnsi="宋体"/>
                <w:sz w:val="24"/>
                <w:highlight w:val="none"/>
              </w:rPr>
              <w:t>、服务内容</w:t>
            </w:r>
          </w:p>
          <w:p>
            <w:pPr>
              <w:spacing w:line="440" w:lineRule="exact"/>
              <w:rPr>
                <w:rFonts w:ascii="宋体"/>
                <w:sz w:val="24"/>
                <w:highlight w:val="none"/>
              </w:rPr>
            </w:pPr>
            <w:r>
              <w:rPr>
                <w:rFonts w:ascii="宋体" w:hAnsi="宋体"/>
                <w:sz w:val="24"/>
                <w:highlight w:val="none"/>
              </w:rPr>
              <w:t>4</w:t>
            </w:r>
            <w:r>
              <w:rPr>
                <w:rFonts w:hint="eastAsia" w:ascii="宋体" w:hAnsi="宋体"/>
                <w:sz w:val="24"/>
                <w:highlight w:val="none"/>
              </w:rPr>
              <w:t>、甲乙双方负责的内容</w:t>
            </w:r>
          </w:p>
          <w:p>
            <w:pPr>
              <w:spacing w:line="440" w:lineRule="exact"/>
              <w:rPr>
                <w:rFonts w:ascii="宋体"/>
                <w:sz w:val="24"/>
                <w:highlight w:val="none"/>
              </w:rPr>
            </w:pPr>
            <w:r>
              <w:rPr>
                <w:rFonts w:ascii="宋体" w:hAnsi="宋体"/>
                <w:sz w:val="24"/>
                <w:highlight w:val="none"/>
              </w:rPr>
              <w:t>5</w:t>
            </w:r>
            <w:r>
              <w:rPr>
                <w:rFonts w:hint="eastAsia" w:ascii="宋体" w:hAnsi="宋体"/>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6" w:hRule="atLeast"/>
        </w:trPr>
        <w:tc>
          <w:tcPr>
            <w:tcW w:w="9570" w:type="dxa"/>
          </w:tcPr>
          <w:p>
            <w:pPr>
              <w:numPr>
                <w:ilvl w:val="0"/>
                <w:numId w:val="9"/>
              </w:numPr>
              <w:spacing w:line="440" w:lineRule="exact"/>
              <w:rPr>
                <w:rFonts w:ascii="宋体"/>
                <w:sz w:val="24"/>
                <w:highlight w:val="none"/>
              </w:rPr>
            </w:pPr>
            <w:r>
              <w:rPr>
                <w:rFonts w:hint="eastAsia" w:ascii="宋体" w:hAnsi="宋体"/>
                <w:sz w:val="24"/>
                <w:highlight w:val="none"/>
              </w:rPr>
              <w:t>保修期内维保费用报价明细：（格式自定）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numPr>
                <w:ilvl w:val="0"/>
                <w:numId w:val="9"/>
              </w:numPr>
              <w:spacing w:line="440" w:lineRule="exact"/>
              <w:rPr>
                <w:rFonts w:ascii="宋体"/>
                <w:sz w:val="24"/>
                <w:highlight w:val="none"/>
              </w:rPr>
            </w:pPr>
            <w:r>
              <w:rPr>
                <w:rFonts w:hint="eastAsia" w:ascii="宋体" w:hAnsi="宋体"/>
                <w:sz w:val="24"/>
                <w:highlight w:val="none"/>
              </w:rPr>
              <w:t>保修期外维保费用报价明细：（格式自定）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tc>
      </w:tr>
    </w:tbl>
    <w:p>
      <w:pPr>
        <w:spacing w:line="520" w:lineRule="exact"/>
        <w:rPr>
          <w:rFonts w:ascii="宋体"/>
          <w:sz w:val="24"/>
          <w:highlight w:val="none"/>
        </w:rPr>
      </w:pPr>
      <w:r>
        <w:rPr>
          <w:rFonts w:hint="eastAsia" w:ascii="宋体" w:hAnsi="宋体"/>
          <w:sz w:val="24"/>
          <w:highlight w:val="none"/>
        </w:rPr>
        <w:t>注：</w:t>
      </w:r>
      <w:r>
        <w:rPr>
          <w:rFonts w:ascii="宋体" w:hAnsi="宋体"/>
          <w:sz w:val="24"/>
          <w:highlight w:val="none"/>
        </w:rPr>
        <w:t>1</w:t>
      </w:r>
      <w:r>
        <w:rPr>
          <w:rFonts w:hint="eastAsia" w:ascii="宋体" w:hAnsi="宋体"/>
          <w:sz w:val="24"/>
          <w:highlight w:val="none"/>
        </w:rPr>
        <w:t>、保修期内维保费用包含在本次报价中；</w:t>
      </w:r>
    </w:p>
    <w:p>
      <w:pPr>
        <w:spacing w:line="52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、保修期外维保费用不包含在本次报价中。</w:t>
      </w:r>
    </w:p>
    <w:p>
      <w:pPr>
        <w:spacing w:line="480" w:lineRule="exact"/>
        <w:jc w:val="center"/>
        <w:outlineLvl w:val="0"/>
        <w:rPr>
          <w:rFonts w:ascii="宋体"/>
          <w:sz w:val="24"/>
          <w:highlight w:val="none"/>
        </w:rPr>
      </w:pPr>
      <w:r>
        <w:rPr>
          <w:rFonts w:ascii="宋体"/>
          <w:sz w:val="24"/>
          <w:highlight w:val="none"/>
        </w:rPr>
        <w:br w:type="page"/>
      </w:r>
    </w:p>
    <w:p>
      <w:pPr>
        <w:spacing w:line="480" w:lineRule="exact"/>
        <w:jc w:val="center"/>
        <w:outlineLvl w:val="0"/>
        <w:rPr>
          <w:rFonts w:ascii="宋体"/>
          <w:sz w:val="24"/>
          <w:highlight w:val="none"/>
        </w:rPr>
      </w:pPr>
      <w:bookmarkStart w:id="189" w:name="_Toc15805"/>
      <w:bookmarkStart w:id="190" w:name="_Toc14477"/>
      <w:bookmarkStart w:id="191" w:name="_Toc14611"/>
      <w:r>
        <w:rPr>
          <w:rFonts w:hint="eastAsia" w:ascii="宋体" w:hAnsi="宋体"/>
          <w:sz w:val="24"/>
          <w:highlight w:val="none"/>
        </w:rPr>
        <w:t>附件十一：</w:t>
      </w:r>
      <w:r>
        <w:rPr>
          <w:rFonts w:hint="eastAsia" w:ascii="宋体" w:hAnsi="宋体"/>
          <w:b/>
          <w:sz w:val="28"/>
          <w:highlight w:val="none"/>
        </w:rPr>
        <w:t>证明文件格式</w:t>
      </w:r>
      <w:bookmarkEnd w:id="189"/>
      <w:bookmarkEnd w:id="190"/>
      <w:bookmarkEnd w:id="191"/>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92" w:name="_Toc28149"/>
      <w:bookmarkStart w:id="193" w:name="_Toc19508"/>
      <w:bookmarkStart w:id="194" w:name="_Toc5230"/>
      <w:r>
        <w:rPr>
          <w:rFonts w:hint="eastAsia" w:ascii="宋体" w:hAnsi="宋体"/>
          <w:b/>
          <w:sz w:val="24"/>
          <w:highlight w:val="none"/>
          <w:lang w:val="en-US" w:eastAsia="zh-CN"/>
        </w:rPr>
        <w:t xml:space="preserve"> </w:t>
      </w:r>
      <w:r>
        <w:rPr>
          <w:rFonts w:hint="eastAsia" w:ascii="宋体" w:hAnsi="宋体"/>
          <w:b/>
          <w:sz w:val="24"/>
          <w:highlight w:val="none"/>
        </w:rPr>
        <w:t>格式</w:t>
      </w:r>
      <w:r>
        <w:rPr>
          <w:rFonts w:ascii="宋体" w:hAnsi="宋体"/>
          <w:b/>
          <w:sz w:val="24"/>
          <w:highlight w:val="none"/>
        </w:rPr>
        <w:t xml:space="preserve">1  </w:t>
      </w:r>
      <w:r>
        <w:rPr>
          <w:rFonts w:hint="eastAsia" w:ascii="宋体" w:hAnsi="宋体"/>
          <w:b/>
          <w:sz w:val="24"/>
          <w:highlight w:val="none"/>
        </w:rPr>
        <w:t>近三年（</w:t>
      </w:r>
      <w:r>
        <w:rPr>
          <w:rFonts w:ascii="宋体" w:hAnsi="宋体"/>
          <w:b/>
          <w:sz w:val="24"/>
          <w:highlight w:val="none"/>
        </w:rPr>
        <w:t>201</w:t>
      </w:r>
      <w:r>
        <w:rPr>
          <w:rFonts w:hint="eastAsia" w:ascii="宋体" w:hAnsi="宋体"/>
          <w:b/>
          <w:sz w:val="24"/>
          <w:highlight w:val="none"/>
        </w:rPr>
        <w:t>6年</w:t>
      </w:r>
      <w:r>
        <w:rPr>
          <w:rFonts w:hint="eastAsia" w:ascii="宋体" w:hAnsi="宋体"/>
          <w:b/>
          <w:sz w:val="24"/>
          <w:highlight w:val="none"/>
          <w:lang w:val="en-US" w:eastAsia="zh-CN"/>
        </w:rPr>
        <w:t>8</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日至今）无不良信誉证明</w:t>
      </w:r>
      <w:bookmarkEnd w:id="192"/>
      <w:bookmarkEnd w:id="193"/>
      <w:bookmarkEnd w:id="194"/>
    </w:p>
    <w:p>
      <w:pPr>
        <w:spacing w:line="480" w:lineRule="exact"/>
        <w:jc w:val="center"/>
        <w:outlineLvl w:val="0"/>
        <w:rPr>
          <w:rFonts w:ascii="宋体"/>
          <w:sz w:val="24"/>
          <w:highlight w:val="none"/>
        </w:rPr>
      </w:pPr>
      <w:bookmarkStart w:id="195" w:name="_Toc16969"/>
      <w:bookmarkStart w:id="196" w:name="_Toc29571"/>
      <w:bookmarkStart w:id="197" w:name="_Toc5579"/>
      <w:r>
        <w:rPr>
          <w:rFonts w:hint="eastAsia" w:ascii="宋体" w:hAnsi="宋体"/>
          <w:sz w:val="24"/>
          <w:highlight w:val="none"/>
        </w:rPr>
        <w:t>（需声明投标人近三年未发生重大质量安全事故；无弄虚作假和重大违法违纪行为；无医药购销领域商业贿赂方面的不良记录。）</w:t>
      </w:r>
      <w:bookmarkEnd w:id="195"/>
      <w:bookmarkEnd w:id="196"/>
      <w:bookmarkEnd w:id="197"/>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8" w:name="_Toc25890"/>
      <w:bookmarkStart w:id="199" w:name="_Toc1781"/>
      <w:bookmarkStart w:id="200" w:name="_Toc5573"/>
      <w:r>
        <w:rPr>
          <w:rFonts w:hint="eastAsia" w:ascii="宋体" w:hAnsi="宋体"/>
          <w:b/>
          <w:sz w:val="24"/>
          <w:highlight w:val="none"/>
        </w:rPr>
        <w:t>格式</w:t>
      </w:r>
      <w:r>
        <w:rPr>
          <w:rFonts w:ascii="宋体" w:hAnsi="宋体"/>
          <w:b/>
          <w:sz w:val="24"/>
          <w:highlight w:val="none"/>
        </w:rPr>
        <w:t xml:space="preserve">2  </w:t>
      </w:r>
      <w:r>
        <w:rPr>
          <w:rFonts w:hint="eastAsia" w:ascii="宋体" w:hAnsi="宋体"/>
          <w:b/>
          <w:sz w:val="24"/>
          <w:highlight w:val="none"/>
        </w:rPr>
        <w:t>近两年（</w:t>
      </w:r>
      <w:r>
        <w:rPr>
          <w:rFonts w:ascii="宋体" w:hAnsi="宋体"/>
          <w:b/>
          <w:sz w:val="24"/>
          <w:highlight w:val="none"/>
        </w:rPr>
        <w:t>201</w:t>
      </w:r>
      <w:r>
        <w:rPr>
          <w:rFonts w:hint="eastAsia" w:ascii="宋体" w:hAnsi="宋体"/>
          <w:b/>
          <w:sz w:val="24"/>
          <w:highlight w:val="none"/>
          <w:lang w:val="en-US" w:eastAsia="zh-CN"/>
        </w:rPr>
        <w:t>7</w:t>
      </w:r>
      <w:r>
        <w:rPr>
          <w:rFonts w:hint="eastAsia" w:ascii="宋体" w:hAnsi="宋体"/>
          <w:b/>
          <w:sz w:val="24"/>
          <w:highlight w:val="none"/>
        </w:rPr>
        <w:t>年、</w:t>
      </w:r>
      <w:r>
        <w:rPr>
          <w:rFonts w:ascii="宋体" w:hAnsi="宋体"/>
          <w:b/>
          <w:sz w:val="24"/>
          <w:highlight w:val="none"/>
        </w:rPr>
        <w:t>201</w:t>
      </w:r>
      <w:r>
        <w:rPr>
          <w:rFonts w:hint="eastAsia" w:ascii="宋体" w:hAnsi="宋体"/>
          <w:b/>
          <w:sz w:val="24"/>
          <w:highlight w:val="none"/>
          <w:lang w:val="en-US" w:eastAsia="zh-CN"/>
        </w:rPr>
        <w:t>8</w:t>
      </w:r>
      <w:r>
        <w:rPr>
          <w:rFonts w:hint="eastAsia" w:ascii="宋体" w:hAnsi="宋体"/>
          <w:b/>
          <w:sz w:val="24"/>
          <w:highlight w:val="none"/>
        </w:rPr>
        <w:t>年）财务状况报告</w:t>
      </w:r>
      <w:bookmarkEnd w:id="198"/>
      <w:bookmarkEnd w:id="199"/>
      <w:bookmarkEnd w:id="200"/>
    </w:p>
    <w:p>
      <w:pPr>
        <w:spacing w:line="480" w:lineRule="exact"/>
        <w:jc w:val="center"/>
        <w:outlineLvl w:val="0"/>
        <w:rPr>
          <w:rFonts w:ascii="宋体"/>
          <w:sz w:val="24"/>
          <w:highlight w:val="none"/>
        </w:rPr>
      </w:pPr>
      <w:bookmarkStart w:id="201" w:name="_Toc29391"/>
      <w:bookmarkStart w:id="202" w:name="_Toc3211"/>
      <w:bookmarkStart w:id="203" w:name="_Toc24571"/>
      <w:r>
        <w:rPr>
          <w:rFonts w:hint="eastAsia" w:ascii="宋体" w:hAnsi="宋体"/>
          <w:sz w:val="24"/>
          <w:highlight w:val="none"/>
        </w:rPr>
        <w:t>（附财务报表（含资产负债表、现金流量表、利润表的复印件），或其基本开户银行出具的资信证明）</w:t>
      </w:r>
      <w:bookmarkEnd w:id="201"/>
      <w:bookmarkEnd w:id="202"/>
      <w:bookmarkEnd w:id="203"/>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204" w:name="_Toc23494"/>
      <w:bookmarkStart w:id="205" w:name="_Toc13521"/>
      <w:bookmarkStart w:id="206" w:name="_Toc23883"/>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204"/>
      <w:bookmarkEnd w:id="205"/>
      <w:bookmarkEnd w:id="206"/>
    </w:p>
    <w:p>
      <w:pPr>
        <w:spacing w:line="480" w:lineRule="exact"/>
        <w:jc w:val="center"/>
        <w:outlineLvl w:val="0"/>
        <w:rPr>
          <w:rFonts w:hint="eastAsia" w:ascii="宋体" w:hAnsi="宋体"/>
          <w:sz w:val="24"/>
          <w:highlight w:val="none"/>
        </w:rPr>
      </w:pPr>
      <w:bookmarkStart w:id="207" w:name="_Toc16451"/>
      <w:bookmarkStart w:id="208" w:name="_Toc20732"/>
      <w:bookmarkStart w:id="209" w:name="_Toc1183"/>
      <w:r>
        <w:rPr>
          <w:rFonts w:hint="eastAsia" w:ascii="宋体" w:hAnsi="宋体"/>
          <w:sz w:val="24"/>
          <w:highlight w:val="none"/>
        </w:rPr>
        <w:t>1、附近三个月的纳税凭证：完税凭证或免税证明或纳税申报表或银行缴税电汇凭证；</w:t>
      </w:r>
    </w:p>
    <w:p>
      <w:pPr>
        <w:spacing w:line="480" w:lineRule="exact"/>
        <w:jc w:val="both"/>
        <w:outlineLvl w:val="0"/>
        <w:rPr>
          <w:rFonts w:hint="eastAsia" w:ascii="宋体" w:hAnsi="宋体"/>
          <w:sz w:val="24"/>
          <w:highlight w:val="none"/>
        </w:rPr>
      </w:pPr>
      <w:r>
        <w:rPr>
          <w:rFonts w:hint="eastAsia" w:ascii="宋体" w:hAnsi="宋体"/>
          <w:sz w:val="24"/>
          <w:highlight w:val="none"/>
        </w:rPr>
        <w:t>2、近三个月缴纳社会保险的凭据：专用收据或社会保险缴纳清单。</w:t>
      </w:r>
    </w:p>
    <w:bookmarkEnd w:id="207"/>
    <w:bookmarkEnd w:id="208"/>
    <w:bookmarkEnd w:id="209"/>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210" w:name="_Toc31328"/>
      <w:bookmarkStart w:id="211" w:name="_Toc3815"/>
      <w:bookmarkStart w:id="212" w:name="_Toc4"/>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210"/>
      <w:bookmarkEnd w:id="211"/>
      <w:bookmarkEnd w:id="212"/>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213" w:name="_Toc15082"/>
      <w:bookmarkStart w:id="214" w:name="_Toc11678"/>
      <w:bookmarkStart w:id="215" w:name="_Toc4460"/>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213"/>
      <w:bookmarkEnd w:id="214"/>
      <w:bookmarkEnd w:id="215"/>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216" w:name="_Toc170"/>
      <w:bookmarkStart w:id="217" w:name="_Toc9435"/>
      <w:bookmarkStart w:id="218" w:name="_Toc14964"/>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16"/>
      <w:bookmarkEnd w:id="217"/>
      <w:bookmarkEnd w:id="218"/>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2"/>
        <w:spacing w:line="580" w:lineRule="exact"/>
        <w:jc w:val="center"/>
        <w:rPr>
          <w:sz w:val="28"/>
          <w:szCs w:val="28"/>
          <w:highlight w:val="none"/>
        </w:rPr>
      </w:pPr>
      <w:r>
        <w:rPr>
          <w:rFonts w:ascii="宋体"/>
          <w:highlight w:val="none"/>
        </w:rPr>
        <w:br w:type="page"/>
      </w:r>
      <w:bookmarkStart w:id="219" w:name="_Toc492372156"/>
      <w:bookmarkStart w:id="220" w:name="_Toc503943637"/>
      <w:bookmarkStart w:id="221" w:name="_Toc499831025"/>
      <w:bookmarkStart w:id="222" w:name="_Toc15306"/>
      <w:bookmarkStart w:id="223" w:name="_Toc499827580"/>
      <w:r>
        <w:rPr>
          <w:rFonts w:hint="eastAsia"/>
          <w:sz w:val="28"/>
          <w:szCs w:val="28"/>
          <w:highlight w:val="none"/>
        </w:rPr>
        <w:t>格式</w:t>
      </w:r>
      <w:r>
        <w:rPr>
          <w:sz w:val="28"/>
          <w:szCs w:val="28"/>
          <w:highlight w:val="none"/>
        </w:rPr>
        <w:t xml:space="preserve">7  </w:t>
      </w:r>
      <w:bookmarkEnd w:id="219"/>
      <w:r>
        <w:rPr>
          <w:rFonts w:hint="eastAsia"/>
          <w:sz w:val="28"/>
          <w:szCs w:val="28"/>
          <w:highlight w:val="none"/>
        </w:rPr>
        <w:t>残疾人福利性单位声明函</w:t>
      </w:r>
      <w:bookmarkEnd w:id="220"/>
      <w:bookmarkEnd w:id="221"/>
      <w:bookmarkEnd w:id="222"/>
      <w:bookmarkEnd w:id="223"/>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附件十二：</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type w:val="continuous"/>
          <w:pgSz w:w="11907" w:h="16840"/>
          <w:pgMar w:top="1304" w:right="1418" w:bottom="1157" w:left="1418" w:header="851" w:footer="851" w:gutter="0"/>
          <w:pgNumType w:fmt="decimal"/>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所投包号：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hint="eastAsia" w:ascii="宋体" w:hAnsi="宋体"/>
                <w:b/>
                <w:bCs/>
                <w:kern w:val="2"/>
                <w:szCs w:val="24"/>
                <w:highlight w:val="none"/>
              </w:rPr>
            </w:pPr>
            <w:r>
              <w:rPr>
                <w:rFonts w:hint="eastAsia" w:ascii="宋体" w:hAnsi="宋体"/>
                <w:kern w:val="2"/>
                <w:szCs w:val="24"/>
                <w:highlight w:val="none"/>
              </w:rPr>
              <w:t>所投包号：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906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所投包号：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pgNumType w:fmt="decimal"/>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8" o:spid="_x0000_s409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D0EA6"/>
    <w:multiLevelType w:val="singleLevel"/>
    <w:tmpl w:val="952D0EA6"/>
    <w:lvl w:ilvl="0" w:tentative="0">
      <w:start w:val="1"/>
      <w:numFmt w:val="decimal"/>
      <w:suff w:val="nothing"/>
      <w:lvlText w:val="%1、"/>
      <w:lvlJc w:val="left"/>
    </w:lvl>
  </w:abstractNum>
  <w:abstractNum w:abstractNumId="1">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2">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3">
    <w:nsid w:val="3EE00A02"/>
    <w:multiLevelType w:val="singleLevel"/>
    <w:tmpl w:val="3EE00A02"/>
    <w:lvl w:ilvl="0" w:tentative="0">
      <w:start w:val="1"/>
      <w:numFmt w:val="decimal"/>
      <w:suff w:val="nothing"/>
      <w:lvlText w:val="%1、"/>
      <w:lvlJc w:val="left"/>
    </w:lvl>
  </w:abstractNum>
  <w:abstractNum w:abstractNumId="4">
    <w:nsid w:val="57629722"/>
    <w:multiLevelType w:val="singleLevel"/>
    <w:tmpl w:val="57629722"/>
    <w:lvl w:ilvl="0" w:tentative="0">
      <w:start w:val="8"/>
      <w:numFmt w:val="chineseCounting"/>
      <w:suff w:val="nothing"/>
      <w:lvlText w:val="%1、"/>
      <w:lvlJc w:val="left"/>
    </w:lvl>
  </w:abstractNum>
  <w:abstractNum w:abstractNumId="5">
    <w:nsid w:val="576362CC"/>
    <w:multiLevelType w:val="singleLevel"/>
    <w:tmpl w:val="576362CC"/>
    <w:lvl w:ilvl="0" w:tentative="0">
      <w:start w:val="2"/>
      <w:numFmt w:val="chineseCounting"/>
      <w:suff w:val="nothing"/>
      <w:lvlText w:val="%1、"/>
      <w:lvlJc w:val="left"/>
    </w:lvl>
  </w:abstractNum>
  <w:abstractNum w:abstractNumId="6">
    <w:nsid w:val="5AE0118E"/>
    <w:multiLevelType w:val="singleLevel"/>
    <w:tmpl w:val="5AE0118E"/>
    <w:lvl w:ilvl="0" w:tentative="0">
      <w:start w:val="5"/>
      <w:numFmt w:val="decimal"/>
      <w:suff w:val="nothing"/>
      <w:lvlText w:val="%1、"/>
      <w:lvlJc w:val="left"/>
      <w:rPr>
        <w:rFonts w:cs="Times New Roman"/>
      </w:rPr>
    </w:lvl>
  </w:abstractNum>
  <w:abstractNum w:abstractNumId="7">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6B60F0AF"/>
    <w:multiLevelType w:val="singleLevel"/>
    <w:tmpl w:val="6B60F0AF"/>
    <w:lvl w:ilvl="0" w:tentative="0">
      <w:start w:val="1"/>
      <w:numFmt w:val="decimal"/>
      <w:lvlText w:val="%1."/>
      <w:lvlJc w:val="left"/>
      <w:pPr>
        <w:tabs>
          <w:tab w:val="left" w:pos="312"/>
        </w:tabs>
      </w:pPr>
    </w:lvl>
  </w:abstractNum>
  <w:num w:numId="1">
    <w:abstractNumId w:val="0"/>
  </w:num>
  <w:num w:numId="2">
    <w:abstractNumId w:val="1"/>
  </w:num>
  <w:num w:numId="3">
    <w:abstractNumId w:val="6"/>
  </w:num>
  <w:num w:numId="4">
    <w:abstractNumId w:val="2"/>
  </w:num>
  <w:num w:numId="5">
    <w:abstractNumId w:val="8"/>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50"/>
  <w:drawingGridHorizontalSpacing w:val="191"/>
  <w:drawingGridVerticalSpacing w:val="146"/>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94398"/>
    <w:rsid w:val="003C419A"/>
    <w:rsid w:val="003D1EDA"/>
    <w:rsid w:val="003F33E7"/>
    <w:rsid w:val="00432143"/>
    <w:rsid w:val="0046019C"/>
    <w:rsid w:val="004772C0"/>
    <w:rsid w:val="004D1A53"/>
    <w:rsid w:val="00517D33"/>
    <w:rsid w:val="00527409"/>
    <w:rsid w:val="0053706A"/>
    <w:rsid w:val="00566766"/>
    <w:rsid w:val="005735D4"/>
    <w:rsid w:val="00575932"/>
    <w:rsid w:val="00576D88"/>
    <w:rsid w:val="005B2561"/>
    <w:rsid w:val="005D2392"/>
    <w:rsid w:val="005D7CBB"/>
    <w:rsid w:val="006769D2"/>
    <w:rsid w:val="0067730B"/>
    <w:rsid w:val="0069381A"/>
    <w:rsid w:val="006A54E5"/>
    <w:rsid w:val="006C069F"/>
    <w:rsid w:val="006E1D66"/>
    <w:rsid w:val="00761902"/>
    <w:rsid w:val="00774762"/>
    <w:rsid w:val="007838AB"/>
    <w:rsid w:val="007A5FB1"/>
    <w:rsid w:val="0082141B"/>
    <w:rsid w:val="008F5DC5"/>
    <w:rsid w:val="00920411"/>
    <w:rsid w:val="00991453"/>
    <w:rsid w:val="00995536"/>
    <w:rsid w:val="009B1504"/>
    <w:rsid w:val="009D2573"/>
    <w:rsid w:val="009D5D9A"/>
    <w:rsid w:val="009F1C91"/>
    <w:rsid w:val="00A35668"/>
    <w:rsid w:val="00A478A0"/>
    <w:rsid w:val="00A540D0"/>
    <w:rsid w:val="00A75CA1"/>
    <w:rsid w:val="00AA49DB"/>
    <w:rsid w:val="00AD5758"/>
    <w:rsid w:val="00AF6B68"/>
    <w:rsid w:val="00B0178F"/>
    <w:rsid w:val="00B14739"/>
    <w:rsid w:val="00B3167C"/>
    <w:rsid w:val="00BF1996"/>
    <w:rsid w:val="00BF5D8C"/>
    <w:rsid w:val="00C22CF4"/>
    <w:rsid w:val="00C30279"/>
    <w:rsid w:val="00CE6A2C"/>
    <w:rsid w:val="00CF633E"/>
    <w:rsid w:val="00D0384D"/>
    <w:rsid w:val="00D20821"/>
    <w:rsid w:val="00D2184F"/>
    <w:rsid w:val="00D262AB"/>
    <w:rsid w:val="00D76286"/>
    <w:rsid w:val="00D90AF6"/>
    <w:rsid w:val="00DB598B"/>
    <w:rsid w:val="00DD5723"/>
    <w:rsid w:val="00DE054B"/>
    <w:rsid w:val="00DE31F6"/>
    <w:rsid w:val="00E17C0E"/>
    <w:rsid w:val="00E352B5"/>
    <w:rsid w:val="00E6261D"/>
    <w:rsid w:val="00E849CB"/>
    <w:rsid w:val="00EA13C3"/>
    <w:rsid w:val="00EB7236"/>
    <w:rsid w:val="00F5673C"/>
    <w:rsid w:val="00FC0E0C"/>
    <w:rsid w:val="00FD1F62"/>
    <w:rsid w:val="00FD3231"/>
    <w:rsid w:val="00FD5088"/>
    <w:rsid w:val="01367B2E"/>
    <w:rsid w:val="013B7FED"/>
    <w:rsid w:val="01477457"/>
    <w:rsid w:val="01483AE6"/>
    <w:rsid w:val="016171C3"/>
    <w:rsid w:val="0178463B"/>
    <w:rsid w:val="01833406"/>
    <w:rsid w:val="018B4463"/>
    <w:rsid w:val="018B6312"/>
    <w:rsid w:val="018E50CB"/>
    <w:rsid w:val="01921D31"/>
    <w:rsid w:val="019D0F86"/>
    <w:rsid w:val="019F1051"/>
    <w:rsid w:val="01B0280C"/>
    <w:rsid w:val="01CA7137"/>
    <w:rsid w:val="01CB7896"/>
    <w:rsid w:val="01E6238E"/>
    <w:rsid w:val="01F902EC"/>
    <w:rsid w:val="02226D7C"/>
    <w:rsid w:val="02227C57"/>
    <w:rsid w:val="022C7141"/>
    <w:rsid w:val="02347B0F"/>
    <w:rsid w:val="023777D9"/>
    <w:rsid w:val="023A5D18"/>
    <w:rsid w:val="023D5D3A"/>
    <w:rsid w:val="027236E2"/>
    <w:rsid w:val="0276583F"/>
    <w:rsid w:val="02855076"/>
    <w:rsid w:val="02A254D3"/>
    <w:rsid w:val="02B053ED"/>
    <w:rsid w:val="02B16F47"/>
    <w:rsid w:val="02D35B8B"/>
    <w:rsid w:val="02D601CF"/>
    <w:rsid w:val="02DC73A5"/>
    <w:rsid w:val="02E45A48"/>
    <w:rsid w:val="02EE0490"/>
    <w:rsid w:val="02FA6999"/>
    <w:rsid w:val="03190F6E"/>
    <w:rsid w:val="031B5DA2"/>
    <w:rsid w:val="03522D6F"/>
    <w:rsid w:val="03563A14"/>
    <w:rsid w:val="0368561C"/>
    <w:rsid w:val="036E457D"/>
    <w:rsid w:val="037B55A1"/>
    <w:rsid w:val="037E752F"/>
    <w:rsid w:val="03D9691B"/>
    <w:rsid w:val="040E3633"/>
    <w:rsid w:val="042D27C9"/>
    <w:rsid w:val="04322750"/>
    <w:rsid w:val="048C0542"/>
    <w:rsid w:val="04A270F4"/>
    <w:rsid w:val="04BD332D"/>
    <w:rsid w:val="04C60BF6"/>
    <w:rsid w:val="04C64C86"/>
    <w:rsid w:val="04D04155"/>
    <w:rsid w:val="04D46BF9"/>
    <w:rsid w:val="04F856AF"/>
    <w:rsid w:val="0526784C"/>
    <w:rsid w:val="052E7492"/>
    <w:rsid w:val="05446C17"/>
    <w:rsid w:val="05563819"/>
    <w:rsid w:val="055838CE"/>
    <w:rsid w:val="055D0DAD"/>
    <w:rsid w:val="05755832"/>
    <w:rsid w:val="05834B6F"/>
    <w:rsid w:val="05C6569E"/>
    <w:rsid w:val="05E35544"/>
    <w:rsid w:val="05F0753E"/>
    <w:rsid w:val="06250628"/>
    <w:rsid w:val="064B02D7"/>
    <w:rsid w:val="06542070"/>
    <w:rsid w:val="06893342"/>
    <w:rsid w:val="06B35D6A"/>
    <w:rsid w:val="06C26570"/>
    <w:rsid w:val="06D23153"/>
    <w:rsid w:val="06D80483"/>
    <w:rsid w:val="06E51FD2"/>
    <w:rsid w:val="07011658"/>
    <w:rsid w:val="07255034"/>
    <w:rsid w:val="073C5E08"/>
    <w:rsid w:val="074155D6"/>
    <w:rsid w:val="074D6753"/>
    <w:rsid w:val="075258A9"/>
    <w:rsid w:val="075713E8"/>
    <w:rsid w:val="076C384E"/>
    <w:rsid w:val="078475F2"/>
    <w:rsid w:val="078B0666"/>
    <w:rsid w:val="07963322"/>
    <w:rsid w:val="07BD01C3"/>
    <w:rsid w:val="07BD4DD1"/>
    <w:rsid w:val="07D84AF8"/>
    <w:rsid w:val="08010237"/>
    <w:rsid w:val="080B3E19"/>
    <w:rsid w:val="0811349E"/>
    <w:rsid w:val="08121A78"/>
    <w:rsid w:val="081F4806"/>
    <w:rsid w:val="08397BFF"/>
    <w:rsid w:val="08490850"/>
    <w:rsid w:val="085415DF"/>
    <w:rsid w:val="087C3B7A"/>
    <w:rsid w:val="087E432D"/>
    <w:rsid w:val="08873EAB"/>
    <w:rsid w:val="089116C8"/>
    <w:rsid w:val="08BA02CC"/>
    <w:rsid w:val="08CE65E6"/>
    <w:rsid w:val="08D614C7"/>
    <w:rsid w:val="08E30A55"/>
    <w:rsid w:val="0926027A"/>
    <w:rsid w:val="094C1DDF"/>
    <w:rsid w:val="09646610"/>
    <w:rsid w:val="097621BE"/>
    <w:rsid w:val="09782E97"/>
    <w:rsid w:val="09955B90"/>
    <w:rsid w:val="0996643B"/>
    <w:rsid w:val="09A1593F"/>
    <w:rsid w:val="09A6309D"/>
    <w:rsid w:val="09BA02F2"/>
    <w:rsid w:val="09CA79E9"/>
    <w:rsid w:val="09DD512F"/>
    <w:rsid w:val="09F55CE3"/>
    <w:rsid w:val="0A014875"/>
    <w:rsid w:val="0A0F6BF1"/>
    <w:rsid w:val="0A1A3BD9"/>
    <w:rsid w:val="0A405D2D"/>
    <w:rsid w:val="0A5A6458"/>
    <w:rsid w:val="0A6F663E"/>
    <w:rsid w:val="0A7C58C9"/>
    <w:rsid w:val="0A8054FA"/>
    <w:rsid w:val="0AC241A3"/>
    <w:rsid w:val="0AD00FE0"/>
    <w:rsid w:val="0AE21508"/>
    <w:rsid w:val="0AE73FAC"/>
    <w:rsid w:val="0AE77507"/>
    <w:rsid w:val="0AEF47FB"/>
    <w:rsid w:val="0AF9564E"/>
    <w:rsid w:val="0AFD64FB"/>
    <w:rsid w:val="0B033309"/>
    <w:rsid w:val="0B07100B"/>
    <w:rsid w:val="0B1B6B69"/>
    <w:rsid w:val="0B235BF3"/>
    <w:rsid w:val="0B4D0516"/>
    <w:rsid w:val="0B8D10E4"/>
    <w:rsid w:val="0B942855"/>
    <w:rsid w:val="0B981026"/>
    <w:rsid w:val="0BBC08C3"/>
    <w:rsid w:val="0BBC755F"/>
    <w:rsid w:val="0C0D3E59"/>
    <w:rsid w:val="0C3E6AC4"/>
    <w:rsid w:val="0C5E5EA1"/>
    <w:rsid w:val="0C620D79"/>
    <w:rsid w:val="0C6B59DB"/>
    <w:rsid w:val="0C9A2D16"/>
    <w:rsid w:val="0C9E6B40"/>
    <w:rsid w:val="0CA61420"/>
    <w:rsid w:val="0CAC6AE8"/>
    <w:rsid w:val="0CC37BE2"/>
    <w:rsid w:val="0CC64DD0"/>
    <w:rsid w:val="0CE2121D"/>
    <w:rsid w:val="0CE41B37"/>
    <w:rsid w:val="0CF4329D"/>
    <w:rsid w:val="0D0750CB"/>
    <w:rsid w:val="0D086F79"/>
    <w:rsid w:val="0D0B7061"/>
    <w:rsid w:val="0D2A2B39"/>
    <w:rsid w:val="0D4E351D"/>
    <w:rsid w:val="0D6774D6"/>
    <w:rsid w:val="0D8D2290"/>
    <w:rsid w:val="0D9945DA"/>
    <w:rsid w:val="0D99769E"/>
    <w:rsid w:val="0DA07A20"/>
    <w:rsid w:val="0DD80D8A"/>
    <w:rsid w:val="0DE02318"/>
    <w:rsid w:val="0E007950"/>
    <w:rsid w:val="0E090B33"/>
    <w:rsid w:val="0E172A1B"/>
    <w:rsid w:val="0E1967C1"/>
    <w:rsid w:val="0E2F42D1"/>
    <w:rsid w:val="0E335405"/>
    <w:rsid w:val="0E3B2EEC"/>
    <w:rsid w:val="0E4D3146"/>
    <w:rsid w:val="0E6F5851"/>
    <w:rsid w:val="0E770F0B"/>
    <w:rsid w:val="0EB52579"/>
    <w:rsid w:val="0ECB11B5"/>
    <w:rsid w:val="0ED22571"/>
    <w:rsid w:val="0ED7443F"/>
    <w:rsid w:val="0ED974C9"/>
    <w:rsid w:val="0EDB0F07"/>
    <w:rsid w:val="0EDF2B60"/>
    <w:rsid w:val="0EEE03B8"/>
    <w:rsid w:val="0EF512E5"/>
    <w:rsid w:val="0F167C07"/>
    <w:rsid w:val="0F2A62A0"/>
    <w:rsid w:val="0F501C07"/>
    <w:rsid w:val="0F507736"/>
    <w:rsid w:val="0F583E24"/>
    <w:rsid w:val="0F7449C0"/>
    <w:rsid w:val="0F973E9F"/>
    <w:rsid w:val="0FA82E1F"/>
    <w:rsid w:val="0FA96252"/>
    <w:rsid w:val="0FB03457"/>
    <w:rsid w:val="0FBC441C"/>
    <w:rsid w:val="0FC116A7"/>
    <w:rsid w:val="0FC95D8D"/>
    <w:rsid w:val="0FE576A4"/>
    <w:rsid w:val="0FEA2AA1"/>
    <w:rsid w:val="10404573"/>
    <w:rsid w:val="104352A2"/>
    <w:rsid w:val="104F28D6"/>
    <w:rsid w:val="105C27FB"/>
    <w:rsid w:val="10632D51"/>
    <w:rsid w:val="10847FCD"/>
    <w:rsid w:val="1086577E"/>
    <w:rsid w:val="10980533"/>
    <w:rsid w:val="10A34487"/>
    <w:rsid w:val="10B72F5D"/>
    <w:rsid w:val="10BD3919"/>
    <w:rsid w:val="10C1206B"/>
    <w:rsid w:val="10E8007A"/>
    <w:rsid w:val="10F75CBD"/>
    <w:rsid w:val="10FE5ED8"/>
    <w:rsid w:val="110045A1"/>
    <w:rsid w:val="110643AE"/>
    <w:rsid w:val="110E4253"/>
    <w:rsid w:val="11442249"/>
    <w:rsid w:val="114D3221"/>
    <w:rsid w:val="114E2729"/>
    <w:rsid w:val="114E7E07"/>
    <w:rsid w:val="11CE7DFC"/>
    <w:rsid w:val="11E95CE2"/>
    <w:rsid w:val="11E96D3A"/>
    <w:rsid w:val="11EA4504"/>
    <w:rsid w:val="120129C4"/>
    <w:rsid w:val="120301D5"/>
    <w:rsid w:val="122649FF"/>
    <w:rsid w:val="123B2C78"/>
    <w:rsid w:val="124219E9"/>
    <w:rsid w:val="1256132F"/>
    <w:rsid w:val="125C1D1E"/>
    <w:rsid w:val="125D168B"/>
    <w:rsid w:val="126B3ACC"/>
    <w:rsid w:val="12720074"/>
    <w:rsid w:val="127B5B8A"/>
    <w:rsid w:val="127C7A7B"/>
    <w:rsid w:val="12815604"/>
    <w:rsid w:val="12861902"/>
    <w:rsid w:val="1297465C"/>
    <w:rsid w:val="129E3A93"/>
    <w:rsid w:val="12E37BC0"/>
    <w:rsid w:val="12F234F4"/>
    <w:rsid w:val="12F31760"/>
    <w:rsid w:val="12F70183"/>
    <w:rsid w:val="12F75240"/>
    <w:rsid w:val="13153B92"/>
    <w:rsid w:val="132F60FE"/>
    <w:rsid w:val="13410E38"/>
    <w:rsid w:val="134E6871"/>
    <w:rsid w:val="136658C4"/>
    <w:rsid w:val="136B4814"/>
    <w:rsid w:val="1377104B"/>
    <w:rsid w:val="137E50DC"/>
    <w:rsid w:val="138F504A"/>
    <w:rsid w:val="139103F2"/>
    <w:rsid w:val="13A64BAD"/>
    <w:rsid w:val="13B13EB8"/>
    <w:rsid w:val="13B25516"/>
    <w:rsid w:val="13B34CC6"/>
    <w:rsid w:val="13BA0ACF"/>
    <w:rsid w:val="13D705AF"/>
    <w:rsid w:val="13F906A1"/>
    <w:rsid w:val="140C65BF"/>
    <w:rsid w:val="14175C7D"/>
    <w:rsid w:val="141845CC"/>
    <w:rsid w:val="14272C54"/>
    <w:rsid w:val="143945FD"/>
    <w:rsid w:val="14497C26"/>
    <w:rsid w:val="144C1E1B"/>
    <w:rsid w:val="146A73ED"/>
    <w:rsid w:val="14744D84"/>
    <w:rsid w:val="1476244A"/>
    <w:rsid w:val="147D31D6"/>
    <w:rsid w:val="1487005D"/>
    <w:rsid w:val="148A1490"/>
    <w:rsid w:val="14970036"/>
    <w:rsid w:val="14A251C4"/>
    <w:rsid w:val="14AB5BA1"/>
    <w:rsid w:val="14D51C51"/>
    <w:rsid w:val="14E37F8F"/>
    <w:rsid w:val="15046A51"/>
    <w:rsid w:val="15431BD8"/>
    <w:rsid w:val="1544535D"/>
    <w:rsid w:val="15531B38"/>
    <w:rsid w:val="155C65D2"/>
    <w:rsid w:val="156231BF"/>
    <w:rsid w:val="157442E0"/>
    <w:rsid w:val="15772110"/>
    <w:rsid w:val="157D04F6"/>
    <w:rsid w:val="158762D8"/>
    <w:rsid w:val="158A61CC"/>
    <w:rsid w:val="15AA5AE6"/>
    <w:rsid w:val="15AD53FA"/>
    <w:rsid w:val="15B863E2"/>
    <w:rsid w:val="15C17AA5"/>
    <w:rsid w:val="15C336BD"/>
    <w:rsid w:val="15CB45F5"/>
    <w:rsid w:val="15D86AE1"/>
    <w:rsid w:val="15DD5050"/>
    <w:rsid w:val="15E11A76"/>
    <w:rsid w:val="15EC15CC"/>
    <w:rsid w:val="16053F66"/>
    <w:rsid w:val="16060B72"/>
    <w:rsid w:val="160A6351"/>
    <w:rsid w:val="160E6831"/>
    <w:rsid w:val="161367AB"/>
    <w:rsid w:val="16165FE6"/>
    <w:rsid w:val="16580A76"/>
    <w:rsid w:val="16634357"/>
    <w:rsid w:val="167D4F4F"/>
    <w:rsid w:val="16825E91"/>
    <w:rsid w:val="169822DD"/>
    <w:rsid w:val="16993D4F"/>
    <w:rsid w:val="16AC36D9"/>
    <w:rsid w:val="16BF72A7"/>
    <w:rsid w:val="16DF10FC"/>
    <w:rsid w:val="16E921F4"/>
    <w:rsid w:val="16EB36B3"/>
    <w:rsid w:val="16ED1D96"/>
    <w:rsid w:val="170A75B6"/>
    <w:rsid w:val="1714786D"/>
    <w:rsid w:val="172743CE"/>
    <w:rsid w:val="17682F23"/>
    <w:rsid w:val="178017C5"/>
    <w:rsid w:val="17862DA8"/>
    <w:rsid w:val="178C35AF"/>
    <w:rsid w:val="17991B6E"/>
    <w:rsid w:val="17B02FF0"/>
    <w:rsid w:val="17B113C3"/>
    <w:rsid w:val="17B331B6"/>
    <w:rsid w:val="17CB4092"/>
    <w:rsid w:val="17D016D3"/>
    <w:rsid w:val="17D63E38"/>
    <w:rsid w:val="180E66C1"/>
    <w:rsid w:val="18256140"/>
    <w:rsid w:val="18274AC7"/>
    <w:rsid w:val="18294C2A"/>
    <w:rsid w:val="18363926"/>
    <w:rsid w:val="183752E1"/>
    <w:rsid w:val="18433E74"/>
    <w:rsid w:val="186D4C9B"/>
    <w:rsid w:val="187A0FF6"/>
    <w:rsid w:val="188651D5"/>
    <w:rsid w:val="189F70A8"/>
    <w:rsid w:val="18BB1E8F"/>
    <w:rsid w:val="18C37E50"/>
    <w:rsid w:val="18EB1198"/>
    <w:rsid w:val="18EB3D30"/>
    <w:rsid w:val="18F843A5"/>
    <w:rsid w:val="19075860"/>
    <w:rsid w:val="193A692A"/>
    <w:rsid w:val="19424471"/>
    <w:rsid w:val="194B5E15"/>
    <w:rsid w:val="194C631E"/>
    <w:rsid w:val="1968709D"/>
    <w:rsid w:val="198056E5"/>
    <w:rsid w:val="198236EE"/>
    <w:rsid w:val="19862474"/>
    <w:rsid w:val="198854CF"/>
    <w:rsid w:val="198E5062"/>
    <w:rsid w:val="19BA593C"/>
    <w:rsid w:val="19C76609"/>
    <w:rsid w:val="19CB2001"/>
    <w:rsid w:val="19D83891"/>
    <w:rsid w:val="19DA4BAF"/>
    <w:rsid w:val="19F75513"/>
    <w:rsid w:val="19FE5F9F"/>
    <w:rsid w:val="1A1E020D"/>
    <w:rsid w:val="1A233813"/>
    <w:rsid w:val="1A6B7E1C"/>
    <w:rsid w:val="1A8A2B1B"/>
    <w:rsid w:val="1AAD7C8B"/>
    <w:rsid w:val="1AB07BA3"/>
    <w:rsid w:val="1ADA7273"/>
    <w:rsid w:val="1AE63CDE"/>
    <w:rsid w:val="1AEE232C"/>
    <w:rsid w:val="1AF47D69"/>
    <w:rsid w:val="1B05081F"/>
    <w:rsid w:val="1B0C07E7"/>
    <w:rsid w:val="1B103B48"/>
    <w:rsid w:val="1B3215A8"/>
    <w:rsid w:val="1B3D67C6"/>
    <w:rsid w:val="1B3E5015"/>
    <w:rsid w:val="1B41002B"/>
    <w:rsid w:val="1B6E0CCB"/>
    <w:rsid w:val="1B7319FB"/>
    <w:rsid w:val="1B835053"/>
    <w:rsid w:val="1B956B43"/>
    <w:rsid w:val="1B9C3B8A"/>
    <w:rsid w:val="1BBC1D6E"/>
    <w:rsid w:val="1BC001BE"/>
    <w:rsid w:val="1BCE25D1"/>
    <w:rsid w:val="1BE94888"/>
    <w:rsid w:val="1C253871"/>
    <w:rsid w:val="1C6B1C30"/>
    <w:rsid w:val="1CC0618E"/>
    <w:rsid w:val="1CC32179"/>
    <w:rsid w:val="1CDA24D0"/>
    <w:rsid w:val="1CEA0481"/>
    <w:rsid w:val="1CEF4CDC"/>
    <w:rsid w:val="1CF80043"/>
    <w:rsid w:val="1D0028D6"/>
    <w:rsid w:val="1D2A03E0"/>
    <w:rsid w:val="1D2C750D"/>
    <w:rsid w:val="1D3925B2"/>
    <w:rsid w:val="1D4072F6"/>
    <w:rsid w:val="1D5B00E9"/>
    <w:rsid w:val="1D7442DF"/>
    <w:rsid w:val="1D7C7E64"/>
    <w:rsid w:val="1D897F94"/>
    <w:rsid w:val="1D904EA6"/>
    <w:rsid w:val="1D9C3BA7"/>
    <w:rsid w:val="1DA03982"/>
    <w:rsid w:val="1DB117B6"/>
    <w:rsid w:val="1DCC1FD2"/>
    <w:rsid w:val="1DCD5344"/>
    <w:rsid w:val="1DD84FE2"/>
    <w:rsid w:val="1DD9314E"/>
    <w:rsid w:val="1DE514B9"/>
    <w:rsid w:val="1DE541A6"/>
    <w:rsid w:val="1E10357E"/>
    <w:rsid w:val="1E13128E"/>
    <w:rsid w:val="1E1A5F3A"/>
    <w:rsid w:val="1E1B3F90"/>
    <w:rsid w:val="1E45640A"/>
    <w:rsid w:val="1E590170"/>
    <w:rsid w:val="1E711D3D"/>
    <w:rsid w:val="1E7A7A7D"/>
    <w:rsid w:val="1EB44780"/>
    <w:rsid w:val="1EC36841"/>
    <w:rsid w:val="1EC74D10"/>
    <w:rsid w:val="1ED560B1"/>
    <w:rsid w:val="1EDA73E1"/>
    <w:rsid w:val="1F083EC3"/>
    <w:rsid w:val="1F091532"/>
    <w:rsid w:val="1F39229F"/>
    <w:rsid w:val="1F574973"/>
    <w:rsid w:val="1F9E611E"/>
    <w:rsid w:val="1FB10B7E"/>
    <w:rsid w:val="1FB57903"/>
    <w:rsid w:val="1FC2047B"/>
    <w:rsid w:val="1FDC172F"/>
    <w:rsid w:val="1FF33CDA"/>
    <w:rsid w:val="1FFB5863"/>
    <w:rsid w:val="1FFC257E"/>
    <w:rsid w:val="20153B98"/>
    <w:rsid w:val="2024199B"/>
    <w:rsid w:val="20844FBF"/>
    <w:rsid w:val="20AE149D"/>
    <w:rsid w:val="20B45D5E"/>
    <w:rsid w:val="20B7137B"/>
    <w:rsid w:val="20DB381D"/>
    <w:rsid w:val="20E51521"/>
    <w:rsid w:val="20E62554"/>
    <w:rsid w:val="21014780"/>
    <w:rsid w:val="211F3838"/>
    <w:rsid w:val="213C1F4F"/>
    <w:rsid w:val="214E32E4"/>
    <w:rsid w:val="21577A83"/>
    <w:rsid w:val="215D4DDE"/>
    <w:rsid w:val="21610A7A"/>
    <w:rsid w:val="216B37D0"/>
    <w:rsid w:val="217976A3"/>
    <w:rsid w:val="21854D0F"/>
    <w:rsid w:val="21B06DEE"/>
    <w:rsid w:val="21B827F2"/>
    <w:rsid w:val="21C46CEC"/>
    <w:rsid w:val="21D234BA"/>
    <w:rsid w:val="21D40159"/>
    <w:rsid w:val="2241166E"/>
    <w:rsid w:val="22495289"/>
    <w:rsid w:val="224A3975"/>
    <w:rsid w:val="2262123C"/>
    <w:rsid w:val="22652F4C"/>
    <w:rsid w:val="22712127"/>
    <w:rsid w:val="227600A8"/>
    <w:rsid w:val="227B49D3"/>
    <w:rsid w:val="2282753B"/>
    <w:rsid w:val="228E5FD0"/>
    <w:rsid w:val="22966B68"/>
    <w:rsid w:val="229C224B"/>
    <w:rsid w:val="229F7773"/>
    <w:rsid w:val="22AC7DCD"/>
    <w:rsid w:val="22AF1342"/>
    <w:rsid w:val="22CC59AF"/>
    <w:rsid w:val="22CD0B61"/>
    <w:rsid w:val="22EA0F92"/>
    <w:rsid w:val="23160B35"/>
    <w:rsid w:val="231E6A95"/>
    <w:rsid w:val="231F0708"/>
    <w:rsid w:val="231F3121"/>
    <w:rsid w:val="23442187"/>
    <w:rsid w:val="2355113E"/>
    <w:rsid w:val="23561CF1"/>
    <w:rsid w:val="237B53EB"/>
    <w:rsid w:val="238064FD"/>
    <w:rsid w:val="2391601A"/>
    <w:rsid w:val="23A25530"/>
    <w:rsid w:val="23CD38EE"/>
    <w:rsid w:val="23DE5801"/>
    <w:rsid w:val="24052EB3"/>
    <w:rsid w:val="240A3D34"/>
    <w:rsid w:val="241234A7"/>
    <w:rsid w:val="241F0CB3"/>
    <w:rsid w:val="24332838"/>
    <w:rsid w:val="24485949"/>
    <w:rsid w:val="244D4391"/>
    <w:rsid w:val="24710A0A"/>
    <w:rsid w:val="247A3095"/>
    <w:rsid w:val="247F7B7E"/>
    <w:rsid w:val="2487513F"/>
    <w:rsid w:val="24937AF5"/>
    <w:rsid w:val="24942F10"/>
    <w:rsid w:val="24B60F3A"/>
    <w:rsid w:val="24B95AB2"/>
    <w:rsid w:val="25024A59"/>
    <w:rsid w:val="250D78DC"/>
    <w:rsid w:val="25103F6B"/>
    <w:rsid w:val="252C2BB4"/>
    <w:rsid w:val="255D7BED"/>
    <w:rsid w:val="25626910"/>
    <w:rsid w:val="25696BEC"/>
    <w:rsid w:val="257379EA"/>
    <w:rsid w:val="258D58DB"/>
    <w:rsid w:val="259D7AF5"/>
    <w:rsid w:val="25A352DC"/>
    <w:rsid w:val="25BD613A"/>
    <w:rsid w:val="25E30E41"/>
    <w:rsid w:val="25EE1A8D"/>
    <w:rsid w:val="25FD5076"/>
    <w:rsid w:val="260362D3"/>
    <w:rsid w:val="260531C3"/>
    <w:rsid w:val="260D5DE2"/>
    <w:rsid w:val="26103C4A"/>
    <w:rsid w:val="26614252"/>
    <w:rsid w:val="266734AD"/>
    <w:rsid w:val="267079A3"/>
    <w:rsid w:val="26750E3C"/>
    <w:rsid w:val="267968DD"/>
    <w:rsid w:val="2681167F"/>
    <w:rsid w:val="26974EBE"/>
    <w:rsid w:val="26A230F1"/>
    <w:rsid w:val="26AE7538"/>
    <w:rsid w:val="26BC1220"/>
    <w:rsid w:val="26C9354E"/>
    <w:rsid w:val="26E36D28"/>
    <w:rsid w:val="270A5328"/>
    <w:rsid w:val="270F7F7E"/>
    <w:rsid w:val="27173B22"/>
    <w:rsid w:val="271D10B1"/>
    <w:rsid w:val="27266254"/>
    <w:rsid w:val="272B06AF"/>
    <w:rsid w:val="273F795A"/>
    <w:rsid w:val="274330A7"/>
    <w:rsid w:val="274679B8"/>
    <w:rsid w:val="274C1A4C"/>
    <w:rsid w:val="274E0D59"/>
    <w:rsid w:val="27522728"/>
    <w:rsid w:val="27571C19"/>
    <w:rsid w:val="27591A0D"/>
    <w:rsid w:val="275A793D"/>
    <w:rsid w:val="27647129"/>
    <w:rsid w:val="27845067"/>
    <w:rsid w:val="27906AFD"/>
    <w:rsid w:val="279573FC"/>
    <w:rsid w:val="279B6F30"/>
    <w:rsid w:val="27C83924"/>
    <w:rsid w:val="27D17719"/>
    <w:rsid w:val="27D22A70"/>
    <w:rsid w:val="27DD3D8A"/>
    <w:rsid w:val="27F14FB6"/>
    <w:rsid w:val="27FC08D7"/>
    <w:rsid w:val="280005D9"/>
    <w:rsid w:val="28011091"/>
    <w:rsid w:val="280C219C"/>
    <w:rsid w:val="280E5E45"/>
    <w:rsid w:val="280F1C18"/>
    <w:rsid w:val="281B4F97"/>
    <w:rsid w:val="281C6476"/>
    <w:rsid w:val="28400D6D"/>
    <w:rsid w:val="28655342"/>
    <w:rsid w:val="289A2570"/>
    <w:rsid w:val="28AA32D9"/>
    <w:rsid w:val="28B962B7"/>
    <w:rsid w:val="28BE47BE"/>
    <w:rsid w:val="28C43CBF"/>
    <w:rsid w:val="28E307C0"/>
    <w:rsid w:val="28FB727A"/>
    <w:rsid w:val="29111004"/>
    <w:rsid w:val="2916585E"/>
    <w:rsid w:val="292A57AC"/>
    <w:rsid w:val="29302A01"/>
    <w:rsid w:val="298E12C2"/>
    <w:rsid w:val="29B67DDC"/>
    <w:rsid w:val="29BC7983"/>
    <w:rsid w:val="29BF4C34"/>
    <w:rsid w:val="29C0639D"/>
    <w:rsid w:val="29CE7F54"/>
    <w:rsid w:val="29F678ED"/>
    <w:rsid w:val="2A0503EE"/>
    <w:rsid w:val="2A213403"/>
    <w:rsid w:val="2A37334A"/>
    <w:rsid w:val="2A6A01CF"/>
    <w:rsid w:val="2A763C3F"/>
    <w:rsid w:val="2A812209"/>
    <w:rsid w:val="2A9161AE"/>
    <w:rsid w:val="2AA208EC"/>
    <w:rsid w:val="2AA9729F"/>
    <w:rsid w:val="2AC6783D"/>
    <w:rsid w:val="2ADC4EDF"/>
    <w:rsid w:val="2AEC2DEC"/>
    <w:rsid w:val="2B0351AB"/>
    <w:rsid w:val="2BC0015D"/>
    <w:rsid w:val="2BC33263"/>
    <w:rsid w:val="2BC55D1D"/>
    <w:rsid w:val="2BD346BF"/>
    <w:rsid w:val="2C103E0B"/>
    <w:rsid w:val="2C1D0A52"/>
    <w:rsid w:val="2C406641"/>
    <w:rsid w:val="2C595DDD"/>
    <w:rsid w:val="2C6C41B6"/>
    <w:rsid w:val="2C8D48A3"/>
    <w:rsid w:val="2C8E2D71"/>
    <w:rsid w:val="2C906D72"/>
    <w:rsid w:val="2CA57250"/>
    <w:rsid w:val="2CB32C76"/>
    <w:rsid w:val="2CB4229C"/>
    <w:rsid w:val="2CB92B18"/>
    <w:rsid w:val="2CD262A2"/>
    <w:rsid w:val="2CF7361C"/>
    <w:rsid w:val="2CFA7496"/>
    <w:rsid w:val="2CFF6EF7"/>
    <w:rsid w:val="2D16157A"/>
    <w:rsid w:val="2D2C151F"/>
    <w:rsid w:val="2D2C1CEC"/>
    <w:rsid w:val="2D302CE5"/>
    <w:rsid w:val="2D3629D1"/>
    <w:rsid w:val="2D3D4090"/>
    <w:rsid w:val="2D4D04D3"/>
    <w:rsid w:val="2D760C43"/>
    <w:rsid w:val="2D7A3452"/>
    <w:rsid w:val="2DA53DE6"/>
    <w:rsid w:val="2DBE1E56"/>
    <w:rsid w:val="2DC710BF"/>
    <w:rsid w:val="2E06172C"/>
    <w:rsid w:val="2E162CEE"/>
    <w:rsid w:val="2E274498"/>
    <w:rsid w:val="2E2C6BEF"/>
    <w:rsid w:val="2E2D3233"/>
    <w:rsid w:val="2E8E0891"/>
    <w:rsid w:val="2EA760C8"/>
    <w:rsid w:val="2EBF18B7"/>
    <w:rsid w:val="2EC24D67"/>
    <w:rsid w:val="2ED66A2F"/>
    <w:rsid w:val="2EF14075"/>
    <w:rsid w:val="2F4F2FBB"/>
    <w:rsid w:val="2F6616FB"/>
    <w:rsid w:val="2F6C68D2"/>
    <w:rsid w:val="2F70132B"/>
    <w:rsid w:val="2F7D7574"/>
    <w:rsid w:val="2F9B417A"/>
    <w:rsid w:val="2FAF6E10"/>
    <w:rsid w:val="2FC26088"/>
    <w:rsid w:val="2FED4A2A"/>
    <w:rsid w:val="2FF93510"/>
    <w:rsid w:val="301C20C2"/>
    <w:rsid w:val="30245948"/>
    <w:rsid w:val="302F78CB"/>
    <w:rsid w:val="304609FF"/>
    <w:rsid w:val="304D4243"/>
    <w:rsid w:val="30500FC1"/>
    <w:rsid w:val="30721654"/>
    <w:rsid w:val="30724CBD"/>
    <w:rsid w:val="309B676F"/>
    <w:rsid w:val="30B33417"/>
    <w:rsid w:val="30B75341"/>
    <w:rsid w:val="30B927A4"/>
    <w:rsid w:val="30C55BD7"/>
    <w:rsid w:val="30C673C6"/>
    <w:rsid w:val="30EA0C9B"/>
    <w:rsid w:val="30F04A33"/>
    <w:rsid w:val="30FA0D3D"/>
    <w:rsid w:val="31010608"/>
    <w:rsid w:val="31147393"/>
    <w:rsid w:val="311506DE"/>
    <w:rsid w:val="312232AF"/>
    <w:rsid w:val="31241474"/>
    <w:rsid w:val="31285C96"/>
    <w:rsid w:val="312E4C4B"/>
    <w:rsid w:val="31312938"/>
    <w:rsid w:val="3139198E"/>
    <w:rsid w:val="313E0E7B"/>
    <w:rsid w:val="31560D46"/>
    <w:rsid w:val="316E1F56"/>
    <w:rsid w:val="31A91D7F"/>
    <w:rsid w:val="31AC3F86"/>
    <w:rsid w:val="31B07155"/>
    <w:rsid w:val="31BA5FB3"/>
    <w:rsid w:val="31C00B70"/>
    <w:rsid w:val="31C04C8B"/>
    <w:rsid w:val="31F41846"/>
    <w:rsid w:val="320C1B00"/>
    <w:rsid w:val="322940DE"/>
    <w:rsid w:val="323C4A94"/>
    <w:rsid w:val="32480A64"/>
    <w:rsid w:val="324827C7"/>
    <w:rsid w:val="324F2948"/>
    <w:rsid w:val="324F7F9E"/>
    <w:rsid w:val="32581AE0"/>
    <w:rsid w:val="325B4AA4"/>
    <w:rsid w:val="32631746"/>
    <w:rsid w:val="327F49C9"/>
    <w:rsid w:val="32820D11"/>
    <w:rsid w:val="32897A58"/>
    <w:rsid w:val="32A45645"/>
    <w:rsid w:val="32B91B04"/>
    <w:rsid w:val="32D91938"/>
    <w:rsid w:val="32F31F65"/>
    <w:rsid w:val="32F442F8"/>
    <w:rsid w:val="32F73034"/>
    <w:rsid w:val="33031CA3"/>
    <w:rsid w:val="33100032"/>
    <w:rsid w:val="33177552"/>
    <w:rsid w:val="331B1158"/>
    <w:rsid w:val="3324428B"/>
    <w:rsid w:val="334D4B72"/>
    <w:rsid w:val="335E5632"/>
    <w:rsid w:val="33667F60"/>
    <w:rsid w:val="337136E5"/>
    <w:rsid w:val="338259C2"/>
    <w:rsid w:val="33846F88"/>
    <w:rsid w:val="339252AF"/>
    <w:rsid w:val="339B6B78"/>
    <w:rsid w:val="33A857F5"/>
    <w:rsid w:val="33B61575"/>
    <w:rsid w:val="33EF1D0C"/>
    <w:rsid w:val="33FC4F94"/>
    <w:rsid w:val="340E375E"/>
    <w:rsid w:val="341C223F"/>
    <w:rsid w:val="3425062E"/>
    <w:rsid w:val="342930CE"/>
    <w:rsid w:val="34301B5F"/>
    <w:rsid w:val="34316BE5"/>
    <w:rsid w:val="3442592A"/>
    <w:rsid w:val="345E5704"/>
    <w:rsid w:val="34614F84"/>
    <w:rsid w:val="34776A27"/>
    <w:rsid w:val="34B52C24"/>
    <w:rsid w:val="34CB09E3"/>
    <w:rsid w:val="34D57484"/>
    <w:rsid w:val="34EF1945"/>
    <w:rsid w:val="35016370"/>
    <w:rsid w:val="350A6DBB"/>
    <w:rsid w:val="35401164"/>
    <w:rsid w:val="35443611"/>
    <w:rsid w:val="35461E69"/>
    <w:rsid w:val="35695C04"/>
    <w:rsid w:val="357C2E1A"/>
    <w:rsid w:val="357F7A06"/>
    <w:rsid w:val="35946B47"/>
    <w:rsid w:val="359F63EE"/>
    <w:rsid w:val="35D27572"/>
    <w:rsid w:val="35E85002"/>
    <w:rsid w:val="360151C5"/>
    <w:rsid w:val="36112DD8"/>
    <w:rsid w:val="363A49EC"/>
    <w:rsid w:val="3640342D"/>
    <w:rsid w:val="36A16820"/>
    <w:rsid w:val="36A77B65"/>
    <w:rsid w:val="36B00264"/>
    <w:rsid w:val="36F43CD9"/>
    <w:rsid w:val="36F50FF0"/>
    <w:rsid w:val="370E6157"/>
    <w:rsid w:val="372D14D8"/>
    <w:rsid w:val="37351E78"/>
    <w:rsid w:val="373E147E"/>
    <w:rsid w:val="37440291"/>
    <w:rsid w:val="37616FF2"/>
    <w:rsid w:val="37774365"/>
    <w:rsid w:val="379E19F4"/>
    <w:rsid w:val="37A503C1"/>
    <w:rsid w:val="37AB2367"/>
    <w:rsid w:val="37AE1114"/>
    <w:rsid w:val="3807791B"/>
    <w:rsid w:val="38107A88"/>
    <w:rsid w:val="381941D9"/>
    <w:rsid w:val="38230347"/>
    <w:rsid w:val="38245841"/>
    <w:rsid w:val="382F21F6"/>
    <w:rsid w:val="3838592B"/>
    <w:rsid w:val="3841192C"/>
    <w:rsid w:val="385722CC"/>
    <w:rsid w:val="385873D9"/>
    <w:rsid w:val="38595DF5"/>
    <w:rsid w:val="386D69C1"/>
    <w:rsid w:val="388616BA"/>
    <w:rsid w:val="388A1154"/>
    <w:rsid w:val="3899137B"/>
    <w:rsid w:val="389978B1"/>
    <w:rsid w:val="38AB7213"/>
    <w:rsid w:val="38BB74B3"/>
    <w:rsid w:val="38C026D8"/>
    <w:rsid w:val="38C212FE"/>
    <w:rsid w:val="38F20527"/>
    <w:rsid w:val="38FD4BDC"/>
    <w:rsid w:val="391C30A1"/>
    <w:rsid w:val="39452871"/>
    <w:rsid w:val="39473146"/>
    <w:rsid w:val="3959196E"/>
    <w:rsid w:val="3960729B"/>
    <w:rsid w:val="39764C13"/>
    <w:rsid w:val="397D5852"/>
    <w:rsid w:val="398205C3"/>
    <w:rsid w:val="399105D0"/>
    <w:rsid w:val="39950593"/>
    <w:rsid w:val="39B62462"/>
    <w:rsid w:val="39BE0852"/>
    <w:rsid w:val="39D92EFE"/>
    <w:rsid w:val="39DE4367"/>
    <w:rsid w:val="39E264FC"/>
    <w:rsid w:val="39E72493"/>
    <w:rsid w:val="39EC4F48"/>
    <w:rsid w:val="39F31009"/>
    <w:rsid w:val="3A1B1537"/>
    <w:rsid w:val="3A283C67"/>
    <w:rsid w:val="3A3A68A8"/>
    <w:rsid w:val="3A41272A"/>
    <w:rsid w:val="3A551997"/>
    <w:rsid w:val="3A5B0712"/>
    <w:rsid w:val="3A5B2342"/>
    <w:rsid w:val="3A6A3CA7"/>
    <w:rsid w:val="3A6F37A7"/>
    <w:rsid w:val="3A732F0A"/>
    <w:rsid w:val="3A795124"/>
    <w:rsid w:val="3A7F32C6"/>
    <w:rsid w:val="3A8C69D8"/>
    <w:rsid w:val="3A9009FF"/>
    <w:rsid w:val="3A997359"/>
    <w:rsid w:val="3AA008D0"/>
    <w:rsid w:val="3AAD3EFA"/>
    <w:rsid w:val="3AAD5053"/>
    <w:rsid w:val="3AB72BEB"/>
    <w:rsid w:val="3AE47094"/>
    <w:rsid w:val="3B2C5CE6"/>
    <w:rsid w:val="3B301DF4"/>
    <w:rsid w:val="3B344C46"/>
    <w:rsid w:val="3B5B6B36"/>
    <w:rsid w:val="3B6B0742"/>
    <w:rsid w:val="3B713E35"/>
    <w:rsid w:val="3B843773"/>
    <w:rsid w:val="3B8E4649"/>
    <w:rsid w:val="3BE81CC8"/>
    <w:rsid w:val="3C0122B4"/>
    <w:rsid w:val="3C0B47C3"/>
    <w:rsid w:val="3C0F2E5C"/>
    <w:rsid w:val="3C2301CF"/>
    <w:rsid w:val="3C232E49"/>
    <w:rsid w:val="3C294808"/>
    <w:rsid w:val="3C4C6AAE"/>
    <w:rsid w:val="3C5A1F12"/>
    <w:rsid w:val="3C662EDF"/>
    <w:rsid w:val="3C9B4D04"/>
    <w:rsid w:val="3CA72903"/>
    <w:rsid w:val="3CAE4F60"/>
    <w:rsid w:val="3CC9647F"/>
    <w:rsid w:val="3CDC2B0A"/>
    <w:rsid w:val="3CE14229"/>
    <w:rsid w:val="3CF96CA1"/>
    <w:rsid w:val="3D092504"/>
    <w:rsid w:val="3D1B751F"/>
    <w:rsid w:val="3D1D3010"/>
    <w:rsid w:val="3D212D9D"/>
    <w:rsid w:val="3D2D4894"/>
    <w:rsid w:val="3D320965"/>
    <w:rsid w:val="3D3246B3"/>
    <w:rsid w:val="3D4E790E"/>
    <w:rsid w:val="3D700D52"/>
    <w:rsid w:val="3D770A1E"/>
    <w:rsid w:val="3D78505A"/>
    <w:rsid w:val="3DA26D47"/>
    <w:rsid w:val="3DAD3632"/>
    <w:rsid w:val="3DB01E78"/>
    <w:rsid w:val="3DB24B0C"/>
    <w:rsid w:val="3DB270E9"/>
    <w:rsid w:val="3DBC092E"/>
    <w:rsid w:val="3DDD25C1"/>
    <w:rsid w:val="3DE9435F"/>
    <w:rsid w:val="3DF82797"/>
    <w:rsid w:val="3E053264"/>
    <w:rsid w:val="3E083B2C"/>
    <w:rsid w:val="3E0C40FA"/>
    <w:rsid w:val="3E1F0680"/>
    <w:rsid w:val="3E481A2D"/>
    <w:rsid w:val="3E4B0C50"/>
    <w:rsid w:val="3E5C4F6C"/>
    <w:rsid w:val="3E7819B1"/>
    <w:rsid w:val="3E802B14"/>
    <w:rsid w:val="3EB021FA"/>
    <w:rsid w:val="3EC43DC1"/>
    <w:rsid w:val="3EE651EF"/>
    <w:rsid w:val="3F000F93"/>
    <w:rsid w:val="3F042F23"/>
    <w:rsid w:val="3F0C13B6"/>
    <w:rsid w:val="3F40400F"/>
    <w:rsid w:val="3F6B3B01"/>
    <w:rsid w:val="3F9A7607"/>
    <w:rsid w:val="3F9D1772"/>
    <w:rsid w:val="3F9E338F"/>
    <w:rsid w:val="3FAB63AE"/>
    <w:rsid w:val="40033BCB"/>
    <w:rsid w:val="400B3D58"/>
    <w:rsid w:val="402166A4"/>
    <w:rsid w:val="4039779C"/>
    <w:rsid w:val="403F4AD6"/>
    <w:rsid w:val="4055421F"/>
    <w:rsid w:val="407F379A"/>
    <w:rsid w:val="4098721B"/>
    <w:rsid w:val="40A30CB7"/>
    <w:rsid w:val="410D50E4"/>
    <w:rsid w:val="410E3226"/>
    <w:rsid w:val="411E1F5F"/>
    <w:rsid w:val="41287C6E"/>
    <w:rsid w:val="412C6073"/>
    <w:rsid w:val="41335E35"/>
    <w:rsid w:val="41625ED3"/>
    <w:rsid w:val="416A5C1B"/>
    <w:rsid w:val="416F2BBE"/>
    <w:rsid w:val="417144B1"/>
    <w:rsid w:val="4189511A"/>
    <w:rsid w:val="41A03E55"/>
    <w:rsid w:val="41B60441"/>
    <w:rsid w:val="41CB13D4"/>
    <w:rsid w:val="41D47FBA"/>
    <w:rsid w:val="41ED1B1E"/>
    <w:rsid w:val="4211574A"/>
    <w:rsid w:val="4216392F"/>
    <w:rsid w:val="421D7007"/>
    <w:rsid w:val="42264F86"/>
    <w:rsid w:val="425A401B"/>
    <w:rsid w:val="425B0051"/>
    <w:rsid w:val="42905AAA"/>
    <w:rsid w:val="429B3F8F"/>
    <w:rsid w:val="42CE6B71"/>
    <w:rsid w:val="42D71369"/>
    <w:rsid w:val="42DB7DEF"/>
    <w:rsid w:val="42DF0DF6"/>
    <w:rsid w:val="42E34D2A"/>
    <w:rsid w:val="42EA5C2A"/>
    <w:rsid w:val="42EB1A6F"/>
    <w:rsid w:val="42EB44C6"/>
    <w:rsid w:val="42F4186C"/>
    <w:rsid w:val="42F805B7"/>
    <w:rsid w:val="43017D07"/>
    <w:rsid w:val="4328593E"/>
    <w:rsid w:val="4346230B"/>
    <w:rsid w:val="43470790"/>
    <w:rsid w:val="43793D50"/>
    <w:rsid w:val="437B1757"/>
    <w:rsid w:val="43BB1045"/>
    <w:rsid w:val="43C91B45"/>
    <w:rsid w:val="43C96C82"/>
    <w:rsid w:val="43CC0A77"/>
    <w:rsid w:val="43F244DD"/>
    <w:rsid w:val="43F34F0A"/>
    <w:rsid w:val="43F67CAD"/>
    <w:rsid w:val="44197675"/>
    <w:rsid w:val="442134A5"/>
    <w:rsid w:val="446B0DA7"/>
    <w:rsid w:val="44896E05"/>
    <w:rsid w:val="449263B1"/>
    <w:rsid w:val="44A252E3"/>
    <w:rsid w:val="44CE05B1"/>
    <w:rsid w:val="44EC5492"/>
    <w:rsid w:val="44F5583F"/>
    <w:rsid w:val="45143E62"/>
    <w:rsid w:val="451963D2"/>
    <w:rsid w:val="45472394"/>
    <w:rsid w:val="45724740"/>
    <w:rsid w:val="457B07D4"/>
    <w:rsid w:val="4584601C"/>
    <w:rsid w:val="45A17614"/>
    <w:rsid w:val="45A77792"/>
    <w:rsid w:val="45AC2C16"/>
    <w:rsid w:val="45B8521A"/>
    <w:rsid w:val="45CF386F"/>
    <w:rsid w:val="46056421"/>
    <w:rsid w:val="460C04D4"/>
    <w:rsid w:val="460E5C1F"/>
    <w:rsid w:val="46113C23"/>
    <w:rsid w:val="46215D1B"/>
    <w:rsid w:val="466331AA"/>
    <w:rsid w:val="466A1851"/>
    <w:rsid w:val="46787235"/>
    <w:rsid w:val="46885EC5"/>
    <w:rsid w:val="46887AEB"/>
    <w:rsid w:val="46951251"/>
    <w:rsid w:val="46A176A3"/>
    <w:rsid w:val="46B27462"/>
    <w:rsid w:val="46BC31AA"/>
    <w:rsid w:val="46C637F7"/>
    <w:rsid w:val="46C93A01"/>
    <w:rsid w:val="46D404E0"/>
    <w:rsid w:val="46EA0B8E"/>
    <w:rsid w:val="46F31900"/>
    <w:rsid w:val="46F5741D"/>
    <w:rsid w:val="471E5360"/>
    <w:rsid w:val="472B3E49"/>
    <w:rsid w:val="473105C2"/>
    <w:rsid w:val="47692187"/>
    <w:rsid w:val="476F4169"/>
    <w:rsid w:val="476F45D2"/>
    <w:rsid w:val="4778041E"/>
    <w:rsid w:val="47890CE4"/>
    <w:rsid w:val="47B41CE4"/>
    <w:rsid w:val="47B47EEE"/>
    <w:rsid w:val="47BB12D0"/>
    <w:rsid w:val="47F77B0F"/>
    <w:rsid w:val="48071BA2"/>
    <w:rsid w:val="48111F72"/>
    <w:rsid w:val="483D2593"/>
    <w:rsid w:val="48676FF8"/>
    <w:rsid w:val="487A64E1"/>
    <w:rsid w:val="48842DA4"/>
    <w:rsid w:val="488525DC"/>
    <w:rsid w:val="488C3A69"/>
    <w:rsid w:val="488C7D67"/>
    <w:rsid w:val="48997517"/>
    <w:rsid w:val="48A02163"/>
    <w:rsid w:val="48A67A6B"/>
    <w:rsid w:val="48AB7154"/>
    <w:rsid w:val="48B37A1C"/>
    <w:rsid w:val="48DB33FE"/>
    <w:rsid w:val="49230E35"/>
    <w:rsid w:val="492A0B4A"/>
    <w:rsid w:val="493F3170"/>
    <w:rsid w:val="49486A0E"/>
    <w:rsid w:val="49495705"/>
    <w:rsid w:val="494B6EB7"/>
    <w:rsid w:val="495513EB"/>
    <w:rsid w:val="497A03CE"/>
    <w:rsid w:val="49B74CC7"/>
    <w:rsid w:val="49C93046"/>
    <w:rsid w:val="49CB6EC3"/>
    <w:rsid w:val="49D2508E"/>
    <w:rsid w:val="49DF06B0"/>
    <w:rsid w:val="4A086368"/>
    <w:rsid w:val="4A37247D"/>
    <w:rsid w:val="4A5D1A04"/>
    <w:rsid w:val="4A5D7DAA"/>
    <w:rsid w:val="4A641C09"/>
    <w:rsid w:val="4A724ECC"/>
    <w:rsid w:val="4A987EF3"/>
    <w:rsid w:val="4A995123"/>
    <w:rsid w:val="4AA0090F"/>
    <w:rsid w:val="4AA210C1"/>
    <w:rsid w:val="4AB57F33"/>
    <w:rsid w:val="4ACF1833"/>
    <w:rsid w:val="4AD551D0"/>
    <w:rsid w:val="4AFD678E"/>
    <w:rsid w:val="4B052AF1"/>
    <w:rsid w:val="4B0844B4"/>
    <w:rsid w:val="4B64732E"/>
    <w:rsid w:val="4B831C66"/>
    <w:rsid w:val="4B8D15C7"/>
    <w:rsid w:val="4B8E09DB"/>
    <w:rsid w:val="4BAE3788"/>
    <w:rsid w:val="4BD51CF3"/>
    <w:rsid w:val="4BD56841"/>
    <w:rsid w:val="4BE139FD"/>
    <w:rsid w:val="4BE50026"/>
    <w:rsid w:val="4BEB1C2A"/>
    <w:rsid w:val="4BF519A8"/>
    <w:rsid w:val="4BF94E3C"/>
    <w:rsid w:val="4C3342E0"/>
    <w:rsid w:val="4C416776"/>
    <w:rsid w:val="4C451933"/>
    <w:rsid w:val="4C522EDB"/>
    <w:rsid w:val="4C53587C"/>
    <w:rsid w:val="4C662841"/>
    <w:rsid w:val="4C6E2B8E"/>
    <w:rsid w:val="4C7C3B09"/>
    <w:rsid w:val="4C8205AE"/>
    <w:rsid w:val="4C9E7FD4"/>
    <w:rsid w:val="4CB9680F"/>
    <w:rsid w:val="4CC159EE"/>
    <w:rsid w:val="4CC954A2"/>
    <w:rsid w:val="4CCA2679"/>
    <w:rsid w:val="4CE84C22"/>
    <w:rsid w:val="4CED2485"/>
    <w:rsid w:val="4CEE55F9"/>
    <w:rsid w:val="4CF21B51"/>
    <w:rsid w:val="4D071B5B"/>
    <w:rsid w:val="4D0B1077"/>
    <w:rsid w:val="4D251A8D"/>
    <w:rsid w:val="4D2757CE"/>
    <w:rsid w:val="4D34309E"/>
    <w:rsid w:val="4D3B2402"/>
    <w:rsid w:val="4D4A5484"/>
    <w:rsid w:val="4D552535"/>
    <w:rsid w:val="4D73653A"/>
    <w:rsid w:val="4D8D7B77"/>
    <w:rsid w:val="4D9715DC"/>
    <w:rsid w:val="4D9F307A"/>
    <w:rsid w:val="4DB925D0"/>
    <w:rsid w:val="4DD17A54"/>
    <w:rsid w:val="4DE76A72"/>
    <w:rsid w:val="4DED7B7B"/>
    <w:rsid w:val="4DF0776C"/>
    <w:rsid w:val="4DFC6F40"/>
    <w:rsid w:val="4E205AB9"/>
    <w:rsid w:val="4E346CAD"/>
    <w:rsid w:val="4E37492E"/>
    <w:rsid w:val="4E395D9C"/>
    <w:rsid w:val="4E467737"/>
    <w:rsid w:val="4E4F5A01"/>
    <w:rsid w:val="4E580033"/>
    <w:rsid w:val="4E616A5C"/>
    <w:rsid w:val="4E693B74"/>
    <w:rsid w:val="4E6A4C09"/>
    <w:rsid w:val="4E6E3E0B"/>
    <w:rsid w:val="4E7534C5"/>
    <w:rsid w:val="4E76661A"/>
    <w:rsid w:val="4E7C7399"/>
    <w:rsid w:val="4E977205"/>
    <w:rsid w:val="4EB827B3"/>
    <w:rsid w:val="4ED3637B"/>
    <w:rsid w:val="4EE20D35"/>
    <w:rsid w:val="4EFC2AE7"/>
    <w:rsid w:val="4F0C05E8"/>
    <w:rsid w:val="4F1F345D"/>
    <w:rsid w:val="4F333B3B"/>
    <w:rsid w:val="4F622289"/>
    <w:rsid w:val="4F712C49"/>
    <w:rsid w:val="4F7B27D9"/>
    <w:rsid w:val="4F87770B"/>
    <w:rsid w:val="4F90601D"/>
    <w:rsid w:val="4FC56263"/>
    <w:rsid w:val="4FC9190E"/>
    <w:rsid w:val="4FD330DE"/>
    <w:rsid w:val="4FD82EBA"/>
    <w:rsid w:val="4FE0355B"/>
    <w:rsid w:val="4FE03B09"/>
    <w:rsid w:val="4FEA1DA8"/>
    <w:rsid w:val="4FED7E4A"/>
    <w:rsid w:val="5005319C"/>
    <w:rsid w:val="500F018A"/>
    <w:rsid w:val="500F0855"/>
    <w:rsid w:val="501248D5"/>
    <w:rsid w:val="504815B1"/>
    <w:rsid w:val="504E5BD3"/>
    <w:rsid w:val="505C1EA2"/>
    <w:rsid w:val="508B6AC9"/>
    <w:rsid w:val="508B799F"/>
    <w:rsid w:val="50995FE1"/>
    <w:rsid w:val="50A57F20"/>
    <w:rsid w:val="50B62894"/>
    <w:rsid w:val="50B630A1"/>
    <w:rsid w:val="50B6395E"/>
    <w:rsid w:val="50B8297E"/>
    <w:rsid w:val="50DA59F5"/>
    <w:rsid w:val="50E25EDC"/>
    <w:rsid w:val="51221EB8"/>
    <w:rsid w:val="512A162D"/>
    <w:rsid w:val="513A5742"/>
    <w:rsid w:val="514F6C05"/>
    <w:rsid w:val="515A6CD7"/>
    <w:rsid w:val="517109FA"/>
    <w:rsid w:val="51717A51"/>
    <w:rsid w:val="51781C23"/>
    <w:rsid w:val="519C32A5"/>
    <w:rsid w:val="51B035DC"/>
    <w:rsid w:val="51B404DB"/>
    <w:rsid w:val="51D54204"/>
    <w:rsid w:val="51EC12C8"/>
    <w:rsid w:val="51F67C2A"/>
    <w:rsid w:val="52030077"/>
    <w:rsid w:val="521A7F24"/>
    <w:rsid w:val="52200C03"/>
    <w:rsid w:val="52302068"/>
    <w:rsid w:val="52485217"/>
    <w:rsid w:val="525E02D9"/>
    <w:rsid w:val="52626214"/>
    <w:rsid w:val="52651E63"/>
    <w:rsid w:val="52931EA1"/>
    <w:rsid w:val="52A33D9C"/>
    <w:rsid w:val="52A50F59"/>
    <w:rsid w:val="52B61BC0"/>
    <w:rsid w:val="52BA5D97"/>
    <w:rsid w:val="52C21A5F"/>
    <w:rsid w:val="52DD11F2"/>
    <w:rsid w:val="52F45961"/>
    <w:rsid w:val="53715C89"/>
    <w:rsid w:val="53844150"/>
    <w:rsid w:val="538E3101"/>
    <w:rsid w:val="53955515"/>
    <w:rsid w:val="53B0479A"/>
    <w:rsid w:val="53C85EEB"/>
    <w:rsid w:val="53D86CEE"/>
    <w:rsid w:val="53F83D51"/>
    <w:rsid w:val="542B3576"/>
    <w:rsid w:val="542E33A9"/>
    <w:rsid w:val="54370630"/>
    <w:rsid w:val="543A749F"/>
    <w:rsid w:val="543E0450"/>
    <w:rsid w:val="543F7DF3"/>
    <w:rsid w:val="5468040B"/>
    <w:rsid w:val="547804C3"/>
    <w:rsid w:val="54967F9A"/>
    <w:rsid w:val="549B378E"/>
    <w:rsid w:val="549C1223"/>
    <w:rsid w:val="54A7060D"/>
    <w:rsid w:val="54CB0AD8"/>
    <w:rsid w:val="54DC57FB"/>
    <w:rsid w:val="55063AA0"/>
    <w:rsid w:val="551B3C23"/>
    <w:rsid w:val="552B3541"/>
    <w:rsid w:val="553A6E72"/>
    <w:rsid w:val="554C2981"/>
    <w:rsid w:val="555173B6"/>
    <w:rsid w:val="555C44A6"/>
    <w:rsid w:val="557A3593"/>
    <w:rsid w:val="557F05FE"/>
    <w:rsid w:val="55986395"/>
    <w:rsid w:val="55B01C76"/>
    <w:rsid w:val="55BB3B99"/>
    <w:rsid w:val="55D56AB5"/>
    <w:rsid w:val="55ED6EBD"/>
    <w:rsid w:val="55F112D3"/>
    <w:rsid w:val="560A3DED"/>
    <w:rsid w:val="565E25B5"/>
    <w:rsid w:val="5660004C"/>
    <w:rsid w:val="566019EA"/>
    <w:rsid w:val="566912B5"/>
    <w:rsid w:val="5679751E"/>
    <w:rsid w:val="56C204B1"/>
    <w:rsid w:val="56DC07B3"/>
    <w:rsid w:val="56E124D0"/>
    <w:rsid w:val="56E70EE9"/>
    <w:rsid w:val="56F11C95"/>
    <w:rsid w:val="56F65FA4"/>
    <w:rsid w:val="57085A5F"/>
    <w:rsid w:val="5712294D"/>
    <w:rsid w:val="57203CE2"/>
    <w:rsid w:val="57245E6C"/>
    <w:rsid w:val="574A48FC"/>
    <w:rsid w:val="57516D3B"/>
    <w:rsid w:val="575B5170"/>
    <w:rsid w:val="576205A6"/>
    <w:rsid w:val="576B13D9"/>
    <w:rsid w:val="57716D4D"/>
    <w:rsid w:val="577F3A42"/>
    <w:rsid w:val="57957FA2"/>
    <w:rsid w:val="57A074AD"/>
    <w:rsid w:val="57A76B2E"/>
    <w:rsid w:val="57B80494"/>
    <w:rsid w:val="57CC2E79"/>
    <w:rsid w:val="57D54F13"/>
    <w:rsid w:val="57D868C5"/>
    <w:rsid w:val="57F31A73"/>
    <w:rsid w:val="580B6363"/>
    <w:rsid w:val="581500E7"/>
    <w:rsid w:val="581570D7"/>
    <w:rsid w:val="582C3328"/>
    <w:rsid w:val="58483122"/>
    <w:rsid w:val="58584D43"/>
    <w:rsid w:val="58585757"/>
    <w:rsid w:val="585F4ABD"/>
    <w:rsid w:val="586A54E0"/>
    <w:rsid w:val="58763C80"/>
    <w:rsid w:val="587A4F22"/>
    <w:rsid w:val="588D3903"/>
    <w:rsid w:val="58AD2A41"/>
    <w:rsid w:val="58CA22FD"/>
    <w:rsid w:val="58CB571C"/>
    <w:rsid w:val="58FA36DF"/>
    <w:rsid w:val="59185B23"/>
    <w:rsid w:val="591A0FF8"/>
    <w:rsid w:val="59224DFD"/>
    <w:rsid w:val="594413B6"/>
    <w:rsid w:val="5945092A"/>
    <w:rsid w:val="594E47FA"/>
    <w:rsid w:val="595D44CA"/>
    <w:rsid w:val="596229BA"/>
    <w:rsid w:val="5965407F"/>
    <w:rsid w:val="598D2DC2"/>
    <w:rsid w:val="598E798D"/>
    <w:rsid w:val="5A0B0F42"/>
    <w:rsid w:val="5A405D38"/>
    <w:rsid w:val="5A423CC1"/>
    <w:rsid w:val="5A4F77F7"/>
    <w:rsid w:val="5A540A75"/>
    <w:rsid w:val="5A5F3C5F"/>
    <w:rsid w:val="5A6B4B3B"/>
    <w:rsid w:val="5A74777A"/>
    <w:rsid w:val="5AC1451D"/>
    <w:rsid w:val="5B1B278B"/>
    <w:rsid w:val="5B356B4F"/>
    <w:rsid w:val="5B45668A"/>
    <w:rsid w:val="5B483D9D"/>
    <w:rsid w:val="5B4B4861"/>
    <w:rsid w:val="5B4F4307"/>
    <w:rsid w:val="5B514E4B"/>
    <w:rsid w:val="5B550F93"/>
    <w:rsid w:val="5B625BE5"/>
    <w:rsid w:val="5B743EDD"/>
    <w:rsid w:val="5B96174C"/>
    <w:rsid w:val="5BA302A1"/>
    <w:rsid w:val="5BA86868"/>
    <w:rsid w:val="5BAE772A"/>
    <w:rsid w:val="5BAF03D2"/>
    <w:rsid w:val="5BD137D6"/>
    <w:rsid w:val="5BDF75DB"/>
    <w:rsid w:val="5BE565AF"/>
    <w:rsid w:val="5BF52022"/>
    <w:rsid w:val="5BF81582"/>
    <w:rsid w:val="5BFA45DF"/>
    <w:rsid w:val="5C01463C"/>
    <w:rsid w:val="5C027076"/>
    <w:rsid w:val="5C1B112A"/>
    <w:rsid w:val="5C306CA5"/>
    <w:rsid w:val="5C3830AD"/>
    <w:rsid w:val="5C4252F8"/>
    <w:rsid w:val="5C4F7F3B"/>
    <w:rsid w:val="5C9D156D"/>
    <w:rsid w:val="5CA049EF"/>
    <w:rsid w:val="5CA13735"/>
    <w:rsid w:val="5CA14451"/>
    <w:rsid w:val="5CAD02F5"/>
    <w:rsid w:val="5CB56D9E"/>
    <w:rsid w:val="5CF30491"/>
    <w:rsid w:val="5CFA684E"/>
    <w:rsid w:val="5D2E1346"/>
    <w:rsid w:val="5D435AE7"/>
    <w:rsid w:val="5D4A1997"/>
    <w:rsid w:val="5D625B21"/>
    <w:rsid w:val="5D74299B"/>
    <w:rsid w:val="5DA50DB0"/>
    <w:rsid w:val="5DC90247"/>
    <w:rsid w:val="5E0A377C"/>
    <w:rsid w:val="5E230525"/>
    <w:rsid w:val="5E2324B5"/>
    <w:rsid w:val="5E265D92"/>
    <w:rsid w:val="5E316D7C"/>
    <w:rsid w:val="5E3A7444"/>
    <w:rsid w:val="5E4C71CC"/>
    <w:rsid w:val="5E4E0212"/>
    <w:rsid w:val="5E4E5FEC"/>
    <w:rsid w:val="5E7A4C32"/>
    <w:rsid w:val="5E8B02E6"/>
    <w:rsid w:val="5EA47F79"/>
    <w:rsid w:val="5EA7756C"/>
    <w:rsid w:val="5EAC7C32"/>
    <w:rsid w:val="5EBC35F3"/>
    <w:rsid w:val="5ECA7640"/>
    <w:rsid w:val="5ED57C67"/>
    <w:rsid w:val="5EFD5FFE"/>
    <w:rsid w:val="5F173A2B"/>
    <w:rsid w:val="5F243B32"/>
    <w:rsid w:val="5F25704F"/>
    <w:rsid w:val="5F2D64C4"/>
    <w:rsid w:val="5F302A42"/>
    <w:rsid w:val="5F676A86"/>
    <w:rsid w:val="5F816F30"/>
    <w:rsid w:val="5F95270F"/>
    <w:rsid w:val="5FBA092D"/>
    <w:rsid w:val="5FC35293"/>
    <w:rsid w:val="60033374"/>
    <w:rsid w:val="600D1887"/>
    <w:rsid w:val="601F39AC"/>
    <w:rsid w:val="60456E5A"/>
    <w:rsid w:val="60480474"/>
    <w:rsid w:val="606611F8"/>
    <w:rsid w:val="606A0927"/>
    <w:rsid w:val="60750A5B"/>
    <w:rsid w:val="607522E4"/>
    <w:rsid w:val="607934F6"/>
    <w:rsid w:val="607A0CA4"/>
    <w:rsid w:val="607F0D85"/>
    <w:rsid w:val="608D6203"/>
    <w:rsid w:val="60A7237F"/>
    <w:rsid w:val="60D914F9"/>
    <w:rsid w:val="60DC420F"/>
    <w:rsid w:val="60E129A8"/>
    <w:rsid w:val="60EA42BB"/>
    <w:rsid w:val="610B17B3"/>
    <w:rsid w:val="610E045B"/>
    <w:rsid w:val="6148513F"/>
    <w:rsid w:val="614900DA"/>
    <w:rsid w:val="614958AE"/>
    <w:rsid w:val="614B2C99"/>
    <w:rsid w:val="61501332"/>
    <w:rsid w:val="61517704"/>
    <w:rsid w:val="61A00D01"/>
    <w:rsid w:val="61CB0398"/>
    <w:rsid w:val="61E77F11"/>
    <w:rsid w:val="61FA2D57"/>
    <w:rsid w:val="62073131"/>
    <w:rsid w:val="620B5412"/>
    <w:rsid w:val="620F34E4"/>
    <w:rsid w:val="621D2C7D"/>
    <w:rsid w:val="62304F98"/>
    <w:rsid w:val="624C7762"/>
    <w:rsid w:val="62622680"/>
    <w:rsid w:val="62651F9B"/>
    <w:rsid w:val="62785189"/>
    <w:rsid w:val="627C2E83"/>
    <w:rsid w:val="628561B1"/>
    <w:rsid w:val="62884D5E"/>
    <w:rsid w:val="62936A2E"/>
    <w:rsid w:val="62B23C0C"/>
    <w:rsid w:val="62CF5395"/>
    <w:rsid w:val="62DF451C"/>
    <w:rsid w:val="62E479F1"/>
    <w:rsid w:val="62E75E06"/>
    <w:rsid w:val="62E84015"/>
    <w:rsid w:val="62EE7FBB"/>
    <w:rsid w:val="630E3028"/>
    <w:rsid w:val="632743B5"/>
    <w:rsid w:val="6337726C"/>
    <w:rsid w:val="633D728E"/>
    <w:rsid w:val="63593384"/>
    <w:rsid w:val="636A08A2"/>
    <w:rsid w:val="636B2783"/>
    <w:rsid w:val="63777684"/>
    <w:rsid w:val="639022D0"/>
    <w:rsid w:val="63D1144F"/>
    <w:rsid w:val="63DA603A"/>
    <w:rsid w:val="63E83945"/>
    <w:rsid w:val="64066321"/>
    <w:rsid w:val="642F23C5"/>
    <w:rsid w:val="64427CA3"/>
    <w:rsid w:val="649E03FE"/>
    <w:rsid w:val="64A47D9C"/>
    <w:rsid w:val="64BE53A3"/>
    <w:rsid w:val="64D1763C"/>
    <w:rsid w:val="64DB4A0D"/>
    <w:rsid w:val="64F3490E"/>
    <w:rsid w:val="64F475D0"/>
    <w:rsid w:val="64FB09DF"/>
    <w:rsid w:val="6502028F"/>
    <w:rsid w:val="650A4E00"/>
    <w:rsid w:val="65123550"/>
    <w:rsid w:val="6517300B"/>
    <w:rsid w:val="65267D7D"/>
    <w:rsid w:val="654C0271"/>
    <w:rsid w:val="654D1FDF"/>
    <w:rsid w:val="657140B6"/>
    <w:rsid w:val="65743936"/>
    <w:rsid w:val="657630EF"/>
    <w:rsid w:val="65AC593A"/>
    <w:rsid w:val="65B0610E"/>
    <w:rsid w:val="65DA6CA5"/>
    <w:rsid w:val="65DE07B2"/>
    <w:rsid w:val="65EC496C"/>
    <w:rsid w:val="65F1000E"/>
    <w:rsid w:val="660B002C"/>
    <w:rsid w:val="66200283"/>
    <w:rsid w:val="663F542A"/>
    <w:rsid w:val="664C0DCF"/>
    <w:rsid w:val="66724724"/>
    <w:rsid w:val="66BB5299"/>
    <w:rsid w:val="66C8550E"/>
    <w:rsid w:val="66CD4FB4"/>
    <w:rsid w:val="66E35836"/>
    <w:rsid w:val="670747EC"/>
    <w:rsid w:val="67301B6F"/>
    <w:rsid w:val="67493059"/>
    <w:rsid w:val="675672BB"/>
    <w:rsid w:val="675D6959"/>
    <w:rsid w:val="676E3F0B"/>
    <w:rsid w:val="67722BEE"/>
    <w:rsid w:val="678A77BE"/>
    <w:rsid w:val="67A14CCC"/>
    <w:rsid w:val="67A84C8D"/>
    <w:rsid w:val="67B0630D"/>
    <w:rsid w:val="67B853CF"/>
    <w:rsid w:val="67C83087"/>
    <w:rsid w:val="67DF74D4"/>
    <w:rsid w:val="67F37CEC"/>
    <w:rsid w:val="680F66F8"/>
    <w:rsid w:val="6816723B"/>
    <w:rsid w:val="6827226A"/>
    <w:rsid w:val="682C2940"/>
    <w:rsid w:val="683E75F2"/>
    <w:rsid w:val="68467ABC"/>
    <w:rsid w:val="6865718C"/>
    <w:rsid w:val="68680574"/>
    <w:rsid w:val="689602F4"/>
    <w:rsid w:val="68C15FD1"/>
    <w:rsid w:val="690C66BC"/>
    <w:rsid w:val="691122AE"/>
    <w:rsid w:val="695406E0"/>
    <w:rsid w:val="695A6274"/>
    <w:rsid w:val="697D5D48"/>
    <w:rsid w:val="697F2809"/>
    <w:rsid w:val="698F17E8"/>
    <w:rsid w:val="6991028E"/>
    <w:rsid w:val="699A1E01"/>
    <w:rsid w:val="69A52777"/>
    <w:rsid w:val="69C0298F"/>
    <w:rsid w:val="69CA4BCF"/>
    <w:rsid w:val="6A020F97"/>
    <w:rsid w:val="6A082292"/>
    <w:rsid w:val="6A227444"/>
    <w:rsid w:val="6A3D1A13"/>
    <w:rsid w:val="6A4673F3"/>
    <w:rsid w:val="6A472C58"/>
    <w:rsid w:val="6A51156E"/>
    <w:rsid w:val="6A6F5DBB"/>
    <w:rsid w:val="6A9B7DD8"/>
    <w:rsid w:val="6AA46897"/>
    <w:rsid w:val="6AAA418C"/>
    <w:rsid w:val="6ABD3077"/>
    <w:rsid w:val="6AD505F2"/>
    <w:rsid w:val="6AED38B0"/>
    <w:rsid w:val="6AF066C5"/>
    <w:rsid w:val="6B0D2E6C"/>
    <w:rsid w:val="6B1A18CC"/>
    <w:rsid w:val="6B1E47C4"/>
    <w:rsid w:val="6B385F86"/>
    <w:rsid w:val="6B3C1ADE"/>
    <w:rsid w:val="6B442E5D"/>
    <w:rsid w:val="6B507B81"/>
    <w:rsid w:val="6B611003"/>
    <w:rsid w:val="6B6E6074"/>
    <w:rsid w:val="6B7A7584"/>
    <w:rsid w:val="6B9337AD"/>
    <w:rsid w:val="6B9D5759"/>
    <w:rsid w:val="6BBE7F33"/>
    <w:rsid w:val="6BBF2471"/>
    <w:rsid w:val="6BC3620B"/>
    <w:rsid w:val="6BDF7F28"/>
    <w:rsid w:val="6C340198"/>
    <w:rsid w:val="6C3B455C"/>
    <w:rsid w:val="6C404726"/>
    <w:rsid w:val="6C465105"/>
    <w:rsid w:val="6C61108B"/>
    <w:rsid w:val="6C6A7B7C"/>
    <w:rsid w:val="6C6B76E4"/>
    <w:rsid w:val="6CE31E95"/>
    <w:rsid w:val="6CEA2506"/>
    <w:rsid w:val="6CFA02EB"/>
    <w:rsid w:val="6D0A2DFE"/>
    <w:rsid w:val="6D146220"/>
    <w:rsid w:val="6D2C4A4E"/>
    <w:rsid w:val="6D2D541D"/>
    <w:rsid w:val="6D2F26CC"/>
    <w:rsid w:val="6D3839A0"/>
    <w:rsid w:val="6D5E05B4"/>
    <w:rsid w:val="6D6340C5"/>
    <w:rsid w:val="6D6D4857"/>
    <w:rsid w:val="6D8952C4"/>
    <w:rsid w:val="6D9466CD"/>
    <w:rsid w:val="6D984603"/>
    <w:rsid w:val="6D9A2ED9"/>
    <w:rsid w:val="6DAC05E0"/>
    <w:rsid w:val="6DAF0687"/>
    <w:rsid w:val="6DC3749A"/>
    <w:rsid w:val="6DD06048"/>
    <w:rsid w:val="6DE2571C"/>
    <w:rsid w:val="6DE32D68"/>
    <w:rsid w:val="6DE42F2A"/>
    <w:rsid w:val="6DE62102"/>
    <w:rsid w:val="6DF12EF5"/>
    <w:rsid w:val="6DF403D5"/>
    <w:rsid w:val="6DF52370"/>
    <w:rsid w:val="6E054ED2"/>
    <w:rsid w:val="6E0F7187"/>
    <w:rsid w:val="6E3B7F3D"/>
    <w:rsid w:val="6E3F24E3"/>
    <w:rsid w:val="6E446567"/>
    <w:rsid w:val="6E4C231E"/>
    <w:rsid w:val="6E674D77"/>
    <w:rsid w:val="6E6F5947"/>
    <w:rsid w:val="6E70561A"/>
    <w:rsid w:val="6E825173"/>
    <w:rsid w:val="6E935534"/>
    <w:rsid w:val="6E9B3CBB"/>
    <w:rsid w:val="6EBB33FE"/>
    <w:rsid w:val="6ED23C2E"/>
    <w:rsid w:val="6EE07773"/>
    <w:rsid w:val="6EF675F4"/>
    <w:rsid w:val="6EFF0393"/>
    <w:rsid w:val="6F224A9A"/>
    <w:rsid w:val="6F2D2520"/>
    <w:rsid w:val="6F43582A"/>
    <w:rsid w:val="6F4E6A62"/>
    <w:rsid w:val="6F51727C"/>
    <w:rsid w:val="6F891938"/>
    <w:rsid w:val="6F93722C"/>
    <w:rsid w:val="6F99791C"/>
    <w:rsid w:val="6FD35B04"/>
    <w:rsid w:val="6FDE5BAB"/>
    <w:rsid w:val="6FF036DD"/>
    <w:rsid w:val="7001053D"/>
    <w:rsid w:val="703F56BE"/>
    <w:rsid w:val="70461870"/>
    <w:rsid w:val="70574C0E"/>
    <w:rsid w:val="7066163C"/>
    <w:rsid w:val="7075449A"/>
    <w:rsid w:val="70957F22"/>
    <w:rsid w:val="70CA434A"/>
    <w:rsid w:val="70D464A7"/>
    <w:rsid w:val="70D727DD"/>
    <w:rsid w:val="70DF51FC"/>
    <w:rsid w:val="70EF0410"/>
    <w:rsid w:val="70F11914"/>
    <w:rsid w:val="70F62BCC"/>
    <w:rsid w:val="70F71484"/>
    <w:rsid w:val="70FF136C"/>
    <w:rsid w:val="710010D9"/>
    <w:rsid w:val="71013CFA"/>
    <w:rsid w:val="711112DF"/>
    <w:rsid w:val="711F132C"/>
    <w:rsid w:val="7134426B"/>
    <w:rsid w:val="714A7EE7"/>
    <w:rsid w:val="716A1FBB"/>
    <w:rsid w:val="716E32F1"/>
    <w:rsid w:val="718D7630"/>
    <w:rsid w:val="71910A05"/>
    <w:rsid w:val="71BF767B"/>
    <w:rsid w:val="71CE63D4"/>
    <w:rsid w:val="71D22D28"/>
    <w:rsid w:val="71E03E7D"/>
    <w:rsid w:val="71E12F48"/>
    <w:rsid w:val="71E44647"/>
    <w:rsid w:val="72290171"/>
    <w:rsid w:val="722A607A"/>
    <w:rsid w:val="724F4046"/>
    <w:rsid w:val="729749D4"/>
    <w:rsid w:val="72AE0C4A"/>
    <w:rsid w:val="72B375A2"/>
    <w:rsid w:val="72C0586E"/>
    <w:rsid w:val="72F8181C"/>
    <w:rsid w:val="72FE0D2A"/>
    <w:rsid w:val="73163B23"/>
    <w:rsid w:val="731B3260"/>
    <w:rsid w:val="7334225F"/>
    <w:rsid w:val="734D438E"/>
    <w:rsid w:val="734E4B79"/>
    <w:rsid w:val="735C1BCC"/>
    <w:rsid w:val="735C2A7D"/>
    <w:rsid w:val="736F5EC2"/>
    <w:rsid w:val="73761D4B"/>
    <w:rsid w:val="737C5956"/>
    <w:rsid w:val="7382006E"/>
    <w:rsid w:val="73845FEE"/>
    <w:rsid w:val="73A91A87"/>
    <w:rsid w:val="73B10B9E"/>
    <w:rsid w:val="73E349D9"/>
    <w:rsid w:val="73F36DD0"/>
    <w:rsid w:val="74105E85"/>
    <w:rsid w:val="74186CF5"/>
    <w:rsid w:val="74280B5A"/>
    <w:rsid w:val="743E01B2"/>
    <w:rsid w:val="74492D05"/>
    <w:rsid w:val="745768E1"/>
    <w:rsid w:val="74611604"/>
    <w:rsid w:val="74616FA7"/>
    <w:rsid w:val="747B74C6"/>
    <w:rsid w:val="74A93E82"/>
    <w:rsid w:val="74BD73CE"/>
    <w:rsid w:val="74BF628F"/>
    <w:rsid w:val="74CF24EA"/>
    <w:rsid w:val="74DF64DD"/>
    <w:rsid w:val="75017DB1"/>
    <w:rsid w:val="75044D2B"/>
    <w:rsid w:val="751A26FA"/>
    <w:rsid w:val="751A6AA1"/>
    <w:rsid w:val="751B5142"/>
    <w:rsid w:val="7526066C"/>
    <w:rsid w:val="753A2E76"/>
    <w:rsid w:val="75437EB4"/>
    <w:rsid w:val="75611536"/>
    <w:rsid w:val="757C338F"/>
    <w:rsid w:val="75906F35"/>
    <w:rsid w:val="75DB58CF"/>
    <w:rsid w:val="75EE0A32"/>
    <w:rsid w:val="75F61D4B"/>
    <w:rsid w:val="760714CE"/>
    <w:rsid w:val="76191871"/>
    <w:rsid w:val="76290E42"/>
    <w:rsid w:val="763C49A2"/>
    <w:rsid w:val="764B4E40"/>
    <w:rsid w:val="767E55CF"/>
    <w:rsid w:val="76913910"/>
    <w:rsid w:val="7692221F"/>
    <w:rsid w:val="76944F51"/>
    <w:rsid w:val="76951C2D"/>
    <w:rsid w:val="76976122"/>
    <w:rsid w:val="769B4F81"/>
    <w:rsid w:val="76A50F7A"/>
    <w:rsid w:val="76B64AD8"/>
    <w:rsid w:val="76E621C3"/>
    <w:rsid w:val="76F81151"/>
    <w:rsid w:val="77395144"/>
    <w:rsid w:val="77417882"/>
    <w:rsid w:val="77616036"/>
    <w:rsid w:val="778E761C"/>
    <w:rsid w:val="77916499"/>
    <w:rsid w:val="77A96C0F"/>
    <w:rsid w:val="77AB3782"/>
    <w:rsid w:val="77C16D8A"/>
    <w:rsid w:val="77D31D57"/>
    <w:rsid w:val="77D53B7E"/>
    <w:rsid w:val="77E0692E"/>
    <w:rsid w:val="77F07BA5"/>
    <w:rsid w:val="77F35B67"/>
    <w:rsid w:val="78080864"/>
    <w:rsid w:val="780A05C0"/>
    <w:rsid w:val="78276BEA"/>
    <w:rsid w:val="78337AD6"/>
    <w:rsid w:val="783A2BBF"/>
    <w:rsid w:val="784B4388"/>
    <w:rsid w:val="78840773"/>
    <w:rsid w:val="788A5245"/>
    <w:rsid w:val="78990D40"/>
    <w:rsid w:val="78B47DF0"/>
    <w:rsid w:val="78BD7CCE"/>
    <w:rsid w:val="78BF75CB"/>
    <w:rsid w:val="78C01776"/>
    <w:rsid w:val="78C0654C"/>
    <w:rsid w:val="78C748FE"/>
    <w:rsid w:val="78CF03ED"/>
    <w:rsid w:val="78D808F3"/>
    <w:rsid w:val="78D9272A"/>
    <w:rsid w:val="78E63BF6"/>
    <w:rsid w:val="78F61FAE"/>
    <w:rsid w:val="78FF12E8"/>
    <w:rsid w:val="791B1828"/>
    <w:rsid w:val="792A6FFF"/>
    <w:rsid w:val="792B2AD0"/>
    <w:rsid w:val="79330898"/>
    <w:rsid w:val="79362295"/>
    <w:rsid w:val="7946391D"/>
    <w:rsid w:val="79717EC3"/>
    <w:rsid w:val="79760722"/>
    <w:rsid w:val="79A15A0C"/>
    <w:rsid w:val="79A32C7B"/>
    <w:rsid w:val="79A41C89"/>
    <w:rsid w:val="79A81FAE"/>
    <w:rsid w:val="79AC0891"/>
    <w:rsid w:val="79AC45E0"/>
    <w:rsid w:val="79AC4D82"/>
    <w:rsid w:val="79D336E1"/>
    <w:rsid w:val="79D9115C"/>
    <w:rsid w:val="79E97912"/>
    <w:rsid w:val="79FB0742"/>
    <w:rsid w:val="7A0213AE"/>
    <w:rsid w:val="7A0B0004"/>
    <w:rsid w:val="7A172839"/>
    <w:rsid w:val="7A306A90"/>
    <w:rsid w:val="7A890A65"/>
    <w:rsid w:val="7A8F26A7"/>
    <w:rsid w:val="7A925C99"/>
    <w:rsid w:val="7A9961D7"/>
    <w:rsid w:val="7A9C34D6"/>
    <w:rsid w:val="7AAC76B9"/>
    <w:rsid w:val="7ABF51CD"/>
    <w:rsid w:val="7AE12202"/>
    <w:rsid w:val="7B022F10"/>
    <w:rsid w:val="7B0D2F9A"/>
    <w:rsid w:val="7B234D31"/>
    <w:rsid w:val="7B3B125D"/>
    <w:rsid w:val="7B3F013E"/>
    <w:rsid w:val="7B43183F"/>
    <w:rsid w:val="7B590B76"/>
    <w:rsid w:val="7B6139F0"/>
    <w:rsid w:val="7B873792"/>
    <w:rsid w:val="7B8B5F71"/>
    <w:rsid w:val="7BB14D15"/>
    <w:rsid w:val="7BD9713D"/>
    <w:rsid w:val="7BFB2649"/>
    <w:rsid w:val="7C02600A"/>
    <w:rsid w:val="7C153412"/>
    <w:rsid w:val="7C195509"/>
    <w:rsid w:val="7C400E30"/>
    <w:rsid w:val="7C511DFE"/>
    <w:rsid w:val="7C593EAE"/>
    <w:rsid w:val="7C8860C7"/>
    <w:rsid w:val="7CBE0892"/>
    <w:rsid w:val="7CE55FBE"/>
    <w:rsid w:val="7CE80B33"/>
    <w:rsid w:val="7D134E44"/>
    <w:rsid w:val="7D171DDD"/>
    <w:rsid w:val="7D2A2F5A"/>
    <w:rsid w:val="7D3F16EC"/>
    <w:rsid w:val="7D4679B5"/>
    <w:rsid w:val="7D5167D6"/>
    <w:rsid w:val="7D5E31AA"/>
    <w:rsid w:val="7D611DF2"/>
    <w:rsid w:val="7D7C35F3"/>
    <w:rsid w:val="7D8B55FE"/>
    <w:rsid w:val="7D8D4931"/>
    <w:rsid w:val="7DAB1DCD"/>
    <w:rsid w:val="7DC3440A"/>
    <w:rsid w:val="7DDA027D"/>
    <w:rsid w:val="7DE201AC"/>
    <w:rsid w:val="7DE46520"/>
    <w:rsid w:val="7DF65060"/>
    <w:rsid w:val="7E0702D8"/>
    <w:rsid w:val="7E1A1248"/>
    <w:rsid w:val="7E312E27"/>
    <w:rsid w:val="7E4013C8"/>
    <w:rsid w:val="7E611873"/>
    <w:rsid w:val="7E722E15"/>
    <w:rsid w:val="7E83663A"/>
    <w:rsid w:val="7E846634"/>
    <w:rsid w:val="7EB31AB8"/>
    <w:rsid w:val="7EBB77C0"/>
    <w:rsid w:val="7EBC71FA"/>
    <w:rsid w:val="7ECB3119"/>
    <w:rsid w:val="7ED3266C"/>
    <w:rsid w:val="7EEA70CD"/>
    <w:rsid w:val="7EEE218F"/>
    <w:rsid w:val="7EEE6B7F"/>
    <w:rsid w:val="7EF4144E"/>
    <w:rsid w:val="7EF7261F"/>
    <w:rsid w:val="7F15145C"/>
    <w:rsid w:val="7F18573F"/>
    <w:rsid w:val="7F3A7824"/>
    <w:rsid w:val="7F4360B6"/>
    <w:rsid w:val="7F46795F"/>
    <w:rsid w:val="7F4D7148"/>
    <w:rsid w:val="7F577569"/>
    <w:rsid w:val="7F627193"/>
    <w:rsid w:val="7FBC7702"/>
    <w:rsid w:val="7FDC6B6B"/>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9"/>
    <w:qFormat/>
    <w:uiPriority w:val="99"/>
    <w:pPr>
      <w:shd w:val="clear" w:color="auto" w:fill="000080"/>
    </w:pPr>
    <w:rPr>
      <w:kern w:val="0"/>
      <w:sz w:val="2"/>
      <w:szCs w:val="20"/>
    </w:rPr>
  </w:style>
  <w:style w:type="paragraph" w:styleId="17">
    <w:name w:val="annotation text"/>
    <w:basedOn w:val="1"/>
    <w:link w:val="67"/>
    <w:semiHidden/>
    <w:qFormat/>
    <w:uiPriority w:val="99"/>
    <w:pPr>
      <w:jc w:val="left"/>
    </w:pPr>
    <w:rPr>
      <w:kern w:val="0"/>
      <w:sz w:val="24"/>
      <w:szCs w:val="20"/>
    </w:rPr>
  </w:style>
  <w:style w:type="paragraph" w:styleId="18">
    <w:name w:val="Body Text 3"/>
    <w:basedOn w:val="1"/>
    <w:link w:val="70"/>
    <w:qFormat/>
    <w:uiPriority w:val="99"/>
    <w:rPr>
      <w:kern w:val="0"/>
      <w:sz w:val="16"/>
      <w:szCs w:val="20"/>
    </w:rPr>
  </w:style>
  <w:style w:type="paragraph" w:styleId="19">
    <w:name w:val="Body Text"/>
    <w:basedOn w:val="1"/>
    <w:link w:val="71"/>
    <w:qFormat/>
    <w:uiPriority w:val="99"/>
    <w:rPr>
      <w:sz w:val="24"/>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7"/>
    <w:next w:val="17"/>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2">
    <w:name w:val="Strong"/>
    <w:basedOn w:val="51"/>
    <w:qFormat/>
    <w:uiPriority w:val="99"/>
    <w:rPr>
      <w:rFonts w:cs="Times New Roman"/>
      <w:b/>
    </w:rPr>
  </w:style>
  <w:style w:type="character" w:styleId="53">
    <w:name w:val="page number"/>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10"/>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7"/>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6"/>
    <w:qFormat/>
    <w:locked/>
    <w:uiPriority w:val="99"/>
    <w:rPr>
      <w:rFonts w:cs="Times New Roman"/>
      <w:sz w:val="2"/>
    </w:rPr>
  </w:style>
  <w:style w:type="character" w:customStyle="1" w:styleId="70">
    <w:name w:val="正文文本 3 字符"/>
    <w:link w:val="18"/>
    <w:qFormat/>
    <w:locked/>
    <w:uiPriority w:val="99"/>
    <w:rPr>
      <w:rFonts w:cs="Times New Roman"/>
      <w:sz w:val="16"/>
    </w:rPr>
  </w:style>
  <w:style w:type="character" w:customStyle="1" w:styleId="71">
    <w:name w:val="正文文本 字符"/>
    <w:link w:val="19"/>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6"/>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6"/>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6"/>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List Paragraph"/>
    <w:basedOn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
    <w:basedOn w:val="1"/>
    <w:qFormat/>
    <w:uiPriority w:val="99"/>
    <w:pPr>
      <w:ind w:firstLine="420" w:firstLineChars="200"/>
    </w:pPr>
  </w:style>
  <w:style w:type="paragraph" w:customStyle="1" w:styleId="133">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TotalTime>17</TotalTime>
  <ScaleCrop>false</ScaleCrop>
  <LinksUpToDate>false</LinksUpToDate>
  <CharactersWithSpaces>31608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MistY123</cp:lastModifiedBy>
  <cp:lastPrinted>2018-07-23T02:56:00Z</cp:lastPrinted>
  <dcterms:modified xsi:type="dcterms:W3CDTF">2019-08-19T01:50:07Z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