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0"/>
        <w:spacing w:line="240" w:lineRule="auto"/>
        <w:ind w:firstLine="0" w:firstLineChars="0"/>
        <w:jc w:val="left"/>
        <w:rPr>
          <w:rFonts w:eastAsia="黑体"/>
          <w:sz w:val="52"/>
          <w:highlight w:val="none"/>
        </w:rPr>
      </w:pPr>
      <w:r>
        <w:rPr>
          <w:rFonts w:eastAsia="黑体"/>
          <w:sz w:val="52"/>
          <w:highlight w:val="none"/>
        </w:rPr>
        <w:pict>
          <v:shape id="_x0000_i1025" o:spt="75" alt="图片1" type="#_x0000_t75" style="height:34.75pt;width:87.7pt;" filled="f" o:preferrelative="t" stroked="f" coordsize="21600,21600">
            <v:path/>
            <v:fill on="f" focussize="0,0"/>
            <v:stroke on="f" joinstyle="miter"/>
            <v:imagedata r:id="rId10" o:title=""/>
            <o:lock v:ext="edit" aspectratio="t"/>
            <w10:wrap type="none"/>
            <w10:anchorlock/>
          </v:shape>
        </w:pict>
      </w:r>
    </w:p>
    <w:p>
      <w:pPr>
        <w:pStyle w:val="40"/>
        <w:spacing w:line="240" w:lineRule="auto"/>
        <w:ind w:firstLine="0" w:firstLineChars="0"/>
        <w:rPr>
          <w:sz w:val="52"/>
          <w:highlight w:val="none"/>
        </w:rPr>
      </w:pPr>
      <w:r>
        <w:rPr>
          <w:sz w:val="52"/>
          <w:highlight w:val="none"/>
        </w:rPr>
        <w:t xml:space="preserve">  </w:t>
      </w:r>
    </w:p>
    <w:p>
      <w:pPr>
        <w:adjustRightInd w:val="0"/>
        <w:snapToGrid w:val="0"/>
        <w:spacing w:line="360" w:lineRule="auto"/>
        <w:ind w:firstLine="2249" w:firstLineChars="700"/>
        <w:rPr>
          <w:rFonts w:ascii="宋体" w:hAnsi="宋体"/>
          <w:b/>
          <w:sz w:val="32"/>
          <w:highlight w:val="none"/>
        </w:rPr>
      </w:pPr>
      <w:r>
        <w:rPr>
          <w:rFonts w:hint="eastAsia" w:ascii="宋体" w:hAnsi="宋体"/>
          <w:b/>
          <w:sz w:val="32"/>
          <w:highlight w:val="none"/>
        </w:rPr>
        <w:t xml:space="preserve">   </w:t>
      </w:r>
    </w:p>
    <w:p>
      <w:pPr>
        <w:adjustRightInd w:val="0"/>
        <w:snapToGrid w:val="0"/>
        <w:spacing w:line="360" w:lineRule="auto"/>
        <w:jc w:val="center"/>
        <w:rPr>
          <w:rFonts w:ascii="宋体" w:hAnsi="宋体" w:cs="宋体"/>
          <w:b/>
          <w:sz w:val="40"/>
          <w:szCs w:val="32"/>
          <w:highlight w:val="none"/>
        </w:rPr>
      </w:pPr>
      <w:r>
        <w:rPr>
          <w:rFonts w:hint="eastAsia" w:ascii="宋体" w:hAnsi="宋体" w:cs="宋体"/>
          <w:b/>
          <w:sz w:val="40"/>
          <w:szCs w:val="32"/>
          <w:highlight w:val="none"/>
        </w:rPr>
        <w:t>山东大学第二医院</w:t>
      </w:r>
    </w:p>
    <w:p>
      <w:pPr>
        <w:adjustRightInd w:val="0"/>
        <w:snapToGrid w:val="0"/>
        <w:spacing w:line="360" w:lineRule="auto"/>
        <w:jc w:val="center"/>
        <w:rPr>
          <w:rFonts w:ascii="宋体" w:hAnsi="宋体" w:cs="宋体"/>
          <w:b/>
          <w:sz w:val="56"/>
          <w:szCs w:val="28"/>
          <w:highlight w:val="none"/>
        </w:rPr>
      </w:pPr>
      <w:r>
        <w:rPr>
          <w:rFonts w:hint="eastAsia" w:ascii="宋体" w:hAnsi="宋体" w:cs="宋体"/>
          <w:b/>
          <w:sz w:val="40"/>
          <w:szCs w:val="32"/>
          <w:highlight w:val="none"/>
        </w:rPr>
        <w:t>康复数字化管理系统采购项目</w:t>
      </w:r>
    </w:p>
    <w:p>
      <w:pPr>
        <w:tabs>
          <w:tab w:val="left" w:pos="1134"/>
          <w:tab w:val="left" w:pos="5481"/>
          <w:tab w:val="left" w:pos="5859"/>
        </w:tabs>
        <w:rPr>
          <w:rFonts w:eastAsia="华文中宋"/>
          <w:b/>
          <w:sz w:val="52"/>
          <w:highlight w:val="none"/>
        </w:rPr>
      </w:pPr>
    </w:p>
    <w:p>
      <w:pPr>
        <w:tabs>
          <w:tab w:val="left" w:pos="1134"/>
          <w:tab w:val="left" w:pos="5481"/>
          <w:tab w:val="left" w:pos="5859"/>
        </w:tabs>
        <w:jc w:val="center"/>
        <w:rPr>
          <w:rFonts w:eastAsia="华文中宋"/>
          <w:b/>
          <w:sz w:val="52"/>
          <w:highlight w:val="none"/>
        </w:rPr>
      </w:pPr>
    </w:p>
    <w:p>
      <w:pPr>
        <w:tabs>
          <w:tab w:val="left" w:pos="1134"/>
          <w:tab w:val="left" w:pos="5481"/>
          <w:tab w:val="left" w:pos="5859"/>
        </w:tabs>
        <w:rPr>
          <w:rFonts w:eastAsia="华文中宋"/>
          <w:b/>
          <w:sz w:val="52"/>
          <w:highlight w:val="none"/>
        </w:rPr>
      </w:pPr>
    </w:p>
    <w:p>
      <w:pPr>
        <w:pStyle w:val="19"/>
        <w:ind w:left="-11" w:leftChars="-95" w:hanging="188" w:hangingChars="13"/>
        <w:jc w:val="center"/>
        <w:rPr>
          <w:rFonts w:ascii="宋体"/>
          <w:b/>
          <w:sz w:val="144"/>
          <w:szCs w:val="144"/>
          <w:highlight w:val="none"/>
        </w:rPr>
      </w:pPr>
      <w:r>
        <w:rPr>
          <w:rFonts w:hint="eastAsia" w:ascii="宋体" w:hAnsi="宋体"/>
          <w:b/>
          <w:sz w:val="144"/>
          <w:szCs w:val="144"/>
          <w:highlight w:val="none"/>
        </w:rPr>
        <w:t>招标文件</w:t>
      </w:r>
    </w:p>
    <w:p>
      <w:pPr>
        <w:tabs>
          <w:tab w:val="left" w:pos="1134"/>
          <w:tab w:val="left" w:pos="5160"/>
        </w:tabs>
        <w:jc w:val="center"/>
        <w:rPr>
          <w:rFonts w:eastAsia="黑体"/>
          <w:b/>
          <w:sz w:val="32"/>
          <w:highlight w:val="none"/>
        </w:rPr>
      </w:pPr>
      <w:r>
        <w:rPr>
          <w:rFonts w:eastAsia="黑体"/>
          <w:b/>
          <w:sz w:val="36"/>
          <w:highlight w:val="none"/>
        </w:rPr>
        <w:t xml:space="preserve"> </w:t>
      </w:r>
    </w:p>
    <w:p>
      <w:pPr>
        <w:spacing w:line="480" w:lineRule="auto"/>
        <w:rPr>
          <w:rFonts w:ascii="宋体" w:hAnsi="宋体"/>
          <w:b/>
          <w:sz w:val="32"/>
          <w:highlight w:val="none"/>
        </w:rPr>
      </w:pPr>
      <w:r>
        <w:rPr>
          <w:rFonts w:hint="eastAsia" w:ascii="宋体" w:hAnsi="宋体"/>
          <w:b/>
          <w:sz w:val="32"/>
          <w:highlight w:val="none"/>
        </w:rPr>
        <w:t xml:space="preserve">         招标编号：0676-196009ZB018036</w:t>
      </w:r>
    </w:p>
    <w:p>
      <w:pPr>
        <w:spacing w:line="480" w:lineRule="auto"/>
        <w:rPr>
          <w:rFonts w:ascii="宋体" w:hAnsi="宋体"/>
          <w:b/>
          <w:sz w:val="32"/>
          <w:highlight w:val="none"/>
        </w:rPr>
      </w:pPr>
      <w:r>
        <w:rPr>
          <w:rFonts w:hint="eastAsia" w:ascii="宋体" w:hAnsi="宋体"/>
          <w:b/>
          <w:sz w:val="32"/>
          <w:highlight w:val="none"/>
        </w:rPr>
        <w:t xml:space="preserve">         招标内容：康复数字化管理系统</w:t>
      </w:r>
    </w:p>
    <w:p>
      <w:pPr>
        <w:tabs>
          <w:tab w:val="left" w:pos="1134"/>
          <w:tab w:val="left" w:pos="5481"/>
          <w:tab w:val="left" w:pos="5859"/>
        </w:tabs>
        <w:jc w:val="center"/>
        <w:rPr>
          <w:rFonts w:eastAsia="黑体"/>
          <w:b/>
          <w:sz w:val="32"/>
          <w:highlight w:val="none"/>
        </w:rPr>
      </w:pPr>
    </w:p>
    <w:p>
      <w:pPr>
        <w:tabs>
          <w:tab w:val="left" w:pos="1134"/>
          <w:tab w:val="left" w:pos="5481"/>
          <w:tab w:val="left" w:pos="5859"/>
        </w:tabs>
        <w:rPr>
          <w:rFonts w:eastAsia="黑体"/>
          <w:b/>
          <w:sz w:val="32"/>
          <w:highlight w:val="none"/>
        </w:rPr>
      </w:pPr>
    </w:p>
    <w:p>
      <w:pPr>
        <w:tabs>
          <w:tab w:val="left" w:pos="1134"/>
          <w:tab w:val="left" w:pos="5481"/>
          <w:tab w:val="left" w:pos="5859"/>
        </w:tabs>
        <w:rPr>
          <w:rFonts w:eastAsia="黑体"/>
          <w:b/>
          <w:sz w:val="32"/>
          <w:highlight w:val="none"/>
        </w:rPr>
      </w:pPr>
    </w:p>
    <w:p>
      <w:pPr>
        <w:spacing w:line="480" w:lineRule="auto"/>
        <w:jc w:val="center"/>
        <w:rPr>
          <w:rFonts w:ascii="宋体"/>
          <w:b/>
          <w:sz w:val="32"/>
          <w:szCs w:val="32"/>
          <w:highlight w:val="none"/>
        </w:rPr>
      </w:pPr>
      <w:r>
        <w:rPr>
          <w:rFonts w:hint="eastAsia" w:ascii="宋体" w:hAnsi="宋体"/>
          <w:b/>
          <w:sz w:val="32"/>
          <w:szCs w:val="32"/>
          <w:highlight w:val="none"/>
        </w:rPr>
        <w:t>山东省鲁成招标有限公司</w:t>
      </w:r>
    </w:p>
    <w:p>
      <w:pPr>
        <w:spacing w:line="480" w:lineRule="auto"/>
        <w:jc w:val="center"/>
        <w:rPr>
          <w:rFonts w:eastAsia="黑体"/>
          <w:b/>
          <w:sz w:val="36"/>
          <w:highlight w:val="none"/>
        </w:rPr>
      </w:pPr>
      <w:r>
        <w:rPr>
          <w:rFonts w:hint="eastAsia" w:ascii="宋体" w:hAnsi="宋体"/>
          <w:b/>
          <w:sz w:val="32"/>
          <w:szCs w:val="32"/>
          <w:highlight w:val="none"/>
        </w:rPr>
        <w:t>二</w:t>
      </w:r>
      <w:r>
        <w:rPr>
          <w:rFonts w:hint="eastAsia" w:ascii="宋体"/>
          <w:b/>
          <w:sz w:val="32"/>
          <w:szCs w:val="32"/>
          <w:highlight w:val="none"/>
        </w:rPr>
        <w:t>〇</w:t>
      </w:r>
      <w:r>
        <w:rPr>
          <w:rFonts w:hint="eastAsia" w:ascii="宋体" w:hAnsi="宋体"/>
          <w:b/>
          <w:sz w:val="32"/>
          <w:szCs w:val="32"/>
          <w:highlight w:val="none"/>
        </w:rPr>
        <w:t>一九年</w:t>
      </w:r>
      <w:r>
        <w:rPr>
          <w:rFonts w:hint="eastAsia" w:ascii="宋体" w:hAnsi="宋体"/>
          <w:b/>
          <w:sz w:val="32"/>
          <w:szCs w:val="32"/>
          <w:highlight w:val="none"/>
          <w:lang w:val="en-US" w:eastAsia="zh-CN"/>
        </w:rPr>
        <w:t>十</w:t>
      </w:r>
      <w:r>
        <w:rPr>
          <w:rFonts w:hint="eastAsia" w:ascii="宋体" w:hAnsi="宋体"/>
          <w:b/>
          <w:sz w:val="32"/>
          <w:szCs w:val="32"/>
          <w:highlight w:val="none"/>
        </w:rPr>
        <w:t>月</w:t>
      </w:r>
    </w:p>
    <w:p>
      <w:pPr>
        <w:pStyle w:val="19"/>
        <w:spacing w:line="360" w:lineRule="auto"/>
        <w:jc w:val="center"/>
        <w:rPr>
          <w:rFonts w:ascii="宋体"/>
          <w:sz w:val="30"/>
          <w:szCs w:val="30"/>
          <w:highlight w:val="none"/>
        </w:rPr>
        <w:sectPr>
          <w:headerReference r:id="rId4" w:type="first"/>
          <w:footerReference r:id="rId6" w:type="first"/>
          <w:headerReference r:id="rId3" w:type="default"/>
          <w:footerReference r:id="rId5" w:type="default"/>
          <w:type w:val="continuous"/>
          <w:pgSz w:w="11906" w:h="16838"/>
          <w:pgMar w:top="1440" w:right="1800" w:bottom="1440" w:left="1800" w:header="851" w:footer="992" w:gutter="0"/>
          <w:pgNumType w:start="0"/>
          <w:cols w:space="0" w:num="1"/>
          <w:titlePg/>
          <w:docGrid w:type="lines" w:linePitch="312" w:charSpace="0"/>
        </w:sectPr>
      </w:pPr>
    </w:p>
    <w:p>
      <w:pPr>
        <w:pStyle w:val="19"/>
        <w:spacing w:line="360" w:lineRule="auto"/>
        <w:jc w:val="center"/>
        <w:rPr>
          <w:rFonts w:ascii="宋体"/>
          <w:sz w:val="30"/>
          <w:szCs w:val="30"/>
          <w:highlight w:val="none"/>
        </w:rPr>
      </w:pPr>
    </w:p>
    <w:p>
      <w:pPr>
        <w:pStyle w:val="19"/>
        <w:spacing w:line="360" w:lineRule="auto"/>
        <w:jc w:val="center"/>
        <w:rPr>
          <w:b/>
          <w:bCs/>
          <w:sz w:val="40"/>
          <w:szCs w:val="40"/>
          <w:highlight w:val="none"/>
        </w:rPr>
      </w:pPr>
      <w:r>
        <w:rPr>
          <w:rFonts w:hint="eastAsia"/>
          <w:b/>
          <w:bCs/>
          <w:sz w:val="40"/>
          <w:szCs w:val="40"/>
          <w:highlight w:val="none"/>
        </w:rPr>
        <w:t>目</w:t>
      </w:r>
      <w:r>
        <w:rPr>
          <w:b/>
          <w:bCs/>
          <w:sz w:val="40"/>
          <w:szCs w:val="40"/>
          <w:highlight w:val="none"/>
        </w:rPr>
        <w:t xml:space="preserve">   </w:t>
      </w:r>
      <w:r>
        <w:rPr>
          <w:rFonts w:hint="eastAsia"/>
          <w:b/>
          <w:bCs/>
          <w:sz w:val="40"/>
          <w:szCs w:val="40"/>
          <w:highlight w:val="none"/>
        </w:rPr>
        <w:t>录</w:t>
      </w:r>
    </w:p>
    <w:p>
      <w:pPr>
        <w:pStyle w:val="34"/>
        <w:tabs>
          <w:tab w:val="right" w:leader="dot" w:pos="9276"/>
        </w:tabs>
        <w:spacing w:line="360" w:lineRule="auto"/>
        <w:rPr>
          <w:sz w:val="24"/>
          <w:szCs w:val="22"/>
          <w:highlight w:val="none"/>
        </w:rPr>
      </w:pPr>
      <w:r>
        <w:rPr>
          <w:rFonts w:ascii="宋体"/>
          <w:bCs/>
          <w:highlight w:val="none"/>
        </w:rPr>
        <w:fldChar w:fldCharType="begin"/>
      </w:r>
      <w:r>
        <w:rPr>
          <w:rFonts w:ascii="宋体"/>
          <w:bCs/>
          <w:highlight w:val="none"/>
        </w:rPr>
        <w:instrText xml:space="preserve">TOC \o "1-3" \h \u </w:instrText>
      </w:r>
      <w:r>
        <w:rPr>
          <w:rFonts w:ascii="宋体"/>
          <w:bCs/>
          <w:highlight w:val="none"/>
        </w:rPr>
        <w:fldChar w:fldCharType="separate"/>
      </w:r>
      <w:r>
        <w:rPr>
          <w:highlight w:val="none"/>
        </w:rPr>
        <w:fldChar w:fldCharType="begin"/>
      </w:r>
      <w:r>
        <w:rPr>
          <w:highlight w:val="none"/>
        </w:rPr>
        <w:instrText xml:space="preserve"> HYPERLINK \l "_Toc15040" </w:instrText>
      </w:r>
      <w:r>
        <w:rPr>
          <w:highlight w:val="none"/>
        </w:rPr>
        <w:fldChar w:fldCharType="separate"/>
      </w:r>
      <w:r>
        <w:rPr>
          <w:rFonts w:hint="eastAsia" w:ascii="宋体" w:hAnsi="宋体"/>
          <w:sz w:val="24"/>
          <w:szCs w:val="22"/>
          <w:highlight w:val="none"/>
        </w:rPr>
        <w:t>第一部分</w:t>
      </w:r>
      <w:r>
        <w:rPr>
          <w:rFonts w:ascii="宋体" w:hAnsi="宋体"/>
          <w:sz w:val="24"/>
          <w:szCs w:val="22"/>
          <w:highlight w:val="none"/>
        </w:rPr>
        <w:t xml:space="preserve"> </w:t>
      </w:r>
      <w:r>
        <w:rPr>
          <w:rFonts w:hint="eastAsia" w:ascii="宋体" w:hAnsi="宋体"/>
          <w:sz w:val="24"/>
          <w:szCs w:val="22"/>
          <w:highlight w:val="none"/>
        </w:rPr>
        <w:t>招标公告</w:t>
      </w:r>
      <w:r>
        <w:rPr>
          <w:sz w:val="24"/>
          <w:szCs w:val="22"/>
          <w:highlight w:val="none"/>
        </w:rPr>
        <w:tab/>
      </w:r>
      <w:r>
        <w:rPr>
          <w:rFonts w:hint="eastAsia"/>
          <w:sz w:val="24"/>
          <w:szCs w:val="22"/>
          <w:highlight w:val="none"/>
        </w:rPr>
        <w:t>2</w:t>
      </w:r>
      <w:r>
        <w:rPr>
          <w:rFonts w:hint="eastAsia"/>
          <w:sz w:val="24"/>
          <w:szCs w:val="22"/>
          <w:highlight w:val="none"/>
        </w:rPr>
        <w:fldChar w:fldCharType="end"/>
      </w:r>
    </w:p>
    <w:p>
      <w:pPr>
        <w:pStyle w:val="34"/>
        <w:tabs>
          <w:tab w:val="right" w:leader="dot" w:pos="9276"/>
        </w:tabs>
        <w:spacing w:line="360" w:lineRule="auto"/>
        <w:rPr>
          <w:sz w:val="24"/>
          <w:szCs w:val="22"/>
          <w:highlight w:val="none"/>
        </w:rPr>
      </w:pPr>
      <w:r>
        <w:rPr>
          <w:highlight w:val="none"/>
        </w:rPr>
        <w:fldChar w:fldCharType="begin"/>
      </w:r>
      <w:r>
        <w:rPr>
          <w:highlight w:val="none"/>
        </w:rPr>
        <w:instrText xml:space="preserve"> HYPERLINK \l "_Toc15243" </w:instrText>
      </w:r>
      <w:r>
        <w:rPr>
          <w:highlight w:val="none"/>
        </w:rPr>
        <w:fldChar w:fldCharType="separate"/>
      </w:r>
      <w:r>
        <w:rPr>
          <w:rFonts w:hint="eastAsia" w:ascii="宋体" w:hAnsi="宋体"/>
          <w:sz w:val="24"/>
          <w:szCs w:val="22"/>
          <w:highlight w:val="none"/>
        </w:rPr>
        <w:t>第二部分</w:t>
      </w:r>
      <w:r>
        <w:rPr>
          <w:rFonts w:ascii="宋体" w:hAnsi="宋体"/>
          <w:sz w:val="24"/>
          <w:szCs w:val="22"/>
          <w:highlight w:val="none"/>
        </w:rPr>
        <w:t xml:space="preserve"> </w:t>
      </w:r>
      <w:r>
        <w:rPr>
          <w:rFonts w:hint="eastAsia" w:ascii="宋体" w:hAnsi="宋体"/>
          <w:sz w:val="24"/>
          <w:szCs w:val="22"/>
          <w:highlight w:val="none"/>
        </w:rPr>
        <w:t>投标人须知</w:t>
      </w:r>
      <w:r>
        <w:rPr>
          <w:sz w:val="24"/>
          <w:szCs w:val="22"/>
          <w:highlight w:val="none"/>
        </w:rPr>
        <w:tab/>
      </w:r>
      <w:r>
        <w:rPr>
          <w:sz w:val="24"/>
          <w:szCs w:val="22"/>
          <w:highlight w:val="none"/>
        </w:rPr>
        <w:fldChar w:fldCharType="begin"/>
      </w:r>
      <w:r>
        <w:rPr>
          <w:sz w:val="24"/>
          <w:szCs w:val="22"/>
          <w:highlight w:val="none"/>
        </w:rPr>
        <w:instrText xml:space="preserve"> PAGEREF _Toc15243 </w:instrText>
      </w:r>
      <w:r>
        <w:rPr>
          <w:sz w:val="24"/>
          <w:szCs w:val="22"/>
          <w:highlight w:val="none"/>
        </w:rPr>
        <w:fldChar w:fldCharType="separate"/>
      </w:r>
      <w:r>
        <w:rPr>
          <w:sz w:val="24"/>
          <w:szCs w:val="22"/>
          <w:highlight w:val="none"/>
        </w:rPr>
        <w:t>2</w:t>
      </w:r>
      <w:r>
        <w:rPr>
          <w:sz w:val="24"/>
          <w:szCs w:val="22"/>
          <w:highlight w:val="none"/>
        </w:rPr>
        <w:fldChar w:fldCharType="end"/>
      </w:r>
      <w:r>
        <w:rPr>
          <w:sz w:val="24"/>
          <w:szCs w:val="22"/>
          <w:highlight w:val="none"/>
        </w:rPr>
        <w:fldChar w:fldCharType="end"/>
      </w:r>
    </w:p>
    <w:p>
      <w:pPr>
        <w:pStyle w:val="41"/>
        <w:tabs>
          <w:tab w:val="right" w:leader="dot" w:pos="9276"/>
        </w:tabs>
        <w:spacing w:line="360" w:lineRule="auto"/>
        <w:rPr>
          <w:sz w:val="24"/>
          <w:szCs w:val="22"/>
          <w:highlight w:val="none"/>
        </w:rPr>
      </w:pPr>
      <w:r>
        <w:rPr>
          <w:highlight w:val="none"/>
        </w:rPr>
        <w:fldChar w:fldCharType="begin"/>
      </w:r>
      <w:r>
        <w:rPr>
          <w:highlight w:val="none"/>
        </w:rPr>
        <w:instrText xml:space="preserve"> HYPERLINK \l "_Toc1284" </w:instrText>
      </w:r>
      <w:r>
        <w:rPr>
          <w:highlight w:val="none"/>
        </w:rPr>
        <w:fldChar w:fldCharType="separate"/>
      </w:r>
      <w:r>
        <w:rPr>
          <w:rFonts w:hint="eastAsia"/>
          <w:sz w:val="24"/>
          <w:szCs w:val="22"/>
          <w:highlight w:val="none"/>
        </w:rPr>
        <w:t>投标人须知前附表</w:t>
      </w:r>
      <w:r>
        <w:rPr>
          <w:sz w:val="24"/>
          <w:szCs w:val="22"/>
          <w:highlight w:val="none"/>
        </w:rPr>
        <w:tab/>
      </w:r>
      <w:r>
        <w:rPr>
          <w:sz w:val="24"/>
          <w:szCs w:val="22"/>
          <w:highlight w:val="none"/>
        </w:rPr>
        <w:fldChar w:fldCharType="begin"/>
      </w:r>
      <w:r>
        <w:rPr>
          <w:sz w:val="24"/>
          <w:szCs w:val="22"/>
          <w:highlight w:val="none"/>
        </w:rPr>
        <w:instrText xml:space="preserve"> PAGEREF _Toc1284 </w:instrText>
      </w:r>
      <w:r>
        <w:rPr>
          <w:sz w:val="24"/>
          <w:szCs w:val="22"/>
          <w:highlight w:val="none"/>
        </w:rPr>
        <w:fldChar w:fldCharType="separate"/>
      </w:r>
      <w:r>
        <w:rPr>
          <w:sz w:val="24"/>
          <w:szCs w:val="22"/>
          <w:highlight w:val="none"/>
        </w:rPr>
        <w:t>5</w:t>
      </w:r>
      <w:r>
        <w:rPr>
          <w:sz w:val="24"/>
          <w:szCs w:val="22"/>
          <w:highlight w:val="none"/>
        </w:rPr>
        <w:fldChar w:fldCharType="end"/>
      </w:r>
      <w:r>
        <w:rPr>
          <w:sz w:val="24"/>
          <w:szCs w:val="22"/>
          <w:highlight w:val="none"/>
        </w:rPr>
        <w:fldChar w:fldCharType="end"/>
      </w:r>
    </w:p>
    <w:p>
      <w:pPr>
        <w:pStyle w:val="41"/>
        <w:tabs>
          <w:tab w:val="right" w:leader="dot" w:pos="9276"/>
        </w:tabs>
        <w:spacing w:line="360" w:lineRule="auto"/>
        <w:rPr>
          <w:sz w:val="24"/>
          <w:szCs w:val="22"/>
          <w:highlight w:val="none"/>
        </w:rPr>
      </w:pPr>
      <w:r>
        <w:rPr>
          <w:highlight w:val="none"/>
        </w:rPr>
        <w:fldChar w:fldCharType="begin"/>
      </w:r>
      <w:r>
        <w:rPr>
          <w:highlight w:val="none"/>
        </w:rPr>
        <w:instrText xml:space="preserve"> HYPERLINK \l "_Toc16191" </w:instrText>
      </w:r>
      <w:r>
        <w:rPr>
          <w:highlight w:val="none"/>
        </w:rPr>
        <w:fldChar w:fldCharType="separate"/>
      </w:r>
      <w:r>
        <w:rPr>
          <w:rFonts w:hint="eastAsia" w:ascii="宋体" w:hAnsi="宋体"/>
          <w:sz w:val="24"/>
          <w:szCs w:val="22"/>
          <w:highlight w:val="none"/>
        </w:rPr>
        <w:t>一、说明</w:t>
      </w:r>
      <w:r>
        <w:rPr>
          <w:sz w:val="24"/>
          <w:szCs w:val="22"/>
          <w:highlight w:val="none"/>
        </w:rPr>
        <w:tab/>
      </w:r>
      <w:r>
        <w:rPr>
          <w:sz w:val="24"/>
          <w:szCs w:val="22"/>
          <w:highlight w:val="none"/>
        </w:rPr>
        <w:fldChar w:fldCharType="begin"/>
      </w:r>
      <w:r>
        <w:rPr>
          <w:sz w:val="24"/>
          <w:szCs w:val="22"/>
          <w:highlight w:val="none"/>
        </w:rPr>
        <w:instrText xml:space="preserve"> PAGEREF _Toc16191 </w:instrText>
      </w:r>
      <w:r>
        <w:rPr>
          <w:sz w:val="24"/>
          <w:szCs w:val="22"/>
          <w:highlight w:val="none"/>
        </w:rPr>
        <w:fldChar w:fldCharType="separate"/>
      </w:r>
      <w:r>
        <w:rPr>
          <w:sz w:val="24"/>
          <w:szCs w:val="22"/>
          <w:highlight w:val="none"/>
        </w:rPr>
        <w:t>8</w:t>
      </w:r>
      <w:r>
        <w:rPr>
          <w:sz w:val="24"/>
          <w:szCs w:val="22"/>
          <w:highlight w:val="none"/>
        </w:rPr>
        <w:fldChar w:fldCharType="end"/>
      </w:r>
      <w:r>
        <w:rPr>
          <w:sz w:val="24"/>
          <w:szCs w:val="22"/>
          <w:highlight w:val="none"/>
        </w:rPr>
        <w:fldChar w:fldCharType="end"/>
      </w:r>
    </w:p>
    <w:p>
      <w:pPr>
        <w:pStyle w:val="41"/>
        <w:tabs>
          <w:tab w:val="right" w:leader="dot" w:pos="9276"/>
        </w:tabs>
        <w:spacing w:line="360" w:lineRule="auto"/>
        <w:rPr>
          <w:sz w:val="24"/>
          <w:szCs w:val="22"/>
          <w:highlight w:val="none"/>
        </w:rPr>
      </w:pPr>
      <w:r>
        <w:rPr>
          <w:highlight w:val="none"/>
        </w:rPr>
        <w:fldChar w:fldCharType="begin"/>
      </w:r>
      <w:r>
        <w:rPr>
          <w:highlight w:val="none"/>
        </w:rPr>
        <w:instrText xml:space="preserve"> HYPERLINK \l "_Toc7019" </w:instrText>
      </w:r>
      <w:r>
        <w:rPr>
          <w:highlight w:val="none"/>
        </w:rPr>
        <w:fldChar w:fldCharType="separate"/>
      </w:r>
      <w:r>
        <w:rPr>
          <w:rFonts w:hint="eastAsia" w:ascii="宋体" w:hAnsi="宋体"/>
          <w:sz w:val="24"/>
          <w:szCs w:val="22"/>
          <w:highlight w:val="none"/>
        </w:rPr>
        <w:t>二、招标文件</w:t>
      </w:r>
      <w:r>
        <w:rPr>
          <w:sz w:val="24"/>
          <w:szCs w:val="22"/>
          <w:highlight w:val="none"/>
        </w:rPr>
        <w:tab/>
      </w:r>
      <w:r>
        <w:rPr>
          <w:sz w:val="24"/>
          <w:szCs w:val="22"/>
          <w:highlight w:val="none"/>
        </w:rPr>
        <w:fldChar w:fldCharType="begin"/>
      </w:r>
      <w:r>
        <w:rPr>
          <w:sz w:val="24"/>
          <w:szCs w:val="22"/>
          <w:highlight w:val="none"/>
        </w:rPr>
        <w:instrText xml:space="preserve"> PAGEREF _Toc7019 </w:instrText>
      </w:r>
      <w:r>
        <w:rPr>
          <w:sz w:val="24"/>
          <w:szCs w:val="22"/>
          <w:highlight w:val="none"/>
        </w:rPr>
        <w:fldChar w:fldCharType="separate"/>
      </w:r>
      <w:r>
        <w:rPr>
          <w:sz w:val="24"/>
          <w:szCs w:val="22"/>
          <w:highlight w:val="none"/>
        </w:rPr>
        <w:t>9</w:t>
      </w:r>
      <w:r>
        <w:rPr>
          <w:sz w:val="24"/>
          <w:szCs w:val="22"/>
          <w:highlight w:val="none"/>
        </w:rPr>
        <w:fldChar w:fldCharType="end"/>
      </w:r>
      <w:r>
        <w:rPr>
          <w:sz w:val="24"/>
          <w:szCs w:val="22"/>
          <w:highlight w:val="none"/>
        </w:rPr>
        <w:fldChar w:fldCharType="end"/>
      </w:r>
    </w:p>
    <w:p>
      <w:pPr>
        <w:pStyle w:val="41"/>
        <w:tabs>
          <w:tab w:val="right" w:leader="dot" w:pos="9276"/>
        </w:tabs>
        <w:spacing w:line="360" w:lineRule="auto"/>
        <w:rPr>
          <w:sz w:val="24"/>
          <w:szCs w:val="22"/>
          <w:highlight w:val="none"/>
        </w:rPr>
      </w:pPr>
      <w:r>
        <w:rPr>
          <w:highlight w:val="none"/>
        </w:rPr>
        <w:fldChar w:fldCharType="begin"/>
      </w:r>
      <w:r>
        <w:rPr>
          <w:highlight w:val="none"/>
        </w:rPr>
        <w:instrText xml:space="preserve"> HYPERLINK \l "_Toc21443" </w:instrText>
      </w:r>
      <w:r>
        <w:rPr>
          <w:highlight w:val="none"/>
        </w:rPr>
        <w:fldChar w:fldCharType="separate"/>
      </w:r>
      <w:r>
        <w:rPr>
          <w:rFonts w:hint="eastAsia" w:ascii="宋体" w:hAnsi="宋体"/>
          <w:sz w:val="24"/>
          <w:szCs w:val="22"/>
          <w:highlight w:val="none"/>
        </w:rPr>
        <w:t>三、投标文件编制</w:t>
      </w:r>
      <w:r>
        <w:rPr>
          <w:sz w:val="24"/>
          <w:szCs w:val="22"/>
          <w:highlight w:val="none"/>
        </w:rPr>
        <w:tab/>
      </w:r>
      <w:r>
        <w:rPr>
          <w:sz w:val="24"/>
          <w:szCs w:val="22"/>
          <w:highlight w:val="none"/>
        </w:rPr>
        <w:fldChar w:fldCharType="begin"/>
      </w:r>
      <w:r>
        <w:rPr>
          <w:sz w:val="24"/>
          <w:szCs w:val="22"/>
          <w:highlight w:val="none"/>
        </w:rPr>
        <w:instrText xml:space="preserve"> PAGEREF _Toc21443 </w:instrText>
      </w:r>
      <w:r>
        <w:rPr>
          <w:sz w:val="24"/>
          <w:szCs w:val="22"/>
          <w:highlight w:val="none"/>
        </w:rPr>
        <w:fldChar w:fldCharType="separate"/>
      </w:r>
      <w:r>
        <w:rPr>
          <w:sz w:val="24"/>
          <w:szCs w:val="22"/>
          <w:highlight w:val="none"/>
        </w:rPr>
        <w:t>10</w:t>
      </w:r>
      <w:r>
        <w:rPr>
          <w:sz w:val="24"/>
          <w:szCs w:val="22"/>
          <w:highlight w:val="none"/>
        </w:rPr>
        <w:fldChar w:fldCharType="end"/>
      </w:r>
      <w:r>
        <w:rPr>
          <w:sz w:val="24"/>
          <w:szCs w:val="22"/>
          <w:highlight w:val="none"/>
        </w:rPr>
        <w:fldChar w:fldCharType="end"/>
      </w:r>
    </w:p>
    <w:p>
      <w:pPr>
        <w:pStyle w:val="41"/>
        <w:tabs>
          <w:tab w:val="right" w:leader="dot" w:pos="9276"/>
        </w:tabs>
        <w:spacing w:line="360" w:lineRule="auto"/>
        <w:rPr>
          <w:sz w:val="24"/>
          <w:szCs w:val="22"/>
          <w:highlight w:val="none"/>
        </w:rPr>
      </w:pPr>
      <w:r>
        <w:rPr>
          <w:highlight w:val="none"/>
        </w:rPr>
        <w:fldChar w:fldCharType="begin"/>
      </w:r>
      <w:r>
        <w:rPr>
          <w:highlight w:val="none"/>
        </w:rPr>
        <w:instrText xml:space="preserve"> HYPERLINK \l "_Toc3684" </w:instrText>
      </w:r>
      <w:r>
        <w:rPr>
          <w:highlight w:val="none"/>
        </w:rPr>
        <w:fldChar w:fldCharType="separate"/>
      </w:r>
      <w:r>
        <w:rPr>
          <w:rFonts w:hint="eastAsia" w:ascii="宋体" w:hAnsi="宋体"/>
          <w:bCs/>
          <w:sz w:val="24"/>
          <w:szCs w:val="22"/>
          <w:highlight w:val="none"/>
        </w:rPr>
        <w:t>四、投标文件递交</w:t>
      </w:r>
      <w:r>
        <w:rPr>
          <w:sz w:val="24"/>
          <w:szCs w:val="22"/>
          <w:highlight w:val="none"/>
        </w:rPr>
        <w:tab/>
      </w:r>
      <w:r>
        <w:rPr>
          <w:sz w:val="24"/>
          <w:szCs w:val="22"/>
          <w:highlight w:val="none"/>
        </w:rPr>
        <w:fldChar w:fldCharType="begin"/>
      </w:r>
      <w:r>
        <w:rPr>
          <w:sz w:val="24"/>
          <w:szCs w:val="22"/>
          <w:highlight w:val="none"/>
        </w:rPr>
        <w:instrText xml:space="preserve"> PAGEREF _Toc3684 </w:instrText>
      </w:r>
      <w:r>
        <w:rPr>
          <w:sz w:val="24"/>
          <w:szCs w:val="22"/>
          <w:highlight w:val="none"/>
        </w:rPr>
        <w:fldChar w:fldCharType="separate"/>
      </w:r>
      <w:r>
        <w:rPr>
          <w:sz w:val="24"/>
          <w:szCs w:val="22"/>
          <w:highlight w:val="none"/>
        </w:rPr>
        <w:t>15</w:t>
      </w:r>
      <w:r>
        <w:rPr>
          <w:sz w:val="24"/>
          <w:szCs w:val="22"/>
          <w:highlight w:val="none"/>
        </w:rPr>
        <w:fldChar w:fldCharType="end"/>
      </w:r>
      <w:r>
        <w:rPr>
          <w:sz w:val="24"/>
          <w:szCs w:val="22"/>
          <w:highlight w:val="none"/>
        </w:rPr>
        <w:fldChar w:fldCharType="end"/>
      </w:r>
    </w:p>
    <w:p>
      <w:pPr>
        <w:pStyle w:val="41"/>
        <w:tabs>
          <w:tab w:val="right" w:leader="dot" w:pos="9276"/>
        </w:tabs>
        <w:spacing w:line="360" w:lineRule="auto"/>
        <w:rPr>
          <w:sz w:val="24"/>
          <w:szCs w:val="22"/>
          <w:highlight w:val="none"/>
        </w:rPr>
      </w:pPr>
      <w:r>
        <w:rPr>
          <w:highlight w:val="none"/>
        </w:rPr>
        <w:fldChar w:fldCharType="begin"/>
      </w:r>
      <w:r>
        <w:rPr>
          <w:highlight w:val="none"/>
        </w:rPr>
        <w:instrText xml:space="preserve"> HYPERLINK \l "_Toc142" </w:instrText>
      </w:r>
      <w:r>
        <w:rPr>
          <w:highlight w:val="none"/>
        </w:rPr>
        <w:fldChar w:fldCharType="separate"/>
      </w:r>
      <w:r>
        <w:rPr>
          <w:rFonts w:hint="eastAsia" w:ascii="宋体" w:hAnsi="宋体"/>
          <w:bCs/>
          <w:sz w:val="24"/>
          <w:szCs w:val="22"/>
          <w:highlight w:val="none"/>
        </w:rPr>
        <w:t>五、开标与评标</w:t>
      </w:r>
      <w:r>
        <w:rPr>
          <w:sz w:val="24"/>
          <w:szCs w:val="22"/>
          <w:highlight w:val="none"/>
        </w:rPr>
        <w:tab/>
      </w:r>
      <w:r>
        <w:rPr>
          <w:sz w:val="24"/>
          <w:szCs w:val="22"/>
          <w:highlight w:val="none"/>
        </w:rPr>
        <w:fldChar w:fldCharType="begin"/>
      </w:r>
      <w:r>
        <w:rPr>
          <w:sz w:val="24"/>
          <w:szCs w:val="22"/>
          <w:highlight w:val="none"/>
        </w:rPr>
        <w:instrText xml:space="preserve"> PAGEREF _Toc142 </w:instrText>
      </w:r>
      <w:r>
        <w:rPr>
          <w:sz w:val="24"/>
          <w:szCs w:val="22"/>
          <w:highlight w:val="none"/>
        </w:rPr>
        <w:fldChar w:fldCharType="separate"/>
      </w:r>
      <w:r>
        <w:rPr>
          <w:sz w:val="24"/>
          <w:szCs w:val="22"/>
          <w:highlight w:val="none"/>
        </w:rPr>
        <w:t>16</w:t>
      </w:r>
      <w:r>
        <w:rPr>
          <w:sz w:val="24"/>
          <w:szCs w:val="22"/>
          <w:highlight w:val="none"/>
        </w:rPr>
        <w:fldChar w:fldCharType="end"/>
      </w:r>
      <w:r>
        <w:rPr>
          <w:sz w:val="24"/>
          <w:szCs w:val="22"/>
          <w:highlight w:val="none"/>
        </w:rPr>
        <w:fldChar w:fldCharType="end"/>
      </w:r>
    </w:p>
    <w:p>
      <w:pPr>
        <w:pStyle w:val="41"/>
        <w:tabs>
          <w:tab w:val="right" w:leader="dot" w:pos="9276"/>
        </w:tabs>
        <w:spacing w:line="360" w:lineRule="auto"/>
        <w:rPr>
          <w:sz w:val="24"/>
          <w:szCs w:val="22"/>
          <w:highlight w:val="none"/>
        </w:rPr>
      </w:pPr>
      <w:r>
        <w:rPr>
          <w:highlight w:val="none"/>
        </w:rPr>
        <w:fldChar w:fldCharType="begin"/>
      </w:r>
      <w:r>
        <w:rPr>
          <w:highlight w:val="none"/>
        </w:rPr>
        <w:instrText xml:space="preserve"> HYPERLINK \l "_Toc7870" </w:instrText>
      </w:r>
      <w:r>
        <w:rPr>
          <w:highlight w:val="none"/>
        </w:rPr>
        <w:fldChar w:fldCharType="separate"/>
      </w:r>
      <w:r>
        <w:rPr>
          <w:rFonts w:hint="eastAsia" w:ascii="宋体" w:hAnsi="宋体"/>
          <w:bCs/>
          <w:sz w:val="24"/>
          <w:szCs w:val="22"/>
          <w:highlight w:val="none"/>
        </w:rPr>
        <w:t>六、合同签订</w:t>
      </w:r>
      <w:r>
        <w:rPr>
          <w:sz w:val="24"/>
          <w:szCs w:val="22"/>
          <w:highlight w:val="none"/>
        </w:rPr>
        <w:tab/>
      </w:r>
      <w:r>
        <w:rPr>
          <w:sz w:val="24"/>
          <w:szCs w:val="22"/>
          <w:highlight w:val="none"/>
        </w:rPr>
        <w:fldChar w:fldCharType="begin"/>
      </w:r>
      <w:r>
        <w:rPr>
          <w:sz w:val="24"/>
          <w:szCs w:val="22"/>
          <w:highlight w:val="none"/>
        </w:rPr>
        <w:instrText xml:space="preserve"> PAGEREF _Toc7870 </w:instrText>
      </w:r>
      <w:r>
        <w:rPr>
          <w:sz w:val="24"/>
          <w:szCs w:val="22"/>
          <w:highlight w:val="none"/>
        </w:rPr>
        <w:fldChar w:fldCharType="separate"/>
      </w:r>
      <w:r>
        <w:rPr>
          <w:sz w:val="24"/>
          <w:szCs w:val="22"/>
          <w:highlight w:val="none"/>
        </w:rPr>
        <w:t>25</w:t>
      </w:r>
      <w:r>
        <w:rPr>
          <w:sz w:val="24"/>
          <w:szCs w:val="22"/>
          <w:highlight w:val="none"/>
        </w:rPr>
        <w:fldChar w:fldCharType="end"/>
      </w:r>
      <w:r>
        <w:rPr>
          <w:sz w:val="24"/>
          <w:szCs w:val="22"/>
          <w:highlight w:val="none"/>
        </w:rPr>
        <w:fldChar w:fldCharType="end"/>
      </w:r>
    </w:p>
    <w:p>
      <w:pPr>
        <w:pStyle w:val="41"/>
        <w:tabs>
          <w:tab w:val="right" w:leader="dot" w:pos="9276"/>
        </w:tabs>
        <w:spacing w:line="360" w:lineRule="auto"/>
        <w:rPr>
          <w:sz w:val="24"/>
          <w:szCs w:val="22"/>
          <w:highlight w:val="none"/>
        </w:rPr>
      </w:pPr>
      <w:r>
        <w:rPr>
          <w:highlight w:val="none"/>
        </w:rPr>
        <w:fldChar w:fldCharType="begin"/>
      </w:r>
      <w:r>
        <w:rPr>
          <w:highlight w:val="none"/>
        </w:rPr>
        <w:instrText xml:space="preserve"> HYPERLINK \l "_Toc13878" </w:instrText>
      </w:r>
      <w:r>
        <w:rPr>
          <w:highlight w:val="none"/>
        </w:rPr>
        <w:fldChar w:fldCharType="separate"/>
      </w:r>
      <w:r>
        <w:rPr>
          <w:rFonts w:hint="eastAsia" w:ascii="宋体" w:hAnsi="宋体"/>
          <w:bCs/>
          <w:sz w:val="24"/>
          <w:szCs w:val="22"/>
          <w:highlight w:val="none"/>
        </w:rPr>
        <w:t>七、处罚、质疑</w:t>
      </w:r>
      <w:r>
        <w:rPr>
          <w:sz w:val="24"/>
          <w:szCs w:val="22"/>
          <w:highlight w:val="none"/>
        </w:rPr>
        <w:tab/>
      </w:r>
      <w:r>
        <w:rPr>
          <w:sz w:val="24"/>
          <w:szCs w:val="22"/>
          <w:highlight w:val="none"/>
        </w:rPr>
        <w:fldChar w:fldCharType="begin"/>
      </w:r>
      <w:r>
        <w:rPr>
          <w:sz w:val="24"/>
          <w:szCs w:val="22"/>
          <w:highlight w:val="none"/>
        </w:rPr>
        <w:instrText xml:space="preserve"> PAGEREF _Toc13878 </w:instrText>
      </w:r>
      <w:r>
        <w:rPr>
          <w:sz w:val="24"/>
          <w:szCs w:val="22"/>
          <w:highlight w:val="none"/>
        </w:rPr>
        <w:fldChar w:fldCharType="separate"/>
      </w:r>
      <w:r>
        <w:rPr>
          <w:sz w:val="24"/>
          <w:szCs w:val="22"/>
          <w:highlight w:val="none"/>
        </w:rPr>
        <w:t>26</w:t>
      </w:r>
      <w:r>
        <w:rPr>
          <w:sz w:val="24"/>
          <w:szCs w:val="22"/>
          <w:highlight w:val="none"/>
        </w:rPr>
        <w:fldChar w:fldCharType="end"/>
      </w:r>
      <w:r>
        <w:rPr>
          <w:sz w:val="24"/>
          <w:szCs w:val="22"/>
          <w:highlight w:val="none"/>
        </w:rPr>
        <w:fldChar w:fldCharType="end"/>
      </w:r>
    </w:p>
    <w:p>
      <w:pPr>
        <w:pStyle w:val="41"/>
        <w:tabs>
          <w:tab w:val="right" w:leader="dot" w:pos="9276"/>
        </w:tabs>
        <w:spacing w:line="360" w:lineRule="auto"/>
        <w:rPr>
          <w:sz w:val="24"/>
          <w:szCs w:val="22"/>
          <w:highlight w:val="none"/>
        </w:rPr>
      </w:pPr>
      <w:r>
        <w:rPr>
          <w:highlight w:val="none"/>
        </w:rPr>
        <w:fldChar w:fldCharType="begin"/>
      </w:r>
      <w:r>
        <w:rPr>
          <w:highlight w:val="none"/>
        </w:rPr>
        <w:instrText xml:space="preserve"> HYPERLINK \l "_Toc1876" </w:instrText>
      </w:r>
      <w:r>
        <w:rPr>
          <w:highlight w:val="none"/>
        </w:rPr>
        <w:fldChar w:fldCharType="separate"/>
      </w:r>
      <w:r>
        <w:rPr>
          <w:rFonts w:hint="eastAsia" w:ascii="宋体" w:hAnsi="宋体"/>
          <w:bCs/>
          <w:sz w:val="24"/>
          <w:szCs w:val="22"/>
          <w:highlight w:val="none"/>
        </w:rPr>
        <w:t>八、保密</w:t>
      </w:r>
      <w:r>
        <w:rPr>
          <w:sz w:val="24"/>
          <w:szCs w:val="22"/>
          <w:highlight w:val="none"/>
        </w:rPr>
        <w:tab/>
      </w:r>
      <w:r>
        <w:rPr>
          <w:sz w:val="24"/>
          <w:szCs w:val="22"/>
          <w:highlight w:val="none"/>
        </w:rPr>
        <w:fldChar w:fldCharType="begin"/>
      </w:r>
      <w:r>
        <w:rPr>
          <w:sz w:val="24"/>
          <w:szCs w:val="22"/>
          <w:highlight w:val="none"/>
        </w:rPr>
        <w:instrText xml:space="preserve"> PAGEREF _Toc1876 </w:instrText>
      </w:r>
      <w:r>
        <w:rPr>
          <w:sz w:val="24"/>
          <w:szCs w:val="22"/>
          <w:highlight w:val="none"/>
        </w:rPr>
        <w:fldChar w:fldCharType="separate"/>
      </w:r>
      <w:r>
        <w:rPr>
          <w:sz w:val="24"/>
          <w:szCs w:val="22"/>
          <w:highlight w:val="none"/>
        </w:rPr>
        <w:t>27</w:t>
      </w:r>
      <w:r>
        <w:rPr>
          <w:sz w:val="24"/>
          <w:szCs w:val="22"/>
          <w:highlight w:val="none"/>
        </w:rPr>
        <w:fldChar w:fldCharType="end"/>
      </w:r>
      <w:r>
        <w:rPr>
          <w:sz w:val="24"/>
          <w:szCs w:val="22"/>
          <w:highlight w:val="none"/>
        </w:rPr>
        <w:fldChar w:fldCharType="end"/>
      </w:r>
    </w:p>
    <w:p>
      <w:pPr>
        <w:pStyle w:val="41"/>
        <w:tabs>
          <w:tab w:val="right" w:leader="dot" w:pos="9276"/>
        </w:tabs>
        <w:spacing w:line="360" w:lineRule="auto"/>
        <w:rPr>
          <w:sz w:val="24"/>
          <w:szCs w:val="22"/>
          <w:highlight w:val="none"/>
        </w:rPr>
      </w:pPr>
      <w:r>
        <w:rPr>
          <w:highlight w:val="none"/>
        </w:rPr>
        <w:fldChar w:fldCharType="begin"/>
      </w:r>
      <w:r>
        <w:rPr>
          <w:highlight w:val="none"/>
        </w:rPr>
        <w:instrText xml:space="preserve"> HYPERLINK \l "_Toc11927" </w:instrText>
      </w:r>
      <w:r>
        <w:rPr>
          <w:highlight w:val="none"/>
        </w:rPr>
        <w:fldChar w:fldCharType="separate"/>
      </w:r>
      <w:r>
        <w:rPr>
          <w:rFonts w:hint="eastAsia" w:ascii="宋体" w:hAnsi="宋体"/>
          <w:bCs/>
          <w:sz w:val="24"/>
          <w:szCs w:val="22"/>
          <w:highlight w:val="none"/>
        </w:rPr>
        <w:t>九、专利权</w:t>
      </w:r>
      <w:r>
        <w:rPr>
          <w:sz w:val="24"/>
          <w:szCs w:val="22"/>
          <w:highlight w:val="none"/>
        </w:rPr>
        <w:tab/>
      </w:r>
      <w:r>
        <w:rPr>
          <w:sz w:val="24"/>
          <w:szCs w:val="22"/>
          <w:highlight w:val="none"/>
        </w:rPr>
        <w:fldChar w:fldCharType="begin"/>
      </w:r>
      <w:r>
        <w:rPr>
          <w:sz w:val="24"/>
          <w:szCs w:val="22"/>
          <w:highlight w:val="none"/>
        </w:rPr>
        <w:instrText xml:space="preserve"> PAGEREF _Toc11927 </w:instrText>
      </w:r>
      <w:r>
        <w:rPr>
          <w:sz w:val="24"/>
          <w:szCs w:val="22"/>
          <w:highlight w:val="none"/>
        </w:rPr>
        <w:fldChar w:fldCharType="separate"/>
      </w:r>
      <w:r>
        <w:rPr>
          <w:sz w:val="24"/>
          <w:szCs w:val="22"/>
          <w:highlight w:val="none"/>
        </w:rPr>
        <w:t>27</w:t>
      </w:r>
      <w:r>
        <w:rPr>
          <w:sz w:val="24"/>
          <w:szCs w:val="22"/>
          <w:highlight w:val="none"/>
        </w:rPr>
        <w:fldChar w:fldCharType="end"/>
      </w:r>
      <w:r>
        <w:rPr>
          <w:sz w:val="24"/>
          <w:szCs w:val="22"/>
          <w:highlight w:val="none"/>
        </w:rPr>
        <w:fldChar w:fldCharType="end"/>
      </w:r>
    </w:p>
    <w:p>
      <w:pPr>
        <w:pStyle w:val="41"/>
        <w:tabs>
          <w:tab w:val="right" w:leader="dot" w:pos="9276"/>
        </w:tabs>
        <w:spacing w:line="360" w:lineRule="auto"/>
        <w:rPr>
          <w:sz w:val="24"/>
          <w:szCs w:val="22"/>
          <w:highlight w:val="none"/>
        </w:rPr>
      </w:pPr>
      <w:r>
        <w:rPr>
          <w:highlight w:val="none"/>
        </w:rPr>
        <w:fldChar w:fldCharType="begin"/>
      </w:r>
      <w:r>
        <w:rPr>
          <w:highlight w:val="none"/>
        </w:rPr>
        <w:instrText xml:space="preserve"> HYPERLINK \l "_Toc1386" </w:instrText>
      </w:r>
      <w:r>
        <w:rPr>
          <w:highlight w:val="none"/>
        </w:rPr>
        <w:fldChar w:fldCharType="separate"/>
      </w:r>
      <w:r>
        <w:rPr>
          <w:rFonts w:hint="eastAsia" w:ascii="宋体" w:hAnsi="宋体"/>
          <w:bCs/>
          <w:sz w:val="24"/>
          <w:szCs w:val="22"/>
          <w:highlight w:val="none"/>
        </w:rPr>
        <w:t>十、解释权</w:t>
      </w:r>
      <w:r>
        <w:rPr>
          <w:sz w:val="24"/>
          <w:szCs w:val="22"/>
          <w:highlight w:val="none"/>
        </w:rPr>
        <w:tab/>
      </w:r>
      <w:r>
        <w:rPr>
          <w:sz w:val="24"/>
          <w:szCs w:val="22"/>
          <w:highlight w:val="none"/>
        </w:rPr>
        <w:fldChar w:fldCharType="begin"/>
      </w:r>
      <w:r>
        <w:rPr>
          <w:sz w:val="24"/>
          <w:szCs w:val="22"/>
          <w:highlight w:val="none"/>
        </w:rPr>
        <w:instrText xml:space="preserve"> PAGEREF _Toc1386 </w:instrText>
      </w:r>
      <w:r>
        <w:rPr>
          <w:sz w:val="24"/>
          <w:szCs w:val="22"/>
          <w:highlight w:val="none"/>
        </w:rPr>
        <w:fldChar w:fldCharType="separate"/>
      </w:r>
      <w:r>
        <w:rPr>
          <w:sz w:val="24"/>
          <w:szCs w:val="22"/>
          <w:highlight w:val="none"/>
        </w:rPr>
        <w:t>28</w:t>
      </w:r>
      <w:r>
        <w:rPr>
          <w:sz w:val="24"/>
          <w:szCs w:val="22"/>
          <w:highlight w:val="none"/>
        </w:rPr>
        <w:fldChar w:fldCharType="end"/>
      </w:r>
      <w:r>
        <w:rPr>
          <w:sz w:val="24"/>
          <w:szCs w:val="22"/>
          <w:highlight w:val="none"/>
        </w:rPr>
        <w:fldChar w:fldCharType="end"/>
      </w:r>
    </w:p>
    <w:p>
      <w:pPr>
        <w:pStyle w:val="41"/>
        <w:tabs>
          <w:tab w:val="right" w:leader="dot" w:pos="9276"/>
        </w:tabs>
        <w:spacing w:line="360" w:lineRule="auto"/>
        <w:rPr>
          <w:sz w:val="24"/>
          <w:szCs w:val="22"/>
          <w:highlight w:val="none"/>
        </w:rPr>
      </w:pPr>
      <w:r>
        <w:rPr>
          <w:highlight w:val="none"/>
        </w:rPr>
        <w:fldChar w:fldCharType="begin"/>
      </w:r>
      <w:r>
        <w:rPr>
          <w:highlight w:val="none"/>
        </w:rPr>
        <w:instrText xml:space="preserve"> HYPERLINK \l "_Toc1488" </w:instrText>
      </w:r>
      <w:r>
        <w:rPr>
          <w:highlight w:val="none"/>
        </w:rPr>
        <w:fldChar w:fldCharType="separate"/>
      </w:r>
      <w:r>
        <w:rPr>
          <w:rFonts w:hint="eastAsia" w:ascii="宋体" w:hAnsi="宋体"/>
          <w:bCs/>
          <w:sz w:val="24"/>
          <w:szCs w:val="22"/>
          <w:highlight w:val="none"/>
        </w:rPr>
        <w:t>十一、其他</w:t>
      </w:r>
      <w:r>
        <w:rPr>
          <w:sz w:val="24"/>
          <w:szCs w:val="22"/>
          <w:highlight w:val="none"/>
        </w:rPr>
        <w:tab/>
      </w:r>
      <w:r>
        <w:rPr>
          <w:sz w:val="24"/>
          <w:szCs w:val="22"/>
          <w:highlight w:val="none"/>
        </w:rPr>
        <w:fldChar w:fldCharType="begin"/>
      </w:r>
      <w:r>
        <w:rPr>
          <w:sz w:val="24"/>
          <w:szCs w:val="22"/>
          <w:highlight w:val="none"/>
        </w:rPr>
        <w:instrText xml:space="preserve"> PAGEREF _Toc1488 </w:instrText>
      </w:r>
      <w:r>
        <w:rPr>
          <w:sz w:val="24"/>
          <w:szCs w:val="22"/>
          <w:highlight w:val="none"/>
        </w:rPr>
        <w:fldChar w:fldCharType="separate"/>
      </w:r>
      <w:r>
        <w:rPr>
          <w:sz w:val="24"/>
          <w:szCs w:val="22"/>
          <w:highlight w:val="none"/>
        </w:rPr>
        <w:t>28</w:t>
      </w:r>
      <w:r>
        <w:rPr>
          <w:sz w:val="24"/>
          <w:szCs w:val="22"/>
          <w:highlight w:val="none"/>
        </w:rPr>
        <w:fldChar w:fldCharType="end"/>
      </w:r>
      <w:r>
        <w:rPr>
          <w:sz w:val="24"/>
          <w:szCs w:val="22"/>
          <w:highlight w:val="none"/>
        </w:rPr>
        <w:fldChar w:fldCharType="end"/>
      </w:r>
    </w:p>
    <w:p>
      <w:pPr>
        <w:pStyle w:val="34"/>
        <w:tabs>
          <w:tab w:val="right" w:leader="dot" w:pos="9276"/>
        </w:tabs>
        <w:spacing w:line="360" w:lineRule="auto"/>
        <w:rPr>
          <w:sz w:val="24"/>
          <w:szCs w:val="22"/>
          <w:highlight w:val="none"/>
        </w:rPr>
      </w:pPr>
      <w:r>
        <w:rPr>
          <w:highlight w:val="none"/>
        </w:rPr>
        <w:fldChar w:fldCharType="begin"/>
      </w:r>
      <w:r>
        <w:rPr>
          <w:highlight w:val="none"/>
        </w:rPr>
        <w:instrText xml:space="preserve"> HYPERLINK \l "_Toc21726" </w:instrText>
      </w:r>
      <w:r>
        <w:rPr>
          <w:highlight w:val="none"/>
        </w:rPr>
        <w:fldChar w:fldCharType="separate"/>
      </w:r>
      <w:r>
        <w:rPr>
          <w:rFonts w:hint="eastAsia" w:ascii="宋体" w:hAnsi="宋体"/>
          <w:sz w:val="24"/>
          <w:szCs w:val="22"/>
          <w:highlight w:val="none"/>
        </w:rPr>
        <w:t>第三部分</w:t>
      </w:r>
      <w:r>
        <w:rPr>
          <w:rFonts w:ascii="宋体" w:hAnsi="宋体"/>
          <w:sz w:val="24"/>
          <w:szCs w:val="22"/>
          <w:highlight w:val="none"/>
        </w:rPr>
        <w:t xml:space="preserve"> </w:t>
      </w:r>
      <w:r>
        <w:rPr>
          <w:rFonts w:hint="eastAsia" w:ascii="宋体" w:hAnsi="宋体"/>
          <w:sz w:val="24"/>
          <w:szCs w:val="22"/>
          <w:highlight w:val="none"/>
        </w:rPr>
        <w:t>招标要求</w:t>
      </w:r>
      <w:r>
        <w:rPr>
          <w:sz w:val="24"/>
          <w:szCs w:val="22"/>
          <w:highlight w:val="none"/>
        </w:rPr>
        <w:tab/>
      </w:r>
      <w:r>
        <w:rPr>
          <w:sz w:val="24"/>
          <w:szCs w:val="22"/>
          <w:highlight w:val="none"/>
        </w:rPr>
        <w:fldChar w:fldCharType="begin"/>
      </w:r>
      <w:r>
        <w:rPr>
          <w:sz w:val="24"/>
          <w:szCs w:val="22"/>
          <w:highlight w:val="none"/>
        </w:rPr>
        <w:instrText xml:space="preserve"> PAGEREF _Toc21726 </w:instrText>
      </w:r>
      <w:r>
        <w:rPr>
          <w:sz w:val="24"/>
          <w:szCs w:val="22"/>
          <w:highlight w:val="none"/>
        </w:rPr>
        <w:fldChar w:fldCharType="separate"/>
      </w:r>
      <w:r>
        <w:rPr>
          <w:sz w:val="24"/>
          <w:szCs w:val="22"/>
          <w:highlight w:val="none"/>
        </w:rPr>
        <w:t>29</w:t>
      </w:r>
      <w:r>
        <w:rPr>
          <w:sz w:val="24"/>
          <w:szCs w:val="22"/>
          <w:highlight w:val="none"/>
        </w:rPr>
        <w:fldChar w:fldCharType="end"/>
      </w:r>
      <w:r>
        <w:rPr>
          <w:sz w:val="24"/>
          <w:szCs w:val="22"/>
          <w:highlight w:val="none"/>
        </w:rPr>
        <w:fldChar w:fldCharType="end"/>
      </w:r>
    </w:p>
    <w:p>
      <w:pPr>
        <w:pStyle w:val="34"/>
        <w:tabs>
          <w:tab w:val="right" w:leader="dot" w:pos="9276"/>
        </w:tabs>
        <w:spacing w:line="360" w:lineRule="auto"/>
        <w:rPr>
          <w:rFonts w:hint="eastAsia" w:eastAsia="宋体"/>
          <w:sz w:val="24"/>
          <w:szCs w:val="22"/>
          <w:highlight w:val="none"/>
          <w:lang w:val="en-US" w:eastAsia="zh-CN"/>
        </w:rPr>
      </w:pPr>
      <w:r>
        <w:rPr>
          <w:highlight w:val="none"/>
        </w:rPr>
        <w:fldChar w:fldCharType="begin"/>
      </w:r>
      <w:r>
        <w:rPr>
          <w:highlight w:val="none"/>
        </w:rPr>
        <w:instrText xml:space="preserve"> HYPERLINK \l "_Toc2031" </w:instrText>
      </w:r>
      <w:r>
        <w:rPr>
          <w:highlight w:val="none"/>
        </w:rPr>
        <w:fldChar w:fldCharType="separate"/>
      </w:r>
      <w:r>
        <w:rPr>
          <w:rFonts w:hint="eastAsia" w:ascii="宋体" w:hAnsi="宋体"/>
          <w:sz w:val="24"/>
          <w:szCs w:val="22"/>
          <w:highlight w:val="none"/>
        </w:rPr>
        <w:t>第四部分</w:t>
      </w:r>
      <w:r>
        <w:rPr>
          <w:rFonts w:ascii="宋体" w:hAnsi="宋体"/>
          <w:sz w:val="24"/>
          <w:szCs w:val="22"/>
          <w:highlight w:val="none"/>
        </w:rPr>
        <w:t xml:space="preserve"> </w:t>
      </w:r>
      <w:r>
        <w:rPr>
          <w:rFonts w:hint="eastAsia" w:ascii="宋体" w:hAnsi="宋体"/>
          <w:sz w:val="24"/>
          <w:szCs w:val="22"/>
          <w:highlight w:val="none"/>
        </w:rPr>
        <w:t>合同条款及格式</w:t>
      </w:r>
      <w:r>
        <w:rPr>
          <w:sz w:val="24"/>
          <w:szCs w:val="22"/>
          <w:highlight w:val="none"/>
        </w:rPr>
        <w:tab/>
      </w:r>
      <w:r>
        <w:rPr>
          <w:rFonts w:hint="eastAsia"/>
          <w:sz w:val="24"/>
          <w:szCs w:val="22"/>
          <w:highlight w:val="none"/>
          <w:lang w:val="en-US" w:eastAsia="zh-CN"/>
        </w:rPr>
        <w:t>4</w:t>
      </w:r>
      <w:r>
        <w:rPr>
          <w:sz w:val="24"/>
          <w:szCs w:val="22"/>
          <w:highlight w:val="none"/>
        </w:rPr>
        <w:fldChar w:fldCharType="end"/>
      </w:r>
      <w:r>
        <w:rPr>
          <w:rFonts w:hint="eastAsia"/>
          <w:sz w:val="24"/>
          <w:szCs w:val="22"/>
          <w:highlight w:val="none"/>
          <w:lang w:val="en-US" w:eastAsia="zh-CN"/>
        </w:rPr>
        <w:t>6</w:t>
      </w:r>
    </w:p>
    <w:p>
      <w:pPr>
        <w:pStyle w:val="34"/>
        <w:tabs>
          <w:tab w:val="right" w:leader="dot" w:pos="9276"/>
        </w:tabs>
        <w:spacing w:line="360" w:lineRule="auto"/>
        <w:rPr>
          <w:szCs w:val="20"/>
          <w:highlight w:val="none"/>
        </w:rPr>
      </w:pPr>
      <w:r>
        <w:rPr>
          <w:highlight w:val="none"/>
        </w:rPr>
        <w:fldChar w:fldCharType="begin"/>
      </w:r>
      <w:r>
        <w:rPr>
          <w:highlight w:val="none"/>
        </w:rPr>
        <w:instrText xml:space="preserve"> HYPERLINK \l "_Toc4921" </w:instrText>
      </w:r>
      <w:r>
        <w:rPr>
          <w:highlight w:val="none"/>
        </w:rPr>
        <w:fldChar w:fldCharType="separate"/>
      </w:r>
      <w:r>
        <w:rPr>
          <w:rFonts w:hint="eastAsia" w:ascii="宋体" w:hAnsi="宋体"/>
          <w:kern w:val="0"/>
          <w:sz w:val="24"/>
          <w:szCs w:val="22"/>
          <w:highlight w:val="none"/>
        </w:rPr>
        <w:t>第五部分</w:t>
      </w:r>
      <w:r>
        <w:rPr>
          <w:rFonts w:ascii="宋体" w:hAnsi="宋体"/>
          <w:kern w:val="0"/>
          <w:sz w:val="24"/>
          <w:szCs w:val="22"/>
          <w:highlight w:val="none"/>
        </w:rPr>
        <w:t xml:space="preserve"> </w:t>
      </w:r>
      <w:r>
        <w:rPr>
          <w:rFonts w:hint="eastAsia" w:ascii="宋体" w:hAnsi="宋体"/>
          <w:kern w:val="0"/>
          <w:sz w:val="24"/>
          <w:szCs w:val="22"/>
          <w:highlight w:val="none"/>
        </w:rPr>
        <w:t>附件</w:t>
      </w:r>
      <w:r>
        <w:rPr>
          <w:sz w:val="24"/>
          <w:szCs w:val="22"/>
          <w:highlight w:val="none"/>
        </w:rPr>
        <w:tab/>
      </w:r>
      <w:r>
        <w:rPr>
          <w:sz w:val="24"/>
          <w:szCs w:val="22"/>
          <w:highlight w:val="none"/>
        </w:rPr>
        <w:fldChar w:fldCharType="begin"/>
      </w:r>
      <w:r>
        <w:rPr>
          <w:sz w:val="24"/>
          <w:szCs w:val="22"/>
          <w:highlight w:val="none"/>
        </w:rPr>
        <w:instrText xml:space="preserve"> PAGEREF _Toc4921 </w:instrText>
      </w:r>
      <w:r>
        <w:rPr>
          <w:sz w:val="24"/>
          <w:szCs w:val="22"/>
          <w:highlight w:val="none"/>
        </w:rPr>
        <w:fldChar w:fldCharType="separate"/>
      </w:r>
      <w:r>
        <w:rPr>
          <w:sz w:val="24"/>
          <w:szCs w:val="22"/>
          <w:highlight w:val="none"/>
        </w:rPr>
        <w:t>49</w:t>
      </w:r>
      <w:r>
        <w:rPr>
          <w:sz w:val="24"/>
          <w:szCs w:val="22"/>
          <w:highlight w:val="none"/>
        </w:rPr>
        <w:fldChar w:fldCharType="end"/>
      </w:r>
      <w:r>
        <w:rPr>
          <w:sz w:val="24"/>
          <w:szCs w:val="22"/>
          <w:highlight w:val="none"/>
        </w:rPr>
        <w:fldChar w:fldCharType="end"/>
      </w:r>
    </w:p>
    <w:p>
      <w:pPr>
        <w:pStyle w:val="34"/>
        <w:tabs>
          <w:tab w:val="right" w:leader="dot" w:pos="9276"/>
        </w:tabs>
        <w:rPr>
          <w:szCs w:val="20"/>
          <w:highlight w:val="none"/>
        </w:rPr>
      </w:pPr>
    </w:p>
    <w:p>
      <w:pPr>
        <w:pStyle w:val="19"/>
        <w:spacing w:line="360" w:lineRule="auto"/>
        <w:jc w:val="center"/>
        <w:rPr>
          <w:rFonts w:ascii="宋体"/>
          <w:bCs/>
          <w:highlight w:val="none"/>
        </w:rPr>
      </w:pPr>
      <w:r>
        <w:rPr>
          <w:rFonts w:ascii="宋体"/>
          <w:bCs/>
          <w:highlight w:val="none"/>
        </w:rPr>
        <w:fldChar w:fldCharType="end"/>
      </w:r>
    </w:p>
    <w:p>
      <w:pPr>
        <w:pStyle w:val="19"/>
        <w:spacing w:line="360" w:lineRule="auto"/>
        <w:jc w:val="center"/>
        <w:rPr>
          <w:rFonts w:ascii="宋体"/>
          <w:b/>
          <w:sz w:val="36"/>
          <w:highlight w:val="none"/>
        </w:rPr>
      </w:pPr>
      <w:r>
        <w:rPr>
          <w:rFonts w:ascii="宋体"/>
          <w:bCs/>
          <w:highlight w:val="none"/>
        </w:rPr>
        <w:br w:type="page"/>
      </w:r>
    </w:p>
    <w:p>
      <w:pPr>
        <w:pStyle w:val="20"/>
        <w:tabs>
          <w:tab w:val="left" w:pos="0"/>
        </w:tabs>
        <w:spacing w:line="440" w:lineRule="exact"/>
        <w:ind w:left="0" w:leftChars="0" w:firstLine="0" w:firstLineChars="0"/>
        <w:jc w:val="center"/>
        <w:outlineLvl w:val="0"/>
        <w:rPr>
          <w:rFonts w:ascii="宋体" w:hAnsi="宋体"/>
          <w:b/>
          <w:sz w:val="36"/>
          <w:highlight w:val="none"/>
        </w:rPr>
      </w:pPr>
      <w:bookmarkStart w:id="0" w:name="_Toc15243"/>
      <w:r>
        <w:rPr>
          <w:rFonts w:hint="eastAsia" w:ascii="宋体" w:hAnsi="宋体"/>
          <w:b/>
          <w:sz w:val="36"/>
          <w:highlight w:val="none"/>
        </w:rPr>
        <w:t>第一部分   招标公告</w:t>
      </w:r>
    </w:p>
    <w:p>
      <w:pPr>
        <w:pStyle w:val="20"/>
        <w:tabs>
          <w:tab w:val="left" w:pos="0"/>
        </w:tabs>
        <w:spacing w:line="440" w:lineRule="exact"/>
        <w:ind w:left="0" w:leftChars="0" w:firstLine="0" w:firstLineChars="0"/>
        <w:jc w:val="center"/>
        <w:outlineLvl w:val="0"/>
        <w:rPr>
          <w:rFonts w:ascii="宋体" w:hAnsi="宋体"/>
          <w:b/>
          <w:sz w:val="36"/>
          <w:highlight w:val="none"/>
        </w:rPr>
      </w:pPr>
    </w:p>
    <w:p>
      <w:pPr>
        <w:pStyle w:val="20"/>
        <w:tabs>
          <w:tab w:val="left" w:pos="0"/>
        </w:tabs>
        <w:spacing w:line="360" w:lineRule="auto"/>
        <w:ind w:left="0" w:leftChars="0" w:firstLine="0" w:firstLineChars="0"/>
        <w:jc w:val="center"/>
        <w:outlineLvl w:val="0"/>
        <w:rPr>
          <w:rFonts w:ascii="宋体" w:hAnsi="宋体"/>
          <w:b/>
          <w:color w:val="000000"/>
          <w:sz w:val="30"/>
          <w:szCs w:val="30"/>
          <w:highlight w:val="none"/>
        </w:rPr>
      </w:pPr>
      <w:r>
        <w:rPr>
          <w:rFonts w:hint="eastAsia" w:ascii="宋体" w:hAnsi="宋体"/>
          <w:b/>
          <w:color w:val="000000"/>
          <w:sz w:val="30"/>
          <w:szCs w:val="30"/>
          <w:highlight w:val="none"/>
        </w:rPr>
        <w:t>山东大学第二医院康复数字化管理系统采购项目招标公告</w:t>
      </w:r>
    </w:p>
    <w:p>
      <w:pPr>
        <w:pStyle w:val="20"/>
        <w:tabs>
          <w:tab w:val="left" w:pos="0"/>
        </w:tabs>
        <w:spacing w:line="360" w:lineRule="auto"/>
        <w:ind w:left="0" w:leftChars="0" w:firstLine="0" w:firstLineChars="0"/>
        <w:outlineLvl w:val="0"/>
        <w:rPr>
          <w:rFonts w:ascii="宋体" w:hAnsi="宋体"/>
          <w:b/>
          <w:color w:val="000000"/>
          <w:sz w:val="30"/>
          <w:szCs w:val="30"/>
          <w:highlight w:val="none"/>
        </w:rPr>
      </w:pPr>
    </w:p>
    <w:p>
      <w:pPr>
        <w:pStyle w:val="132"/>
        <w:adjustRightInd w:val="0"/>
        <w:snapToGrid w:val="0"/>
        <w:spacing w:line="360" w:lineRule="auto"/>
        <w:ind w:firstLine="0" w:firstLineChars="0"/>
        <w:rPr>
          <w:rFonts w:ascii="宋体" w:cs="宋体"/>
          <w:sz w:val="24"/>
          <w:highlight w:val="none"/>
        </w:rPr>
      </w:pPr>
      <w:r>
        <w:rPr>
          <w:rFonts w:ascii="宋体" w:hAnsi="宋体" w:cs="宋体"/>
          <w:b/>
          <w:sz w:val="24"/>
          <w:highlight w:val="none"/>
        </w:rPr>
        <w:t>1</w:t>
      </w:r>
      <w:r>
        <w:rPr>
          <w:rFonts w:hint="eastAsia" w:ascii="宋体" w:hAnsi="宋体" w:cs="宋体"/>
          <w:b/>
          <w:sz w:val="24"/>
          <w:highlight w:val="none"/>
        </w:rPr>
        <w:t>、采购人名称：</w:t>
      </w:r>
      <w:r>
        <w:rPr>
          <w:rFonts w:hint="eastAsia" w:ascii="宋体" w:hAnsi="宋体" w:cs="宋体"/>
          <w:sz w:val="24"/>
          <w:highlight w:val="none"/>
        </w:rPr>
        <w:t>山东大学第二医院</w:t>
      </w:r>
    </w:p>
    <w:p>
      <w:pPr>
        <w:adjustRightInd w:val="0"/>
        <w:snapToGrid w:val="0"/>
        <w:spacing w:line="360" w:lineRule="auto"/>
        <w:ind w:firstLine="420" w:firstLineChars="175"/>
        <w:rPr>
          <w:rFonts w:ascii="宋体" w:cs="宋体"/>
          <w:sz w:val="24"/>
          <w:highlight w:val="none"/>
        </w:rPr>
      </w:pPr>
      <w:r>
        <w:rPr>
          <w:rFonts w:hint="eastAsia" w:ascii="宋体" w:hAnsi="宋体" w:cs="宋体"/>
          <w:sz w:val="24"/>
          <w:highlight w:val="none"/>
        </w:rPr>
        <w:t>地址：济南市天桥区北园路</w:t>
      </w:r>
      <w:r>
        <w:rPr>
          <w:rFonts w:ascii="宋体" w:hAnsi="宋体" w:cs="宋体"/>
          <w:sz w:val="24"/>
          <w:highlight w:val="none"/>
        </w:rPr>
        <w:t>247</w:t>
      </w:r>
      <w:r>
        <w:rPr>
          <w:rFonts w:hint="eastAsia" w:ascii="宋体" w:hAnsi="宋体" w:cs="宋体"/>
          <w:sz w:val="24"/>
          <w:highlight w:val="none"/>
        </w:rPr>
        <w:t>号</w:t>
      </w:r>
    </w:p>
    <w:p>
      <w:pPr>
        <w:adjustRightInd w:val="0"/>
        <w:snapToGrid w:val="0"/>
        <w:spacing w:line="360" w:lineRule="auto"/>
        <w:ind w:firstLine="420" w:firstLineChars="175"/>
        <w:rPr>
          <w:rFonts w:ascii="宋体" w:cs="宋体"/>
          <w:sz w:val="24"/>
          <w:highlight w:val="none"/>
        </w:rPr>
      </w:pPr>
      <w:r>
        <w:rPr>
          <w:rFonts w:hint="eastAsia" w:ascii="宋体" w:hAnsi="宋体" w:cs="宋体"/>
          <w:sz w:val="24"/>
          <w:highlight w:val="none"/>
        </w:rPr>
        <w:t>联系方式：</w:t>
      </w:r>
      <w:r>
        <w:rPr>
          <w:rFonts w:ascii="宋体" w:hAnsi="宋体" w:cs="宋体"/>
          <w:sz w:val="24"/>
          <w:highlight w:val="none"/>
        </w:rPr>
        <w:t>0531-85875076</w:t>
      </w:r>
    </w:p>
    <w:p>
      <w:pPr>
        <w:pStyle w:val="132"/>
        <w:adjustRightInd w:val="0"/>
        <w:snapToGrid w:val="0"/>
        <w:spacing w:line="360" w:lineRule="auto"/>
        <w:ind w:firstLine="0" w:firstLineChars="0"/>
        <w:rPr>
          <w:rFonts w:ascii="宋体" w:cs="宋体"/>
          <w:sz w:val="24"/>
          <w:highlight w:val="none"/>
        </w:rPr>
      </w:pPr>
      <w:r>
        <w:rPr>
          <w:rFonts w:ascii="宋体" w:hAnsi="宋体" w:cs="宋体"/>
          <w:b/>
          <w:sz w:val="24"/>
          <w:highlight w:val="none"/>
        </w:rPr>
        <w:t>2</w:t>
      </w:r>
      <w:r>
        <w:rPr>
          <w:rFonts w:hint="eastAsia" w:ascii="宋体" w:hAnsi="宋体" w:cs="宋体"/>
          <w:b/>
          <w:sz w:val="24"/>
          <w:highlight w:val="none"/>
        </w:rPr>
        <w:t>、采购代理机构名称：</w:t>
      </w:r>
      <w:r>
        <w:rPr>
          <w:rFonts w:hint="eastAsia" w:ascii="宋体" w:hAnsi="宋体" w:cs="宋体"/>
          <w:sz w:val="24"/>
          <w:highlight w:val="none"/>
        </w:rPr>
        <w:t>山东省鲁成招标有限公司</w:t>
      </w:r>
    </w:p>
    <w:p>
      <w:pPr>
        <w:pStyle w:val="132"/>
        <w:adjustRightInd w:val="0"/>
        <w:snapToGrid w:val="0"/>
        <w:spacing w:line="360" w:lineRule="auto"/>
        <w:ind w:left="390" w:firstLine="0" w:firstLineChars="0"/>
        <w:rPr>
          <w:rFonts w:ascii="宋体" w:cs="宋体"/>
          <w:sz w:val="24"/>
          <w:highlight w:val="none"/>
        </w:rPr>
      </w:pPr>
      <w:r>
        <w:rPr>
          <w:rFonts w:hint="eastAsia" w:ascii="宋体" w:hAnsi="宋体" w:cs="宋体"/>
          <w:sz w:val="24"/>
          <w:highlight w:val="none"/>
        </w:rPr>
        <w:t>地址：济南市经十路</w:t>
      </w:r>
      <w:r>
        <w:rPr>
          <w:rFonts w:ascii="宋体" w:hAnsi="宋体" w:cs="宋体"/>
          <w:sz w:val="24"/>
          <w:highlight w:val="none"/>
        </w:rPr>
        <w:t>10567</w:t>
      </w:r>
      <w:r>
        <w:rPr>
          <w:rFonts w:hint="eastAsia" w:ascii="宋体" w:hAnsi="宋体" w:cs="宋体"/>
          <w:sz w:val="24"/>
          <w:highlight w:val="none"/>
        </w:rPr>
        <w:t>号成城大厦</w:t>
      </w:r>
      <w:r>
        <w:rPr>
          <w:rFonts w:ascii="宋体" w:hAnsi="宋体" w:cs="宋体"/>
          <w:sz w:val="24"/>
          <w:highlight w:val="none"/>
        </w:rPr>
        <w:t>A</w:t>
      </w:r>
      <w:r>
        <w:rPr>
          <w:rFonts w:hint="eastAsia" w:ascii="宋体" w:hAnsi="宋体" w:cs="宋体"/>
          <w:sz w:val="24"/>
          <w:highlight w:val="none"/>
        </w:rPr>
        <w:t>座</w:t>
      </w:r>
    </w:p>
    <w:p>
      <w:pPr>
        <w:pStyle w:val="132"/>
        <w:adjustRightInd w:val="0"/>
        <w:snapToGrid w:val="0"/>
        <w:spacing w:line="360" w:lineRule="auto"/>
        <w:ind w:left="390" w:firstLine="0" w:firstLineChars="0"/>
        <w:rPr>
          <w:rFonts w:ascii="宋体" w:hAnsi="宋体" w:cs="宋体"/>
          <w:sz w:val="24"/>
          <w:highlight w:val="none"/>
        </w:rPr>
      </w:pPr>
      <w:r>
        <w:rPr>
          <w:rFonts w:hint="eastAsia" w:ascii="宋体" w:hAnsi="宋体" w:cs="宋体"/>
          <w:sz w:val="24"/>
          <w:highlight w:val="none"/>
        </w:rPr>
        <w:t>联系方式：0531-83191865/83191895</w:t>
      </w:r>
    </w:p>
    <w:p>
      <w:pPr>
        <w:adjustRightInd w:val="0"/>
        <w:snapToGrid w:val="0"/>
        <w:spacing w:line="360" w:lineRule="auto"/>
        <w:rPr>
          <w:rFonts w:ascii="宋体" w:cs="宋体"/>
          <w:sz w:val="24"/>
          <w:highlight w:val="none"/>
        </w:rPr>
      </w:pPr>
      <w:r>
        <w:rPr>
          <w:rFonts w:ascii="宋体" w:hAnsi="宋体" w:cs="宋体"/>
          <w:b/>
          <w:sz w:val="24"/>
          <w:highlight w:val="none"/>
        </w:rPr>
        <w:t>3</w:t>
      </w:r>
      <w:r>
        <w:rPr>
          <w:rFonts w:hint="eastAsia" w:ascii="宋体" w:hAnsi="宋体" w:cs="宋体"/>
          <w:b/>
          <w:sz w:val="24"/>
          <w:highlight w:val="none"/>
        </w:rPr>
        <w:t>、项目名称：</w:t>
      </w:r>
      <w:r>
        <w:rPr>
          <w:rFonts w:hint="eastAsia" w:ascii="宋体" w:hAnsi="宋体" w:cs="宋体"/>
          <w:sz w:val="24"/>
          <w:highlight w:val="none"/>
        </w:rPr>
        <w:t>山东大学第二医院康复数字化管理系统采购项目</w:t>
      </w:r>
    </w:p>
    <w:p>
      <w:pPr>
        <w:adjustRightInd w:val="0"/>
        <w:snapToGrid w:val="0"/>
        <w:spacing w:line="360" w:lineRule="auto"/>
        <w:rPr>
          <w:rFonts w:ascii="宋体" w:hAnsi="宋体" w:cs="宋体"/>
          <w:sz w:val="24"/>
          <w:highlight w:val="none"/>
        </w:rPr>
      </w:pPr>
      <w:r>
        <w:rPr>
          <w:rFonts w:ascii="宋体" w:hAnsi="宋体" w:cs="宋体"/>
          <w:b/>
          <w:sz w:val="24"/>
          <w:highlight w:val="none"/>
        </w:rPr>
        <w:t>4</w:t>
      </w:r>
      <w:r>
        <w:rPr>
          <w:rFonts w:hint="eastAsia" w:ascii="宋体" w:hAnsi="宋体" w:cs="宋体"/>
          <w:b/>
          <w:sz w:val="24"/>
          <w:highlight w:val="none"/>
        </w:rPr>
        <w:t>、招标编号：</w:t>
      </w:r>
      <w:r>
        <w:rPr>
          <w:rFonts w:hint="eastAsia" w:ascii="宋体" w:hAnsi="宋体" w:cs="宋体"/>
          <w:sz w:val="24"/>
          <w:highlight w:val="none"/>
        </w:rPr>
        <w:t>0676-196009ZB018036</w:t>
      </w:r>
    </w:p>
    <w:p>
      <w:pPr>
        <w:adjustRightInd w:val="0"/>
        <w:snapToGrid w:val="0"/>
        <w:spacing w:line="360" w:lineRule="auto"/>
        <w:rPr>
          <w:rFonts w:ascii="宋体" w:cs="宋体"/>
          <w:sz w:val="24"/>
          <w:highlight w:val="none"/>
        </w:rPr>
      </w:pPr>
      <w:r>
        <w:rPr>
          <w:rFonts w:ascii="宋体" w:hAnsi="宋体" w:cs="宋体"/>
          <w:b/>
          <w:sz w:val="24"/>
          <w:highlight w:val="none"/>
        </w:rPr>
        <w:t>5</w:t>
      </w:r>
      <w:r>
        <w:rPr>
          <w:rFonts w:hint="eastAsia" w:ascii="宋体" w:hAnsi="宋体" w:cs="宋体"/>
          <w:b/>
          <w:sz w:val="24"/>
          <w:highlight w:val="none"/>
        </w:rPr>
        <w:t>、采购项目分包情况：</w:t>
      </w:r>
      <w:r>
        <w:rPr>
          <w:rFonts w:hint="eastAsia" w:ascii="宋体" w:hAnsi="宋体" w:cs="宋体"/>
          <w:sz w:val="24"/>
          <w:highlight w:val="none"/>
        </w:rPr>
        <w:t>本次招标为山东大学第二医院康复数字化管理系统采购项目，具体技术要求详见招标文件，共分1个包，分包情况如下：</w:t>
      </w:r>
    </w:p>
    <w:tbl>
      <w:tblPr>
        <w:tblStyle w:val="49"/>
        <w:tblW w:w="9442" w:type="dxa"/>
        <w:jc w:val="center"/>
        <w:tblInd w:w="0" w:type="dxa"/>
        <w:tblLayout w:type="fixed"/>
        <w:tblCellMar>
          <w:top w:w="0" w:type="dxa"/>
          <w:left w:w="15" w:type="dxa"/>
          <w:bottom w:w="0" w:type="dxa"/>
          <w:right w:w="15" w:type="dxa"/>
        </w:tblCellMar>
      </w:tblPr>
      <w:tblGrid>
        <w:gridCol w:w="2653"/>
        <w:gridCol w:w="2286"/>
        <w:gridCol w:w="2286"/>
        <w:gridCol w:w="2217"/>
      </w:tblGrid>
      <w:tr>
        <w:tblPrEx>
          <w:tblLayout w:type="fixed"/>
          <w:tblCellMar>
            <w:top w:w="0" w:type="dxa"/>
            <w:left w:w="15" w:type="dxa"/>
            <w:bottom w:w="0" w:type="dxa"/>
            <w:right w:w="15" w:type="dxa"/>
          </w:tblCellMar>
        </w:tblPrEx>
        <w:trPr>
          <w:trHeight w:val="468" w:hRule="atLeast"/>
          <w:jc w:val="center"/>
        </w:trPr>
        <w:tc>
          <w:tcPr>
            <w:tcW w:w="2653" w:type="dxa"/>
            <w:tcBorders>
              <w:top w:val="single" w:color="000000" w:sz="4" w:space="0"/>
              <w:left w:val="single" w:color="000000" w:sz="4" w:space="0"/>
              <w:bottom w:val="single" w:color="000000" w:sz="4" w:space="0"/>
              <w:right w:val="single" w:color="000000" w:sz="4" w:space="0"/>
            </w:tcBorders>
            <w:vAlign w:val="center"/>
          </w:tcPr>
          <w:p>
            <w:pPr>
              <w:autoSpaceDN w:val="0"/>
              <w:adjustRightInd w:val="0"/>
              <w:snapToGrid w:val="0"/>
              <w:spacing w:line="360" w:lineRule="auto"/>
              <w:jc w:val="center"/>
              <w:textAlignment w:val="center"/>
              <w:rPr>
                <w:rFonts w:ascii="宋体"/>
                <w:color w:val="000000"/>
                <w:sz w:val="24"/>
                <w:highlight w:val="none"/>
              </w:rPr>
            </w:pPr>
            <w:r>
              <w:rPr>
                <w:rFonts w:hint="eastAsia" w:ascii="宋体" w:hAnsi="宋体"/>
                <w:color w:val="000000"/>
                <w:sz w:val="24"/>
                <w:highlight w:val="none"/>
              </w:rPr>
              <w:t>招标内容</w:t>
            </w:r>
          </w:p>
        </w:tc>
        <w:tc>
          <w:tcPr>
            <w:tcW w:w="2286" w:type="dxa"/>
            <w:tcBorders>
              <w:top w:val="single" w:color="000000" w:sz="4" w:space="0"/>
              <w:left w:val="single" w:color="000000" w:sz="4" w:space="0"/>
              <w:bottom w:val="single" w:color="000000" w:sz="4" w:space="0"/>
              <w:right w:val="single" w:color="000000" w:sz="4" w:space="0"/>
            </w:tcBorders>
            <w:vAlign w:val="center"/>
          </w:tcPr>
          <w:p>
            <w:pPr>
              <w:autoSpaceDN w:val="0"/>
              <w:adjustRightInd w:val="0"/>
              <w:snapToGrid w:val="0"/>
              <w:spacing w:line="360" w:lineRule="auto"/>
              <w:jc w:val="center"/>
              <w:textAlignment w:val="center"/>
              <w:rPr>
                <w:rFonts w:hint="default" w:ascii="宋体" w:hAnsi="宋体" w:eastAsia="宋体"/>
                <w:color w:val="000000"/>
                <w:sz w:val="24"/>
                <w:highlight w:val="none"/>
                <w:lang w:val="en-US" w:eastAsia="zh-CN"/>
              </w:rPr>
            </w:pPr>
            <w:r>
              <w:rPr>
                <w:rFonts w:hint="eastAsia" w:ascii="宋体" w:hAnsi="宋体"/>
                <w:color w:val="000000"/>
                <w:sz w:val="24"/>
                <w:highlight w:val="none"/>
                <w:lang w:val="en-US" w:eastAsia="zh-CN"/>
              </w:rPr>
              <w:t>使用科室</w:t>
            </w:r>
          </w:p>
        </w:tc>
        <w:tc>
          <w:tcPr>
            <w:tcW w:w="2286" w:type="dxa"/>
            <w:tcBorders>
              <w:top w:val="single" w:color="000000" w:sz="4" w:space="0"/>
              <w:left w:val="single" w:color="000000" w:sz="4" w:space="0"/>
              <w:bottom w:val="single" w:color="000000" w:sz="4" w:space="0"/>
              <w:right w:val="single" w:color="000000" w:sz="4" w:space="0"/>
            </w:tcBorders>
            <w:vAlign w:val="center"/>
          </w:tcPr>
          <w:p>
            <w:pPr>
              <w:autoSpaceDN w:val="0"/>
              <w:adjustRightInd w:val="0"/>
              <w:snapToGrid w:val="0"/>
              <w:spacing w:line="360" w:lineRule="auto"/>
              <w:jc w:val="center"/>
              <w:textAlignment w:val="center"/>
              <w:rPr>
                <w:rFonts w:ascii="宋体"/>
                <w:color w:val="000000"/>
                <w:sz w:val="24"/>
                <w:highlight w:val="none"/>
              </w:rPr>
            </w:pPr>
            <w:r>
              <w:rPr>
                <w:rFonts w:hint="eastAsia" w:ascii="宋体" w:hAnsi="宋体"/>
                <w:color w:val="000000"/>
                <w:sz w:val="24"/>
                <w:highlight w:val="none"/>
              </w:rPr>
              <w:t>预算金额（万元）</w:t>
            </w:r>
          </w:p>
        </w:tc>
        <w:tc>
          <w:tcPr>
            <w:tcW w:w="2217" w:type="dxa"/>
            <w:tcBorders>
              <w:top w:val="single" w:color="000000" w:sz="4" w:space="0"/>
              <w:left w:val="single" w:color="000000" w:sz="4" w:space="0"/>
              <w:bottom w:val="single" w:color="000000" w:sz="4" w:space="0"/>
              <w:right w:val="single" w:color="000000" w:sz="4" w:space="0"/>
            </w:tcBorders>
            <w:vAlign w:val="center"/>
          </w:tcPr>
          <w:p>
            <w:pPr>
              <w:autoSpaceDN w:val="0"/>
              <w:adjustRightInd w:val="0"/>
              <w:snapToGrid w:val="0"/>
              <w:spacing w:line="360" w:lineRule="auto"/>
              <w:jc w:val="center"/>
              <w:textAlignment w:val="center"/>
              <w:rPr>
                <w:rFonts w:ascii="宋体" w:hAnsi="宋体"/>
                <w:color w:val="000000"/>
                <w:sz w:val="24"/>
                <w:highlight w:val="none"/>
              </w:rPr>
            </w:pPr>
            <w:r>
              <w:rPr>
                <w:rFonts w:hint="eastAsia" w:ascii="宋体" w:hAnsi="宋体"/>
                <w:color w:val="000000"/>
                <w:sz w:val="24"/>
                <w:highlight w:val="none"/>
              </w:rPr>
              <w:t>简要技术规格</w:t>
            </w:r>
          </w:p>
        </w:tc>
      </w:tr>
      <w:tr>
        <w:tblPrEx>
          <w:tblLayout w:type="fixed"/>
          <w:tblCellMar>
            <w:top w:w="0" w:type="dxa"/>
            <w:left w:w="15" w:type="dxa"/>
            <w:bottom w:w="0" w:type="dxa"/>
            <w:right w:w="15" w:type="dxa"/>
          </w:tblCellMar>
        </w:tblPrEx>
        <w:trPr>
          <w:trHeight w:val="468" w:hRule="atLeast"/>
          <w:jc w:val="center"/>
        </w:trPr>
        <w:tc>
          <w:tcPr>
            <w:tcW w:w="2653" w:type="dxa"/>
            <w:tcBorders>
              <w:top w:val="single" w:color="000000" w:sz="4" w:space="0"/>
              <w:left w:val="single" w:color="000000" w:sz="4" w:space="0"/>
              <w:bottom w:val="single" w:color="000000" w:sz="4" w:space="0"/>
              <w:right w:val="single" w:color="000000" w:sz="4" w:space="0"/>
            </w:tcBorders>
            <w:vAlign w:val="center"/>
          </w:tcPr>
          <w:p>
            <w:pPr>
              <w:autoSpaceDN w:val="0"/>
              <w:adjustRightInd w:val="0"/>
              <w:snapToGrid w:val="0"/>
              <w:spacing w:line="360" w:lineRule="auto"/>
              <w:jc w:val="center"/>
              <w:textAlignment w:val="center"/>
              <w:rPr>
                <w:rFonts w:ascii="宋体"/>
                <w:color w:val="000000"/>
                <w:sz w:val="24"/>
                <w:highlight w:val="none"/>
              </w:rPr>
            </w:pPr>
            <w:r>
              <w:rPr>
                <w:rFonts w:hint="eastAsia" w:ascii="宋体" w:hAnsi="宋体" w:cs="宋体"/>
                <w:sz w:val="24"/>
                <w:highlight w:val="none"/>
              </w:rPr>
              <w:t xml:space="preserve">康复数字化管理系统 </w:t>
            </w:r>
          </w:p>
        </w:tc>
        <w:tc>
          <w:tcPr>
            <w:tcW w:w="2286" w:type="dxa"/>
            <w:tcBorders>
              <w:top w:val="single" w:color="000000" w:sz="4" w:space="0"/>
              <w:left w:val="single" w:color="000000" w:sz="4" w:space="0"/>
              <w:bottom w:val="single" w:color="000000" w:sz="4" w:space="0"/>
              <w:right w:val="single" w:color="000000" w:sz="4" w:space="0"/>
            </w:tcBorders>
            <w:vAlign w:val="center"/>
          </w:tcPr>
          <w:p>
            <w:pPr>
              <w:autoSpaceDN w:val="0"/>
              <w:adjustRightInd w:val="0"/>
              <w:snapToGrid w:val="0"/>
              <w:spacing w:line="360" w:lineRule="auto"/>
              <w:jc w:val="center"/>
              <w:textAlignment w:val="center"/>
              <w:rPr>
                <w:rFonts w:hint="eastAsia" w:ascii="宋体" w:cs="宋体"/>
                <w:color w:val="000000"/>
                <w:kern w:val="0"/>
                <w:sz w:val="24"/>
                <w:highlight w:val="none"/>
              </w:rPr>
            </w:pPr>
            <w:r>
              <w:rPr>
                <w:rFonts w:hint="eastAsia" w:ascii="宋体" w:cs="宋体"/>
                <w:color w:val="000000"/>
                <w:kern w:val="0"/>
                <w:sz w:val="24"/>
                <w:highlight w:val="none"/>
              </w:rPr>
              <w:t xml:space="preserve"> 康复科</w:t>
            </w:r>
          </w:p>
        </w:tc>
        <w:tc>
          <w:tcPr>
            <w:tcW w:w="2286" w:type="dxa"/>
            <w:tcBorders>
              <w:top w:val="single" w:color="000000" w:sz="4" w:space="0"/>
              <w:left w:val="single" w:color="000000" w:sz="4" w:space="0"/>
              <w:bottom w:val="single" w:color="000000" w:sz="4" w:space="0"/>
              <w:right w:val="single" w:color="000000" w:sz="4" w:space="0"/>
            </w:tcBorders>
            <w:vAlign w:val="center"/>
          </w:tcPr>
          <w:p>
            <w:pPr>
              <w:autoSpaceDN w:val="0"/>
              <w:adjustRightInd w:val="0"/>
              <w:snapToGrid w:val="0"/>
              <w:spacing w:line="360" w:lineRule="auto"/>
              <w:jc w:val="center"/>
              <w:textAlignment w:val="center"/>
              <w:rPr>
                <w:rFonts w:ascii="宋体" w:cs="宋体"/>
                <w:color w:val="000000"/>
                <w:kern w:val="0"/>
                <w:sz w:val="24"/>
                <w:highlight w:val="none"/>
              </w:rPr>
            </w:pPr>
            <w:r>
              <w:rPr>
                <w:rFonts w:hint="eastAsia" w:ascii="宋体" w:cs="宋体"/>
                <w:color w:val="000000"/>
                <w:kern w:val="0"/>
                <w:sz w:val="24"/>
                <w:highlight w:val="none"/>
              </w:rPr>
              <w:t>75</w:t>
            </w:r>
          </w:p>
        </w:tc>
        <w:tc>
          <w:tcPr>
            <w:tcW w:w="2217" w:type="dxa"/>
            <w:tcBorders>
              <w:top w:val="single" w:color="000000" w:sz="4" w:space="0"/>
              <w:left w:val="single" w:color="000000" w:sz="4" w:space="0"/>
              <w:bottom w:val="single" w:color="000000" w:sz="4" w:space="0"/>
              <w:right w:val="single" w:color="000000" w:sz="4" w:space="0"/>
            </w:tcBorders>
            <w:vAlign w:val="center"/>
          </w:tcPr>
          <w:p>
            <w:pPr>
              <w:autoSpaceDN w:val="0"/>
              <w:adjustRightInd w:val="0"/>
              <w:snapToGrid w:val="0"/>
              <w:spacing w:line="360" w:lineRule="auto"/>
              <w:jc w:val="center"/>
              <w:textAlignment w:val="center"/>
              <w:rPr>
                <w:rFonts w:ascii="宋体" w:hAnsi="宋体"/>
                <w:color w:val="000000"/>
                <w:sz w:val="24"/>
                <w:highlight w:val="none"/>
              </w:rPr>
            </w:pPr>
            <w:r>
              <w:rPr>
                <w:rFonts w:hint="eastAsia" w:ascii="宋体" w:hAnsi="宋体"/>
                <w:color w:val="000000"/>
                <w:sz w:val="24"/>
                <w:highlight w:val="none"/>
              </w:rPr>
              <w:t>详见招标文件</w:t>
            </w:r>
          </w:p>
        </w:tc>
      </w:tr>
    </w:tbl>
    <w:p>
      <w:pPr>
        <w:shd w:val="solid" w:color="FFFFFF" w:fill="auto"/>
        <w:autoSpaceDN w:val="0"/>
        <w:adjustRightInd w:val="0"/>
        <w:snapToGrid w:val="0"/>
        <w:spacing w:line="360" w:lineRule="auto"/>
        <w:jc w:val="left"/>
        <w:rPr>
          <w:rFonts w:ascii="Tahoma"/>
          <w:color w:val="393939"/>
          <w:sz w:val="24"/>
          <w:highlight w:val="none"/>
          <w:shd w:val="clear" w:color="auto" w:fill="FFFFFF"/>
        </w:rPr>
      </w:pPr>
      <w:r>
        <w:rPr>
          <w:rFonts w:ascii="Tahoma"/>
          <w:color w:val="393939"/>
          <w:sz w:val="24"/>
          <w:highlight w:val="none"/>
          <w:shd w:val="clear" w:color="auto" w:fill="FFFFFF"/>
        </w:rPr>
        <w:t xml:space="preserve"> </w:t>
      </w:r>
      <w:r>
        <w:rPr>
          <w:rFonts w:hint="eastAsia" w:ascii="宋体" w:hAnsi="宋体"/>
          <w:color w:val="000000"/>
          <w:sz w:val="24"/>
          <w:highlight w:val="none"/>
        </w:rPr>
        <w:t>投标企业对本项目进行报价必须整包响应。具体技术要求、数量等内容详见招标文件。</w:t>
      </w:r>
    </w:p>
    <w:p>
      <w:pPr>
        <w:adjustRightInd w:val="0"/>
        <w:snapToGrid w:val="0"/>
        <w:spacing w:line="360" w:lineRule="auto"/>
        <w:rPr>
          <w:rFonts w:ascii="宋体" w:hAnsi="宋体" w:cs="宋体"/>
          <w:b/>
          <w:sz w:val="24"/>
          <w:highlight w:val="none"/>
        </w:rPr>
      </w:pPr>
      <w:r>
        <w:rPr>
          <w:rFonts w:hint="eastAsia" w:ascii="宋体" w:hAnsi="宋体" w:cs="宋体"/>
          <w:b/>
          <w:sz w:val="24"/>
          <w:highlight w:val="none"/>
        </w:rPr>
        <w:t>6、投标人资格要求</w:t>
      </w:r>
    </w:p>
    <w:p>
      <w:pPr>
        <w:autoSpaceDN w:val="0"/>
        <w:adjustRightInd w:val="0"/>
        <w:snapToGrid w:val="0"/>
        <w:spacing w:line="360" w:lineRule="auto"/>
        <w:jc w:val="left"/>
        <w:textAlignment w:val="center"/>
        <w:rPr>
          <w:rFonts w:ascii="宋体"/>
          <w:color w:val="000000"/>
          <w:sz w:val="24"/>
          <w:highlight w:val="none"/>
        </w:rPr>
      </w:pPr>
      <w:r>
        <w:rPr>
          <w:rFonts w:hint="eastAsia" w:ascii="宋体" w:hAnsi="宋体"/>
          <w:color w:val="000000"/>
          <w:sz w:val="24"/>
          <w:highlight w:val="none"/>
        </w:rPr>
        <w:t>6</w:t>
      </w:r>
      <w:r>
        <w:rPr>
          <w:rFonts w:ascii="宋体" w:hAnsi="宋体"/>
          <w:color w:val="000000"/>
          <w:sz w:val="24"/>
          <w:highlight w:val="none"/>
        </w:rPr>
        <w:t>.1</w:t>
      </w:r>
      <w:r>
        <w:rPr>
          <w:rFonts w:hint="eastAsia" w:ascii="宋体" w:hAnsi="宋体"/>
          <w:color w:val="000000"/>
          <w:sz w:val="24"/>
          <w:highlight w:val="none"/>
        </w:rPr>
        <w:t>符合《中华人民共和国政府采购法》第二十二条规定；</w:t>
      </w:r>
    </w:p>
    <w:p>
      <w:pPr>
        <w:autoSpaceDN w:val="0"/>
        <w:adjustRightInd w:val="0"/>
        <w:snapToGrid w:val="0"/>
        <w:spacing w:line="360" w:lineRule="auto"/>
        <w:jc w:val="left"/>
        <w:textAlignment w:val="center"/>
        <w:rPr>
          <w:rFonts w:ascii="宋体" w:cs="宋体"/>
          <w:sz w:val="24"/>
          <w:highlight w:val="none"/>
        </w:rPr>
      </w:pPr>
      <w:r>
        <w:rPr>
          <w:rFonts w:hint="eastAsia" w:ascii="宋体" w:hAnsi="宋体" w:cs="宋体"/>
          <w:sz w:val="24"/>
          <w:highlight w:val="none"/>
        </w:rPr>
        <w:t>6.2必须为未列入“信用中国”、“中国政府采购网”失信被执行人、重大税收违法案件当事人名单、政府采购严重违法失信名单的企业；</w:t>
      </w:r>
    </w:p>
    <w:p>
      <w:pPr>
        <w:autoSpaceDN w:val="0"/>
        <w:adjustRightInd w:val="0"/>
        <w:snapToGrid w:val="0"/>
        <w:spacing w:line="360" w:lineRule="auto"/>
        <w:jc w:val="left"/>
        <w:textAlignment w:val="center"/>
        <w:rPr>
          <w:rFonts w:ascii="宋体" w:hAnsi="宋体"/>
          <w:color w:val="000000"/>
          <w:sz w:val="24"/>
          <w:highlight w:val="none"/>
        </w:rPr>
      </w:pPr>
      <w:r>
        <w:rPr>
          <w:rFonts w:hint="eastAsia" w:ascii="宋体" w:hAnsi="宋体"/>
          <w:color w:val="000000"/>
          <w:sz w:val="24"/>
          <w:highlight w:val="none"/>
        </w:rPr>
        <w:t>6</w:t>
      </w:r>
      <w:r>
        <w:rPr>
          <w:rFonts w:ascii="宋体" w:hAnsi="宋体"/>
          <w:color w:val="000000"/>
          <w:sz w:val="24"/>
          <w:highlight w:val="none"/>
        </w:rPr>
        <w:t>.</w:t>
      </w:r>
      <w:r>
        <w:rPr>
          <w:rFonts w:hint="eastAsia" w:ascii="宋体" w:hAnsi="宋体"/>
          <w:color w:val="000000"/>
          <w:sz w:val="24"/>
          <w:highlight w:val="none"/>
        </w:rPr>
        <w:t>3单位负责人为同一人或者存在直接控股、管理关系的不同投标人，不得参加同一合同项下的采购活动；</w:t>
      </w:r>
    </w:p>
    <w:p>
      <w:pPr>
        <w:autoSpaceDN w:val="0"/>
        <w:adjustRightInd w:val="0"/>
        <w:snapToGrid w:val="0"/>
        <w:spacing w:line="360" w:lineRule="auto"/>
        <w:jc w:val="left"/>
        <w:textAlignment w:val="center"/>
        <w:rPr>
          <w:rFonts w:ascii="宋体" w:hAnsi="宋体"/>
          <w:color w:val="000000"/>
          <w:sz w:val="24"/>
          <w:highlight w:val="none"/>
        </w:rPr>
      </w:pPr>
      <w:r>
        <w:rPr>
          <w:rFonts w:hint="eastAsia" w:ascii="宋体" w:hAnsi="宋体"/>
          <w:color w:val="000000"/>
          <w:sz w:val="24"/>
          <w:highlight w:val="none"/>
        </w:rPr>
        <w:t>6.4投标人提供康复数字化平台相关计算机软件著作权证书，若投标人非生产制造厂商，须获得原厂商书面授权，并提供原厂商加盖</w:t>
      </w:r>
      <w:r>
        <w:rPr>
          <w:rFonts w:hint="eastAsia" w:ascii="宋体" w:hAnsi="宋体"/>
          <w:color w:val="000000"/>
          <w:sz w:val="24"/>
          <w:highlight w:val="none"/>
          <w:lang w:val="en-US" w:eastAsia="zh-CN"/>
        </w:rPr>
        <w:t>公</w:t>
      </w:r>
      <w:r>
        <w:rPr>
          <w:rFonts w:hint="eastAsia" w:ascii="宋体" w:hAnsi="宋体"/>
          <w:color w:val="000000"/>
          <w:sz w:val="24"/>
          <w:highlight w:val="none"/>
        </w:rPr>
        <w:t>章的软件著作权证书；</w:t>
      </w:r>
    </w:p>
    <w:p>
      <w:pPr>
        <w:autoSpaceDN w:val="0"/>
        <w:adjustRightInd w:val="0"/>
        <w:snapToGrid w:val="0"/>
        <w:spacing w:line="360" w:lineRule="auto"/>
        <w:jc w:val="left"/>
        <w:textAlignment w:val="center"/>
        <w:rPr>
          <w:rFonts w:ascii="宋体"/>
          <w:color w:val="000000"/>
          <w:sz w:val="24"/>
          <w:highlight w:val="none"/>
        </w:rPr>
      </w:pPr>
      <w:r>
        <w:rPr>
          <w:rFonts w:hint="eastAsia" w:ascii="宋体" w:hAnsi="宋体"/>
          <w:color w:val="000000"/>
          <w:sz w:val="24"/>
          <w:highlight w:val="none"/>
        </w:rPr>
        <w:t>6</w:t>
      </w:r>
      <w:r>
        <w:rPr>
          <w:rFonts w:ascii="宋体" w:hAnsi="宋体"/>
          <w:color w:val="000000"/>
          <w:sz w:val="24"/>
          <w:highlight w:val="none"/>
        </w:rPr>
        <w:t>.</w:t>
      </w:r>
      <w:r>
        <w:rPr>
          <w:rFonts w:hint="eastAsia" w:ascii="宋体" w:hAnsi="宋体"/>
          <w:color w:val="000000"/>
          <w:sz w:val="24"/>
          <w:highlight w:val="none"/>
        </w:rPr>
        <w:t>5本次采购不接受联合体报价；</w:t>
      </w:r>
    </w:p>
    <w:p>
      <w:pPr>
        <w:autoSpaceDN w:val="0"/>
        <w:adjustRightInd w:val="0"/>
        <w:snapToGrid w:val="0"/>
        <w:spacing w:line="360" w:lineRule="auto"/>
        <w:jc w:val="left"/>
        <w:textAlignment w:val="center"/>
        <w:rPr>
          <w:rFonts w:ascii="Tahoma"/>
          <w:b/>
          <w:color w:val="393939"/>
          <w:sz w:val="24"/>
          <w:highlight w:val="none"/>
          <w:shd w:val="clear" w:color="auto" w:fill="FFFFFF"/>
        </w:rPr>
      </w:pPr>
      <w:r>
        <w:rPr>
          <w:rFonts w:hint="eastAsia" w:ascii="宋体" w:hAnsi="宋体"/>
          <w:color w:val="000000"/>
          <w:sz w:val="24"/>
          <w:highlight w:val="none"/>
        </w:rPr>
        <w:t>6.6未尽事宜，遵照国家相关规定执行。</w:t>
      </w:r>
      <w:r>
        <w:rPr>
          <w:rFonts w:ascii="宋体" w:hAnsi="宋体"/>
          <w:color w:val="000000"/>
          <w:sz w:val="24"/>
          <w:highlight w:val="none"/>
        </w:rPr>
        <w:t xml:space="preserve"> </w:t>
      </w:r>
    </w:p>
    <w:p>
      <w:pPr>
        <w:adjustRightInd w:val="0"/>
        <w:snapToGrid w:val="0"/>
        <w:spacing w:line="360" w:lineRule="auto"/>
        <w:rPr>
          <w:rFonts w:ascii="Tahoma"/>
          <w:b/>
          <w:color w:val="393939"/>
          <w:sz w:val="24"/>
          <w:highlight w:val="none"/>
          <w:shd w:val="clear" w:color="auto" w:fill="FFFFFF"/>
        </w:rPr>
      </w:pPr>
      <w:r>
        <w:rPr>
          <w:rFonts w:hint="eastAsia" w:ascii="Tahoma"/>
          <w:b/>
          <w:color w:val="393939"/>
          <w:sz w:val="24"/>
          <w:highlight w:val="none"/>
          <w:shd w:val="clear" w:color="auto" w:fill="FFFFFF"/>
        </w:rPr>
        <w:t>7、</w:t>
      </w:r>
      <w:r>
        <w:rPr>
          <w:rFonts w:hint="eastAsia" w:ascii="宋体" w:hAnsi="宋体" w:cs="宋体"/>
          <w:b/>
          <w:sz w:val="24"/>
          <w:highlight w:val="none"/>
        </w:rPr>
        <w:t>获取招标文件的时间期限、地点、方式及招标文件售价：</w:t>
      </w:r>
    </w:p>
    <w:p>
      <w:pPr>
        <w:autoSpaceDN w:val="0"/>
        <w:adjustRightInd w:val="0"/>
        <w:snapToGrid w:val="0"/>
        <w:spacing w:line="360" w:lineRule="auto"/>
        <w:ind w:leftChars="-95" w:hanging="199" w:hangingChars="83"/>
        <w:jc w:val="left"/>
        <w:textAlignment w:val="center"/>
        <w:rPr>
          <w:rFonts w:ascii="宋体" w:hAnsi="宋体"/>
          <w:color w:val="000000"/>
          <w:sz w:val="24"/>
          <w:highlight w:val="none"/>
        </w:rPr>
      </w:pPr>
      <w:r>
        <w:rPr>
          <w:rFonts w:ascii="Tahoma"/>
          <w:color w:val="393939"/>
          <w:sz w:val="24"/>
          <w:highlight w:val="none"/>
          <w:shd w:val="clear" w:color="auto" w:fill="FFFFFF"/>
        </w:rPr>
        <w:t xml:space="preserve"> </w:t>
      </w:r>
      <w:r>
        <w:rPr>
          <w:rFonts w:hint="eastAsia" w:ascii="Tahoma"/>
          <w:color w:val="393939"/>
          <w:sz w:val="24"/>
          <w:highlight w:val="none"/>
          <w:shd w:val="clear" w:color="auto" w:fill="FFFFFF"/>
        </w:rPr>
        <w:t xml:space="preserve"> </w:t>
      </w:r>
      <w:r>
        <w:rPr>
          <w:rFonts w:hint="eastAsia" w:ascii="宋体" w:hAnsi="宋体" w:cs="宋体"/>
          <w:bCs/>
          <w:kern w:val="0"/>
          <w:sz w:val="24"/>
          <w:highlight w:val="none"/>
        </w:rPr>
        <w:t xml:space="preserve">   7.1</w:t>
      </w:r>
      <w:r>
        <w:rPr>
          <w:rFonts w:hint="eastAsia" w:ascii="宋体" w:hAnsi="宋体"/>
          <w:sz w:val="24"/>
          <w:highlight w:val="none"/>
        </w:rPr>
        <w:t>凡有意参加投标者，请于</w:t>
      </w:r>
      <w:r>
        <w:rPr>
          <w:rFonts w:hint="eastAsia" w:ascii="宋体" w:hAnsi="宋体" w:cs="宋体"/>
          <w:b/>
          <w:bCs/>
          <w:sz w:val="24"/>
          <w:highlight w:val="none"/>
          <w:shd w:val="clear" w:color="auto" w:fill="FFFFFF"/>
        </w:rPr>
        <w:t>2019年</w:t>
      </w:r>
      <w:r>
        <w:rPr>
          <w:rFonts w:hint="eastAsia" w:ascii="宋体" w:hAnsi="宋体" w:cs="宋体"/>
          <w:b/>
          <w:bCs/>
          <w:sz w:val="24"/>
          <w:highlight w:val="none"/>
          <w:shd w:val="clear" w:color="auto" w:fill="FFFFFF"/>
          <w:lang w:val="en-US" w:eastAsia="zh-CN"/>
        </w:rPr>
        <w:t>10</w:t>
      </w:r>
      <w:r>
        <w:rPr>
          <w:rFonts w:hint="eastAsia" w:ascii="宋体" w:hAnsi="宋体" w:cs="宋体"/>
          <w:b/>
          <w:bCs/>
          <w:sz w:val="24"/>
          <w:highlight w:val="none"/>
          <w:shd w:val="clear" w:color="auto" w:fill="FFFFFF"/>
        </w:rPr>
        <w:t>月</w:t>
      </w:r>
      <w:r>
        <w:rPr>
          <w:rFonts w:hint="eastAsia" w:ascii="宋体" w:hAnsi="宋体" w:cs="宋体"/>
          <w:b/>
          <w:bCs/>
          <w:sz w:val="24"/>
          <w:highlight w:val="none"/>
          <w:shd w:val="clear" w:color="auto" w:fill="FFFFFF"/>
          <w:lang w:val="en-US" w:eastAsia="zh-CN"/>
        </w:rPr>
        <w:t>9</w:t>
      </w:r>
      <w:r>
        <w:rPr>
          <w:rFonts w:hint="eastAsia" w:ascii="宋体" w:hAnsi="宋体" w:cs="宋体"/>
          <w:b/>
          <w:bCs/>
          <w:sz w:val="24"/>
          <w:highlight w:val="none"/>
          <w:shd w:val="clear" w:color="auto" w:fill="FFFFFF"/>
        </w:rPr>
        <w:t>日-2019年</w:t>
      </w:r>
      <w:r>
        <w:rPr>
          <w:rFonts w:hint="eastAsia" w:ascii="宋体" w:hAnsi="宋体" w:cs="宋体"/>
          <w:b/>
          <w:bCs/>
          <w:sz w:val="24"/>
          <w:highlight w:val="none"/>
          <w:shd w:val="clear" w:color="auto" w:fill="FFFFFF"/>
          <w:lang w:val="en-US" w:eastAsia="zh-CN"/>
        </w:rPr>
        <w:t>10</w:t>
      </w:r>
      <w:r>
        <w:rPr>
          <w:rFonts w:hint="eastAsia" w:ascii="宋体" w:hAnsi="宋体" w:cs="宋体"/>
          <w:b/>
          <w:bCs/>
          <w:sz w:val="24"/>
          <w:highlight w:val="none"/>
          <w:shd w:val="clear" w:color="auto" w:fill="FFFFFF"/>
        </w:rPr>
        <w:t>月</w:t>
      </w:r>
      <w:r>
        <w:rPr>
          <w:rFonts w:hint="eastAsia" w:ascii="宋体" w:hAnsi="宋体" w:cs="宋体"/>
          <w:b/>
          <w:bCs/>
          <w:sz w:val="24"/>
          <w:highlight w:val="none"/>
          <w:shd w:val="clear" w:color="auto" w:fill="FFFFFF"/>
          <w:lang w:val="en-US" w:eastAsia="zh-CN"/>
        </w:rPr>
        <w:t>15</w:t>
      </w:r>
      <w:r>
        <w:rPr>
          <w:rFonts w:hint="eastAsia" w:ascii="宋体" w:hAnsi="宋体" w:cs="宋体"/>
          <w:b/>
          <w:bCs/>
          <w:sz w:val="24"/>
          <w:highlight w:val="none"/>
          <w:shd w:val="clear" w:color="auto" w:fill="FFFFFF"/>
        </w:rPr>
        <w:t>日</w:t>
      </w:r>
      <w:r>
        <w:rPr>
          <w:rFonts w:hint="eastAsia" w:ascii="宋体" w:hAnsi="宋体"/>
          <w:sz w:val="24"/>
          <w:highlight w:val="none"/>
        </w:rPr>
        <w:t>（不含节假日），每日上午</w:t>
      </w:r>
      <w:r>
        <w:rPr>
          <w:rFonts w:ascii="宋体" w:hAnsi="宋体"/>
          <w:sz w:val="24"/>
          <w:highlight w:val="none"/>
        </w:rPr>
        <w:t>9:00</w:t>
      </w:r>
      <w:r>
        <w:rPr>
          <w:rFonts w:hint="eastAsia" w:ascii="宋体" w:hAnsi="宋体"/>
          <w:sz w:val="24"/>
          <w:highlight w:val="none"/>
        </w:rPr>
        <w:t>时至</w:t>
      </w:r>
      <w:r>
        <w:rPr>
          <w:rFonts w:ascii="宋体" w:hAnsi="宋体"/>
          <w:sz w:val="24"/>
          <w:highlight w:val="none"/>
        </w:rPr>
        <w:t>11:30</w:t>
      </w:r>
      <w:r>
        <w:rPr>
          <w:rFonts w:hint="eastAsia" w:ascii="宋体" w:hAnsi="宋体"/>
          <w:sz w:val="24"/>
          <w:highlight w:val="none"/>
        </w:rPr>
        <w:t>时，下午</w:t>
      </w:r>
      <w:r>
        <w:rPr>
          <w:rFonts w:ascii="宋体" w:hAnsi="宋体"/>
          <w:sz w:val="24"/>
          <w:highlight w:val="none"/>
        </w:rPr>
        <w:t>13:30</w:t>
      </w:r>
      <w:r>
        <w:rPr>
          <w:rFonts w:hint="eastAsia" w:ascii="宋体" w:hAnsi="宋体"/>
          <w:sz w:val="24"/>
          <w:highlight w:val="none"/>
        </w:rPr>
        <w:t>时至</w:t>
      </w:r>
      <w:r>
        <w:rPr>
          <w:rFonts w:ascii="宋体" w:hAnsi="宋体"/>
          <w:sz w:val="24"/>
          <w:highlight w:val="none"/>
        </w:rPr>
        <w:t>16:30</w:t>
      </w:r>
      <w:r>
        <w:rPr>
          <w:rFonts w:hint="eastAsia" w:ascii="宋体" w:hAnsi="宋体"/>
          <w:sz w:val="24"/>
          <w:highlight w:val="none"/>
        </w:rPr>
        <w:t>时（北京时间，下同），持下列资料到山东省鲁成招标有限公司2407室（济南市经十路</w:t>
      </w:r>
      <w:r>
        <w:rPr>
          <w:rFonts w:ascii="宋体" w:hAnsi="宋体"/>
          <w:sz w:val="24"/>
          <w:highlight w:val="none"/>
        </w:rPr>
        <w:t>10567</w:t>
      </w:r>
      <w:r>
        <w:rPr>
          <w:rFonts w:hint="eastAsia" w:ascii="宋体" w:hAnsi="宋体"/>
          <w:sz w:val="24"/>
          <w:highlight w:val="none"/>
        </w:rPr>
        <w:t>号成城大厦</w:t>
      </w:r>
      <w:r>
        <w:rPr>
          <w:rFonts w:ascii="宋体" w:hAnsi="宋体"/>
          <w:sz w:val="24"/>
          <w:highlight w:val="none"/>
        </w:rPr>
        <w:t>A</w:t>
      </w:r>
      <w:r>
        <w:rPr>
          <w:rFonts w:hint="eastAsia" w:ascii="宋体" w:hAnsi="宋体"/>
          <w:sz w:val="24"/>
          <w:highlight w:val="none"/>
        </w:rPr>
        <w:t>座）报名并购买招标文件（报名审核不代表资格审查的最终通过或合格）：（1）</w:t>
      </w:r>
      <w:r>
        <w:rPr>
          <w:rFonts w:hint="eastAsia" w:ascii="宋体" w:hAnsi="宋体"/>
          <w:color w:val="000000"/>
          <w:sz w:val="24"/>
          <w:highlight w:val="none"/>
        </w:rPr>
        <w:t>法定代表人证书或法人授权委托书</w:t>
      </w:r>
      <w:r>
        <w:rPr>
          <w:rFonts w:ascii="宋体" w:hAnsi="宋体"/>
          <w:color w:val="000000"/>
          <w:sz w:val="24"/>
          <w:highlight w:val="none"/>
        </w:rPr>
        <w:t>(</w:t>
      </w:r>
      <w:r>
        <w:rPr>
          <w:rFonts w:hint="eastAsia" w:ascii="宋体" w:hAnsi="宋体"/>
          <w:color w:val="000000"/>
          <w:sz w:val="24"/>
          <w:highlight w:val="none"/>
        </w:rPr>
        <w:t>原件</w:t>
      </w:r>
      <w:r>
        <w:rPr>
          <w:rFonts w:ascii="宋体" w:hAnsi="宋体"/>
          <w:color w:val="000000"/>
          <w:sz w:val="24"/>
          <w:highlight w:val="none"/>
        </w:rPr>
        <w:t>)</w:t>
      </w:r>
      <w:r>
        <w:rPr>
          <w:rFonts w:hint="eastAsia" w:ascii="宋体" w:hAnsi="宋体"/>
          <w:color w:val="000000"/>
          <w:sz w:val="24"/>
          <w:highlight w:val="none"/>
        </w:rPr>
        <w:t>、法定代表人或授权代表身份证；</w:t>
      </w:r>
      <w:r>
        <w:rPr>
          <w:rFonts w:hint="eastAsia" w:ascii="宋体"/>
          <w:color w:val="000000"/>
          <w:sz w:val="24"/>
          <w:highlight w:val="none"/>
        </w:rPr>
        <w:t>（2）</w:t>
      </w:r>
      <w:r>
        <w:rPr>
          <w:rFonts w:hint="eastAsia" w:ascii="宋体" w:hAnsi="宋体"/>
          <w:color w:val="000000"/>
          <w:sz w:val="24"/>
          <w:highlight w:val="none"/>
        </w:rPr>
        <w:t>企业法人《营业执照》副本；</w:t>
      </w:r>
      <w:r>
        <w:rPr>
          <w:rFonts w:hint="eastAsia" w:ascii="宋体" w:hAnsi="宋体"/>
          <w:color w:val="000000"/>
          <w:sz w:val="24"/>
          <w:highlight w:val="none"/>
          <w:lang w:eastAsia="zh-CN"/>
        </w:rPr>
        <w:t>（</w:t>
      </w:r>
      <w:r>
        <w:rPr>
          <w:rFonts w:hint="eastAsia" w:ascii="宋体" w:hAnsi="宋体"/>
          <w:color w:val="000000"/>
          <w:sz w:val="24"/>
          <w:highlight w:val="none"/>
          <w:lang w:val="en-US" w:eastAsia="zh-CN"/>
        </w:rPr>
        <w:t>3</w:t>
      </w:r>
      <w:r>
        <w:rPr>
          <w:rFonts w:hint="eastAsia" w:ascii="宋体" w:hAnsi="宋体"/>
          <w:color w:val="000000"/>
          <w:sz w:val="24"/>
          <w:highlight w:val="none"/>
          <w:lang w:eastAsia="zh-CN"/>
        </w:rPr>
        <w:t>）</w:t>
      </w:r>
      <w:r>
        <w:rPr>
          <w:rFonts w:hint="eastAsia" w:ascii="宋体" w:hAnsi="宋体"/>
          <w:color w:val="000000"/>
          <w:sz w:val="24"/>
          <w:highlight w:val="none"/>
        </w:rPr>
        <w:t>投标人提供康复数字化平台相关计算机软件著作权证书，若投标人非生产制造厂商，须获得原厂商书面授权，并提供原厂商加盖公章的软件著作权证书；</w:t>
      </w:r>
      <w:r>
        <w:rPr>
          <w:rFonts w:hint="eastAsia" w:ascii="宋体"/>
          <w:color w:val="000000"/>
          <w:sz w:val="24"/>
          <w:highlight w:val="none"/>
        </w:rPr>
        <w:t>（</w:t>
      </w:r>
      <w:r>
        <w:rPr>
          <w:rFonts w:hint="eastAsia" w:ascii="宋体"/>
          <w:color w:val="000000"/>
          <w:sz w:val="24"/>
          <w:highlight w:val="none"/>
          <w:lang w:val="en-US" w:eastAsia="zh-CN"/>
        </w:rPr>
        <w:t>4</w:t>
      </w:r>
      <w:r>
        <w:rPr>
          <w:rFonts w:hint="eastAsia" w:ascii="宋体"/>
          <w:color w:val="000000"/>
          <w:sz w:val="24"/>
          <w:highlight w:val="none"/>
        </w:rPr>
        <w:t>）</w:t>
      </w:r>
      <w:r>
        <w:rPr>
          <w:rFonts w:hint="eastAsia" w:ascii="宋体" w:hAnsi="宋体"/>
          <w:color w:val="000000"/>
          <w:sz w:val="24"/>
          <w:highlight w:val="none"/>
        </w:rPr>
        <w:t>2018年度财务状况（包含资产负债表、利润表）；</w:t>
      </w:r>
      <w:r>
        <w:rPr>
          <w:rFonts w:hint="eastAsia" w:ascii="宋体"/>
          <w:color w:val="000000"/>
          <w:sz w:val="24"/>
          <w:highlight w:val="none"/>
        </w:rPr>
        <w:t>（</w:t>
      </w:r>
      <w:r>
        <w:rPr>
          <w:rFonts w:hint="eastAsia" w:ascii="宋体"/>
          <w:color w:val="000000"/>
          <w:sz w:val="24"/>
          <w:highlight w:val="none"/>
          <w:lang w:val="en-US" w:eastAsia="zh-CN"/>
        </w:rPr>
        <w:t>5</w:t>
      </w:r>
      <w:r>
        <w:rPr>
          <w:rFonts w:hint="eastAsia" w:ascii="宋体"/>
          <w:color w:val="000000"/>
          <w:sz w:val="24"/>
          <w:highlight w:val="none"/>
        </w:rPr>
        <w:t>）</w:t>
      </w:r>
      <w:r>
        <w:rPr>
          <w:rFonts w:hint="eastAsia" w:ascii="宋体" w:hAnsi="宋体"/>
          <w:color w:val="000000"/>
          <w:sz w:val="24"/>
          <w:highlight w:val="none"/>
        </w:rPr>
        <w:t>近三个月依法缴纳税收和社会保障资金缴纳相关证明资料；</w:t>
      </w:r>
      <w:r>
        <w:rPr>
          <w:rFonts w:hint="eastAsia" w:ascii="宋体"/>
          <w:color w:val="000000"/>
          <w:sz w:val="24"/>
          <w:highlight w:val="none"/>
        </w:rPr>
        <w:t>（</w:t>
      </w:r>
      <w:r>
        <w:rPr>
          <w:rFonts w:hint="eastAsia" w:ascii="宋体"/>
          <w:color w:val="000000"/>
          <w:sz w:val="24"/>
          <w:highlight w:val="none"/>
          <w:lang w:val="en-US" w:eastAsia="zh-CN"/>
        </w:rPr>
        <w:t>6</w:t>
      </w:r>
      <w:r>
        <w:rPr>
          <w:rFonts w:hint="eastAsia" w:ascii="宋体"/>
          <w:color w:val="000000"/>
          <w:sz w:val="24"/>
          <w:highlight w:val="none"/>
        </w:rPr>
        <w:t>）</w:t>
      </w:r>
      <w:r>
        <w:rPr>
          <w:rFonts w:hint="eastAsia" w:ascii="宋体" w:hAnsi="宋体"/>
          <w:color w:val="000000"/>
          <w:sz w:val="24"/>
          <w:highlight w:val="none"/>
        </w:rPr>
        <w:t>参加政府采购活动前三年内，在经营活动中没有重大违法记录相关证明资料；</w:t>
      </w:r>
    </w:p>
    <w:p>
      <w:pPr>
        <w:adjustRightInd w:val="0"/>
        <w:snapToGrid w:val="0"/>
        <w:spacing w:line="360" w:lineRule="auto"/>
        <w:ind w:firstLine="480" w:firstLineChars="200"/>
        <w:rPr>
          <w:rFonts w:ascii="宋体"/>
          <w:sz w:val="24"/>
          <w:highlight w:val="none"/>
        </w:rPr>
      </w:pPr>
      <w:r>
        <w:rPr>
          <w:rFonts w:hint="eastAsia" w:ascii="宋体"/>
          <w:sz w:val="24"/>
          <w:highlight w:val="none"/>
        </w:rPr>
        <w:t>根据财库〔</w:t>
      </w:r>
      <w:r>
        <w:rPr>
          <w:rFonts w:ascii="宋体"/>
          <w:sz w:val="24"/>
          <w:highlight w:val="none"/>
        </w:rPr>
        <w:t>2016</w:t>
      </w:r>
      <w:r>
        <w:rPr>
          <w:rFonts w:hint="eastAsia" w:ascii="宋体"/>
          <w:sz w:val="24"/>
          <w:highlight w:val="none"/>
        </w:rPr>
        <w:t>〕</w:t>
      </w:r>
      <w:r>
        <w:rPr>
          <w:rFonts w:ascii="宋体"/>
          <w:sz w:val="24"/>
          <w:highlight w:val="none"/>
        </w:rPr>
        <w:t>125</w:t>
      </w:r>
      <w:r>
        <w:rPr>
          <w:rFonts w:hint="eastAsia" w:ascii="宋体"/>
          <w:sz w:val="24"/>
          <w:highlight w:val="none"/>
        </w:rPr>
        <w:t>号文的规定，采购代理机构应当通过“信用中国”网站</w:t>
      </w:r>
      <w:r>
        <w:rPr>
          <w:rFonts w:ascii="宋体"/>
          <w:sz w:val="24"/>
          <w:highlight w:val="none"/>
        </w:rPr>
        <w:t>(www.creditchina.gov.cn)</w:t>
      </w:r>
      <w:r>
        <w:rPr>
          <w:rFonts w:hint="eastAsia" w:ascii="宋体"/>
          <w:sz w:val="24"/>
          <w:highlight w:val="none"/>
        </w:rPr>
        <w:t>、中国政府采购网</w:t>
      </w:r>
      <w:r>
        <w:rPr>
          <w:rFonts w:ascii="宋体"/>
          <w:sz w:val="24"/>
          <w:highlight w:val="none"/>
        </w:rPr>
        <w:t>(www.ccgp.gov.cn)</w:t>
      </w:r>
      <w:r>
        <w:rPr>
          <w:rFonts w:hint="eastAsia" w:ascii="宋体"/>
          <w:sz w:val="24"/>
          <w:highlight w:val="none"/>
        </w:rPr>
        <w:t>等渠道查询供应商主体信用记录，对列入失信被执行人、重大税收违法案件当事人名单、政府采购严重违法失信行为记录名单及其他不符合《中华人民共和国政府采购法》第二十二条规定条件的供应商，应当拒绝其参与政府采购活动。</w:t>
      </w:r>
    </w:p>
    <w:p>
      <w:pPr>
        <w:adjustRightInd w:val="0"/>
        <w:snapToGrid w:val="0"/>
        <w:spacing w:line="360" w:lineRule="auto"/>
        <w:ind w:firstLine="482" w:firstLineChars="200"/>
        <w:rPr>
          <w:rFonts w:ascii="宋体"/>
          <w:b/>
          <w:sz w:val="24"/>
          <w:highlight w:val="none"/>
        </w:rPr>
      </w:pPr>
      <w:r>
        <w:rPr>
          <w:rFonts w:hint="eastAsia" w:ascii="宋体" w:hAnsi="宋体"/>
          <w:b/>
          <w:sz w:val="24"/>
          <w:highlight w:val="none"/>
        </w:rPr>
        <w:t>上述资料需加盖公章复印件</w:t>
      </w:r>
      <w:r>
        <w:rPr>
          <w:rFonts w:ascii="宋体" w:hAnsi="宋体"/>
          <w:b/>
          <w:sz w:val="24"/>
          <w:highlight w:val="none"/>
        </w:rPr>
        <w:t>1</w:t>
      </w:r>
      <w:r>
        <w:rPr>
          <w:rFonts w:hint="eastAsia" w:ascii="宋体" w:hAnsi="宋体"/>
          <w:b/>
          <w:sz w:val="24"/>
          <w:highlight w:val="none"/>
        </w:rPr>
        <w:t>套，简单装订。</w:t>
      </w:r>
    </w:p>
    <w:p>
      <w:pPr>
        <w:autoSpaceDN w:val="0"/>
        <w:adjustRightInd w:val="0"/>
        <w:snapToGrid w:val="0"/>
        <w:spacing w:line="360" w:lineRule="auto"/>
        <w:ind w:firstLine="480"/>
        <w:jc w:val="left"/>
        <w:textAlignment w:val="center"/>
        <w:rPr>
          <w:rFonts w:ascii="宋体" w:hAnsi="宋体"/>
          <w:color w:val="000000"/>
          <w:sz w:val="24"/>
          <w:highlight w:val="none"/>
        </w:rPr>
      </w:pPr>
      <w:r>
        <w:rPr>
          <w:rFonts w:hint="eastAsia" w:ascii="宋体" w:hAnsi="宋体" w:cs="宋体"/>
          <w:bCs/>
          <w:kern w:val="0"/>
          <w:sz w:val="24"/>
          <w:highlight w:val="none"/>
        </w:rPr>
        <w:t>7</w:t>
      </w:r>
      <w:r>
        <w:rPr>
          <w:rFonts w:ascii="宋体" w:hAnsi="宋体" w:cs="宋体"/>
          <w:bCs/>
          <w:kern w:val="0"/>
          <w:sz w:val="24"/>
          <w:highlight w:val="none"/>
        </w:rPr>
        <w:t>.2</w:t>
      </w:r>
      <w:r>
        <w:rPr>
          <w:rFonts w:hint="eastAsia" w:ascii="宋体" w:hAnsi="宋体" w:cs="宋体"/>
          <w:sz w:val="24"/>
          <w:highlight w:val="none"/>
        </w:rPr>
        <w:t>招标文件</w:t>
      </w:r>
      <w:r>
        <w:rPr>
          <w:rFonts w:hint="eastAsia" w:ascii="宋体" w:hAnsi="宋体" w:cs="宋体"/>
          <w:bCs/>
          <w:kern w:val="0"/>
          <w:sz w:val="24"/>
          <w:highlight w:val="none"/>
        </w:rPr>
        <w:t>工本费：</w:t>
      </w:r>
      <w:r>
        <w:rPr>
          <w:rFonts w:ascii="宋体" w:hAnsi="宋体" w:cs="宋体"/>
          <w:bCs/>
          <w:kern w:val="0"/>
          <w:sz w:val="24"/>
          <w:highlight w:val="none"/>
        </w:rPr>
        <w:t>300</w:t>
      </w:r>
      <w:r>
        <w:rPr>
          <w:rFonts w:hint="eastAsia" w:ascii="宋体" w:hAnsi="宋体" w:cs="宋体"/>
          <w:bCs/>
          <w:kern w:val="0"/>
          <w:sz w:val="24"/>
          <w:highlight w:val="none"/>
        </w:rPr>
        <w:t>元</w:t>
      </w:r>
      <w:r>
        <w:rPr>
          <w:rFonts w:ascii="宋体" w:hAnsi="宋体" w:cs="宋体"/>
          <w:bCs/>
          <w:kern w:val="0"/>
          <w:sz w:val="24"/>
          <w:highlight w:val="none"/>
        </w:rPr>
        <w:t>/</w:t>
      </w:r>
      <w:r>
        <w:rPr>
          <w:rFonts w:hint="eastAsia" w:ascii="宋体" w:hAnsi="宋体" w:cs="宋体"/>
          <w:bCs/>
          <w:kern w:val="0"/>
          <w:sz w:val="24"/>
          <w:highlight w:val="none"/>
        </w:rPr>
        <w:t>本，</w:t>
      </w:r>
      <w:r>
        <w:rPr>
          <w:rFonts w:hint="eastAsia" w:ascii="宋体" w:hAnsi="宋体" w:cs="宋体"/>
          <w:sz w:val="24"/>
          <w:highlight w:val="none"/>
        </w:rPr>
        <w:t>招标文件</w:t>
      </w:r>
      <w:r>
        <w:rPr>
          <w:rFonts w:hint="eastAsia" w:ascii="宋体" w:hAnsi="宋体" w:cs="宋体"/>
          <w:bCs/>
          <w:kern w:val="0"/>
          <w:sz w:val="24"/>
          <w:highlight w:val="none"/>
        </w:rPr>
        <w:t>售后不退。</w:t>
      </w:r>
      <w:r>
        <w:rPr>
          <w:rFonts w:hint="eastAsia" w:ascii="宋体" w:hAnsi="宋体"/>
          <w:color w:val="000000"/>
          <w:sz w:val="24"/>
          <w:highlight w:val="none"/>
        </w:rPr>
        <w:t>汇款信息</w:t>
      </w:r>
      <w:r>
        <w:rPr>
          <w:rFonts w:ascii="宋体"/>
          <w:color w:val="000000"/>
          <w:sz w:val="24"/>
          <w:highlight w:val="none"/>
        </w:rPr>
        <w:t>-</w:t>
      </w:r>
      <w:r>
        <w:rPr>
          <w:rFonts w:hint="eastAsia" w:ascii="宋体" w:hAnsi="宋体"/>
          <w:color w:val="000000"/>
          <w:sz w:val="24"/>
          <w:highlight w:val="none"/>
        </w:rPr>
        <w:t>单位名称：山东省鲁成招标有限公司；开户行：中国农业银行济南分行；账号：</w:t>
      </w:r>
      <w:r>
        <w:rPr>
          <w:rFonts w:ascii="宋体" w:hAnsi="宋体"/>
          <w:color w:val="000000"/>
          <w:sz w:val="24"/>
          <w:highlight w:val="none"/>
        </w:rPr>
        <w:t>15110101040001136</w:t>
      </w:r>
      <w:r>
        <w:rPr>
          <w:rFonts w:hint="eastAsia" w:ascii="宋体" w:hAnsi="宋体"/>
          <w:color w:val="000000"/>
          <w:sz w:val="24"/>
          <w:highlight w:val="none"/>
        </w:rPr>
        <w:t>；行号：</w:t>
      </w:r>
      <w:r>
        <w:rPr>
          <w:rFonts w:ascii="宋体" w:hAnsi="宋体"/>
          <w:color w:val="000000"/>
          <w:sz w:val="24"/>
          <w:highlight w:val="none"/>
        </w:rPr>
        <w:t>103451011106</w:t>
      </w:r>
      <w:r>
        <w:rPr>
          <w:rFonts w:hint="eastAsia" w:ascii="宋体" w:hAnsi="宋体"/>
          <w:color w:val="000000"/>
          <w:sz w:val="24"/>
          <w:highlight w:val="none"/>
        </w:rPr>
        <w:t>；招标代理机构将不对邮寄过程中可能发生的延误或丢失负责。</w:t>
      </w:r>
    </w:p>
    <w:p>
      <w:pPr>
        <w:adjustRightInd w:val="0"/>
        <w:snapToGrid w:val="0"/>
        <w:spacing w:line="360" w:lineRule="auto"/>
        <w:rPr>
          <w:rFonts w:ascii="宋体" w:hAnsi="宋体"/>
          <w:color w:val="000000"/>
          <w:sz w:val="24"/>
          <w:highlight w:val="none"/>
        </w:rPr>
      </w:pPr>
      <w:r>
        <w:rPr>
          <w:rFonts w:hint="eastAsia" w:ascii="宋体" w:hAnsi="宋体" w:cs="宋体"/>
          <w:b/>
          <w:sz w:val="24"/>
          <w:highlight w:val="none"/>
        </w:rPr>
        <w:t>8、公告期限：</w:t>
      </w:r>
      <w:r>
        <w:rPr>
          <w:rFonts w:ascii="宋体" w:hAnsi="宋体"/>
          <w:sz w:val="24"/>
          <w:highlight w:val="none"/>
        </w:rPr>
        <w:t>201</w:t>
      </w:r>
      <w:r>
        <w:rPr>
          <w:rFonts w:hint="eastAsia" w:ascii="宋体" w:hAnsi="宋体"/>
          <w:sz w:val="24"/>
          <w:highlight w:val="none"/>
        </w:rPr>
        <w:t>9年</w:t>
      </w:r>
      <w:r>
        <w:rPr>
          <w:rFonts w:hint="eastAsia" w:ascii="宋体" w:hAnsi="宋体"/>
          <w:sz w:val="24"/>
          <w:highlight w:val="none"/>
          <w:lang w:val="en-US" w:eastAsia="zh-CN"/>
        </w:rPr>
        <w:t>10</w:t>
      </w:r>
      <w:r>
        <w:rPr>
          <w:rFonts w:hint="eastAsia" w:ascii="宋体" w:hAnsi="宋体"/>
          <w:sz w:val="24"/>
          <w:highlight w:val="none"/>
        </w:rPr>
        <w:t>月</w:t>
      </w:r>
      <w:r>
        <w:rPr>
          <w:rFonts w:hint="eastAsia" w:ascii="宋体" w:hAnsi="宋体"/>
          <w:sz w:val="24"/>
          <w:highlight w:val="none"/>
          <w:lang w:val="en-US" w:eastAsia="zh-CN"/>
        </w:rPr>
        <w:t>9</w:t>
      </w:r>
      <w:r>
        <w:rPr>
          <w:rFonts w:hint="eastAsia" w:ascii="宋体" w:hAnsi="宋体"/>
          <w:sz w:val="24"/>
          <w:highlight w:val="none"/>
        </w:rPr>
        <w:t>日至</w:t>
      </w:r>
      <w:r>
        <w:rPr>
          <w:rFonts w:ascii="宋体" w:hAnsi="宋体"/>
          <w:sz w:val="24"/>
          <w:highlight w:val="none"/>
        </w:rPr>
        <w:t>201</w:t>
      </w:r>
      <w:r>
        <w:rPr>
          <w:rFonts w:hint="eastAsia" w:ascii="宋体" w:hAnsi="宋体"/>
          <w:sz w:val="24"/>
          <w:highlight w:val="none"/>
        </w:rPr>
        <w:t>9年</w:t>
      </w:r>
      <w:r>
        <w:rPr>
          <w:rFonts w:hint="eastAsia" w:ascii="宋体" w:hAnsi="宋体"/>
          <w:sz w:val="24"/>
          <w:highlight w:val="none"/>
          <w:lang w:val="en-US" w:eastAsia="zh-CN"/>
        </w:rPr>
        <w:t>10</w:t>
      </w:r>
      <w:r>
        <w:rPr>
          <w:rFonts w:hint="eastAsia" w:ascii="宋体" w:hAnsi="宋体"/>
          <w:sz w:val="24"/>
          <w:highlight w:val="none"/>
        </w:rPr>
        <w:t>月</w:t>
      </w:r>
      <w:r>
        <w:rPr>
          <w:rFonts w:hint="eastAsia" w:ascii="宋体" w:hAnsi="宋体"/>
          <w:sz w:val="24"/>
          <w:highlight w:val="none"/>
          <w:lang w:val="en-US" w:eastAsia="zh-CN"/>
        </w:rPr>
        <w:t>15</w:t>
      </w:r>
      <w:r>
        <w:rPr>
          <w:rFonts w:hint="eastAsia" w:ascii="宋体" w:hAnsi="宋体"/>
          <w:sz w:val="24"/>
          <w:highlight w:val="none"/>
        </w:rPr>
        <w:t>日（不含节假日）</w:t>
      </w:r>
    </w:p>
    <w:p>
      <w:pPr>
        <w:adjustRightInd w:val="0"/>
        <w:snapToGrid w:val="0"/>
        <w:spacing w:line="360" w:lineRule="auto"/>
        <w:rPr>
          <w:rFonts w:ascii="宋体" w:cs="宋体"/>
          <w:b/>
          <w:sz w:val="24"/>
          <w:highlight w:val="none"/>
        </w:rPr>
      </w:pPr>
      <w:r>
        <w:rPr>
          <w:rFonts w:hint="eastAsia" w:ascii="宋体" w:hAnsi="宋体" w:cs="宋体"/>
          <w:b/>
          <w:sz w:val="24"/>
          <w:highlight w:val="none"/>
        </w:rPr>
        <w:t>9、投标文件递交截止时间及开标时间：</w:t>
      </w:r>
    </w:p>
    <w:p>
      <w:pPr>
        <w:adjustRightInd w:val="0"/>
        <w:snapToGrid w:val="0"/>
        <w:spacing w:line="360" w:lineRule="auto"/>
        <w:ind w:firstLine="480" w:firstLineChars="200"/>
        <w:rPr>
          <w:rFonts w:ascii="宋体" w:cs="宋体"/>
          <w:kern w:val="0"/>
          <w:sz w:val="24"/>
          <w:highlight w:val="none"/>
        </w:rPr>
      </w:pPr>
      <w:r>
        <w:rPr>
          <w:rFonts w:hint="eastAsia" w:ascii="宋体" w:hAnsi="宋体" w:cs="宋体"/>
          <w:kern w:val="0"/>
          <w:sz w:val="24"/>
          <w:highlight w:val="none"/>
        </w:rPr>
        <w:t>9</w:t>
      </w:r>
      <w:r>
        <w:rPr>
          <w:rFonts w:ascii="宋体" w:hAnsi="宋体" w:cs="宋体"/>
          <w:kern w:val="0"/>
          <w:sz w:val="24"/>
          <w:highlight w:val="none"/>
        </w:rPr>
        <w:t>.1</w:t>
      </w:r>
      <w:r>
        <w:rPr>
          <w:rFonts w:hint="eastAsia" w:ascii="宋体" w:hAnsi="宋体" w:cs="宋体"/>
          <w:kern w:val="0"/>
          <w:sz w:val="24"/>
          <w:highlight w:val="none"/>
        </w:rPr>
        <w:t>投标文件递交截止时间及开标时间：</w:t>
      </w:r>
      <w:r>
        <w:rPr>
          <w:rFonts w:ascii="宋体" w:hAnsi="宋体"/>
          <w:sz w:val="24"/>
          <w:highlight w:val="none"/>
        </w:rPr>
        <w:t>201</w:t>
      </w:r>
      <w:r>
        <w:rPr>
          <w:rFonts w:hint="eastAsia" w:ascii="宋体" w:hAnsi="宋体"/>
          <w:sz w:val="24"/>
          <w:highlight w:val="none"/>
        </w:rPr>
        <w:t>9年</w:t>
      </w:r>
      <w:r>
        <w:rPr>
          <w:rFonts w:hint="eastAsia" w:ascii="宋体" w:hAnsi="宋体"/>
          <w:sz w:val="24"/>
          <w:highlight w:val="none"/>
          <w:lang w:val="en-US" w:eastAsia="zh-CN"/>
        </w:rPr>
        <w:t>11</w:t>
      </w:r>
      <w:r>
        <w:rPr>
          <w:rFonts w:hint="eastAsia" w:ascii="宋体" w:hAnsi="宋体"/>
          <w:sz w:val="24"/>
          <w:highlight w:val="none"/>
        </w:rPr>
        <w:t>月</w:t>
      </w:r>
      <w:r>
        <w:rPr>
          <w:rFonts w:hint="eastAsia" w:ascii="宋体" w:hAnsi="宋体"/>
          <w:sz w:val="24"/>
          <w:highlight w:val="none"/>
          <w:lang w:val="en-US" w:eastAsia="zh-CN"/>
        </w:rPr>
        <w:t>1</w:t>
      </w:r>
      <w:r>
        <w:rPr>
          <w:rFonts w:hint="eastAsia" w:ascii="宋体" w:hAnsi="宋体"/>
          <w:sz w:val="24"/>
          <w:highlight w:val="none"/>
        </w:rPr>
        <w:t>日</w:t>
      </w:r>
      <w:r>
        <w:rPr>
          <w:rFonts w:ascii="宋体" w:hAnsi="宋体"/>
          <w:sz w:val="24"/>
          <w:highlight w:val="none"/>
        </w:rPr>
        <w:t>9:00</w:t>
      </w:r>
      <w:r>
        <w:rPr>
          <w:rFonts w:hint="eastAsia" w:ascii="宋体" w:hAnsi="宋体"/>
          <w:sz w:val="24"/>
          <w:highlight w:val="none"/>
        </w:rPr>
        <w:t>时（北京时间）；</w:t>
      </w:r>
    </w:p>
    <w:p>
      <w:pPr>
        <w:adjustRightInd w:val="0"/>
        <w:snapToGrid w:val="0"/>
        <w:spacing w:line="360" w:lineRule="auto"/>
        <w:rPr>
          <w:rFonts w:ascii="宋体" w:cs="宋体"/>
          <w:kern w:val="0"/>
          <w:sz w:val="24"/>
          <w:highlight w:val="none"/>
        </w:rPr>
      </w:pPr>
      <w:r>
        <w:rPr>
          <w:rFonts w:hint="eastAsia" w:ascii="宋体" w:hAnsi="宋体" w:cs="宋体"/>
          <w:kern w:val="0"/>
          <w:sz w:val="24"/>
          <w:highlight w:val="none"/>
        </w:rPr>
        <w:t xml:space="preserve">       投标文件递交地点及开标地点：</w:t>
      </w:r>
      <w:bookmarkStart w:id="1" w:name="OLE_LINK1"/>
      <w:bookmarkStart w:id="2" w:name="OLE_LINK2"/>
      <w:r>
        <w:rPr>
          <w:rFonts w:hint="eastAsia" w:ascii="宋体" w:hAnsi="宋体"/>
          <w:color w:val="000000"/>
          <w:sz w:val="24"/>
          <w:highlight w:val="none"/>
        </w:rPr>
        <w:t>山东大学第二医院办公楼五楼会议室（地址：济南市天桥区北园大街</w:t>
      </w:r>
      <w:r>
        <w:rPr>
          <w:rFonts w:ascii="宋体" w:hAnsi="宋体"/>
          <w:color w:val="000000"/>
          <w:sz w:val="24"/>
          <w:highlight w:val="none"/>
        </w:rPr>
        <w:t>247</w:t>
      </w:r>
      <w:r>
        <w:rPr>
          <w:rFonts w:hint="eastAsia" w:ascii="宋体" w:hAnsi="宋体"/>
          <w:color w:val="000000"/>
          <w:sz w:val="24"/>
          <w:highlight w:val="none"/>
        </w:rPr>
        <w:t>号）</w:t>
      </w:r>
      <w:bookmarkEnd w:id="1"/>
      <w:bookmarkEnd w:id="2"/>
      <w:r>
        <w:rPr>
          <w:rFonts w:hint="eastAsia" w:ascii="宋体" w:hAnsi="宋体"/>
          <w:color w:val="000000"/>
          <w:sz w:val="24"/>
          <w:highlight w:val="none"/>
        </w:rPr>
        <w:t>（如需变更另行通知）；</w:t>
      </w:r>
    </w:p>
    <w:p>
      <w:pPr>
        <w:widowControl/>
        <w:adjustRightInd w:val="0"/>
        <w:snapToGrid w:val="0"/>
        <w:spacing w:line="360" w:lineRule="auto"/>
        <w:ind w:firstLine="480" w:firstLineChars="200"/>
        <w:jc w:val="left"/>
        <w:rPr>
          <w:rFonts w:ascii="宋体" w:cs="宋体"/>
          <w:kern w:val="0"/>
          <w:sz w:val="24"/>
          <w:highlight w:val="none"/>
        </w:rPr>
      </w:pPr>
      <w:r>
        <w:rPr>
          <w:rFonts w:hint="eastAsia" w:ascii="宋体" w:hAnsi="宋体" w:cs="宋体"/>
          <w:kern w:val="0"/>
          <w:sz w:val="24"/>
          <w:highlight w:val="none"/>
        </w:rPr>
        <w:t>9</w:t>
      </w:r>
      <w:r>
        <w:rPr>
          <w:rFonts w:ascii="宋体" w:hAnsi="宋体" w:cs="宋体"/>
          <w:kern w:val="0"/>
          <w:sz w:val="24"/>
          <w:highlight w:val="none"/>
        </w:rPr>
        <w:t>.2</w:t>
      </w:r>
      <w:r>
        <w:rPr>
          <w:rFonts w:hint="eastAsia" w:ascii="宋体" w:hAnsi="宋体" w:cs="宋体"/>
          <w:kern w:val="0"/>
          <w:sz w:val="24"/>
          <w:highlight w:val="none"/>
        </w:rPr>
        <w:t>逾期送达的或者未送达指定地点的投标文件，采购人不予受理。</w:t>
      </w:r>
    </w:p>
    <w:p>
      <w:pPr>
        <w:widowControl/>
        <w:adjustRightInd w:val="0"/>
        <w:snapToGrid w:val="0"/>
        <w:spacing w:line="360" w:lineRule="auto"/>
        <w:jc w:val="left"/>
        <w:rPr>
          <w:rFonts w:ascii="宋体" w:cs="宋体"/>
          <w:kern w:val="0"/>
          <w:sz w:val="18"/>
          <w:szCs w:val="18"/>
          <w:highlight w:val="none"/>
        </w:rPr>
      </w:pPr>
      <w:r>
        <w:rPr>
          <w:rFonts w:ascii="宋体" w:hAnsi="宋体" w:cs="宋体"/>
          <w:b/>
          <w:sz w:val="24"/>
          <w:highlight w:val="none"/>
        </w:rPr>
        <w:t>1</w:t>
      </w:r>
      <w:r>
        <w:rPr>
          <w:rFonts w:hint="eastAsia" w:ascii="宋体" w:hAnsi="宋体" w:cs="宋体"/>
          <w:b/>
          <w:sz w:val="24"/>
          <w:highlight w:val="none"/>
        </w:rPr>
        <w:t>0、</w:t>
      </w:r>
      <w:r>
        <w:rPr>
          <w:rFonts w:hint="eastAsia" w:ascii="宋体" w:hAnsi="宋体" w:cs="宋体"/>
          <w:b/>
          <w:bCs/>
          <w:kern w:val="0"/>
          <w:sz w:val="24"/>
          <w:highlight w:val="none"/>
        </w:rPr>
        <w:t>发布公告的媒介</w:t>
      </w:r>
    </w:p>
    <w:p>
      <w:pPr>
        <w:widowControl/>
        <w:adjustRightInd w:val="0"/>
        <w:snapToGrid w:val="0"/>
        <w:spacing w:line="360" w:lineRule="auto"/>
        <w:ind w:firstLine="410"/>
        <w:jc w:val="left"/>
        <w:rPr>
          <w:rFonts w:ascii="宋体" w:hAnsi="宋体" w:cs="宋体"/>
          <w:kern w:val="0"/>
          <w:sz w:val="24"/>
          <w:highlight w:val="none"/>
        </w:rPr>
      </w:pPr>
      <w:r>
        <w:rPr>
          <w:rFonts w:hint="eastAsia" w:ascii="宋体" w:hAnsi="宋体" w:cs="宋体"/>
          <w:kern w:val="0"/>
          <w:sz w:val="24"/>
          <w:highlight w:val="none"/>
        </w:rPr>
        <w:t>本次招标公告在中国政府采购网、中国招标投标公共服务平台、山东大学第二医院官方网站同时发布。</w:t>
      </w:r>
    </w:p>
    <w:p>
      <w:pPr>
        <w:widowControl/>
        <w:adjustRightInd w:val="0"/>
        <w:snapToGrid w:val="0"/>
        <w:spacing w:line="360" w:lineRule="auto"/>
        <w:jc w:val="left"/>
        <w:rPr>
          <w:rFonts w:ascii="宋体" w:hAnsi="宋体" w:cs="宋体"/>
          <w:b/>
          <w:bCs/>
          <w:kern w:val="0"/>
          <w:sz w:val="24"/>
          <w:highlight w:val="none"/>
        </w:rPr>
      </w:pPr>
      <w:r>
        <w:rPr>
          <w:rFonts w:ascii="宋体" w:hAnsi="宋体" w:cs="宋体"/>
          <w:b/>
          <w:bCs/>
          <w:kern w:val="0"/>
          <w:sz w:val="24"/>
          <w:highlight w:val="none"/>
        </w:rPr>
        <w:t>1</w:t>
      </w:r>
      <w:r>
        <w:rPr>
          <w:rFonts w:hint="eastAsia" w:ascii="宋体" w:hAnsi="宋体" w:cs="宋体"/>
          <w:b/>
          <w:bCs/>
          <w:kern w:val="0"/>
          <w:sz w:val="24"/>
          <w:highlight w:val="none"/>
        </w:rPr>
        <w:t>1、采购项目需要落实的政府采购政策：</w:t>
      </w:r>
    </w:p>
    <w:p>
      <w:pPr>
        <w:widowControl/>
        <w:adjustRightInd w:val="0"/>
        <w:snapToGrid w:val="0"/>
        <w:spacing w:line="360" w:lineRule="auto"/>
        <w:ind w:firstLine="410"/>
        <w:jc w:val="left"/>
        <w:rPr>
          <w:rFonts w:ascii="宋体" w:hAnsi="宋体" w:cs="宋体"/>
          <w:b/>
          <w:bCs/>
          <w:kern w:val="0"/>
          <w:sz w:val="24"/>
          <w:highlight w:val="none"/>
        </w:rPr>
      </w:pPr>
      <w:r>
        <w:rPr>
          <w:rFonts w:hint="eastAsia" w:ascii="宋体" w:hAnsi="宋体" w:cs="宋体"/>
          <w:kern w:val="0"/>
          <w:sz w:val="24"/>
          <w:highlight w:val="none"/>
        </w:rPr>
        <w:t xml:space="preserve"> 本采购项目需落实节能产品、环境标志产品、中小型企业、监狱企业及残疾人福利性单位的优惠政策和办法，具体要求详见招标文件。</w:t>
      </w:r>
    </w:p>
    <w:p>
      <w:pPr>
        <w:widowControl/>
        <w:adjustRightInd w:val="0"/>
        <w:snapToGrid w:val="0"/>
        <w:spacing w:line="360" w:lineRule="auto"/>
        <w:jc w:val="left"/>
        <w:rPr>
          <w:rFonts w:ascii="宋体" w:cs="宋体"/>
          <w:kern w:val="0"/>
          <w:sz w:val="18"/>
          <w:szCs w:val="18"/>
          <w:highlight w:val="none"/>
        </w:rPr>
      </w:pPr>
      <w:r>
        <w:rPr>
          <w:rFonts w:ascii="宋体" w:hAnsi="宋体" w:cs="宋体"/>
          <w:b/>
          <w:bCs/>
          <w:kern w:val="0"/>
          <w:sz w:val="24"/>
          <w:highlight w:val="none"/>
        </w:rPr>
        <w:t>1</w:t>
      </w:r>
      <w:r>
        <w:rPr>
          <w:rFonts w:hint="eastAsia" w:ascii="宋体" w:hAnsi="宋体" w:cs="宋体"/>
          <w:b/>
          <w:bCs/>
          <w:kern w:val="0"/>
          <w:sz w:val="24"/>
          <w:highlight w:val="none"/>
        </w:rPr>
        <w:t>2、联系方式</w:t>
      </w:r>
    </w:p>
    <w:p>
      <w:pPr>
        <w:autoSpaceDN w:val="0"/>
        <w:adjustRightInd w:val="0"/>
        <w:snapToGrid w:val="0"/>
        <w:spacing w:line="360" w:lineRule="auto"/>
        <w:jc w:val="left"/>
        <w:textAlignment w:val="center"/>
        <w:rPr>
          <w:rFonts w:ascii="宋体"/>
          <w:color w:val="000000"/>
          <w:sz w:val="24"/>
          <w:highlight w:val="none"/>
        </w:rPr>
      </w:pPr>
      <w:r>
        <w:rPr>
          <w:rFonts w:hint="eastAsia" w:ascii="宋体" w:hAnsi="宋体"/>
          <w:color w:val="000000"/>
          <w:sz w:val="24"/>
          <w:highlight w:val="none"/>
        </w:rPr>
        <w:t>招标人：山东大学第二医院</w:t>
      </w:r>
      <w:r>
        <w:rPr>
          <w:rFonts w:ascii="宋体" w:hAnsi="宋体"/>
          <w:color w:val="000000"/>
          <w:sz w:val="24"/>
          <w:highlight w:val="none"/>
        </w:rPr>
        <w:t xml:space="preserve">              </w:t>
      </w:r>
      <w:r>
        <w:rPr>
          <w:rFonts w:hint="eastAsia" w:ascii="宋体" w:hAnsi="宋体"/>
          <w:color w:val="000000"/>
          <w:sz w:val="24"/>
          <w:highlight w:val="none"/>
        </w:rPr>
        <w:t>招标代理：山东省鲁成招标有限公司</w:t>
      </w:r>
    </w:p>
    <w:p>
      <w:pPr>
        <w:autoSpaceDN w:val="0"/>
        <w:adjustRightInd w:val="0"/>
        <w:snapToGrid w:val="0"/>
        <w:spacing w:line="360" w:lineRule="auto"/>
        <w:jc w:val="left"/>
        <w:textAlignment w:val="center"/>
        <w:rPr>
          <w:rFonts w:ascii="宋体"/>
          <w:color w:val="000000"/>
          <w:sz w:val="24"/>
          <w:highlight w:val="none"/>
        </w:rPr>
      </w:pPr>
      <w:r>
        <w:rPr>
          <w:rFonts w:hint="eastAsia" w:ascii="宋体" w:hAnsi="宋体"/>
          <w:color w:val="000000"/>
          <w:sz w:val="24"/>
          <w:highlight w:val="none"/>
        </w:rPr>
        <w:t>地</w:t>
      </w:r>
      <w:r>
        <w:rPr>
          <w:rFonts w:ascii="宋体" w:hAnsi="宋体"/>
          <w:color w:val="000000"/>
          <w:sz w:val="24"/>
          <w:highlight w:val="none"/>
        </w:rPr>
        <w:t xml:space="preserve"> </w:t>
      </w:r>
      <w:r>
        <w:rPr>
          <w:rFonts w:hint="eastAsia" w:ascii="宋体" w:hAnsi="宋体"/>
          <w:color w:val="000000"/>
          <w:sz w:val="24"/>
          <w:highlight w:val="none"/>
        </w:rPr>
        <w:t>址：济南市天桥区北园路</w:t>
      </w:r>
      <w:r>
        <w:rPr>
          <w:rFonts w:ascii="宋体" w:hAnsi="宋体"/>
          <w:color w:val="000000"/>
          <w:sz w:val="24"/>
          <w:highlight w:val="none"/>
        </w:rPr>
        <w:t>247</w:t>
      </w:r>
      <w:r>
        <w:rPr>
          <w:rFonts w:hint="eastAsia" w:ascii="宋体" w:hAnsi="宋体"/>
          <w:color w:val="000000"/>
          <w:sz w:val="24"/>
          <w:highlight w:val="none"/>
        </w:rPr>
        <w:t>号</w:t>
      </w:r>
      <w:r>
        <w:rPr>
          <w:rFonts w:ascii="宋体" w:hAnsi="宋体"/>
          <w:color w:val="000000"/>
          <w:sz w:val="24"/>
          <w:highlight w:val="none"/>
        </w:rPr>
        <w:t xml:space="preserve">        </w:t>
      </w:r>
      <w:r>
        <w:rPr>
          <w:rFonts w:hint="eastAsia" w:ascii="宋体" w:hAnsi="宋体"/>
          <w:color w:val="000000"/>
          <w:sz w:val="24"/>
          <w:highlight w:val="none"/>
        </w:rPr>
        <w:t>地</w:t>
      </w:r>
      <w:r>
        <w:rPr>
          <w:rFonts w:ascii="宋体" w:hAnsi="宋体"/>
          <w:color w:val="000000"/>
          <w:sz w:val="24"/>
          <w:highlight w:val="none"/>
        </w:rPr>
        <w:t xml:space="preserve"> </w:t>
      </w:r>
      <w:r>
        <w:rPr>
          <w:rFonts w:hint="eastAsia" w:ascii="宋体" w:hAnsi="宋体"/>
          <w:color w:val="000000"/>
          <w:sz w:val="24"/>
          <w:highlight w:val="none"/>
        </w:rPr>
        <w:t>址：济南经十路</w:t>
      </w:r>
      <w:r>
        <w:rPr>
          <w:rFonts w:ascii="宋体" w:hAnsi="宋体"/>
          <w:color w:val="000000"/>
          <w:sz w:val="24"/>
          <w:highlight w:val="none"/>
        </w:rPr>
        <w:t>10567</w:t>
      </w:r>
      <w:r>
        <w:rPr>
          <w:rFonts w:hint="eastAsia" w:ascii="宋体" w:hAnsi="宋体"/>
          <w:color w:val="000000"/>
          <w:sz w:val="24"/>
          <w:highlight w:val="none"/>
        </w:rPr>
        <w:t>号成城大厦</w:t>
      </w:r>
      <w:r>
        <w:rPr>
          <w:rFonts w:ascii="宋体" w:hAnsi="宋体"/>
          <w:color w:val="000000"/>
          <w:sz w:val="24"/>
          <w:highlight w:val="none"/>
        </w:rPr>
        <w:t>A</w:t>
      </w:r>
      <w:r>
        <w:rPr>
          <w:rFonts w:hint="eastAsia" w:ascii="宋体" w:hAnsi="宋体"/>
          <w:color w:val="000000"/>
          <w:sz w:val="24"/>
          <w:highlight w:val="none"/>
        </w:rPr>
        <w:t>座</w:t>
      </w:r>
    </w:p>
    <w:p>
      <w:pPr>
        <w:autoSpaceDN w:val="0"/>
        <w:adjustRightInd w:val="0"/>
        <w:snapToGrid w:val="0"/>
        <w:spacing w:line="360" w:lineRule="auto"/>
        <w:jc w:val="left"/>
        <w:textAlignment w:val="center"/>
        <w:rPr>
          <w:rFonts w:ascii="宋体"/>
          <w:color w:val="000000"/>
          <w:sz w:val="24"/>
          <w:highlight w:val="none"/>
        </w:rPr>
      </w:pPr>
      <w:r>
        <w:rPr>
          <w:rFonts w:hint="eastAsia" w:ascii="宋体" w:hAnsi="宋体"/>
          <w:color w:val="000000"/>
          <w:sz w:val="24"/>
          <w:highlight w:val="none"/>
        </w:rPr>
        <w:t>电</w:t>
      </w:r>
      <w:r>
        <w:rPr>
          <w:rFonts w:ascii="宋体" w:hAnsi="宋体"/>
          <w:color w:val="000000"/>
          <w:sz w:val="24"/>
          <w:highlight w:val="none"/>
        </w:rPr>
        <w:t xml:space="preserve"> </w:t>
      </w:r>
      <w:r>
        <w:rPr>
          <w:rFonts w:hint="eastAsia" w:ascii="宋体" w:hAnsi="宋体"/>
          <w:color w:val="000000"/>
          <w:sz w:val="24"/>
          <w:highlight w:val="none"/>
        </w:rPr>
        <w:t>话：</w:t>
      </w:r>
      <w:r>
        <w:rPr>
          <w:rFonts w:ascii="宋体" w:hAnsi="宋体"/>
          <w:color w:val="000000"/>
          <w:sz w:val="24"/>
          <w:highlight w:val="none"/>
        </w:rPr>
        <w:t xml:space="preserve">0531-85875076                  </w:t>
      </w:r>
      <w:r>
        <w:rPr>
          <w:rFonts w:hint="eastAsia" w:ascii="宋体" w:hAnsi="宋体"/>
          <w:color w:val="000000"/>
          <w:sz w:val="24"/>
          <w:highlight w:val="none"/>
        </w:rPr>
        <w:t>邮</w:t>
      </w:r>
      <w:r>
        <w:rPr>
          <w:rFonts w:ascii="宋体" w:hAnsi="宋体"/>
          <w:color w:val="000000"/>
          <w:sz w:val="24"/>
          <w:highlight w:val="none"/>
        </w:rPr>
        <w:t xml:space="preserve"> </w:t>
      </w:r>
      <w:r>
        <w:rPr>
          <w:rFonts w:hint="eastAsia" w:ascii="宋体" w:hAnsi="宋体"/>
          <w:color w:val="000000"/>
          <w:sz w:val="24"/>
          <w:highlight w:val="none"/>
        </w:rPr>
        <w:t>编：</w:t>
      </w:r>
      <w:r>
        <w:rPr>
          <w:rFonts w:ascii="宋体" w:hAnsi="宋体"/>
          <w:color w:val="000000"/>
          <w:sz w:val="24"/>
          <w:highlight w:val="none"/>
        </w:rPr>
        <w:t>250014</w:t>
      </w:r>
    </w:p>
    <w:p>
      <w:pPr>
        <w:autoSpaceDN w:val="0"/>
        <w:adjustRightInd w:val="0"/>
        <w:snapToGrid w:val="0"/>
        <w:spacing w:line="360" w:lineRule="auto"/>
        <w:jc w:val="left"/>
        <w:textAlignment w:val="center"/>
        <w:rPr>
          <w:rFonts w:ascii="宋体"/>
          <w:color w:val="000000"/>
          <w:sz w:val="24"/>
          <w:highlight w:val="none"/>
        </w:rPr>
      </w:pPr>
      <w:r>
        <w:rPr>
          <w:rFonts w:ascii="宋体" w:hAnsi="宋体"/>
          <w:color w:val="000000"/>
          <w:sz w:val="24"/>
          <w:highlight w:val="none"/>
        </w:rPr>
        <w:t xml:space="preserve">                                     </w:t>
      </w:r>
      <w:r>
        <w:rPr>
          <w:rFonts w:hint="eastAsia" w:ascii="宋体" w:hAnsi="宋体"/>
          <w:color w:val="000000"/>
          <w:sz w:val="24"/>
          <w:highlight w:val="none"/>
        </w:rPr>
        <w:t xml:space="preserve"> 联系人：褚桐、李文华</w:t>
      </w:r>
    </w:p>
    <w:p>
      <w:pPr>
        <w:autoSpaceDN w:val="0"/>
        <w:adjustRightInd w:val="0"/>
        <w:snapToGrid w:val="0"/>
        <w:spacing w:line="360" w:lineRule="auto"/>
        <w:jc w:val="left"/>
        <w:textAlignment w:val="center"/>
        <w:rPr>
          <w:rFonts w:ascii="宋体"/>
          <w:color w:val="000000"/>
          <w:sz w:val="24"/>
          <w:highlight w:val="none"/>
        </w:rPr>
      </w:pPr>
      <w:r>
        <w:rPr>
          <w:rFonts w:ascii="宋体" w:hAnsi="宋体"/>
          <w:color w:val="000000"/>
          <w:sz w:val="24"/>
          <w:highlight w:val="none"/>
        </w:rPr>
        <w:t xml:space="preserve">                                     </w:t>
      </w:r>
      <w:r>
        <w:rPr>
          <w:rFonts w:hint="eastAsia" w:ascii="宋体" w:hAnsi="宋体"/>
          <w:color w:val="000000"/>
          <w:sz w:val="24"/>
          <w:highlight w:val="none"/>
        </w:rPr>
        <w:t xml:space="preserve"> 电</w:t>
      </w:r>
      <w:r>
        <w:rPr>
          <w:rFonts w:ascii="宋体" w:hAnsi="宋体"/>
          <w:color w:val="000000"/>
          <w:sz w:val="24"/>
          <w:highlight w:val="none"/>
        </w:rPr>
        <w:t xml:space="preserve"> </w:t>
      </w:r>
      <w:r>
        <w:rPr>
          <w:rFonts w:hint="eastAsia" w:ascii="宋体" w:hAnsi="宋体"/>
          <w:color w:val="000000"/>
          <w:sz w:val="24"/>
          <w:highlight w:val="none"/>
        </w:rPr>
        <w:t>话：</w:t>
      </w:r>
      <w:r>
        <w:rPr>
          <w:rFonts w:ascii="宋体" w:hAnsi="宋体"/>
          <w:color w:val="000000"/>
          <w:sz w:val="24"/>
          <w:highlight w:val="none"/>
        </w:rPr>
        <w:t>0531-83191865/</w:t>
      </w:r>
      <w:r>
        <w:rPr>
          <w:rFonts w:hint="eastAsia" w:ascii="宋体" w:hAnsi="宋体"/>
          <w:color w:val="000000"/>
          <w:sz w:val="24"/>
          <w:highlight w:val="none"/>
        </w:rPr>
        <w:t>83191895</w:t>
      </w:r>
    </w:p>
    <w:p>
      <w:pPr>
        <w:autoSpaceDN w:val="0"/>
        <w:adjustRightInd w:val="0"/>
        <w:snapToGrid w:val="0"/>
        <w:jc w:val="left"/>
        <w:textAlignment w:val="center"/>
        <w:rPr>
          <w:rFonts w:ascii="宋体"/>
          <w:color w:val="000000"/>
          <w:sz w:val="24"/>
          <w:highlight w:val="none"/>
        </w:rPr>
      </w:pPr>
      <w:r>
        <w:rPr>
          <w:rFonts w:ascii="宋体" w:hAnsi="宋体"/>
          <w:color w:val="000000"/>
          <w:sz w:val="24"/>
          <w:highlight w:val="none"/>
        </w:rPr>
        <w:t xml:space="preserve">                                      </w:t>
      </w:r>
      <w:r>
        <w:rPr>
          <w:rFonts w:hint="eastAsia" w:ascii="宋体" w:hAnsi="宋体"/>
          <w:color w:val="000000"/>
          <w:sz w:val="24"/>
          <w:highlight w:val="none"/>
        </w:rPr>
        <w:t>传</w:t>
      </w:r>
      <w:r>
        <w:rPr>
          <w:rFonts w:ascii="宋体" w:hAnsi="宋体"/>
          <w:color w:val="000000"/>
          <w:sz w:val="24"/>
          <w:highlight w:val="none"/>
        </w:rPr>
        <w:t xml:space="preserve"> </w:t>
      </w:r>
      <w:r>
        <w:rPr>
          <w:rFonts w:hint="eastAsia" w:ascii="宋体" w:hAnsi="宋体"/>
          <w:color w:val="000000"/>
          <w:sz w:val="24"/>
          <w:highlight w:val="none"/>
        </w:rPr>
        <w:t>真：</w:t>
      </w:r>
      <w:r>
        <w:rPr>
          <w:rFonts w:ascii="宋体" w:hAnsi="宋体"/>
          <w:color w:val="000000"/>
          <w:sz w:val="24"/>
          <w:highlight w:val="none"/>
        </w:rPr>
        <w:t>0531-83191895</w:t>
      </w:r>
    </w:p>
    <w:p>
      <w:pPr>
        <w:pStyle w:val="20"/>
        <w:tabs>
          <w:tab w:val="left" w:pos="0"/>
        </w:tabs>
        <w:spacing w:line="240" w:lineRule="auto"/>
        <w:ind w:left="0" w:leftChars="0" w:firstLine="0" w:firstLineChars="0"/>
        <w:jc w:val="center"/>
        <w:outlineLvl w:val="0"/>
        <w:rPr>
          <w:rFonts w:ascii="宋体" w:cs="宋体"/>
          <w:highlight w:val="none"/>
        </w:rPr>
      </w:pPr>
      <w:r>
        <w:rPr>
          <w:rFonts w:ascii="宋体" w:hAnsi="宋体"/>
          <w:color w:val="000000"/>
          <w:highlight w:val="none"/>
        </w:rPr>
        <w:t xml:space="preserve">                       </w:t>
      </w:r>
      <w:r>
        <w:rPr>
          <w:rFonts w:hint="eastAsia" w:ascii="宋体" w:hAnsi="宋体"/>
          <w:color w:val="000000"/>
          <w:highlight w:val="none"/>
        </w:rPr>
        <w:t>电子邮件：</w:t>
      </w:r>
      <w:r>
        <w:rPr>
          <w:highlight w:val="none"/>
        </w:rPr>
        <w:fldChar w:fldCharType="begin"/>
      </w:r>
      <w:r>
        <w:rPr>
          <w:highlight w:val="none"/>
        </w:rPr>
        <w:instrText xml:space="preserve"> HYPERLINK "mailto:lc83191789@126.com" </w:instrText>
      </w:r>
      <w:r>
        <w:rPr>
          <w:highlight w:val="none"/>
        </w:rPr>
        <w:fldChar w:fldCharType="separate"/>
      </w:r>
      <w:r>
        <w:rPr>
          <w:rFonts w:ascii="宋体" w:hAnsi="宋体"/>
          <w:color w:val="000000"/>
          <w:highlight w:val="none"/>
        </w:rPr>
        <w:t>lczb08@126.com</w:t>
      </w:r>
      <w:r>
        <w:rPr>
          <w:rFonts w:ascii="宋体" w:hAnsi="宋体"/>
          <w:color w:val="000000"/>
          <w:highlight w:val="none"/>
        </w:rPr>
        <w:fldChar w:fldCharType="end"/>
      </w:r>
      <w:r>
        <w:rPr>
          <w:rFonts w:ascii="宋体"/>
          <w:b/>
          <w:sz w:val="36"/>
          <w:highlight w:val="none"/>
        </w:rPr>
        <w:br w:type="page"/>
      </w:r>
      <w:r>
        <w:rPr>
          <w:rFonts w:hint="eastAsia" w:ascii="宋体" w:hAnsi="宋体"/>
          <w:b/>
          <w:sz w:val="36"/>
          <w:highlight w:val="none"/>
        </w:rPr>
        <w:t>第二部分投标人须知</w:t>
      </w:r>
      <w:bookmarkEnd w:id="0"/>
    </w:p>
    <w:p>
      <w:pPr>
        <w:pStyle w:val="88"/>
        <w:spacing w:before="240"/>
        <w:outlineLvl w:val="1"/>
        <w:rPr>
          <w:highlight w:val="none"/>
        </w:rPr>
      </w:pPr>
      <w:bookmarkStart w:id="3" w:name="_Toc1284"/>
      <w:bookmarkStart w:id="4" w:name="_Toc243041162"/>
      <w:r>
        <w:rPr>
          <w:rFonts w:hint="eastAsia"/>
          <w:highlight w:val="none"/>
        </w:rPr>
        <w:t>投标人须知前附表</w:t>
      </w:r>
      <w:bookmarkEnd w:id="3"/>
      <w:bookmarkEnd w:id="4"/>
    </w:p>
    <w:tbl>
      <w:tblPr>
        <w:tblStyle w:val="49"/>
        <w:tblW w:w="98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
        <w:gridCol w:w="2432"/>
        <w:gridCol w:w="65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jc w:val="center"/>
        </w:trPr>
        <w:tc>
          <w:tcPr>
            <w:tcW w:w="799" w:type="dxa"/>
            <w:vAlign w:val="center"/>
          </w:tcPr>
          <w:p>
            <w:pPr>
              <w:pStyle w:val="20"/>
              <w:tabs>
                <w:tab w:val="left" w:pos="0"/>
                <w:tab w:val="left" w:pos="955"/>
              </w:tabs>
              <w:snapToGrid w:val="0"/>
              <w:spacing w:line="360" w:lineRule="auto"/>
              <w:ind w:left="0" w:leftChars="0" w:firstLine="0" w:firstLineChars="0"/>
              <w:jc w:val="center"/>
              <w:rPr>
                <w:rFonts w:ascii="宋体" w:cs="宋体"/>
                <w:highlight w:val="none"/>
              </w:rPr>
            </w:pPr>
            <w:r>
              <w:rPr>
                <w:rFonts w:hint="eastAsia" w:ascii="宋体" w:hAnsi="宋体" w:cs="宋体"/>
                <w:highlight w:val="none"/>
              </w:rPr>
              <w:t>序号</w:t>
            </w:r>
          </w:p>
        </w:tc>
        <w:tc>
          <w:tcPr>
            <w:tcW w:w="2432" w:type="dxa"/>
            <w:vAlign w:val="center"/>
          </w:tcPr>
          <w:p>
            <w:pPr>
              <w:pStyle w:val="20"/>
              <w:tabs>
                <w:tab w:val="left" w:pos="0"/>
                <w:tab w:val="left" w:pos="955"/>
              </w:tabs>
              <w:snapToGrid w:val="0"/>
              <w:spacing w:line="360" w:lineRule="auto"/>
              <w:ind w:left="0" w:leftChars="0" w:firstLine="0" w:firstLineChars="0"/>
              <w:rPr>
                <w:rFonts w:ascii="宋体" w:cs="宋体"/>
                <w:highlight w:val="none"/>
              </w:rPr>
            </w:pPr>
            <w:r>
              <w:rPr>
                <w:rFonts w:ascii="宋体" w:hAnsi="宋体" w:cs="宋体"/>
                <w:highlight w:val="none"/>
              </w:rPr>
              <w:t xml:space="preserve">    </w:t>
            </w:r>
            <w:r>
              <w:rPr>
                <w:rFonts w:hint="eastAsia" w:ascii="宋体" w:hAnsi="宋体" w:cs="宋体"/>
                <w:highlight w:val="none"/>
              </w:rPr>
              <w:t>项</w:t>
            </w:r>
            <w:r>
              <w:rPr>
                <w:rFonts w:ascii="宋体" w:hAnsi="宋体" w:cs="宋体"/>
                <w:highlight w:val="none"/>
              </w:rPr>
              <w:t xml:space="preserve">    </w:t>
            </w:r>
            <w:r>
              <w:rPr>
                <w:rFonts w:hint="eastAsia" w:ascii="宋体" w:hAnsi="宋体" w:cs="宋体"/>
                <w:highlight w:val="none"/>
              </w:rPr>
              <w:t>目</w:t>
            </w:r>
          </w:p>
        </w:tc>
        <w:tc>
          <w:tcPr>
            <w:tcW w:w="6569" w:type="dxa"/>
            <w:vAlign w:val="center"/>
          </w:tcPr>
          <w:p>
            <w:pPr>
              <w:pStyle w:val="20"/>
              <w:tabs>
                <w:tab w:val="left" w:pos="0"/>
                <w:tab w:val="left" w:pos="955"/>
              </w:tabs>
              <w:snapToGrid w:val="0"/>
              <w:spacing w:line="360" w:lineRule="auto"/>
              <w:ind w:left="0" w:leftChars="0" w:firstLine="960" w:firstLineChars="400"/>
              <w:rPr>
                <w:rFonts w:ascii="宋体" w:cs="宋体"/>
                <w:highlight w:val="none"/>
              </w:rPr>
            </w:pPr>
            <w:r>
              <w:rPr>
                <w:rFonts w:ascii="宋体" w:hAnsi="宋体" w:cs="宋体"/>
                <w:highlight w:val="none"/>
              </w:rPr>
              <w:t xml:space="preserve">            </w:t>
            </w:r>
            <w:r>
              <w:rPr>
                <w:rFonts w:hint="eastAsia" w:ascii="宋体" w:hAnsi="宋体" w:cs="宋体"/>
                <w:highlight w:val="none"/>
              </w:rPr>
              <w:t>内</w:t>
            </w:r>
            <w:r>
              <w:rPr>
                <w:rFonts w:ascii="宋体" w:hAnsi="宋体" w:cs="宋体"/>
                <w:highlight w:val="none"/>
              </w:rPr>
              <w:t xml:space="preserve">       </w:t>
            </w:r>
            <w:r>
              <w:rPr>
                <w:rFonts w:hint="eastAsia" w:ascii="宋体" w:hAnsi="宋体" w:cs="宋体"/>
                <w:highlight w:val="none"/>
              </w:rPr>
              <w:t>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2" w:hRule="atLeast"/>
          <w:jc w:val="center"/>
        </w:trPr>
        <w:tc>
          <w:tcPr>
            <w:tcW w:w="799" w:type="dxa"/>
            <w:vAlign w:val="center"/>
          </w:tcPr>
          <w:p>
            <w:pPr>
              <w:pStyle w:val="20"/>
              <w:tabs>
                <w:tab w:val="left" w:pos="0"/>
                <w:tab w:val="left" w:pos="955"/>
              </w:tabs>
              <w:snapToGrid w:val="0"/>
              <w:spacing w:line="360" w:lineRule="auto"/>
              <w:ind w:left="0" w:leftChars="0" w:firstLine="0" w:firstLineChars="0"/>
              <w:jc w:val="center"/>
              <w:rPr>
                <w:rFonts w:ascii="宋体" w:cs="宋体"/>
                <w:highlight w:val="none"/>
              </w:rPr>
            </w:pPr>
            <w:r>
              <w:rPr>
                <w:rFonts w:ascii="宋体" w:hAnsi="宋体" w:cs="宋体"/>
                <w:highlight w:val="none"/>
              </w:rPr>
              <w:t>1</w:t>
            </w:r>
          </w:p>
        </w:tc>
        <w:tc>
          <w:tcPr>
            <w:tcW w:w="2432" w:type="dxa"/>
            <w:vAlign w:val="center"/>
          </w:tcPr>
          <w:p>
            <w:pPr>
              <w:pStyle w:val="20"/>
              <w:tabs>
                <w:tab w:val="left" w:pos="0"/>
                <w:tab w:val="left" w:pos="955"/>
              </w:tabs>
              <w:snapToGrid w:val="0"/>
              <w:spacing w:line="360" w:lineRule="auto"/>
              <w:ind w:left="0" w:leftChars="0" w:firstLine="0" w:firstLineChars="0"/>
              <w:jc w:val="center"/>
              <w:rPr>
                <w:rFonts w:ascii="宋体" w:cs="宋体"/>
                <w:highlight w:val="none"/>
              </w:rPr>
            </w:pPr>
            <w:r>
              <w:rPr>
                <w:rFonts w:hint="eastAsia" w:ascii="宋体" w:hAnsi="宋体" w:cs="宋体"/>
                <w:highlight w:val="none"/>
              </w:rPr>
              <w:t>招标人</w:t>
            </w:r>
          </w:p>
        </w:tc>
        <w:tc>
          <w:tcPr>
            <w:tcW w:w="6569" w:type="dxa"/>
            <w:vAlign w:val="center"/>
          </w:tcPr>
          <w:p>
            <w:pPr>
              <w:pStyle w:val="111"/>
              <w:snapToGrid w:val="0"/>
              <w:spacing w:line="360" w:lineRule="auto"/>
              <w:jc w:val="left"/>
              <w:rPr>
                <w:rFonts w:ascii="宋体" w:cs="宋体"/>
                <w:color w:val="000000"/>
                <w:spacing w:val="7"/>
                <w:sz w:val="24"/>
                <w:highlight w:val="none"/>
                <w:lang w:eastAsia="zh-CN"/>
              </w:rPr>
            </w:pPr>
            <w:r>
              <w:rPr>
                <w:rFonts w:hint="eastAsia" w:ascii="宋体" w:hAnsi="宋体" w:cs="宋体"/>
                <w:color w:val="000000"/>
                <w:spacing w:val="7"/>
                <w:sz w:val="24"/>
                <w:highlight w:val="none"/>
                <w:lang w:eastAsia="zh-CN"/>
              </w:rPr>
              <w:t>招标人：山东大学第二医院</w:t>
            </w:r>
          </w:p>
          <w:p>
            <w:pPr>
              <w:pStyle w:val="111"/>
              <w:snapToGrid w:val="0"/>
              <w:spacing w:line="360" w:lineRule="auto"/>
              <w:jc w:val="left"/>
              <w:rPr>
                <w:rFonts w:ascii="宋体" w:cs="宋体"/>
                <w:color w:val="000000"/>
                <w:spacing w:val="7"/>
                <w:sz w:val="24"/>
                <w:highlight w:val="none"/>
                <w:lang w:eastAsia="zh-CN"/>
              </w:rPr>
            </w:pPr>
            <w:r>
              <w:rPr>
                <w:rFonts w:hint="eastAsia" w:ascii="宋体" w:hAnsi="宋体" w:cs="宋体"/>
                <w:color w:val="000000"/>
                <w:spacing w:val="7"/>
                <w:sz w:val="24"/>
                <w:highlight w:val="none"/>
                <w:lang w:eastAsia="zh-CN"/>
              </w:rPr>
              <w:t>地</w:t>
            </w:r>
            <w:r>
              <w:rPr>
                <w:rFonts w:ascii="宋体" w:hAnsi="宋体" w:cs="宋体"/>
                <w:color w:val="000000"/>
                <w:spacing w:val="7"/>
                <w:sz w:val="24"/>
                <w:highlight w:val="none"/>
                <w:lang w:val="en-US" w:eastAsia="zh-CN"/>
              </w:rPr>
              <w:t xml:space="preserve">  </w:t>
            </w:r>
            <w:r>
              <w:rPr>
                <w:rFonts w:hint="eastAsia" w:ascii="宋体" w:hAnsi="宋体" w:cs="宋体"/>
                <w:color w:val="000000"/>
                <w:spacing w:val="7"/>
                <w:sz w:val="24"/>
                <w:highlight w:val="none"/>
                <w:lang w:eastAsia="zh-CN"/>
              </w:rPr>
              <w:t>址：济南市天桥区北园路</w:t>
            </w:r>
            <w:r>
              <w:rPr>
                <w:rFonts w:ascii="宋体" w:hAnsi="宋体" w:cs="宋体"/>
                <w:color w:val="000000"/>
                <w:spacing w:val="7"/>
                <w:sz w:val="24"/>
                <w:highlight w:val="none"/>
                <w:lang w:eastAsia="zh-CN"/>
              </w:rPr>
              <w:t>247</w:t>
            </w:r>
            <w:r>
              <w:rPr>
                <w:rFonts w:hint="eastAsia" w:ascii="宋体" w:hAnsi="宋体" w:cs="宋体"/>
                <w:color w:val="000000"/>
                <w:spacing w:val="7"/>
                <w:sz w:val="24"/>
                <w:highlight w:val="none"/>
                <w:lang w:eastAsia="zh-CN"/>
              </w:rPr>
              <w:t>号</w:t>
            </w:r>
          </w:p>
          <w:p>
            <w:pPr>
              <w:pStyle w:val="111"/>
              <w:snapToGrid w:val="0"/>
              <w:spacing w:line="360" w:lineRule="auto"/>
              <w:jc w:val="left"/>
              <w:rPr>
                <w:rFonts w:ascii="宋体" w:cs="宋体"/>
                <w:highlight w:val="none"/>
              </w:rPr>
            </w:pPr>
            <w:r>
              <w:rPr>
                <w:rFonts w:hint="eastAsia" w:ascii="宋体" w:hAnsi="宋体" w:cs="宋体"/>
                <w:color w:val="000000"/>
                <w:spacing w:val="7"/>
                <w:sz w:val="24"/>
                <w:highlight w:val="none"/>
                <w:lang w:eastAsia="zh-CN"/>
              </w:rPr>
              <w:t>联系方式：</w:t>
            </w:r>
            <w:r>
              <w:rPr>
                <w:rFonts w:ascii="宋体" w:hAnsi="宋体" w:cs="宋体"/>
                <w:color w:val="000000"/>
                <w:spacing w:val="7"/>
                <w:sz w:val="24"/>
                <w:highlight w:val="none"/>
                <w:lang w:eastAsia="zh-CN"/>
              </w:rPr>
              <w:t>0531-85875076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42" w:hRule="atLeast"/>
          <w:jc w:val="center"/>
        </w:trPr>
        <w:tc>
          <w:tcPr>
            <w:tcW w:w="799" w:type="dxa"/>
            <w:vAlign w:val="center"/>
          </w:tcPr>
          <w:p>
            <w:pPr>
              <w:pStyle w:val="20"/>
              <w:tabs>
                <w:tab w:val="left" w:pos="0"/>
                <w:tab w:val="left" w:pos="955"/>
              </w:tabs>
              <w:snapToGrid w:val="0"/>
              <w:spacing w:line="360" w:lineRule="auto"/>
              <w:ind w:left="0" w:leftChars="0" w:firstLine="0" w:firstLineChars="0"/>
              <w:jc w:val="center"/>
              <w:rPr>
                <w:rFonts w:ascii="宋体" w:cs="宋体"/>
                <w:highlight w:val="none"/>
              </w:rPr>
            </w:pPr>
            <w:r>
              <w:rPr>
                <w:rFonts w:ascii="宋体" w:hAnsi="宋体" w:cs="宋体"/>
                <w:highlight w:val="none"/>
              </w:rPr>
              <w:t>2</w:t>
            </w:r>
          </w:p>
        </w:tc>
        <w:tc>
          <w:tcPr>
            <w:tcW w:w="2432" w:type="dxa"/>
            <w:vAlign w:val="center"/>
          </w:tcPr>
          <w:p>
            <w:pPr>
              <w:pStyle w:val="20"/>
              <w:tabs>
                <w:tab w:val="left" w:pos="0"/>
                <w:tab w:val="left" w:pos="955"/>
              </w:tabs>
              <w:snapToGrid w:val="0"/>
              <w:spacing w:line="360" w:lineRule="auto"/>
              <w:ind w:left="0" w:leftChars="0" w:firstLine="0" w:firstLineChars="0"/>
              <w:jc w:val="center"/>
              <w:rPr>
                <w:rFonts w:ascii="宋体" w:cs="宋体"/>
                <w:highlight w:val="none"/>
              </w:rPr>
            </w:pPr>
            <w:r>
              <w:rPr>
                <w:rFonts w:hint="eastAsia" w:ascii="宋体" w:hAnsi="宋体" w:cs="宋体"/>
                <w:highlight w:val="none"/>
              </w:rPr>
              <w:t>招标代理机构</w:t>
            </w:r>
          </w:p>
        </w:tc>
        <w:tc>
          <w:tcPr>
            <w:tcW w:w="6569" w:type="dxa"/>
            <w:vAlign w:val="center"/>
          </w:tcPr>
          <w:p>
            <w:pPr>
              <w:pStyle w:val="111"/>
              <w:snapToGrid w:val="0"/>
              <w:spacing w:line="360" w:lineRule="auto"/>
              <w:jc w:val="left"/>
              <w:rPr>
                <w:rFonts w:ascii="宋体" w:cs="宋体"/>
                <w:color w:val="000000"/>
                <w:spacing w:val="7"/>
                <w:sz w:val="24"/>
                <w:highlight w:val="none"/>
                <w:lang w:eastAsia="zh-CN"/>
              </w:rPr>
            </w:pPr>
            <w:r>
              <w:rPr>
                <w:rFonts w:hint="eastAsia" w:ascii="宋体" w:hAnsi="宋体" w:cs="宋体"/>
                <w:color w:val="000000"/>
                <w:spacing w:val="7"/>
                <w:sz w:val="24"/>
                <w:highlight w:val="none"/>
                <w:lang w:eastAsia="zh-CN"/>
              </w:rPr>
              <w:t>名</w:t>
            </w:r>
            <w:r>
              <w:rPr>
                <w:rFonts w:ascii="宋体" w:hAnsi="宋体" w:cs="宋体"/>
                <w:color w:val="000000"/>
                <w:spacing w:val="7"/>
                <w:sz w:val="24"/>
                <w:highlight w:val="none"/>
                <w:lang w:eastAsia="zh-CN"/>
              </w:rPr>
              <w:t xml:space="preserve">  </w:t>
            </w:r>
            <w:r>
              <w:rPr>
                <w:rFonts w:hint="eastAsia" w:ascii="宋体" w:hAnsi="宋体" w:cs="宋体"/>
                <w:color w:val="000000"/>
                <w:spacing w:val="7"/>
                <w:sz w:val="24"/>
                <w:highlight w:val="none"/>
                <w:lang w:eastAsia="zh-CN"/>
              </w:rPr>
              <w:t>称：山东省鲁成招标有限公司</w:t>
            </w:r>
          </w:p>
          <w:p>
            <w:pPr>
              <w:pStyle w:val="111"/>
              <w:snapToGrid w:val="0"/>
              <w:spacing w:line="360" w:lineRule="auto"/>
              <w:jc w:val="left"/>
              <w:rPr>
                <w:rFonts w:ascii="宋体" w:cs="宋体"/>
                <w:color w:val="000000"/>
                <w:spacing w:val="7"/>
                <w:sz w:val="24"/>
                <w:highlight w:val="none"/>
                <w:lang w:eastAsia="zh-CN"/>
              </w:rPr>
            </w:pPr>
            <w:r>
              <w:rPr>
                <w:rFonts w:hint="eastAsia" w:ascii="宋体" w:hAnsi="宋体" w:cs="宋体"/>
                <w:color w:val="000000"/>
                <w:spacing w:val="7"/>
                <w:sz w:val="24"/>
                <w:highlight w:val="none"/>
                <w:lang w:eastAsia="zh-CN"/>
              </w:rPr>
              <w:t>地</w:t>
            </w:r>
            <w:r>
              <w:rPr>
                <w:rFonts w:ascii="宋体" w:hAnsi="宋体" w:cs="宋体"/>
                <w:color w:val="000000"/>
                <w:spacing w:val="7"/>
                <w:sz w:val="24"/>
                <w:highlight w:val="none"/>
                <w:lang w:val="en-US" w:eastAsia="zh-CN"/>
              </w:rPr>
              <w:t xml:space="preserve">  </w:t>
            </w:r>
            <w:r>
              <w:rPr>
                <w:rFonts w:hint="eastAsia" w:ascii="宋体" w:hAnsi="宋体" w:cs="宋体"/>
                <w:color w:val="000000"/>
                <w:spacing w:val="7"/>
                <w:sz w:val="24"/>
                <w:highlight w:val="none"/>
                <w:lang w:eastAsia="zh-CN"/>
              </w:rPr>
              <w:t>址：济南市经十东路</w:t>
            </w:r>
            <w:r>
              <w:rPr>
                <w:rFonts w:ascii="宋体" w:hAnsi="宋体" w:cs="宋体"/>
                <w:color w:val="000000"/>
                <w:spacing w:val="7"/>
                <w:sz w:val="24"/>
                <w:highlight w:val="none"/>
                <w:lang w:eastAsia="zh-CN"/>
              </w:rPr>
              <w:t>10567</w:t>
            </w:r>
            <w:r>
              <w:rPr>
                <w:rFonts w:hint="eastAsia" w:ascii="宋体" w:hAnsi="宋体" w:cs="宋体"/>
                <w:color w:val="000000"/>
                <w:spacing w:val="7"/>
                <w:sz w:val="24"/>
                <w:highlight w:val="none"/>
                <w:lang w:eastAsia="zh-CN"/>
              </w:rPr>
              <w:t>号成城大厦</w:t>
            </w:r>
          </w:p>
          <w:p>
            <w:pPr>
              <w:pStyle w:val="111"/>
              <w:snapToGrid w:val="0"/>
              <w:spacing w:line="360" w:lineRule="auto"/>
              <w:jc w:val="left"/>
              <w:rPr>
                <w:rFonts w:ascii="宋体" w:cs="宋体"/>
                <w:color w:val="000000"/>
                <w:spacing w:val="7"/>
                <w:sz w:val="24"/>
                <w:highlight w:val="none"/>
                <w:lang w:eastAsia="zh-CN"/>
              </w:rPr>
            </w:pPr>
            <w:r>
              <w:rPr>
                <w:rFonts w:hint="eastAsia" w:ascii="宋体" w:hAnsi="宋体" w:cs="宋体"/>
                <w:color w:val="000000"/>
                <w:spacing w:val="7"/>
                <w:sz w:val="24"/>
                <w:highlight w:val="none"/>
                <w:lang w:eastAsia="zh-CN"/>
              </w:rPr>
              <w:t>联系人：褚桐、李文华</w:t>
            </w:r>
          </w:p>
          <w:p>
            <w:pPr>
              <w:pStyle w:val="111"/>
              <w:snapToGrid w:val="0"/>
              <w:spacing w:line="360" w:lineRule="auto"/>
              <w:jc w:val="left"/>
              <w:rPr>
                <w:rFonts w:ascii="宋体" w:cs="宋体"/>
                <w:color w:val="000000"/>
                <w:spacing w:val="7"/>
                <w:sz w:val="24"/>
                <w:highlight w:val="none"/>
                <w:lang w:val="en-US" w:eastAsia="zh-CN"/>
              </w:rPr>
            </w:pPr>
            <w:r>
              <w:rPr>
                <w:rFonts w:hint="eastAsia" w:ascii="宋体" w:hAnsi="宋体" w:cs="宋体"/>
                <w:color w:val="000000"/>
                <w:spacing w:val="7"/>
                <w:sz w:val="24"/>
                <w:highlight w:val="none"/>
                <w:lang w:eastAsia="zh-CN"/>
              </w:rPr>
              <w:t>联系方式：</w:t>
            </w:r>
            <w:r>
              <w:rPr>
                <w:rFonts w:ascii="宋体" w:hAnsi="宋体" w:cs="宋体"/>
                <w:color w:val="000000"/>
                <w:spacing w:val="7"/>
                <w:sz w:val="24"/>
                <w:highlight w:val="none"/>
                <w:lang w:eastAsia="zh-CN"/>
              </w:rPr>
              <w:t>0531-83191865</w:t>
            </w:r>
            <w:r>
              <w:rPr>
                <w:rFonts w:hint="eastAsia" w:ascii="宋体" w:hAnsi="宋体" w:cs="宋体"/>
                <w:color w:val="000000"/>
                <w:spacing w:val="7"/>
                <w:sz w:val="24"/>
                <w:highlight w:val="none"/>
                <w:lang w:eastAsia="zh-CN"/>
              </w:rPr>
              <w:t>、</w:t>
            </w:r>
            <w:r>
              <w:rPr>
                <w:rFonts w:ascii="宋体" w:hAnsi="宋体" w:cs="宋体"/>
                <w:color w:val="000000"/>
                <w:spacing w:val="7"/>
                <w:sz w:val="24"/>
                <w:highlight w:val="none"/>
                <w:lang w:val="en-US" w:eastAsia="zh-CN"/>
              </w:rPr>
              <w:t>83191895</w:t>
            </w:r>
          </w:p>
          <w:p>
            <w:pPr>
              <w:pStyle w:val="111"/>
              <w:snapToGrid w:val="0"/>
              <w:spacing w:line="360" w:lineRule="auto"/>
              <w:jc w:val="left"/>
              <w:rPr>
                <w:rFonts w:ascii="宋体" w:cs="宋体"/>
                <w:color w:val="000000"/>
                <w:spacing w:val="7"/>
                <w:sz w:val="24"/>
                <w:highlight w:val="none"/>
                <w:lang w:eastAsia="zh-CN"/>
              </w:rPr>
            </w:pPr>
            <w:r>
              <w:rPr>
                <w:rFonts w:hint="eastAsia" w:ascii="宋体" w:hAnsi="宋体" w:cs="宋体"/>
                <w:color w:val="000000"/>
                <w:spacing w:val="7"/>
                <w:sz w:val="24"/>
                <w:highlight w:val="none"/>
                <w:lang w:eastAsia="zh-CN"/>
              </w:rPr>
              <w:t>邮箱：</w:t>
            </w:r>
            <w:r>
              <w:rPr>
                <w:rFonts w:ascii="宋体" w:hAnsi="宋体" w:cs="宋体"/>
                <w:color w:val="000000"/>
                <w:spacing w:val="7"/>
                <w:sz w:val="24"/>
                <w:highlight w:val="none"/>
                <w:lang w:eastAsia="zh-CN"/>
              </w:rPr>
              <w:t>lczb08@126.com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8" w:hRule="atLeast"/>
          <w:jc w:val="center"/>
        </w:trPr>
        <w:tc>
          <w:tcPr>
            <w:tcW w:w="799" w:type="dxa"/>
            <w:vAlign w:val="center"/>
          </w:tcPr>
          <w:p>
            <w:pPr>
              <w:pStyle w:val="20"/>
              <w:tabs>
                <w:tab w:val="left" w:pos="0"/>
                <w:tab w:val="left" w:pos="955"/>
              </w:tabs>
              <w:snapToGrid w:val="0"/>
              <w:spacing w:line="360" w:lineRule="auto"/>
              <w:ind w:left="0" w:leftChars="0" w:firstLine="0" w:firstLineChars="0"/>
              <w:jc w:val="center"/>
              <w:rPr>
                <w:rFonts w:ascii="宋体" w:cs="宋体"/>
                <w:highlight w:val="none"/>
              </w:rPr>
            </w:pPr>
            <w:r>
              <w:rPr>
                <w:rFonts w:ascii="宋体" w:hAnsi="宋体" w:cs="宋体"/>
                <w:highlight w:val="none"/>
              </w:rPr>
              <w:t>3</w:t>
            </w:r>
          </w:p>
        </w:tc>
        <w:tc>
          <w:tcPr>
            <w:tcW w:w="2432" w:type="dxa"/>
            <w:vAlign w:val="center"/>
          </w:tcPr>
          <w:p>
            <w:pPr>
              <w:pStyle w:val="20"/>
              <w:tabs>
                <w:tab w:val="left" w:pos="0"/>
                <w:tab w:val="left" w:pos="955"/>
              </w:tabs>
              <w:snapToGrid w:val="0"/>
              <w:spacing w:line="360" w:lineRule="auto"/>
              <w:ind w:left="0" w:leftChars="0" w:firstLine="0" w:firstLineChars="0"/>
              <w:jc w:val="center"/>
              <w:rPr>
                <w:rFonts w:ascii="宋体" w:cs="宋体"/>
                <w:highlight w:val="none"/>
              </w:rPr>
            </w:pPr>
            <w:r>
              <w:rPr>
                <w:rFonts w:hint="eastAsia" w:ascii="宋体" w:hAnsi="宋体" w:cs="宋体"/>
                <w:highlight w:val="none"/>
              </w:rPr>
              <w:t>项目名称</w:t>
            </w:r>
          </w:p>
          <w:p>
            <w:pPr>
              <w:pStyle w:val="20"/>
              <w:tabs>
                <w:tab w:val="left" w:pos="0"/>
                <w:tab w:val="left" w:pos="955"/>
              </w:tabs>
              <w:snapToGrid w:val="0"/>
              <w:spacing w:line="360" w:lineRule="auto"/>
              <w:ind w:left="0" w:leftChars="0" w:firstLine="0" w:firstLineChars="0"/>
              <w:jc w:val="center"/>
              <w:rPr>
                <w:rFonts w:ascii="宋体" w:cs="宋体"/>
                <w:highlight w:val="none"/>
              </w:rPr>
            </w:pPr>
            <w:r>
              <w:rPr>
                <w:rFonts w:hint="eastAsia" w:ascii="宋体" w:hAnsi="宋体" w:cs="宋体"/>
                <w:highlight w:val="none"/>
              </w:rPr>
              <w:t>项目编号</w:t>
            </w:r>
          </w:p>
        </w:tc>
        <w:tc>
          <w:tcPr>
            <w:tcW w:w="6569" w:type="dxa"/>
            <w:vAlign w:val="center"/>
          </w:tcPr>
          <w:p>
            <w:pPr>
              <w:pStyle w:val="111"/>
              <w:snapToGrid w:val="0"/>
              <w:spacing w:line="360" w:lineRule="auto"/>
              <w:jc w:val="left"/>
              <w:rPr>
                <w:rFonts w:ascii="宋体" w:cs="宋体"/>
                <w:color w:val="000000"/>
                <w:spacing w:val="7"/>
                <w:sz w:val="24"/>
                <w:highlight w:val="none"/>
                <w:lang w:eastAsia="zh-CN"/>
              </w:rPr>
            </w:pPr>
            <w:r>
              <w:rPr>
                <w:rFonts w:hint="eastAsia" w:ascii="宋体" w:hAnsi="宋体" w:cs="宋体"/>
                <w:color w:val="000000"/>
                <w:spacing w:val="7"/>
                <w:sz w:val="24"/>
                <w:highlight w:val="none"/>
                <w:lang w:eastAsia="zh-CN"/>
              </w:rPr>
              <w:t>项目名称：山东大学第二医院康复数字化管理系统采购</w:t>
            </w:r>
          </w:p>
          <w:p>
            <w:pPr>
              <w:pStyle w:val="111"/>
              <w:snapToGrid w:val="0"/>
              <w:spacing w:line="360" w:lineRule="auto"/>
              <w:jc w:val="left"/>
              <w:rPr>
                <w:rFonts w:ascii="宋体" w:cs="宋体"/>
                <w:color w:val="000000"/>
                <w:spacing w:val="7"/>
                <w:sz w:val="24"/>
                <w:highlight w:val="none"/>
                <w:lang w:val="en-US" w:eastAsia="zh-CN"/>
              </w:rPr>
            </w:pPr>
            <w:r>
              <w:rPr>
                <w:rFonts w:hint="eastAsia" w:ascii="宋体" w:hAnsi="宋体" w:cs="宋体"/>
                <w:color w:val="000000"/>
                <w:spacing w:val="7"/>
                <w:sz w:val="24"/>
                <w:highlight w:val="none"/>
                <w:lang w:eastAsia="zh-CN"/>
              </w:rPr>
              <w:t>项目编号：0676-196009ZB018036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jc w:val="center"/>
        </w:trPr>
        <w:tc>
          <w:tcPr>
            <w:tcW w:w="799" w:type="dxa"/>
            <w:vAlign w:val="center"/>
          </w:tcPr>
          <w:p>
            <w:pPr>
              <w:pStyle w:val="20"/>
              <w:tabs>
                <w:tab w:val="left" w:pos="0"/>
                <w:tab w:val="left" w:pos="955"/>
              </w:tabs>
              <w:snapToGrid w:val="0"/>
              <w:spacing w:line="360" w:lineRule="auto"/>
              <w:ind w:left="0" w:leftChars="0" w:firstLine="0" w:firstLineChars="0"/>
              <w:jc w:val="center"/>
              <w:rPr>
                <w:rFonts w:ascii="宋体" w:cs="宋体"/>
                <w:highlight w:val="none"/>
              </w:rPr>
            </w:pPr>
            <w:r>
              <w:rPr>
                <w:rFonts w:ascii="宋体" w:hAnsi="宋体" w:cs="宋体"/>
                <w:highlight w:val="none"/>
              </w:rPr>
              <w:t>4</w:t>
            </w:r>
          </w:p>
        </w:tc>
        <w:tc>
          <w:tcPr>
            <w:tcW w:w="2432" w:type="dxa"/>
            <w:vAlign w:val="center"/>
          </w:tcPr>
          <w:p>
            <w:pPr>
              <w:pStyle w:val="20"/>
              <w:tabs>
                <w:tab w:val="left" w:pos="0"/>
                <w:tab w:val="left" w:pos="955"/>
              </w:tabs>
              <w:snapToGrid w:val="0"/>
              <w:spacing w:line="360" w:lineRule="auto"/>
              <w:ind w:left="0" w:leftChars="0" w:firstLine="0" w:firstLineChars="0"/>
              <w:jc w:val="center"/>
              <w:rPr>
                <w:rFonts w:ascii="宋体" w:cs="宋体"/>
                <w:highlight w:val="none"/>
              </w:rPr>
            </w:pPr>
            <w:r>
              <w:rPr>
                <w:rFonts w:hint="eastAsia" w:ascii="宋体" w:hAnsi="宋体" w:cs="宋体"/>
                <w:highlight w:val="none"/>
              </w:rPr>
              <w:t>招标范围</w:t>
            </w:r>
          </w:p>
        </w:tc>
        <w:tc>
          <w:tcPr>
            <w:tcW w:w="6569" w:type="dxa"/>
            <w:vAlign w:val="center"/>
          </w:tcPr>
          <w:p>
            <w:pPr>
              <w:pStyle w:val="111"/>
              <w:snapToGrid w:val="0"/>
              <w:spacing w:line="360" w:lineRule="auto"/>
              <w:jc w:val="left"/>
              <w:rPr>
                <w:rFonts w:ascii="宋体" w:cs="宋体"/>
                <w:color w:val="000000"/>
                <w:spacing w:val="7"/>
                <w:sz w:val="24"/>
                <w:highlight w:val="none"/>
                <w:lang w:eastAsia="zh-CN"/>
              </w:rPr>
            </w:pPr>
            <w:r>
              <w:rPr>
                <w:rFonts w:hint="eastAsia" w:ascii="宋体" w:hAnsi="宋体" w:cs="宋体"/>
                <w:color w:val="000000"/>
                <w:spacing w:val="7"/>
                <w:sz w:val="24"/>
                <w:highlight w:val="none"/>
                <w:lang w:eastAsia="zh-CN"/>
              </w:rPr>
              <w:t>本项目为山东大学第二医院康复数字化管理系统采购项目</w:t>
            </w:r>
            <w:r>
              <w:rPr>
                <w:rFonts w:hint="eastAsia" w:ascii="宋体" w:hAnsi="宋体" w:cs="宋体"/>
                <w:color w:val="000000"/>
                <w:spacing w:val="7"/>
                <w:sz w:val="24"/>
                <w:highlight w:val="none"/>
                <w:lang w:val="en-US" w:eastAsia="zh-CN"/>
              </w:rPr>
              <w:t>，</w:t>
            </w:r>
            <w:r>
              <w:rPr>
                <w:rFonts w:hint="eastAsia" w:ascii="宋体" w:hAnsi="宋体" w:cs="宋体"/>
                <w:color w:val="000000"/>
                <w:spacing w:val="7"/>
                <w:sz w:val="24"/>
                <w:highlight w:val="none"/>
                <w:lang w:eastAsia="zh-CN"/>
              </w:rPr>
              <w:t>具体要求详见招标文件第三部分招标要求。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2" w:hRule="atLeast"/>
          <w:jc w:val="center"/>
        </w:trPr>
        <w:tc>
          <w:tcPr>
            <w:tcW w:w="799" w:type="dxa"/>
            <w:vAlign w:val="center"/>
          </w:tcPr>
          <w:p>
            <w:pPr>
              <w:pStyle w:val="20"/>
              <w:tabs>
                <w:tab w:val="left" w:pos="0"/>
                <w:tab w:val="left" w:pos="955"/>
              </w:tabs>
              <w:snapToGrid w:val="0"/>
              <w:spacing w:line="360" w:lineRule="auto"/>
              <w:ind w:left="0" w:leftChars="0" w:firstLine="0" w:firstLineChars="0"/>
              <w:jc w:val="center"/>
              <w:rPr>
                <w:rFonts w:ascii="宋体" w:cs="宋体"/>
                <w:highlight w:val="none"/>
              </w:rPr>
            </w:pPr>
            <w:r>
              <w:rPr>
                <w:rFonts w:ascii="宋体" w:hAnsi="宋体" w:cs="宋体"/>
                <w:highlight w:val="none"/>
              </w:rPr>
              <w:t>5</w:t>
            </w:r>
          </w:p>
        </w:tc>
        <w:tc>
          <w:tcPr>
            <w:tcW w:w="2432" w:type="dxa"/>
            <w:vAlign w:val="center"/>
          </w:tcPr>
          <w:p>
            <w:pPr>
              <w:pStyle w:val="20"/>
              <w:tabs>
                <w:tab w:val="left" w:pos="0"/>
                <w:tab w:val="left" w:pos="955"/>
              </w:tabs>
              <w:snapToGrid w:val="0"/>
              <w:spacing w:line="360" w:lineRule="auto"/>
              <w:ind w:left="0" w:leftChars="0" w:firstLine="0" w:firstLineChars="0"/>
              <w:jc w:val="center"/>
              <w:rPr>
                <w:rFonts w:ascii="宋体" w:cs="宋体"/>
                <w:highlight w:val="none"/>
              </w:rPr>
            </w:pPr>
            <w:r>
              <w:rPr>
                <w:rFonts w:hint="eastAsia" w:ascii="宋体" w:hAnsi="宋体" w:cs="宋体"/>
                <w:highlight w:val="none"/>
              </w:rPr>
              <w:t>项目预算</w:t>
            </w:r>
          </w:p>
        </w:tc>
        <w:tc>
          <w:tcPr>
            <w:tcW w:w="6569" w:type="dxa"/>
            <w:vAlign w:val="center"/>
          </w:tcPr>
          <w:p>
            <w:pPr>
              <w:pStyle w:val="111"/>
              <w:snapToGrid w:val="0"/>
              <w:spacing w:line="360" w:lineRule="auto"/>
              <w:jc w:val="left"/>
              <w:rPr>
                <w:rFonts w:ascii="宋体" w:hAnsi="宋体" w:cs="宋体"/>
                <w:color w:val="000000"/>
                <w:spacing w:val="7"/>
                <w:sz w:val="24"/>
                <w:highlight w:val="none"/>
                <w:lang w:eastAsia="zh-CN"/>
              </w:rPr>
            </w:pPr>
            <w:r>
              <w:rPr>
                <w:rFonts w:hint="eastAsia" w:ascii="宋体" w:hAnsi="宋体" w:cs="宋体"/>
                <w:color w:val="000000"/>
                <w:spacing w:val="7"/>
                <w:sz w:val="24"/>
                <w:highlight w:val="none"/>
                <w:lang w:eastAsia="zh-CN"/>
              </w:rPr>
              <w:t>预算金额</w:t>
            </w:r>
            <w:r>
              <w:rPr>
                <w:rFonts w:hint="eastAsia" w:ascii="宋体" w:hAnsi="宋体" w:cs="宋体"/>
                <w:color w:val="000000"/>
                <w:spacing w:val="7"/>
                <w:sz w:val="24"/>
                <w:highlight w:val="none"/>
                <w:lang w:val="en-US" w:eastAsia="zh-CN"/>
              </w:rPr>
              <w:t>：75</w:t>
            </w:r>
            <w:r>
              <w:rPr>
                <w:rFonts w:hint="eastAsia" w:ascii="宋体" w:hAnsi="宋体" w:cs="宋体"/>
                <w:color w:val="000000"/>
                <w:spacing w:val="7"/>
                <w:sz w:val="24"/>
                <w:highlight w:val="none"/>
                <w:lang w:eastAsia="zh-CN"/>
              </w:rPr>
              <w:t>万元</w:t>
            </w:r>
          </w:p>
          <w:p>
            <w:pPr>
              <w:pStyle w:val="111"/>
              <w:snapToGrid w:val="0"/>
              <w:spacing w:line="360" w:lineRule="auto"/>
              <w:jc w:val="left"/>
              <w:rPr>
                <w:rFonts w:ascii="宋体" w:cs="宋体"/>
                <w:color w:val="000000"/>
                <w:spacing w:val="7"/>
                <w:sz w:val="24"/>
                <w:highlight w:val="none"/>
                <w:lang w:eastAsia="zh-CN"/>
              </w:rPr>
            </w:pPr>
            <w:r>
              <w:rPr>
                <w:rFonts w:hint="eastAsia" w:ascii="宋体" w:hAnsi="宋体" w:cs="宋体"/>
                <w:color w:val="000000"/>
                <w:spacing w:val="7"/>
                <w:sz w:val="24"/>
                <w:highlight w:val="none"/>
                <w:lang w:eastAsia="zh-CN"/>
              </w:rPr>
              <w:t>投标人的报价不得高于预算，投标人报价高于预算的作无效报价处理。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9" w:hRule="atLeast"/>
          <w:jc w:val="center"/>
        </w:trPr>
        <w:tc>
          <w:tcPr>
            <w:tcW w:w="799" w:type="dxa"/>
            <w:vAlign w:val="center"/>
          </w:tcPr>
          <w:p>
            <w:pPr>
              <w:pStyle w:val="20"/>
              <w:tabs>
                <w:tab w:val="left" w:pos="0"/>
                <w:tab w:val="left" w:pos="955"/>
              </w:tabs>
              <w:snapToGrid w:val="0"/>
              <w:spacing w:line="360" w:lineRule="auto"/>
              <w:ind w:left="0" w:leftChars="0" w:firstLine="0" w:firstLineChars="0"/>
              <w:jc w:val="center"/>
              <w:rPr>
                <w:rFonts w:ascii="宋体" w:cs="宋体"/>
                <w:highlight w:val="none"/>
              </w:rPr>
            </w:pPr>
            <w:r>
              <w:rPr>
                <w:rFonts w:ascii="宋体" w:hAnsi="宋体" w:cs="宋体"/>
                <w:highlight w:val="none"/>
              </w:rPr>
              <w:t>6</w:t>
            </w:r>
          </w:p>
        </w:tc>
        <w:tc>
          <w:tcPr>
            <w:tcW w:w="2432" w:type="dxa"/>
            <w:vAlign w:val="center"/>
          </w:tcPr>
          <w:p>
            <w:pPr>
              <w:pStyle w:val="20"/>
              <w:tabs>
                <w:tab w:val="left" w:pos="0"/>
                <w:tab w:val="left" w:pos="955"/>
              </w:tabs>
              <w:snapToGrid w:val="0"/>
              <w:spacing w:line="360" w:lineRule="auto"/>
              <w:ind w:left="0" w:leftChars="0" w:firstLine="0" w:firstLineChars="0"/>
              <w:jc w:val="center"/>
              <w:rPr>
                <w:rFonts w:ascii="宋体" w:cs="宋体"/>
                <w:highlight w:val="none"/>
              </w:rPr>
            </w:pPr>
            <w:r>
              <w:rPr>
                <w:rFonts w:hint="eastAsia" w:ascii="宋体" w:hAnsi="宋体" w:cs="宋体"/>
                <w:highlight w:val="none"/>
              </w:rPr>
              <w:t>投标人资格要求</w:t>
            </w:r>
          </w:p>
        </w:tc>
        <w:tc>
          <w:tcPr>
            <w:tcW w:w="6569" w:type="dxa"/>
            <w:vAlign w:val="center"/>
          </w:tcPr>
          <w:p>
            <w:pPr>
              <w:pStyle w:val="111"/>
              <w:snapToGrid w:val="0"/>
              <w:spacing w:line="360" w:lineRule="auto"/>
              <w:jc w:val="left"/>
              <w:rPr>
                <w:rFonts w:ascii="宋体" w:hAnsi="宋体" w:cs="宋体"/>
                <w:color w:val="000000"/>
                <w:spacing w:val="7"/>
                <w:sz w:val="24"/>
                <w:highlight w:val="none"/>
                <w:lang w:eastAsia="zh-CN"/>
              </w:rPr>
            </w:pPr>
            <w:r>
              <w:rPr>
                <w:rFonts w:hint="eastAsia" w:ascii="宋体" w:hAnsi="宋体" w:cs="宋体"/>
                <w:color w:val="000000"/>
                <w:spacing w:val="7"/>
                <w:sz w:val="24"/>
                <w:highlight w:val="none"/>
                <w:lang w:val="en-US" w:eastAsia="zh-CN"/>
              </w:rPr>
              <w:t>1、</w:t>
            </w:r>
            <w:r>
              <w:rPr>
                <w:rFonts w:hint="eastAsia" w:ascii="宋体" w:hAnsi="宋体" w:cs="宋体"/>
                <w:color w:val="000000"/>
                <w:spacing w:val="7"/>
                <w:sz w:val="24"/>
                <w:highlight w:val="none"/>
                <w:lang w:eastAsia="zh-CN"/>
              </w:rPr>
              <w:t>符合《中华人民共和国政府采购法》第二十二条规定；</w:t>
            </w:r>
          </w:p>
          <w:p>
            <w:pPr>
              <w:pStyle w:val="111"/>
              <w:snapToGrid w:val="0"/>
              <w:spacing w:line="360" w:lineRule="auto"/>
              <w:jc w:val="left"/>
              <w:rPr>
                <w:rFonts w:ascii="宋体" w:hAnsi="宋体" w:cs="宋体"/>
                <w:color w:val="000000"/>
                <w:spacing w:val="7"/>
                <w:sz w:val="24"/>
                <w:highlight w:val="none"/>
                <w:lang w:eastAsia="zh-CN"/>
              </w:rPr>
            </w:pPr>
            <w:r>
              <w:rPr>
                <w:rFonts w:hint="eastAsia" w:ascii="宋体" w:hAnsi="宋体" w:cs="宋体"/>
                <w:color w:val="000000"/>
                <w:spacing w:val="7"/>
                <w:sz w:val="24"/>
                <w:highlight w:val="none"/>
                <w:lang w:val="en-US" w:eastAsia="zh-CN"/>
              </w:rPr>
              <w:t>2、</w:t>
            </w:r>
            <w:r>
              <w:rPr>
                <w:rFonts w:hint="eastAsia" w:ascii="宋体" w:hAnsi="宋体" w:cs="宋体"/>
                <w:color w:val="000000"/>
                <w:spacing w:val="7"/>
                <w:sz w:val="24"/>
                <w:highlight w:val="none"/>
                <w:lang w:eastAsia="zh-CN"/>
              </w:rPr>
              <w:t>必须为未列入“信用中国”、“中国政府采购网”失信被执行人、重大税收违法案件当事人名单、政府采购严重违法失信名单的企业；</w:t>
            </w:r>
          </w:p>
          <w:p>
            <w:pPr>
              <w:pStyle w:val="111"/>
              <w:snapToGrid w:val="0"/>
              <w:spacing w:line="360" w:lineRule="auto"/>
              <w:jc w:val="left"/>
              <w:rPr>
                <w:rFonts w:ascii="宋体" w:hAnsi="宋体" w:cs="宋体"/>
                <w:color w:val="000000"/>
                <w:spacing w:val="7"/>
                <w:sz w:val="24"/>
                <w:highlight w:val="none"/>
                <w:lang w:eastAsia="zh-CN"/>
              </w:rPr>
            </w:pPr>
            <w:r>
              <w:rPr>
                <w:rFonts w:hint="eastAsia" w:ascii="宋体" w:hAnsi="宋体" w:cs="宋体"/>
                <w:color w:val="000000"/>
                <w:spacing w:val="7"/>
                <w:sz w:val="24"/>
                <w:highlight w:val="none"/>
                <w:lang w:val="en-US" w:eastAsia="zh-CN"/>
              </w:rPr>
              <w:t>3、</w:t>
            </w:r>
            <w:r>
              <w:rPr>
                <w:rFonts w:hint="eastAsia" w:ascii="宋体" w:hAnsi="宋体" w:cs="宋体"/>
                <w:color w:val="000000"/>
                <w:spacing w:val="7"/>
                <w:sz w:val="24"/>
                <w:highlight w:val="none"/>
                <w:lang w:eastAsia="zh-CN"/>
              </w:rPr>
              <w:t>单位负责人为同一人或者存在直接控股、管理关系的不同投标人，不得参加同一合同项下的采购活动；</w:t>
            </w:r>
          </w:p>
          <w:p>
            <w:pPr>
              <w:pStyle w:val="111"/>
              <w:snapToGrid w:val="0"/>
              <w:spacing w:line="360" w:lineRule="auto"/>
              <w:jc w:val="left"/>
              <w:rPr>
                <w:rFonts w:ascii="宋体" w:hAnsi="宋体" w:cs="宋体"/>
                <w:color w:val="000000"/>
                <w:spacing w:val="7"/>
                <w:sz w:val="24"/>
                <w:highlight w:val="none"/>
                <w:lang w:val="en-US" w:eastAsia="zh-CN"/>
              </w:rPr>
            </w:pPr>
            <w:r>
              <w:rPr>
                <w:rFonts w:hint="eastAsia" w:ascii="宋体" w:hAnsi="宋体" w:cs="宋体"/>
                <w:color w:val="000000"/>
                <w:spacing w:val="7"/>
                <w:sz w:val="24"/>
                <w:highlight w:val="none"/>
                <w:lang w:val="en-US" w:eastAsia="zh-CN"/>
              </w:rPr>
              <w:t>4.投标人提供康复数字化平台相关计算机软件著作权证书，若投标人非生产制造厂商，须获得原厂商书面授权，并提供原厂商加盖公章的软件著作权证书</w:t>
            </w:r>
            <w:r>
              <w:rPr>
                <w:rFonts w:hint="eastAsia" w:ascii="宋体" w:hAnsi="宋体" w:cs="宋体"/>
                <w:color w:val="000000"/>
                <w:spacing w:val="7"/>
                <w:sz w:val="24"/>
                <w:highlight w:val="none"/>
                <w:lang w:eastAsia="zh-CN"/>
              </w:rPr>
              <w:t>；</w:t>
            </w:r>
          </w:p>
          <w:p>
            <w:pPr>
              <w:pStyle w:val="111"/>
              <w:snapToGrid w:val="0"/>
              <w:spacing w:line="360" w:lineRule="auto"/>
              <w:jc w:val="left"/>
              <w:rPr>
                <w:rFonts w:ascii="宋体" w:cs="宋体"/>
                <w:color w:val="000000"/>
                <w:spacing w:val="7"/>
                <w:sz w:val="24"/>
                <w:highlight w:val="none"/>
                <w:lang w:eastAsia="zh-CN"/>
              </w:rPr>
            </w:pPr>
            <w:r>
              <w:rPr>
                <w:rFonts w:hint="eastAsia" w:ascii="宋体" w:hAnsi="宋体" w:cs="宋体"/>
                <w:color w:val="000000"/>
                <w:spacing w:val="7"/>
                <w:sz w:val="24"/>
                <w:highlight w:val="none"/>
                <w:lang w:val="en-US" w:eastAsia="zh-CN"/>
              </w:rPr>
              <w:t>5、</w:t>
            </w:r>
            <w:r>
              <w:rPr>
                <w:rFonts w:hint="eastAsia" w:ascii="宋体" w:hAnsi="宋体" w:cs="宋体"/>
                <w:color w:val="000000"/>
                <w:spacing w:val="7"/>
                <w:sz w:val="24"/>
                <w:highlight w:val="none"/>
                <w:lang w:eastAsia="zh-CN"/>
              </w:rPr>
              <w:t>本次采购不接受联合体报价；</w:t>
            </w:r>
          </w:p>
          <w:p>
            <w:pPr>
              <w:pStyle w:val="111"/>
              <w:snapToGrid w:val="0"/>
              <w:spacing w:line="360" w:lineRule="auto"/>
              <w:jc w:val="left"/>
              <w:rPr>
                <w:rFonts w:ascii="宋体" w:cs="宋体"/>
                <w:color w:val="000000"/>
                <w:spacing w:val="7"/>
                <w:sz w:val="24"/>
                <w:highlight w:val="none"/>
                <w:lang w:eastAsia="zh-CN"/>
              </w:rPr>
            </w:pPr>
            <w:r>
              <w:rPr>
                <w:rFonts w:hint="eastAsia" w:ascii="宋体" w:hAnsi="宋体" w:cs="宋体"/>
                <w:color w:val="000000"/>
                <w:spacing w:val="7"/>
                <w:sz w:val="24"/>
                <w:highlight w:val="none"/>
                <w:lang w:val="en-US" w:eastAsia="zh-CN"/>
              </w:rPr>
              <w:t>6、</w:t>
            </w:r>
            <w:r>
              <w:rPr>
                <w:rFonts w:hint="eastAsia" w:ascii="宋体" w:hAnsi="宋体" w:cs="宋体"/>
                <w:color w:val="000000"/>
                <w:spacing w:val="7"/>
                <w:sz w:val="24"/>
                <w:highlight w:val="none"/>
                <w:lang w:eastAsia="zh-CN"/>
              </w:rPr>
              <w:t>未尽事宜，遵照国家相关规定执行。</w:t>
            </w:r>
            <w:r>
              <w:rPr>
                <w:rFonts w:ascii="宋体" w:hAnsi="宋体" w:cs="宋体"/>
                <w:color w:val="000000"/>
                <w:spacing w:val="7"/>
                <w:sz w:val="24"/>
                <w:highlight w:val="none"/>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jc w:val="center"/>
        </w:trPr>
        <w:tc>
          <w:tcPr>
            <w:tcW w:w="799" w:type="dxa"/>
            <w:vAlign w:val="center"/>
          </w:tcPr>
          <w:p>
            <w:pPr>
              <w:pStyle w:val="20"/>
              <w:tabs>
                <w:tab w:val="left" w:pos="0"/>
                <w:tab w:val="left" w:pos="955"/>
              </w:tabs>
              <w:snapToGrid w:val="0"/>
              <w:spacing w:line="360" w:lineRule="auto"/>
              <w:ind w:left="0" w:leftChars="0" w:firstLine="0" w:firstLineChars="0"/>
              <w:jc w:val="center"/>
              <w:rPr>
                <w:rFonts w:ascii="宋体" w:cs="宋体"/>
                <w:highlight w:val="none"/>
              </w:rPr>
            </w:pPr>
            <w:r>
              <w:rPr>
                <w:rFonts w:ascii="宋体" w:hAnsi="宋体" w:cs="宋体"/>
                <w:highlight w:val="none"/>
              </w:rPr>
              <w:t>7</w:t>
            </w:r>
          </w:p>
        </w:tc>
        <w:tc>
          <w:tcPr>
            <w:tcW w:w="2432" w:type="dxa"/>
            <w:vAlign w:val="center"/>
          </w:tcPr>
          <w:p>
            <w:pPr>
              <w:pStyle w:val="20"/>
              <w:tabs>
                <w:tab w:val="left" w:pos="0"/>
                <w:tab w:val="left" w:pos="955"/>
              </w:tabs>
              <w:snapToGrid w:val="0"/>
              <w:spacing w:line="360" w:lineRule="auto"/>
              <w:ind w:left="0" w:leftChars="0" w:firstLine="0" w:firstLineChars="0"/>
              <w:jc w:val="center"/>
              <w:rPr>
                <w:rFonts w:ascii="宋体" w:cs="宋体"/>
                <w:highlight w:val="none"/>
              </w:rPr>
            </w:pPr>
            <w:r>
              <w:rPr>
                <w:rFonts w:hint="eastAsia" w:ascii="宋体" w:hAnsi="宋体" w:cs="宋体"/>
                <w:highlight w:val="none"/>
              </w:rPr>
              <w:t>资格审查方式</w:t>
            </w:r>
          </w:p>
        </w:tc>
        <w:tc>
          <w:tcPr>
            <w:tcW w:w="6569" w:type="dxa"/>
            <w:vAlign w:val="center"/>
          </w:tcPr>
          <w:p>
            <w:pPr>
              <w:pStyle w:val="111"/>
              <w:snapToGrid w:val="0"/>
              <w:spacing w:line="360" w:lineRule="auto"/>
              <w:jc w:val="left"/>
              <w:rPr>
                <w:rFonts w:ascii="宋体" w:cs="宋体"/>
                <w:color w:val="000000"/>
                <w:spacing w:val="7"/>
                <w:sz w:val="24"/>
                <w:highlight w:val="none"/>
                <w:lang w:eastAsia="zh-CN"/>
              </w:rPr>
            </w:pPr>
            <w:r>
              <w:rPr>
                <w:rFonts w:hint="eastAsia" w:ascii="宋体" w:hAnsi="宋体" w:cs="宋体"/>
                <w:color w:val="000000"/>
                <w:spacing w:val="7"/>
                <w:sz w:val="24"/>
                <w:highlight w:val="none"/>
                <w:lang w:eastAsia="zh-CN"/>
              </w:rPr>
              <w:t>资格后审合格制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8" w:hRule="atLeast"/>
          <w:jc w:val="center"/>
        </w:trPr>
        <w:tc>
          <w:tcPr>
            <w:tcW w:w="799" w:type="dxa"/>
            <w:vAlign w:val="center"/>
          </w:tcPr>
          <w:p>
            <w:pPr>
              <w:pStyle w:val="20"/>
              <w:tabs>
                <w:tab w:val="left" w:pos="0"/>
                <w:tab w:val="left" w:pos="955"/>
              </w:tabs>
              <w:snapToGrid w:val="0"/>
              <w:spacing w:line="360" w:lineRule="auto"/>
              <w:ind w:left="0" w:leftChars="0" w:firstLine="0" w:firstLineChars="0"/>
              <w:jc w:val="center"/>
              <w:rPr>
                <w:rFonts w:ascii="宋体" w:cs="宋体"/>
                <w:highlight w:val="none"/>
              </w:rPr>
            </w:pPr>
            <w:r>
              <w:rPr>
                <w:rFonts w:ascii="宋体" w:hAnsi="宋体" w:cs="宋体"/>
                <w:highlight w:val="none"/>
              </w:rPr>
              <w:t>8</w:t>
            </w:r>
          </w:p>
        </w:tc>
        <w:tc>
          <w:tcPr>
            <w:tcW w:w="2432" w:type="dxa"/>
            <w:vAlign w:val="center"/>
          </w:tcPr>
          <w:p>
            <w:pPr>
              <w:pStyle w:val="20"/>
              <w:tabs>
                <w:tab w:val="left" w:pos="0"/>
                <w:tab w:val="left" w:pos="955"/>
              </w:tabs>
              <w:snapToGrid w:val="0"/>
              <w:spacing w:line="360" w:lineRule="auto"/>
              <w:ind w:left="0" w:leftChars="0" w:firstLine="0" w:firstLineChars="0"/>
              <w:jc w:val="center"/>
              <w:rPr>
                <w:rFonts w:ascii="宋体" w:cs="宋体"/>
                <w:highlight w:val="none"/>
              </w:rPr>
            </w:pPr>
            <w:r>
              <w:rPr>
                <w:rFonts w:hint="eastAsia" w:ascii="宋体" w:hAnsi="宋体" w:eastAsia="宋体" w:cs="宋体"/>
                <w:highlight w:val="none"/>
              </w:rPr>
              <w:t>付款方式</w:t>
            </w:r>
          </w:p>
        </w:tc>
        <w:tc>
          <w:tcPr>
            <w:tcW w:w="6569" w:type="dxa"/>
            <w:vAlign w:val="center"/>
          </w:tcPr>
          <w:p>
            <w:pPr>
              <w:pStyle w:val="111"/>
              <w:snapToGrid w:val="0"/>
              <w:spacing w:line="360" w:lineRule="auto"/>
              <w:jc w:val="left"/>
              <w:rPr>
                <w:rFonts w:ascii="宋体" w:cs="宋体"/>
                <w:color w:val="000000"/>
                <w:spacing w:val="7"/>
                <w:sz w:val="24"/>
                <w:highlight w:val="none"/>
                <w:lang w:val="en-US" w:eastAsia="zh-CN"/>
              </w:rPr>
            </w:pPr>
            <w:r>
              <w:rPr>
                <w:rFonts w:hint="eastAsia" w:ascii="宋体" w:hAnsi="宋体" w:eastAsia="宋体" w:cs="宋体"/>
                <w:color w:val="000000"/>
                <w:spacing w:val="7"/>
                <w:sz w:val="24"/>
                <w:highlight w:val="none"/>
                <w:lang w:eastAsia="zh-CN"/>
              </w:rPr>
              <w:t>合同签订且由信息中心确认乙方技术人员入场后，乙方开具正规发票十五个工作日内，支付合同总金额20%；整体系统部署完成且硬件设备到货正常使用通过验收，乙方开具正规发票十五个工作日内，支付合同总金额70%；余款10%乙方履行完成一年免费维保期后付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8" w:hRule="atLeast"/>
          <w:jc w:val="center"/>
        </w:trPr>
        <w:tc>
          <w:tcPr>
            <w:tcW w:w="799" w:type="dxa"/>
            <w:vAlign w:val="center"/>
          </w:tcPr>
          <w:p>
            <w:pPr>
              <w:pStyle w:val="20"/>
              <w:tabs>
                <w:tab w:val="left" w:pos="0"/>
                <w:tab w:val="left" w:pos="955"/>
              </w:tabs>
              <w:snapToGrid w:val="0"/>
              <w:spacing w:line="360" w:lineRule="auto"/>
              <w:ind w:left="0" w:leftChars="0" w:firstLine="0" w:firstLineChars="0"/>
              <w:jc w:val="center"/>
              <w:rPr>
                <w:rFonts w:hint="eastAsia" w:ascii="宋体" w:hAnsi="宋体" w:eastAsia="宋体" w:cs="宋体"/>
                <w:highlight w:val="none"/>
                <w:lang w:val="en-US" w:eastAsia="zh-CN"/>
              </w:rPr>
            </w:pPr>
            <w:r>
              <w:rPr>
                <w:rFonts w:hint="eastAsia" w:ascii="宋体" w:hAnsi="宋体" w:cs="宋体"/>
                <w:highlight w:val="none"/>
                <w:lang w:val="en-US" w:eastAsia="zh-CN"/>
              </w:rPr>
              <w:t>9</w:t>
            </w:r>
          </w:p>
        </w:tc>
        <w:tc>
          <w:tcPr>
            <w:tcW w:w="2432" w:type="dxa"/>
            <w:vAlign w:val="center"/>
          </w:tcPr>
          <w:p>
            <w:pPr>
              <w:pStyle w:val="20"/>
              <w:tabs>
                <w:tab w:val="left" w:pos="0"/>
                <w:tab w:val="left" w:pos="955"/>
              </w:tabs>
              <w:snapToGrid w:val="0"/>
              <w:spacing w:line="360" w:lineRule="auto"/>
              <w:ind w:left="0" w:leftChars="0" w:firstLine="0" w:firstLineChars="0"/>
              <w:jc w:val="center"/>
              <w:rPr>
                <w:rFonts w:hint="eastAsia" w:ascii="宋体" w:hAnsi="宋体" w:eastAsia="宋体" w:cs="宋体"/>
                <w:highlight w:val="none"/>
              </w:rPr>
            </w:pPr>
            <w:r>
              <w:rPr>
                <w:rFonts w:hint="eastAsia" w:ascii="宋体" w:hAnsi="宋体"/>
                <w:bCs/>
                <w:sz w:val="24"/>
                <w:highlight w:val="none"/>
              </w:rPr>
              <w:t>交付期</w:t>
            </w:r>
          </w:p>
        </w:tc>
        <w:tc>
          <w:tcPr>
            <w:tcW w:w="6569" w:type="dxa"/>
            <w:vAlign w:val="center"/>
          </w:tcPr>
          <w:p>
            <w:pPr>
              <w:pStyle w:val="111"/>
              <w:snapToGrid w:val="0"/>
              <w:spacing w:line="360" w:lineRule="auto"/>
              <w:jc w:val="left"/>
              <w:rPr>
                <w:rFonts w:hint="default" w:ascii="宋体" w:hAnsi="宋体" w:eastAsia="宋体" w:cs="宋体"/>
                <w:color w:val="000000"/>
                <w:spacing w:val="7"/>
                <w:sz w:val="24"/>
                <w:highlight w:val="none"/>
                <w:lang w:val="en-US" w:eastAsia="zh-CN"/>
              </w:rPr>
            </w:pPr>
            <w:r>
              <w:rPr>
                <w:rFonts w:hint="eastAsia" w:ascii="宋体" w:hAnsi="宋体" w:eastAsia="宋体" w:cs="宋体"/>
                <w:color w:val="000000"/>
                <w:spacing w:val="7"/>
                <w:sz w:val="24"/>
                <w:highlight w:val="none"/>
                <w:lang w:eastAsia="zh-CN"/>
              </w:rPr>
              <w:t>6个月</w:t>
            </w:r>
            <w:r>
              <w:rPr>
                <w:rFonts w:hint="eastAsia" w:ascii="宋体" w:hAnsi="宋体" w:cs="宋体"/>
                <w:color w:val="000000"/>
                <w:spacing w:val="7"/>
                <w:sz w:val="24"/>
                <w:highlight w:val="none"/>
                <w:lang w:eastAsia="zh-CN"/>
              </w:rPr>
              <w:t>，</w:t>
            </w:r>
            <w:r>
              <w:rPr>
                <w:rFonts w:hint="eastAsia" w:ascii="宋体" w:hAnsi="宋体" w:cs="宋体"/>
                <w:color w:val="000000"/>
                <w:spacing w:val="7"/>
                <w:sz w:val="24"/>
                <w:highlight w:val="none"/>
                <w:lang w:val="en-US" w:eastAsia="zh-CN"/>
              </w:rPr>
              <w:t>可竞报。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8" w:hRule="atLeast"/>
          <w:jc w:val="center"/>
        </w:trPr>
        <w:tc>
          <w:tcPr>
            <w:tcW w:w="799" w:type="dxa"/>
            <w:vAlign w:val="center"/>
          </w:tcPr>
          <w:p>
            <w:pPr>
              <w:pStyle w:val="20"/>
              <w:tabs>
                <w:tab w:val="left" w:pos="0"/>
                <w:tab w:val="left" w:pos="955"/>
              </w:tabs>
              <w:snapToGrid w:val="0"/>
              <w:spacing w:line="360" w:lineRule="auto"/>
              <w:ind w:left="0" w:leftChars="0" w:firstLine="0" w:firstLineChars="0"/>
              <w:jc w:val="center"/>
              <w:rPr>
                <w:rFonts w:hint="eastAsia" w:ascii="宋体" w:hAnsi="宋体" w:eastAsia="宋体" w:cs="宋体"/>
                <w:highlight w:val="none"/>
                <w:lang w:val="en-US" w:eastAsia="zh-CN"/>
              </w:rPr>
            </w:pPr>
            <w:r>
              <w:rPr>
                <w:rFonts w:hint="eastAsia" w:ascii="宋体" w:hAnsi="宋体" w:cs="宋体"/>
                <w:highlight w:val="none"/>
                <w:lang w:val="en-US" w:eastAsia="zh-CN"/>
              </w:rPr>
              <w:t>10</w:t>
            </w:r>
          </w:p>
        </w:tc>
        <w:tc>
          <w:tcPr>
            <w:tcW w:w="2432" w:type="dxa"/>
            <w:vAlign w:val="center"/>
          </w:tcPr>
          <w:p>
            <w:pPr>
              <w:pStyle w:val="20"/>
              <w:tabs>
                <w:tab w:val="left" w:pos="0"/>
                <w:tab w:val="left" w:pos="955"/>
              </w:tabs>
              <w:snapToGrid w:val="0"/>
              <w:spacing w:line="360" w:lineRule="auto"/>
              <w:ind w:left="0" w:leftChars="0" w:firstLine="0" w:firstLineChars="0"/>
              <w:jc w:val="center"/>
              <w:rPr>
                <w:rFonts w:hint="eastAsia" w:ascii="宋体" w:hAnsi="宋体" w:eastAsia="宋体" w:cs="宋体"/>
                <w:highlight w:val="none"/>
              </w:rPr>
            </w:pPr>
            <w:r>
              <w:rPr>
                <w:rFonts w:hint="eastAsia" w:ascii="宋体" w:hAnsi="宋体" w:eastAsia="宋体" w:cs="宋体"/>
                <w:highlight w:val="none"/>
              </w:rPr>
              <w:t>质保期</w:t>
            </w:r>
          </w:p>
        </w:tc>
        <w:tc>
          <w:tcPr>
            <w:tcW w:w="6569" w:type="dxa"/>
            <w:vAlign w:val="center"/>
          </w:tcPr>
          <w:p>
            <w:pPr>
              <w:pStyle w:val="111"/>
              <w:snapToGrid w:val="0"/>
              <w:spacing w:line="360" w:lineRule="auto"/>
              <w:jc w:val="left"/>
              <w:rPr>
                <w:rFonts w:hint="eastAsia" w:ascii="宋体" w:hAnsi="宋体" w:eastAsia="宋体" w:cs="宋体"/>
                <w:color w:val="000000"/>
                <w:spacing w:val="7"/>
                <w:sz w:val="24"/>
                <w:highlight w:val="none"/>
                <w:lang w:eastAsia="zh-CN"/>
              </w:rPr>
            </w:pPr>
            <w:r>
              <w:rPr>
                <w:rFonts w:hint="eastAsia" w:ascii="宋体" w:hAnsi="宋体" w:cs="宋体"/>
                <w:color w:val="000000"/>
                <w:spacing w:val="7"/>
                <w:sz w:val="24"/>
                <w:highlight w:val="none"/>
                <w:lang w:val="en-US" w:eastAsia="zh-CN"/>
              </w:rPr>
              <w:t>不低于</w:t>
            </w:r>
            <w:r>
              <w:rPr>
                <w:rFonts w:hint="eastAsia" w:ascii="宋体" w:hAnsi="宋体" w:eastAsia="宋体" w:cs="宋体"/>
                <w:color w:val="000000"/>
                <w:spacing w:val="7"/>
                <w:sz w:val="24"/>
                <w:highlight w:val="none"/>
                <w:lang w:eastAsia="zh-CN"/>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42" w:hRule="atLeast"/>
          <w:jc w:val="center"/>
        </w:trPr>
        <w:tc>
          <w:tcPr>
            <w:tcW w:w="799" w:type="dxa"/>
            <w:vAlign w:val="center"/>
          </w:tcPr>
          <w:p>
            <w:pPr>
              <w:pStyle w:val="20"/>
              <w:tabs>
                <w:tab w:val="left" w:pos="0"/>
                <w:tab w:val="left" w:pos="955"/>
              </w:tabs>
              <w:snapToGrid w:val="0"/>
              <w:spacing w:line="360" w:lineRule="auto"/>
              <w:ind w:left="0" w:leftChars="0" w:firstLine="0" w:firstLineChars="0"/>
              <w:jc w:val="center"/>
              <w:rPr>
                <w:rFonts w:hint="eastAsia" w:ascii="宋体" w:eastAsia="宋体" w:cs="宋体"/>
                <w:highlight w:val="none"/>
                <w:lang w:val="en-US" w:eastAsia="zh-CN"/>
              </w:rPr>
            </w:pPr>
            <w:r>
              <w:rPr>
                <w:rFonts w:hint="eastAsia" w:ascii="宋体" w:hAnsi="宋体" w:cs="宋体"/>
                <w:highlight w:val="none"/>
                <w:lang w:val="en-US" w:eastAsia="zh-CN"/>
              </w:rPr>
              <w:t>11</w:t>
            </w:r>
          </w:p>
        </w:tc>
        <w:tc>
          <w:tcPr>
            <w:tcW w:w="2432" w:type="dxa"/>
            <w:vAlign w:val="center"/>
          </w:tcPr>
          <w:p>
            <w:pPr>
              <w:pStyle w:val="20"/>
              <w:tabs>
                <w:tab w:val="left" w:pos="0"/>
                <w:tab w:val="left" w:pos="955"/>
              </w:tabs>
              <w:snapToGrid w:val="0"/>
              <w:spacing w:line="360" w:lineRule="auto"/>
              <w:ind w:left="0" w:leftChars="0" w:firstLine="0" w:firstLineChars="0"/>
              <w:jc w:val="center"/>
              <w:rPr>
                <w:rFonts w:ascii="宋体" w:cs="宋体"/>
                <w:highlight w:val="none"/>
              </w:rPr>
            </w:pPr>
            <w:r>
              <w:rPr>
                <w:rFonts w:hint="eastAsia" w:ascii="宋体" w:hAnsi="宋体" w:cs="宋体"/>
                <w:highlight w:val="none"/>
              </w:rPr>
              <w:t>投标文件</w:t>
            </w:r>
          </w:p>
        </w:tc>
        <w:tc>
          <w:tcPr>
            <w:tcW w:w="6569" w:type="dxa"/>
            <w:vAlign w:val="center"/>
          </w:tcPr>
          <w:p>
            <w:pPr>
              <w:pStyle w:val="111"/>
              <w:snapToGrid w:val="0"/>
              <w:spacing w:line="360" w:lineRule="auto"/>
              <w:jc w:val="left"/>
              <w:rPr>
                <w:rFonts w:ascii="宋体" w:cs="宋体"/>
                <w:color w:val="000000"/>
                <w:spacing w:val="7"/>
                <w:sz w:val="24"/>
                <w:highlight w:val="none"/>
                <w:lang w:eastAsia="zh-CN"/>
              </w:rPr>
            </w:pPr>
            <w:r>
              <w:rPr>
                <w:rFonts w:hint="eastAsia" w:ascii="宋体" w:hAnsi="宋体" w:cs="宋体"/>
                <w:color w:val="000000"/>
                <w:spacing w:val="7"/>
                <w:sz w:val="24"/>
                <w:highlight w:val="none"/>
                <w:lang w:eastAsia="zh-CN"/>
              </w:rPr>
              <w:t>投标文件共</w:t>
            </w:r>
            <w:r>
              <w:rPr>
                <w:rFonts w:hint="eastAsia" w:ascii="宋体" w:hAnsi="宋体" w:cs="宋体"/>
                <w:color w:val="000000"/>
                <w:spacing w:val="7"/>
                <w:sz w:val="24"/>
                <w:highlight w:val="none"/>
                <w:lang w:val="en-US" w:eastAsia="zh-CN"/>
              </w:rPr>
              <w:t>5</w:t>
            </w:r>
            <w:r>
              <w:rPr>
                <w:rFonts w:hint="eastAsia" w:ascii="宋体" w:hAnsi="宋体" w:cs="宋体"/>
                <w:color w:val="000000"/>
                <w:spacing w:val="7"/>
                <w:sz w:val="24"/>
                <w:highlight w:val="none"/>
                <w:lang w:eastAsia="zh-CN"/>
              </w:rPr>
              <w:t>份，正本</w:t>
            </w:r>
            <w:r>
              <w:rPr>
                <w:rFonts w:ascii="宋体" w:hAnsi="宋体" w:cs="宋体"/>
                <w:color w:val="000000"/>
                <w:spacing w:val="7"/>
                <w:sz w:val="24"/>
                <w:highlight w:val="none"/>
                <w:lang w:eastAsia="zh-CN"/>
              </w:rPr>
              <w:t>1</w:t>
            </w:r>
            <w:r>
              <w:rPr>
                <w:rFonts w:hint="eastAsia" w:ascii="宋体" w:hAnsi="宋体" w:cs="宋体"/>
                <w:color w:val="000000"/>
                <w:spacing w:val="7"/>
                <w:sz w:val="24"/>
                <w:highlight w:val="none"/>
                <w:lang w:eastAsia="zh-CN"/>
              </w:rPr>
              <w:t>份，副本</w:t>
            </w:r>
            <w:r>
              <w:rPr>
                <w:rFonts w:hint="eastAsia" w:ascii="宋体" w:hAnsi="宋体" w:cs="宋体"/>
                <w:color w:val="000000"/>
                <w:spacing w:val="7"/>
                <w:sz w:val="24"/>
                <w:highlight w:val="none"/>
                <w:lang w:val="en-US" w:eastAsia="zh-CN"/>
              </w:rPr>
              <w:t>4</w:t>
            </w:r>
            <w:r>
              <w:rPr>
                <w:rFonts w:hint="eastAsia" w:ascii="宋体" w:hAnsi="宋体" w:cs="宋体"/>
                <w:color w:val="000000"/>
                <w:spacing w:val="7"/>
                <w:sz w:val="24"/>
                <w:highlight w:val="none"/>
                <w:lang w:eastAsia="zh-CN"/>
              </w:rPr>
              <w:t>份；电子文档</w:t>
            </w:r>
            <w:r>
              <w:rPr>
                <w:rFonts w:hint="eastAsia" w:ascii="宋体" w:hAnsi="宋体" w:cs="宋体"/>
                <w:spacing w:val="7"/>
                <w:sz w:val="24"/>
                <w:highlight w:val="none"/>
                <w:lang w:eastAsia="zh-CN"/>
              </w:rPr>
              <w:t>（</w:t>
            </w:r>
            <w:r>
              <w:rPr>
                <w:rFonts w:hint="eastAsia" w:ascii="宋体" w:hAnsi="宋体" w:cs="宋体"/>
                <w:b/>
                <w:spacing w:val="7"/>
                <w:sz w:val="24"/>
                <w:highlight w:val="none"/>
                <w:lang w:val="en-US" w:eastAsia="zh-CN"/>
              </w:rPr>
              <w:t>U</w:t>
            </w:r>
            <w:r>
              <w:rPr>
                <w:rFonts w:hint="eastAsia" w:ascii="宋体" w:hAnsi="宋体" w:cs="宋体"/>
                <w:b/>
                <w:spacing w:val="7"/>
                <w:sz w:val="24"/>
                <w:highlight w:val="none"/>
                <w:lang w:eastAsia="zh-CN"/>
              </w:rPr>
              <w:t>盘</w:t>
            </w:r>
            <w:r>
              <w:rPr>
                <w:rFonts w:hint="eastAsia" w:ascii="宋体" w:hAnsi="宋体" w:cs="宋体"/>
                <w:spacing w:val="7"/>
                <w:sz w:val="24"/>
                <w:highlight w:val="none"/>
                <w:lang w:eastAsia="zh-CN"/>
              </w:rPr>
              <w:t>）</w:t>
            </w:r>
            <w:r>
              <w:rPr>
                <w:rFonts w:hint="eastAsia" w:ascii="宋体" w:hAnsi="宋体" w:cs="宋体"/>
                <w:color w:val="000000"/>
                <w:spacing w:val="7"/>
                <w:sz w:val="24"/>
                <w:highlight w:val="none"/>
                <w:lang w:eastAsia="zh-CN"/>
              </w:rPr>
              <w:t>投标文件一份，采用</w:t>
            </w:r>
            <w:r>
              <w:rPr>
                <w:rFonts w:ascii="宋体" w:hAnsi="宋体" w:cs="宋体"/>
                <w:color w:val="000000"/>
                <w:spacing w:val="7"/>
                <w:sz w:val="24"/>
                <w:highlight w:val="none"/>
                <w:lang w:val="en-US" w:eastAsia="zh-CN"/>
              </w:rPr>
              <w:t>PDF</w:t>
            </w:r>
            <w:r>
              <w:rPr>
                <w:rFonts w:hint="eastAsia" w:ascii="宋体" w:hAnsi="宋体" w:cs="宋体"/>
                <w:color w:val="000000"/>
                <w:spacing w:val="7"/>
                <w:sz w:val="24"/>
                <w:highlight w:val="none"/>
                <w:lang w:eastAsia="zh-CN"/>
              </w:rPr>
              <w:t>中文版，与纸质投标文件一致。</w:t>
            </w:r>
          </w:p>
          <w:p>
            <w:pPr>
              <w:pStyle w:val="111"/>
              <w:snapToGrid w:val="0"/>
              <w:spacing w:line="360" w:lineRule="auto"/>
              <w:jc w:val="left"/>
              <w:rPr>
                <w:rFonts w:ascii="宋体" w:cs="宋体"/>
                <w:color w:val="000000"/>
                <w:spacing w:val="7"/>
                <w:sz w:val="24"/>
                <w:highlight w:val="none"/>
                <w:lang w:eastAsia="zh-CN"/>
              </w:rPr>
            </w:pPr>
            <w:r>
              <w:rPr>
                <w:rFonts w:hint="eastAsia" w:ascii="宋体" w:hAnsi="宋体" w:cs="宋体"/>
                <w:b/>
                <w:bCs/>
                <w:color w:val="000000"/>
                <w:spacing w:val="7"/>
                <w:sz w:val="24"/>
                <w:highlight w:val="none"/>
                <w:lang w:eastAsia="zh-CN"/>
              </w:rPr>
              <w:t>（装订方式：每册采用胶装方式装订，装订应牢固、不易拆散和换页，不得采用活页装订，投标文件每册不超过4.5厘米，如超过请分册。为节约成本，投标文件封皮请勿使用硬版纸）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42" w:hRule="atLeast"/>
          <w:jc w:val="center"/>
        </w:trPr>
        <w:tc>
          <w:tcPr>
            <w:tcW w:w="799" w:type="dxa"/>
            <w:vAlign w:val="center"/>
          </w:tcPr>
          <w:p>
            <w:pPr>
              <w:pStyle w:val="20"/>
              <w:tabs>
                <w:tab w:val="left" w:pos="0"/>
                <w:tab w:val="left" w:pos="955"/>
              </w:tabs>
              <w:snapToGrid w:val="0"/>
              <w:spacing w:line="360" w:lineRule="auto"/>
              <w:ind w:left="0" w:leftChars="0" w:firstLine="0" w:firstLineChars="0"/>
              <w:jc w:val="center"/>
              <w:rPr>
                <w:rFonts w:hint="eastAsia" w:ascii="宋体" w:eastAsia="宋体" w:cs="宋体"/>
                <w:highlight w:val="none"/>
                <w:lang w:eastAsia="zh-CN"/>
              </w:rPr>
            </w:pPr>
            <w:r>
              <w:rPr>
                <w:rFonts w:ascii="宋体" w:hAnsi="宋体" w:cs="宋体"/>
                <w:highlight w:val="none"/>
              </w:rPr>
              <w:t>1</w:t>
            </w:r>
            <w:r>
              <w:rPr>
                <w:rFonts w:hint="eastAsia" w:ascii="宋体" w:hAnsi="宋体" w:cs="宋体"/>
                <w:highlight w:val="none"/>
                <w:lang w:val="en-US" w:eastAsia="zh-CN"/>
              </w:rPr>
              <w:t>2</w:t>
            </w:r>
          </w:p>
        </w:tc>
        <w:tc>
          <w:tcPr>
            <w:tcW w:w="2432" w:type="dxa"/>
            <w:vAlign w:val="center"/>
          </w:tcPr>
          <w:p>
            <w:pPr>
              <w:pStyle w:val="20"/>
              <w:tabs>
                <w:tab w:val="left" w:pos="0"/>
                <w:tab w:val="left" w:pos="955"/>
              </w:tabs>
              <w:snapToGrid w:val="0"/>
              <w:spacing w:line="360" w:lineRule="auto"/>
              <w:ind w:left="0" w:leftChars="0" w:firstLine="0" w:firstLineChars="0"/>
              <w:jc w:val="center"/>
              <w:rPr>
                <w:rFonts w:ascii="宋体" w:cs="宋体"/>
                <w:highlight w:val="none"/>
              </w:rPr>
            </w:pPr>
            <w:r>
              <w:rPr>
                <w:rFonts w:hint="eastAsia" w:ascii="宋体" w:hAnsi="宋体" w:cs="宋体"/>
                <w:highlight w:val="none"/>
              </w:rPr>
              <w:t>开标一览表</w:t>
            </w:r>
          </w:p>
        </w:tc>
        <w:tc>
          <w:tcPr>
            <w:tcW w:w="6569" w:type="dxa"/>
            <w:vAlign w:val="center"/>
          </w:tcPr>
          <w:p>
            <w:pPr>
              <w:pStyle w:val="111"/>
              <w:snapToGrid w:val="0"/>
              <w:spacing w:line="360" w:lineRule="auto"/>
              <w:jc w:val="left"/>
              <w:rPr>
                <w:rFonts w:ascii="宋体" w:cs="宋体"/>
                <w:color w:val="000000"/>
                <w:spacing w:val="7"/>
                <w:sz w:val="24"/>
                <w:highlight w:val="none"/>
                <w:lang w:eastAsia="zh-CN"/>
              </w:rPr>
            </w:pPr>
            <w:r>
              <w:rPr>
                <w:rFonts w:ascii="宋体" w:hAnsi="宋体" w:cs="宋体"/>
                <w:color w:val="000000"/>
                <w:spacing w:val="7"/>
                <w:sz w:val="24"/>
                <w:highlight w:val="none"/>
                <w:lang w:eastAsia="zh-CN"/>
              </w:rPr>
              <w:t xml:space="preserve">1. </w:t>
            </w:r>
            <w:r>
              <w:rPr>
                <w:rFonts w:hint="eastAsia" w:ascii="宋体" w:hAnsi="宋体" w:cs="宋体"/>
                <w:color w:val="000000"/>
                <w:spacing w:val="7"/>
                <w:sz w:val="24"/>
                <w:highlight w:val="none"/>
                <w:lang w:eastAsia="zh-CN"/>
              </w:rPr>
              <w:t>投标人应将“开标一览表”单独密封，并标明“开标一览表”字样，在报价时单独递交。</w:t>
            </w:r>
          </w:p>
          <w:p>
            <w:pPr>
              <w:pStyle w:val="111"/>
              <w:snapToGrid w:val="0"/>
              <w:spacing w:line="360" w:lineRule="auto"/>
              <w:jc w:val="left"/>
              <w:rPr>
                <w:rFonts w:ascii="宋体" w:cs="宋体"/>
                <w:color w:val="000000"/>
                <w:spacing w:val="7"/>
                <w:sz w:val="24"/>
                <w:highlight w:val="none"/>
                <w:lang w:eastAsia="zh-CN"/>
              </w:rPr>
            </w:pPr>
            <w:r>
              <w:rPr>
                <w:rFonts w:ascii="宋体" w:hAnsi="宋体" w:cs="宋体"/>
                <w:color w:val="000000"/>
                <w:spacing w:val="7"/>
                <w:sz w:val="24"/>
                <w:highlight w:val="none"/>
                <w:lang w:eastAsia="zh-CN"/>
              </w:rPr>
              <w:t xml:space="preserve">2. </w:t>
            </w:r>
            <w:r>
              <w:rPr>
                <w:rFonts w:hint="eastAsia" w:ascii="宋体" w:hAnsi="宋体" w:cs="宋体"/>
                <w:color w:val="000000"/>
                <w:spacing w:val="7"/>
                <w:sz w:val="24"/>
                <w:highlight w:val="none"/>
                <w:lang w:eastAsia="zh-CN"/>
              </w:rPr>
              <w:t>开标一览表应由投标人法定代表人或授权代理人签字和加盖投标人公章，如无法定代表人或授权代理人签字和投标人公章将被判为无效投标。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99" w:type="dxa"/>
            <w:vAlign w:val="center"/>
          </w:tcPr>
          <w:p>
            <w:pPr>
              <w:pStyle w:val="20"/>
              <w:tabs>
                <w:tab w:val="left" w:pos="0"/>
                <w:tab w:val="left" w:pos="955"/>
              </w:tabs>
              <w:snapToGrid w:val="0"/>
              <w:spacing w:line="360" w:lineRule="auto"/>
              <w:ind w:left="0" w:leftChars="0" w:firstLine="0" w:firstLineChars="0"/>
              <w:jc w:val="center"/>
              <w:rPr>
                <w:rFonts w:hint="eastAsia" w:ascii="宋体" w:eastAsia="宋体" w:cs="宋体"/>
                <w:highlight w:val="none"/>
                <w:lang w:eastAsia="zh-CN"/>
              </w:rPr>
            </w:pPr>
            <w:r>
              <w:rPr>
                <w:rFonts w:ascii="宋体" w:hAnsi="宋体" w:cs="宋体"/>
                <w:highlight w:val="none"/>
              </w:rPr>
              <w:t>1</w:t>
            </w:r>
            <w:r>
              <w:rPr>
                <w:rFonts w:hint="eastAsia" w:ascii="宋体" w:hAnsi="宋体" w:cs="宋体"/>
                <w:highlight w:val="none"/>
                <w:lang w:val="en-US" w:eastAsia="zh-CN"/>
              </w:rPr>
              <w:t>3</w:t>
            </w:r>
          </w:p>
        </w:tc>
        <w:tc>
          <w:tcPr>
            <w:tcW w:w="2432" w:type="dxa"/>
            <w:vAlign w:val="center"/>
          </w:tcPr>
          <w:p>
            <w:pPr>
              <w:pStyle w:val="20"/>
              <w:tabs>
                <w:tab w:val="left" w:pos="0"/>
                <w:tab w:val="left" w:pos="955"/>
              </w:tabs>
              <w:snapToGrid w:val="0"/>
              <w:spacing w:line="360" w:lineRule="auto"/>
              <w:ind w:left="0" w:leftChars="0" w:firstLine="0" w:firstLineChars="0"/>
              <w:jc w:val="center"/>
              <w:rPr>
                <w:rFonts w:ascii="宋体" w:cs="宋体"/>
                <w:highlight w:val="none"/>
              </w:rPr>
            </w:pPr>
            <w:r>
              <w:rPr>
                <w:rFonts w:hint="eastAsia" w:ascii="宋体" w:hAnsi="宋体" w:cs="宋体"/>
                <w:highlight w:val="none"/>
              </w:rPr>
              <w:t>密封和标记</w:t>
            </w:r>
          </w:p>
        </w:tc>
        <w:tc>
          <w:tcPr>
            <w:tcW w:w="6569" w:type="dxa"/>
            <w:vAlign w:val="center"/>
          </w:tcPr>
          <w:p>
            <w:pPr>
              <w:pStyle w:val="111"/>
              <w:snapToGrid w:val="0"/>
              <w:spacing w:line="360" w:lineRule="auto"/>
              <w:jc w:val="left"/>
              <w:rPr>
                <w:rFonts w:ascii="宋体" w:cs="宋体"/>
                <w:color w:val="000000"/>
                <w:spacing w:val="7"/>
                <w:sz w:val="24"/>
                <w:highlight w:val="none"/>
                <w:lang w:eastAsia="zh-CN"/>
              </w:rPr>
            </w:pPr>
            <w:r>
              <w:rPr>
                <w:rFonts w:ascii="宋体" w:hAnsi="宋体" w:cs="宋体"/>
                <w:color w:val="000000"/>
                <w:spacing w:val="7"/>
                <w:sz w:val="24"/>
                <w:highlight w:val="none"/>
                <w:lang w:eastAsia="zh-CN"/>
              </w:rPr>
              <w:t xml:space="preserve">1. </w:t>
            </w:r>
            <w:r>
              <w:rPr>
                <w:rFonts w:hint="eastAsia" w:ascii="宋体" w:hAnsi="宋体" w:cs="宋体"/>
                <w:color w:val="000000"/>
                <w:spacing w:val="7"/>
                <w:sz w:val="24"/>
                <w:highlight w:val="none"/>
                <w:lang w:eastAsia="zh-CN"/>
              </w:rPr>
              <w:t>投标人的投标文件和开标一览表必须密封，封口处加盖投标人单位公章。封皮上写明投标人的名称。</w:t>
            </w:r>
          </w:p>
          <w:p>
            <w:pPr>
              <w:pStyle w:val="111"/>
              <w:snapToGrid w:val="0"/>
              <w:spacing w:line="360" w:lineRule="auto"/>
              <w:jc w:val="left"/>
              <w:rPr>
                <w:rFonts w:ascii="宋体" w:cs="宋体"/>
                <w:color w:val="000000"/>
                <w:spacing w:val="7"/>
                <w:sz w:val="24"/>
                <w:highlight w:val="none"/>
                <w:lang w:eastAsia="zh-CN"/>
              </w:rPr>
            </w:pPr>
            <w:r>
              <w:rPr>
                <w:rFonts w:ascii="宋体" w:hAnsi="宋体" w:cs="宋体"/>
                <w:color w:val="000000"/>
                <w:spacing w:val="7"/>
                <w:sz w:val="24"/>
                <w:highlight w:val="none"/>
                <w:lang w:eastAsia="zh-CN"/>
              </w:rPr>
              <w:t xml:space="preserve">2. </w:t>
            </w:r>
            <w:r>
              <w:rPr>
                <w:rFonts w:hint="eastAsia" w:ascii="宋体" w:hAnsi="宋体" w:cs="宋体"/>
                <w:color w:val="000000"/>
                <w:spacing w:val="7"/>
                <w:sz w:val="24"/>
                <w:highlight w:val="none"/>
                <w:lang w:eastAsia="zh-CN"/>
              </w:rPr>
              <w:t>未按要求密封的投标文件和开标一览表不予接收。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99" w:type="dxa"/>
            <w:vAlign w:val="center"/>
          </w:tcPr>
          <w:p>
            <w:pPr>
              <w:pStyle w:val="20"/>
              <w:tabs>
                <w:tab w:val="left" w:pos="0"/>
                <w:tab w:val="left" w:pos="955"/>
              </w:tabs>
              <w:snapToGrid w:val="0"/>
              <w:spacing w:line="360" w:lineRule="auto"/>
              <w:ind w:left="0" w:leftChars="0" w:firstLine="0" w:firstLineChars="0"/>
              <w:jc w:val="center"/>
              <w:rPr>
                <w:rFonts w:hint="eastAsia" w:ascii="宋体" w:eastAsia="宋体" w:cs="宋体"/>
                <w:highlight w:val="none"/>
                <w:lang w:eastAsia="zh-CN"/>
              </w:rPr>
            </w:pPr>
            <w:r>
              <w:rPr>
                <w:rFonts w:ascii="宋体" w:hAnsi="宋体" w:cs="宋体"/>
                <w:highlight w:val="none"/>
              </w:rPr>
              <w:t>1</w:t>
            </w:r>
            <w:r>
              <w:rPr>
                <w:rFonts w:hint="eastAsia" w:ascii="宋体" w:hAnsi="宋体" w:cs="宋体"/>
                <w:highlight w:val="none"/>
                <w:lang w:val="en-US" w:eastAsia="zh-CN"/>
              </w:rPr>
              <w:t>4</w:t>
            </w:r>
          </w:p>
        </w:tc>
        <w:tc>
          <w:tcPr>
            <w:tcW w:w="2432" w:type="dxa"/>
            <w:vAlign w:val="center"/>
          </w:tcPr>
          <w:p>
            <w:pPr>
              <w:snapToGrid w:val="0"/>
              <w:spacing w:line="360" w:lineRule="auto"/>
              <w:jc w:val="center"/>
              <w:rPr>
                <w:rFonts w:ascii="宋体"/>
                <w:sz w:val="24"/>
                <w:highlight w:val="none"/>
              </w:rPr>
            </w:pPr>
            <w:r>
              <w:rPr>
                <w:rFonts w:hint="eastAsia" w:ascii="宋体" w:hAnsi="宋体"/>
                <w:sz w:val="24"/>
                <w:highlight w:val="none"/>
              </w:rPr>
              <w:t>投标人提出问题的</w:t>
            </w:r>
          </w:p>
          <w:p>
            <w:pPr>
              <w:pStyle w:val="20"/>
              <w:tabs>
                <w:tab w:val="left" w:pos="0"/>
                <w:tab w:val="left" w:pos="955"/>
              </w:tabs>
              <w:snapToGrid w:val="0"/>
              <w:spacing w:line="360" w:lineRule="auto"/>
              <w:ind w:left="0" w:leftChars="0" w:firstLine="0" w:firstLineChars="0"/>
              <w:jc w:val="center"/>
              <w:rPr>
                <w:rFonts w:ascii="宋体" w:cs="宋体"/>
                <w:highlight w:val="none"/>
              </w:rPr>
            </w:pPr>
            <w:r>
              <w:rPr>
                <w:rFonts w:hint="eastAsia" w:ascii="宋体" w:hAnsi="宋体"/>
                <w:highlight w:val="none"/>
              </w:rPr>
              <w:t>截止时间</w:t>
            </w:r>
          </w:p>
        </w:tc>
        <w:tc>
          <w:tcPr>
            <w:tcW w:w="6569" w:type="dxa"/>
            <w:vAlign w:val="center"/>
          </w:tcPr>
          <w:p>
            <w:pPr>
              <w:snapToGrid w:val="0"/>
              <w:spacing w:line="360" w:lineRule="auto"/>
              <w:ind w:right="113"/>
              <w:rPr>
                <w:rFonts w:ascii="宋体" w:cs="宋体"/>
                <w:color w:val="000000"/>
                <w:spacing w:val="7"/>
                <w:sz w:val="24"/>
                <w:highlight w:val="none"/>
              </w:rPr>
            </w:pPr>
            <w:r>
              <w:rPr>
                <w:rFonts w:ascii="宋体" w:hAnsi="宋体"/>
                <w:sz w:val="24"/>
                <w:highlight w:val="none"/>
              </w:rPr>
              <w:t>201</w:t>
            </w:r>
            <w:r>
              <w:rPr>
                <w:rFonts w:hint="eastAsia" w:ascii="宋体" w:hAnsi="宋体"/>
                <w:sz w:val="24"/>
                <w:highlight w:val="none"/>
              </w:rPr>
              <w:t>9年</w:t>
            </w:r>
            <w:r>
              <w:rPr>
                <w:rFonts w:hint="eastAsia" w:ascii="宋体" w:hAnsi="宋体"/>
                <w:sz w:val="24"/>
                <w:highlight w:val="none"/>
                <w:lang w:val="en-US" w:eastAsia="zh-CN"/>
              </w:rPr>
              <w:t>10</w:t>
            </w:r>
            <w:r>
              <w:rPr>
                <w:rFonts w:hint="eastAsia" w:ascii="宋体" w:hAnsi="宋体"/>
                <w:sz w:val="24"/>
                <w:highlight w:val="none"/>
              </w:rPr>
              <w:t>月</w:t>
            </w:r>
            <w:r>
              <w:rPr>
                <w:rFonts w:hint="eastAsia" w:ascii="宋体" w:hAnsi="宋体"/>
                <w:sz w:val="24"/>
                <w:highlight w:val="none"/>
                <w:lang w:val="en-US" w:eastAsia="zh-CN"/>
              </w:rPr>
              <w:t>15</w:t>
            </w:r>
            <w:r>
              <w:rPr>
                <w:rFonts w:hint="eastAsia" w:ascii="宋体" w:hAnsi="宋体"/>
                <w:sz w:val="24"/>
                <w:highlight w:val="none"/>
              </w:rPr>
              <w:t>日17时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8" w:hRule="atLeast"/>
          <w:jc w:val="center"/>
        </w:trPr>
        <w:tc>
          <w:tcPr>
            <w:tcW w:w="799" w:type="dxa"/>
            <w:vAlign w:val="center"/>
          </w:tcPr>
          <w:p>
            <w:pPr>
              <w:pStyle w:val="20"/>
              <w:tabs>
                <w:tab w:val="left" w:pos="0"/>
                <w:tab w:val="left" w:pos="955"/>
              </w:tabs>
              <w:snapToGrid w:val="0"/>
              <w:spacing w:line="360" w:lineRule="auto"/>
              <w:ind w:left="0" w:leftChars="0" w:firstLine="0" w:firstLineChars="0"/>
              <w:jc w:val="center"/>
              <w:rPr>
                <w:rFonts w:hint="eastAsia" w:ascii="宋体" w:eastAsia="宋体" w:cs="宋体"/>
                <w:highlight w:val="none"/>
                <w:lang w:eastAsia="zh-CN"/>
              </w:rPr>
            </w:pPr>
            <w:r>
              <w:rPr>
                <w:rFonts w:ascii="宋体" w:hAnsi="宋体" w:cs="宋体"/>
                <w:highlight w:val="none"/>
              </w:rPr>
              <w:t>1</w:t>
            </w:r>
            <w:r>
              <w:rPr>
                <w:rFonts w:hint="eastAsia" w:ascii="宋体" w:hAnsi="宋体" w:cs="宋体"/>
                <w:highlight w:val="none"/>
                <w:lang w:val="en-US" w:eastAsia="zh-CN"/>
              </w:rPr>
              <w:t>5</w:t>
            </w:r>
          </w:p>
        </w:tc>
        <w:tc>
          <w:tcPr>
            <w:tcW w:w="2432" w:type="dxa"/>
            <w:vAlign w:val="center"/>
          </w:tcPr>
          <w:p>
            <w:pPr>
              <w:snapToGrid w:val="0"/>
              <w:spacing w:line="360" w:lineRule="auto"/>
              <w:jc w:val="center"/>
              <w:rPr>
                <w:rFonts w:ascii="宋体"/>
                <w:sz w:val="24"/>
                <w:highlight w:val="none"/>
              </w:rPr>
            </w:pPr>
            <w:r>
              <w:rPr>
                <w:rFonts w:hint="eastAsia" w:ascii="宋体" w:hAnsi="宋体"/>
                <w:sz w:val="24"/>
                <w:highlight w:val="none"/>
              </w:rPr>
              <w:t>投标人要求澄清</w:t>
            </w:r>
          </w:p>
          <w:p>
            <w:pPr>
              <w:snapToGrid w:val="0"/>
              <w:spacing w:line="360" w:lineRule="auto"/>
              <w:jc w:val="center"/>
              <w:rPr>
                <w:rFonts w:ascii="宋体"/>
                <w:sz w:val="24"/>
                <w:highlight w:val="none"/>
              </w:rPr>
            </w:pPr>
            <w:r>
              <w:rPr>
                <w:rFonts w:hint="eastAsia" w:ascii="宋体" w:hAnsi="宋体"/>
                <w:sz w:val="24"/>
                <w:highlight w:val="none"/>
              </w:rPr>
              <w:t>招标文件的截止时间</w:t>
            </w:r>
          </w:p>
        </w:tc>
        <w:tc>
          <w:tcPr>
            <w:tcW w:w="6569" w:type="dxa"/>
            <w:vAlign w:val="center"/>
          </w:tcPr>
          <w:p>
            <w:pPr>
              <w:snapToGrid w:val="0"/>
              <w:spacing w:line="360" w:lineRule="auto"/>
              <w:rPr>
                <w:rFonts w:ascii="宋体"/>
                <w:sz w:val="24"/>
                <w:highlight w:val="none"/>
              </w:rPr>
            </w:pPr>
            <w:r>
              <w:rPr>
                <w:rFonts w:ascii="宋体" w:hAnsi="宋体"/>
                <w:sz w:val="24"/>
                <w:highlight w:val="none"/>
              </w:rPr>
              <w:t>201</w:t>
            </w:r>
            <w:r>
              <w:rPr>
                <w:rFonts w:hint="eastAsia" w:ascii="宋体" w:hAnsi="宋体"/>
                <w:sz w:val="24"/>
                <w:highlight w:val="none"/>
              </w:rPr>
              <w:t>9年</w:t>
            </w:r>
            <w:r>
              <w:rPr>
                <w:rFonts w:hint="eastAsia" w:ascii="宋体" w:hAnsi="宋体"/>
                <w:sz w:val="24"/>
                <w:highlight w:val="none"/>
                <w:lang w:val="en-US" w:eastAsia="zh-CN"/>
              </w:rPr>
              <w:t>10</w:t>
            </w:r>
            <w:r>
              <w:rPr>
                <w:rFonts w:hint="eastAsia" w:ascii="宋体" w:hAnsi="宋体"/>
                <w:sz w:val="24"/>
                <w:highlight w:val="none"/>
              </w:rPr>
              <w:t>月</w:t>
            </w:r>
            <w:r>
              <w:rPr>
                <w:rFonts w:hint="eastAsia" w:ascii="宋体" w:hAnsi="宋体"/>
                <w:sz w:val="24"/>
                <w:highlight w:val="none"/>
                <w:lang w:val="en-US" w:eastAsia="zh-CN"/>
              </w:rPr>
              <w:t>16</w:t>
            </w:r>
            <w:r>
              <w:rPr>
                <w:rFonts w:hint="eastAsia" w:ascii="宋体" w:hAnsi="宋体"/>
                <w:sz w:val="24"/>
                <w:highlight w:val="none"/>
              </w:rPr>
              <w:t>日</w:t>
            </w:r>
            <w:r>
              <w:rPr>
                <w:rFonts w:ascii="宋体" w:hAnsi="宋体"/>
                <w:sz w:val="24"/>
                <w:highlight w:val="none"/>
              </w:rPr>
              <w:t>1</w:t>
            </w:r>
            <w:r>
              <w:rPr>
                <w:rFonts w:hint="eastAsia" w:ascii="宋体" w:hAnsi="宋体"/>
                <w:sz w:val="24"/>
                <w:highlight w:val="none"/>
              </w:rPr>
              <w:t>7时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3" w:hRule="atLeast"/>
          <w:jc w:val="center"/>
        </w:trPr>
        <w:tc>
          <w:tcPr>
            <w:tcW w:w="799" w:type="dxa"/>
            <w:vAlign w:val="center"/>
          </w:tcPr>
          <w:p>
            <w:pPr>
              <w:pStyle w:val="20"/>
              <w:tabs>
                <w:tab w:val="left" w:pos="0"/>
                <w:tab w:val="left" w:pos="955"/>
              </w:tabs>
              <w:snapToGrid w:val="0"/>
              <w:spacing w:line="360" w:lineRule="auto"/>
              <w:ind w:left="0" w:leftChars="0" w:firstLine="0" w:firstLineChars="0"/>
              <w:jc w:val="center"/>
              <w:rPr>
                <w:rFonts w:hint="eastAsia" w:ascii="宋体" w:eastAsia="宋体" w:cs="宋体"/>
                <w:highlight w:val="none"/>
                <w:lang w:eastAsia="zh-CN"/>
              </w:rPr>
            </w:pPr>
            <w:r>
              <w:rPr>
                <w:rFonts w:ascii="宋体" w:hAnsi="宋体" w:cs="宋体"/>
                <w:highlight w:val="none"/>
              </w:rPr>
              <w:t>1</w:t>
            </w:r>
            <w:r>
              <w:rPr>
                <w:rFonts w:hint="eastAsia" w:ascii="宋体" w:hAnsi="宋体" w:cs="宋体"/>
                <w:highlight w:val="none"/>
                <w:lang w:val="en-US" w:eastAsia="zh-CN"/>
              </w:rPr>
              <w:t>6</w:t>
            </w:r>
          </w:p>
        </w:tc>
        <w:tc>
          <w:tcPr>
            <w:tcW w:w="2432" w:type="dxa"/>
            <w:vAlign w:val="center"/>
          </w:tcPr>
          <w:p>
            <w:pPr>
              <w:snapToGrid w:val="0"/>
              <w:spacing w:line="360" w:lineRule="auto"/>
              <w:jc w:val="center"/>
              <w:rPr>
                <w:rFonts w:hint="eastAsia" w:ascii="宋体" w:hAnsi="宋体"/>
                <w:sz w:val="24"/>
                <w:highlight w:val="none"/>
              </w:rPr>
            </w:pPr>
            <w:r>
              <w:rPr>
                <w:rFonts w:hint="eastAsia" w:ascii="宋体" w:hAnsi="宋体"/>
                <w:sz w:val="24"/>
                <w:highlight w:val="none"/>
              </w:rPr>
              <w:t>招标人书面澄清</w:t>
            </w:r>
          </w:p>
          <w:p>
            <w:pPr>
              <w:snapToGrid w:val="0"/>
              <w:spacing w:line="360" w:lineRule="auto"/>
              <w:jc w:val="center"/>
              <w:rPr>
                <w:rFonts w:ascii="宋体"/>
                <w:sz w:val="24"/>
                <w:highlight w:val="none"/>
              </w:rPr>
            </w:pPr>
            <w:r>
              <w:rPr>
                <w:rFonts w:hint="eastAsia" w:ascii="宋体" w:hAnsi="宋体"/>
                <w:sz w:val="24"/>
                <w:highlight w:val="none"/>
              </w:rPr>
              <w:t>的时间</w:t>
            </w:r>
          </w:p>
        </w:tc>
        <w:tc>
          <w:tcPr>
            <w:tcW w:w="6569" w:type="dxa"/>
            <w:vAlign w:val="center"/>
          </w:tcPr>
          <w:p>
            <w:pPr>
              <w:snapToGrid w:val="0"/>
              <w:spacing w:line="360" w:lineRule="auto"/>
              <w:rPr>
                <w:rFonts w:ascii="宋体" w:cs="宋体"/>
                <w:color w:val="000000"/>
                <w:spacing w:val="7"/>
                <w:sz w:val="24"/>
                <w:highlight w:val="none"/>
              </w:rPr>
            </w:pPr>
            <w:r>
              <w:rPr>
                <w:rFonts w:ascii="宋体" w:hAnsi="宋体"/>
                <w:sz w:val="24"/>
                <w:highlight w:val="none"/>
              </w:rPr>
              <w:t>2</w:t>
            </w:r>
            <w:r>
              <w:rPr>
                <w:rFonts w:hint="eastAsia" w:ascii="宋体" w:hAnsi="宋体"/>
                <w:sz w:val="24"/>
                <w:highlight w:val="none"/>
              </w:rPr>
              <w:t>019年</w:t>
            </w:r>
            <w:r>
              <w:rPr>
                <w:rFonts w:hint="eastAsia" w:ascii="宋体" w:hAnsi="宋体"/>
                <w:sz w:val="24"/>
                <w:highlight w:val="none"/>
                <w:lang w:val="en-US" w:eastAsia="zh-CN"/>
              </w:rPr>
              <w:t>10</w:t>
            </w:r>
            <w:r>
              <w:rPr>
                <w:rFonts w:hint="eastAsia" w:ascii="宋体" w:hAnsi="宋体"/>
                <w:sz w:val="24"/>
                <w:highlight w:val="none"/>
              </w:rPr>
              <w:t>月</w:t>
            </w:r>
            <w:r>
              <w:rPr>
                <w:rFonts w:hint="eastAsia" w:ascii="宋体" w:hAnsi="宋体"/>
                <w:sz w:val="24"/>
                <w:highlight w:val="none"/>
                <w:lang w:val="en-US" w:eastAsia="zh-CN"/>
              </w:rPr>
              <w:t>16</w:t>
            </w:r>
            <w:r>
              <w:rPr>
                <w:rFonts w:hint="eastAsia" w:ascii="宋体" w:hAnsi="宋体"/>
                <w:sz w:val="24"/>
                <w:highlight w:val="none"/>
              </w:rPr>
              <w:t>日17时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1" w:hRule="atLeast"/>
          <w:jc w:val="center"/>
        </w:trPr>
        <w:tc>
          <w:tcPr>
            <w:tcW w:w="799" w:type="dxa"/>
            <w:vAlign w:val="center"/>
          </w:tcPr>
          <w:p>
            <w:pPr>
              <w:pStyle w:val="20"/>
              <w:tabs>
                <w:tab w:val="left" w:pos="0"/>
                <w:tab w:val="left" w:pos="955"/>
              </w:tabs>
              <w:snapToGrid w:val="0"/>
              <w:spacing w:line="360" w:lineRule="auto"/>
              <w:ind w:left="0" w:leftChars="0" w:firstLine="0" w:firstLineChars="0"/>
              <w:jc w:val="center"/>
              <w:rPr>
                <w:rFonts w:hint="eastAsia" w:ascii="宋体" w:eastAsia="宋体" w:cs="宋体"/>
                <w:highlight w:val="none"/>
                <w:lang w:eastAsia="zh-CN"/>
              </w:rPr>
            </w:pPr>
            <w:r>
              <w:rPr>
                <w:rFonts w:ascii="宋体" w:hAnsi="宋体" w:cs="宋体"/>
                <w:highlight w:val="none"/>
              </w:rPr>
              <w:t>1</w:t>
            </w:r>
            <w:r>
              <w:rPr>
                <w:rFonts w:hint="eastAsia" w:ascii="宋体" w:hAnsi="宋体" w:cs="宋体"/>
                <w:highlight w:val="none"/>
                <w:lang w:val="en-US" w:eastAsia="zh-CN"/>
              </w:rPr>
              <w:t>7</w:t>
            </w:r>
          </w:p>
        </w:tc>
        <w:tc>
          <w:tcPr>
            <w:tcW w:w="2432" w:type="dxa"/>
            <w:vAlign w:val="center"/>
          </w:tcPr>
          <w:p>
            <w:pPr>
              <w:pStyle w:val="20"/>
              <w:tabs>
                <w:tab w:val="left" w:pos="0"/>
                <w:tab w:val="left" w:pos="955"/>
              </w:tabs>
              <w:snapToGrid w:val="0"/>
              <w:spacing w:line="360" w:lineRule="auto"/>
              <w:ind w:left="0" w:leftChars="0" w:firstLine="0" w:firstLineChars="0"/>
              <w:jc w:val="center"/>
              <w:rPr>
                <w:rFonts w:ascii="宋体" w:cs="宋体"/>
                <w:highlight w:val="none"/>
              </w:rPr>
            </w:pPr>
            <w:r>
              <w:rPr>
                <w:rFonts w:hint="eastAsia" w:ascii="宋体" w:hAnsi="宋体" w:cs="宋体"/>
                <w:highlight w:val="none"/>
              </w:rPr>
              <w:t>投标有效期</w:t>
            </w:r>
          </w:p>
        </w:tc>
        <w:tc>
          <w:tcPr>
            <w:tcW w:w="6569" w:type="dxa"/>
            <w:vAlign w:val="center"/>
          </w:tcPr>
          <w:p>
            <w:pPr>
              <w:pStyle w:val="111"/>
              <w:snapToGrid w:val="0"/>
              <w:spacing w:line="360" w:lineRule="auto"/>
              <w:jc w:val="left"/>
              <w:rPr>
                <w:rFonts w:ascii="宋体" w:cs="宋体"/>
                <w:color w:val="000000"/>
                <w:spacing w:val="7"/>
                <w:sz w:val="24"/>
                <w:highlight w:val="none"/>
                <w:lang w:eastAsia="zh-CN"/>
              </w:rPr>
            </w:pPr>
            <w:r>
              <w:rPr>
                <w:rFonts w:ascii="宋体" w:hAnsi="宋体" w:cs="宋体"/>
                <w:color w:val="000000"/>
                <w:spacing w:val="7"/>
                <w:sz w:val="24"/>
                <w:highlight w:val="none"/>
                <w:lang w:eastAsia="zh-CN"/>
              </w:rPr>
              <w:t>90</w:t>
            </w:r>
            <w:r>
              <w:rPr>
                <w:rFonts w:hint="eastAsia" w:ascii="宋体" w:hAnsi="宋体" w:cs="宋体"/>
                <w:color w:val="000000"/>
                <w:spacing w:val="7"/>
                <w:sz w:val="24"/>
                <w:highlight w:val="none"/>
                <w:lang w:eastAsia="zh-CN"/>
              </w:rPr>
              <w:t>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jc w:val="center"/>
        </w:trPr>
        <w:tc>
          <w:tcPr>
            <w:tcW w:w="799" w:type="dxa"/>
            <w:vAlign w:val="center"/>
          </w:tcPr>
          <w:p>
            <w:pPr>
              <w:pStyle w:val="20"/>
              <w:tabs>
                <w:tab w:val="left" w:pos="0"/>
                <w:tab w:val="left" w:pos="955"/>
              </w:tabs>
              <w:snapToGrid w:val="0"/>
              <w:spacing w:line="360" w:lineRule="auto"/>
              <w:ind w:left="0" w:leftChars="0" w:firstLine="0" w:firstLineChars="0"/>
              <w:jc w:val="center"/>
              <w:rPr>
                <w:rFonts w:hint="eastAsia" w:ascii="宋体" w:eastAsia="宋体" w:cs="宋体"/>
                <w:highlight w:val="none"/>
                <w:lang w:eastAsia="zh-CN"/>
              </w:rPr>
            </w:pPr>
            <w:r>
              <w:rPr>
                <w:rFonts w:ascii="宋体" w:hAnsi="宋体" w:cs="宋体"/>
                <w:highlight w:val="none"/>
              </w:rPr>
              <w:t>1</w:t>
            </w:r>
            <w:r>
              <w:rPr>
                <w:rFonts w:hint="eastAsia" w:ascii="宋体" w:hAnsi="宋体" w:cs="宋体"/>
                <w:highlight w:val="none"/>
                <w:lang w:val="en-US" w:eastAsia="zh-CN"/>
              </w:rPr>
              <w:t>8</w:t>
            </w:r>
          </w:p>
        </w:tc>
        <w:tc>
          <w:tcPr>
            <w:tcW w:w="2432" w:type="dxa"/>
            <w:vAlign w:val="center"/>
          </w:tcPr>
          <w:p>
            <w:pPr>
              <w:pStyle w:val="20"/>
              <w:tabs>
                <w:tab w:val="left" w:pos="0"/>
                <w:tab w:val="left" w:pos="955"/>
              </w:tabs>
              <w:snapToGrid w:val="0"/>
              <w:spacing w:line="360" w:lineRule="auto"/>
              <w:ind w:left="0" w:leftChars="0" w:firstLine="0" w:firstLineChars="0"/>
              <w:jc w:val="center"/>
              <w:rPr>
                <w:rFonts w:ascii="宋体" w:cs="宋体"/>
                <w:highlight w:val="none"/>
              </w:rPr>
            </w:pPr>
            <w:r>
              <w:rPr>
                <w:rFonts w:hint="eastAsia" w:ascii="宋体" w:hAnsi="宋体" w:cs="宋体"/>
                <w:highlight w:val="none"/>
              </w:rPr>
              <w:t>投标保证金交纳</w:t>
            </w:r>
          </w:p>
        </w:tc>
        <w:tc>
          <w:tcPr>
            <w:tcW w:w="6569" w:type="dxa"/>
            <w:vAlign w:val="center"/>
          </w:tcPr>
          <w:p>
            <w:pPr>
              <w:pStyle w:val="111"/>
              <w:snapToGrid w:val="0"/>
              <w:spacing w:line="360" w:lineRule="auto"/>
              <w:jc w:val="left"/>
              <w:rPr>
                <w:rFonts w:ascii="宋体" w:hAnsi="宋体" w:cs="宋体"/>
                <w:b/>
                <w:bCs/>
                <w:color w:val="000000"/>
                <w:spacing w:val="7"/>
                <w:sz w:val="24"/>
                <w:highlight w:val="none"/>
                <w:lang w:val="en-US" w:eastAsia="zh-CN"/>
              </w:rPr>
            </w:pPr>
            <w:r>
              <w:rPr>
                <w:rFonts w:hint="eastAsia" w:ascii="宋体" w:hAnsi="宋体" w:cs="宋体"/>
                <w:color w:val="000000"/>
                <w:spacing w:val="7"/>
                <w:sz w:val="24"/>
                <w:highlight w:val="none"/>
                <w:lang w:val="en-US" w:eastAsia="zh-CN"/>
              </w:rPr>
              <w:t>1、</w:t>
            </w:r>
            <w:r>
              <w:rPr>
                <w:rFonts w:hint="eastAsia" w:ascii="宋体" w:hAnsi="宋体" w:cs="宋体"/>
                <w:color w:val="000000"/>
                <w:spacing w:val="7"/>
                <w:sz w:val="24"/>
                <w:highlight w:val="none"/>
                <w:lang w:eastAsia="zh-CN"/>
              </w:rPr>
              <w:t>投标保证金的金额：</w:t>
            </w:r>
            <w:r>
              <w:rPr>
                <w:rFonts w:hint="eastAsia" w:ascii="宋体" w:hAnsi="宋体" w:cs="宋体"/>
                <w:b/>
                <w:bCs/>
                <w:color w:val="000000"/>
                <w:spacing w:val="7"/>
                <w:sz w:val="24"/>
                <w:highlight w:val="none"/>
                <w:lang w:val="en-US" w:eastAsia="zh-CN"/>
              </w:rPr>
              <w:t>12000元； 大写：</w:t>
            </w:r>
            <w:r>
              <w:rPr>
                <w:rFonts w:hint="eastAsia" w:ascii="宋体" w:hAnsi="宋体" w:cs="宋体"/>
                <w:b/>
                <w:bCs/>
                <w:color w:val="000000"/>
                <w:spacing w:val="7"/>
                <w:sz w:val="24"/>
                <w:highlight w:val="none"/>
                <w:lang w:val="en-US" w:eastAsia="zh-CN"/>
              </w:rPr>
              <w:fldChar w:fldCharType="begin"/>
            </w:r>
            <w:r>
              <w:rPr>
                <w:rFonts w:hint="eastAsia" w:ascii="宋体" w:hAnsi="宋体" w:cs="宋体"/>
                <w:b/>
                <w:bCs/>
                <w:color w:val="000000"/>
                <w:spacing w:val="7"/>
                <w:sz w:val="24"/>
                <w:highlight w:val="none"/>
                <w:lang w:val="en-US" w:eastAsia="zh-CN"/>
              </w:rPr>
              <w:instrText xml:space="preserve"> = 15000 \* CHINESENUM2 \* MERGEFORMAT </w:instrText>
            </w:r>
            <w:r>
              <w:rPr>
                <w:rFonts w:hint="eastAsia" w:ascii="宋体" w:hAnsi="宋体" w:cs="宋体"/>
                <w:b/>
                <w:bCs/>
                <w:color w:val="000000"/>
                <w:spacing w:val="7"/>
                <w:sz w:val="24"/>
                <w:highlight w:val="none"/>
                <w:lang w:val="en-US" w:eastAsia="zh-CN"/>
              </w:rPr>
              <w:fldChar w:fldCharType="separate"/>
            </w:r>
            <w:r>
              <w:rPr>
                <w:rFonts w:hint="eastAsia" w:ascii="宋体" w:hAnsi="宋体" w:cs="宋体"/>
                <w:b/>
                <w:bCs/>
                <w:color w:val="000000"/>
                <w:spacing w:val="7"/>
                <w:sz w:val="24"/>
                <w:highlight w:val="none"/>
                <w:lang w:val="en-US" w:eastAsia="zh-CN"/>
              </w:rPr>
              <w:t>壹万贰仟</w:t>
            </w:r>
            <w:r>
              <w:rPr>
                <w:rFonts w:hint="eastAsia" w:ascii="宋体" w:hAnsi="宋体" w:cs="宋体"/>
                <w:b/>
                <w:bCs/>
                <w:color w:val="000000"/>
                <w:spacing w:val="7"/>
                <w:sz w:val="24"/>
                <w:highlight w:val="none"/>
                <w:lang w:val="en-US" w:eastAsia="zh-CN"/>
              </w:rPr>
              <w:fldChar w:fldCharType="end"/>
            </w:r>
            <w:r>
              <w:rPr>
                <w:rFonts w:hint="eastAsia" w:ascii="宋体" w:hAnsi="宋体" w:cs="宋体"/>
                <w:b/>
                <w:bCs/>
                <w:color w:val="000000"/>
                <w:spacing w:val="7"/>
                <w:sz w:val="24"/>
                <w:highlight w:val="none"/>
                <w:lang w:val="en-US" w:eastAsia="zh-CN"/>
              </w:rPr>
              <w:t>元整。</w:t>
            </w:r>
          </w:p>
          <w:p>
            <w:pPr>
              <w:pStyle w:val="111"/>
              <w:snapToGrid w:val="0"/>
              <w:spacing w:line="360" w:lineRule="auto"/>
              <w:jc w:val="left"/>
              <w:rPr>
                <w:rFonts w:ascii="宋体" w:cs="宋体"/>
                <w:color w:val="000000"/>
                <w:spacing w:val="7"/>
                <w:sz w:val="24"/>
                <w:highlight w:val="none"/>
                <w:lang w:eastAsia="zh-CN"/>
              </w:rPr>
            </w:pPr>
            <w:r>
              <w:rPr>
                <w:rFonts w:ascii="宋体" w:hAnsi="宋体" w:cs="宋体"/>
                <w:color w:val="000000"/>
                <w:spacing w:val="7"/>
                <w:sz w:val="24"/>
                <w:highlight w:val="none"/>
                <w:lang w:eastAsia="zh-CN"/>
              </w:rPr>
              <w:t>2</w:t>
            </w:r>
            <w:r>
              <w:rPr>
                <w:rFonts w:hint="eastAsia" w:ascii="宋体" w:hAnsi="宋体" w:cs="宋体"/>
                <w:color w:val="000000"/>
                <w:spacing w:val="7"/>
                <w:sz w:val="24"/>
                <w:highlight w:val="none"/>
                <w:lang w:eastAsia="zh-CN"/>
              </w:rPr>
              <w:t>、递交方式：电汇（电汇时需备注：招标八部</w:t>
            </w:r>
            <w:r>
              <w:rPr>
                <w:rFonts w:hint="eastAsia" w:ascii="宋体" w:hAnsi="宋体" w:cs="宋体"/>
                <w:color w:val="000000"/>
                <w:spacing w:val="7"/>
                <w:sz w:val="24"/>
                <w:highlight w:val="none"/>
                <w:lang w:val="en-US" w:eastAsia="zh-CN"/>
              </w:rPr>
              <w:t>-康复系统</w:t>
            </w:r>
            <w:r>
              <w:rPr>
                <w:rFonts w:hint="eastAsia" w:ascii="宋体" w:hAnsi="宋体" w:cs="宋体"/>
                <w:color w:val="000000"/>
                <w:spacing w:val="7"/>
                <w:sz w:val="24"/>
                <w:highlight w:val="none"/>
                <w:lang w:eastAsia="zh-CN"/>
              </w:rPr>
              <w:t>）</w:t>
            </w:r>
          </w:p>
          <w:p>
            <w:pPr>
              <w:pStyle w:val="111"/>
              <w:snapToGrid w:val="0"/>
              <w:spacing w:line="360" w:lineRule="auto"/>
              <w:jc w:val="left"/>
              <w:rPr>
                <w:rFonts w:ascii="宋体" w:cs="宋体"/>
                <w:color w:val="000000"/>
                <w:spacing w:val="7"/>
                <w:sz w:val="24"/>
                <w:highlight w:val="none"/>
                <w:lang w:eastAsia="zh-CN"/>
              </w:rPr>
            </w:pPr>
            <w:r>
              <w:rPr>
                <w:rFonts w:ascii="宋体" w:hAnsi="宋体" w:cs="宋体"/>
                <w:color w:val="000000"/>
                <w:spacing w:val="7"/>
                <w:sz w:val="24"/>
                <w:highlight w:val="none"/>
                <w:lang w:eastAsia="zh-CN"/>
              </w:rPr>
              <w:t>3</w:t>
            </w:r>
            <w:r>
              <w:rPr>
                <w:rFonts w:hint="eastAsia" w:ascii="宋体" w:hAnsi="宋体" w:cs="宋体"/>
                <w:color w:val="000000"/>
                <w:spacing w:val="7"/>
                <w:sz w:val="24"/>
                <w:highlight w:val="none"/>
                <w:lang w:eastAsia="zh-CN"/>
              </w:rPr>
              <w:t>、投标保证金汇入银行及账号：</w:t>
            </w:r>
          </w:p>
          <w:p>
            <w:pPr>
              <w:pStyle w:val="111"/>
              <w:snapToGrid w:val="0"/>
              <w:spacing w:line="360" w:lineRule="auto"/>
              <w:jc w:val="left"/>
              <w:rPr>
                <w:rFonts w:ascii="宋体" w:cs="宋体"/>
                <w:color w:val="000000"/>
                <w:spacing w:val="7"/>
                <w:sz w:val="24"/>
                <w:highlight w:val="none"/>
                <w:lang w:eastAsia="zh-CN"/>
              </w:rPr>
            </w:pPr>
            <w:r>
              <w:rPr>
                <w:rFonts w:ascii="宋体" w:cs="宋体"/>
                <w:color w:val="000000"/>
                <w:spacing w:val="7"/>
                <w:sz w:val="24"/>
                <w:highlight w:val="none"/>
                <w:lang w:eastAsia="zh-CN"/>
              </w:rPr>
              <w:t> </w:t>
            </w:r>
            <w:r>
              <w:rPr>
                <w:rFonts w:ascii="宋体" w:hAnsi="宋体" w:cs="宋体"/>
                <w:color w:val="000000"/>
                <w:spacing w:val="7"/>
                <w:sz w:val="24"/>
                <w:highlight w:val="none"/>
                <w:lang w:eastAsia="zh-CN"/>
              </w:rPr>
              <w:t xml:space="preserve"> </w:t>
            </w:r>
            <w:r>
              <w:rPr>
                <w:rFonts w:hint="eastAsia" w:ascii="宋体" w:hAnsi="宋体" w:cs="宋体"/>
                <w:color w:val="000000"/>
                <w:spacing w:val="7"/>
                <w:sz w:val="24"/>
                <w:highlight w:val="none"/>
                <w:lang w:val="en-US" w:eastAsia="zh-CN"/>
              </w:rPr>
              <w:t xml:space="preserve"> </w:t>
            </w:r>
            <w:r>
              <w:rPr>
                <w:rFonts w:hint="eastAsia" w:ascii="宋体" w:hAnsi="宋体" w:cs="宋体"/>
                <w:color w:val="000000"/>
                <w:spacing w:val="7"/>
                <w:sz w:val="24"/>
                <w:highlight w:val="none"/>
                <w:lang w:eastAsia="zh-CN"/>
              </w:rPr>
              <w:t>开户名称：山东省鲁成招标有限公司</w:t>
            </w:r>
          </w:p>
          <w:p>
            <w:pPr>
              <w:pStyle w:val="111"/>
              <w:snapToGrid w:val="0"/>
              <w:spacing w:line="360" w:lineRule="auto"/>
              <w:jc w:val="left"/>
              <w:rPr>
                <w:rFonts w:ascii="宋体" w:cs="宋体"/>
                <w:color w:val="000000"/>
                <w:spacing w:val="7"/>
                <w:sz w:val="24"/>
                <w:highlight w:val="none"/>
                <w:lang w:eastAsia="zh-CN"/>
              </w:rPr>
            </w:pPr>
            <w:r>
              <w:rPr>
                <w:rFonts w:ascii="宋体" w:hAnsi="宋体" w:cs="宋体"/>
                <w:color w:val="000000"/>
                <w:spacing w:val="7"/>
                <w:sz w:val="24"/>
                <w:highlight w:val="none"/>
                <w:lang w:eastAsia="zh-CN"/>
              </w:rPr>
              <w:t xml:space="preserve">  </w:t>
            </w:r>
            <w:r>
              <w:rPr>
                <w:rFonts w:hint="eastAsia" w:ascii="宋体" w:hAnsi="宋体" w:cs="宋体"/>
                <w:color w:val="000000"/>
                <w:spacing w:val="7"/>
                <w:sz w:val="24"/>
                <w:highlight w:val="none"/>
                <w:lang w:val="en-US" w:eastAsia="zh-CN"/>
              </w:rPr>
              <w:t xml:space="preserve"> </w:t>
            </w:r>
            <w:r>
              <w:rPr>
                <w:rFonts w:hint="eastAsia" w:ascii="宋体" w:hAnsi="宋体" w:cs="宋体"/>
                <w:color w:val="000000"/>
                <w:spacing w:val="7"/>
                <w:sz w:val="24"/>
                <w:highlight w:val="none"/>
                <w:lang w:eastAsia="zh-CN"/>
              </w:rPr>
              <w:t>开户银行：中国农业银行济南分行</w:t>
            </w:r>
          </w:p>
          <w:p>
            <w:pPr>
              <w:pStyle w:val="111"/>
              <w:snapToGrid w:val="0"/>
              <w:spacing w:line="360" w:lineRule="auto"/>
              <w:jc w:val="left"/>
              <w:rPr>
                <w:rFonts w:ascii="宋体" w:cs="宋体"/>
                <w:color w:val="000000"/>
                <w:spacing w:val="7"/>
                <w:sz w:val="24"/>
                <w:highlight w:val="none"/>
                <w:lang w:eastAsia="zh-CN"/>
              </w:rPr>
            </w:pPr>
            <w:r>
              <w:rPr>
                <w:rFonts w:ascii="宋体" w:hAnsi="宋体" w:cs="宋体"/>
                <w:color w:val="000000"/>
                <w:spacing w:val="7"/>
                <w:sz w:val="24"/>
                <w:highlight w:val="none"/>
                <w:lang w:eastAsia="zh-CN"/>
              </w:rPr>
              <w:t xml:space="preserve">   </w:t>
            </w:r>
            <w:r>
              <w:rPr>
                <w:rFonts w:hint="eastAsia" w:ascii="宋体" w:hAnsi="宋体" w:cs="宋体"/>
                <w:color w:val="000000"/>
                <w:spacing w:val="7"/>
                <w:sz w:val="24"/>
                <w:highlight w:val="none"/>
                <w:lang w:eastAsia="zh-CN"/>
              </w:rPr>
              <w:t>银行账号：</w:t>
            </w:r>
            <w:r>
              <w:rPr>
                <w:rFonts w:ascii="宋体" w:hAnsi="宋体" w:cs="宋体"/>
                <w:color w:val="000000"/>
                <w:spacing w:val="7"/>
                <w:sz w:val="24"/>
                <w:highlight w:val="none"/>
                <w:lang w:eastAsia="zh-CN"/>
              </w:rPr>
              <w:t>15110101040001136</w:t>
            </w:r>
          </w:p>
          <w:p>
            <w:pPr>
              <w:pStyle w:val="111"/>
              <w:snapToGrid w:val="0"/>
              <w:spacing w:line="360" w:lineRule="auto"/>
              <w:jc w:val="left"/>
              <w:rPr>
                <w:rFonts w:ascii="宋体" w:cs="宋体"/>
                <w:color w:val="000000"/>
                <w:spacing w:val="7"/>
                <w:sz w:val="24"/>
                <w:highlight w:val="none"/>
                <w:lang w:eastAsia="zh-CN"/>
              </w:rPr>
            </w:pPr>
            <w:r>
              <w:rPr>
                <w:rFonts w:ascii="宋体" w:hAnsi="宋体" w:cs="宋体"/>
                <w:color w:val="000000"/>
                <w:spacing w:val="7"/>
                <w:sz w:val="24"/>
                <w:highlight w:val="none"/>
                <w:lang w:eastAsia="zh-CN"/>
              </w:rPr>
              <w:t xml:space="preserve">  </w:t>
            </w:r>
            <w:r>
              <w:rPr>
                <w:rFonts w:hint="eastAsia" w:ascii="宋体" w:hAnsi="宋体" w:cs="宋体"/>
                <w:color w:val="000000"/>
                <w:spacing w:val="7"/>
                <w:sz w:val="24"/>
                <w:highlight w:val="none"/>
                <w:lang w:eastAsia="zh-CN"/>
              </w:rPr>
              <w:t>（行号：</w:t>
            </w:r>
            <w:r>
              <w:rPr>
                <w:rFonts w:ascii="宋体" w:hAnsi="宋体" w:cs="宋体"/>
                <w:color w:val="000000"/>
                <w:spacing w:val="7"/>
                <w:sz w:val="24"/>
                <w:highlight w:val="none"/>
                <w:lang w:eastAsia="zh-CN"/>
              </w:rPr>
              <w:t>103451011106</w:t>
            </w:r>
            <w:r>
              <w:rPr>
                <w:rFonts w:hint="eastAsia" w:ascii="宋体" w:hAnsi="宋体" w:cs="宋体"/>
                <w:color w:val="000000"/>
                <w:spacing w:val="7"/>
                <w:sz w:val="24"/>
                <w:highlight w:val="none"/>
                <w:lang w:eastAsia="zh-CN"/>
              </w:rPr>
              <w:t>）</w:t>
            </w:r>
          </w:p>
          <w:p>
            <w:pPr>
              <w:pStyle w:val="111"/>
              <w:snapToGrid w:val="0"/>
              <w:spacing w:line="360" w:lineRule="auto"/>
              <w:jc w:val="left"/>
              <w:rPr>
                <w:rFonts w:ascii="宋体" w:cs="宋体"/>
                <w:color w:val="000000"/>
                <w:spacing w:val="7"/>
                <w:sz w:val="24"/>
                <w:highlight w:val="none"/>
                <w:lang w:eastAsia="zh-CN"/>
              </w:rPr>
            </w:pPr>
            <w:r>
              <w:rPr>
                <w:rFonts w:ascii="宋体" w:hAnsi="宋体" w:cs="宋体"/>
                <w:color w:val="000000"/>
                <w:spacing w:val="7"/>
                <w:sz w:val="24"/>
                <w:highlight w:val="none"/>
                <w:lang w:eastAsia="zh-CN"/>
              </w:rPr>
              <w:t xml:space="preserve">  </w:t>
            </w:r>
            <w:r>
              <w:rPr>
                <w:rFonts w:hint="eastAsia" w:ascii="宋体" w:hAnsi="宋体" w:cs="宋体"/>
                <w:color w:val="000000"/>
                <w:spacing w:val="7"/>
                <w:sz w:val="24"/>
                <w:highlight w:val="none"/>
                <w:lang w:eastAsia="zh-CN"/>
              </w:rPr>
              <w:t>投标保证金应当在</w:t>
            </w:r>
            <w:r>
              <w:rPr>
                <w:rFonts w:hint="eastAsia" w:ascii="宋体" w:hAnsi="宋体" w:cs="宋体"/>
                <w:b/>
                <w:bCs/>
                <w:highlight w:val="none"/>
                <w:lang w:eastAsia="zh-CN"/>
              </w:rPr>
              <w:t>2019年</w:t>
            </w:r>
            <w:r>
              <w:rPr>
                <w:rFonts w:hint="eastAsia" w:ascii="宋体" w:hAnsi="宋体" w:cs="宋体"/>
                <w:b/>
                <w:bCs/>
                <w:highlight w:val="none"/>
                <w:lang w:val="en-US" w:eastAsia="zh-CN"/>
              </w:rPr>
              <w:t>11</w:t>
            </w:r>
            <w:r>
              <w:rPr>
                <w:rFonts w:hint="eastAsia" w:ascii="宋体" w:hAnsi="宋体" w:cs="宋体"/>
                <w:b/>
                <w:bCs/>
                <w:highlight w:val="none"/>
                <w:lang w:eastAsia="zh-CN"/>
              </w:rPr>
              <w:t>月</w:t>
            </w:r>
            <w:r>
              <w:rPr>
                <w:rFonts w:hint="eastAsia" w:ascii="宋体" w:hAnsi="宋体" w:cs="宋体"/>
                <w:b/>
                <w:bCs/>
                <w:highlight w:val="none"/>
                <w:lang w:val="en-US" w:eastAsia="zh-CN"/>
              </w:rPr>
              <w:t>1</w:t>
            </w:r>
            <w:r>
              <w:rPr>
                <w:rFonts w:hint="eastAsia" w:ascii="宋体" w:hAnsi="宋体" w:cs="宋体"/>
                <w:b/>
                <w:bCs/>
                <w:highlight w:val="none"/>
                <w:lang w:eastAsia="zh-CN"/>
              </w:rPr>
              <w:t>日</w:t>
            </w:r>
            <w:r>
              <w:rPr>
                <w:rFonts w:hint="eastAsia" w:ascii="宋体" w:hAnsi="宋体" w:cs="宋体"/>
                <w:b/>
                <w:bCs/>
                <w:highlight w:val="none"/>
                <w:lang w:val="en-US" w:eastAsia="zh-CN"/>
              </w:rPr>
              <w:t>9</w:t>
            </w:r>
            <w:r>
              <w:rPr>
                <w:rFonts w:hint="eastAsia" w:ascii="宋体" w:hAnsi="宋体" w:cs="宋体"/>
                <w:b/>
                <w:bCs/>
                <w:highlight w:val="none"/>
                <w:lang w:eastAsia="zh-CN"/>
              </w:rPr>
              <w:t>:00</w:t>
            </w:r>
            <w:r>
              <w:rPr>
                <w:rFonts w:hint="eastAsia" w:ascii="宋体" w:hAnsi="宋体" w:cs="宋体"/>
                <w:color w:val="000000"/>
                <w:spacing w:val="7"/>
                <w:sz w:val="24"/>
                <w:highlight w:val="none"/>
                <w:lang w:eastAsia="zh-CN"/>
              </w:rPr>
              <w:t>之前到达上述帐户，逾期不予受理。并将开户许可证及投标保证金电汇凭证扫描版发送邮件至</w:t>
            </w:r>
            <w:r>
              <w:rPr>
                <w:rFonts w:hint="eastAsia" w:ascii="宋体" w:hAnsi="宋体" w:cs="宋体"/>
                <w:color w:val="000000"/>
                <w:spacing w:val="7"/>
                <w:sz w:val="24"/>
                <w:highlight w:val="none"/>
                <w:lang w:val="en-US" w:eastAsia="zh-CN"/>
              </w:rPr>
              <w:t>lczb08@126.com</w:t>
            </w:r>
            <w:r>
              <w:rPr>
                <w:rFonts w:hint="eastAsia" w:ascii="宋体" w:hAnsi="宋体" w:cs="宋体"/>
                <w:color w:val="000000"/>
                <w:spacing w:val="7"/>
                <w:sz w:val="24"/>
                <w:highlight w:val="none"/>
                <w:lang w:eastAsia="zh-CN"/>
              </w:rPr>
              <w:t>，同时电话通知招标代理机构负责人。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799" w:type="dxa"/>
            <w:vAlign w:val="center"/>
          </w:tcPr>
          <w:p>
            <w:pPr>
              <w:pStyle w:val="20"/>
              <w:tabs>
                <w:tab w:val="left" w:pos="0"/>
                <w:tab w:val="left" w:pos="955"/>
              </w:tabs>
              <w:snapToGrid w:val="0"/>
              <w:spacing w:line="360" w:lineRule="auto"/>
              <w:ind w:left="0" w:leftChars="0" w:firstLine="0" w:firstLineChars="0"/>
              <w:jc w:val="center"/>
              <w:rPr>
                <w:rFonts w:hint="eastAsia" w:ascii="宋体" w:eastAsia="宋体" w:cs="宋体"/>
                <w:highlight w:val="none"/>
                <w:lang w:eastAsia="zh-CN"/>
              </w:rPr>
            </w:pPr>
            <w:r>
              <w:rPr>
                <w:rFonts w:ascii="宋体" w:hAnsi="宋体" w:cs="宋体"/>
                <w:highlight w:val="none"/>
              </w:rPr>
              <w:t>1</w:t>
            </w:r>
            <w:r>
              <w:rPr>
                <w:rFonts w:hint="eastAsia" w:ascii="宋体" w:hAnsi="宋体" w:cs="宋体"/>
                <w:highlight w:val="none"/>
                <w:lang w:val="en-US" w:eastAsia="zh-CN"/>
              </w:rPr>
              <w:t>9</w:t>
            </w:r>
          </w:p>
        </w:tc>
        <w:tc>
          <w:tcPr>
            <w:tcW w:w="2432" w:type="dxa"/>
            <w:vAlign w:val="center"/>
          </w:tcPr>
          <w:p>
            <w:pPr>
              <w:pStyle w:val="20"/>
              <w:tabs>
                <w:tab w:val="left" w:pos="0"/>
                <w:tab w:val="left" w:pos="955"/>
              </w:tabs>
              <w:snapToGrid w:val="0"/>
              <w:spacing w:line="360" w:lineRule="auto"/>
              <w:ind w:left="0" w:leftChars="0" w:firstLine="0" w:firstLineChars="0"/>
              <w:jc w:val="center"/>
              <w:rPr>
                <w:rFonts w:ascii="宋体" w:cs="宋体"/>
                <w:highlight w:val="none"/>
              </w:rPr>
            </w:pPr>
            <w:r>
              <w:rPr>
                <w:rFonts w:hint="eastAsia" w:ascii="宋体" w:hAnsi="宋体" w:cs="宋体"/>
                <w:highlight w:val="none"/>
              </w:rPr>
              <w:t>投标文件递交时间</w:t>
            </w:r>
          </w:p>
        </w:tc>
        <w:tc>
          <w:tcPr>
            <w:tcW w:w="6569" w:type="dxa"/>
            <w:vAlign w:val="center"/>
          </w:tcPr>
          <w:p>
            <w:pPr>
              <w:pStyle w:val="20"/>
              <w:tabs>
                <w:tab w:val="left" w:pos="0"/>
                <w:tab w:val="left" w:pos="955"/>
              </w:tabs>
              <w:spacing w:line="360" w:lineRule="auto"/>
              <w:ind w:left="0" w:leftChars="0" w:firstLine="0" w:firstLineChars="0"/>
              <w:rPr>
                <w:rFonts w:ascii="宋体" w:cs="宋体"/>
                <w:color w:val="000000"/>
                <w:spacing w:val="7"/>
                <w:highlight w:val="none"/>
              </w:rPr>
            </w:pPr>
            <w:r>
              <w:rPr>
                <w:rFonts w:hint="eastAsia" w:ascii="宋体" w:hAnsi="宋体" w:cs="宋体"/>
                <w:b/>
                <w:bCs/>
                <w:highlight w:val="none"/>
              </w:rPr>
              <w:t>2019年</w:t>
            </w:r>
            <w:r>
              <w:rPr>
                <w:rFonts w:hint="eastAsia" w:ascii="宋体" w:hAnsi="宋体" w:cs="宋体"/>
                <w:b/>
                <w:bCs/>
                <w:highlight w:val="none"/>
                <w:lang w:val="en-US" w:eastAsia="zh-CN"/>
              </w:rPr>
              <w:t>11</w:t>
            </w:r>
            <w:r>
              <w:rPr>
                <w:rFonts w:hint="eastAsia" w:ascii="宋体" w:hAnsi="宋体" w:cs="宋体"/>
                <w:b/>
                <w:bCs/>
                <w:highlight w:val="none"/>
              </w:rPr>
              <w:t>月</w:t>
            </w:r>
            <w:r>
              <w:rPr>
                <w:rFonts w:hint="eastAsia" w:ascii="宋体" w:hAnsi="宋体" w:cs="宋体"/>
                <w:b/>
                <w:bCs/>
                <w:highlight w:val="none"/>
                <w:lang w:val="en-US" w:eastAsia="zh-CN"/>
              </w:rPr>
              <w:t>1</w:t>
            </w:r>
            <w:r>
              <w:rPr>
                <w:rFonts w:hint="eastAsia" w:ascii="宋体" w:hAnsi="宋体" w:cs="宋体"/>
                <w:b/>
                <w:bCs/>
                <w:highlight w:val="none"/>
              </w:rPr>
              <w:t>日08：00至09:00（超时不收）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8" w:hRule="atLeast"/>
          <w:jc w:val="center"/>
        </w:trPr>
        <w:tc>
          <w:tcPr>
            <w:tcW w:w="799" w:type="dxa"/>
            <w:vAlign w:val="center"/>
          </w:tcPr>
          <w:p>
            <w:pPr>
              <w:pStyle w:val="20"/>
              <w:tabs>
                <w:tab w:val="left" w:pos="0"/>
                <w:tab w:val="left" w:pos="955"/>
              </w:tabs>
              <w:snapToGrid w:val="0"/>
              <w:spacing w:line="360" w:lineRule="auto"/>
              <w:ind w:left="0" w:leftChars="0" w:firstLine="0" w:firstLineChars="0"/>
              <w:jc w:val="center"/>
              <w:rPr>
                <w:rFonts w:hint="eastAsia" w:ascii="宋体" w:eastAsia="宋体" w:cs="宋体"/>
                <w:highlight w:val="none"/>
                <w:lang w:val="en-US" w:eastAsia="zh-CN"/>
              </w:rPr>
            </w:pPr>
            <w:r>
              <w:rPr>
                <w:rFonts w:hint="eastAsia" w:ascii="宋体" w:hAnsi="宋体" w:cs="宋体"/>
                <w:highlight w:val="none"/>
                <w:lang w:val="en-US" w:eastAsia="zh-CN"/>
              </w:rPr>
              <w:t>20</w:t>
            </w:r>
          </w:p>
        </w:tc>
        <w:tc>
          <w:tcPr>
            <w:tcW w:w="2432" w:type="dxa"/>
            <w:vAlign w:val="center"/>
          </w:tcPr>
          <w:p>
            <w:pPr>
              <w:pStyle w:val="111"/>
              <w:snapToGrid w:val="0"/>
              <w:spacing w:line="360" w:lineRule="auto"/>
              <w:jc w:val="left"/>
              <w:rPr>
                <w:rFonts w:ascii="宋体" w:cs="宋体"/>
                <w:color w:val="000000"/>
                <w:spacing w:val="7"/>
                <w:sz w:val="24"/>
                <w:highlight w:val="none"/>
                <w:lang w:eastAsia="zh-CN"/>
              </w:rPr>
            </w:pPr>
            <w:r>
              <w:rPr>
                <w:rFonts w:hint="eastAsia" w:ascii="宋体" w:hAnsi="宋体" w:cs="宋体"/>
                <w:color w:val="000000"/>
                <w:spacing w:val="7"/>
                <w:sz w:val="24"/>
                <w:highlight w:val="none"/>
                <w:lang w:eastAsia="zh-CN"/>
              </w:rPr>
              <w:t>投标文件递交的</w:t>
            </w:r>
          </w:p>
          <w:p>
            <w:pPr>
              <w:pStyle w:val="111"/>
              <w:snapToGrid w:val="0"/>
              <w:spacing w:line="360" w:lineRule="auto"/>
              <w:ind w:firstLine="508" w:firstLineChars="200"/>
              <w:rPr>
                <w:rFonts w:ascii="宋体" w:cs="宋体"/>
                <w:highlight w:val="none"/>
                <w:lang w:eastAsia="zh-CN"/>
              </w:rPr>
            </w:pPr>
            <w:r>
              <w:rPr>
                <w:rFonts w:hint="eastAsia" w:ascii="宋体" w:hAnsi="宋体" w:cs="宋体"/>
                <w:color w:val="000000"/>
                <w:spacing w:val="7"/>
                <w:sz w:val="24"/>
                <w:highlight w:val="none"/>
                <w:lang w:eastAsia="zh-CN"/>
              </w:rPr>
              <w:t>截止时间</w:t>
            </w:r>
          </w:p>
        </w:tc>
        <w:tc>
          <w:tcPr>
            <w:tcW w:w="6569" w:type="dxa"/>
            <w:vAlign w:val="center"/>
          </w:tcPr>
          <w:p>
            <w:pPr>
              <w:pStyle w:val="20"/>
              <w:tabs>
                <w:tab w:val="left" w:pos="0"/>
                <w:tab w:val="left" w:pos="955"/>
              </w:tabs>
              <w:spacing w:line="360" w:lineRule="auto"/>
              <w:ind w:left="0" w:leftChars="0" w:firstLine="0" w:firstLineChars="0"/>
              <w:rPr>
                <w:rFonts w:ascii="宋体" w:cs="宋体"/>
                <w:color w:val="000000"/>
                <w:spacing w:val="7"/>
                <w:highlight w:val="none"/>
              </w:rPr>
            </w:pPr>
            <w:r>
              <w:rPr>
                <w:rFonts w:hint="eastAsia" w:ascii="宋体" w:hAnsi="宋体" w:cs="宋体"/>
                <w:b/>
                <w:bCs/>
                <w:highlight w:val="none"/>
              </w:rPr>
              <w:t>2019年</w:t>
            </w:r>
            <w:r>
              <w:rPr>
                <w:rFonts w:hint="eastAsia" w:ascii="宋体" w:hAnsi="宋体" w:cs="宋体"/>
                <w:b/>
                <w:bCs/>
                <w:highlight w:val="none"/>
                <w:lang w:val="en-US" w:eastAsia="zh-CN"/>
              </w:rPr>
              <w:t>11</w:t>
            </w:r>
            <w:r>
              <w:rPr>
                <w:rFonts w:hint="eastAsia" w:ascii="宋体" w:hAnsi="宋体" w:cs="宋体"/>
                <w:b/>
                <w:bCs/>
                <w:highlight w:val="none"/>
              </w:rPr>
              <w:t>月</w:t>
            </w:r>
            <w:r>
              <w:rPr>
                <w:rFonts w:hint="eastAsia" w:ascii="宋体" w:hAnsi="宋体" w:cs="宋体"/>
                <w:b/>
                <w:bCs/>
                <w:highlight w:val="none"/>
                <w:lang w:val="en-US" w:eastAsia="zh-CN"/>
              </w:rPr>
              <w:t>1</w:t>
            </w:r>
            <w:r>
              <w:rPr>
                <w:rFonts w:hint="eastAsia" w:ascii="宋体" w:hAnsi="宋体" w:cs="宋体"/>
                <w:b/>
                <w:bCs/>
                <w:highlight w:val="none"/>
              </w:rPr>
              <w:t>日09：00时整(北京时间)。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8" w:hRule="atLeast"/>
          <w:jc w:val="center"/>
        </w:trPr>
        <w:tc>
          <w:tcPr>
            <w:tcW w:w="799" w:type="dxa"/>
            <w:vAlign w:val="center"/>
          </w:tcPr>
          <w:p>
            <w:pPr>
              <w:pStyle w:val="20"/>
              <w:tabs>
                <w:tab w:val="left" w:pos="0"/>
                <w:tab w:val="left" w:pos="955"/>
              </w:tabs>
              <w:snapToGrid w:val="0"/>
              <w:spacing w:line="360" w:lineRule="auto"/>
              <w:ind w:left="0" w:leftChars="0" w:firstLine="0" w:firstLineChars="0"/>
              <w:jc w:val="center"/>
              <w:rPr>
                <w:rFonts w:hint="eastAsia" w:ascii="宋体" w:eastAsia="宋体" w:cs="宋体"/>
                <w:highlight w:val="none"/>
                <w:lang w:val="en-US" w:eastAsia="zh-CN"/>
              </w:rPr>
            </w:pPr>
            <w:r>
              <w:rPr>
                <w:rFonts w:hint="eastAsia" w:ascii="宋体" w:hAnsi="宋体" w:cs="宋体"/>
                <w:highlight w:val="none"/>
                <w:lang w:val="en-US" w:eastAsia="zh-CN"/>
              </w:rPr>
              <w:t>21</w:t>
            </w:r>
          </w:p>
        </w:tc>
        <w:tc>
          <w:tcPr>
            <w:tcW w:w="2432" w:type="dxa"/>
            <w:vAlign w:val="center"/>
          </w:tcPr>
          <w:p>
            <w:pPr>
              <w:pStyle w:val="20"/>
              <w:tabs>
                <w:tab w:val="left" w:pos="0"/>
                <w:tab w:val="left" w:pos="955"/>
              </w:tabs>
              <w:snapToGrid w:val="0"/>
              <w:spacing w:line="360" w:lineRule="auto"/>
              <w:ind w:left="0" w:leftChars="0" w:firstLine="0" w:firstLineChars="0"/>
              <w:jc w:val="center"/>
              <w:rPr>
                <w:rFonts w:ascii="宋体" w:cs="宋体"/>
                <w:highlight w:val="none"/>
              </w:rPr>
            </w:pPr>
            <w:r>
              <w:rPr>
                <w:rFonts w:hint="eastAsia" w:ascii="宋体" w:hAnsi="宋体" w:cs="宋体"/>
                <w:highlight w:val="none"/>
              </w:rPr>
              <w:t>递交投标文件地点</w:t>
            </w:r>
          </w:p>
        </w:tc>
        <w:tc>
          <w:tcPr>
            <w:tcW w:w="6569" w:type="dxa"/>
            <w:vAlign w:val="center"/>
          </w:tcPr>
          <w:p>
            <w:pPr>
              <w:pStyle w:val="111"/>
              <w:snapToGrid w:val="0"/>
              <w:spacing w:line="360" w:lineRule="auto"/>
              <w:jc w:val="left"/>
              <w:rPr>
                <w:rFonts w:ascii="宋体" w:cs="宋体"/>
                <w:color w:val="000000"/>
                <w:spacing w:val="7"/>
                <w:sz w:val="24"/>
                <w:highlight w:val="none"/>
                <w:lang w:eastAsia="zh-CN"/>
              </w:rPr>
            </w:pPr>
            <w:r>
              <w:rPr>
                <w:rFonts w:hint="eastAsia" w:ascii="宋体" w:hAnsi="宋体" w:cs="宋体"/>
                <w:color w:val="000000"/>
                <w:spacing w:val="7"/>
                <w:sz w:val="24"/>
                <w:highlight w:val="none"/>
                <w:lang w:eastAsia="zh-CN"/>
              </w:rPr>
              <w:t>山东大学第二医院办公楼五楼会议室（济南市天桥区北园大街</w:t>
            </w:r>
            <w:r>
              <w:rPr>
                <w:rFonts w:ascii="宋体" w:hAnsi="宋体" w:cs="宋体"/>
                <w:color w:val="000000"/>
                <w:spacing w:val="7"/>
                <w:sz w:val="24"/>
                <w:highlight w:val="none"/>
                <w:lang w:eastAsia="zh-CN"/>
              </w:rPr>
              <w:t>247</w:t>
            </w:r>
            <w:r>
              <w:rPr>
                <w:rFonts w:hint="eastAsia" w:ascii="宋体" w:hAnsi="宋体" w:cs="宋体"/>
                <w:color w:val="000000"/>
                <w:spacing w:val="7"/>
                <w:sz w:val="24"/>
                <w:highlight w:val="none"/>
                <w:lang w:eastAsia="zh-CN"/>
              </w:rPr>
              <w:t>号）</w:t>
            </w:r>
            <w:r>
              <w:rPr>
                <w:rFonts w:hint="eastAsia" w:ascii="宋体" w:cs="宋体"/>
                <w:spacing w:val="6"/>
                <w:sz w:val="24"/>
                <w:highlight w:val="none"/>
                <w:lang w:eastAsia="zh-CN"/>
              </w:rPr>
              <w:t>（如有变动临时通知）</w:t>
            </w:r>
            <w:r>
              <w:rPr>
                <w:rFonts w:hint="eastAsia" w:ascii="宋体" w:hAnsi="宋体" w:cs="宋体"/>
                <w:color w:val="000000"/>
                <w:spacing w:val="7"/>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3" w:hRule="atLeast"/>
          <w:jc w:val="center"/>
        </w:trPr>
        <w:tc>
          <w:tcPr>
            <w:tcW w:w="799" w:type="dxa"/>
            <w:vAlign w:val="center"/>
          </w:tcPr>
          <w:p>
            <w:pPr>
              <w:pStyle w:val="20"/>
              <w:tabs>
                <w:tab w:val="left" w:pos="0"/>
                <w:tab w:val="left" w:pos="955"/>
              </w:tabs>
              <w:snapToGrid w:val="0"/>
              <w:spacing w:line="360" w:lineRule="auto"/>
              <w:ind w:left="0" w:leftChars="0" w:firstLine="0" w:firstLineChars="0"/>
              <w:jc w:val="center"/>
              <w:rPr>
                <w:rFonts w:hint="eastAsia" w:ascii="宋体" w:eastAsia="宋体" w:cs="宋体"/>
                <w:highlight w:val="none"/>
                <w:lang w:eastAsia="zh-CN"/>
              </w:rPr>
            </w:pPr>
            <w:r>
              <w:rPr>
                <w:rFonts w:ascii="宋体" w:hAnsi="宋体" w:cs="宋体"/>
                <w:highlight w:val="none"/>
              </w:rPr>
              <w:t>2</w:t>
            </w:r>
            <w:r>
              <w:rPr>
                <w:rFonts w:hint="eastAsia" w:ascii="宋体" w:hAnsi="宋体" w:cs="宋体"/>
                <w:highlight w:val="none"/>
                <w:lang w:val="en-US" w:eastAsia="zh-CN"/>
              </w:rPr>
              <w:t>2</w:t>
            </w:r>
          </w:p>
        </w:tc>
        <w:tc>
          <w:tcPr>
            <w:tcW w:w="2432" w:type="dxa"/>
            <w:vAlign w:val="center"/>
          </w:tcPr>
          <w:p>
            <w:pPr>
              <w:pStyle w:val="20"/>
              <w:tabs>
                <w:tab w:val="left" w:pos="0"/>
                <w:tab w:val="left" w:pos="955"/>
              </w:tabs>
              <w:snapToGrid w:val="0"/>
              <w:spacing w:line="360" w:lineRule="auto"/>
              <w:ind w:left="0" w:leftChars="0" w:firstLine="0" w:firstLineChars="0"/>
              <w:jc w:val="center"/>
              <w:rPr>
                <w:rFonts w:ascii="宋体" w:cs="宋体"/>
                <w:highlight w:val="none"/>
              </w:rPr>
            </w:pPr>
            <w:r>
              <w:rPr>
                <w:rFonts w:hint="eastAsia" w:ascii="宋体" w:hAnsi="宋体" w:cs="宋体"/>
                <w:highlight w:val="none"/>
              </w:rPr>
              <w:t>评审方法</w:t>
            </w:r>
          </w:p>
        </w:tc>
        <w:tc>
          <w:tcPr>
            <w:tcW w:w="6569" w:type="dxa"/>
            <w:vAlign w:val="center"/>
          </w:tcPr>
          <w:p>
            <w:pPr>
              <w:pStyle w:val="111"/>
              <w:snapToGrid w:val="0"/>
              <w:spacing w:line="360" w:lineRule="auto"/>
              <w:jc w:val="left"/>
              <w:rPr>
                <w:rFonts w:ascii="宋体" w:cs="宋体"/>
                <w:color w:val="000000"/>
                <w:spacing w:val="7"/>
                <w:sz w:val="24"/>
                <w:highlight w:val="none"/>
                <w:lang w:eastAsia="zh-CN"/>
              </w:rPr>
            </w:pPr>
            <w:r>
              <w:rPr>
                <w:rFonts w:hint="eastAsia" w:ascii="宋体" w:hAnsi="宋体" w:cs="宋体"/>
                <w:color w:val="000000"/>
                <w:spacing w:val="7"/>
                <w:sz w:val="24"/>
                <w:highlight w:val="none"/>
                <w:lang w:eastAsia="zh-CN"/>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8" w:hRule="atLeast"/>
          <w:jc w:val="center"/>
        </w:trPr>
        <w:tc>
          <w:tcPr>
            <w:tcW w:w="799" w:type="dxa"/>
            <w:vAlign w:val="center"/>
          </w:tcPr>
          <w:p>
            <w:pPr>
              <w:pStyle w:val="20"/>
              <w:tabs>
                <w:tab w:val="left" w:pos="0"/>
                <w:tab w:val="left" w:pos="955"/>
              </w:tabs>
              <w:snapToGrid w:val="0"/>
              <w:spacing w:line="360" w:lineRule="auto"/>
              <w:ind w:left="0" w:leftChars="0" w:firstLine="0" w:firstLineChars="0"/>
              <w:jc w:val="center"/>
              <w:rPr>
                <w:rFonts w:hint="eastAsia" w:ascii="宋体" w:eastAsia="宋体" w:cs="宋体"/>
                <w:highlight w:val="none"/>
                <w:lang w:eastAsia="zh-CN"/>
              </w:rPr>
            </w:pPr>
            <w:r>
              <w:rPr>
                <w:rFonts w:ascii="宋体" w:hAnsi="宋体" w:cs="宋体"/>
                <w:highlight w:val="none"/>
              </w:rPr>
              <w:t>2</w:t>
            </w:r>
            <w:r>
              <w:rPr>
                <w:rFonts w:hint="eastAsia" w:ascii="宋体" w:hAnsi="宋体" w:cs="宋体"/>
                <w:highlight w:val="none"/>
                <w:lang w:val="en-US" w:eastAsia="zh-CN"/>
              </w:rPr>
              <w:t>3</w:t>
            </w:r>
          </w:p>
        </w:tc>
        <w:tc>
          <w:tcPr>
            <w:tcW w:w="2432" w:type="dxa"/>
            <w:vAlign w:val="center"/>
          </w:tcPr>
          <w:p>
            <w:pPr>
              <w:pStyle w:val="20"/>
              <w:tabs>
                <w:tab w:val="left" w:pos="0"/>
                <w:tab w:val="left" w:pos="955"/>
              </w:tabs>
              <w:snapToGrid w:val="0"/>
              <w:spacing w:line="360" w:lineRule="auto"/>
              <w:ind w:left="0" w:leftChars="0" w:firstLine="0" w:firstLineChars="0"/>
              <w:jc w:val="center"/>
              <w:rPr>
                <w:rFonts w:ascii="宋体" w:cs="宋体"/>
                <w:highlight w:val="none"/>
              </w:rPr>
            </w:pPr>
            <w:r>
              <w:rPr>
                <w:rFonts w:hint="eastAsia" w:ascii="宋体" w:hAnsi="宋体" w:cs="宋体"/>
                <w:highlight w:val="none"/>
              </w:rPr>
              <w:t>投标费用</w:t>
            </w:r>
          </w:p>
        </w:tc>
        <w:tc>
          <w:tcPr>
            <w:tcW w:w="6569" w:type="dxa"/>
            <w:vAlign w:val="center"/>
          </w:tcPr>
          <w:p>
            <w:pPr>
              <w:pStyle w:val="111"/>
              <w:snapToGrid w:val="0"/>
              <w:spacing w:line="360" w:lineRule="auto"/>
              <w:jc w:val="left"/>
              <w:rPr>
                <w:rFonts w:ascii="宋体" w:cs="宋体"/>
                <w:color w:val="000000"/>
                <w:spacing w:val="7"/>
                <w:sz w:val="24"/>
                <w:highlight w:val="none"/>
                <w:lang w:eastAsia="zh-CN"/>
              </w:rPr>
            </w:pPr>
            <w:r>
              <w:rPr>
                <w:rFonts w:hint="eastAsia" w:ascii="宋体" w:hAnsi="宋体" w:cs="宋体"/>
                <w:color w:val="000000"/>
                <w:spacing w:val="7"/>
                <w:sz w:val="24"/>
                <w:highlight w:val="none"/>
                <w:lang w:eastAsia="zh-CN"/>
              </w:rPr>
              <w:t>中标服务费：按国家计委计价格</w:t>
            </w:r>
            <w:r>
              <w:rPr>
                <w:rFonts w:ascii="宋体" w:hAnsi="宋体" w:cs="宋体"/>
                <w:color w:val="000000"/>
                <w:spacing w:val="7"/>
                <w:sz w:val="24"/>
                <w:highlight w:val="none"/>
                <w:lang w:eastAsia="zh-CN"/>
              </w:rPr>
              <w:t>[2002]1980</w:t>
            </w:r>
            <w:r>
              <w:rPr>
                <w:rFonts w:hint="eastAsia" w:ascii="宋体" w:hAnsi="宋体" w:cs="宋体"/>
                <w:color w:val="000000"/>
                <w:spacing w:val="7"/>
                <w:sz w:val="24"/>
                <w:highlight w:val="none"/>
                <w:lang w:eastAsia="zh-CN"/>
              </w:rPr>
              <w:t>号文收费标准下浮</w:t>
            </w:r>
            <w:r>
              <w:rPr>
                <w:rFonts w:ascii="宋体" w:hAnsi="宋体" w:cs="宋体"/>
                <w:color w:val="000000"/>
                <w:spacing w:val="7"/>
                <w:sz w:val="24"/>
                <w:highlight w:val="none"/>
                <w:lang w:val="en-US" w:eastAsia="zh-CN"/>
              </w:rPr>
              <w:t>30%</w:t>
            </w:r>
            <w:r>
              <w:rPr>
                <w:rFonts w:hint="eastAsia" w:ascii="宋体" w:hAnsi="宋体" w:cs="宋体"/>
                <w:color w:val="000000"/>
                <w:spacing w:val="7"/>
                <w:sz w:val="24"/>
                <w:highlight w:val="none"/>
                <w:lang w:eastAsia="zh-CN"/>
              </w:rPr>
              <w:t>向代理招标人交纳中标服务费。中标服务费由中标人支付。无论投标过程中的方法和结果如何，投标人自行承担所有与参加投标有关的费用。</w:t>
            </w:r>
          </w:p>
        </w:tc>
      </w:tr>
    </w:tbl>
    <w:p>
      <w:pPr>
        <w:pStyle w:val="21"/>
        <w:spacing w:line="480" w:lineRule="exact"/>
        <w:ind w:left="0" w:leftChars="0" w:firstLine="0" w:firstLineChars="0"/>
        <w:outlineLvl w:val="0"/>
        <w:rPr>
          <w:rFonts w:ascii="宋体"/>
          <w:sz w:val="24"/>
          <w:highlight w:val="none"/>
        </w:rPr>
      </w:pPr>
      <w:r>
        <w:rPr>
          <w:rFonts w:ascii="宋体"/>
          <w:sz w:val="24"/>
          <w:highlight w:val="none"/>
        </w:rPr>
        <w:br w:type="page"/>
      </w:r>
    </w:p>
    <w:p>
      <w:pPr>
        <w:pStyle w:val="21"/>
        <w:spacing w:line="480" w:lineRule="exact"/>
        <w:ind w:left="98" w:leftChars="0" w:hanging="98" w:hangingChars="35"/>
        <w:outlineLvl w:val="1"/>
        <w:rPr>
          <w:rFonts w:ascii="宋体"/>
          <w:b/>
          <w:sz w:val="28"/>
          <w:highlight w:val="none"/>
        </w:rPr>
      </w:pPr>
      <w:bookmarkStart w:id="5" w:name="_Toc10957"/>
      <w:bookmarkStart w:id="6" w:name="_Toc16191"/>
      <w:bookmarkStart w:id="7" w:name="_Toc12225"/>
      <w:r>
        <w:rPr>
          <w:rFonts w:hint="eastAsia" w:ascii="宋体" w:hAnsi="宋体"/>
          <w:b/>
          <w:sz w:val="28"/>
          <w:highlight w:val="none"/>
        </w:rPr>
        <w:t>一、说明</w:t>
      </w:r>
      <w:bookmarkEnd w:id="5"/>
      <w:bookmarkEnd w:id="6"/>
      <w:bookmarkEnd w:id="7"/>
    </w:p>
    <w:p>
      <w:pPr>
        <w:pStyle w:val="12"/>
        <w:tabs>
          <w:tab w:val="left" w:pos="1146"/>
        </w:tabs>
        <w:spacing w:line="480" w:lineRule="exact"/>
        <w:ind w:left="195" w:leftChars="93" w:firstLine="361" w:firstLineChars="150"/>
        <w:rPr>
          <w:rFonts w:ascii="宋体"/>
          <w:b/>
          <w:sz w:val="24"/>
          <w:highlight w:val="none"/>
        </w:rPr>
      </w:pPr>
      <w:r>
        <w:rPr>
          <w:rFonts w:ascii="宋体" w:hAnsi="宋体"/>
          <w:b/>
          <w:sz w:val="24"/>
          <w:highlight w:val="none"/>
        </w:rPr>
        <w:t xml:space="preserve">1.  </w:t>
      </w:r>
      <w:r>
        <w:rPr>
          <w:rFonts w:hint="eastAsia" w:ascii="宋体" w:hAnsi="宋体"/>
          <w:b/>
          <w:sz w:val="24"/>
          <w:highlight w:val="none"/>
        </w:rPr>
        <w:t>招标人</w:t>
      </w:r>
    </w:p>
    <w:p>
      <w:pPr>
        <w:pStyle w:val="12"/>
        <w:tabs>
          <w:tab w:val="left" w:pos="1146"/>
        </w:tabs>
        <w:spacing w:line="480" w:lineRule="exact"/>
        <w:ind w:left="99" w:leftChars="47" w:firstLine="960" w:firstLineChars="400"/>
        <w:rPr>
          <w:rFonts w:ascii="宋体"/>
          <w:sz w:val="24"/>
          <w:highlight w:val="none"/>
        </w:rPr>
      </w:pPr>
      <w:r>
        <w:rPr>
          <w:rFonts w:hint="eastAsia" w:ascii="宋体" w:hAnsi="宋体"/>
          <w:sz w:val="24"/>
          <w:highlight w:val="none"/>
        </w:rPr>
        <w:t>系指山东大学第二医院</w:t>
      </w:r>
    </w:p>
    <w:p>
      <w:pPr>
        <w:pStyle w:val="12"/>
        <w:tabs>
          <w:tab w:val="left" w:pos="1146"/>
        </w:tabs>
        <w:spacing w:line="480" w:lineRule="exact"/>
        <w:ind w:left="953" w:leftChars="272" w:hanging="382" w:firstLineChars="0"/>
        <w:rPr>
          <w:rFonts w:ascii="宋体"/>
          <w:b/>
          <w:sz w:val="24"/>
          <w:highlight w:val="none"/>
        </w:rPr>
      </w:pPr>
      <w:r>
        <w:rPr>
          <w:rFonts w:ascii="宋体" w:hAnsi="宋体"/>
          <w:b/>
          <w:sz w:val="24"/>
          <w:highlight w:val="none"/>
        </w:rPr>
        <w:t xml:space="preserve">2.  </w:t>
      </w:r>
      <w:r>
        <w:rPr>
          <w:rFonts w:hint="eastAsia" w:ascii="宋体" w:hAnsi="宋体"/>
          <w:b/>
          <w:sz w:val="24"/>
          <w:highlight w:val="none"/>
        </w:rPr>
        <w:t>招标代理</w:t>
      </w:r>
    </w:p>
    <w:p>
      <w:pPr>
        <w:pStyle w:val="12"/>
        <w:tabs>
          <w:tab w:val="left" w:pos="1146"/>
        </w:tabs>
        <w:spacing w:line="480" w:lineRule="exact"/>
        <w:ind w:left="195" w:leftChars="93" w:firstLine="840" w:firstLineChars="350"/>
        <w:rPr>
          <w:rFonts w:ascii="宋体"/>
          <w:sz w:val="24"/>
          <w:highlight w:val="none"/>
        </w:rPr>
      </w:pPr>
      <w:r>
        <w:rPr>
          <w:rFonts w:hint="eastAsia" w:ascii="宋体" w:hAnsi="宋体"/>
          <w:sz w:val="24"/>
          <w:highlight w:val="none"/>
        </w:rPr>
        <w:t>系指山东省鲁成招标有限公司</w:t>
      </w:r>
    </w:p>
    <w:p>
      <w:pPr>
        <w:pStyle w:val="21"/>
        <w:tabs>
          <w:tab w:val="left" w:pos="573"/>
          <w:tab w:val="left" w:pos="1146"/>
        </w:tabs>
        <w:spacing w:line="480" w:lineRule="exact"/>
        <w:ind w:left="953" w:leftChars="272" w:hanging="382" w:firstLineChars="0"/>
        <w:outlineLvl w:val="0"/>
        <w:rPr>
          <w:rFonts w:ascii="宋体"/>
          <w:b/>
          <w:sz w:val="24"/>
          <w:highlight w:val="none"/>
        </w:rPr>
      </w:pPr>
      <w:bookmarkStart w:id="8" w:name="_Toc7693"/>
      <w:bookmarkStart w:id="9" w:name="_Toc32185"/>
      <w:bookmarkStart w:id="10" w:name="_Toc6481"/>
      <w:r>
        <w:rPr>
          <w:rFonts w:ascii="宋体" w:hAnsi="宋体"/>
          <w:b/>
          <w:sz w:val="24"/>
          <w:highlight w:val="none"/>
        </w:rPr>
        <w:t xml:space="preserve">3.  </w:t>
      </w:r>
      <w:r>
        <w:rPr>
          <w:rFonts w:hint="eastAsia" w:ascii="宋体" w:hAnsi="宋体"/>
          <w:b/>
          <w:sz w:val="24"/>
          <w:highlight w:val="none"/>
        </w:rPr>
        <w:t>合格投标人</w:t>
      </w:r>
      <w:bookmarkEnd w:id="8"/>
      <w:bookmarkEnd w:id="9"/>
      <w:bookmarkEnd w:id="10"/>
    </w:p>
    <w:p>
      <w:pPr>
        <w:pStyle w:val="12"/>
        <w:tabs>
          <w:tab w:val="left" w:pos="1146"/>
        </w:tabs>
        <w:spacing w:line="480" w:lineRule="exact"/>
        <w:ind w:left="197" w:leftChars="94" w:firstLine="360" w:firstLineChars="150"/>
        <w:rPr>
          <w:rFonts w:ascii="宋体"/>
          <w:sz w:val="24"/>
          <w:highlight w:val="none"/>
        </w:rPr>
      </w:pPr>
      <w:r>
        <w:rPr>
          <w:rFonts w:ascii="宋体" w:hAnsi="宋体"/>
          <w:sz w:val="24"/>
          <w:highlight w:val="none"/>
        </w:rPr>
        <w:t>3.1</w:t>
      </w:r>
      <w:r>
        <w:rPr>
          <w:rFonts w:hint="eastAsia" w:ascii="宋体" w:hAnsi="宋体"/>
          <w:sz w:val="24"/>
          <w:highlight w:val="none"/>
        </w:rPr>
        <w:t>具备本招标公告规定的投标人资格要求；</w:t>
      </w:r>
    </w:p>
    <w:p>
      <w:pPr>
        <w:pStyle w:val="12"/>
        <w:tabs>
          <w:tab w:val="left" w:pos="1146"/>
        </w:tabs>
        <w:spacing w:line="480" w:lineRule="exact"/>
        <w:ind w:left="197" w:leftChars="94" w:firstLine="360" w:firstLineChars="150"/>
        <w:rPr>
          <w:rFonts w:ascii="宋体"/>
          <w:sz w:val="24"/>
          <w:highlight w:val="none"/>
        </w:rPr>
      </w:pPr>
      <w:r>
        <w:rPr>
          <w:rFonts w:ascii="宋体"/>
          <w:sz w:val="24"/>
          <w:highlight w:val="none"/>
        </w:rPr>
        <w:t>3.1.1</w:t>
      </w:r>
      <w:r>
        <w:rPr>
          <w:rFonts w:hint="eastAsia" w:ascii="宋体"/>
          <w:sz w:val="24"/>
          <w:highlight w:val="none"/>
        </w:rPr>
        <w:t>具有独立承担民事责任的能力；</w:t>
      </w:r>
    </w:p>
    <w:p>
      <w:pPr>
        <w:pStyle w:val="12"/>
        <w:tabs>
          <w:tab w:val="left" w:pos="1146"/>
        </w:tabs>
        <w:spacing w:line="480" w:lineRule="exact"/>
        <w:ind w:left="197" w:leftChars="94" w:firstLine="360" w:firstLineChars="150"/>
        <w:rPr>
          <w:rFonts w:ascii="宋体"/>
          <w:sz w:val="24"/>
          <w:highlight w:val="none"/>
        </w:rPr>
      </w:pPr>
      <w:r>
        <w:rPr>
          <w:rFonts w:ascii="宋体"/>
          <w:sz w:val="24"/>
          <w:highlight w:val="none"/>
        </w:rPr>
        <w:t>3.1.2</w:t>
      </w:r>
      <w:r>
        <w:rPr>
          <w:rFonts w:hint="eastAsia" w:ascii="宋体"/>
          <w:sz w:val="24"/>
          <w:highlight w:val="none"/>
        </w:rPr>
        <w:t>具有良好的商业信誉和健全的财务会计制度；</w:t>
      </w:r>
    </w:p>
    <w:p>
      <w:pPr>
        <w:pStyle w:val="12"/>
        <w:tabs>
          <w:tab w:val="left" w:pos="1146"/>
        </w:tabs>
        <w:spacing w:line="480" w:lineRule="exact"/>
        <w:ind w:left="197" w:leftChars="94" w:firstLine="360" w:firstLineChars="150"/>
        <w:rPr>
          <w:rFonts w:ascii="宋体"/>
          <w:sz w:val="24"/>
          <w:highlight w:val="none"/>
        </w:rPr>
      </w:pPr>
      <w:r>
        <w:rPr>
          <w:rFonts w:ascii="宋体"/>
          <w:sz w:val="24"/>
          <w:highlight w:val="none"/>
        </w:rPr>
        <w:t>3.1.3</w:t>
      </w:r>
      <w:r>
        <w:rPr>
          <w:rFonts w:hint="eastAsia" w:ascii="宋体"/>
          <w:sz w:val="24"/>
          <w:highlight w:val="none"/>
        </w:rPr>
        <w:t>具有履行合同所必需的设备和专业技术能力；</w:t>
      </w:r>
    </w:p>
    <w:p>
      <w:pPr>
        <w:pStyle w:val="12"/>
        <w:tabs>
          <w:tab w:val="left" w:pos="1146"/>
        </w:tabs>
        <w:spacing w:line="480" w:lineRule="exact"/>
        <w:ind w:left="197" w:leftChars="94" w:firstLine="360" w:firstLineChars="150"/>
        <w:rPr>
          <w:rFonts w:ascii="宋体"/>
          <w:sz w:val="24"/>
          <w:highlight w:val="none"/>
        </w:rPr>
      </w:pPr>
      <w:r>
        <w:rPr>
          <w:rFonts w:ascii="宋体"/>
          <w:sz w:val="24"/>
          <w:highlight w:val="none"/>
        </w:rPr>
        <w:t>3.1.4</w:t>
      </w:r>
      <w:r>
        <w:rPr>
          <w:rFonts w:hint="eastAsia" w:ascii="宋体"/>
          <w:sz w:val="24"/>
          <w:highlight w:val="none"/>
        </w:rPr>
        <w:t>有依法缴纳税收和社会保障资金的良好纪录；</w:t>
      </w:r>
    </w:p>
    <w:p>
      <w:pPr>
        <w:pStyle w:val="12"/>
        <w:tabs>
          <w:tab w:val="left" w:pos="1146"/>
        </w:tabs>
        <w:spacing w:line="480" w:lineRule="exact"/>
        <w:ind w:left="197" w:leftChars="94" w:firstLine="360" w:firstLineChars="150"/>
        <w:rPr>
          <w:rFonts w:ascii="宋体"/>
          <w:sz w:val="24"/>
          <w:highlight w:val="none"/>
        </w:rPr>
      </w:pPr>
      <w:r>
        <w:rPr>
          <w:rFonts w:ascii="宋体"/>
          <w:sz w:val="24"/>
          <w:highlight w:val="none"/>
        </w:rPr>
        <w:t>3.1.5</w:t>
      </w:r>
      <w:r>
        <w:rPr>
          <w:rFonts w:hint="eastAsia" w:ascii="宋体"/>
          <w:sz w:val="24"/>
          <w:highlight w:val="none"/>
        </w:rPr>
        <w:t>参加政府采购活动前三年内，未发生重大质量安全事故；无弄虚作假和重大违法违纪行为；</w:t>
      </w:r>
    </w:p>
    <w:p>
      <w:pPr>
        <w:pStyle w:val="12"/>
        <w:tabs>
          <w:tab w:val="left" w:pos="1146"/>
        </w:tabs>
        <w:spacing w:line="480" w:lineRule="exact"/>
        <w:ind w:left="197" w:leftChars="94" w:firstLine="360" w:firstLineChars="150"/>
        <w:rPr>
          <w:rFonts w:ascii="宋体"/>
          <w:sz w:val="24"/>
          <w:highlight w:val="none"/>
        </w:rPr>
      </w:pPr>
      <w:r>
        <w:rPr>
          <w:rFonts w:ascii="宋体"/>
          <w:sz w:val="24"/>
          <w:highlight w:val="none"/>
        </w:rPr>
        <w:t>3.1.6</w:t>
      </w:r>
      <w:r>
        <w:rPr>
          <w:rFonts w:hint="eastAsia" w:ascii="宋体"/>
          <w:sz w:val="24"/>
          <w:highlight w:val="none"/>
        </w:rPr>
        <w:t>在以往的政府采购活动中无违法、违规、违纪、违约行为；</w:t>
      </w:r>
    </w:p>
    <w:p>
      <w:pPr>
        <w:pStyle w:val="12"/>
        <w:tabs>
          <w:tab w:val="left" w:pos="1146"/>
        </w:tabs>
        <w:spacing w:line="480" w:lineRule="exact"/>
        <w:ind w:left="197" w:leftChars="94" w:firstLine="360" w:firstLineChars="150"/>
        <w:rPr>
          <w:rFonts w:ascii="宋体" w:hAnsi="宋体" w:cs="宋体"/>
          <w:sz w:val="24"/>
          <w:highlight w:val="none"/>
        </w:rPr>
      </w:pPr>
      <w:r>
        <w:rPr>
          <w:rFonts w:ascii="宋体"/>
          <w:sz w:val="24"/>
          <w:highlight w:val="none"/>
        </w:rPr>
        <w:t>3.1.7</w:t>
      </w:r>
      <w:r>
        <w:rPr>
          <w:rFonts w:hint="eastAsia" w:ascii="宋体" w:hAnsi="宋体" w:cs="宋体"/>
          <w:sz w:val="24"/>
          <w:highlight w:val="none"/>
        </w:rPr>
        <w:t>单位负责人为同一人或者存在直接控股、管理关系的不同投标人，不得参加同一合同项下的采购活动；</w:t>
      </w:r>
    </w:p>
    <w:p>
      <w:pPr>
        <w:pStyle w:val="12"/>
        <w:tabs>
          <w:tab w:val="left" w:pos="1146"/>
        </w:tabs>
        <w:spacing w:line="480" w:lineRule="exact"/>
        <w:ind w:left="197" w:leftChars="94" w:firstLine="360" w:firstLineChars="150"/>
        <w:rPr>
          <w:rFonts w:ascii="宋体" w:hAnsi="宋体" w:cs="宋体"/>
          <w:sz w:val="24"/>
          <w:highlight w:val="none"/>
        </w:rPr>
      </w:pPr>
      <w:r>
        <w:rPr>
          <w:rFonts w:hint="eastAsia" w:ascii="宋体" w:hAnsi="宋体" w:cs="宋体"/>
          <w:sz w:val="24"/>
          <w:highlight w:val="none"/>
        </w:rPr>
        <w:t>3.1.8具有康复数字化平台相关计算机软件著作权证书，若投标人非生产制造厂商，须获得原厂商书面授权，并提供原厂商加盖鲜章的软件著作权证书；</w:t>
      </w:r>
    </w:p>
    <w:p>
      <w:pPr>
        <w:pStyle w:val="12"/>
        <w:tabs>
          <w:tab w:val="left" w:pos="1146"/>
        </w:tabs>
        <w:spacing w:line="480" w:lineRule="exact"/>
        <w:ind w:left="197" w:leftChars="94" w:firstLine="360" w:firstLineChars="150"/>
        <w:rPr>
          <w:rFonts w:ascii="宋体"/>
          <w:sz w:val="24"/>
          <w:highlight w:val="none"/>
        </w:rPr>
      </w:pPr>
      <w:r>
        <w:rPr>
          <w:rFonts w:ascii="宋体"/>
          <w:color w:val="000000"/>
          <w:sz w:val="24"/>
          <w:highlight w:val="none"/>
        </w:rPr>
        <w:t>3.1.</w:t>
      </w:r>
      <w:r>
        <w:rPr>
          <w:rFonts w:hint="eastAsia" w:ascii="宋体"/>
          <w:color w:val="000000"/>
          <w:sz w:val="24"/>
          <w:highlight w:val="none"/>
        </w:rPr>
        <w:t>9</w:t>
      </w:r>
      <w:r>
        <w:rPr>
          <w:rFonts w:hint="eastAsia" w:ascii="宋体"/>
          <w:sz w:val="24"/>
          <w:highlight w:val="none"/>
        </w:rPr>
        <w:t>法律、行政法规规定的其他条件。</w:t>
      </w:r>
    </w:p>
    <w:p>
      <w:pPr>
        <w:pStyle w:val="12"/>
        <w:tabs>
          <w:tab w:val="left" w:pos="1146"/>
        </w:tabs>
        <w:spacing w:line="480" w:lineRule="exact"/>
        <w:ind w:left="197" w:leftChars="94" w:firstLine="360" w:firstLineChars="150"/>
        <w:rPr>
          <w:rFonts w:ascii="宋体"/>
          <w:sz w:val="24"/>
          <w:highlight w:val="none"/>
        </w:rPr>
      </w:pPr>
      <w:r>
        <w:rPr>
          <w:rFonts w:ascii="宋体" w:hAnsi="宋体"/>
          <w:sz w:val="24"/>
          <w:highlight w:val="none"/>
        </w:rPr>
        <w:t>3.2</w:t>
      </w:r>
      <w:r>
        <w:rPr>
          <w:rFonts w:hint="eastAsia" w:ascii="宋体" w:hAnsi="宋体"/>
          <w:sz w:val="24"/>
          <w:highlight w:val="none"/>
        </w:rPr>
        <w:t>提供的资格资质证明文件均真实有效；</w:t>
      </w:r>
    </w:p>
    <w:p>
      <w:pPr>
        <w:pStyle w:val="12"/>
        <w:tabs>
          <w:tab w:val="left" w:pos="1146"/>
        </w:tabs>
        <w:spacing w:line="480" w:lineRule="exact"/>
        <w:ind w:left="197" w:leftChars="94" w:firstLine="360" w:firstLineChars="150"/>
        <w:rPr>
          <w:rFonts w:ascii="宋体"/>
          <w:bCs/>
          <w:sz w:val="24"/>
          <w:highlight w:val="none"/>
        </w:rPr>
      </w:pPr>
      <w:r>
        <w:rPr>
          <w:rFonts w:ascii="宋体" w:hAnsi="宋体"/>
          <w:bCs/>
          <w:sz w:val="24"/>
          <w:highlight w:val="none"/>
        </w:rPr>
        <w:t>3.3</w:t>
      </w:r>
      <w:r>
        <w:rPr>
          <w:rFonts w:hint="eastAsia" w:ascii="宋体" w:hAnsi="宋体"/>
          <w:bCs/>
          <w:sz w:val="24"/>
          <w:highlight w:val="none"/>
        </w:rPr>
        <w:t>向招标代理购买招标文件并登记备案；</w:t>
      </w:r>
    </w:p>
    <w:p>
      <w:pPr>
        <w:pStyle w:val="12"/>
        <w:tabs>
          <w:tab w:val="left" w:pos="1146"/>
        </w:tabs>
        <w:spacing w:line="480" w:lineRule="exact"/>
        <w:ind w:left="197" w:leftChars="94" w:firstLine="360" w:firstLineChars="150"/>
        <w:rPr>
          <w:rFonts w:ascii="宋体"/>
          <w:bCs/>
          <w:sz w:val="24"/>
          <w:highlight w:val="none"/>
        </w:rPr>
      </w:pPr>
      <w:r>
        <w:rPr>
          <w:rFonts w:ascii="宋体" w:hAnsi="宋体"/>
          <w:bCs/>
          <w:sz w:val="24"/>
          <w:highlight w:val="none"/>
        </w:rPr>
        <w:t>3.4</w:t>
      </w:r>
      <w:r>
        <w:rPr>
          <w:rFonts w:hint="eastAsia" w:ascii="宋体" w:hAnsi="宋体"/>
          <w:bCs/>
          <w:sz w:val="24"/>
          <w:highlight w:val="none"/>
        </w:rPr>
        <w:t>在以往的招标活动中没有违法、违规、违纪、违约行为；</w:t>
      </w:r>
    </w:p>
    <w:p>
      <w:pPr>
        <w:pStyle w:val="12"/>
        <w:tabs>
          <w:tab w:val="left" w:pos="1146"/>
        </w:tabs>
        <w:spacing w:line="480" w:lineRule="exact"/>
        <w:ind w:left="197" w:leftChars="94" w:firstLine="360" w:firstLineChars="150"/>
        <w:rPr>
          <w:rFonts w:ascii="宋体"/>
          <w:bCs/>
          <w:sz w:val="24"/>
          <w:highlight w:val="none"/>
        </w:rPr>
      </w:pPr>
      <w:r>
        <w:rPr>
          <w:rFonts w:ascii="宋体" w:hAnsi="宋体"/>
          <w:bCs/>
          <w:sz w:val="24"/>
          <w:highlight w:val="none"/>
        </w:rPr>
        <w:t>3.5</w:t>
      </w:r>
      <w:r>
        <w:rPr>
          <w:rFonts w:hint="eastAsia" w:ascii="宋体" w:hAnsi="宋体"/>
          <w:bCs/>
          <w:sz w:val="24"/>
          <w:highlight w:val="none"/>
        </w:rPr>
        <w:t>遵守《中华人民共和国政府采购法》及实施条例、其他有关的中国法律、法规和规定；</w:t>
      </w:r>
    </w:p>
    <w:p>
      <w:pPr>
        <w:pStyle w:val="12"/>
        <w:tabs>
          <w:tab w:val="left" w:pos="1146"/>
        </w:tabs>
        <w:spacing w:line="480" w:lineRule="exact"/>
        <w:ind w:left="197" w:leftChars="94" w:firstLine="360" w:firstLineChars="150"/>
        <w:rPr>
          <w:rFonts w:ascii="宋体"/>
          <w:bCs/>
          <w:sz w:val="24"/>
          <w:highlight w:val="none"/>
        </w:rPr>
      </w:pPr>
      <w:r>
        <w:rPr>
          <w:rFonts w:ascii="宋体" w:hAnsi="宋体"/>
          <w:bCs/>
          <w:sz w:val="24"/>
          <w:highlight w:val="none"/>
        </w:rPr>
        <w:t>3.6</w:t>
      </w:r>
      <w:r>
        <w:rPr>
          <w:rFonts w:hint="eastAsia" w:ascii="宋体" w:hAnsi="宋体"/>
          <w:bCs/>
          <w:sz w:val="24"/>
          <w:highlight w:val="none"/>
        </w:rPr>
        <w:t>本次招标不接受联合体投标。</w:t>
      </w:r>
    </w:p>
    <w:p>
      <w:pPr>
        <w:pStyle w:val="21"/>
        <w:tabs>
          <w:tab w:val="left" w:pos="1146"/>
        </w:tabs>
        <w:spacing w:line="480" w:lineRule="exact"/>
        <w:ind w:left="1144" w:leftChars="272" w:hanging="573" w:hangingChars="238"/>
        <w:outlineLvl w:val="0"/>
        <w:rPr>
          <w:rFonts w:ascii="宋体"/>
          <w:b/>
          <w:sz w:val="24"/>
          <w:highlight w:val="none"/>
        </w:rPr>
      </w:pPr>
      <w:bookmarkStart w:id="11" w:name="_Toc10338"/>
      <w:bookmarkStart w:id="12" w:name="_Toc28524"/>
      <w:bookmarkStart w:id="13" w:name="_Toc9430"/>
      <w:r>
        <w:rPr>
          <w:rFonts w:ascii="宋体" w:hAnsi="宋体"/>
          <w:b/>
          <w:sz w:val="24"/>
          <w:highlight w:val="none"/>
        </w:rPr>
        <w:t xml:space="preserve">4  </w:t>
      </w:r>
      <w:r>
        <w:rPr>
          <w:rFonts w:hint="eastAsia" w:ascii="宋体" w:hAnsi="宋体"/>
          <w:b/>
          <w:sz w:val="24"/>
          <w:highlight w:val="none"/>
        </w:rPr>
        <w:t>货物定义</w:t>
      </w:r>
      <w:bookmarkEnd w:id="11"/>
      <w:bookmarkEnd w:id="12"/>
      <w:bookmarkEnd w:id="13"/>
    </w:p>
    <w:p>
      <w:pPr>
        <w:pStyle w:val="21"/>
        <w:tabs>
          <w:tab w:val="left" w:pos="1146"/>
        </w:tabs>
        <w:spacing w:line="480" w:lineRule="exact"/>
        <w:ind w:left="128" w:leftChars="61" w:firstLine="480" w:firstLineChars="200"/>
        <w:outlineLvl w:val="0"/>
        <w:rPr>
          <w:rFonts w:ascii="宋体"/>
          <w:sz w:val="24"/>
          <w:highlight w:val="none"/>
        </w:rPr>
      </w:pPr>
      <w:bookmarkStart w:id="14" w:name="_Toc1705"/>
      <w:bookmarkStart w:id="15" w:name="_Toc979"/>
      <w:bookmarkStart w:id="16" w:name="_Toc13517"/>
      <w:r>
        <w:rPr>
          <w:rFonts w:ascii="宋体" w:hAnsi="宋体"/>
          <w:sz w:val="24"/>
          <w:highlight w:val="none"/>
        </w:rPr>
        <w:t xml:space="preserve">4.1 </w:t>
      </w:r>
      <w:r>
        <w:rPr>
          <w:rFonts w:hint="eastAsia" w:ascii="宋体" w:hAnsi="宋体"/>
          <w:sz w:val="24"/>
          <w:highlight w:val="none"/>
        </w:rPr>
        <w:t>“招标货物”指本招标文件中所述产品及相关服务。</w:t>
      </w:r>
      <w:bookmarkEnd w:id="14"/>
      <w:bookmarkEnd w:id="15"/>
      <w:bookmarkEnd w:id="16"/>
    </w:p>
    <w:p>
      <w:pPr>
        <w:pStyle w:val="21"/>
        <w:tabs>
          <w:tab w:val="left" w:pos="1146"/>
        </w:tabs>
        <w:spacing w:line="480" w:lineRule="exact"/>
        <w:ind w:left="128" w:leftChars="61" w:firstLine="480" w:firstLineChars="200"/>
        <w:outlineLvl w:val="0"/>
        <w:rPr>
          <w:rFonts w:ascii="宋体"/>
          <w:sz w:val="24"/>
          <w:highlight w:val="none"/>
        </w:rPr>
      </w:pPr>
      <w:bookmarkStart w:id="17" w:name="_Toc17993"/>
      <w:bookmarkStart w:id="18" w:name="_Toc15995"/>
      <w:bookmarkStart w:id="19" w:name="_Toc13825"/>
      <w:r>
        <w:rPr>
          <w:rFonts w:ascii="宋体" w:hAnsi="宋体"/>
          <w:sz w:val="24"/>
          <w:highlight w:val="none"/>
        </w:rPr>
        <w:t xml:space="preserve">4.2  </w:t>
      </w:r>
      <w:r>
        <w:rPr>
          <w:rFonts w:hint="eastAsia" w:ascii="宋体" w:hAnsi="宋体"/>
          <w:sz w:val="24"/>
          <w:highlight w:val="none"/>
        </w:rPr>
        <w:t>进口产品是指通过中国海关报关验放进入中国境内且产自关境外的产品。</w:t>
      </w:r>
      <w:bookmarkEnd w:id="17"/>
      <w:bookmarkEnd w:id="18"/>
      <w:bookmarkEnd w:id="19"/>
    </w:p>
    <w:p>
      <w:pPr>
        <w:pStyle w:val="21"/>
        <w:tabs>
          <w:tab w:val="left" w:pos="955"/>
        </w:tabs>
        <w:spacing w:line="480" w:lineRule="exact"/>
        <w:ind w:left="571" w:leftChars="272" w:firstLine="2" w:firstLineChars="0"/>
        <w:outlineLvl w:val="0"/>
        <w:rPr>
          <w:rFonts w:ascii="宋体"/>
          <w:b/>
          <w:sz w:val="24"/>
          <w:highlight w:val="none"/>
        </w:rPr>
      </w:pPr>
      <w:bookmarkStart w:id="20" w:name="_Toc32728"/>
      <w:bookmarkStart w:id="21" w:name="_Toc6605"/>
      <w:bookmarkStart w:id="22" w:name="_Toc30324"/>
      <w:r>
        <w:rPr>
          <w:rFonts w:ascii="宋体" w:hAnsi="宋体"/>
          <w:b/>
          <w:sz w:val="24"/>
          <w:highlight w:val="none"/>
        </w:rPr>
        <w:t xml:space="preserve">5.  </w:t>
      </w:r>
      <w:r>
        <w:rPr>
          <w:rFonts w:hint="eastAsia" w:ascii="宋体" w:hAnsi="宋体"/>
          <w:b/>
          <w:sz w:val="24"/>
          <w:highlight w:val="none"/>
        </w:rPr>
        <w:t>投标费用</w:t>
      </w:r>
      <w:bookmarkEnd w:id="20"/>
      <w:bookmarkEnd w:id="21"/>
      <w:bookmarkEnd w:id="22"/>
    </w:p>
    <w:p>
      <w:pPr>
        <w:pStyle w:val="21"/>
        <w:spacing w:line="480" w:lineRule="exact"/>
        <w:ind w:left="48" w:leftChars="23" w:firstLine="480" w:firstLineChars="200"/>
        <w:outlineLvl w:val="0"/>
        <w:rPr>
          <w:rFonts w:ascii="宋体"/>
          <w:sz w:val="24"/>
          <w:highlight w:val="none"/>
        </w:rPr>
      </w:pPr>
      <w:bookmarkStart w:id="23" w:name="_Toc8916"/>
      <w:bookmarkStart w:id="24" w:name="_Toc17097"/>
      <w:bookmarkStart w:id="25" w:name="_Toc7414"/>
      <w:r>
        <w:rPr>
          <w:rFonts w:ascii="宋体" w:hAnsi="宋体"/>
          <w:sz w:val="24"/>
          <w:highlight w:val="none"/>
        </w:rPr>
        <w:t>5.1</w:t>
      </w:r>
      <w:r>
        <w:rPr>
          <w:rFonts w:hint="eastAsia" w:ascii="宋体" w:hAnsi="宋体"/>
          <w:sz w:val="24"/>
          <w:highlight w:val="none"/>
        </w:rPr>
        <w:t>无论投标报价过程的实施或结果如何，投标人均应承担与投标文件制作和投标报价相关的所有费用。招标人和招标代理在任何情况下都不担负这些费用。</w:t>
      </w:r>
      <w:bookmarkEnd w:id="23"/>
      <w:bookmarkEnd w:id="24"/>
      <w:bookmarkEnd w:id="25"/>
    </w:p>
    <w:p>
      <w:pPr>
        <w:pStyle w:val="21"/>
        <w:spacing w:line="480" w:lineRule="exact"/>
        <w:ind w:left="48" w:leftChars="23" w:firstLine="480" w:firstLineChars="200"/>
        <w:outlineLvl w:val="0"/>
        <w:rPr>
          <w:rFonts w:ascii="宋体"/>
          <w:sz w:val="24"/>
          <w:highlight w:val="none"/>
        </w:rPr>
      </w:pPr>
      <w:bookmarkStart w:id="26" w:name="_Toc15482"/>
      <w:r>
        <w:rPr>
          <w:rFonts w:ascii="宋体" w:hAnsi="宋体"/>
          <w:sz w:val="24"/>
          <w:highlight w:val="none"/>
        </w:rPr>
        <w:t>5.2</w:t>
      </w:r>
      <w:r>
        <w:rPr>
          <w:rFonts w:hint="eastAsia"/>
          <w:sz w:val="24"/>
          <w:szCs w:val="22"/>
          <w:highlight w:val="none"/>
        </w:rPr>
        <w:t>中标服务费：按国家计委计价格</w:t>
      </w:r>
      <w:r>
        <w:rPr>
          <w:sz w:val="24"/>
          <w:szCs w:val="22"/>
          <w:highlight w:val="none"/>
        </w:rPr>
        <w:t>[2002]1980</w:t>
      </w:r>
      <w:r>
        <w:rPr>
          <w:rFonts w:hint="eastAsia"/>
          <w:sz w:val="24"/>
          <w:szCs w:val="22"/>
          <w:highlight w:val="none"/>
        </w:rPr>
        <w:t>号文收费标准下浮</w:t>
      </w:r>
      <w:r>
        <w:rPr>
          <w:sz w:val="24"/>
          <w:szCs w:val="22"/>
          <w:highlight w:val="none"/>
        </w:rPr>
        <w:t>30%</w:t>
      </w:r>
      <w:r>
        <w:rPr>
          <w:rFonts w:hint="eastAsia"/>
          <w:sz w:val="24"/>
          <w:szCs w:val="22"/>
          <w:highlight w:val="none"/>
        </w:rPr>
        <w:t>向代理招标人交纳中标服务费。中标服务费由中标人支付。无论投标过程中的方法和结果如何，投标人自行承担所有与参加投标有关的费用。</w:t>
      </w:r>
      <w:bookmarkEnd w:id="26"/>
    </w:p>
    <w:p>
      <w:pPr>
        <w:pStyle w:val="21"/>
        <w:spacing w:line="480" w:lineRule="exact"/>
        <w:ind w:left="0" w:leftChars="0" w:firstLine="0" w:firstLineChars="0"/>
        <w:outlineLvl w:val="1"/>
        <w:rPr>
          <w:rFonts w:ascii="宋体"/>
          <w:b/>
          <w:sz w:val="28"/>
          <w:highlight w:val="none"/>
        </w:rPr>
      </w:pPr>
      <w:bookmarkStart w:id="27" w:name="_Toc7019"/>
      <w:bookmarkStart w:id="28" w:name="_Toc22107"/>
      <w:bookmarkStart w:id="29" w:name="_Toc8225"/>
      <w:r>
        <w:rPr>
          <w:rFonts w:hint="eastAsia" w:ascii="宋体" w:hAnsi="宋体"/>
          <w:b/>
          <w:sz w:val="28"/>
          <w:highlight w:val="none"/>
        </w:rPr>
        <w:t>二、招标文件</w:t>
      </w:r>
      <w:bookmarkEnd w:id="27"/>
      <w:bookmarkEnd w:id="28"/>
      <w:bookmarkEnd w:id="29"/>
    </w:p>
    <w:p>
      <w:pPr>
        <w:pStyle w:val="21"/>
        <w:spacing w:line="480" w:lineRule="exact"/>
        <w:ind w:left="569" w:leftChars="271" w:firstLine="2" w:firstLineChars="1"/>
        <w:outlineLvl w:val="0"/>
        <w:rPr>
          <w:rFonts w:ascii="宋体"/>
          <w:b/>
          <w:sz w:val="24"/>
          <w:highlight w:val="none"/>
        </w:rPr>
      </w:pPr>
      <w:bookmarkStart w:id="30" w:name="_Toc8798"/>
      <w:bookmarkStart w:id="31" w:name="_Toc31893"/>
      <w:bookmarkStart w:id="32" w:name="_Toc29387"/>
      <w:r>
        <w:rPr>
          <w:rFonts w:ascii="宋体" w:hAnsi="宋体"/>
          <w:b/>
          <w:sz w:val="24"/>
          <w:highlight w:val="none"/>
        </w:rPr>
        <w:t xml:space="preserve">6.  </w:t>
      </w:r>
      <w:r>
        <w:rPr>
          <w:rFonts w:hint="eastAsia" w:ascii="宋体" w:hAnsi="宋体"/>
          <w:b/>
          <w:sz w:val="24"/>
          <w:highlight w:val="none"/>
        </w:rPr>
        <w:t>招标文件构成</w:t>
      </w:r>
      <w:bookmarkEnd w:id="30"/>
      <w:bookmarkEnd w:id="31"/>
      <w:bookmarkEnd w:id="32"/>
    </w:p>
    <w:p>
      <w:pPr>
        <w:pStyle w:val="21"/>
        <w:spacing w:line="480" w:lineRule="exact"/>
        <w:ind w:left="197" w:leftChars="94" w:firstLine="360" w:firstLineChars="150"/>
        <w:outlineLvl w:val="0"/>
        <w:rPr>
          <w:rFonts w:ascii="宋体"/>
          <w:sz w:val="24"/>
          <w:highlight w:val="none"/>
        </w:rPr>
      </w:pPr>
      <w:bookmarkStart w:id="33" w:name="_Toc22244"/>
      <w:bookmarkStart w:id="34" w:name="_Toc29308"/>
      <w:bookmarkStart w:id="35" w:name="_Toc27616"/>
      <w:r>
        <w:rPr>
          <w:rFonts w:hint="eastAsia" w:ascii="宋体" w:hAnsi="宋体"/>
          <w:sz w:val="24"/>
          <w:highlight w:val="none"/>
        </w:rPr>
        <w:t>本招标文件共分五部分，内容如下：</w:t>
      </w:r>
      <w:bookmarkEnd w:id="33"/>
      <w:bookmarkEnd w:id="34"/>
      <w:bookmarkEnd w:id="35"/>
    </w:p>
    <w:p>
      <w:pPr>
        <w:pStyle w:val="21"/>
        <w:spacing w:line="480" w:lineRule="exact"/>
        <w:ind w:left="199" w:leftChars="95" w:firstLine="840" w:firstLineChars="350"/>
        <w:outlineLvl w:val="0"/>
        <w:rPr>
          <w:rFonts w:ascii="宋体"/>
          <w:sz w:val="24"/>
          <w:highlight w:val="none"/>
        </w:rPr>
      </w:pPr>
      <w:bookmarkStart w:id="36" w:name="_Toc24847"/>
      <w:bookmarkStart w:id="37" w:name="_Toc22328"/>
      <w:bookmarkStart w:id="38" w:name="_Toc22769"/>
      <w:r>
        <w:rPr>
          <w:rFonts w:hint="eastAsia" w:ascii="宋体" w:hAnsi="宋体"/>
          <w:sz w:val="24"/>
          <w:highlight w:val="none"/>
        </w:rPr>
        <w:t>第一部分招标公告</w:t>
      </w:r>
      <w:bookmarkEnd w:id="36"/>
      <w:bookmarkEnd w:id="37"/>
      <w:bookmarkEnd w:id="38"/>
    </w:p>
    <w:p>
      <w:pPr>
        <w:pStyle w:val="21"/>
        <w:spacing w:line="480" w:lineRule="exact"/>
        <w:ind w:left="199" w:leftChars="95" w:firstLine="840" w:firstLineChars="350"/>
        <w:outlineLvl w:val="0"/>
        <w:rPr>
          <w:rFonts w:ascii="宋体"/>
          <w:sz w:val="24"/>
          <w:highlight w:val="none"/>
        </w:rPr>
      </w:pPr>
      <w:bookmarkStart w:id="39" w:name="_Toc30737"/>
      <w:bookmarkStart w:id="40" w:name="_Toc21707"/>
      <w:bookmarkStart w:id="41" w:name="_Toc3662"/>
      <w:r>
        <w:rPr>
          <w:rFonts w:hint="eastAsia" w:ascii="宋体" w:hAnsi="宋体"/>
          <w:sz w:val="24"/>
          <w:highlight w:val="none"/>
        </w:rPr>
        <w:t>第二部分投标人须知</w:t>
      </w:r>
      <w:bookmarkEnd w:id="39"/>
      <w:bookmarkEnd w:id="40"/>
      <w:bookmarkEnd w:id="41"/>
    </w:p>
    <w:p>
      <w:pPr>
        <w:pStyle w:val="21"/>
        <w:spacing w:line="480" w:lineRule="exact"/>
        <w:ind w:left="199" w:leftChars="95" w:firstLine="840" w:firstLineChars="350"/>
        <w:outlineLvl w:val="0"/>
        <w:rPr>
          <w:rFonts w:ascii="宋体"/>
          <w:sz w:val="24"/>
          <w:highlight w:val="none"/>
        </w:rPr>
      </w:pPr>
      <w:bookmarkStart w:id="42" w:name="_Toc5592"/>
      <w:bookmarkStart w:id="43" w:name="_Toc25164"/>
      <w:bookmarkStart w:id="44" w:name="_Toc6061"/>
      <w:r>
        <w:rPr>
          <w:rFonts w:hint="eastAsia" w:ascii="宋体" w:hAnsi="宋体"/>
          <w:sz w:val="24"/>
          <w:highlight w:val="none"/>
        </w:rPr>
        <w:t>第三部分招标要求</w:t>
      </w:r>
      <w:bookmarkEnd w:id="42"/>
      <w:bookmarkEnd w:id="43"/>
      <w:bookmarkEnd w:id="44"/>
    </w:p>
    <w:p>
      <w:pPr>
        <w:pStyle w:val="21"/>
        <w:spacing w:line="480" w:lineRule="exact"/>
        <w:ind w:left="199" w:leftChars="95" w:firstLine="840" w:firstLineChars="350"/>
        <w:outlineLvl w:val="0"/>
        <w:rPr>
          <w:rFonts w:ascii="宋体"/>
          <w:sz w:val="24"/>
          <w:highlight w:val="none"/>
        </w:rPr>
      </w:pPr>
      <w:bookmarkStart w:id="45" w:name="_Toc27874"/>
      <w:bookmarkStart w:id="46" w:name="_Toc26235"/>
      <w:bookmarkStart w:id="47" w:name="_Toc8921"/>
      <w:r>
        <w:rPr>
          <w:rFonts w:hint="eastAsia" w:ascii="宋体" w:hAnsi="宋体"/>
          <w:sz w:val="24"/>
          <w:highlight w:val="none"/>
        </w:rPr>
        <w:t>第四部分合同条款及格式</w:t>
      </w:r>
      <w:bookmarkEnd w:id="45"/>
      <w:bookmarkEnd w:id="46"/>
      <w:bookmarkEnd w:id="47"/>
    </w:p>
    <w:p>
      <w:pPr>
        <w:pStyle w:val="21"/>
        <w:spacing w:line="480" w:lineRule="exact"/>
        <w:ind w:left="199" w:leftChars="95" w:firstLine="840" w:firstLineChars="350"/>
        <w:outlineLvl w:val="0"/>
        <w:rPr>
          <w:rFonts w:ascii="宋体"/>
          <w:sz w:val="24"/>
          <w:highlight w:val="none"/>
        </w:rPr>
      </w:pPr>
      <w:bookmarkStart w:id="48" w:name="_Toc24995"/>
      <w:bookmarkStart w:id="49" w:name="_Toc23721"/>
      <w:bookmarkStart w:id="50" w:name="_Toc1085"/>
      <w:r>
        <w:rPr>
          <w:rFonts w:hint="eastAsia" w:ascii="宋体" w:hAnsi="宋体"/>
          <w:sz w:val="24"/>
          <w:highlight w:val="none"/>
        </w:rPr>
        <w:t>第五部分附件</w:t>
      </w:r>
      <w:bookmarkEnd w:id="48"/>
      <w:bookmarkEnd w:id="49"/>
      <w:bookmarkEnd w:id="50"/>
    </w:p>
    <w:p>
      <w:pPr>
        <w:pStyle w:val="21"/>
        <w:spacing w:line="480" w:lineRule="exact"/>
        <w:ind w:left="197" w:leftChars="94" w:firstLine="376" w:firstLineChars="156"/>
        <w:outlineLvl w:val="0"/>
        <w:rPr>
          <w:rFonts w:ascii="宋体"/>
          <w:b/>
          <w:sz w:val="24"/>
          <w:highlight w:val="none"/>
        </w:rPr>
      </w:pPr>
      <w:bookmarkStart w:id="51" w:name="_Toc27057"/>
      <w:bookmarkStart w:id="52" w:name="_Toc31858"/>
      <w:bookmarkStart w:id="53" w:name="_Toc4919"/>
      <w:r>
        <w:rPr>
          <w:rFonts w:ascii="宋体" w:hAnsi="宋体"/>
          <w:b/>
          <w:sz w:val="24"/>
          <w:highlight w:val="none"/>
        </w:rPr>
        <w:t xml:space="preserve">7.  </w:t>
      </w:r>
      <w:r>
        <w:rPr>
          <w:rFonts w:hint="eastAsia" w:ascii="宋体" w:hAnsi="宋体"/>
          <w:b/>
          <w:sz w:val="24"/>
          <w:highlight w:val="none"/>
        </w:rPr>
        <w:t>招标文件澄清和修改</w:t>
      </w:r>
      <w:bookmarkEnd w:id="51"/>
      <w:bookmarkEnd w:id="52"/>
      <w:bookmarkEnd w:id="53"/>
    </w:p>
    <w:p>
      <w:pPr>
        <w:pStyle w:val="21"/>
        <w:spacing w:line="480" w:lineRule="exact"/>
        <w:ind w:left="286" w:leftChars="136" w:firstLine="480" w:firstLineChars="200"/>
        <w:outlineLvl w:val="0"/>
        <w:rPr>
          <w:rFonts w:ascii="宋体"/>
          <w:sz w:val="24"/>
          <w:highlight w:val="none"/>
        </w:rPr>
      </w:pPr>
      <w:bookmarkStart w:id="54" w:name="_Toc15456"/>
      <w:bookmarkStart w:id="55" w:name="_Toc32322"/>
      <w:bookmarkStart w:id="56" w:name="_Toc14329"/>
      <w:r>
        <w:rPr>
          <w:rFonts w:ascii="宋体" w:hAnsi="宋体"/>
          <w:sz w:val="24"/>
          <w:highlight w:val="none"/>
        </w:rPr>
        <w:t xml:space="preserve">7.1  </w:t>
      </w:r>
      <w:r>
        <w:rPr>
          <w:rFonts w:hint="eastAsia" w:ascii="宋体" w:hAnsi="宋体"/>
          <w:sz w:val="24"/>
          <w:highlight w:val="none"/>
        </w:rPr>
        <w:t>投标人对招标文件如有疑问，可要求澄清。要求澄清的投标人，按前附表规定的时间、地点以书面形式（包括信函或传真）通知到招标代理。招标代理将按前附表规定的方式，在其认为必要时，将不标明查询来源的书面答复发给所有购买招标文件的投标人。补充文件将作为招标文件的组成部分，对所有投标人均具有约束力。</w:t>
      </w:r>
      <w:bookmarkEnd w:id="54"/>
      <w:bookmarkEnd w:id="55"/>
      <w:bookmarkEnd w:id="56"/>
    </w:p>
    <w:p>
      <w:pPr>
        <w:pStyle w:val="21"/>
        <w:spacing w:line="480" w:lineRule="exact"/>
        <w:ind w:left="286" w:leftChars="136" w:firstLine="480" w:firstLineChars="200"/>
        <w:outlineLvl w:val="0"/>
        <w:rPr>
          <w:rFonts w:ascii="宋体"/>
          <w:sz w:val="24"/>
          <w:highlight w:val="none"/>
        </w:rPr>
      </w:pPr>
      <w:bookmarkStart w:id="57" w:name="_Toc2503"/>
      <w:bookmarkStart w:id="58" w:name="_Toc7023"/>
      <w:bookmarkStart w:id="59" w:name="_Toc30033"/>
      <w:r>
        <w:rPr>
          <w:rFonts w:ascii="宋体" w:hAnsi="宋体"/>
          <w:sz w:val="24"/>
          <w:highlight w:val="none"/>
        </w:rPr>
        <w:t xml:space="preserve">7.2  </w:t>
      </w:r>
      <w:r>
        <w:rPr>
          <w:rFonts w:hint="eastAsia" w:ascii="宋体" w:hAnsi="宋体"/>
          <w:sz w:val="24"/>
          <w:highlight w:val="none"/>
        </w:rPr>
        <w:t>在提交投标文件截止时间</w:t>
      </w:r>
      <w:r>
        <w:rPr>
          <w:rFonts w:ascii="宋体" w:hAnsi="宋体"/>
          <w:sz w:val="24"/>
          <w:highlight w:val="none"/>
        </w:rPr>
        <w:t>15</w:t>
      </w:r>
      <w:r>
        <w:rPr>
          <w:rFonts w:hint="eastAsia" w:ascii="宋体" w:hAnsi="宋体"/>
          <w:sz w:val="24"/>
          <w:highlight w:val="none"/>
        </w:rPr>
        <w:t>日前任何时候，招标代理无论出于何种原因，均可用补充文件的形式对招标文件进行澄清和修改。该澄清和修改作为招标文件的组成部分对所有投标人具有约束力，将向已登记备案并领取了招标文件的所有投标人发出。</w:t>
      </w:r>
      <w:bookmarkEnd w:id="57"/>
      <w:bookmarkEnd w:id="58"/>
      <w:bookmarkEnd w:id="59"/>
    </w:p>
    <w:p>
      <w:pPr>
        <w:pStyle w:val="21"/>
        <w:spacing w:line="480" w:lineRule="exact"/>
        <w:ind w:left="286" w:leftChars="136" w:firstLine="480" w:firstLineChars="200"/>
        <w:outlineLvl w:val="0"/>
        <w:rPr>
          <w:rFonts w:ascii="宋体"/>
          <w:sz w:val="24"/>
          <w:highlight w:val="none"/>
        </w:rPr>
      </w:pPr>
      <w:bookmarkStart w:id="60" w:name="_Toc6239"/>
      <w:bookmarkStart w:id="61" w:name="_Toc27548"/>
      <w:bookmarkStart w:id="62" w:name="_Toc23881"/>
      <w:r>
        <w:rPr>
          <w:rFonts w:ascii="宋体" w:hAnsi="宋体"/>
          <w:sz w:val="24"/>
          <w:highlight w:val="none"/>
        </w:rPr>
        <w:t xml:space="preserve">7.3  </w:t>
      </w:r>
      <w:r>
        <w:rPr>
          <w:rFonts w:hint="eastAsia" w:ascii="宋体" w:hAnsi="宋体"/>
          <w:sz w:val="24"/>
          <w:highlight w:val="none"/>
        </w:rPr>
        <w:t>投标人在收到澄清后，应在投标人须知前附表规定的时间内以书面形式通知招标人，确认已收到该澄清。</w:t>
      </w:r>
      <w:bookmarkEnd w:id="60"/>
      <w:bookmarkEnd w:id="61"/>
      <w:bookmarkEnd w:id="62"/>
    </w:p>
    <w:p>
      <w:pPr>
        <w:pStyle w:val="21"/>
        <w:spacing w:line="480" w:lineRule="exact"/>
        <w:ind w:left="286" w:leftChars="136" w:firstLine="480" w:firstLineChars="200"/>
        <w:outlineLvl w:val="0"/>
        <w:rPr>
          <w:rFonts w:ascii="宋体" w:hAnsi="宋体"/>
          <w:sz w:val="24"/>
          <w:highlight w:val="none"/>
        </w:rPr>
      </w:pPr>
      <w:bookmarkStart w:id="63" w:name="_Toc6905"/>
      <w:bookmarkStart w:id="64" w:name="_Toc17449"/>
      <w:bookmarkStart w:id="65" w:name="_Toc17859"/>
      <w:r>
        <w:rPr>
          <w:rFonts w:ascii="宋体" w:hAnsi="宋体"/>
          <w:sz w:val="24"/>
          <w:highlight w:val="none"/>
        </w:rPr>
        <w:t xml:space="preserve">7.4  </w:t>
      </w:r>
      <w:r>
        <w:rPr>
          <w:rFonts w:hint="eastAsia" w:ascii="宋体" w:hAnsi="宋体"/>
          <w:sz w:val="24"/>
          <w:highlight w:val="none"/>
        </w:rPr>
        <w:t>为使投标人有足够的时间按招标文件的要求修改投标文件，招标代理可酌情推迟投标的截止时间和日期，并将此变更书面通知上述每一投标人。在这种情况下，招标代理和投标人受投标截止期制约的所有权利和义务均相应延长至新的截止日期。</w:t>
      </w:r>
      <w:bookmarkEnd w:id="63"/>
      <w:bookmarkEnd w:id="64"/>
      <w:bookmarkEnd w:id="65"/>
    </w:p>
    <w:p>
      <w:pPr>
        <w:pStyle w:val="12"/>
        <w:tabs>
          <w:tab w:val="left" w:pos="1146"/>
        </w:tabs>
        <w:spacing w:line="480" w:lineRule="exact"/>
        <w:ind w:left="197" w:leftChars="94" w:firstLine="600" w:firstLineChars="250"/>
        <w:rPr>
          <w:rFonts w:ascii="宋体"/>
          <w:bCs/>
          <w:color w:val="000000"/>
          <w:sz w:val="24"/>
          <w:highlight w:val="none"/>
        </w:rPr>
      </w:pPr>
      <w:r>
        <w:rPr>
          <w:rFonts w:hint="eastAsia" w:ascii="宋体"/>
          <w:bCs/>
          <w:color w:val="000000"/>
          <w:sz w:val="24"/>
          <w:highlight w:val="none"/>
        </w:rPr>
        <w:t>7.5  因登记有误或其它意外情形，导致所发出的通知延迟送达或无法到投标人，采购代理不因此承担任何责任，有关的招标活动可以继续效地进行。</w:t>
      </w:r>
    </w:p>
    <w:p>
      <w:pPr>
        <w:pStyle w:val="21"/>
        <w:spacing w:line="480" w:lineRule="exact"/>
        <w:ind w:left="286" w:leftChars="136" w:firstLine="480" w:firstLineChars="200"/>
        <w:outlineLvl w:val="0"/>
        <w:rPr>
          <w:rFonts w:ascii="宋体" w:hAnsi="宋体"/>
          <w:sz w:val="24"/>
          <w:highlight w:val="none"/>
        </w:rPr>
      </w:pPr>
    </w:p>
    <w:p>
      <w:pPr>
        <w:pStyle w:val="21"/>
        <w:spacing w:line="480" w:lineRule="exact"/>
        <w:ind w:left="0" w:leftChars="0" w:firstLine="0" w:firstLineChars="0"/>
        <w:outlineLvl w:val="1"/>
        <w:rPr>
          <w:rFonts w:ascii="宋体"/>
          <w:b/>
          <w:sz w:val="28"/>
          <w:highlight w:val="none"/>
        </w:rPr>
      </w:pPr>
      <w:bookmarkStart w:id="66" w:name="_Toc20316"/>
      <w:bookmarkStart w:id="67" w:name="_Toc13670"/>
      <w:bookmarkStart w:id="68" w:name="_Toc21443"/>
      <w:r>
        <w:rPr>
          <w:rFonts w:hint="eastAsia" w:ascii="宋体" w:hAnsi="宋体"/>
          <w:b/>
          <w:sz w:val="28"/>
          <w:highlight w:val="none"/>
        </w:rPr>
        <w:t>三、投标文件编制</w:t>
      </w:r>
      <w:bookmarkEnd w:id="66"/>
      <w:bookmarkEnd w:id="67"/>
      <w:bookmarkEnd w:id="68"/>
    </w:p>
    <w:p>
      <w:pPr>
        <w:pStyle w:val="19"/>
        <w:spacing w:line="480" w:lineRule="exact"/>
        <w:ind w:left="1146" w:hanging="573"/>
        <w:rPr>
          <w:rFonts w:ascii="宋体"/>
          <w:b/>
          <w:highlight w:val="none"/>
        </w:rPr>
      </w:pPr>
      <w:r>
        <w:rPr>
          <w:rFonts w:ascii="宋体" w:hAnsi="宋体"/>
          <w:b/>
          <w:highlight w:val="none"/>
        </w:rPr>
        <w:t xml:space="preserve">8.  </w:t>
      </w:r>
      <w:r>
        <w:rPr>
          <w:rFonts w:hint="eastAsia" w:ascii="宋体" w:hAnsi="宋体"/>
          <w:b/>
          <w:highlight w:val="none"/>
        </w:rPr>
        <w:t>投标语言及计量单位</w:t>
      </w:r>
    </w:p>
    <w:p>
      <w:pPr>
        <w:pStyle w:val="29"/>
        <w:spacing w:line="480" w:lineRule="exact"/>
        <w:ind w:firstLine="561" w:firstLineChars="234"/>
        <w:rPr>
          <w:rFonts w:ascii="宋体"/>
          <w:highlight w:val="none"/>
        </w:rPr>
      </w:pPr>
      <w:r>
        <w:rPr>
          <w:rFonts w:ascii="宋体" w:hAnsi="宋体"/>
          <w:highlight w:val="none"/>
        </w:rPr>
        <w:t xml:space="preserve">8.1 </w:t>
      </w:r>
      <w:r>
        <w:rPr>
          <w:rFonts w:hint="eastAsia" w:ascii="宋体" w:hAnsi="宋体"/>
          <w:highlight w:val="none"/>
        </w:rPr>
        <w:t>投标人提交的投标文件以及投标人与招标代理就有关投标的所有来往函电均应使用中文简体字。</w:t>
      </w:r>
    </w:p>
    <w:p>
      <w:pPr>
        <w:pStyle w:val="29"/>
        <w:spacing w:line="480" w:lineRule="exact"/>
        <w:ind w:firstLine="561" w:firstLineChars="234"/>
        <w:rPr>
          <w:rFonts w:ascii="宋体"/>
          <w:highlight w:val="none"/>
        </w:rPr>
      </w:pPr>
      <w:r>
        <w:rPr>
          <w:rFonts w:ascii="宋体" w:hAnsi="宋体"/>
          <w:highlight w:val="none"/>
        </w:rPr>
        <w:t xml:space="preserve">8.2 </w:t>
      </w:r>
      <w:r>
        <w:rPr>
          <w:rFonts w:hint="eastAsia" w:ascii="宋体" w:hAnsi="宋体"/>
          <w:highlight w:val="none"/>
        </w:rPr>
        <w:t>投标人所提供的技术文件和资料，包括图纸中的说明，应使用中文简体字。</w:t>
      </w:r>
    </w:p>
    <w:p>
      <w:pPr>
        <w:pStyle w:val="29"/>
        <w:spacing w:line="480" w:lineRule="exact"/>
        <w:ind w:firstLine="561" w:firstLineChars="234"/>
        <w:rPr>
          <w:rFonts w:ascii="宋体"/>
          <w:highlight w:val="none"/>
        </w:rPr>
      </w:pPr>
      <w:r>
        <w:rPr>
          <w:rFonts w:ascii="宋体" w:hAnsi="宋体"/>
          <w:highlight w:val="none"/>
        </w:rPr>
        <w:t xml:space="preserve">8.3 </w:t>
      </w:r>
      <w:r>
        <w:rPr>
          <w:rFonts w:hint="eastAsia" w:ascii="宋体" w:hAnsi="宋体"/>
          <w:highlight w:val="none"/>
        </w:rPr>
        <w:t>原版为外文的证书类文件，以及由外国人做出的本人签名、外国公司的名称或外国印章等可以是外文，但招标代理可以要求投标人提供翻译文件，必要时可以要求提供附有公证书的翻译文件。</w:t>
      </w:r>
    </w:p>
    <w:p>
      <w:pPr>
        <w:pStyle w:val="29"/>
        <w:spacing w:line="480" w:lineRule="exact"/>
        <w:ind w:firstLine="561" w:firstLineChars="234"/>
        <w:rPr>
          <w:rFonts w:ascii="宋体"/>
          <w:highlight w:val="none"/>
        </w:rPr>
      </w:pPr>
      <w:r>
        <w:rPr>
          <w:rFonts w:ascii="宋体" w:hAnsi="宋体"/>
          <w:highlight w:val="none"/>
        </w:rPr>
        <w:t xml:space="preserve">8.5 </w:t>
      </w:r>
      <w:r>
        <w:rPr>
          <w:rFonts w:hint="eastAsia" w:ascii="宋体" w:hAnsi="宋体"/>
          <w:highlight w:val="none"/>
        </w:rPr>
        <w:t>除招标文件的技术规格中另有规定外，投标文件中所使用的计量单位应使用中华人民共和国法定计量单位。</w:t>
      </w:r>
    </w:p>
    <w:p>
      <w:pPr>
        <w:pStyle w:val="29"/>
        <w:spacing w:line="480" w:lineRule="exact"/>
        <w:ind w:firstLine="561" w:firstLineChars="234"/>
        <w:rPr>
          <w:rFonts w:ascii="宋体"/>
          <w:highlight w:val="none"/>
        </w:rPr>
      </w:pPr>
      <w:r>
        <w:rPr>
          <w:rFonts w:ascii="宋体" w:hAnsi="宋体"/>
          <w:highlight w:val="none"/>
        </w:rPr>
        <w:t xml:space="preserve">8.5 </w:t>
      </w:r>
      <w:r>
        <w:rPr>
          <w:rFonts w:hint="eastAsia" w:ascii="宋体" w:hAnsi="宋体"/>
          <w:highlight w:val="none"/>
        </w:rPr>
        <w:t>对违反上述规定情形的，评标委员会有权要求其限期提供加盖公章的翻译文件或取消其投标资格。</w:t>
      </w:r>
    </w:p>
    <w:p>
      <w:pPr>
        <w:pStyle w:val="19"/>
        <w:spacing w:line="480" w:lineRule="exact"/>
        <w:ind w:left="1146" w:hanging="573"/>
        <w:rPr>
          <w:rFonts w:ascii="宋体"/>
          <w:b/>
          <w:highlight w:val="none"/>
        </w:rPr>
      </w:pPr>
      <w:r>
        <w:rPr>
          <w:rFonts w:ascii="宋体" w:hAnsi="宋体"/>
          <w:b/>
          <w:highlight w:val="none"/>
        </w:rPr>
        <w:t xml:space="preserve">9.  </w:t>
      </w:r>
      <w:r>
        <w:rPr>
          <w:rFonts w:hint="eastAsia" w:ascii="宋体" w:hAnsi="宋体"/>
          <w:b/>
          <w:highlight w:val="none"/>
        </w:rPr>
        <w:t>投标文件构成</w:t>
      </w:r>
    </w:p>
    <w:p>
      <w:pPr>
        <w:pStyle w:val="19"/>
        <w:spacing w:line="480" w:lineRule="exact"/>
        <w:rPr>
          <w:rFonts w:ascii="宋体"/>
          <w:b/>
          <w:highlight w:val="none"/>
        </w:rPr>
      </w:pPr>
      <w:r>
        <w:rPr>
          <w:rFonts w:ascii="宋体" w:hAnsi="宋体"/>
          <w:b/>
          <w:highlight w:val="none"/>
        </w:rPr>
        <w:t xml:space="preserve">    </w:t>
      </w:r>
      <w:r>
        <w:rPr>
          <w:rFonts w:hint="eastAsia" w:ascii="宋体" w:hAnsi="宋体"/>
          <w:b/>
          <w:highlight w:val="none"/>
        </w:rPr>
        <w:t>投标文件由投标函、投标报价、资格证明文件（无需单独装订）、技术文件、商务文件组成。</w:t>
      </w:r>
    </w:p>
    <w:p>
      <w:pPr>
        <w:pStyle w:val="19"/>
        <w:spacing w:line="480" w:lineRule="exact"/>
        <w:ind w:firstLine="480" w:firstLineChars="200"/>
        <w:rPr>
          <w:rFonts w:ascii="宋体"/>
          <w:highlight w:val="none"/>
        </w:rPr>
      </w:pPr>
      <w:r>
        <w:rPr>
          <w:rFonts w:hint="eastAsia" w:ascii="宋体" w:hAnsi="宋体"/>
          <w:highlight w:val="none"/>
        </w:rPr>
        <w:t>投标人应按招标文件的要求编写投标文件，提交证明其有资格进行报价和有能力履行合同的文件。投标文件包括以下内容，并按下列顺序编制，以方便评标。</w:t>
      </w:r>
    </w:p>
    <w:p>
      <w:pPr>
        <w:pStyle w:val="19"/>
        <w:spacing w:line="480" w:lineRule="exact"/>
        <w:ind w:left="1144" w:leftChars="272" w:hanging="573" w:hangingChars="239"/>
        <w:rPr>
          <w:rFonts w:ascii="宋体"/>
          <w:highlight w:val="none"/>
        </w:rPr>
      </w:pPr>
      <w:r>
        <w:rPr>
          <w:rFonts w:ascii="宋体" w:hAnsi="宋体"/>
          <w:highlight w:val="none"/>
        </w:rPr>
        <w:t xml:space="preserve">9.1  </w:t>
      </w:r>
      <w:r>
        <w:rPr>
          <w:rFonts w:hint="eastAsia" w:ascii="宋体" w:hAnsi="宋体"/>
          <w:highlight w:val="none"/>
        </w:rPr>
        <w:t>投标函（附件一）</w:t>
      </w:r>
    </w:p>
    <w:p>
      <w:pPr>
        <w:pStyle w:val="12"/>
        <w:tabs>
          <w:tab w:val="left" w:pos="382"/>
        </w:tabs>
        <w:spacing w:line="480" w:lineRule="exact"/>
        <w:ind w:left="197" w:leftChars="94" w:firstLine="360" w:firstLineChars="150"/>
        <w:rPr>
          <w:rFonts w:ascii="宋体"/>
          <w:sz w:val="24"/>
          <w:highlight w:val="none"/>
        </w:rPr>
      </w:pPr>
      <w:r>
        <w:rPr>
          <w:rFonts w:ascii="宋体" w:hAnsi="宋体"/>
          <w:sz w:val="24"/>
          <w:highlight w:val="none"/>
        </w:rPr>
        <w:t xml:space="preserve">9.2  </w:t>
      </w:r>
      <w:r>
        <w:rPr>
          <w:rFonts w:hint="eastAsia" w:ascii="宋体" w:hAnsi="宋体"/>
          <w:sz w:val="24"/>
          <w:highlight w:val="none"/>
        </w:rPr>
        <w:t>投标报价</w:t>
      </w:r>
    </w:p>
    <w:p>
      <w:pPr>
        <w:pStyle w:val="12"/>
        <w:spacing w:line="480" w:lineRule="exact"/>
        <w:ind w:left="197" w:leftChars="94" w:firstLine="720" w:firstLineChars="300"/>
        <w:rPr>
          <w:rFonts w:ascii="宋体"/>
          <w:sz w:val="24"/>
          <w:highlight w:val="none"/>
        </w:rPr>
      </w:pPr>
      <w:r>
        <w:rPr>
          <w:rFonts w:ascii="宋体" w:hAnsi="宋体"/>
          <w:sz w:val="24"/>
          <w:highlight w:val="none"/>
        </w:rPr>
        <w:t>1</w:t>
      </w:r>
      <w:r>
        <w:rPr>
          <w:rFonts w:hint="eastAsia" w:ascii="宋体" w:hAnsi="宋体"/>
          <w:sz w:val="24"/>
          <w:highlight w:val="none"/>
        </w:rPr>
        <w:t>）开标一览表（附件三）；</w:t>
      </w:r>
    </w:p>
    <w:p>
      <w:pPr>
        <w:pStyle w:val="19"/>
        <w:spacing w:line="480" w:lineRule="exact"/>
        <w:ind w:left="-2" w:firstLine="573" w:firstLineChars="239"/>
        <w:rPr>
          <w:rFonts w:ascii="宋体"/>
          <w:highlight w:val="none"/>
        </w:rPr>
      </w:pPr>
      <w:r>
        <w:rPr>
          <w:rFonts w:ascii="宋体" w:hAnsi="宋体"/>
          <w:highlight w:val="none"/>
        </w:rPr>
        <w:t xml:space="preserve">9.3  </w:t>
      </w:r>
      <w:r>
        <w:rPr>
          <w:rFonts w:hint="eastAsia" w:ascii="宋体" w:hAnsi="宋体"/>
          <w:highlight w:val="none"/>
        </w:rPr>
        <w:t>资格证明文件（注：</w:t>
      </w:r>
      <w:r>
        <w:rPr>
          <w:rFonts w:hint="eastAsia" w:ascii="宋体" w:hAnsi="宋体"/>
          <w:b/>
          <w:highlight w:val="none"/>
        </w:rPr>
        <w:t>无需单独装订</w:t>
      </w:r>
      <w:r>
        <w:rPr>
          <w:rFonts w:hint="eastAsia" w:ascii="宋体" w:hAnsi="宋体"/>
          <w:highlight w:val="none"/>
        </w:rPr>
        <w:t>）</w:t>
      </w:r>
    </w:p>
    <w:p>
      <w:pPr>
        <w:pStyle w:val="12"/>
        <w:spacing w:line="480" w:lineRule="exact"/>
        <w:ind w:left="197" w:leftChars="94" w:firstLine="360" w:firstLineChars="150"/>
        <w:rPr>
          <w:rFonts w:ascii="宋体"/>
          <w:sz w:val="24"/>
          <w:highlight w:val="none"/>
        </w:rPr>
      </w:pPr>
      <w:r>
        <w:rPr>
          <w:rFonts w:ascii="宋体" w:hAnsi="宋体"/>
          <w:sz w:val="24"/>
          <w:highlight w:val="none"/>
        </w:rPr>
        <w:t>1)</w:t>
      </w:r>
      <w:r>
        <w:rPr>
          <w:rFonts w:hint="eastAsia" w:ascii="宋体" w:hAnsi="宋体"/>
          <w:sz w:val="24"/>
          <w:highlight w:val="none"/>
        </w:rPr>
        <w:t>营业执照副本、税务登记证副本（三证合一除外）复印件；</w:t>
      </w:r>
    </w:p>
    <w:p>
      <w:pPr>
        <w:pStyle w:val="12"/>
        <w:spacing w:line="480" w:lineRule="exact"/>
        <w:ind w:left="197" w:leftChars="94" w:firstLine="360" w:firstLineChars="150"/>
        <w:rPr>
          <w:rFonts w:ascii="宋体"/>
          <w:sz w:val="24"/>
          <w:highlight w:val="none"/>
        </w:rPr>
      </w:pPr>
      <w:r>
        <w:rPr>
          <w:rFonts w:ascii="宋体" w:hAnsi="宋体"/>
          <w:sz w:val="24"/>
          <w:highlight w:val="none"/>
        </w:rPr>
        <w:t>2)</w:t>
      </w:r>
      <w:r>
        <w:rPr>
          <w:rFonts w:hint="eastAsia" w:ascii="宋体" w:hAnsi="宋体"/>
          <w:sz w:val="24"/>
          <w:highlight w:val="none"/>
        </w:rPr>
        <w:t>授权委托书原件（附件二），投标人授权代表须提供身份证复印件；</w:t>
      </w:r>
    </w:p>
    <w:p>
      <w:pPr>
        <w:pStyle w:val="12"/>
        <w:spacing w:line="480" w:lineRule="exact"/>
        <w:ind w:left="197" w:leftChars="94" w:firstLine="360" w:firstLineChars="150"/>
        <w:rPr>
          <w:rFonts w:ascii="宋体" w:cs="宋体"/>
          <w:kern w:val="0"/>
          <w:sz w:val="24"/>
          <w:highlight w:val="none"/>
        </w:rPr>
      </w:pPr>
      <w:r>
        <w:rPr>
          <w:rFonts w:ascii="宋体" w:hAnsi="宋体"/>
          <w:sz w:val="24"/>
          <w:highlight w:val="none"/>
        </w:rPr>
        <w:t>3</w:t>
      </w:r>
      <w:r>
        <w:rPr>
          <w:rFonts w:hint="eastAsia" w:ascii="宋体" w:hAnsi="宋体"/>
          <w:sz w:val="24"/>
          <w:highlight w:val="none"/>
        </w:rPr>
        <w:t>）近三年无不良信誉证明，“信用中国”网站（</w:t>
      </w:r>
      <w:r>
        <w:rPr>
          <w:rFonts w:ascii="宋体" w:hAnsi="宋体"/>
          <w:sz w:val="24"/>
          <w:highlight w:val="none"/>
        </w:rPr>
        <w:t>www.creditchina.gov.cn）、中国政府采购网（www.ccgp.gov.cn）等渠道查询截图</w:t>
      </w:r>
      <w:r>
        <w:rPr>
          <w:rFonts w:hint="eastAsia" w:ascii="宋体" w:hAnsi="宋体"/>
          <w:sz w:val="24"/>
          <w:highlight w:val="none"/>
        </w:rPr>
        <w:t>，经</w:t>
      </w:r>
      <w:r>
        <w:rPr>
          <w:rFonts w:ascii="宋体" w:hAnsi="宋体"/>
          <w:sz w:val="24"/>
          <w:highlight w:val="none"/>
        </w:rPr>
        <w:t>查询，在本项目开标日前，</w:t>
      </w:r>
      <w:r>
        <w:rPr>
          <w:rFonts w:hint="eastAsia" w:ascii="宋体" w:hAnsi="宋体"/>
          <w:sz w:val="24"/>
          <w:highlight w:val="none"/>
        </w:rPr>
        <w:t>若供应商</w:t>
      </w:r>
      <w:r>
        <w:rPr>
          <w:rFonts w:ascii="宋体" w:hAnsi="宋体"/>
          <w:sz w:val="24"/>
          <w:highlight w:val="none"/>
        </w:rPr>
        <w:t>列入失信被执行人、重大税收违法案件当事人名单、政府采购严重违法失信行为记录名单及其他不符合《中华人民共和国政府采购法》第二十二条规定条件的</w:t>
      </w:r>
      <w:r>
        <w:rPr>
          <w:rFonts w:hint="eastAsia" w:ascii="宋体" w:hAnsi="宋体"/>
          <w:sz w:val="24"/>
          <w:highlight w:val="none"/>
        </w:rPr>
        <w:t>供应商</w:t>
      </w:r>
      <w:r>
        <w:rPr>
          <w:rFonts w:ascii="宋体" w:hAnsi="宋体"/>
          <w:sz w:val="24"/>
          <w:highlight w:val="none"/>
        </w:rPr>
        <w:t>，其投标将被拒绝。</w:t>
      </w:r>
      <w:r>
        <w:rPr>
          <w:rFonts w:hint="eastAsia" w:ascii="宋体" w:hAnsi="宋体"/>
          <w:sz w:val="24"/>
          <w:highlight w:val="none"/>
        </w:rPr>
        <w:t>如投标单位成立不足三年供应商需提供自成立至今的。（附件八的格式</w:t>
      </w:r>
      <w:r>
        <w:rPr>
          <w:rFonts w:ascii="宋体" w:hAnsi="宋体"/>
          <w:sz w:val="24"/>
          <w:highlight w:val="none"/>
        </w:rPr>
        <w:t>1</w:t>
      </w:r>
      <w:r>
        <w:rPr>
          <w:rFonts w:hint="eastAsia" w:ascii="宋体" w:hAnsi="宋体"/>
          <w:sz w:val="24"/>
          <w:highlight w:val="none"/>
        </w:rPr>
        <w:t>）；</w:t>
      </w:r>
    </w:p>
    <w:p>
      <w:pPr>
        <w:pStyle w:val="12"/>
        <w:spacing w:line="480" w:lineRule="exact"/>
        <w:ind w:left="197" w:leftChars="94" w:firstLine="360" w:firstLineChars="150"/>
        <w:rPr>
          <w:rFonts w:ascii="宋体"/>
          <w:sz w:val="24"/>
          <w:highlight w:val="none"/>
        </w:rPr>
      </w:pPr>
      <w:r>
        <w:rPr>
          <w:rFonts w:ascii="宋体" w:hAnsi="宋体" w:cs="宋体"/>
          <w:kern w:val="0"/>
          <w:sz w:val="24"/>
          <w:highlight w:val="none"/>
        </w:rPr>
        <w:t>4</w:t>
      </w:r>
      <w:r>
        <w:rPr>
          <w:rFonts w:hint="eastAsia" w:ascii="宋体" w:hAnsi="宋体" w:cs="宋体"/>
          <w:kern w:val="0"/>
          <w:sz w:val="24"/>
          <w:highlight w:val="none"/>
        </w:rPr>
        <w:t>）</w:t>
      </w:r>
      <w:r>
        <w:rPr>
          <w:rFonts w:ascii="宋体" w:hAnsi="宋体"/>
          <w:sz w:val="24"/>
          <w:highlight w:val="none"/>
        </w:rPr>
        <w:t>201</w:t>
      </w:r>
      <w:r>
        <w:rPr>
          <w:rFonts w:hint="eastAsia" w:ascii="宋体" w:hAnsi="宋体"/>
          <w:sz w:val="24"/>
          <w:highlight w:val="none"/>
        </w:rPr>
        <w:t>8年度财务状况报告（附件八的格式</w:t>
      </w:r>
      <w:r>
        <w:rPr>
          <w:rFonts w:ascii="宋体" w:hAnsi="宋体"/>
          <w:sz w:val="24"/>
          <w:highlight w:val="none"/>
        </w:rPr>
        <w:t>2</w:t>
      </w:r>
      <w:r>
        <w:rPr>
          <w:rFonts w:hint="eastAsia" w:ascii="宋体" w:hAnsi="宋体"/>
          <w:sz w:val="24"/>
          <w:highlight w:val="none"/>
        </w:rPr>
        <w:t>）及依法缴纳税收和社会保障资金的相关材料，（附件八的格式</w:t>
      </w:r>
      <w:r>
        <w:rPr>
          <w:rFonts w:ascii="宋体" w:hAnsi="宋体"/>
          <w:sz w:val="24"/>
          <w:highlight w:val="none"/>
        </w:rPr>
        <w:t>3</w:t>
      </w:r>
      <w:r>
        <w:rPr>
          <w:rFonts w:hint="eastAsia" w:ascii="宋体" w:hAnsi="宋体"/>
          <w:sz w:val="24"/>
          <w:highlight w:val="none"/>
        </w:rPr>
        <w:t>），如投标单位成立不足三年供应商需提供自成立至今的；</w:t>
      </w:r>
    </w:p>
    <w:p>
      <w:pPr>
        <w:pStyle w:val="12"/>
        <w:spacing w:line="480" w:lineRule="exact"/>
        <w:ind w:left="197" w:leftChars="94" w:firstLine="360" w:firstLineChars="150"/>
        <w:rPr>
          <w:rFonts w:ascii="宋体" w:hAnsi="宋体"/>
          <w:sz w:val="24"/>
          <w:highlight w:val="none"/>
        </w:rPr>
      </w:pPr>
      <w:r>
        <w:rPr>
          <w:rFonts w:ascii="宋体" w:hAnsi="宋体"/>
          <w:sz w:val="24"/>
          <w:highlight w:val="none"/>
        </w:rPr>
        <w:t>5</w:t>
      </w:r>
      <w:r>
        <w:rPr>
          <w:rFonts w:hint="eastAsia" w:ascii="宋体" w:hAnsi="宋体"/>
          <w:sz w:val="24"/>
          <w:highlight w:val="none"/>
        </w:rPr>
        <w:t>）具备履行合同所必需的设备和专业技术能力的证明材料（附件八的格式</w:t>
      </w:r>
      <w:r>
        <w:rPr>
          <w:rFonts w:ascii="宋体" w:hAnsi="宋体"/>
          <w:sz w:val="24"/>
          <w:highlight w:val="none"/>
        </w:rPr>
        <w:t>4</w:t>
      </w:r>
      <w:r>
        <w:rPr>
          <w:rFonts w:hint="eastAsia" w:ascii="宋体" w:hAnsi="宋体"/>
          <w:sz w:val="24"/>
          <w:highlight w:val="none"/>
        </w:rPr>
        <w:t>）；</w:t>
      </w:r>
    </w:p>
    <w:p>
      <w:pPr>
        <w:pStyle w:val="12"/>
        <w:spacing w:line="480" w:lineRule="exact"/>
        <w:ind w:left="197" w:leftChars="94" w:firstLine="360" w:firstLineChars="150"/>
        <w:rPr>
          <w:rFonts w:ascii="宋体"/>
          <w:sz w:val="24"/>
          <w:highlight w:val="none"/>
        </w:rPr>
      </w:pPr>
      <w:r>
        <w:rPr>
          <w:rFonts w:ascii="宋体" w:hAnsi="宋体"/>
          <w:sz w:val="24"/>
          <w:highlight w:val="none"/>
        </w:rPr>
        <w:t>6</w:t>
      </w:r>
      <w:r>
        <w:rPr>
          <w:rFonts w:hint="eastAsia" w:ascii="宋体" w:hAnsi="宋体"/>
          <w:sz w:val="24"/>
          <w:highlight w:val="none"/>
        </w:rPr>
        <w:t>）投标人为小型和微型企业的，须提供企业所在地的县级以上中小企业主管部门出具的证明文件、《小微企业声明函》（附件八的格式</w:t>
      </w:r>
      <w:r>
        <w:rPr>
          <w:rFonts w:ascii="宋体" w:hAnsi="宋体"/>
          <w:sz w:val="24"/>
          <w:highlight w:val="none"/>
        </w:rPr>
        <w:t>5</w:t>
      </w:r>
      <w:r>
        <w:rPr>
          <w:rFonts w:hint="eastAsia" w:ascii="宋体" w:hAnsi="宋体"/>
          <w:sz w:val="24"/>
          <w:highlight w:val="none"/>
        </w:rPr>
        <w:t>）、《从业人员声明函》（附件八的格式</w:t>
      </w:r>
      <w:r>
        <w:rPr>
          <w:rFonts w:ascii="宋体" w:hAnsi="宋体"/>
          <w:sz w:val="24"/>
          <w:highlight w:val="none"/>
        </w:rPr>
        <w:t>6</w:t>
      </w:r>
      <w:r>
        <w:rPr>
          <w:rFonts w:hint="eastAsia" w:ascii="宋体" w:hAnsi="宋体"/>
          <w:sz w:val="24"/>
          <w:highlight w:val="none"/>
        </w:rPr>
        <w:t>）原件及复印件（如果有）；</w:t>
      </w:r>
    </w:p>
    <w:p>
      <w:pPr>
        <w:pStyle w:val="12"/>
        <w:spacing w:line="480" w:lineRule="exact"/>
        <w:ind w:left="197" w:leftChars="94" w:firstLine="360" w:firstLineChars="150"/>
        <w:rPr>
          <w:rFonts w:ascii="宋体"/>
          <w:sz w:val="24"/>
          <w:highlight w:val="none"/>
        </w:rPr>
      </w:pPr>
      <w:r>
        <w:rPr>
          <w:rFonts w:ascii="宋体" w:hAnsi="宋体"/>
          <w:sz w:val="24"/>
          <w:highlight w:val="none"/>
        </w:rPr>
        <w:t>7</w:t>
      </w:r>
      <w:r>
        <w:rPr>
          <w:rFonts w:hint="eastAsia" w:ascii="宋体" w:hAnsi="宋体"/>
          <w:sz w:val="24"/>
          <w:highlight w:val="none"/>
        </w:rPr>
        <w:t>）投标人为监狱企业的，须提供省级以上监狱管理局、戒毒管理局（含新疆生产建设兵团）出具的属于监狱企业的证明文件原件（如果有）；</w:t>
      </w:r>
    </w:p>
    <w:p>
      <w:pPr>
        <w:pStyle w:val="12"/>
        <w:spacing w:line="480" w:lineRule="exact"/>
        <w:ind w:left="197" w:leftChars="94" w:firstLine="360" w:firstLineChars="150"/>
        <w:rPr>
          <w:rFonts w:ascii="宋体" w:hAnsi="宋体"/>
          <w:sz w:val="24"/>
          <w:highlight w:val="none"/>
        </w:rPr>
      </w:pPr>
      <w:r>
        <w:rPr>
          <w:rFonts w:ascii="宋体" w:hAnsi="宋体"/>
          <w:sz w:val="24"/>
          <w:highlight w:val="none"/>
        </w:rPr>
        <w:t>8</w:t>
      </w:r>
      <w:r>
        <w:rPr>
          <w:rFonts w:hint="eastAsia" w:ascii="宋体" w:hAnsi="宋体"/>
          <w:sz w:val="24"/>
          <w:highlight w:val="none"/>
        </w:rPr>
        <w:t>）节能或环保产品证明（如果有）；</w:t>
      </w:r>
    </w:p>
    <w:p>
      <w:pPr>
        <w:pStyle w:val="12"/>
        <w:spacing w:line="480" w:lineRule="exact"/>
        <w:ind w:left="197" w:leftChars="94" w:firstLine="360" w:firstLineChars="150"/>
        <w:rPr>
          <w:rFonts w:ascii="宋体" w:hAnsi="宋体"/>
          <w:sz w:val="24"/>
          <w:highlight w:val="none"/>
        </w:rPr>
      </w:pPr>
      <w:r>
        <w:rPr>
          <w:rFonts w:hint="eastAsia" w:ascii="宋体" w:hAnsi="宋体"/>
          <w:sz w:val="24"/>
          <w:highlight w:val="none"/>
        </w:rPr>
        <w:t>9）康复数字化平台相关计算机软件著作权证书，若投标人非生产制造厂商，须获得原厂商书面授权，并提供原厂商加盖鲜章的软件著作权证书；</w:t>
      </w:r>
    </w:p>
    <w:p>
      <w:pPr>
        <w:pStyle w:val="12"/>
        <w:spacing w:line="480" w:lineRule="exact"/>
        <w:ind w:left="197" w:leftChars="94" w:firstLine="360" w:firstLineChars="150"/>
        <w:rPr>
          <w:rFonts w:ascii="宋体"/>
          <w:sz w:val="24"/>
          <w:highlight w:val="none"/>
        </w:rPr>
      </w:pPr>
      <w:r>
        <w:rPr>
          <w:rFonts w:hint="eastAsia" w:ascii="宋体" w:hAnsi="宋体"/>
          <w:sz w:val="24"/>
          <w:highlight w:val="none"/>
        </w:rPr>
        <w:t>10）投标人认为需要提交的其他文件。</w:t>
      </w:r>
    </w:p>
    <w:p>
      <w:pPr>
        <w:pStyle w:val="12"/>
        <w:spacing w:line="480" w:lineRule="exact"/>
        <w:ind w:left="197" w:leftChars="94" w:firstLine="361" w:firstLineChars="150"/>
        <w:rPr>
          <w:rFonts w:ascii="宋体" w:hAnsi="宋体"/>
          <w:b/>
          <w:sz w:val="24"/>
          <w:highlight w:val="none"/>
        </w:rPr>
      </w:pPr>
      <w:r>
        <w:rPr>
          <w:rFonts w:hint="eastAsia" w:ascii="宋体" w:hAnsi="宋体"/>
          <w:b/>
          <w:sz w:val="24"/>
          <w:highlight w:val="none"/>
        </w:rPr>
        <w:t>注：投标人对提供的以上资料的真实性负责，若发现有不实之处，按无效投标处理。招标人或评标委员会在需要时，可要求投标人在一定期限内提供资格证明文件的原件。</w:t>
      </w:r>
    </w:p>
    <w:p>
      <w:pPr>
        <w:pStyle w:val="12"/>
        <w:spacing w:line="480" w:lineRule="exact"/>
        <w:ind w:left="197" w:leftChars="94" w:firstLine="360" w:firstLineChars="150"/>
        <w:rPr>
          <w:rFonts w:ascii="宋体"/>
          <w:color w:val="000000"/>
          <w:sz w:val="24"/>
          <w:highlight w:val="none"/>
        </w:rPr>
      </w:pPr>
      <w:r>
        <w:rPr>
          <w:rFonts w:hint="eastAsia" w:ascii="宋体"/>
          <w:color w:val="000000"/>
          <w:sz w:val="24"/>
          <w:highlight w:val="none"/>
        </w:rPr>
        <w:t>9.4 其它证明文件</w:t>
      </w:r>
    </w:p>
    <w:p>
      <w:pPr>
        <w:pStyle w:val="12"/>
        <w:spacing w:line="480" w:lineRule="exact"/>
        <w:ind w:left="197" w:leftChars="94" w:firstLine="360" w:firstLineChars="150"/>
        <w:rPr>
          <w:rFonts w:ascii="宋体" w:hAnsi="宋体"/>
          <w:color w:val="000000"/>
          <w:sz w:val="24"/>
          <w:highlight w:val="none"/>
        </w:rPr>
      </w:pPr>
      <w:r>
        <w:rPr>
          <w:rFonts w:hint="eastAsia" w:ascii="宋体" w:hAnsi="宋体"/>
          <w:color w:val="000000"/>
          <w:sz w:val="24"/>
          <w:highlight w:val="none"/>
        </w:rPr>
        <w:t>1）近三年类似业绩一览表及合同复印件；</w:t>
      </w:r>
    </w:p>
    <w:p>
      <w:pPr>
        <w:pStyle w:val="12"/>
        <w:spacing w:line="480" w:lineRule="exact"/>
        <w:ind w:left="197" w:leftChars="94" w:firstLine="360" w:firstLineChars="150"/>
        <w:rPr>
          <w:rFonts w:ascii="宋体" w:hAnsi="宋体"/>
          <w:color w:val="000000"/>
          <w:sz w:val="24"/>
          <w:highlight w:val="none"/>
        </w:rPr>
      </w:pPr>
      <w:r>
        <w:rPr>
          <w:rFonts w:hint="eastAsia" w:ascii="宋体" w:hAnsi="宋体"/>
          <w:color w:val="000000"/>
          <w:sz w:val="24"/>
          <w:highlight w:val="none"/>
        </w:rPr>
        <w:t>2）相关软件自主知识产权证书复印件；</w:t>
      </w:r>
    </w:p>
    <w:p>
      <w:pPr>
        <w:pStyle w:val="12"/>
        <w:spacing w:line="480" w:lineRule="exact"/>
        <w:ind w:left="197" w:leftChars="94" w:firstLine="360" w:firstLineChars="150"/>
        <w:rPr>
          <w:rFonts w:ascii="宋体" w:hAnsi="宋体"/>
          <w:b/>
          <w:sz w:val="24"/>
          <w:highlight w:val="none"/>
        </w:rPr>
      </w:pPr>
      <w:r>
        <w:rPr>
          <w:rFonts w:hint="eastAsia" w:ascii="宋体" w:hAnsi="宋体"/>
          <w:color w:val="000000"/>
          <w:sz w:val="24"/>
          <w:highlight w:val="none"/>
        </w:rPr>
        <w:t>3）投标人认为需要提交的其他文件。</w:t>
      </w:r>
    </w:p>
    <w:p>
      <w:pPr>
        <w:pStyle w:val="12"/>
        <w:tabs>
          <w:tab w:val="left" w:pos="382"/>
        </w:tabs>
        <w:spacing w:line="480" w:lineRule="exact"/>
        <w:ind w:left="197" w:leftChars="94" w:firstLine="360" w:firstLineChars="150"/>
        <w:rPr>
          <w:rFonts w:ascii="宋体"/>
          <w:sz w:val="24"/>
          <w:highlight w:val="none"/>
        </w:rPr>
      </w:pPr>
      <w:r>
        <w:rPr>
          <w:rFonts w:ascii="宋体" w:hAnsi="宋体"/>
          <w:sz w:val="24"/>
          <w:highlight w:val="none"/>
        </w:rPr>
        <w:t>9.</w:t>
      </w:r>
      <w:r>
        <w:rPr>
          <w:rFonts w:hint="eastAsia" w:ascii="宋体" w:hAnsi="宋体"/>
          <w:sz w:val="24"/>
          <w:highlight w:val="none"/>
        </w:rPr>
        <w:t>5</w:t>
      </w:r>
      <w:r>
        <w:rPr>
          <w:rFonts w:ascii="宋体" w:hAnsi="宋体"/>
          <w:sz w:val="24"/>
          <w:highlight w:val="none"/>
        </w:rPr>
        <w:t xml:space="preserve">  </w:t>
      </w:r>
      <w:r>
        <w:rPr>
          <w:rFonts w:hint="eastAsia" w:ascii="宋体" w:hAnsi="宋体"/>
          <w:sz w:val="24"/>
          <w:highlight w:val="none"/>
        </w:rPr>
        <w:t>技术文件</w:t>
      </w:r>
    </w:p>
    <w:p>
      <w:pPr>
        <w:pStyle w:val="12"/>
        <w:tabs>
          <w:tab w:val="left" w:pos="382"/>
        </w:tabs>
        <w:spacing w:line="480" w:lineRule="exact"/>
        <w:ind w:left="197" w:leftChars="94" w:firstLine="360" w:firstLineChars="150"/>
        <w:rPr>
          <w:rFonts w:ascii="宋体" w:hAnsi="宋体"/>
          <w:color w:val="000000"/>
          <w:sz w:val="24"/>
          <w:highlight w:val="none"/>
        </w:rPr>
      </w:pPr>
      <w:r>
        <w:rPr>
          <w:rFonts w:hint="eastAsia" w:ascii="宋体" w:hAnsi="宋体" w:cs="宋体"/>
          <w:kern w:val="0"/>
          <w:sz w:val="24"/>
          <w:highlight w:val="none"/>
        </w:rPr>
        <w:t>9.5.1</w:t>
      </w:r>
      <w:r>
        <w:rPr>
          <w:rFonts w:hint="eastAsia" w:ascii="宋体" w:hAnsi="宋体"/>
          <w:color w:val="000000"/>
          <w:sz w:val="24"/>
          <w:highlight w:val="none"/>
        </w:rPr>
        <w:t>项目技术方案；</w:t>
      </w:r>
    </w:p>
    <w:p>
      <w:pPr>
        <w:pStyle w:val="12"/>
        <w:tabs>
          <w:tab w:val="left" w:pos="382"/>
        </w:tabs>
        <w:spacing w:line="480" w:lineRule="exact"/>
        <w:ind w:left="197" w:leftChars="94" w:firstLine="360" w:firstLineChars="150"/>
        <w:rPr>
          <w:rFonts w:ascii="宋体" w:hAnsi="宋体" w:cs="宋体"/>
          <w:kern w:val="0"/>
          <w:sz w:val="24"/>
          <w:highlight w:val="none"/>
        </w:rPr>
      </w:pPr>
      <w:r>
        <w:rPr>
          <w:rFonts w:hint="eastAsia" w:ascii="宋体" w:hAnsi="宋体" w:cs="宋体"/>
          <w:kern w:val="0"/>
          <w:sz w:val="24"/>
          <w:highlight w:val="none"/>
        </w:rPr>
        <w:t>9.5.2康复评定工作站；</w:t>
      </w:r>
    </w:p>
    <w:p>
      <w:pPr>
        <w:pStyle w:val="12"/>
        <w:tabs>
          <w:tab w:val="left" w:pos="382"/>
        </w:tabs>
        <w:spacing w:line="480" w:lineRule="exact"/>
        <w:ind w:left="197" w:leftChars="94" w:firstLine="360" w:firstLineChars="150"/>
        <w:rPr>
          <w:rFonts w:ascii="宋体" w:hAnsi="宋体" w:cs="宋体"/>
          <w:kern w:val="0"/>
          <w:sz w:val="24"/>
          <w:highlight w:val="none"/>
        </w:rPr>
      </w:pPr>
      <w:r>
        <w:rPr>
          <w:rFonts w:hint="eastAsia" w:ascii="宋体" w:hAnsi="宋体" w:cs="宋体"/>
          <w:kern w:val="0"/>
          <w:sz w:val="24"/>
          <w:highlight w:val="none"/>
        </w:rPr>
        <w:t>9.5.3康复治疗工作站；</w:t>
      </w:r>
    </w:p>
    <w:p>
      <w:pPr>
        <w:pStyle w:val="12"/>
        <w:tabs>
          <w:tab w:val="left" w:pos="382"/>
        </w:tabs>
        <w:spacing w:line="480" w:lineRule="exact"/>
        <w:ind w:left="197" w:leftChars="94" w:firstLine="360" w:firstLineChars="150"/>
        <w:rPr>
          <w:rFonts w:ascii="宋体" w:hAnsi="宋体" w:cs="宋体"/>
          <w:kern w:val="0"/>
          <w:sz w:val="24"/>
          <w:highlight w:val="none"/>
        </w:rPr>
      </w:pPr>
      <w:r>
        <w:rPr>
          <w:rFonts w:hint="eastAsia" w:ascii="宋体" w:hAnsi="宋体" w:cs="宋体"/>
          <w:kern w:val="0"/>
          <w:sz w:val="24"/>
          <w:highlight w:val="none"/>
        </w:rPr>
        <w:t>9.5.4康复电子文书系统；</w:t>
      </w:r>
    </w:p>
    <w:p>
      <w:pPr>
        <w:pStyle w:val="12"/>
        <w:tabs>
          <w:tab w:val="left" w:pos="382"/>
        </w:tabs>
        <w:spacing w:line="480" w:lineRule="exact"/>
        <w:ind w:left="197" w:leftChars="94" w:firstLine="360" w:firstLineChars="150"/>
        <w:rPr>
          <w:rFonts w:ascii="宋体" w:hAnsi="宋体" w:cs="宋体"/>
          <w:kern w:val="0"/>
          <w:sz w:val="24"/>
          <w:highlight w:val="none"/>
        </w:rPr>
      </w:pPr>
      <w:r>
        <w:rPr>
          <w:rFonts w:hint="eastAsia" w:ascii="宋体" w:hAnsi="宋体" w:cs="宋体"/>
          <w:kern w:val="0"/>
          <w:sz w:val="24"/>
          <w:highlight w:val="none"/>
        </w:rPr>
        <w:t>9.5.5康复业务统计分析系统；</w:t>
      </w:r>
    </w:p>
    <w:p>
      <w:pPr>
        <w:pStyle w:val="12"/>
        <w:numPr>
          <w:ilvl w:val="0"/>
          <w:numId w:val="1"/>
        </w:numPr>
        <w:tabs>
          <w:tab w:val="left" w:pos="382"/>
          <w:tab w:val="clear" w:pos="312"/>
        </w:tabs>
        <w:spacing w:line="480" w:lineRule="exact"/>
        <w:ind w:left="197" w:leftChars="94" w:firstLine="360" w:firstLineChars="150"/>
        <w:rPr>
          <w:rFonts w:ascii="宋体" w:hAnsi="宋体" w:cs="宋体"/>
          <w:kern w:val="0"/>
          <w:sz w:val="24"/>
          <w:highlight w:val="none"/>
        </w:rPr>
      </w:pPr>
      <w:r>
        <w:rPr>
          <w:rFonts w:hint="eastAsia" w:ascii="宋体" w:hAnsi="宋体" w:cs="宋体"/>
          <w:kern w:val="0"/>
          <w:sz w:val="24"/>
          <w:highlight w:val="none"/>
        </w:rPr>
        <w:t>.5.6移动评定工作站；</w:t>
      </w:r>
    </w:p>
    <w:p>
      <w:pPr>
        <w:pStyle w:val="12"/>
        <w:tabs>
          <w:tab w:val="left" w:pos="382"/>
        </w:tabs>
        <w:spacing w:line="480" w:lineRule="exact"/>
        <w:ind w:left="512" w:leftChars="244" w:firstLine="0" w:firstLineChars="0"/>
        <w:rPr>
          <w:rFonts w:ascii="宋体" w:hAnsi="宋体" w:cs="宋体"/>
          <w:kern w:val="0"/>
          <w:sz w:val="24"/>
          <w:highlight w:val="none"/>
        </w:rPr>
      </w:pPr>
      <w:r>
        <w:rPr>
          <w:rFonts w:hint="eastAsia" w:ascii="宋体" w:hAnsi="宋体" w:cs="宋体"/>
          <w:kern w:val="0"/>
          <w:sz w:val="24"/>
          <w:highlight w:val="none"/>
        </w:rPr>
        <w:t>9.5.7移动治疗工作站；</w:t>
      </w:r>
    </w:p>
    <w:p>
      <w:pPr>
        <w:pStyle w:val="12"/>
        <w:tabs>
          <w:tab w:val="left" w:pos="382"/>
        </w:tabs>
        <w:spacing w:line="480" w:lineRule="exact"/>
        <w:ind w:left="512" w:leftChars="244" w:firstLine="0" w:firstLineChars="0"/>
        <w:rPr>
          <w:rFonts w:ascii="宋体" w:hAnsi="宋体" w:cs="宋体"/>
          <w:kern w:val="0"/>
          <w:sz w:val="24"/>
          <w:highlight w:val="none"/>
        </w:rPr>
      </w:pPr>
      <w:r>
        <w:rPr>
          <w:rFonts w:hint="eastAsia" w:ascii="宋体" w:hAnsi="宋体" w:cs="宋体"/>
          <w:kern w:val="0"/>
          <w:sz w:val="24"/>
          <w:highlight w:val="none"/>
        </w:rPr>
        <w:t>9.5.8医治护沟通平台；</w:t>
      </w:r>
    </w:p>
    <w:p>
      <w:pPr>
        <w:pStyle w:val="12"/>
        <w:tabs>
          <w:tab w:val="left" w:pos="382"/>
        </w:tabs>
        <w:spacing w:line="480" w:lineRule="exact"/>
        <w:ind w:left="512" w:leftChars="244" w:firstLine="0" w:firstLineChars="0"/>
        <w:rPr>
          <w:rFonts w:ascii="宋体" w:hAnsi="宋体" w:cs="宋体"/>
          <w:kern w:val="0"/>
          <w:sz w:val="24"/>
          <w:highlight w:val="none"/>
        </w:rPr>
      </w:pPr>
      <w:r>
        <w:rPr>
          <w:rFonts w:hint="eastAsia" w:ascii="宋体" w:hAnsi="宋体" w:cs="宋体"/>
          <w:kern w:val="0"/>
          <w:sz w:val="24"/>
          <w:highlight w:val="none"/>
        </w:rPr>
        <w:t>9.5.9康复患者查询终端；</w:t>
      </w:r>
    </w:p>
    <w:p>
      <w:pPr>
        <w:pStyle w:val="12"/>
        <w:tabs>
          <w:tab w:val="left" w:pos="382"/>
        </w:tabs>
        <w:spacing w:line="480" w:lineRule="exact"/>
        <w:ind w:left="512" w:leftChars="244" w:firstLine="0" w:firstLineChars="0"/>
        <w:rPr>
          <w:rFonts w:ascii="宋体" w:hAnsi="宋体" w:cs="宋体"/>
          <w:kern w:val="0"/>
          <w:sz w:val="24"/>
          <w:highlight w:val="none"/>
        </w:rPr>
      </w:pPr>
      <w:r>
        <w:rPr>
          <w:rFonts w:hint="eastAsia" w:ascii="宋体" w:hAnsi="宋体" w:cs="宋体"/>
          <w:kern w:val="0"/>
          <w:sz w:val="24"/>
          <w:highlight w:val="none"/>
        </w:rPr>
        <w:t>9.5.10智能排班、排队系统；</w:t>
      </w:r>
    </w:p>
    <w:p>
      <w:pPr>
        <w:pStyle w:val="12"/>
        <w:tabs>
          <w:tab w:val="left" w:pos="382"/>
        </w:tabs>
        <w:spacing w:line="480" w:lineRule="exact"/>
        <w:ind w:left="512" w:leftChars="244" w:firstLine="0" w:firstLineChars="0"/>
        <w:rPr>
          <w:rFonts w:ascii="宋体" w:hAnsi="宋体" w:cs="宋体"/>
          <w:kern w:val="0"/>
          <w:sz w:val="24"/>
          <w:highlight w:val="none"/>
        </w:rPr>
      </w:pPr>
      <w:r>
        <w:rPr>
          <w:rFonts w:hint="eastAsia" w:ascii="宋体" w:hAnsi="宋体" w:cs="宋体"/>
          <w:kern w:val="0"/>
          <w:sz w:val="24"/>
          <w:highlight w:val="none"/>
        </w:rPr>
        <w:t>9.5.11TEAMWORK系统；</w:t>
      </w:r>
    </w:p>
    <w:p>
      <w:pPr>
        <w:pStyle w:val="12"/>
        <w:tabs>
          <w:tab w:val="left" w:pos="382"/>
        </w:tabs>
        <w:spacing w:line="480" w:lineRule="exact"/>
        <w:ind w:left="512" w:leftChars="244" w:firstLine="0" w:firstLineChars="0"/>
        <w:rPr>
          <w:rFonts w:ascii="宋体" w:hAnsi="宋体" w:cs="宋体"/>
          <w:kern w:val="0"/>
          <w:sz w:val="24"/>
          <w:highlight w:val="none"/>
        </w:rPr>
      </w:pPr>
      <w:r>
        <w:rPr>
          <w:rFonts w:hint="eastAsia" w:ascii="宋体" w:hAnsi="宋体" w:cs="宋体"/>
          <w:kern w:val="0"/>
          <w:sz w:val="24"/>
          <w:highlight w:val="none"/>
        </w:rPr>
        <w:t>9.5.12家庭康复训练管理；</w:t>
      </w:r>
    </w:p>
    <w:p>
      <w:pPr>
        <w:pStyle w:val="12"/>
        <w:tabs>
          <w:tab w:val="left" w:pos="382"/>
        </w:tabs>
        <w:spacing w:line="480" w:lineRule="exact"/>
        <w:ind w:left="512" w:leftChars="244" w:firstLine="0" w:firstLineChars="0"/>
        <w:rPr>
          <w:rFonts w:ascii="宋体" w:hAnsi="宋体" w:cs="宋体"/>
          <w:kern w:val="0"/>
          <w:sz w:val="24"/>
          <w:highlight w:val="none"/>
        </w:rPr>
      </w:pPr>
      <w:r>
        <w:rPr>
          <w:rFonts w:hint="eastAsia" w:ascii="宋体" w:hAnsi="宋体" w:cs="宋体"/>
          <w:kern w:val="0"/>
          <w:sz w:val="24"/>
          <w:highlight w:val="none"/>
        </w:rPr>
        <w:t>9.5.13康复随访系统；</w:t>
      </w:r>
    </w:p>
    <w:p>
      <w:pPr>
        <w:pStyle w:val="12"/>
        <w:tabs>
          <w:tab w:val="left" w:pos="382"/>
        </w:tabs>
        <w:spacing w:line="480" w:lineRule="exact"/>
        <w:ind w:left="512" w:leftChars="244" w:firstLine="0" w:firstLineChars="0"/>
        <w:rPr>
          <w:rFonts w:ascii="宋体" w:hAnsi="宋体" w:cs="宋体"/>
          <w:kern w:val="0"/>
          <w:sz w:val="24"/>
          <w:highlight w:val="none"/>
        </w:rPr>
      </w:pPr>
      <w:r>
        <w:rPr>
          <w:rFonts w:hint="eastAsia" w:ascii="宋体" w:hAnsi="宋体" w:cs="宋体"/>
          <w:kern w:val="0"/>
          <w:sz w:val="24"/>
          <w:highlight w:val="none"/>
        </w:rPr>
        <w:t>9.5.14病历夹系统；</w:t>
      </w:r>
    </w:p>
    <w:p>
      <w:pPr>
        <w:pStyle w:val="12"/>
        <w:tabs>
          <w:tab w:val="left" w:pos="382"/>
        </w:tabs>
        <w:spacing w:line="480" w:lineRule="exact"/>
        <w:ind w:left="512" w:leftChars="244" w:firstLine="0" w:firstLineChars="0"/>
        <w:rPr>
          <w:rFonts w:ascii="宋体" w:hAnsi="宋体" w:cs="宋体"/>
          <w:kern w:val="0"/>
          <w:sz w:val="24"/>
          <w:highlight w:val="none"/>
        </w:rPr>
      </w:pPr>
      <w:r>
        <w:rPr>
          <w:rFonts w:hint="eastAsia" w:ascii="宋体" w:hAnsi="宋体" w:cs="宋体"/>
          <w:kern w:val="0"/>
          <w:sz w:val="24"/>
          <w:highlight w:val="none"/>
        </w:rPr>
        <w:t>9.5.15康复看板系统；</w:t>
      </w:r>
    </w:p>
    <w:p>
      <w:pPr>
        <w:pStyle w:val="12"/>
        <w:tabs>
          <w:tab w:val="left" w:pos="382"/>
        </w:tabs>
        <w:spacing w:line="480" w:lineRule="exact"/>
        <w:ind w:left="512" w:leftChars="244" w:firstLine="0" w:firstLineChars="0"/>
        <w:rPr>
          <w:rFonts w:ascii="宋体" w:hAnsi="宋体" w:cs="宋体"/>
          <w:kern w:val="0"/>
          <w:sz w:val="24"/>
          <w:highlight w:val="none"/>
        </w:rPr>
      </w:pPr>
      <w:r>
        <w:rPr>
          <w:rFonts w:hint="eastAsia" w:ascii="宋体" w:hAnsi="宋体" w:cs="宋体"/>
          <w:kern w:val="0"/>
          <w:sz w:val="24"/>
          <w:highlight w:val="none"/>
        </w:rPr>
        <w:t>9.5.16病例检索；</w:t>
      </w:r>
    </w:p>
    <w:p>
      <w:pPr>
        <w:pStyle w:val="12"/>
        <w:tabs>
          <w:tab w:val="left" w:pos="382"/>
        </w:tabs>
        <w:spacing w:line="480" w:lineRule="exact"/>
        <w:ind w:left="512" w:leftChars="244" w:firstLine="0" w:firstLineChars="0"/>
        <w:rPr>
          <w:rFonts w:ascii="宋体" w:hAnsi="宋体" w:cs="宋体"/>
          <w:kern w:val="0"/>
          <w:sz w:val="24"/>
          <w:highlight w:val="none"/>
        </w:rPr>
      </w:pPr>
      <w:r>
        <w:rPr>
          <w:rFonts w:hint="eastAsia" w:ascii="宋体" w:hAnsi="宋体" w:cs="宋体"/>
          <w:kern w:val="0"/>
          <w:sz w:val="24"/>
          <w:highlight w:val="none"/>
        </w:rPr>
        <w:t>9.5.17专家知识库；</w:t>
      </w:r>
    </w:p>
    <w:p>
      <w:pPr>
        <w:pStyle w:val="12"/>
        <w:tabs>
          <w:tab w:val="left" w:pos="382"/>
        </w:tabs>
        <w:spacing w:line="480" w:lineRule="exact"/>
        <w:ind w:left="512" w:leftChars="244" w:firstLine="0" w:firstLineChars="0"/>
        <w:rPr>
          <w:rFonts w:ascii="宋体" w:hAnsi="宋体" w:cs="宋体"/>
          <w:kern w:val="0"/>
          <w:sz w:val="24"/>
          <w:highlight w:val="none"/>
        </w:rPr>
      </w:pPr>
      <w:r>
        <w:rPr>
          <w:rFonts w:hint="eastAsia" w:ascii="宋体" w:hAnsi="宋体" w:cs="宋体"/>
          <w:kern w:val="0"/>
          <w:sz w:val="24"/>
          <w:highlight w:val="none"/>
        </w:rPr>
        <w:t>9.5.18康复医生工作站；</w:t>
      </w:r>
    </w:p>
    <w:p>
      <w:pPr>
        <w:pStyle w:val="12"/>
        <w:tabs>
          <w:tab w:val="left" w:pos="382"/>
        </w:tabs>
        <w:spacing w:line="480" w:lineRule="exact"/>
        <w:ind w:left="512" w:leftChars="244" w:firstLine="0" w:firstLineChars="0"/>
        <w:rPr>
          <w:rFonts w:ascii="宋体" w:hAnsi="宋体"/>
          <w:color w:val="000000"/>
          <w:sz w:val="24"/>
          <w:highlight w:val="none"/>
        </w:rPr>
      </w:pPr>
      <w:r>
        <w:rPr>
          <w:rFonts w:hint="eastAsia" w:ascii="宋体" w:hAnsi="宋体"/>
          <w:color w:val="000000"/>
          <w:sz w:val="24"/>
          <w:highlight w:val="none"/>
        </w:rPr>
        <w:t>9.5.19技术条款响应/偏离表（附件四）；</w:t>
      </w:r>
    </w:p>
    <w:p>
      <w:pPr>
        <w:pStyle w:val="12"/>
        <w:spacing w:line="480" w:lineRule="exact"/>
        <w:ind w:left="0" w:leftChars="0" w:firstLine="480" w:firstLineChars="200"/>
        <w:rPr>
          <w:rFonts w:ascii="宋体" w:hAnsi="宋体"/>
          <w:color w:val="000000"/>
          <w:sz w:val="24"/>
          <w:highlight w:val="none"/>
        </w:rPr>
      </w:pPr>
      <w:r>
        <w:rPr>
          <w:rFonts w:hint="eastAsia" w:ascii="宋体" w:hAnsi="宋体"/>
          <w:color w:val="000000"/>
          <w:sz w:val="24"/>
          <w:highlight w:val="none"/>
        </w:rPr>
        <w:t>9.5.20投标人认为需要提交的其他技术文件。</w:t>
      </w:r>
    </w:p>
    <w:p>
      <w:pPr>
        <w:widowControl/>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9.6  商务文件</w:t>
      </w:r>
    </w:p>
    <w:p>
      <w:pPr>
        <w:widowControl/>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1）项目部人员配备表（附件六）</w:t>
      </w:r>
    </w:p>
    <w:p>
      <w:pPr>
        <w:widowControl/>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2）企业介绍及成功案例，附验收报告复印件；</w:t>
      </w:r>
    </w:p>
    <w:p>
      <w:pPr>
        <w:widowControl/>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3）投标产品在山东省内三甲综合医院用户名单；</w:t>
      </w:r>
    </w:p>
    <w:p>
      <w:pPr>
        <w:widowControl/>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rPr>
        <w:t>4）售后服务（附件七）；</w:t>
      </w:r>
    </w:p>
    <w:p>
      <w:pPr>
        <w:widowControl/>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5）商务偏离表（附件五）；</w:t>
      </w:r>
    </w:p>
    <w:p>
      <w:pPr>
        <w:widowControl/>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6）投标人认为需要提交的其它资料。</w:t>
      </w:r>
    </w:p>
    <w:p>
      <w:pPr>
        <w:pStyle w:val="12"/>
        <w:tabs>
          <w:tab w:val="left" w:pos="382"/>
        </w:tabs>
        <w:spacing w:line="480" w:lineRule="exact"/>
        <w:ind w:left="197" w:leftChars="94" w:firstLine="360" w:firstLineChars="150"/>
        <w:rPr>
          <w:rFonts w:ascii="宋体"/>
          <w:bCs/>
          <w:sz w:val="24"/>
          <w:highlight w:val="none"/>
        </w:rPr>
      </w:pPr>
      <w:r>
        <w:rPr>
          <w:rFonts w:ascii="宋体" w:hAnsi="宋体"/>
          <w:bCs/>
          <w:sz w:val="24"/>
          <w:highlight w:val="none"/>
        </w:rPr>
        <w:t xml:space="preserve">10.  </w:t>
      </w:r>
      <w:r>
        <w:rPr>
          <w:rFonts w:hint="eastAsia" w:ascii="宋体" w:hAnsi="宋体"/>
          <w:bCs/>
          <w:sz w:val="24"/>
          <w:highlight w:val="none"/>
        </w:rPr>
        <w:t>投标报价</w:t>
      </w:r>
    </w:p>
    <w:p>
      <w:pPr>
        <w:pStyle w:val="12"/>
        <w:tabs>
          <w:tab w:val="left" w:pos="382"/>
        </w:tabs>
        <w:spacing w:line="480" w:lineRule="exact"/>
        <w:ind w:left="48" w:leftChars="23" w:firstLine="480" w:firstLineChars="200"/>
        <w:rPr>
          <w:rFonts w:ascii="宋体" w:cs="宋体"/>
          <w:kern w:val="0"/>
          <w:sz w:val="24"/>
          <w:highlight w:val="none"/>
        </w:rPr>
      </w:pPr>
      <w:r>
        <w:rPr>
          <w:rFonts w:ascii="宋体" w:hAnsi="宋体" w:cs="宋体"/>
          <w:kern w:val="0"/>
          <w:sz w:val="24"/>
          <w:highlight w:val="none"/>
        </w:rPr>
        <w:t>10.1</w:t>
      </w:r>
      <w:r>
        <w:rPr>
          <w:rFonts w:hint="eastAsia" w:ascii="宋体" w:hAnsi="宋体" w:cs="宋体"/>
          <w:kern w:val="0"/>
          <w:sz w:val="24"/>
          <w:highlight w:val="none"/>
        </w:rPr>
        <w:t>本次投标报价为一次性报价，报价币种为人民币。</w:t>
      </w:r>
      <w:r>
        <w:rPr>
          <w:rFonts w:hint="eastAsia" w:ascii="宋体" w:hAnsi="宋体"/>
          <w:bCs/>
          <w:color w:val="000000"/>
          <w:sz w:val="24"/>
          <w:highlight w:val="none"/>
        </w:rPr>
        <w:t>报价含软件开发、供应、安装调试、数据迁移费用、开发费用、缺陷处理，验收、培训、售后服务、检验及因购买软件和服务所需缴纳等的所有税、费。</w:t>
      </w:r>
      <w:r>
        <w:rPr>
          <w:rFonts w:hint="eastAsia" w:ascii="宋体" w:hAnsi="宋体" w:cs="宋体"/>
          <w:kern w:val="0"/>
          <w:sz w:val="24"/>
          <w:highlight w:val="none"/>
        </w:rPr>
        <w:t>报价应包括达到招标人使用要求的全部费用。投标人应充分考虑采购条件，不得在中标后无故增加任何费用。</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10.2 </w:t>
      </w:r>
      <w:r>
        <w:rPr>
          <w:rFonts w:hint="eastAsia" w:ascii="宋体" w:hAnsi="宋体" w:cs="宋体"/>
          <w:kern w:val="0"/>
          <w:sz w:val="24"/>
          <w:highlight w:val="none"/>
        </w:rPr>
        <w:t>投标人应对所投产品分别报价并填写开标一览表。投标人对投标报价若有说明应在开标一览表备注处注明。招标人不接受可选择的投标方案和价格。任何有选择的或可调整的投标方案和价格将被视为非响应性投标而被拒绝。</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10.3 </w:t>
      </w:r>
      <w:r>
        <w:rPr>
          <w:rFonts w:hint="eastAsia" w:ascii="宋体" w:hAnsi="宋体" w:cs="宋体"/>
          <w:kern w:val="0"/>
          <w:sz w:val="24"/>
          <w:highlight w:val="none"/>
        </w:rPr>
        <w:t>投标报价（即合同价）在合同执行过程中是固定不变的，不得以任何理由予以变更。</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10.4</w:t>
      </w:r>
      <w:r>
        <w:rPr>
          <w:rFonts w:hint="eastAsia" w:ascii="宋体" w:hAnsi="宋体" w:cs="宋体"/>
          <w:kern w:val="0"/>
          <w:sz w:val="24"/>
          <w:highlight w:val="none"/>
        </w:rPr>
        <w:t>投标人免费提供的项目，应先填写该项目的实际价格，并注明免费。此项不计入总报价。</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10.5 </w:t>
      </w:r>
      <w:r>
        <w:rPr>
          <w:rFonts w:hint="eastAsia" w:ascii="宋体" w:hAnsi="宋体" w:cs="宋体"/>
          <w:kern w:val="0"/>
          <w:sz w:val="24"/>
          <w:highlight w:val="none"/>
        </w:rPr>
        <w:t>投标人应报出所能承受得了的最低的合理价格，如明显低于成本价需要提供证明。</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10.6</w:t>
      </w:r>
      <w:r>
        <w:rPr>
          <w:rFonts w:hint="eastAsia" w:ascii="宋体" w:hAnsi="宋体" w:cs="宋体"/>
          <w:kern w:val="0"/>
          <w:sz w:val="24"/>
          <w:highlight w:val="none"/>
        </w:rPr>
        <w:t>投标人应保证所报出的最终价格，在排除各种差异因素后，不超出自己的正常国内市场价格，并且保证价格不应高于对其他情况相似购买者的出价。任何对本保证的违背，将使买方有权终止合同或要求归还所付的超支价款。</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10.7</w:t>
      </w:r>
      <w:r>
        <w:rPr>
          <w:rFonts w:hint="eastAsia" w:ascii="宋体" w:hAnsi="宋体" w:cs="宋体"/>
          <w:kern w:val="0"/>
          <w:sz w:val="24"/>
          <w:highlight w:val="none"/>
        </w:rPr>
        <w:t>投标人在投标文件上详细写明产品的系列、名称和型号、产品性能、各项技术指标、品牌产地、质量等级、供货时间、售后服务、出厂合格证、备案证、出厂检测报告等，以及达不到检测和质量要求应负的责任。</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10.8</w:t>
      </w:r>
      <w:r>
        <w:rPr>
          <w:rFonts w:hint="eastAsia" w:ascii="宋体" w:hAnsi="宋体" w:cs="宋体"/>
          <w:kern w:val="0"/>
          <w:sz w:val="24"/>
          <w:highlight w:val="none"/>
        </w:rPr>
        <w:t>投标文件应对产品质量、供货时间、售后服务做出明确的承诺，以及达不到承诺的相关条款要求应负的责任和义务。</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10.9</w:t>
      </w:r>
      <w:r>
        <w:rPr>
          <w:rFonts w:hint="eastAsia" w:ascii="宋体" w:hAnsi="宋体" w:cs="宋体"/>
          <w:kern w:val="0"/>
          <w:sz w:val="24"/>
          <w:highlight w:val="none"/>
        </w:rPr>
        <w:t>对于进口货物，投标人应充分理解采购要求，并确保设备合法进口。综合单价为运至招标人项目的现场后安装调试后的价格，应含到岸价，关税、进口环节增值税、所有清关费用及国内运保费、装卸费、保管费、安装调试费、检测验收费、培训及其他附带服务的费用、利润、税金等一切费用。本次招标由中标人办理相关进关手续并承担相关费用，否则招标人有权取消其中标资格。进口货物在交货时要向招标人出具进口货物报关单、税单、原产地证明、进字号注册证等进口证明材料。</w:t>
      </w:r>
    </w:p>
    <w:p>
      <w:pPr>
        <w:widowControl/>
        <w:spacing w:line="360" w:lineRule="auto"/>
        <w:ind w:firstLine="480" w:firstLineChars="200"/>
        <w:jc w:val="left"/>
        <w:rPr>
          <w:rFonts w:ascii="宋体" w:cs="宋体"/>
          <w:kern w:val="0"/>
          <w:sz w:val="24"/>
          <w:highlight w:val="none"/>
        </w:rPr>
      </w:pPr>
      <w:bookmarkStart w:id="69" w:name="_Toc16942"/>
      <w:bookmarkStart w:id="70" w:name="_Toc22972"/>
      <w:bookmarkStart w:id="71" w:name="_Toc5125"/>
      <w:r>
        <w:rPr>
          <w:rFonts w:ascii="宋体" w:hAnsi="宋体" w:cs="宋体"/>
          <w:kern w:val="0"/>
          <w:sz w:val="24"/>
          <w:highlight w:val="none"/>
        </w:rPr>
        <w:t xml:space="preserve">11.  </w:t>
      </w:r>
      <w:r>
        <w:rPr>
          <w:rFonts w:hint="eastAsia" w:ascii="宋体" w:hAnsi="宋体" w:cs="宋体"/>
          <w:kern w:val="0"/>
          <w:sz w:val="24"/>
          <w:highlight w:val="none"/>
        </w:rPr>
        <w:t>投标文件装订与编写</w:t>
      </w:r>
      <w:bookmarkEnd w:id="69"/>
      <w:bookmarkEnd w:id="70"/>
      <w:bookmarkEnd w:id="71"/>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11.1</w:t>
      </w:r>
      <w:r>
        <w:rPr>
          <w:rFonts w:hint="eastAsia" w:ascii="宋体" w:hAnsi="宋体" w:cs="宋体"/>
          <w:kern w:val="0"/>
          <w:sz w:val="24"/>
          <w:highlight w:val="none"/>
        </w:rPr>
        <w:t>投标人必须将投标文件中的有关文件按上述顺序排列装订成册（胶装），并在首页编制“投标文件目录”，投标文件编写连续页码。</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11.2 </w:t>
      </w:r>
      <w:r>
        <w:rPr>
          <w:rFonts w:hint="eastAsia" w:ascii="宋体" w:hAnsi="宋体" w:cs="宋体"/>
          <w:kern w:val="0"/>
          <w:sz w:val="24"/>
          <w:highlight w:val="none"/>
        </w:rPr>
        <w:t>投标人应准备</w:t>
      </w:r>
      <w:r>
        <w:rPr>
          <w:rFonts w:hint="eastAsia" w:ascii="宋体" w:hAnsi="宋体" w:cs="宋体"/>
          <w:kern w:val="0"/>
          <w:sz w:val="24"/>
          <w:highlight w:val="none"/>
          <w:lang w:val="en-US" w:eastAsia="zh-CN"/>
        </w:rPr>
        <w:t>五</w:t>
      </w:r>
      <w:r>
        <w:rPr>
          <w:rFonts w:hint="eastAsia" w:ascii="宋体" w:hAnsi="宋体" w:cs="宋体"/>
          <w:kern w:val="0"/>
          <w:sz w:val="24"/>
          <w:highlight w:val="none"/>
        </w:rPr>
        <w:t>份投标文件，一份正本和</w:t>
      </w:r>
      <w:r>
        <w:rPr>
          <w:rFonts w:hint="eastAsia" w:ascii="宋体" w:hAnsi="宋体" w:cs="宋体"/>
          <w:kern w:val="0"/>
          <w:sz w:val="24"/>
          <w:highlight w:val="none"/>
          <w:lang w:val="en-US" w:eastAsia="zh-CN"/>
        </w:rPr>
        <w:t>四</w:t>
      </w:r>
      <w:r>
        <w:rPr>
          <w:rFonts w:hint="eastAsia" w:ascii="宋体" w:hAnsi="宋体" w:cs="宋体"/>
          <w:kern w:val="0"/>
          <w:sz w:val="24"/>
          <w:highlight w:val="none"/>
        </w:rPr>
        <w:t>份副本以及单独密封的开标一览表一份。在每一份投标文件上要注明“正本”或“副本”字样。投标文件每册不超过</w:t>
      </w:r>
      <w:r>
        <w:rPr>
          <w:rFonts w:ascii="宋体" w:hAnsi="宋体" w:cs="宋体"/>
          <w:kern w:val="0"/>
          <w:sz w:val="24"/>
          <w:highlight w:val="none"/>
        </w:rPr>
        <w:t>4.5</w:t>
      </w:r>
      <w:r>
        <w:rPr>
          <w:rFonts w:hint="eastAsia" w:ascii="宋体" w:hAnsi="宋体" w:cs="宋体"/>
          <w:kern w:val="0"/>
          <w:sz w:val="24"/>
          <w:highlight w:val="none"/>
        </w:rPr>
        <w:t>厘米。投标人应保证投标文件正本与副本的内容严格一致，如果正本与副本不一致，以正本为准；如果单独密封的开标一览表与投标文件正本有差异，以开标一览表为准；投标文件中的开标一览表与投标文件中明细表内容不一致的，以开标一览表为准。</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11.3 </w:t>
      </w:r>
      <w:r>
        <w:rPr>
          <w:rFonts w:hint="eastAsia" w:ascii="宋体" w:hAnsi="宋体" w:cs="宋体"/>
          <w:kern w:val="0"/>
          <w:sz w:val="24"/>
          <w:highlight w:val="none"/>
        </w:rPr>
        <w:t>投标文件正本和副本用</w:t>
      </w:r>
      <w:r>
        <w:rPr>
          <w:rFonts w:ascii="宋体" w:hAnsi="宋体" w:cs="宋体"/>
          <w:kern w:val="0"/>
          <w:sz w:val="24"/>
          <w:highlight w:val="none"/>
        </w:rPr>
        <w:t>A4</w:t>
      </w:r>
      <w:r>
        <w:rPr>
          <w:rFonts w:hint="eastAsia" w:ascii="宋体" w:hAnsi="宋体" w:cs="宋体"/>
          <w:kern w:val="0"/>
          <w:sz w:val="24"/>
          <w:highlight w:val="none"/>
        </w:rPr>
        <w:t>幅面的纸张打印。</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11.4 </w:t>
      </w:r>
      <w:r>
        <w:rPr>
          <w:rFonts w:hint="eastAsia" w:ascii="宋体" w:hAnsi="宋体" w:cs="宋体"/>
          <w:kern w:val="0"/>
          <w:sz w:val="24"/>
          <w:highlight w:val="none"/>
        </w:rPr>
        <w:t>投标文件应严格按照招标文件的要求提交，并按规定的统一格式逐项填写，不准有空项；无相应内容可填的项应填写“无”、“没有相应指标”等明确的回答文字。投标文件未按规定提交或留有空项，将被视为不完整响应的投标文件，其投标有可能被拒绝。</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11.5 </w:t>
      </w:r>
      <w:r>
        <w:rPr>
          <w:rFonts w:hint="eastAsia" w:ascii="宋体" w:hAnsi="宋体" w:cs="宋体"/>
          <w:kern w:val="0"/>
          <w:sz w:val="24"/>
          <w:highlight w:val="none"/>
        </w:rPr>
        <w:t>因投标文件字迹潦草、模糊或表达不清所引起的不利后果由投标人承担。</w:t>
      </w:r>
    </w:p>
    <w:p>
      <w:pPr>
        <w:widowControl/>
        <w:spacing w:line="360" w:lineRule="auto"/>
        <w:ind w:firstLine="480" w:firstLineChars="200"/>
        <w:jc w:val="left"/>
        <w:rPr>
          <w:rFonts w:ascii="宋体" w:cs="宋体"/>
          <w:kern w:val="0"/>
          <w:sz w:val="24"/>
          <w:highlight w:val="none"/>
        </w:rPr>
      </w:pPr>
      <w:bookmarkStart w:id="72" w:name="_Toc8600"/>
      <w:bookmarkStart w:id="73" w:name="_Toc28577"/>
      <w:bookmarkStart w:id="74" w:name="_Toc14371"/>
      <w:r>
        <w:rPr>
          <w:rFonts w:ascii="宋体" w:hAnsi="宋体" w:cs="宋体"/>
          <w:kern w:val="0"/>
          <w:sz w:val="24"/>
          <w:highlight w:val="none"/>
        </w:rPr>
        <w:t xml:space="preserve">12.  </w:t>
      </w:r>
      <w:r>
        <w:rPr>
          <w:rFonts w:hint="eastAsia" w:ascii="宋体" w:hAnsi="宋体" w:cs="宋体"/>
          <w:kern w:val="0"/>
          <w:sz w:val="24"/>
          <w:highlight w:val="none"/>
        </w:rPr>
        <w:t>投标文件签署</w:t>
      </w:r>
      <w:bookmarkEnd w:id="72"/>
      <w:bookmarkEnd w:id="73"/>
      <w:bookmarkEnd w:id="74"/>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12.1</w:t>
      </w:r>
      <w:r>
        <w:rPr>
          <w:rFonts w:hint="eastAsia" w:ascii="宋体" w:hAnsi="宋体" w:cs="宋体"/>
          <w:kern w:val="0"/>
          <w:sz w:val="24"/>
          <w:highlight w:val="none"/>
        </w:rPr>
        <w:t>法定代表人或授权代理人必须按招标文件的规定在投标文件（正本、副本及各附件）、开标一览表上签字并加盖投标人单位公章，不得使用其它形式如带有“专用章”等字样的印章，否则投标将被视为无效。如投标人对投标文件进行了修改，则须由投标人的法定代表人或授权代理人在修改处签字或加盖公章。</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12.2 </w:t>
      </w:r>
      <w:r>
        <w:rPr>
          <w:rFonts w:hint="eastAsia" w:ascii="宋体" w:hAnsi="宋体" w:cs="宋体"/>
          <w:kern w:val="0"/>
          <w:sz w:val="24"/>
          <w:highlight w:val="none"/>
        </w:rPr>
        <w:t>任何行间插字、涂改和增删，必须由投标人的法定代表人或授权代理人签字或盖章或加盖公章后才有效，授权代理人签字或盖章的需在投标文件中提供法人授权委托书，否则签字或盖章无效。</w:t>
      </w:r>
    </w:p>
    <w:p>
      <w:pPr>
        <w:widowControl/>
        <w:spacing w:line="360" w:lineRule="auto"/>
        <w:ind w:firstLine="480" w:firstLineChars="200"/>
        <w:jc w:val="left"/>
        <w:rPr>
          <w:rFonts w:ascii="宋体" w:cs="宋体"/>
          <w:kern w:val="0"/>
          <w:sz w:val="24"/>
          <w:highlight w:val="none"/>
        </w:rPr>
      </w:pPr>
      <w:bookmarkStart w:id="75" w:name="_Toc28358"/>
      <w:bookmarkStart w:id="76" w:name="_Toc9239"/>
      <w:bookmarkStart w:id="77" w:name="_Toc26505"/>
      <w:r>
        <w:rPr>
          <w:rFonts w:ascii="宋体" w:hAnsi="宋体" w:cs="宋体"/>
          <w:kern w:val="0"/>
          <w:sz w:val="24"/>
          <w:highlight w:val="none"/>
        </w:rPr>
        <w:t xml:space="preserve">13.  </w:t>
      </w:r>
      <w:r>
        <w:rPr>
          <w:rFonts w:hint="eastAsia" w:ascii="宋体" w:hAnsi="宋体" w:cs="宋体"/>
          <w:kern w:val="0"/>
          <w:sz w:val="24"/>
          <w:highlight w:val="none"/>
        </w:rPr>
        <w:t>投标文件密封和标记</w:t>
      </w:r>
      <w:bookmarkEnd w:id="75"/>
      <w:bookmarkEnd w:id="76"/>
      <w:bookmarkEnd w:id="77"/>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13.1 </w:t>
      </w:r>
      <w:r>
        <w:rPr>
          <w:rFonts w:hint="eastAsia" w:ascii="宋体" w:hAnsi="宋体" w:cs="宋体"/>
          <w:kern w:val="0"/>
          <w:sz w:val="24"/>
          <w:highlight w:val="none"/>
        </w:rPr>
        <w:t>投标人应将投标文件正、副本一同密封送达，并在封面明显处注明以下内容（密封件格式见附件九）：</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1) </w:t>
      </w:r>
      <w:r>
        <w:rPr>
          <w:rFonts w:hint="eastAsia" w:ascii="宋体" w:hAnsi="宋体" w:cs="宋体"/>
          <w:kern w:val="0"/>
          <w:sz w:val="24"/>
          <w:highlight w:val="none"/>
        </w:rPr>
        <w:t>招标编号、项目名称</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2) </w:t>
      </w:r>
      <w:r>
        <w:rPr>
          <w:rFonts w:hint="eastAsia" w:ascii="宋体" w:hAnsi="宋体" w:cs="宋体"/>
          <w:kern w:val="0"/>
          <w:sz w:val="24"/>
          <w:highlight w:val="none"/>
        </w:rPr>
        <w:t>投标人名称（加盖公章）、地址、邮编、电话、传真</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13.2 </w:t>
      </w:r>
      <w:r>
        <w:rPr>
          <w:rFonts w:hint="eastAsia" w:ascii="宋体" w:hAnsi="宋体" w:cs="宋体"/>
          <w:kern w:val="0"/>
          <w:sz w:val="24"/>
          <w:highlight w:val="none"/>
        </w:rPr>
        <w:t>为方便公开唱标，请投标人将“开标一览表”单独密封，并注明开标一览表，项目名称、招标编号、投标人名称（加盖公章），与投标文件同时提交。</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13.3 </w:t>
      </w:r>
      <w:r>
        <w:rPr>
          <w:rFonts w:hint="eastAsia" w:ascii="宋体" w:hAnsi="宋体" w:cs="宋体"/>
          <w:kern w:val="0"/>
          <w:sz w:val="24"/>
          <w:highlight w:val="none"/>
        </w:rPr>
        <w:t>每一密封文件在封口处加盖投标人公章或授权代表签字，并注明“于（招标文件中规定的开标日期及时间）之前不准启封”字样。</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13.4 </w:t>
      </w:r>
      <w:r>
        <w:rPr>
          <w:rFonts w:hint="eastAsia" w:ascii="宋体" w:hAnsi="宋体" w:cs="宋体"/>
          <w:kern w:val="0"/>
          <w:sz w:val="24"/>
          <w:highlight w:val="none"/>
        </w:rPr>
        <w:t>如果投标人未按上述要求对投标文件密封及加写标记，招标人对投标文件提前启封概不负责。对由此造成提前开封的投标文件，招标人有权予以拒绝，并退回投标人。</w:t>
      </w:r>
    </w:p>
    <w:p>
      <w:pPr>
        <w:widowControl/>
        <w:spacing w:line="360" w:lineRule="auto"/>
        <w:ind w:firstLine="480" w:firstLineChars="200"/>
        <w:jc w:val="left"/>
        <w:rPr>
          <w:rFonts w:ascii="宋体" w:cs="宋体"/>
          <w:kern w:val="0"/>
          <w:sz w:val="24"/>
          <w:highlight w:val="none"/>
        </w:rPr>
      </w:pPr>
      <w:bookmarkStart w:id="78" w:name="_Toc31000"/>
      <w:bookmarkStart w:id="79" w:name="_Toc31899"/>
      <w:bookmarkStart w:id="80" w:name="_Toc9397"/>
      <w:r>
        <w:rPr>
          <w:rFonts w:ascii="宋体" w:hAnsi="宋体" w:cs="宋体"/>
          <w:kern w:val="0"/>
          <w:sz w:val="24"/>
          <w:highlight w:val="none"/>
        </w:rPr>
        <w:t xml:space="preserve">14.  </w:t>
      </w:r>
      <w:r>
        <w:rPr>
          <w:rFonts w:hint="eastAsia" w:ascii="宋体" w:hAnsi="宋体" w:cs="宋体"/>
          <w:kern w:val="0"/>
          <w:sz w:val="24"/>
          <w:highlight w:val="none"/>
        </w:rPr>
        <w:t>投标保证金</w:t>
      </w:r>
      <w:bookmarkEnd w:id="78"/>
      <w:bookmarkEnd w:id="79"/>
      <w:bookmarkEnd w:id="80"/>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14.1</w:t>
      </w:r>
      <w:r>
        <w:rPr>
          <w:rFonts w:hint="eastAsia" w:ascii="宋体" w:hAnsi="宋体" w:cs="宋体"/>
          <w:kern w:val="0"/>
          <w:sz w:val="24"/>
          <w:highlight w:val="none"/>
        </w:rPr>
        <w:t>投标人应提交前附表规定数额的投标保证金，投标保证金是投标文件的一个组成部分。</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14.2</w:t>
      </w:r>
      <w:r>
        <w:rPr>
          <w:rFonts w:hint="eastAsia" w:ascii="宋体" w:hAnsi="宋体" w:cs="宋体"/>
          <w:kern w:val="0"/>
          <w:sz w:val="24"/>
          <w:highlight w:val="none"/>
        </w:rPr>
        <w:t>投标保证金采用的形式按前附表规定的形式缴纳。</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14.3 </w:t>
      </w:r>
      <w:r>
        <w:rPr>
          <w:rFonts w:hint="eastAsia" w:ascii="宋体" w:hAnsi="宋体" w:cs="宋体"/>
          <w:kern w:val="0"/>
          <w:sz w:val="24"/>
          <w:highlight w:val="none"/>
        </w:rPr>
        <w:t>未按前述各款要求提交投标保证金的报价被视为无效投标。</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14.4 </w:t>
      </w:r>
      <w:r>
        <w:rPr>
          <w:rFonts w:hint="eastAsia" w:ascii="宋体" w:hAnsi="宋体" w:cs="宋体"/>
          <w:kern w:val="0"/>
          <w:sz w:val="24"/>
          <w:highlight w:val="none"/>
        </w:rPr>
        <w:t>投标保证金采用电汇方式退还。若交款单位与投标人名称不一致，退款时，投标保证金退至投标人帐户。</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14.5</w:t>
      </w:r>
      <w:r>
        <w:rPr>
          <w:rFonts w:hint="eastAsia" w:ascii="宋体" w:hAnsi="宋体" w:cs="宋体"/>
          <w:kern w:val="0"/>
          <w:sz w:val="24"/>
          <w:highlight w:val="none"/>
        </w:rPr>
        <w:t>未中标投标人的投标保证金自中标通知书发出之日起</w:t>
      </w:r>
      <w:r>
        <w:rPr>
          <w:rFonts w:ascii="宋体" w:hAnsi="宋体" w:cs="宋体"/>
          <w:kern w:val="0"/>
          <w:sz w:val="24"/>
          <w:highlight w:val="none"/>
        </w:rPr>
        <w:t>5</w:t>
      </w:r>
      <w:r>
        <w:rPr>
          <w:rFonts w:hint="eastAsia" w:ascii="宋体" w:hAnsi="宋体" w:cs="宋体"/>
          <w:kern w:val="0"/>
          <w:sz w:val="24"/>
          <w:highlight w:val="none"/>
        </w:rPr>
        <w:t>个工作日内退还。</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14.6</w:t>
      </w:r>
      <w:r>
        <w:rPr>
          <w:rFonts w:hint="eastAsia" w:ascii="宋体" w:hAnsi="宋体" w:cs="宋体"/>
          <w:kern w:val="0"/>
          <w:sz w:val="24"/>
          <w:highlight w:val="none"/>
        </w:rPr>
        <w:t>中标人的投标保证金，自合同签订之日起</w:t>
      </w:r>
      <w:r>
        <w:rPr>
          <w:rFonts w:ascii="宋体" w:hAnsi="宋体" w:cs="宋体"/>
          <w:kern w:val="0"/>
          <w:sz w:val="24"/>
          <w:highlight w:val="none"/>
        </w:rPr>
        <w:t>5</w:t>
      </w:r>
      <w:r>
        <w:rPr>
          <w:rFonts w:hint="eastAsia" w:ascii="宋体" w:hAnsi="宋体" w:cs="宋体"/>
          <w:kern w:val="0"/>
          <w:sz w:val="24"/>
          <w:highlight w:val="none"/>
        </w:rPr>
        <w:t>个工作日内退还。</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15.  </w:t>
      </w:r>
      <w:r>
        <w:rPr>
          <w:rFonts w:hint="eastAsia" w:ascii="宋体" w:hAnsi="宋体" w:cs="宋体"/>
          <w:kern w:val="0"/>
          <w:sz w:val="24"/>
          <w:highlight w:val="none"/>
        </w:rPr>
        <w:t>投标有效期</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15.1 </w:t>
      </w:r>
      <w:r>
        <w:rPr>
          <w:rFonts w:hint="eastAsia" w:ascii="宋体" w:hAnsi="宋体" w:cs="宋体"/>
          <w:kern w:val="0"/>
          <w:sz w:val="24"/>
          <w:highlight w:val="none"/>
        </w:rPr>
        <w:t>从投标截止之日起，投标有效期为</w:t>
      </w:r>
      <w:r>
        <w:rPr>
          <w:rFonts w:ascii="宋体" w:hAnsi="宋体" w:cs="宋体"/>
          <w:kern w:val="0"/>
          <w:sz w:val="24"/>
          <w:highlight w:val="none"/>
        </w:rPr>
        <w:t>90</w:t>
      </w:r>
      <w:r>
        <w:rPr>
          <w:rFonts w:hint="eastAsia" w:ascii="宋体" w:hAnsi="宋体" w:cs="宋体"/>
          <w:kern w:val="0"/>
          <w:sz w:val="24"/>
          <w:highlight w:val="none"/>
        </w:rPr>
        <w:t>日。投标文件的有效期比本须知规定的有效期短的投标将被拒绝。</w:t>
      </w:r>
    </w:p>
    <w:p>
      <w:pPr>
        <w:widowControl/>
        <w:spacing w:line="360" w:lineRule="auto"/>
        <w:ind w:firstLine="480" w:firstLineChars="200"/>
        <w:jc w:val="left"/>
        <w:rPr>
          <w:rFonts w:ascii="宋体"/>
          <w:bCs/>
          <w:highlight w:val="none"/>
        </w:rPr>
      </w:pPr>
      <w:r>
        <w:rPr>
          <w:rFonts w:ascii="宋体" w:hAnsi="宋体" w:cs="宋体"/>
          <w:kern w:val="0"/>
          <w:sz w:val="24"/>
          <w:highlight w:val="none"/>
        </w:rPr>
        <w:t xml:space="preserve">15.2 </w:t>
      </w:r>
      <w:r>
        <w:rPr>
          <w:rFonts w:hint="eastAsia" w:ascii="宋体" w:hAnsi="宋体" w:cs="宋体"/>
          <w:kern w:val="0"/>
          <w:sz w:val="24"/>
          <w:highlight w:val="none"/>
        </w:rPr>
        <w:t>特殊情况下，在投标有效期满之前，招标代理可以书面形式要求投标人同意延长投标有效期。投标人可以以书面形式拒绝或接受上述要求。拒绝延长投标有效期的投标人有权收回投标保证金；同意延长投标有效期的投标人应当相应延长其投标保证金的有效期，但不得修改投标文件的其他内容。</w:t>
      </w:r>
    </w:p>
    <w:p>
      <w:pPr>
        <w:pStyle w:val="21"/>
        <w:spacing w:line="480" w:lineRule="exact"/>
        <w:ind w:leftChars="0" w:hanging="100" w:firstLineChars="0"/>
        <w:outlineLvl w:val="1"/>
        <w:rPr>
          <w:rFonts w:ascii="宋体"/>
          <w:b/>
          <w:bCs/>
          <w:sz w:val="24"/>
          <w:highlight w:val="none"/>
        </w:rPr>
      </w:pPr>
      <w:bookmarkStart w:id="81" w:name="_Toc18910"/>
      <w:bookmarkStart w:id="82" w:name="_Toc3684"/>
      <w:bookmarkStart w:id="83" w:name="_Toc1930"/>
      <w:r>
        <w:rPr>
          <w:rFonts w:hint="eastAsia" w:ascii="宋体" w:hAnsi="宋体"/>
          <w:b/>
          <w:bCs/>
          <w:sz w:val="24"/>
          <w:highlight w:val="none"/>
        </w:rPr>
        <w:t>四、投标文件递交</w:t>
      </w:r>
      <w:bookmarkEnd w:id="81"/>
      <w:bookmarkEnd w:id="82"/>
      <w:bookmarkEnd w:id="83"/>
    </w:p>
    <w:p>
      <w:pPr>
        <w:pStyle w:val="19"/>
        <w:spacing w:line="480" w:lineRule="exact"/>
        <w:ind w:left="571" w:leftChars="272"/>
        <w:rPr>
          <w:rFonts w:ascii="宋体"/>
          <w:bCs/>
          <w:highlight w:val="none"/>
        </w:rPr>
      </w:pPr>
      <w:r>
        <w:rPr>
          <w:rFonts w:ascii="宋体" w:hAnsi="宋体"/>
          <w:bCs/>
          <w:highlight w:val="none"/>
        </w:rPr>
        <w:t xml:space="preserve">16.  </w:t>
      </w:r>
      <w:r>
        <w:rPr>
          <w:rFonts w:hint="eastAsia" w:ascii="宋体" w:hAnsi="宋体"/>
          <w:bCs/>
          <w:highlight w:val="none"/>
        </w:rPr>
        <w:t>投标文件递交时间和地点</w:t>
      </w:r>
    </w:p>
    <w:p>
      <w:pPr>
        <w:pStyle w:val="19"/>
        <w:spacing w:line="480" w:lineRule="exact"/>
        <w:ind w:firstLine="480" w:firstLineChars="200"/>
        <w:rPr>
          <w:rFonts w:ascii="宋体"/>
          <w:bCs/>
          <w:highlight w:val="none"/>
        </w:rPr>
      </w:pPr>
      <w:r>
        <w:rPr>
          <w:rFonts w:ascii="宋体" w:hAnsi="宋体"/>
          <w:bCs/>
          <w:highlight w:val="none"/>
        </w:rPr>
        <w:t xml:space="preserve">16.1 </w:t>
      </w:r>
      <w:r>
        <w:rPr>
          <w:rFonts w:hint="eastAsia" w:ascii="宋体" w:hAnsi="宋体"/>
          <w:bCs/>
          <w:highlight w:val="none"/>
        </w:rPr>
        <w:t>投标人代表必须在投标截止时间前将投标文件送达指定地点。如因招标文件的修改推迟投标截止日期的，则按招标代理另行通知规定的时间递交。</w:t>
      </w:r>
    </w:p>
    <w:p>
      <w:pPr>
        <w:pStyle w:val="19"/>
        <w:spacing w:line="480" w:lineRule="exact"/>
        <w:ind w:firstLine="480" w:firstLineChars="200"/>
        <w:rPr>
          <w:rFonts w:ascii="宋体"/>
          <w:bCs/>
          <w:highlight w:val="none"/>
        </w:rPr>
      </w:pPr>
      <w:r>
        <w:rPr>
          <w:rFonts w:ascii="宋体" w:hAnsi="宋体"/>
          <w:bCs/>
          <w:highlight w:val="none"/>
        </w:rPr>
        <w:t xml:space="preserve">16.2 </w:t>
      </w:r>
      <w:r>
        <w:rPr>
          <w:rFonts w:hint="eastAsia" w:ascii="宋体" w:hAnsi="宋体"/>
          <w:bCs/>
          <w:highlight w:val="none"/>
        </w:rPr>
        <w:t>招标代理将拒绝接收投标截止时间后送达的投标文件。</w:t>
      </w:r>
    </w:p>
    <w:p>
      <w:pPr>
        <w:pStyle w:val="19"/>
        <w:spacing w:line="480" w:lineRule="exact"/>
        <w:ind w:left="571" w:leftChars="272" w:firstLine="2"/>
        <w:rPr>
          <w:rFonts w:ascii="宋体"/>
          <w:bCs/>
          <w:highlight w:val="none"/>
        </w:rPr>
      </w:pPr>
      <w:r>
        <w:rPr>
          <w:rFonts w:ascii="宋体" w:hAnsi="宋体"/>
          <w:bCs/>
          <w:highlight w:val="none"/>
        </w:rPr>
        <w:t xml:space="preserve">17.  </w:t>
      </w:r>
      <w:r>
        <w:rPr>
          <w:rFonts w:hint="eastAsia" w:ascii="宋体" w:hAnsi="宋体"/>
          <w:bCs/>
          <w:highlight w:val="none"/>
        </w:rPr>
        <w:t>投标文件签收</w:t>
      </w:r>
    </w:p>
    <w:p>
      <w:pPr>
        <w:pStyle w:val="19"/>
        <w:spacing w:line="480" w:lineRule="exact"/>
        <w:ind w:firstLine="480" w:firstLineChars="200"/>
        <w:rPr>
          <w:rFonts w:ascii="宋体"/>
          <w:bCs/>
          <w:highlight w:val="none"/>
        </w:rPr>
      </w:pPr>
      <w:r>
        <w:rPr>
          <w:rFonts w:ascii="宋体" w:hAnsi="宋体"/>
          <w:bCs/>
          <w:highlight w:val="none"/>
        </w:rPr>
        <w:t xml:space="preserve">17.1 </w:t>
      </w:r>
      <w:r>
        <w:rPr>
          <w:rFonts w:hint="eastAsia" w:ascii="宋体" w:hAnsi="宋体"/>
          <w:bCs/>
          <w:highlight w:val="none"/>
        </w:rPr>
        <w:t>招标代理于投标截止时间前接收合格的投标文件，投标人同时签字确认。</w:t>
      </w:r>
    </w:p>
    <w:p>
      <w:pPr>
        <w:pStyle w:val="19"/>
        <w:spacing w:line="480" w:lineRule="exact"/>
        <w:ind w:firstLine="480" w:firstLineChars="200"/>
        <w:rPr>
          <w:rFonts w:ascii="宋体"/>
          <w:bCs/>
          <w:highlight w:val="none"/>
        </w:rPr>
      </w:pPr>
      <w:r>
        <w:rPr>
          <w:rFonts w:ascii="宋体" w:hAnsi="宋体"/>
          <w:bCs/>
          <w:highlight w:val="none"/>
        </w:rPr>
        <w:t xml:space="preserve">17.2 </w:t>
      </w:r>
      <w:r>
        <w:rPr>
          <w:rFonts w:hint="eastAsia" w:ascii="宋体" w:hAnsi="宋体"/>
          <w:bCs/>
          <w:highlight w:val="none"/>
        </w:rPr>
        <w:t>投标文件须采用纸质形式，以电报、传真、电子邮件等形式提交的投标不予接受。</w:t>
      </w:r>
    </w:p>
    <w:p>
      <w:pPr>
        <w:pStyle w:val="19"/>
        <w:spacing w:line="480" w:lineRule="exact"/>
        <w:ind w:firstLine="480" w:firstLineChars="200"/>
        <w:rPr>
          <w:rFonts w:ascii="宋体"/>
          <w:bCs/>
          <w:highlight w:val="none"/>
        </w:rPr>
      </w:pPr>
      <w:r>
        <w:rPr>
          <w:rFonts w:ascii="宋体" w:hAnsi="宋体"/>
          <w:bCs/>
          <w:highlight w:val="none"/>
        </w:rPr>
        <w:t xml:space="preserve">17.3 </w:t>
      </w:r>
      <w:r>
        <w:rPr>
          <w:rFonts w:hint="eastAsia" w:ascii="宋体" w:hAnsi="宋体"/>
          <w:bCs/>
          <w:highlight w:val="none"/>
        </w:rPr>
        <w:t>对投标人提交的投标文件在投标截止时间后不予退还。</w:t>
      </w:r>
    </w:p>
    <w:p>
      <w:pPr>
        <w:pStyle w:val="21"/>
        <w:spacing w:line="480" w:lineRule="exact"/>
        <w:ind w:left="571" w:leftChars="272" w:firstLine="4" w:firstLineChars="2"/>
        <w:outlineLvl w:val="0"/>
        <w:rPr>
          <w:rFonts w:ascii="宋体"/>
          <w:bCs/>
          <w:sz w:val="24"/>
          <w:highlight w:val="none"/>
        </w:rPr>
      </w:pPr>
      <w:bookmarkStart w:id="84" w:name="_Toc13548"/>
      <w:bookmarkStart w:id="85" w:name="_Toc22790"/>
      <w:bookmarkStart w:id="86" w:name="_Toc5371"/>
      <w:r>
        <w:rPr>
          <w:rFonts w:ascii="宋体" w:hAnsi="宋体"/>
          <w:bCs/>
          <w:sz w:val="24"/>
          <w:highlight w:val="none"/>
        </w:rPr>
        <w:t xml:space="preserve">18.  </w:t>
      </w:r>
      <w:r>
        <w:rPr>
          <w:rFonts w:hint="eastAsia" w:ascii="宋体" w:hAnsi="宋体"/>
          <w:bCs/>
          <w:sz w:val="24"/>
          <w:highlight w:val="none"/>
        </w:rPr>
        <w:t>投标文件修改与撤回</w:t>
      </w:r>
      <w:bookmarkEnd w:id="84"/>
      <w:bookmarkEnd w:id="85"/>
      <w:bookmarkEnd w:id="86"/>
    </w:p>
    <w:p>
      <w:pPr>
        <w:pStyle w:val="19"/>
        <w:spacing w:line="480" w:lineRule="exact"/>
        <w:ind w:firstLine="480" w:firstLineChars="200"/>
        <w:rPr>
          <w:rFonts w:ascii="宋体"/>
          <w:bCs/>
          <w:highlight w:val="none"/>
        </w:rPr>
      </w:pPr>
      <w:r>
        <w:rPr>
          <w:rFonts w:ascii="宋体" w:hAnsi="宋体"/>
          <w:bCs/>
          <w:highlight w:val="none"/>
        </w:rPr>
        <w:t xml:space="preserve">18.1 </w:t>
      </w:r>
      <w:r>
        <w:rPr>
          <w:rFonts w:hint="eastAsia" w:ascii="宋体" w:hAnsi="宋体"/>
          <w:bCs/>
          <w:highlight w:val="none"/>
        </w:rPr>
        <w:t>投标人在招标文件要求提交投标文件的截止时间前，可以补充、修改或者撤回已提交的投标文件，并书面形式通知招标代理。</w:t>
      </w:r>
    </w:p>
    <w:p>
      <w:pPr>
        <w:pStyle w:val="19"/>
        <w:spacing w:line="480" w:lineRule="exact"/>
        <w:ind w:firstLine="480" w:firstLineChars="200"/>
        <w:rPr>
          <w:rFonts w:ascii="宋体"/>
          <w:bCs/>
          <w:highlight w:val="none"/>
        </w:rPr>
      </w:pPr>
      <w:r>
        <w:rPr>
          <w:rFonts w:ascii="宋体" w:hAnsi="宋体"/>
          <w:bCs/>
          <w:highlight w:val="none"/>
        </w:rPr>
        <w:t xml:space="preserve">18.2 </w:t>
      </w:r>
      <w:r>
        <w:rPr>
          <w:rFonts w:hint="eastAsia" w:ascii="宋体" w:hAnsi="宋体"/>
          <w:bCs/>
          <w:highlight w:val="none"/>
        </w:rPr>
        <w:t>投标人对投标文件的补充、修改或撤回通知应按本须知规定编制、密封、标记和递交。</w:t>
      </w:r>
    </w:p>
    <w:p>
      <w:pPr>
        <w:pStyle w:val="19"/>
        <w:spacing w:line="480" w:lineRule="exact"/>
        <w:ind w:firstLine="480" w:firstLineChars="200"/>
        <w:rPr>
          <w:rFonts w:ascii="宋体"/>
          <w:bCs/>
          <w:highlight w:val="none"/>
        </w:rPr>
      </w:pPr>
      <w:r>
        <w:rPr>
          <w:rFonts w:ascii="宋体" w:hAnsi="宋体"/>
          <w:bCs/>
          <w:highlight w:val="none"/>
        </w:rPr>
        <w:t xml:space="preserve">18.3 </w:t>
      </w:r>
      <w:r>
        <w:rPr>
          <w:rFonts w:hint="eastAsia" w:ascii="宋体" w:hAnsi="宋体"/>
          <w:bCs/>
          <w:highlight w:val="none"/>
        </w:rPr>
        <w:t>撤回投标的要求应以书面形式提出，由投标人法定代表人或授权代理人签署，并在投标截止时间前送达招标代理。</w:t>
      </w:r>
    </w:p>
    <w:p>
      <w:pPr>
        <w:pStyle w:val="19"/>
        <w:spacing w:line="480" w:lineRule="exact"/>
        <w:ind w:firstLine="480" w:firstLineChars="200"/>
        <w:rPr>
          <w:rFonts w:ascii="宋体"/>
          <w:bCs/>
          <w:highlight w:val="none"/>
        </w:rPr>
      </w:pPr>
      <w:r>
        <w:rPr>
          <w:rFonts w:ascii="宋体" w:hAnsi="宋体"/>
          <w:bCs/>
          <w:highlight w:val="none"/>
        </w:rPr>
        <w:t xml:space="preserve">18.4 </w:t>
      </w:r>
      <w:r>
        <w:rPr>
          <w:rFonts w:hint="eastAsia" w:ascii="宋体" w:hAnsi="宋体"/>
          <w:bCs/>
          <w:highlight w:val="none"/>
        </w:rPr>
        <w:t>投标有效期内不得撤回投标文件，开标仪式后撤回投标的行为将被记录在案，其投标保证金不予退还。</w:t>
      </w:r>
    </w:p>
    <w:p>
      <w:pPr>
        <w:pStyle w:val="19"/>
        <w:spacing w:line="480" w:lineRule="exact"/>
        <w:ind w:firstLine="480" w:firstLineChars="200"/>
        <w:rPr>
          <w:rFonts w:ascii="宋体"/>
          <w:bCs/>
          <w:highlight w:val="none"/>
        </w:rPr>
      </w:pPr>
      <w:r>
        <w:rPr>
          <w:rFonts w:ascii="宋体" w:hAnsi="宋体"/>
          <w:bCs/>
          <w:highlight w:val="none"/>
        </w:rPr>
        <w:t>18.5</w:t>
      </w:r>
      <w:r>
        <w:rPr>
          <w:rFonts w:hint="eastAsia" w:ascii="宋体" w:hAnsi="宋体"/>
          <w:bCs/>
          <w:highlight w:val="none"/>
        </w:rPr>
        <w:t>通过给所有投标人发通知，招标代理可以延长投标截止时间。招标代理与投标人以前在投标截止期方面的全部权利、责任和义务，将适用于延长后新的投标截止期。</w:t>
      </w:r>
    </w:p>
    <w:p>
      <w:pPr>
        <w:pStyle w:val="21"/>
        <w:spacing w:line="480" w:lineRule="exact"/>
        <w:ind w:leftChars="0" w:hanging="100" w:firstLineChars="0"/>
        <w:outlineLvl w:val="1"/>
        <w:rPr>
          <w:rFonts w:ascii="宋体"/>
          <w:b/>
          <w:bCs/>
          <w:sz w:val="24"/>
          <w:highlight w:val="none"/>
        </w:rPr>
      </w:pPr>
      <w:bookmarkStart w:id="87" w:name="_Toc142"/>
      <w:bookmarkStart w:id="88" w:name="_Toc29966"/>
      <w:r>
        <w:rPr>
          <w:rFonts w:hint="eastAsia" w:ascii="宋体" w:hAnsi="宋体"/>
          <w:b/>
          <w:bCs/>
          <w:sz w:val="24"/>
          <w:highlight w:val="none"/>
        </w:rPr>
        <w:t>五、开标与评标</w:t>
      </w:r>
      <w:bookmarkEnd w:id="87"/>
      <w:bookmarkEnd w:id="88"/>
    </w:p>
    <w:p>
      <w:pPr>
        <w:pStyle w:val="19"/>
        <w:spacing w:line="480" w:lineRule="exact"/>
        <w:ind w:left="571" w:leftChars="272"/>
        <w:rPr>
          <w:rFonts w:ascii="宋体"/>
          <w:bCs/>
          <w:highlight w:val="none"/>
        </w:rPr>
      </w:pPr>
      <w:r>
        <w:rPr>
          <w:rFonts w:ascii="宋体" w:hAnsi="宋体"/>
          <w:bCs/>
          <w:highlight w:val="none"/>
        </w:rPr>
        <w:t xml:space="preserve">19.  </w:t>
      </w:r>
      <w:r>
        <w:rPr>
          <w:rFonts w:hint="eastAsia" w:ascii="宋体" w:hAnsi="宋体"/>
          <w:bCs/>
          <w:highlight w:val="none"/>
        </w:rPr>
        <w:t>开标</w:t>
      </w:r>
    </w:p>
    <w:p>
      <w:pPr>
        <w:pStyle w:val="19"/>
        <w:spacing w:line="480" w:lineRule="exact"/>
        <w:ind w:firstLine="480" w:firstLineChars="200"/>
        <w:rPr>
          <w:rFonts w:ascii="宋体"/>
          <w:bCs/>
          <w:highlight w:val="none"/>
        </w:rPr>
      </w:pPr>
      <w:r>
        <w:rPr>
          <w:rFonts w:ascii="宋体" w:hAnsi="宋体"/>
          <w:bCs/>
          <w:highlight w:val="none"/>
        </w:rPr>
        <w:t xml:space="preserve">19.1 </w:t>
      </w:r>
      <w:r>
        <w:rPr>
          <w:rFonts w:hint="eastAsia" w:ascii="宋体" w:hAnsi="宋体"/>
          <w:bCs/>
          <w:highlight w:val="none"/>
        </w:rPr>
        <w:t>按照招标文件规定的时间、地点开标。招标代理组织并主持投标文件的开标仪式，招标人、投标人和有关方面的代表参加。</w:t>
      </w:r>
    </w:p>
    <w:p>
      <w:pPr>
        <w:pStyle w:val="19"/>
        <w:spacing w:line="480" w:lineRule="exact"/>
        <w:ind w:firstLine="480" w:firstLineChars="200"/>
        <w:rPr>
          <w:rFonts w:ascii="宋体"/>
          <w:bCs/>
          <w:highlight w:val="none"/>
        </w:rPr>
      </w:pPr>
      <w:r>
        <w:rPr>
          <w:rFonts w:ascii="宋体" w:hAnsi="宋体"/>
          <w:bCs/>
          <w:highlight w:val="none"/>
        </w:rPr>
        <w:t>19.2</w:t>
      </w:r>
      <w:r>
        <w:rPr>
          <w:rFonts w:hint="eastAsia" w:ascii="宋体" w:hAnsi="宋体"/>
          <w:bCs/>
          <w:highlight w:val="none"/>
        </w:rPr>
        <w:t>投标人法定代表人或其授权代理人应参加并签名报到以证明其出席。</w:t>
      </w:r>
    </w:p>
    <w:p>
      <w:pPr>
        <w:pStyle w:val="19"/>
        <w:spacing w:line="480" w:lineRule="exact"/>
        <w:ind w:firstLine="480" w:firstLineChars="200"/>
        <w:rPr>
          <w:rFonts w:ascii="宋体"/>
          <w:bCs/>
          <w:highlight w:val="none"/>
        </w:rPr>
      </w:pPr>
      <w:r>
        <w:rPr>
          <w:rFonts w:ascii="宋体" w:hAnsi="宋体"/>
          <w:bCs/>
          <w:highlight w:val="none"/>
        </w:rPr>
        <w:t>19.3</w:t>
      </w:r>
      <w:r>
        <w:rPr>
          <w:rFonts w:hint="eastAsia" w:ascii="宋体" w:hAnsi="宋体"/>
          <w:bCs/>
          <w:highlight w:val="none"/>
        </w:rPr>
        <w:t>主持人按下列程序进行开标：</w:t>
      </w:r>
    </w:p>
    <w:p>
      <w:pPr>
        <w:pStyle w:val="19"/>
        <w:spacing w:line="480" w:lineRule="exact"/>
        <w:ind w:firstLine="480" w:firstLineChars="200"/>
        <w:rPr>
          <w:rFonts w:ascii="宋体"/>
          <w:bCs/>
          <w:highlight w:val="none"/>
        </w:rPr>
      </w:pPr>
      <w:r>
        <w:rPr>
          <w:rFonts w:hint="eastAsia" w:ascii="宋体" w:hAnsi="宋体"/>
          <w:bCs/>
          <w:highlight w:val="none"/>
        </w:rPr>
        <w:t>（</w:t>
      </w:r>
      <w:r>
        <w:rPr>
          <w:rFonts w:ascii="宋体" w:hAnsi="宋体"/>
          <w:bCs/>
          <w:highlight w:val="none"/>
        </w:rPr>
        <w:t>1</w:t>
      </w:r>
      <w:r>
        <w:rPr>
          <w:rFonts w:hint="eastAsia" w:ascii="宋体" w:hAnsi="宋体"/>
          <w:bCs/>
          <w:highlight w:val="none"/>
        </w:rPr>
        <w:t>）宣读会场纪律；</w:t>
      </w:r>
    </w:p>
    <w:p>
      <w:pPr>
        <w:pStyle w:val="19"/>
        <w:spacing w:line="480" w:lineRule="exact"/>
        <w:ind w:firstLine="480" w:firstLineChars="200"/>
        <w:rPr>
          <w:rFonts w:ascii="宋体"/>
          <w:bCs/>
          <w:highlight w:val="none"/>
        </w:rPr>
      </w:pPr>
      <w:r>
        <w:rPr>
          <w:rFonts w:hint="eastAsia" w:ascii="宋体" w:hAnsi="宋体"/>
          <w:bCs/>
          <w:highlight w:val="none"/>
        </w:rPr>
        <w:t>（</w:t>
      </w:r>
      <w:r>
        <w:rPr>
          <w:rFonts w:ascii="宋体" w:hAnsi="宋体"/>
          <w:bCs/>
          <w:highlight w:val="none"/>
        </w:rPr>
        <w:t>2</w:t>
      </w:r>
      <w:r>
        <w:rPr>
          <w:rFonts w:hint="eastAsia" w:ascii="宋体" w:hAnsi="宋体"/>
          <w:bCs/>
          <w:highlight w:val="none"/>
        </w:rPr>
        <w:t>）公布在投标截止时间前递交投标文件的投标人名称；</w:t>
      </w:r>
    </w:p>
    <w:p>
      <w:pPr>
        <w:pStyle w:val="19"/>
        <w:spacing w:line="480" w:lineRule="exact"/>
        <w:ind w:firstLine="480" w:firstLineChars="200"/>
        <w:rPr>
          <w:rFonts w:ascii="宋体"/>
          <w:bCs/>
          <w:highlight w:val="none"/>
        </w:rPr>
      </w:pPr>
      <w:r>
        <w:rPr>
          <w:rFonts w:hint="eastAsia" w:ascii="宋体" w:hAnsi="宋体"/>
          <w:bCs/>
          <w:highlight w:val="none"/>
        </w:rPr>
        <w:t>（</w:t>
      </w:r>
      <w:r>
        <w:rPr>
          <w:rFonts w:ascii="宋体" w:hAnsi="宋体"/>
          <w:bCs/>
          <w:highlight w:val="none"/>
        </w:rPr>
        <w:t>3</w:t>
      </w:r>
      <w:r>
        <w:rPr>
          <w:rFonts w:hint="eastAsia" w:ascii="宋体" w:hAnsi="宋体"/>
          <w:bCs/>
          <w:highlight w:val="none"/>
        </w:rPr>
        <w:t>）在招标人监督部门的监督下，由招标人委托的公证处或投标人推选的代表检查投标文件的密封情况并予以签字确认；</w:t>
      </w:r>
    </w:p>
    <w:p>
      <w:pPr>
        <w:pStyle w:val="19"/>
        <w:spacing w:line="480" w:lineRule="exact"/>
        <w:ind w:left="420" w:leftChars="200"/>
        <w:rPr>
          <w:rFonts w:ascii="宋体"/>
          <w:bCs/>
          <w:highlight w:val="none"/>
        </w:rPr>
      </w:pPr>
      <w:r>
        <w:rPr>
          <w:rFonts w:hint="eastAsia" w:ascii="宋体" w:hAnsi="宋体"/>
          <w:bCs/>
          <w:highlight w:val="none"/>
        </w:rPr>
        <w:t>（</w:t>
      </w:r>
      <w:r>
        <w:rPr>
          <w:rFonts w:ascii="宋体" w:hAnsi="宋体"/>
          <w:bCs/>
          <w:highlight w:val="none"/>
        </w:rPr>
        <w:t>4</w:t>
      </w:r>
      <w:r>
        <w:rPr>
          <w:rFonts w:hint="eastAsia" w:ascii="宋体" w:hAnsi="宋体"/>
          <w:bCs/>
          <w:highlight w:val="none"/>
        </w:rPr>
        <w:t>）按照宣布的开标顺序当众进行唱标，并由投标人授权代表对唱标内容签字确认。（</w:t>
      </w:r>
      <w:r>
        <w:rPr>
          <w:rFonts w:ascii="宋体" w:hAnsi="宋体"/>
          <w:bCs/>
          <w:highlight w:val="none"/>
        </w:rPr>
        <w:t>5</w:t>
      </w:r>
      <w:r>
        <w:rPr>
          <w:rFonts w:hint="eastAsia" w:ascii="宋体" w:hAnsi="宋体"/>
          <w:bCs/>
          <w:highlight w:val="none"/>
        </w:rPr>
        <w:t>）开标会结束，投标人退场。</w:t>
      </w:r>
    </w:p>
    <w:p>
      <w:pPr>
        <w:pStyle w:val="19"/>
        <w:spacing w:line="480" w:lineRule="exact"/>
        <w:ind w:firstLine="480" w:firstLineChars="200"/>
        <w:rPr>
          <w:rFonts w:ascii="宋体"/>
          <w:bCs/>
          <w:highlight w:val="none"/>
        </w:rPr>
      </w:pPr>
      <w:r>
        <w:rPr>
          <w:rFonts w:ascii="宋体" w:hAnsi="宋体"/>
          <w:bCs/>
          <w:highlight w:val="none"/>
        </w:rPr>
        <w:t>19.4</w:t>
      </w:r>
      <w:r>
        <w:rPr>
          <w:rFonts w:hint="eastAsia" w:ascii="宋体" w:hAnsi="宋体"/>
          <w:bCs/>
          <w:highlight w:val="none"/>
        </w:rPr>
        <w:t>对本次开标存在异议的投标人，应现场提出。</w:t>
      </w:r>
    </w:p>
    <w:p>
      <w:pPr>
        <w:pStyle w:val="19"/>
        <w:spacing w:line="480" w:lineRule="exact"/>
        <w:ind w:firstLine="480" w:firstLineChars="200"/>
        <w:rPr>
          <w:rFonts w:ascii="宋体"/>
          <w:bCs/>
          <w:highlight w:val="none"/>
        </w:rPr>
      </w:pPr>
      <w:r>
        <w:rPr>
          <w:rFonts w:ascii="宋体" w:hAnsi="宋体"/>
          <w:bCs/>
          <w:highlight w:val="none"/>
        </w:rPr>
        <w:t>19.5</w:t>
      </w:r>
      <w:r>
        <w:rPr>
          <w:rFonts w:hint="eastAsia" w:ascii="宋体" w:hAnsi="宋体"/>
          <w:bCs/>
          <w:highlight w:val="none"/>
        </w:rPr>
        <w:t>若投标人的法定代表人或其委托代理人因故不能出席开标活动或参加开标活动时无法提供有效的授权书及身份证明，该投标人的投标文件递交人不能在开标记录上签字，且视为该投标人默认开标结果。</w:t>
      </w:r>
    </w:p>
    <w:p>
      <w:pPr>
        <w:pStyle w:val="19"/>
        <w:spacing w:line="480" w:lineRule="exact"/>
        <w:ind w:firstLine="480" w:firstLineChars="200"/>
        <w:rPr>
          <w:rFonts w:ascii="宋体"/>
          <w:bCs/>
          <w:highlight w:val="none"/>
        </w:rPr>
      </w:pPr>
      <w:r>
        <w:rPr>
          <w:rFonts w:ascii="宋体" w:hAnsi="宋体"/>
          <w:bCs/>
          <w:highlight w:val="none"/>
        </w:rPr>
        <w:t>19.6</w:t>
      </w:r>
      <w:r>
        <w:rPr>
          <w:rFonts w:hint="eastAsia" w:ascii="宋体" w:hAnsi="宋体"/>
          <w:bCs/>
          <w:highlight w:val="none"/>
        </w:rPr>
        <w:t>投标文件有下列情况之一者，招标人不予受理。</w:t>
      </w:r>
    </w:p>
    <w:p>
      <w:pPr>
        <w:pStyle w:val="19"/>
        <w:spacing w:line="480" w:lineRule="exact"/>
        <w:ind w:firstLine="480" w:firstLineChars="200"/>
        <w:rPr>
          <w:rFonts w:ascii="宋体"/>
          <w:bCs/>
          <w:highlight w:val="none"/>
        </w:rPr>
      </w:pPr>
      <w:r>
        <w:rPr>
          <w:rFonts w:ascii="宋体" w:hAnsi="宋体"/>
          <w:bCs/>
          <w:highlight w:val="none"/>
        </w:rPr>
        <w:t xml:space="preserve">(1) </w:t>
      </w:r>
      <w:r>
        <w:rPr>
          <w:rFonts w:hint="eastAsia" w:ascii="宋体" w:hAnsi="宋体"/>
          <w:bCs/>
          <w:highlight w:val="none"/>
        </w:rPr>
        <w:t>投标文件未按规定标志、密封；</w:t>
      </w:r>
    </w:p>
    <w:p>
      <w:pPr>
        <w:pStyle w:val="19"/>
        <w:spacing w:line="480" w:lineRule="exact"/>
        <w:ind w:firstLine="480" w:firstLineChars="200"/>
        <w:rPr>
          <w:rFonts w:ascii="宋体"/>
          <w:bCs/>
          <w:highlight w:val="none"/>
        </w:rPr>
      </w:pPr>
      <w:r>
        <w:rPr>
          <w:rFonts w:ascii="宋体" w:hAnsi="宋体"/>
          <w:bCs/>
          <w:highlight w:val="none"/>
        </w:rPr>
        <w:t xml:space="preserve">(2) </w:t>
      </w:r>
      <w:r>
        <w:rPr>
          <w:rFonts w:hint="eastAsia" w:ascii="宋体" w:hAnsi="宋体"/>
          <w:bCs/>
          <w:highlight w:val="none"/>
        </w:rPr>
        <w:t>未在密封处加盖投标人公章或法定代表人或授权代表签字或盖章；</w:t>
      </w:r>
    </w:p>
    <w:p>
      <w:pPr>
        <w:pStyle w:val="19"/>
        <w:spacing w:line="480" w:lineRule="exact"/>
        <w:ind w:firstLine="480" w:firstLineChars="200"/>
        <w:rPr>
          <w:rFonts w:ascii="宋体"/>
          <w:bCs/>
          <w:highlight w:val="none"/>
        </w:rPr>
      </w:pPr>
      <w:r>
        <w:rPr>
          <w:rFonts w:ascii="宋体" w:hAnsi="宋体"/>
          <w:bCs/>
          <w:highlight w:val="none"/>
        </w:rPr>
        <w:t xml:space="preserve">(3) </w:t>
      </w:r>
      <w:r>
        <w:rPr>
          <w:rFonts w:hint="eastAsia" w:ascii="宋体" w:hAnsi="宋体"/>
          <w:bCs/>
          <w:highlight w:val="none"/>
        </w:rPr>
        <w:t>投标截止时间以后送达的投标文件。</w:t>
      </w:r>
    </w:p>
    <w:p>
      <w:pPr>
        <w:pStyle w:val="19"/>
        <w:spacing w:line="480" w:lineRule="exact"/>
        <w:ind w:firstLine="480" w:firstLineChars="200"/>
        <w:rPr>
          <w:rFonts w:ascii="宋体"/>
          <w:bCs/>
          <w:highlight w:val="none"/>
        </w:rPr>
      </w:pPr>
      <w:r>
        <w:rPr>
          <w:rFonts w:ascii="宋体" w:hAnsi="宋体"/>
          <w:bCs/>
          <w:highlight w:val="none"/>
        </w:rPr>
        <w:t>19.7</w:t>
      </w:r>
      <w:r>
        <w:rPr>
          <w:rFonts w:hint="eastAsia" w:ascii="宋体" w:hAnsi="宋体"/>
          <w:bCs/>
          <w:highlight w:val="none"/>
        </w:rPr>
        <w:t>投标文件出现下列情况之一的，由评标委员会初审后按废标处理：</w:t>
      </w:r>
    </w:p>
    <w:p>
      <w:pPr>
        <w:pStyle w:val="19"/>
        <w:spacing w:line="480" w:lineRule="exact"/>
        <w:ind w:firstLine="480" w:firstLineChars="200"/>
        <w:rPr>
          <w:rFonts w:ascii="宋体"/>
          <w:bCs/>
          <w:highlight w:val="none"/>
        </w:rPr>
      </w:pPr>
      <w:r>
        <w:rPr>
          <w:rFonts w:ascii="宋体" w:hAnsi="宋体"/>
          <w:bCs/>
          <w:highlight w:val="none"/>
        </w:rPr>
        <w:t xml:space="preserve">(1) </w:t>
      </w:r>
      <w:r>
        <w:rPr>
          <w:rFonts w:hint="eastAsia" w:ascii="宋体" w:hAnsi="宋体"/>
          <w:bCs/>
          <w:highlight w:val="none"/>
        </w:rPr>
        <w:t>无单位盖章并无法定代表人或法定代表人授权的委托代理人签字或盖章的；</w:t>
      </w:r>
    </w:p>
    <w:p>
      <w:pPr>
        <w:pStyle w:val="19"/>
        <w:spacing w:line="480" w:lineRule="exact"/>
        <w:ind w:firstLine="480" w:firstLineChars="200"/>
        <w:rPr>
          <w:rFonts w:ascii="宋体"/>
          <w:bCs/>
          <w:highlight w:val="none"/>
        </w:rPr>
      </w:pPr>
      <w:r>
        <w:rPr>
          <w:rFonts w:ascii="宋体" w:hAnsi="宋体"/>
          <w:bCs/>
          <w:highlight w:val="none"/>
        </w:rPr>
        <w:t xml:space="preserve">(2) </w:t>
      </w:r>
      <w:r>
        <w:rPr>
          <w:rFonts w:hint="eastAsia" w:ascii="宋体" w:hAnsi="宋体"/>
          <w:bCs/>
          <w:highlight w:val="none"/>
        </w:rPr>
        <w:t>未按规定格式填写，内容不全或者关键内容字迹模糊，无法辨认的。</w:t>
      </w:r>
    </w:p>
    <w:p>
      <w:pPr>
        <w:pStyle w:val="19"/>
        <w:spacing w:line="480" w:lineRule="exact"/>
        <w:ind w:firstLine="480" w:firstLineChars="200"/>
        <w:rPr>
          <w:rFonts w:ascii="宋体"/>
          <w:bCs/>
          <w:highlight w:val="none"/>
        </w:rPr>
      </w:pPr>
      <w:r>
        <w:rPr>
          <w:rFonts w:ascii="宋体" w:hAnsi="宋体"/>
          <w:bCs/>
          <w:highlight w:val="none"/>
        </w:rPr>
        <w:t xml:space="preserve">(3) </w:t>
      </w:r>
      <w:r>
        <w:rPr>
          <w:rFonts w:hint="eastAsia" w:ascii="宋体" w:hAnsi="宋体"/>
          <w:bCs/>
          <w:highlight w:val="none"/>
        </w:rPr>
        <w:t>投标人递交两份或多份内容不同的投标文件，或者在一份投标文件中对同一招标项目报有两个或多个报价，且未声明哪一个有效，按招标文件规定提交备选投标方案的除外；</w:t>
      </w:r>
    </w:p>
    <w:p>
      <w:pPr>
        <w:pStyle w:val="19"/>
        <w:spacing w:line="480" w:lineRule="exact"/>
        <w:ind w:firstLine="480" w:firstLineChars="200"/>
        <w:rPr>
          <w:rFonts w:ascii="宋体"/>
          <w:bCs/>
          <w:highlight w:val="none"/>
        </w:rPr>
      </w:pPr>
      <w:r>
        <w:rPr>
          <w:rFonts w:ascii="宋体" w:hAnsi="宋体"/>
          <w:bCs/>
          <w:highlight w:val="none"/>
        </w:rPr>
        <w:t xml:space="preserve">(4) </w:t>
      </w:r>
      <w:r>
        <w:rPr>
          <w:rFonts w:hint="eastAsia" w:ascii="宋体" w:hAnsi="宋体"/>
          <w:bCs/>
          <w:highlight w:val="none"/>
        </w:rPr>
        <w:t>投标人名称或组织结构与购买招标文件时不一致的；</w:t>
      </w:r>
    </w:p>
    <w:p>
      <w:pPr>
        <w:pStyle w:val="19"/>
        <w:spacing w:line="480" w:lineRule="exact"/>
        <w:ind w:firstLine="480" w:firstLineChars="200"/>
        <w:rPr>
          <w:rFonts w:ascii="宋体"/>
          <w:bCs/>
          <w:highlight w:val="none"/>
        </w:rPr>
      </w:pPr>
      <w:r>
        <w:rPr>
          <w:rFonts w:ascii="宋体" w:hAnsi="宋体"/>
          <w:bCs/>
          <w:highlight w:val="none"/>
        </w:rPr>
        <w:t xml:space="preserve">(5) </w:t>
      </w:r>
      <w:r>
        <w:rPr>
          <w:rFonts w:hint="eastAsia" w:ascii="宋体" w:hAnsi="宋体"/>
          <w:bCs/>
          <w:highlight w:val="none"/>
        </w:rPr>
        <w:t>投标人未按照招标文件的要求提供投标保证金的；</w:t>
      </w:r>
    </w:p>
    <w:p>
      <w:pPr>
        <w:pStyle w:val="19"/>
        <w:spacing w:line="480" w:lineRule="exact"/>
        <w:ind w:firstLine="480" w:firstLineChars="200"/>
        <w:rPr>
          <w:rFonts w:ascii="宋体"/>
          <w:bCs/>
          <w:highlight w:val="none"/>
        </w:rPr>
      </w:pPr>
      <w:r>
        <w:rPr>
          <w:rFonts w:ascii="宋体" w:hAnsi="宋体"/>
          <w:bCs/>
          <w:highlight w:val="none"/>
        </w:rPr>
        <w:t xml:space="preserve">(6) </w:t>
      </w:r>
      <w:r>
        <w:rPr>
          <w:rFonts w:hint="eastAsia" w:ascii="宋体" w:hAnsi="宋体"/>
          <w:bCs/>
          <w:highlight w:val="none"/>
        </w:rPr>
        <w:t>评标委员会认定投标人有围标、串通投标情形，按废标处理，取消其投标资格。</w:t>
      </w:r>
    </w:p>
    <w:p>
      <w:pPr>
        <w:pStyle w:val="19"/>
        <w:spacing w:line="480" w:lineRule="exact"/>
        <w:ind w:left="571" w:leftChars="272"/>
        <w:rPr>
          <w:rFonts w:ascii="宋体"/>
          <w:bCs/>
          <w:highlight w:val="none"/>
        </w:rPr>
      </w:pPr>
      <w:r>
        <w:rPr>
          <w:rFonts w:ascii="宋体" w:hAnsi="宋体"/>
          <w:bCs/>
          <w:highlight w:val="none"/>
        </w:rPr>
        <w:t xml:space="preserve">20.  </w:t>
      </w:r>
      <w:r>
        <w:rPr>
          <w:rFonts w:hint="eastAsia" w:ascii="宋体" w:hAnsi="宋体"/>
          <w:bCs/>
          <w:highlight w:val="none"/>
        </w:rPr>
        <w:t>组建评标委员会</w:t>
      </w:r>
    </w:p>
    <w:p>
      <w:pPr>
        <w:pStyle w:val="19"/>
        <w:spacing w:line="480" w:lineRule="exact"/>
        <w:ind w:firstLine="480" w:firstLineChars="200"/>
        <w:rPr>
          <w:rFonts w:ascii="宋体"/>
          <w:bCs/>
          <w:highlight w:val="none"/>
        </w:rPr>
      </w:pPr>
      <w:r>
        <w:rPr>
          <w:rFonts w:hint="eastAsia" w:ascii="宋体" w:hAnsi="宋体"/>
          <w:bCs/>
          <w:highlight w:val="none"/>
        </w:rPr>
        <w:t>招标人将根据本项目的特点组建评标委员会，其成员由招标人代表及有关方面的专家</w:t>
      </w:r>
      <w:r>
        <w:rPr>
          <w:rFonts w:ascii="宋体" w:hAnsi="宋体"/>
          <w:bCs/>
          <w:highlight w:val="none"/>
        </w:rPr>
        <w:t xml:space="preserve"> 5 </w:t>
      </w:r>
      <w:r>
        <w:rPr>
          <w:rFonts w:hint="eastAsia" w:ascii="宋体" w:hAnsi="宋体"/>
          <w:bCs/>
          <w:highlight w:val="none"/>
        </w:rPr>
        <w:t>人及以上单数组成，其中技术、经济等方面的专家不少于成员总数的三分之二，评标委员会负责对投标文件进行审查、澄清、推荐中标候选人或经招标人授权直接确定中标人。</w:t>
      </w:r>
    </w:p>
    <w:p>
      <w:pPr>
        <w:pStyle w:val="21"/>
        <w:spacing w:line="480" w:lineRule="exact"/>
        <w:ind w:left="573" w:leftChars="272" w:hanging="2" w:firstLineChars="0"/>
        <w:outlineLvl w:val="0"/>
        <w:rPr>
          <w:rFonts w:ascii="宋体"/>
          <w:bCs/>
          <w:sz w:val="24"/>
          <w:highlight w:val="none"/>
        </w:rPr>
      </w:pPr>
      <w:bookmarkStart w:id="89" w:name="_Toc26178"/>
      <w:bookmarkStart w:id="90" w:name="_Toc6823"/>
      <w:bookmarkStart w:id="91" w:name="_Toc24408"/>
      <w:r>
        <w:rPr>
          <w:rFonts w:ascii="宋体" w:hAnsi="宋体"/>
          <w:bCs/>
          <w:sz w:val="24"/>
          <w:highlight w:val="none"/>
        </w:rPr>
        <w:t xml:space="preserve">21.  </w:t>
      </w:r>
      <w:r>
        <w:rPr>
          <w:rFonts w:hint="eastAsia" w:ascii="宋体" w:hAnsi="宋体"/>
          <w:bCs/>
          <w:sz w:val="24"/>
          <w:highlight w:val="none"/>
        </w:rPr>
        <w:t>评标原则</w:t>
      </w:r>
      <w:bookmarkEnd w:id="89"/>
      <w:bookmarkEnd w:id="90"/>
      <w:bookmarkEnd w:id="91"/>
    </w:p>
    <w:p>
      <w:pPr>
        <w:pStyle w:val="19"/>
        <w:spacing w:line="480" w:lineRule="exact"/>
        <w:ind w:firstLine="480" w:firstLineChars="200"/>
        <w:rPr>
          <w:rFonts w:ascii="宋体"/>
          <w:bCs/>
          <w:highlight w:val="none"/>
        </w:rPr>
      </w:pPr>
      <w:r>
        <w:rPr>
          <w:rFonts w:ascii="宋体" w:hAnsi="宋体"/>
          <w:bCs/>
          <w:highlight w:val="none"/>
        </w:rPr>
        <w:t xml:space="preserve">21.1 </w:t>
      </w:r>
      <w:r>
        <w:rPr>
          <w:rFonts w:hint="eastAsia" w:ascii="宋体" w:hAnsi="宋体"/>
          <w:bCs/>
          <w:highlight w:val="none"/>
        </w:rPr>
        <w:t>客观性原则：评标委员会将严格按照招标文件的要求，对投标人的投标文件进行认真评审；评标委员会对投标文件的评审仅依据投标文件本身，而不依据投标文件以外的任何因素。</w:t>
      </w:r>
    </w:p>
    <w:p>
      <w:pPr>
        <w:pStyle w:val="19"/>
        <w:spacing w:line="480" w:lineRule="exact"/>
        <w:ind w:firstLine="480" w:firstLineChars="200"/>
        <w:rPr>
          <w:rFonts w:ascii="宋体"/>
          <w:bCs/>
          <w:highlight w:val="none"/>
        </w:rPr>
      </w:pPr>
      <w:r>
        <w:rPr>
          <w:rFonts w:ascii="宋体" w:hAnsi="宋体"/>
          <w:bCs/>
          <w:highlight w:val="none"/>
        </w:rPr>
        <w:t xml:space="preserve">21.2 </w:t>
      </w:r>
      <w:r>
        <w:rPr>
          <w:rFonts w:hint="eastAsia" w:ascii="宋体" w:hAnsi="宋体"/>
          <w:bCs/>
          <w:highlight w:val="none"/>
        </w:rPr>
        <w:t>统一性原则：评标委员会将按照统一的评标原则和评标方法，用同一标准进行评审。</w:t>
      </w:r>
    </w:p>
    <w:p>
      <w:pPr>
        <w:pStyle w:val="19"/>
        <w:spacing w:line="480" w:lineRule="exact"/>
        <w:ind w:firstLine="480" w:firstLineChars="200"/>
        <w:rPr>
          <w:rFonts w:ascii="宋体"/>
          <w:bCs/>
          <w:highlight w:val="none"/>
        </w:rPr>
      </w:pPr>
      <w:r>
        <w:rPr>
          <w:rFonts w:ascii="宋体" w:hAnsi="宋体"/>
          <w:bCs/>
          <w:highlight w:val="none"/>
        </w:rPr>
        <w:t xml:space="preserve">21.3 </w:t>
      </w:r>
      <w:r>
        <w:rPr>
          <w:rFonts w:hint="eastAsia" w:ascii="宋体" w:hAnsi="宋体"/>
          <w:bCs/>
          <w:highlight w:val="none"/>
        </w:rPr>
        <w:t>独立性原则：评标工作在评标委员会内部独立进行，不受外界任何因素的干扰和影响。评标委员会成员对出具的意见承担个人责任。</w:t>
      </w:r>
    </w:p>
    <w:p>
      <w:pPr>
        <w:pStyle w:val="19"/>
        <w:spacing w:line="480" w:lineRule="exact"/>
        <w:ind w:firstLine="480" w:firstLineChars="200"/>
        <w:rPr>
          <w:rFonts w:ascii="宋体"/>
          <w:bCs/>
          <w:highlight w:val="none"/>
        </w:rPr>
      </w:pPr>
      <w:r>
        <w:rPr>
          <w:rFonts w:ascii="宋体" w:hAnsi="宋体"/>
          <w:bCs/>
          <w:highlight w:val="none"/>
        </w:rPr>
        <w:t xml:space="preserve">21.4 </w:t>
      </w:r>
      <w:r>
        <w:rPr>
          <w:rFonts w:hint="eastAsia" w:ascii="宋体" w:hAnsi="宋体"/>
          <w:bCs/>
          <w:highlight w:val="none"/>
        </w:rPr>
        <w:t>保密性原则：评委及熟知情况的有关工作人员必须对投标人的商业秘密严格保密。</w:t>
      </w:r>
    </w:p>
    <w:p>
      <w:pPr>
        <w:pStyle w:val="19"/>
        <w:spacing w:line="480" w:lineRule="exact"/>
        <w:ind w:firstLine="480" w:firstLineChars="200"/>
        <w:rPr>
          <w:rFonts w:ascii="宋体"/>
          <w:bCs/>
          <w:highlight w:val="none"/>
        </w:rPr>
      </w:pPr>
      <w:r>
        <w:rPr>
          <w:rFonts w:ascii="宋体" w:hAnsi="宋体"/>
          <w:bCs/>
          <w:highlight w:val="none"/>
        </w:rPr>
        <w:t xml:space="preserve">21.5 </w:t>
      </w:r>
      <w:r>
        <w:rPr>
          <w:rFonts w:hint="eastAsia" w:ascii="宋体" w:hAnsi="宋体"/>
          <w:bCs/>
          <w:highlight w:val="none"/>
        </w:rPr>
        <w:t>综合性原则：评标委员会将综合分析、评审投标人的各项指标，而不以单项指标的优劣评定出中标人。</w:t>
      </w:r>
    </w:p>
    <w:p>
      <w:pPr>
        <w:pStyle w:val="19"/>
        <w:spacing w:line="480" w:lineRule="exact"/>
        <w:ind w:left="571" w:leftChars="272"/>
        <w:rPr>
          <w:rFonts w:ascii="宋体"/>
          <w:bCs/>
          <w:highlight w:val="none"/>
        </w:rPr>
      </w:pPr>
      <w:r>
        <w:rPr>
          <w:rFonts w:ascii="宋体" w:hAnsi="宋体"/>
          <w:bCs/>
          <w:highlight w:val="none"/>
        </w:rPr>
        <w:t xml:space="preserve">22.  </w:t>
      </w:r>
      <w:r>
        <w:rPr>
          <w:rFonts w:hint="eastAsia" w:ascii="宋体" w:hAnsi="宋体"/>
          <w:bCs/>
          <w:highlight w:val="none"/>
        </w:rPr>
        <w:t>初步评审</w:t>
      </w:r>
    </w:p>
    <w:p>
      <w:pPr>
        <w:pStyle w:val="19"/>
        <w:spacing w:line="480" w:lineRule="exact"/>
        <w:ind w:firstLine="480" w:firstLineChars="200"/>
        <w:rPr>
          <w:rFonts w:ascii="宋体"/>
          <w:bCs/>
          <w:highlight w:val="none"/>
        </w:rPr>
      </w:pPr>
      <w:r>
        <w:rPr>
          <w:rFonts w:ascii="宋体" w:hAnsi="宋体"/>
          <w:bCs/>
          <w:highlight w:val="none"/>
        </w:rPr>
        <w:t>22.1</w:t>
      </w:r>
      <w:r>
        <w:rPr>
          <w:rFonts w:hint="eastAsia" w:ascii="宋体" w:hAnsi="宋体"/>
          <w:bCs/>
          <w:highlight w:val="none"/>
        </w:rPr>
        <w:t>投标文件的初审分为资格性检查和符合性检查。资格性检查指依据法律、法规和招标文件的规定，对投标文件中的资格证明、投标保证金等进行审查，以确定投标人是否具备投标资格。符合性检查指依据招标文件的规定，从投标文件的有效性、完整性和对招标文件的响应程度进行审查，以确定是否对招标文件的实质性要求作出响应。</w:t>
      </w:r>
    </w:p>
    <w:p>
      <w:pPr>
        <w:pStyle w:val="19"/>
        <w:spacing w:line="480" w:lineRule="exact"/>
        <w:ind w:firstLine="480" w:firstLineChars="200"/>
        <w:rPr>
          <w:rFonts w:ascii="宋体"/>
          <w:bCs/>
          <w:highlight w:val="none"/>
        </w:rPr>
      </w:pPr>
      <w:r>
        <w:rPr>
          <w:rFonts w:ascii="宋体" w:hAnsi="宋体"/>
          <w:bCs/>
          <w:highlight w:val="none"/>
        </w:rPr>
        <w:t>22.2</w:t>
      </w:r>
      <w:r>
        <w:rPr>
          <w:rFonts w:hint="eastAsia" w:ascii="宋体" w:hAnsi="宋体"/>
          <w:bCs/>
          <w:highlight w:val="none"/>
        </w:rPr>
        <w:t>在综合评审之前，评标委员会要审查每份投标文件是否实质上响应了招标文件的要求。</w:t>
      </w:r>
    </w:p>
    <w:p>
      <w:pPr>
        <w:pStyle w:val="19"/>
        <w:numPr>
          <w:ilvl w:val="0"/>
          <w:numId w:val="2"/>
        </w:numPr>
        <w:tabs>
          <w:tab w:val="left" w:pos="0"/>
          <w:tab w:val="clear" w:pos="1498"/>
        </w:tabs>
        <w:spacing w:line="480" w:lineRule="exact"/>
        <w:ind w:left="80" w:firstLine="684"/>
        <w:rPr>
          <w:rFonts w:ascii="宋体"/>
          <w:bCs/>
          <w:highlight w:val="none"/>
        </w:rPr>
      </w:pPr>
      <w:r>
        <w:rPr>
          <w:rFonts w:hint="eastAsia" w:ascii="宋体" w:hAnsi="宋体"/>
          <w:bCs/>
          <w:highlight w:val="none"/>
        </w:rPr>
        <w:t>实质性响应的投标是指投标符合招标文件的所有条款、条件和规格且没有重大偏离或保留。</w:t>
      </w:r>
    </w:p>
    <w:p>
      <w:pPr>
        <w:pStyle w:val="19"/>
        <w:numPr>
          <w:ilvl w:val="0"/>
          <w:numId w:val="2"/>
        </w:numPr>
        <w:tabs>
          <w:tab w:val="left" w:pos="0"/>
          <w:tab w:val="clear" w:pos="1498"/>
        </w:tabs>
        <w:spacing w:line="480" w:lineRule="exact"/>
        <w:ind w:left="80" w:firstLine="684"/>
        <w:rPr>
          <w:rFonts w:ascii="宋体"/>
          <w:bCs/>
          <w:highlight w:val="none"/>
        </w:rPr>
      </w:pPr>
      <w:r>
        <w:rPr>
          <w:rFonts w:hint="eastAsia" w:ascii="宋体" w:hAnsi="宋体"/>
          <w:bCs/>
          <w:highlight w:val="none"/>
        </w:rPr>
        <w:t>重大偏离不允许在开标后修正，但评标委员会将允许修正投标中不构成重大偏离的地方，这些修正不会对其他实质上响应招标文件要求的投标人的竞争地位产生不公正的影响。</w:t>
      </w:r>
    </w:p>
    <w:p>
      <w:pPr>
        <w:pStyle w:val="19"/>
        <w:numPr>
          <w:ilvl w:val="0"/>
          <w:numId w:val="2"/>
        </w:numPr>
        <w:tabs>
          <w:tab w:val="left" w:pos="0"/>
          <w:tab w:val="clear" w:pos="1498"/>
        </w:tabs>
        <w:spacing w:line="480" w:lineRule="exact"/>
        <w:ind w:left="80" w:firstLine="684"/>
        <w:rPr>
          <w:rFonts w:ascii="宋体"/>
          <w:bCs/>
          <w:highlight w:val="none"/>
        </w:rPr>
      </w:pPr>
      <w:r>
        <w:rPr>
          <w:rFonts w:hint="eastAsia" w:ascii="宋体" w:hAnsi="宋体"/>
          <w:bCs/>
          <w:highlight w:val="none"/>
        </w:rPr>
        <w:t>如出现下列情形之一的，视为对招标文件没有做出实质性响应，按照无效投标处理。</w:t>
      </w:r>
    </w:p>
    <w:p>
      <w:pPr>
        <w:pStyle w:val="19"/>
        <w:tabs>
          <w:tab w:val="left" w:pos="0"/>
        </w:tabs>
        <w:spacing w:line="480" w:lineRule="exact"/>
        <w:ind w:left="80" w:firstLine="684"/>
        <w:rPr>
          <w:rFonts w:ascii="宋体"/>
          <w:bCs/>
          <w:highlight w:val="none"/>
        </w:rPr>
      </w:pPr>
      <w:r>
        <w:rPr>
          <w:rFonts w:ascii="宋体" w:hAnsi="宋体"/>
          <w:bCs/>
          <w:highlight w:val="none"/>
        </w:rPr>
        <w:t>A</w:t>
      </w:r>
      <w:r>
        <w:rPr>
          <w:rFonts w:hint="eastAsia" w:ascii="宋体" w:hAnsi="宋体"/>
          <w:bCs/>
          <w:highlight w:val="none"/>
        </w:rPr>
        <w:t>、应交未交或未足额交纳投标保证金；</w:t>
      </w:r>
    </w:p>
    <w:p>
      <w:pPr>
        <w:pStyle w:val="19"/>
        <w:tabs>
          <w:tab w:val="left" w:pos="0"/>
        </w:tabs>
        <w:spacing w:line="480" w:lineRule="exact"/>
        <w:ind w:left="80" w:firstLine="684"/>
        <w:rPr>
          <w:rFonts w:ascii="宋体"/>
          <w:bCs/>
          <w:highlight w:val="none"/>
        </w:rPr>
      </w:pPr>
      <w:r>
        <w:rPr>
          <w:rFonts w:ascii="宋体" w:hAnsi="宋体"/>
          <w:bCs/>
          <w:highlight w:val="none"/>
        </w:rPr>
        <w:t>B</w:t>
      </w:r>
      <w:r>
        <w:rPr>
          <w:rFonts w:hint="eastAsia" w:ascii="宋体" w:hAnsi="宋体"/>
          <w:bCs/>
          <w:highlight w:val="none"/>
        </w:rPr>
        <w:t>、资格证明文件不齐全或无效的；</w:t>
      </w:r>
    </w:p>
    <w:p>
      <w:pPr>
        <w:pStyle w:val="19"/>
        <w:tabs>
          <w:tab w:val="left" w:pos="0"/>
        </w:tabs>
        <w:spacing w:line="480" w:lineRule="exact"/>
        <w:ind w:left="80" w:firstLine="684"/>
        <w:rPr>
          <w:rFonts w:ascii="宋体"/>
          <w:bCs/>
          <w:highlight w:val="none"/>
        </w:rPr>
      </w:pPr>
      <w:r>
        <w:rPr>
          <w:rFonts w:ascii="宋体" w:hAnsi="宋体"/>
          <w:bCs/>
          <w:highlight w:val="none"/>
        </w:rPr>
        <w:t>C</w:t>
      </w:r>
      <w:r>
        <w:rPr>
          <w:rFonts w:hint="eastAsia" w:ascii="宋体" w:hAnsi="宋体"/>
          <w:bCs/>
          <w:highlight w:val="none"/>
        </w:rPr>
        <w:t>、未按照招标文件要求密封、签署、盖章的；</w:t>
      </w:r>
    </w:p>
    <w:p>
      <w:pPr>
        <w:pStyle w:val="19"/>
        <w:tabs>
          <w:tab w:val="left" w:pos="0"/>
        </w:tabs>
        <w:spacing w:line="480" w:lineRule="exact"/>
        <w:ind w:left="80" w:firstLine="684"/>
        <w:rPr>
          <w:rFonts w:ascii="宋体"/>
          <w:bCs/>
          <w:highlight w:val="none"/>
        </w:rPr>
      </w:pPr>
      <w:r>
        <w:rPr>
          <w:rFonts w:ascii="宋体" w:hAnsi="宋体"/>
          <w:bCs/>
          <w:highlight w:val="none"/>
        </w:rPr>
        <w:t>D</w:t>
      </w:r>
      <w:r>
        <w:rPr>
          <w:rFonts w:hint="eastAsia" w:ascii="宋体" w:hAnsi="宋体"/>
          <w:bCs/>
          <w:highlight w:val="none"/>
        </w:rPr>
        <w:t>、不具备招标文件中规定资格要求的；</w:t>
      </w:r>
    </w:p>
    <w:p>
      <w:pPr>
        <w:pStyle w:val="19"/>
        <w:tabs>
          <w:tab w:val="left" w:pos="0"/>
        </w:tabs>
        <w:spacing w:line="480" w:lineRule="exact"/>
        <w:ind w:left="80" w:firstLine="684"/>
        <w:rPr>
          <w:rFonts w:ascii="宋体"/>
          <w:bCs/>
          <w:highlight w:val="none"/>
        </w:rPr>
      </w:pPr>
      <w:r>
        <w:rPr>
          <w:rFonts w:ascii="宋体" w:hAnsi="宋体"/>
          <w:bCs/>
          <w:highlight w:val="none"/>
        </w:rPr>
        <w:t>E</w:t>
      </w:r>
      <w:r>
        <w:rPr>
          <w:rFonts w:hint="eastAsia" w:ascii="宋体" w:hAnsi="宋体"/>
          <w:bCs/>
          <w:highlight w:val="none"/>
        </w:rPr>
        <w:t>、投标有效期不足的；</w:t>
      </w:r>
    </w:p>
    <w:p>
      <w:pPr>
        <w:pStyle w:val="19"/>
        <w:tabs>
          <w:tab w:val="left" w:pos="0"/>
        </w:tabs>
        <w:spacing w:line="480" w:lineRule="exact"/>
        <w:ind w:left="80" w:firstLine="684"/>
        <w:rPr>
          <w:rFonts w:ascii="宋体"/>
          <w:bCs/>
          <w:highlight w:val="none"/>
        </w:rPr>
      </w:pPr>
      <w:r>
        <w:rPr>
          <w:rFonts w:ascii="宋体" w:hAnsi="宋体"/>
          <w:bCs/>
          <w:highlight w:val="none"/>
        </w:rPr>
        <w:t>F</w:t>
      </w:r>
      <w:r>
        <w:rPr>
          <w:rFonts w:hint="eastAsia" w:ascii="宋体" w:hAnsi="宋体"/>
          <w:bCs/>
          <w:highlight w:val="none"/>
        </w:rPr>
        <w:t>、不符合法律法规和招标文件中规定的其他实质性要求的；</w:t>
      </w:r>
    </w:p>
    <w:p>
      <w:pPr>
        <w:pStyle w:val="19"/>
        <w:tabs>
          <w:tab w:val="left" w:pos="0"/>
        </w:tabs>
        <w:spacing w:line="480" w:lineRule="exact"/>
        <w:ind w:left="80" w:firstLine="684"/>
        <w:rPr>
          <w:rFonts w:ascii="宋体"/>
          <w:bCs/>
          <w:highlight w:val="none"/>
        </w:rPr>
      </w:pPr>
      <w:r>
        <w:rPr>
          <w:rFonts w:ascii="宋体" w:hAnsi="宋体"/>
          <w:bCs/>
          <w:highlight w:val="none"/>
        </w:rPr>
        <w:t>G</w:t>
      </w:r>
      <w:r>
        <w:rPr>
          <w:rFonts w:hint="eastAsia" w:ascii="宋体" w:hAnsi="宋体"/>
          <w:bCs/>
          <w:highlight w:val="none"/>
        </w:rPr>
        <w:t>、投标人不参加开标仪式及询标事宜；</w:t>
      </w:r>
    </w:p>
    <w:p>
      <w:pPr>
        <w:pStyle w:val="19"/>
        <w:tabs>
          <w:tab w:val="left" w:pos="0"/>
        </w:tabs>
        <w:spacing w:line="480" w:lineRule="exact"/>
        <w:ind w:firstLine="720" w:firstLineChars="300"/>
        <w:rPr>
          <w:rFonts w:hint="eastAsia" w:ascii="宋体" w:hAnsi="宋体"/>
          <w:bCs/>
          <w:highlight w:val="none"/>
        </w:rPr>
      </w:pPr>
      <w:r>
        <w:rPr>
          <w:rFonts w:ascii="宋体" w:hAnsi="宋体"/>
          <w:bCs/>
          <w:highlight w:val="none"/>
        </w:rPr>
        <w:t>H</w:t>
      </w:r>
      <w:r>
        <w:rPr>
          <w:rFonts w:hint="eastAsia" w:ascii="宋体" w:hAnsi="宋体"/>
          <w:bCs/>
          <w:highlight w:val="none"/>
        </w:rPr>
        <w:t>、投标文件中的商务条款、货物配置、技术参数（或使用功能）明显不符合招标文件要求；</w:t>
      </w:r>
    </w:p>
    <w:p>
      <w:pPr>
        <w:pStyle w:val="19"/>
        <w:tabs>
          <w:tab w:val="left" w:pos="0"/>
        </w:tabs>
        <w:spacing w:line="480" w:lineRule="exact"/>
        <w:ind w:firstLine="720" w:firstLineChars="300"/>
        <w:rPr>
          <w:rFonts w:ascii="宋体" w:hAnsi="宋体"/>
          <w:bCs/>
          <w:highlight w:val="none"/>
        </w:rPr>
      </w:pPr>
      <w:r>
        <w:rPr>
          <w:rFonts w:hint="eastAsia" w:ascii="宋体" w:hAnsi="宋体"/>
          <w:bCs/>
          <w:highlight w:val="none"/>
          <w:lang w:val="en-US" w:eastAsia="zh-CN"/>
        </w:rPr>
        <w:t>I、未全部响应招标文件规定的实质性要求（含*项）的。</w:t>
      </w:r>
    </w:p>
    <w:p>
      <w:pPr>
        <w:pStyle w:val="19"/>
        <w:spacing w:line="480" w:lineRule="exact"/>
        <w:ind w:firstLine="720" w:firstLineChars="300"/>
        <w:rPr>
          <w:rFonts w:ascii="宋体"/>
          <w:bCs/>
          <w:highlight w:val="none"/>
        </w:rPr>
      </w:pPr>
      <w:r>
        <w:rPr>
          <w:rFonts w:ascii="宋体" w:hAnsi="宋体"/>
          <w:bCs/>
          <w:highlight w:val="none"/>
        </w:rPr>
        <w:t xml:space="preserve">4) </w:t>
      </w:r>
      <w:r>
        <w:rPr>
          <w:rFonts w:hint="eastAsia" w:ascii="宋体" w:hAnsi="宋体"/>
          <w:bCs/>
          <w:highlight w:val="none"/>
        </w:rPr>
        <w:t>评标委员会成员会根据招标文件规定，详细审阅各投标人提交的投标文件，逐项列出投标文件的全部偏差。偏差分为重大偏差和细微偏差。</w:t>
      </w:r>
    </w:p>
    <w:p>
      <w:pPr>
        <w:pStyle w:val="19"/>
        <w:spacing w:line="480" w:lineRule="exact"/>
        <w:ind w:firstLine="720" w:firstLineChars="300"/>
        <w:rPr>
          <w:rFonts w:ascii="宋体"/>
          <w:bCs/>
          <w:highlight w:val="none"/>
        </w:rPr>
      </w:pPr>
      <w:r>
        <w:rPr>
          <w:rFonts w:hint="eastAsia" w:ascii="宋体" w:hAnsi="宋体"/>
          <w:bCs/>
          <w:highlight w:val="none"/>
        </w:rPr>
        <w:t>重大偏差包括以下内容：</w:t>
      </w:r>
    </w:p>
    <w:p>
      <w:pPr>
        <w:pStyle w:val="19"/>
        <w:spacing w:line="480" w:lineRule="exact"/>
        <w:ind w:firstLine="600" w:firstLineChars="250"/>
        <w:rPr>
          <w:rFonts w:ascii="宋体"/>
          <w:bCs/>
          <w:highlight w:val="none"/>
        </w:rPr>
      </w:pPr>
      <w:r>
        <w:rPr>
          <w:rFonts w:ascii="宋体" w:hAnsi="宋体"/>
          <w:bCs/>
          <w:highlight w:val="none"/>
        </w:rPr>
        <w:t>A</w:t>
      </w:r>
      <w:r>
        <w:rPr>
          <w:rFonts w:hint="eastAsia" w:ascii="宋体" w:hAnsi="宋体"/>
          <w:bCs/>
          <w:highlight w:val="none"/>
        </w:rPr>
        <w:t>、有确凿的证据表明投标人以低于成本价报价；</w:t>
      </w:r>
    </w:p>
    <w:p>
      <w:pPr>
        <w:pStyle w:val="19"/>
        <w:spacing w:line="480" w:lineRule="exact"/>
        <w:ind w:firstLine="600" w:firstLineChars="250"/>
        <w:rPr>
          <w:rFonts w:ascii="宋体"/>
          <w:bCs/>
          <w:highlight w:val="none"/>
        </w:rPr>
      </w:pPr>
      <w:r>
        <w:rPr>
          <w:rFonts w:hint="eastAsia" w:ascii="宋体" w:hAnsi="宋体"/>
          <w:bCs/>
          <w:highlight w:val="none"/>
        </w:rPr>
        <w:t>评标过程中，评标委员会发现投标人的报价明显低于其他报价，使得该报价可能低于其成本的，应当要求该投标人做出书面说明并提供相关证明材料。投标人不能合理说明或不能提供相关证明材料，由评标委员会认定该投标人低于成本报价，其报价应作为无效报价。</w:t>
      </w:r>
    </w:p>
    <w:p>
      <w:pPr>
        <w:pStyle w:val="19"/>
        <w:spacing w:line="480" w:lineRule="exact"/>
        <w:ind w:firstLine="600" w:firstLineChars="250"/>
        <w:rPr>
          <w:rFonts w:ascii="宋体"/>
          <w:bCs/>
          <w:highlight w:val="none"/>
        </w:rPr>
      </w:pPr>
      <w:r>
        <w:rPr>
          <w:rFonts w:ascii="宋体"/>
          <w:bCs/>
          <w:highlight w:val="none"/>
        </w:rPr>
        <w:t>B</w:t>
      </w:r>
      <w:r>
        <w:rPr>
          <w:rFonts w:hint="eastAsia" w:ascii="宋体" w:hAnsi="宋体"/>
          <w:bCs/>
          <w:highlight w:val="none"/>
        </w:rPr>
        <w:t>、投标文件附有招标人不能接受的条件；</w:t>
      </w:r>
    </w:p>
    <w:p>
      <w:pPr>
        <w:pStyle w:val="19"/>
        <w:spacing w:line="480" w:lineRule="exact"/>
        <w:ind w:firstLine="600" w:firstLineChars="250"/>
        <w:rPr>
          <w:rFonts w:ascii="宋体"/>
          <w:bCs/>
          <w:highlight w:val="none"/>
        </w:rPr>
      </w:pPr>
      <w:r>
        <w:rPr>
          <w:rFonts w:ascii="宋体" w:hAnsi="宋体"/>
          <w:bCs/>
          <w:highlight w:val="none"/>
        </w:rPr>
        <w:t>C</w:t>
      </w:r>
      <w:r>
        <w:rPr>
          <w:rFonts w:hint="eastAsia" w:ascii="宋体" w:hAnsi="宋体"/>
          <w:bCs/>
          <w:highlight w:val="none"/>
        </w:rPr>
        <w:t>、不符合招标文件中规定的其他实质性要求。</w:t>
      </w:r>
    </w:p>
    <w:p>
      <w:pPr>
        <w:pStyle w:val="19"/>
        <w:spacing w:line="480" w:lineRule="exact"/>
        <w:ind w:firstLine="720" w:firstLineChars="300"/>
        <w:rPr>
          <w:rFonts w:ascii="宋体"/>
          <w:bCs/>
          <w:highlight w:val="none"/>
        </w:rPr>
      </w:pPr>
      <w:r>
        <w:rPr>
          <w:rFonts w:ascii="宋体" w:hAnsi="宋体"/>
          <w:bCs/>
          <w:highlight w:val="none"/>
        </w:rPr>
        <w:t xml:space="preserve">5) </w:t>
      </w:r>
      <w:r>
        <w:rPr>
          <w:rFonts w:hint="eastAsia" w:ascii="宋体" w:hAnsi="宋体"/>
          <w:bCs/>
          <w:highlight w:val="none"/>
        </w:rPr>
        <w:t>评标委员会将拒绝被确定为非实质性响应的投标文件，投标人不能通过修正或撤销投标文件中的不符之处而使其投标成为实质性响应的投标。</w:t>
      </w:r>
    </w:p>
    <w:p>
      <w:pPr>
        <w:pStyle w:val="19"/>
        <w:spacing w:line="480" w:lineRule="exact"/>
        <w:ind w:left="1139" w:leftChars="272" w:hanging="568" w:hangingChars="237"/>
        <w:rPr>
          <w:rFonts w:ascii="宋体"/>
          <w:bCs/>
          <w:highlight w:val="none"/>
        </w:rPr>
      </w:pPr>
      <w:r>
        <w:rPr>
          <w:rFonts w:ascii="宋体" w:hAnsi="宋体"/>
          <w:bCs/>
          <w:highlight w:val="none"/>
        </w:rPr>
        <w:t xml:space="preserve">22.3 </w:t>
      </w:r>
      <w:r>
        <w:rPr>
          <w:rFonts w:hint="eastAsia" w:ascii="宋体" w:hAnsi="宋体"/>
          <w:bCs/>
          <w:highlight w:val="none"/>
        </w:rPr>
        <w:t>初审中，对明显的文字和计算错误按下述原则处理：</w:t>
      </w:r>
    </w:p>
    <w:p>
      <w:pPr>
        <w:pStyle w:val="19"/>
        <w:tabs>
          <w:tab w:val="left" w:pos="1146"/>
          <w:tab w:val="left" w:pos="1719"/>
          <w:tab w:val="left" w:pos="2483"/>
        </w:tabs>
        <w:spacing w:line="480" w:lineRule="exact"/>
        <w:ind w:firstLine="480" w:firstLineChars="200"/>
        <w:rPr>
          <w:rFonts w:ascii="宋体"/>
          <w:bCs/>
          <w:highlight w:val="none"/>
        </w:rPr>
      </w:pPr>
      <w:r>
        <w:rPr>
          <w:rFonts w:ascii="宋体" w:hAnsi="宋体"/>
          <w:bCs/>
          <w:highlight w:val="none"/>
        </w:rPr>
        <w:t>1</w:t>
      </w:r>
      <w:r>
        <w:rPr>
          <w:rFonts w:hint="eastAsia" w:ascii="宋体" w:hAnsi="宋体"/>
          <w:bCs/>
          <w:highlight w:val="none"/>
        </w:rPr>
        <w:t>）如果正本与副本或电子文档不一致，以正本为准；如果单独的开标一览表与投标文件正本有差异，以开标一览表为准；</w:t>
      </w:r>
      <w:r>
        <w:rPr>
          <w:rFonts w:hint="eastAsia" w:ascii="宋体" w:hAnsi="宋体"/>
          <w:szCs w:val="24"/>
          <w:highlight w:val="none"/>
        </w:rPr>
        <w:t>开标一览表报价不一致按无效投标处理；</w:t>
      </w:r>
      <w:r>
        <w:rPr>
          <w:rFonts w:hint="eastAsia" w:ascii="宋体" w:hAnsi="宋体"/>
          <w:bCs/>
          <w:highlight w:val="none"/>
        </w:rPr>
        <w:t>投标文件中的开标一览表与投标文件中明细表内容不一致的，以开标一览表为准。</w:t>
      </w:r>
    </w:p>
    <w:p>
      <w:pPr>
        <w:pStyle w:val="19"/>
        <w:tabs>
          <w:tab w:val="left" w:pos="1146"/>
          <w:tab w:val="left" w:pos="1719"/>
          <w:tab w:val="left" w:pos="2483"/>
        </w:tabs>
        <w:spacing w:line="480" w:lineRule="exact"/>
        <w:ind w:firstLine="480" w:firstLineChars="200"/>
        <w:rPr>
          <w:rFonts w:ascii="宋体"/>
          <w:bCs/>
          <w:highlight w:val="none"/>
        </w:rPr>
      </w:pPr>
      <w:r>
        <w:rPr>
          <w:rFonts w:ascii="宋体" w:hAnsi="宋体"/>
          <w:bCs/>
          <w:highlight w:val="none"/>
        </w:rPr>
        <w:t>2</w:t>
      </w:r>
      <w:r>
        <w:rPr>
          <w:rFonts w:hint="eastAsia" w:ascii="宋体" w:hAnsi="宋体"/>
          <w:bCs/>
          <w:highlight w:val="none"/>
        </w:rPr>
        <w:t>）如果以文字表示的数据与数字表示的有差别，以文字为准。如果大写金额和小写金额不一致的，以大写金额为准；</w:t>
      </w:r>
    </w:p>
    <w:p>
      <w:pPr>
        <w:pStyle w:val="19"/>
        <w:tabs>
          <w:tab w:val="left" w:pos="1146"/>
          <w:tab w:val="left" w:pos="1719"/>
          <w:tab w:val="left" w:pos="2483"/>
        </w:tabs>
        <w:spacing w:line="480" w:lineRule="exact"/>
        <w:ind w:firstLine="480" w:firstLineChars="200"/>
        <w:rPr>
          <w:rFonts w:ascii="宋体"/>
          <w:bCs/>
          <w:highlight w:val="none"/>
        </w:rPr>
      </w:pPr>
      <w:r>
        <w:rPr>
          <w:rFonts w:ascii="宋体" w:hAnsi="宋体"/>
          <w:bCs/>
          <w:highlight w:val="none"/>
        </w:rPr>
        <w:t>3</w:t>
      </w:r>
      <w:r>
        <w:rPr>
          <w:rFonts w:hint="eastAsia" w:ascii="宋体" w:hAnsi="宋体"/>
          <w:bCs/>
          <w:highlight w:val="none"/>
        </w:rPr>
        <w:t>）</w:t>
      </w:r>
      <w:r>
        <w:rPr>
          <w:rFonts w:hint="eastAsia" w:ascii="宋体" w:hAnsi="宋体"/>
          <w:szCs w:val="24"/>
          <w:highlight w:val="none"/>
        </w:rPr>
        <w:t>总价金额与依据单价计算出的结果不一致的，以单价金额为准修正总价。</w:t>
      </w:r>
      <w:r>
        <w:rPr>
          <w:rFonts w:hint="eastAsia" w:ascii="宋体" w:hAnsi="宋体"/>
          <w:bCs/>
          <w:highlight w:val="none"/>
        </w:rPr>
        <w:t>单价金额小数点有明显错位的，应以总价为准，并修改单价。</w:t>
      </w:r>
    </w:p>
    <w:p>
      <w:pPr>
        <w:pStyle w:val="19"/>
        <w:spacing w:line="480" w:lineRule="exact"/>
        <w:ind w:firstLine="480" w:firstLineChars="200"/>
        <w:rPr>
          <w:rFonts w:ascii="宋体"/>
          <w:bCs/>
          <w:highlight w:val="none"/>
        </w:rPr>
      </w:pPr>
      <w:r>
        <w:rPr>
          <w:rFonts w:ascii="宋体" w:hAnsi="宋体"/>
          <w:bCs/>
          <w:highlight w:val="none"/>
        </w:rPr>
        <w:t>4</w:t>
      </w:r>
      <w:r>
        <w:rPr>
          <w:rFonts w:hint="eastAsia" w:ascii="宋体" w:hAnsi="宋体"/>
          <w:bCs/>
          <w:highlight w:val="none"/>
        </w:rPr>
        <w:t>）调整后的数据对投标人具有约束力，投标人不同意以上修正，其投标将被拒绝。</w:t>
      </w:r>
    </w:p>
    <w:p>
      <w:pPr>
        <w:pStyle w:val="19"/>
        <w:spacing w:line="480" w:lineRule="exact"/>
        <w:ind w:left="571" w:leftChars="272"/>
        <w:rPr>
          <w:rFonts w:ascii="宋体"/>
          <w:bCs/>
          <w:highlight w:val="none"/>
        </w:rPr>
      </w:pPr>
      <w:r>
        <w:rPr>
          <w:rFonts w:ascii="宋体" w:hAnsi="宋体"/>
          <w:bCs/>
          <w:highlight w:val="none"/>
        </w:rPr>
        <w:t xml:space="preserve">23. </w:t>
      </w:r>
      <w:r>
        <w:rPr>
          <w:rFonts w:hint="eastAsia" w:ascii="宋体" w:hAnsi="宋体"/>
          <w:bCs/>
          <w:highlight w:val="none"/>
        </w:rPr>
        <w:t>投标文件的澄清</w:t>
      </w:r>
    </w:p>
    <w:p>
      <w:pPr>
        <w:pStyle w:val="19"/>
        <w:spacing w:line="480" w:lineRule="exact"/>
        <w:ind w:firstLine="480" w:firstLineChars="200"/>
        <w:rPr>
          <w:rFonts w:ascii="宋体"/>
          <w:bCs/>
          <w:highlight w:val="none"/>
        </w:rPr>
      </w:pPr>
      <w:r>
        <w:rPr>
          <w:rFonts w:ascii="宋体" w:hAnsi="宋体"/>
          <w:bCs/>
          <w:highlight w:val="none"/>
        </w:rPr>
        <w:t>23.1</w:t>
      </w:r>
      <w:r>
        <w:rPr>
          <w:rFonts w:hint="eastAsia" w:ascii="宋体" w:hAnsi="宋体"/>
          <w:bCs/>
          <w:highlight w:val="none"/>
        </w:rPr>
        <w:t>为有助于对投标文件进行审查，评标委员会有权向投标人询问。评标委员会有权以书面形式要求投标人对其投标文件中含义不明确、同类问题表述不一致或者有明显文字和计算错误的内容作出必要的澄清、说明或者补正。但投标人的澄清、说明或者补正应当采用书面形式，由其法定代表人或授权代理人签字，并不得超出投标文件的范围或改变投标文件的实质性内容。投标人澄清、说明或者补正的内容构成投标文件的组成部分。投标人拒不按照要求对投标文件进行澄清、说明或者补正的，评标委员会可拒绝该投标。</w:t>
      </w:r>
    </w:p>
    <w:p>
      <w:pPr>
        <w:pStyle w:val="19"/>
        <w:spacing w:line="480" w:lineRule="exact"/>
        <w:ind w:firstLine="480" w:firstLineChars="200"/>
        <w:rPr>
          <w:rFonts w:ascii="宋体"/>
          <w:bCs/>
          <w:highlight w:val="none"/>
        </w:rPr>
      </w:pPr>
      <w:r>
        <w:rPr>
          <w:rFonts w:ascii="宋体" w:hAnsi="宋体"/>
          <w:bCs/>
          <w:highlight w:val="none"/>
        </w:rPr>
        <w:t xml:space="preserve">23.2 </w:t>
      </w:r>
      <w:r>
        <w:rPr>
          <w:rFonts w:hint="eastAsia" w:ascii="宋体" w:hAnsi="宋体"/>
          <w:bCs/>
          <w:highlight w:val="none"/>
        </w:rPr>
        <w:t>投标人对澄清的答复以书面材料为准，但不得对投标内容进行实质性修改。</w:t>
      </w:r>
    </w:p>
    <w:p>
      <w:pPr>
        <w:pStyle w:val="19"/>
        <w:spacing w:line="480" w:lineRule="exact"/>
        <w:ind w:firstLine="480" w:firstLineChars="200"/>
        <w:rPr>
          <w:rFonts w:ascii="宋体"/>
          <w:bCs/>
          <w:highlight w:val="none"/>
        </w:rPr>
      </w:pPr>
      <w:r>
        <w:rPr>
          <w:rFonts w:ascii="宋体" w:hAnsi="宋体"/>
          <w:bCs/>
          <w:highlight w:val="none"/>
        </w:rPr>
        <w:t xml:space="preserve">23.3 </w:t>
      </w:r>
      <w:r>
        <w:rPr>
          <w:rFonts w:hint="eastAsia" w:ascii="宋体" w:hAnsi="宋体"/>
          <w:bCs/>
          <w:highlight w:val="none"/>
        </w:rPr>
        <w:t>澄清的内容须以书面形式确认，并构成投标文件的组成部分。</w:t>
      </w:r>
    </w:p>
    <w:p>
      <w:pPr>
        <w:pStyle w:val="19"/>
        <w:spacing w:line="480" w:lineRule="exact"/>
        <w:ind w:firstLine="480" w:firstLineChars="200"/>
        <w:rPr>
          <w:rFonts w:ascii="宋体"/>
          <w:bCs/>
          <w:highlight w:val="none"/>
        </w:rPr>
      </w:pPr>
      <w:r>
        <w:rPr>
          <w:rFonts w:ascii="宋体" w:hAnsi="宋体"/>
          <w:bCs/>
          <w:highlight w:val="none"/>
        </w:rPr>
        <w:t>23.4</w:t>
      </w:r>
      <w:r>
        <w:rPr>
          <w:rFonts w:hint="eastAsia" w:ascii="宋体" w:hAnsi="宋体"/>
          <w:bCs/>
          <w:highlight w:val="none"/>
        </w:rPr>
        <w:t>如评标委员会一致认为某个投标人的投标明显不合理，有降低质量、不能诚信履行的可能时，评标委员会有权决定是否通知投标人限期进行书面解释或提供相关证明材料。若已要求，而该投标人在规定期限内未做出解释、作出的解释不合理或不能提供证明材料的，经评标委员会取得一致意见后，可拒绝该投标。</w:t>
      </w:r>
    </w:p>
    <w:p>
      <w:pPr>
        <w:pStyle w:val="12"/>
        <w:spacing w:line="480" w:lineRule="exact"/>
        <w:ind w:left="571" w:leftChars="272" w:firstLine="0" w:firstLineChars="0"/>
        <w:outlineLvl w:val="0"/>
        <w:rPr>
          <w:rFonts w:ascii="宋体"/>
          <w:bCs/>
          <w:sz w:val="24"/>
          <w:highlight w:val="none"/>
        </w:rPr>
      </w:pPr>
      <w:bookmarkStart w:id="92" w:name="_Toc2195"/>
      <w:bookmarkStart w:id="93" w:name="_Toc27597"/>
      <w:bookmarkStart w:id="94" w:name="_Toc31292"/>
      <w:r>
        <w:rPr>
          <w:rFonts w:ascii="宋体" w:hAnsi="宋体"/>
          <w:bCs/>
          <w:sz w:val="24"/>
          <w:highlight w:val="none"/>
        </w:rPr>
        <w:t xml:space="preserve">24.  </w:t>
      </w:r>
      <w:r>
        <w:rPr>
          <w:rFonts w:hint="eastAsia" w:ascii="宋体" w:hAnsi="宋体"/>
          <w:bCs/>
          <w:sz w:val="24"/>
          <w:highlight w:val="none"/>
        </w:rPr>
        <w:t>综合评审</w:t>
      </w:r>
      <w:bookmarkEnd w:id="92"/>
      <w:bookmarkEnd w:id="93"/>
      <w:bookmarkEnd w:id="94"/>
    </w:p>
    <w:p>
      <w:pPr>
        <w:pStyle w:val="19"/>
        <w:spacing w:line="480" w:lineRule="exact"/>
        <w:ind w:firstLine="480" w:firstLineChars="200"/>
        <w:rPr>
          <w:rFonts w:ascii="宋体"/>
          <w:bCs/>
          <w:highlight w:val="none"/>
        </w:rPr>
      </w:pPr>
      <w:r>
        <w:rPr>
          <w:rFonts w:ascii="宋体" w:hAnsi="宋体"/>
          <w:bCs/>
          <w:highlight w:val="none"/>
        </w:rPr>
        <w:t>24.1</w:t>
      </w:r>
      <w:r>
        <w:rPr>
          <w:rFonts w:hint="eastAsia" w:ascii="宋体" w:hAnsi="宋体"/>
          <w:bCs/>
          <w:highlight w:val="none"/>
        </w:rPr>
        <w:t>经初审合格的投标文件，评标委员会将根据招标文件确定的评标标准和方法作进一步的比较和评价。</w:t>
      </w:r>
    </w:p>
    <w:p>
      <w:pPr>
        <w:pStyle w:val="19"/>
        <w:spacing w:line="480" w:lineRule="exact"/>
        <w:ind w:firstLine="480" w:firstLineChars="200"/>
        <w:rPr>
          <w:rFonts w:ascii="宋体"/>
          <w:bCs/>
          <w:highlight w:val="none"/>
        </w:rPr>
      </w:pPr>
      <w:r>
        <w:rPr>
          <w:rFonts w:ascii="宋体" w:hAnsi="宋体"/>
          <w:bCs/>
          <w:highlight w:val="none"/>
        </w:rPr>
        <w:t xml:space="preserve">24.2 </w:t>
      </w:r>
      <w:r>
        <w:rPr>
          <w:rFonts w:hint="eastAsia" w:ascii="宋体" w:hAnsi="宋体"/>
          <w:bCs/>
          <w:highlight w:val="none"/>
        </w:rPr>
        <w:t>评标委员会严格按照招标文件的要求和条件进行综合分析，比较报价，同时考虑以下因素：</w:t>
      </w:r>
    </w:p>
    <w:p>
      <w:pPr>
        <w:pStyle w:val="19"/>
        <w:spacing w:line="480" w:lineRule="exact"/>
        <w:ind w:firstLine="480" w:firstLineChars="200"/>
        <w:rPr>
          <w:rFonts w:ascii="宋体"/>
          <w:bCs/>
          <w:highlight w:val="none"/>
        </w:rPr>
      </w:pPr>
      <w:r>
        <w:rPr>
          <w:rFonts w:ascii="宋体" w:hAnsi="宋体"/>
          <w:bCs/>
          <w:highlight w:val="none"/>
        </w:rPr>
        <w:t xml:space="preserve">1) </w:t>
      </w:r>
      <w:r>
        <w:rPr>
          <w:rFonts w:hint="eastAsia" w:ascii="宋体" w:hAnsi="宋体"/>
          <w:bCs/>
          <w:highlight w:val="none"/>
        </w:rPr>
        <w:t>报价的合理性和客观性；</w:t>
      </w:r>
    </w:p>
    <w:p>
      <w:pPr>
        <w:pStyle w:val="19"/>
        <w:spacing w:line="480" w:lineRule="exact"/>
        <w:ind w:firstLine="480" w:firstLineChars="200"/>
        <w:rPr>
          <w:rFonts w:ascii="宋体"/>
          <w:bCs/>
          <w:highlight w:val="none"/>
        </w:rPr>
      </w:pPr>
      <w:r>
        <w:rPr>
          <w:rFonts w:ascii="宋体" w:hAnsi="宋体"/>
          <w:bCs/>
          <w:highlight w:val="none"/>
        </w:rPr>
        <w:t xml:space="preserve">2)  </w:t>
      </w:r>
      <w:r>
        <w:rPr>
          <w:rFonts w:hint="eastAsia" w:ascii="宋体" w:hAnsi="宋体"/>
          <w:bCs/>
          <w:highlight w:val="none"/>
        </w:rPr>
        <w:t>维保方案；</w:t>
      </w:r>
    </w:p>
    <w:p>
      <w:pPr>
        <w:pStyle w:val="19"/>
        <w:spacing w:line="480" w:lineRule="exact"/>
        <w:ind w:firstLine="480" w:firstLineChars="200"/>
        <w:rPr>
          <w:rFonts w:ascii="宋体" w:hAnsi="宋体"/>
          <w:bCs/>
          <w:highlight w:val="none"/>
        </w:rPr>
      </w:pPr>
      <w:r>
        <w:rPr>
          <w:rFonts w:ascii="宋体" w:hAnsi="宋体"/>
          <w:bCs/>
          <w:highlight w:val="none"/>
        </w:rPr>
        <w:t xml:space="preserve">3) </w:t>
      </w:r>
      <w:r>
        <w:rPr>
          <w:rFonts w:hint="eastAsia" w:ascii="宋体" w:hAnsi="宋体"/>
          <w:bCs/>
          <w:highlight w:val="none"/>
        </w:rPr>
        <w:t>售后服务条款；</w:t>
      </w:r>
    </w:p>
    <w:p>
      <w:pPr>
        <w:pStyle w:val="19"/>
        <w:spacing w:line="480" w:lineRule="exact"/>
        <w:ind w:firstLine="480" w:firstLineChars="200"/>
        <w:rPr>
          <w:rFonts w:ascii="宋体"/>
          <w:bCs/>
          <w:highlight w:val="none"/>
        </w:rPr>
      </w:pPr>
      <w:r>
        <w:rPr>
          <w:rFonts w:ascii="宋体" w:hAnsi="宋体"/>
          <w:bCs/>
          <w:highlight w:val="none"/>
        </w:rPr>
        <w:t>4)</w:t>
      </w:r>
      <w:r>
        <w:rPr>
          <w:rFonts w:hint="eastAsia" w:ascii="宋体" w:hAnsi="宋体"/>
          <w:bCs/>
          <w:highlight w:val="none"/>
        </w:rPr>
        <w:t xml:space="preserve"> 技术及商务有无偏离；</w:t>
      </w:r>
    </w:p>
    <w:p>
      <w:pPr>
        <w:pStyle w:val="19"/>
        <w:spacing w:line="480" w:lineRule="exact"/>
        <w:ind w:firstLine="480" w:firstLineChars="200"/>
        <w:rPr>
          <w:rFonts w:ascii="宋体"/>
          <w:bCs/>
          <w:highlight w:val="none"/>
        </w:rPr>
      </w:pPr>
      <w:r>
        <w:rPr>
          <w:rFonts w:ascii="宋体" w:hAnsi="宋体"/>
          <w:bCs/>
          <w:highlight w:val="none"/>
        </w:rPr>
        <w:t xml:space="preserve">5) </w:t>
      </w:r>
      <w:r>
        <w:rPr>
          <w:rFonts w:hint="eastAsia" w:ascii="宋体" w:hAnsi="宋体"/>
          <w:bCs/>
          <w:highlight w:val="none"/>
        </w:rPr>
        <w:t>投标人资信情况和履约能力；</w:t>
      </w:r>
    </w:p>
    <w:p>
      <w:pPr>
        <w:pStyle w:val="19"/>
        <w:spacing w:line="480" w:lineRule="exact"/>
        <w:ind w:firstLine="480" w:firstLineChars="200"/>
        <w:rPr>
          <w:rFonts w:ascii="宋体"/>
          <w:bCs/>
          <w:highlight w:val="none"/>
        </w:rPr>
      </w:pPr>
      <w:r>
        <w:rPr>
          <w:rFonts w:ascii="宋体" w:hAnsi="宋体"/>
          <w:bCs/>
          <w:highlight w:val="none"/>
        </w:rPr>
        <w:t xml:space="preserve">6) </w:t>
      </w:r>
      <w:r>
        <w:rPr>
          <w:rFonts w:hint="eastAsia" w:ascii="宋体" w:hAnsi="宋体"/>
          <w:bCs/>
          <w:highlight w:val="none"/>
        </w:rPr>
        <w:t>投标人的经营业绩；</w:t>
      </w:r>
    </w:p>
    <w:p>
      <w:pPr>
        <w:pStyle w:val="19"/>
        <w:spacing w:line="480" w:lineRule="exact"/>
        <w:ind w:firstLine="480" w:firstLineChars="200"/>
        <w:rPr>
          <w:rFonts w:ascii="宋体"/>
          <w:bCs/>
          <w:highlight w:val="none"/>
        </w:rPr>
      </w:pPr>
      <w:r>
        <w:rPr>
          <w:rFonts w:ascii="宋体" w:hAnsi="宋体"/>
          <w:bCs/>
          <w:highlight w:val="none"/>
        </w:rPr>
        <w:t xml:space="preserve">7) </w:t>
      </w:r>
      <w:r>
        <w:rPr>
          <w:rFonts w:hint="eastAsia" w:ascii="宋体" w:hAnsi="宋体"/>
          <w:bCs/>
          <w:highlight w:val="none"/>
        </w:rPr>
        <w:t>优惠条件；</w:t>
      </w:r>
    </w:p>
    <w:p>
      <w:pPr>
        <w:pStyle w:val="19"/>
        <w:spacing w:line="360" w:lineRule="auto"/>
        <w:ind w:firstLine="480" w:firstLineChars="200"/>
        <w:rPr>
          <w:rFonts w:ascii="宋体" w:hAnsi="宋体"/>
          <w:bCs/>
          <w:highlight w:val="none"/>
        </w:rPr>
      </w:pPr>
      <w:r>
        <w:rPr>
          <w:rFonts w:ascii="宋体" w:hAnsi="宋体"/>
          <w:bCs/>
          <w:highlight w:val="none"/>
        </w:rPr>
        <w:t xml:space="preserve">8) </w:t>
      </w:r>
      <w:r>
        <w:rPr>
          <w:rFonts w:hint="eastAsia" w:ascii="宋体" w:hAnsi="宋体"/>
          <w:bCs/>
          <w:highlight w:val="none"/>
        </w:rPr>
        <w:t>其他。</w:t>
      </w:r>
    </w:p>
    <w:p>
      <w:pPr>
        <w:pStyle w:val="19"/>
        <w:adjustRightInd w:val="0"/>
        <w:snapToGrid w:val="0"/>
        <w:spacing w:line="360" w:lineRule="auto"/>
        <w:ind w:firstLine="480" w:firstLineChars="200"/>
        <w:rPr>
          <w:rFonts w:ascii="宋体" w:hAnsi="宋体"/>
          <w:highlight w:val="none"/>
        </w:rPr>
      </w:pPr>
      <w:r>
        <w:rPr>
          <w:rFonts w:ascii="宋体" w:hAnsi="宋体"/>
          <w:bCs/>
          <w:highlight w:val="none"/>
        </w:rPr>
        <w:t>24.3</w:t>
      </w:r>
      <w:r>
        <w:rPr>
          <w:rFonts w:hint="eastAsia" w:ascii="宋体" w:hAnsi="宋体"/>
          <w:highlight w:val="none"/>
        </w:rPr>
        <w:t>评标方法：本项目采用综合评分法，评标委员会将对投标人的投标报价、项目技术方案、现场演示、售后维保服务、投标人业绩等综合评分，择优选择中标人。</w:t>
      </w:r>
    </w:p>
    <w:p>
      <w:pPr>
        <w:pStyle w:val="12"/>
        <w:spacing w:line="480" w:lineRule="exact"/>
        <w:ind w:left="0" w:leftChars="0" w:firstLine="0" w:firstLineChars="0"/>
        <w:jc w:val="center"/>
        <w:rPr>
          <w:rFonts w:ascii="宋体" w:hAnsi="宋体"/>
          <w:b/>
          <w:bCs/>
          <w:szCs w:val="21"/>
          <w:highlight w:val="none"/>
        </w:rPr>
      </w:pPr>
      <w:bookmarkStart w:id="95" w:name="_Toc326"/>
      <w:bookmarkStart w:id="96" w:name="_Toc482367258"/>
    </w:p>
    <w:p>
      <w:pPr>
        <w:pStyle w:val="12"/>
        <w:spacing w:line="480" w:lineRule="exact"/>
        <w:ind w:left="0" w:leftChars="0" w:firstLine="0" w:firstLineChars="0"/>
        <w:jc w:val="center"/>
        <w:rPr>
          <w:rFonts w:ascii="宋体" w:hAnsi="宋体"/>
          <w:b/>
          <w:bCs/>
          <w:sz w:val="36"/>
          <w:szCs w:val="36"/>
          <w:highlight w:val="none"/>
        </w:rPr>
      </w:pPr>
      <w:r>
        <w:rPr>
          <w:rFonts w:hint="eastAsia" w:ascii="宋体" w:hAnsi="宋体"/>
          <w:b/>
          <w:bCs/>
          <w:sz w:val="36"/>
          <w:szCs w:val="36"/>
          <w:highlight w:val="none"/>
        </w:rPr>
        <w:br w:type="page"/>
      </w:r>
      <w:r>
        <w:rPr>
          <w:rFonts w:hint="eastAsia" w:ascii="宋体" w:hAnsi="宋体"/>
          <w:b/>
          <w:bCs/>
          <w:sz w:val="36"/>
          <w:szCs w:val="36"/>
          <w:highlight w:val="none"/>
        </w:rPr>
        <w:t>评分细则</w:t>
      </w:r>
      <w:bookmarkEnd w:id="95"/>
      <w:bookmarkEnd w:id="96"/>
    </w:p>
    <w:tbl>
      <w:tblPr>
        <w:tblStyle w:val="49"/>
        <w:tblW w:w="963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3"/>
        <w:gridCol w:w="1596"/>
        <w:gridCol w:w="7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9" w:hRule="atLeast"/>
          <w:jc w:val="center"/>
        </w:trPr>
        <w:tc>
          <w:tcPr>
            <w:tcW w:w="66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b/>
                <w:color w:val="000000"/>
                <w:szCs w:val="21"/>
                <w:highlight w:val="none"/>
              </w:rPr>
            </w:pPr>
            <w:r>
              <w:rPr>
                <w:rFonts w:hint="eastAsia" w:ascii="宋体" w:hAnsi="宋体" w:cs="宋体"/>
                <w:b/>
                <w:color w:val="000000"/>
                <w:szCs w:val="21"/>
                <w:highlight w:val="none"/>
              </w:rPr>
              <w:t>序号</w:t>
            </w:r>
          </w:p>
        </w:tc>
        <w:tc>
          <w:tcPr>
            <w:tcW w:w="1596"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420" w:lineRule="exact"/>
              <w:jc w:val="center"/>
              <w:rPr>
                <w:rFonts w:ascii="宋体" w:hAnsi="宋体" w:cs="宋体"/>
                <w:b/>
                <w:color w:val="000000"/>
                <w:szCs w:val="21"/>
                <w:highlight w:val="none"/>
              </w:rPr>
            </w:pPr>
            <w:r>
              <w:rPr>
                <w:rFonts w:ascii="宋体" w:hAnsi="宋体"/>
                <w:bCs/>
                <w:color w:val="000000"/>
                <w:highlight w:val="none"/>
              </w:rPr>
              <w:br w:type="page"/>
            </w:r>
            <w:r>
              <w:rPr>
                <w:rFonts w:ascii="宋体" w:hAnsi="宋体"/>
                <w:bCs/>
                <w:color w:val="000000"/>
                <w:sz w:val="24"/>
                <w:szCs w:val="20"/>
                <w:highlight w:val="none"/>
              </w:rPr>
              <w:br w:type="page"/>
            </w:r>
            <w:r>
              <w:rPr>
                <w:rFonts w:hint="eastAsia" w:ascii="宋体" w:hAnsi="宋体" w:cs="宋体"/>
                <w:b/>
                <w:color w:val="000000"/>
                <w:szCs w:val="21"/>
                <w:highlight w:val="none"/>
              </w:rPr>
              <w:t>评分项目</w:t>
            </w:r>
          </w:p>
        </w:tc>
        <w:tc>
          <w:tcPr>
            <w:tcW w:w="7379"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420" w:lineRule="exact"/>
              <w:jc w:val="center"/>
              <w:rPr>
                <w:rFonts w:ascii="宋体" w:hAnsi="宋体" w:cs="宋体"/>
                <w:b/>
                <w:color w:val="000000"/>
                <w:szCs w:val="21"/>
                <w:highlight w:val="none"/>
              </w:rPr>
            </w:pPr>
            <w:r>
              <w:rPr>
                <w:rFonts w:hint="eastAsia" w:ascii="宋体" w:hAnsi="宋体" w:cs="宋体"/>
                <w:b/>
                <w:color w:val="000000"/>
                <w:szCs w:val="21"/>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9" w:hRule="atLeast"/>
          <w:jc w:val="center"/>
        </w:trPr>
        <w:tc>
          <w:tcPr>
            <w:tcW w:w="663"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000000"/>
                <w:szCs w:val="21"/>
                <w:highlight w:val="none"/>
              </w:rPr>
            </w:pPr>
            <w:r>
              <w:rPr>
                <w:rFonts w:hint="eastAsia" w:ascii="宋体" w:hAnsi="宋体" w:cs="宋体"/>
                <w:color w:val="000000"/>
                <w:szCs w:val="21"/>
                <w:highlight w:val="none"/>
              </w:rPr>
              <w:t>1</w:t>
            </w:r>
          </w:p>
        </w:tc>
        <w:tc>
          <w:tcPr>
            <w:tcW w:w="1596"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000000"/>
                <w:szCs w:val="21"/>
                <w:highlight w:val="none"/>
              </w:rPr>
            </w:pPr>
            <w:r>
              <w:rPr>
                <w:rFonts w:hint="eastAsia" w:ascii="宋体" w:hAnsi="宋体" w:cs="宋体"/>
                <w:color w:val="000000"/>
                <w:szCs w:val="21"/>
                <w:highlight w:val="none"/>
              </w:rPr>
              <w:t>报价部分</w:t>
            </w:r>
          </w:p>
          <w:p>
            <w:pPr>
              <w:spacing w:line="420" w:lineRule="exact"/>
              <w:jc w:val="center"/>
              <w:rPr>
                <w:rFonts w:ascii="宋体" w:hAnsi="宋体" w:cs="宋体"/>
                <w:color w:val="000000"/>
                <w:szCs w:val="21"/>
                <w:highlight w:val="none"/>
              </w:rPr>
            </w:pPr>
            <w:r>
              <w:rPr>
                <w:rFonts w:hint="eastAsia" w:ascii="宋体" w:hAnsi="宋体" w:cs="宋体"/>
                <w:color w:val="000000"/>
                <w:szCs w:val="21"/>
                <w:highlight w:val="none"/>
              </w:rPr>
              <w:t>（30分）</w:t>
            </w:r>
          </w:p>
        </w:tc>
        <w:tc>
          <w:tcPr>
            <w:tcW w:w="7379"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szCs w:val="21"/>
                <w:highlight w:val="none"/>
              </w:rPr>
            </w:pPr>
            <w:r>
              <w:rPr>
                <w:rFonts w:hint="eastAsia" w:ascii="宋体" w:hAnsi="宋体" w:cs="宋体"/>
                <w:color w:val="000000"/>
                <w:szCs w:val="21"/>
                <w:highlight w:val="none"/>
              </w:rPr>
              <w:t>价格分应当采用低价优先法计算，即满足招标文件要求且投标价格最低的投标报价为评标基准价，其价格分为满分。其他投标人的价格分统一按照下列公式计算：投标报价得分=（评标基准值/投标报价）×30%×100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7" w:hRule="atLeast"/>
          <w:jc w:val="center"/>
        </w:trPr>
        <w:tc>
          <w:tcPr>
            <w:tcW w:w="663" w:type="dxa"/>
            <w:vMerge w:val="restart"/>
            <w:tcBorders>
              <w:left w:val="single" w:color="auto" w:sz="4" w:space="0"/>
              <w:right w:val="single" w:color="auto" w:sz="4" w:space="0"/>
            </w:tcBorders>
            <w:vAlign w:val="center"/>
          </w:tcPr>
          <w:p>
            <w:pPr>
              <w:spacing w:line="420" w:lineRule="exact"/>
              <w:jc w:val="center"/>
              <w:rPr>
                <w:rFonts w:ascii="宋体" w:hAnsi="宋体" w:cs="宋体"/>
                <w:color w:val="000000"/>
                <w:szCs w:val="21"/>
                <w:highlight w:val="none"/>
              </w:rPr>
            </w:pPr>
            <w:r>
              <w:rPr>
                <w:rFonts w:hint="eastAsia" w:ascii="宋体" w:hAnsi="宋体" w:cs="宋体"/>
                <w:color w:val="000000"/>
                <w:szCs w:val="21"/>
                <w:highlight w:val="none"/>
              </w:rPr>
              <w:t>2</w:t>
            </w:r>
          </w:p>
        </w:tc>
        <w:tc>
          <w:tcPr>
            <w:tcW w:w="1596" w:type="dxa"/>
            <w:tcBorders>
              <w:left w:val="single" w:color="auto" w:sz="4" w:space="0"/>
              <w:right w:val="single" w:color="auto" w:sz="4" w:space="0"/>
            </w:tcBorders>
            <w:vAlign w:val="center"/>
          </w:tcPr>
          <w:p>
            <w:pPr>
              <w:spacing w:line="420" w:lineRule="exact"/>
              <w:jc w:val="center"/>
              <w:rPr>
                <w:rFonts w:ascii="宋体" w:hAnsi="宋体" w:cs="宋体"/>
                <w:color w:val="000000"/>
                <w:szCs w:val="21"/>
                <w:highlight w:val="none"/>
              </w:rPr>
            </w:pPr>
            <w:r>
              <w:rPr>
                <w:rFonts w:hint="eastAsia" w:ascii="宋体" w:hAnsi="宋体" w:cs="宋体"/>
                <w:color w:val="000000"/>
                <w:szCs w:val="21"/>
                <w:highlight w:val="none"/>
              </w:rPr>
              <w:t>技术响应</w:t>
            </w:r>
          </w:p>
          <w:p>
            <w:pPr>
              <w:spacing w:line="420" w:lineRule="exact"/>
              <w:jc w:val="center"/>
              <w:rPr>
                <w:rFonts w:ascii="宋体" w:hAnsi="宋体" w:cs="宋体"/>
                <w:color w:val="000000"/>
                <w:szCs w:val="21"/>
                <w:highlight w:val="none"/>
              </w:rPr>
            </w:pPr>
            <w:r>
              <w:rPr>
                <w:rFonts w:hint="eastAsia" w:ascii="宋体" w:hAnsi="宋体" w:cs="宋体"/>
                <w:color w:val="000000"/>
                <w:szCs w:val="21"/>
                <w:highlight w:val="none"/>
              </w:rPr>
              <w:t>（34分）</w:t>
            </w:r>
          </w:p>
        </w:tc>
        <w:tc>
          <w:tcPr>
            <w:tcW w:w="7379"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szCs w:val="21"/>
                <w:highlight w:val="none"/>
              </w:rPr>
            </w:pPr>
            <w:r>
              <w:rPr>
                <w:rFonts w:hint="eastAsia" w:ascii="宋体" w:hAnsi="宋体" w:cs="宋体"/>
                <w:color w:val="000000"/>
                <w:szCs w:val="21"/>
                <w:highlight w:val="none"/>
              </w:rPr>
              <w:t>对投标文件中（1）康复评定工作站、（2）康复治疗工作站、（3）康复电子文书系统、（4）康复业务统计分析系统、（5）移动评定工作站（6）移动治疗工作站、（7）医治护沟通平台、（8）康复患者查询终端、（9）智能排班、排队系统（10）TEAMWORK系统、（11）家庭康复训练管理（12）康复随访系统、（13）病历夹系统（14）康复看板系统（15）病例检索（16）专家知识库（17）康复医生工作站共17个方面进行评审，每部分满分2分，完全满足得2分，符合情况较好的得1-1.9分，基本符合的得0</w:t>
            </w:r>
            <w:r>
              <w:rPr>
                <w:rFonts w:hint="eastAsia" w:ascii="宋体" w:hAnsi="宋体" w:cs="宋体"/>
                <w:color w:val="000000"/>
                <w:szCs w:val="21"/>
                <w:highlight w:val="none"/>
                <w:lang w:val="en-US" w:eastAsia="zh-CN"/>
              </w:rPr>
              <w:t>.1</w:t>
            </w:r>
            <w:r>
              <w:rPr>
                <w:rFonts w:hint="eastAsia" w:ascii="宋体" w:hAnsi="宋体" w:cs="宋体"/>
                <w:color w:val="000000"/>
                <w:szCs w:val="21"/>
                <w:highlight w:val="none"/>
              </w:rPr>
              <w:t>-0.9分。此项满分得34分，无此项内容不得分。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1" w:hRule="atLeast"/>
          <w:jc w:val="center"/>
        </w:trPr>
        <w:tc>
          <w:tcPr>
            <w:tcW w:w="663" w:type="dxa"/>
            <w:vMerge w:val="continue"/>
            <w:tcBorders>
              <w:left w:val="single" w:color="auto" w:sz="4" w:space="0"/>
              <w:bottom w:val="single" w:color="auto" w:sz="4" w:space="0"/>
              <w:right w:val="single" w:color="auto" w:sz="4" w:space="0"/>
            </w:tcBorders>
            <w:vAlign w:val="center"/>
          </w:tcPr>
          <w:p>
            <w:pPr>
              <w:spacing w:line="420" w:lineRule="exact"/>
              <w:jc w:val="center"/>
              <w:rPr>
                <w:rFonts w:ascii="宋体" w:hAnsi="宋体" w:cs="宋体"/>
                <w:color w:val="000000"/>
                <w:szCs w:val="21"/>
                <w:highlight w:val="none"/>
              </w:rPr>
            </w:pPr>
          </w:p>
        </w:tc>
        <w:tc>
          <w:tcPr>
            <w:tcW w:w="1596" w:type="dxa"/>
            <w:tcBorders>
              <w:left w:val="single" w:color="auto" w:sz="4" w:space="0"/>
              <w:bottom w:val="single" w:color="auto" w:sz="4" w:space="0"/>
              <w:right w:val="single" w:color="auto" w:sz="4" w:space="0"/>
            </w:tcBorders>
            <w:vAlign w:val="center"/>
          </w:tcPr>
          <w:p>
            <w:pPr>
              <w:spacing w:line="420" w:lineRule="exact"/>
              <w:jc w:val="center"/>
              <w:rPr>
                <w:rFonts w:ascii="宋体" w:hAnsi="宋体" w:cs="宋体"/>
                <w:color w:val="000000"/>
                <w:szCs w:val="21"/>
                <w:highlight w:val="none"/>
              </w:rPr>
            </w:pPr>
            <w:r>
              <w:rPr>
                <w:rFonts w:hint="eastAsia" w:ascii="宋体" w:hAnsi="宋体" w:cs="宋体"/>
                <w:color w:val="000000"/>
                <w:szCs w:val="21"/>
                <w:highlight w:val="none"/>
              </w:rPr>
              <w:t>系统演示</w:t>
            </w:r>
          </w:p>
          <w:p>
            <w:pPr>
              <w:spacing w:line="420" w:lineRule="exact"/>
              <w:jc w:val="center"/>
              <w:rPr>
                <w:rFonts w:ascii="宋体" w:hAnsi="宋体" w:cs="宋体"/>
                <w:color w:val="000000"/>
                <w:szCs w:val="21"/>
                <w:highlight w:val="none"/>
              </w:rPr>
            </w:pPr>
            <w:r>
              <w:rPr>
                <w:rFonts w:hint="eastAsia" w:ascii="宋体" w:hAnsi="宋体" w:cs="宋体"/>
                <w:color w:val="000000"/>
                <w:szCs w:val="21"/>
                <w:highlight w:val="none"/>
              </w:rPr>
              <w:t>（24分）</w:t>
            </w:r>
          </w:p>
        </w:tc>
        <w:tc>
          <w:tcPr>
            <w:tcW w:w="7379"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szCs w:val="21"/>
                <w:highlight w:val="none"/>
              </w:rPr>
            </w:pPr>
            <w:r>
              <w:rPr>
                <w:rFonts w:hint="eastAsia" w:ascii="宋体" w:hAnsi="宋体" w:cs="宋体"/>
                <w:color w:val="000000"/>
                <w:szCs w:val="21"/>
                <w:highlight w:val="none"/>
              </w:rPr>
              <w:t>对康复数字化管理系统进行操作演示，每项演示得2分，共24分。（须基于原型系统演示，如投标企业采用PPT、截图、视频等方式演示，则不得分，限时</w:t>
            </w:r>
            <w:r>
              <w:rPr>
                <w:rFonts w:hint="eastAsia" w:ascii="宋体" w:hAnsi="宋体" w:cs="宋体"/>
                <w:color w:val="000000"/>
                <w:szCs w:val="21"/>
                <w:highlight w:val="none"/>
                <w:lang w:val="en-US" w:eastAsia="zh-CN"/>
              </w:rPr>
              <w:t>10</w:t>
            </w:r>
            <w:r>
              <w:rPr>
                <w:rFonts w:hint="eastAsia" w:ascii="宋体" w:hAnsi="宋体" w:cs="宋体"/>
                <w:color w:val="000000"/>
                <w:szCs w:val="21"/>
                <w:highlight w:val="none"/>
              </w:rPr>
              <w:t>分钟），根据演示情况综合打分，演示要求具体如下：</w:t>
            </w:r>
          </w:p>
          <w:p>
            <w:pPr>
              <w:spacing w:line="420" w:lineRule="exact"/>
              <w:rPr>
                <w:rFonts w:ascii="宋体" w:hAnsi="宋体" w:cs="宋体"/>
                <w:color w:val="000000"/>
                <w:szCs w:val="21"/>
                <w:highlight w:val="none"/>
              </w:rPr>
            </w:pPr>
            <w:r>
              <w:rPr>
                <w:rFonts w:hint="eastAsia" w:ascii="宋体" w:hAnsi="宋体" w:cs="宋体"/>
                <w:color w:val="000000"/>
                <w:szCs w:val="21"/>
                <w:highlight w:val="none"/>
              </w:rPr>
              <w:t>（1）支持量表自动计算分数，支持视频采集；（0-2分）</w:t>
            </w:r>
          </w:p>
          <w:p>
            <w:pPr>
              <w:spacing w:line="420" w:lineRule="exact"/>
              <w:rPr>
                <w:rFonts w:ascii="宋体" w:hAnsi="宋体" w:cs="宋体"/>
                <w:color w:val="000000"/>
                <w:szCs w:val="21"/>
                <w:highlight w:val="none"/>
              </w:rPr>
            </w:pPr>
            <w:r>
              <w:rPr>
                <w:rFonts w:hint="eastAsia" w:ascii="宋体" w:hAnsi="宋体" w:cs="宋体"/>
                <w:color w:val="000000"/>
                <w:szCs w:val="21"/>
                <w:highlight w:val="none"/>
              </w:rPr>
              <w:t>（2）评估量表数据结构化存储，并可对历次评估数据进行对比分析，包括数值对比和视频对比；（0-2分）</w:t>
            </w:r>
          </w:p>
          <w:p>
            <w:pPr>
              <w:spacing w:line="420" w:lineRule="exact"/>
              <w:rPr>
                <w:rFonts w:ascii="宋体" w:hAnsi="宋体" w:cs="宋体"/>
                <w:color w:val="000000"/>
                <w:szCs w:val="21"/>
                <w:highlight w:val="none"/>
              </w:rPr>
            </w:pPr>
            <w:r>
              <w:rPr>
                <w:rFonts w:hint="eastAsia" w:ascii="宋体" w:hAnsi="宋体" w:cs="宋体"/>
                <w:color w:val="000000"/>
                <w:szCs w:val="21"/>
                <w:highlight w:val="none"/>
              </w:rPr>
              <w:t>（3）支持建议医嘱推送给医师；（0-2分）</w:t>
            </w:r>
          </w:p>
          <w:p>
            <w:pPr>
              <w:spacing w:line="420" w:lineRule="exact"/>
              <w:rPr>
                <w:rFonts w:ascii="宋体" w:hAnsi="宋体" w:cs="宋体"/>
                <w:color w:val="000000"/>
                <w:szCs w:val="21"/>
                <w:highlight w:val="none"/>
              </w:rPr>
            </w:pPr>
            <w:r>
              <w:rPr>
                <w:rFonts w:hint="eastAsia" w:ascii="宋体" w:hAnsi="宋体" w:cs="宋体"/>
                <w:color w:val="000000"/>
                <w:szCs w:val="21"/>
                <w:highlight w:val="none"/>
              </w:rPr>
              <w:t>（4）支持实现ICF要素限定值的评估，并可参照项目（量表）评估结果；（0-2分）</w:t>
            </w:r>
          </w:p>
          <w:p>
            <w:pPr>
              <w:spacing w:line="420" w:lineRule="exact"/>
              <w:rPr>
                <w:rFonts w:ascii="宋体" w:hAnsi="宋体" w:cs="宋体"/>
                <w:color w:val="000000"/>
                <w:szCs w:val="21"/>
                <w:highlight w:val="none"/>
              </w:rPr>
            </w:pPr>
            <w:r>
              <w:rPr>
                <w:rFonts w:hint="eastAsia" w:ascii="宋体" w:hAnsi="宋体" w:cs="宋体"/>
                <w:color w:val="000000"/>
                <w:szCs w:val="21"/>
                <w:highlight w:val="none"/>
              </w:rPr>
              <w:t>（5）支持中医针灸项目根据病症、症候推荐治疗穴位，并可以快速引用患者历史穴位方案；支持执行时可根据实际执行部位数量进行执行；支持未执行完成的部位数可以继续执行；（0-2分）</w:t>
            </w:r>
          </w:p>
          <w:p>
            <w:pPr>
              <w:spacing w:line="420" w:lineRule="exact"/>
              <w:rPr>
                <w:rFonts w:ascii="宋体" w:hAnsi="宋体" w:cs="宋体"/>
                <w:color w:val="000000"/>
                <w:szCs w:val="21"/>
                <w:highlight w:val="none"/>
              </w:rPr>
            </w:pPr>
            <w:r>
              <w:rPr>
                <w:rFonts w:hint="eastAsia" w:ascii="宋体" w:hAnsi="宋体" w:cs="宋体"/>
                <w:color w:val="000000"/>
                <w:szCs w:val="21"/>
                <w:highlight w:val="none"/>
              </w:rPr>
              <w:t>（6）支持治疗未做备注自动记录在该患者留言板；（0-2分）</w:t>
            </w:r>
          </w:p>
          <w:p>
            <w:pPr>
              <w:spacing w:line="420" w:lineRule="exact"/>
              <w:rPr>
                <w:rFonts w:ascii="宋体" w:hAnsi="宋体" w:cs="宋体"/>
                <w:color w:val="000000"/>
                <w:szCs w:val="21"/>
                <w:highlight w:val="none"/>
              </w:rPr>
            </w:pPr>
            <w:r>
              <w:rPr>
                <w:rFonts w:hint="eastAsia" w:ascii="宋体" w:hAnsi="宋体" w:cs="宋体"/>
                <w:color w:val="000000"/>
                <w:szCs w:val="21"/>
                <w:highlight w:val="none"/>
              </w:rPr>
              <w:t>（7）统计康复评定率、住院患者评估完成情况、住院患者评估超时完成情况等质控分析，并支持以图文形式展现；（0-2分）</w:t>
            </w:r>
          </w:p>
          <w:p>
            <w:pPr>
              <w:spacing w:line="420" w:lineRule="exact"/>
              <w:rPr>
                <w:rFonts w:ascii="宋体" w:hAnsi="宋体" w:cs="宋体"/>
                <w:color w:val="000000"/>
                <w:szCs w:val="21"/>
                <w:highlight w:val="none"/>
              </w:rPr>
            </w:pPr>
            <w:r>
              <w:rPr>
                <w:rFonts w:hint="eastAsia" w:ascii="宋体" w:hAnsi="宋体" w:cs="宋体"/>
                <w:color w:val="000000"/>
                <w:szCs w:val="21"/>
                <w:highlight w:val="none"/>
              </w:rPr>
              <w:t>（8）留言消息支持两种类型管理，包含紧急发送和一般发送两种类型；（0-2分）</w:t>
            </w:r>
          </w:p>
          <w:p>
            <w:pPr>
              <w:spacing w:line="420" w:lineRule="exact"/>
              <w:rPr>
                <w:rFonts w:ascii="宋体" w:hAnsi="宋体" w:cs="宋体"/>
                <w:color w:val="000000"/>
                <w:szCs w:val="21"/>
                <w:highlight w:val="none"/>
              </w:rPr>
            </w:pPr>
            <w:r>
              <w:rPr>
                <w:rFonts w:hint="eastAsia" w:ascii="宋体" w:hAnsi="宋体" w:cs="宋体"/>
                <w:color w:val="000000"/>
                <w:szCs w:val="21"/>
                <w:highlight w:val="none"/>
              </w:rPr>
              <w:t>（9）支持根据治疗师、治疗设备、治疗区、治疗时间、患者、不同时长的治疗项目进行多维度一键智能排班工作；（0-2分）</w:t>
            </w:r>
          </w:p>
          <w:p>
            <w:pPr>
              <w:spacing w:line="420" w:lineRule="exact"/>
              <w:rPr>
                <w:rFonts w:ascii="宋体" w:hAnsi="宋体" w:cs="宋体"/>
                <w:color w:val="000000"/>
                <w:szCs w:val="21"/>
                <w:highlight w:val="none"/>
              </w:rPr>
            </w:pPr>
            <w:r>
              <w:rPr>
                <w:rFonts w:hint="eastAsia" w:ascii="宋体" w:hAnsi="宋体" w:cs="宋体"/>
                <w:color w:val="000000"/>
                <w:szCs w:val="21"/>
                <w:highlight w:val="none"/>
              </w:rPr>
              <w:t>（10）支持不同患者同一量表进行对比；（0-2分）</w:t>
            </w:r>
          </w:p>
          <w:p>
            <w:pPr>
              <w:spacing w:line="420" w:lineRule="exact"/>
              <w:rPr>
                <w:rFonts w:ascii="宋体" w:hAnsi="宋体" w:cs="宋体"/>
                <w:color w:val="000000"/>
                <w:szCs w:val="21"/>
                <w:highlight w:val="none"/>
              </w:rPr>
            </w:pPr>
            <w:r>
              <w:rPr>
                <w:rFonts w:hint="eastAsia" w:ascii="宋体" w:hAnsi="宋体" w:cs="宋体"/>
                <w:color w:val="000000"/>
                <w:szCs w:val="21"/>
                <w:highlight w:val="none"/>
              </w:rPr>
              <w:t>（11）支持医师下达治疗项目，针灸等项目可输入部位数/组数，快速输入部位或标记在生理图上；（0-2分）</w:t>
            </w:r>
          </w:p>
          <w:p>
            <w:pPr>
              <w:spacing w:line="420" w:lineRule="exact"/>
              <w:rPr>
                <w:rFonts w:ascii="宋体" w:hAnsi="宋体" w:cs="宋体"/>
                <w:color w:val="000000"/>
                <w:szCs w:val="21"/>
                <w:highlight w:val="none"/>
              </w:rPr>
            </w:pPr>
            <w:r>
              <w:rPr>
                <w:rFonts w:hint="eastAsia" w:ascii="宋体" w:hAnsi="宋体" w:cs="宋体"/>
                <w:color w:val="000000"/>
                <w:szCs w:val="21"/>
                <w:highlight w:val="none"/>
              </w:rPr>
              <w:t>（12）支持直接开具临床用药医嘱、康复评定医嘱、康复治疗医嘱、康复家庭训练方案，并支持快速引用评定师/治疗师发送的建议医嘱（0-2分）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8" w:hRule="atLeast"/>
          <w:jc w:val="center"/>
        </w:trPr>
        <w:tc>
          <w:tcPr>
            <w:tcW w:w="663" w:type="dxa"/>
            <w:tcBorders>
              <w:left w:val="single" w:color="auto" w:sz="4" w:space="0"/>
              <w:bottom w:val="single" w:color="auto" w:sz="4" w:space="0"/>
              <w:right w:val="single" w:color="auto" w:sz="4" w:space="0"/>
            </w:tcBorders>
            <w:vAlign w:val="center"/>
          </w:tcPr>
          <w:p>
            <w:pPr>
              <w:spacing w:line="420" w:lineRule="exact"/>
              <w:jc w:val="center"/>
              <w:rPr>
                <w:rFonts w:ascii="宋体" w:hAnsi="宋体" w:cs="宋体"/>
                <w:color w:val="000000"/>
                <w:szCs w:val="21"/>
                <w:highlight w:val="none"/>
              </w:rPr>
            </w:pPr>
            <w:r>
              <w:rPr>
                <w:rFonts w:hint="eastAsia" w:ascii="宋体" w:hAnsi="宋体" w:cs="宋体"/>
                <w:color w:val="000000"/>
                <w:szCs w:val="21"/>
                <w:highlight w:val="none"/>
              </w:rPr>
              <w:t>3</w:t>
            </w:r>
          </w:p>
        </w:tc>
        <w:tc>
          <w:tcPr>
            <w:tcW w:w="1596" w:type="dxa"/>
            <w:tcBorders>
              <w:left w:val="single" w:color="auto" w:sz="4" w:space="0"/>
              <w:bottom w:val="single" w:color="auto" w:sz="4" w:space="0"/>
              <w:right w:val="single" w:color="auto" w:sz="4" w:space="0"/>
            </w:tcBorders>
            <w:vAlign w:val="center"/>
          </w:tcPr>
          <w:p>
            <w:pPr>
              <w:spacing w:line="420" w:lineRule="exact"/>
              <w:jc w:val="center"/>
              <w:rPr>
                <w:rFonts w:ascii="宋体" w:hAnsi="宋体" w:cs="宋体"/>
                <w:color w:val="000000"/>
                <w:szCs w:val="21"/>
                <w:highlight w:val="none"/>
              </w:rPr>
            </w:pPr>
            <w:r>
              <w:rPr>
                <w:rFonts w:hint="eastAsia" w:ascii="宋体" w:hAnsi="宋体" w:cs="宋体"/>
                <w:color w:val="000000"/>
                <w:szCs w:val="21"/>
                <w:highlight w:val="none"/>
              </w:rPr>
              <w:t>其他要求</w:t>
            </w:r>
          </w:p>
          <w:p>
            <w:pPr>
              <w:spacing w:line="420" w:lineRule="exact"/>
              <w:jc w:val="center"/>
              <w:rPr>
                <w:rFonts w:ascii="宋体" w:hAnsi="宋体" w:cs="宋体"/>
                <w:color w:val="000000"/>
                <w:szCs w:val="21"/>
                <w:highlight w:val="none"/>
              </w:rPr>
            </w:pPr>
            <w:r>
              <w:rPr>
                <w:rFonts w:hint="eastAsia" w:ascii="宋体" w:hAnsi="宋体" w:cs="宋体"/>
                <w:color w:val="000000"/>
                <w:szCs w:val="21"/>
                <w:highlight w:val="none"/>
              </w:rPr>
              <w:t>（5分）</w:t>
            </w:r>
          </w:p>
        </w:tc>
        <w:tc>
          <w:tcPr>
            <w:tcW w:w="7379"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szCs w:val="21"/>
                <w:highlight w:val="none"/>
              </w:rPr>
            </w:pPr>
            <w:r>
              <w:rPr>
                <w:rFonts w:hint="eastAsia" w:ascii="宋体" w:hAnsi="宋体" w:cs="宋体"/>
                <w:color w:val="000000"/>
                <w:szCs w:val="21"/>
                <w:highlight w:val="none"/>
              </w:rPr>
              <w:t>对投标人提供的验收、测试方案、拟提供的技术文档、硬件设备配置及技术指标等进行打分，得0-5分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9" w:hRule="atLeast"/>
          <w:jc w:val="center"/>
        </w:trPr>
        <w:tc>
          <w:tcPr>
            <w:tcW w:w="663"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000000"/>
                <w:szCs w:val="21"/>
                <w:highlight w:val="none"/>
              </w:rPr>
            </w:pPr>
            <w:r>
              <w:rPr>
                <w:rFonts w:hint="eastAsia" w:ascii="宋体" w:hAnsi="宋体" w:cs="宋体"/>
                <w:color w:val="000000"/>
                <w:szCs w:val="21"/>
                <w:highlight w:val="none"/>
              </w:rPr>
              <w:t>4</w:t>
            </w:r>
          </w:p>
        </w:tc>
        <w:tc>
          <w:tcPr>
            <w:tcW w:w="1596"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000000"/>
                <w:szCs w:val="21"/>
                <w:highlight w:val="none"/>
              </w:rPr>
            </w:pPr>
            <w:r>
              <w:rPr>
                <w:rFonts w:hint="eastAsia" w:ascii="宋体" w:hAnsi="宋体" w:cs="宋体"/>
                <w:color w:val="000000"/>
                <w:szCs w:val="21"/>
                <w:highlight w:val="none"/>
              </w:rPr>
              <w:t>业绩（2分）</w:t>
            </w:r>
          </w:p>
        </w:tc>
        <w:tc>
          <w:tcPr>
            <w:tcW w:w="7379" w:type="dxa"/>
            <w:tcBorders>
              <w:top w:val="single" w:color="auto" w:sz="4" w:space="0"/>
              <w:left w:val="single" w:color="auto" w:sz="4" w:space="0"/>
              <w:bottom w:val="single" w:color="auto" w:sz="4" w:space="0"/>
              <w:right w:val="single" w:color="auto" w:sz="4" w:space="0"/>
            </w:tcBorders>
          </w:tcPr>
          <w:p>
            <w:pPr>
              <w:widowControl/>
              <w:spacing w:line="420" w:lineRule="exact"/>
              <w:rPr>
                <w:rFonts w:ascii="宋体" w:hAnsi="宋体" w:cs="宋体"/>
                <w:color w:val="000000"/>
                <w:szCs w:val="21"/>
                <w:highlight w:val="none"/>
              </w:rPr>
            </w:pPr>
            <w:r>
              <w:rPr>
                <w:rFonts w:hint="eastAsia" w:ascii="宋体" w:hAnsi="宋体" w:cs="宋体"/>
                <w:color w:val="000000"/>
                <w:szCs w:val="21"/>
                <w:highlight w:val="none"/>
              </w:rPr>
              <w:t>近三年具有类似项目业绩，每一个业绩得1分，最高得2分。在投标文件中提供合同复印件并加盖投标人公章，合同复印件至少包括合同首页、建设内容以及签署页。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7" w:hRule="atLeast"/>
          <w:jc w:val="center"/>
        </w:trPr>
        <w:tc>
          <w:tcPr>
            <w:tcW w:w="663"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000000"/>
                <w:szCs w:val="21"/>
                <w:highlight w:val="none"/>
              </w:rPr>
            </w:pPr>
            <w:r>
              <w:rPr>
                <w:rFonts w:hint="eastAsia" w:ascii="宋体" w:hAnsi="宋体" w:cs="宋体"/>
                <w:color w:val="000000"/>
                <w:szCs w:val="21"/>
                <w:highlight w:val="none"/>
              </w:rPr>
              <w:t>5</w:t>
            </w:r>
          </w:p>
        </w:tc>
        <w:tc>
          <w:tcPr>
            <w:tcW w:w="1596"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000000"/>
                <w:szCs w:val="21"/>
                <w:highlight w:val="none"/>
              </w:rPr>
            </w:pPr>
            <w:r>
              <w:rPr>
                <w:rFonts w:hint="eastAsia" w:ascii="宋体" w:hAnsi="宋体" w:cs="宋体"/>
                <w:color w:val="000000"/>
                <w:szCs w:val="21"/>
                <w:highlight w:val="none"/>
              </w:rPr>
              <w:t>售后维保服务（5分）</w:t>
            </w:r>
          </w:p>
        </w:tc>
        <w:tc>
          <w:tcPr>
            <w:tcW w:w="7379" w:type="dxa"/>
            <w:tcBorders>
              <w:top w:val="single" w:color="auto" w:sz="4" w:space="0"/>
              <w:left w:val="single" w:color="auto" w:sz="4" w:space="0"/>
              <w:bottom w:val="single" w:color="auto" w:sz="4" w:space="0"/>
              <w:right w:val="single" w:color="auto" w:sz="4" w:space="0"/>
            </w:tcBorders>
          </w:tcPr>
          <w:p>
            <w:pPr>
              <w:spacing w:line="420" w:lineRule="exact"/>
              <w:rPr>
                <w:rFonts w:ascii="宋体" w:hAnsi="宋体" w:cs="宋体"/>
                <w:color w:val="000000"/>
                <w:szCs w:val="21"/>
                <w:highlight w:val="none"/>
              </w:rPr>
            </w:pPr>
            <w:r>
              <w:rPr>
                <w:rFonts w:hint="eastAsia" w:ascii="宋体" w:hAnsi="宋体" w:cs="宋体"/>
                <w:color w:val="000000"/>
                <w:szCs w:val="21"/>
                <w:highlight w:val="none"/>
              </w:rPr>
              <w:t>对投标文件中的售后服务措施及培训方案进行评审，包括：响应时间、服务方式及服务内容、系统升级、培训方案等内容进行评审，满足需求得5分，每有1项不满足扣0.5分，扣完为止。</w:t>
            </w:r>
          </w:p>
        </w:tc>
      </w:tr>
    </w:tbl>
    <w:p>
      <w:pPr>
        <w:pStyle w:val="19"/>
        <w:spacing w:line="360" w:lineRule="exact"/>
        <w:rPr>
          <w:rFonts w:ascii="宋体" w:hAnsi="宋体"/>
          <w:b/>
          <w:bCs/>
          <w:color w:val="000000"/>
          <w:sz w:val="21"/>
          <w:szCs w:val="21"/>
          <w:highlight w:val="none"/>
        </w:rPr>
      </w:pPr>
    </w:p>
    <w:p>
      <w:pPr>
        <w:pStyle w:val="19"/>
        <w:spacing w:line="360" w:lineRule="auto"/>
        <w:rPr>
          <w:rFonts w:ascii="宋体"/>
          <w:b/>
          <w:bCs/>
          <w:color w:val="000000"/>
          <w:sz w:val="21"/>
          <w:szCs w:val="21"/>
          <w:highlight w:val="none"/>
        </w:rPr>
      </w:pPr>
      <w:r>
        <w:rPr>
          <w:rFonts w:hint="eastAsia" w:ascii="宋体" w:hAnsi="宋体"/>
          <w:b/>
          <w:bCs/>
          <w:color w:val="000000"/>
          <w:sz w:val="21"/>
          <w:szCs w:val="21"/>
          <w:highlight w:val="none"/>
        </w:rPr>
        <w:t>说明：（</w:t>
      </w:r>
      <w:r>
        <w:rPr>
          <w:rFonts w:ascii="宋体" w:hAnsi="宋体"/>
          <w:b/>
          <w:bCs/>
          <w:color w:val="000000"/>
          <w:sz w:val="21"/>
          <w:szCs w:val="21"/>
          <w:highlight w:val="none"/>
        </w:rPr>
        <w:t>1</w:t>
      </w:r>
      <w:r>
        <w:rPr>
          <w:rFonts w:hint="eastAsia" w:ascii="宋体" w:hAnsi="宋体"/>
          <w:b/>
          <w:bCs/>
          <w:color w:val="000000"/>
          <w:sz w:val="21"/>
          <w:szCs w:val="21"/>
          <w:highlight w:val="none"/>
        </w:rPr>
        <w:t>）本评标办法涉及到的业绩合同需在投标文件中附合同复印件并加盖投标人公章，合同复印件至少包括合同首页、建设内容以及签署页，作为加分的依据，若无不得分。</w:t>
      </w:r>
    </w:p>
    <w:p>
      <w:pPr>
        <w:pStyle w:val="19"/>
        <w:spacing w:line="360" w:lineRule="auto"/>
        <w:ind w:firstLine="517" w:firstLineChars="245"/>
        <w:rPr>
          <w:rFonts w:ascii="宋体" w:hAnsi="宋体"/>
          <w:b/>
          <w:bCs/>
          <w:color w:val="000000"/>
          <w:sz w:val="21"/>
          <w:szCs w:val="21"/>
          <w:highlight w:val="none"/>
        </w:rPr>
      </w:pPr>
      <w:r>
        <w:rPr>
          <w:rFonts w:hint="eastAsia" w:ascii="宋体" w:hAnsi="宋体"/>
          <w:b/>
          <w:bCs/>
          <w:color w:val="000000"/>
          <w:sz w:val="21"/>
          <w:szCs w:val="21"/>
          <w:highlight w:val="none"/>
        </w:rPr>
        <w:t>（</w:t>
      </w:r>
      <w:r>
        <w:rPr>
          <w:rFonts w:ascii="宋体" w:hAnsi="宋体"/>
          <w:b/>
          <w:bCs/>
          <w:color w:val="000000"/>
          <w:sz w:val="21"/>
          <w:szCs w:val="21"/>
          <w:highlight w:val="none"/>
        </w:rPr>
        <w:t>2</w:t>
      </w:r>
      <w:r>
        <w:rPr>
          <w:rFonts w:hint="eastAsia" w:ascii="宋体" w:hAnsi="宋体"/>
          <w:b/>
          <w:bCs/>
          <w:color w:val="000000"/>
          <w:sz w:val="21"/>
          <w:szCs w:val="21"/>
          <w:highlight w:val="none"/>
        </w:rPr>
        <w:t>）近三年是指自开标日向前推三年精确到日。</w:t>
      </w:r>
    </w:p>
    <w:p>
      <w:pPr>
        <w:pStyle w:val="19"/>
        <w:spacing w:line="360" w:lineRule="auto"/>
        <w:ind w:firstLine="517" w:firstLineChars="245"/>
        <w:rPr>
          <w:rFonts w:ascii="宋体" w:hAnsi="宋体"/>
          <w:b/>
          <w:bCs/>
          <w:color w:val="000000"/>
          <w:sz w:val="21"/>
          <w:szCs w:val="21"/>
          <w:highlight w:val="none"/>
        </w:rPr>
      </w:pPr>
      <w:r>
        <w:rPr>
          <w:rFonts w:hint="eastAsia" w:ascii="宋体" w:hAnsi="宋体"/>
          <w:b/>
          <w:bCs/>
          <w:color w:val="000000"/>
          <w:sz w:val="21"/>
          <w:szCs w:val="21"/>
          <w:highlight w:val="none"/>
        </w:rPr>
        <w:t>（3）当评标最终得分相同时，以报价低者优先；当评标最终得分和报价均相同时，以技术部分得分高者优先。</w:t>
      </w:r>
    </w:p>
    <w:p>
      <w:pPr>
        <w:pStyle w:val="19"/>
        <w:spacing w:line="360" w:lineRule="auto"/>
        <w:rPr>
          <w:rFonts w:ascii="宋体"/>
          <w:bCs/>
          <w:highlight w:val="none"/>
        </w:rPr>
      </w:pPr>
      <w:r>
        <w:rPr>
          <w:rFonts w:ascii="宋体" w:hAnsi="宋体"/>
          <w:bCs/>
          <w:highlight w:val="none"/>
        </w:rPr>
        <w:br w:type="page"/>
      </w:r>
      <w:r>
        <w:rPr>
          <w:rFonts w:ascii="宋体" w:hAnsi="宋体"/>
          <w:bCs/>
          <w:highlight w:val="none"/>
        </w:rPr>
        <w:t>24.4</w:t>
      </w:r>
      <w:r>
        <w:rPr>
          <w:rFonts w:hint="eastAsia" w:ascii="宋体" w:hAnsi="宋体"/>
          <w:bCs/>
          <w:highlight w:val="none"/>
        </w:rPr>
        <w:t>评标办法说明：支持小微企业发展、节能环保的鼓励优惠政策：</w:t>
      </w:r>
    </w:p>
    <w:p>
      <w:pPr>
        <w:pStyle w:val="19"/>
        <w:spacing w:line="360" w:lineRule="auto"/>
        <w:ind w:firstLine="480" w:firstLineChars="200"/>
        <w:rPr>
          <w:rFonts w:ascii="宋体"/>
          <w:bCs/>
          <w:highlight w:val="none"/>
        </w:rPr>
      </w:pPr>
      <w:r>
        <w:rPr>
          <w:rFonts w:ascii="宋体" w:hAnsi="宋体"/>
          <w:bCs/>
          <w:highlight w:val="none"/>
        </w:rPr>
        <w:t>1</w:t>
      </w:r>
      <w:r>
        <w:rPr>
          <w:rFonts w:hint="eastAsia" w:ascii="宋体" w:hAnsi="宋体"/>
          <w:bCs/>
          <w:highlight w:val="none"/>
        </w:rPr>
        <w:t>、优采强采节能环保产品：</w:t>
      </w:r>
    </w:p>
    <w:p>
      <w:pPr>
        <w:pStyle w:val="19"/>
        <w:spacing w:line="360" w:lineRule="auto"/>
        <w:ind w:firstLine="480" w:firstLineChars="200"/>
        <w:rPr>
          <w:rFonts w:ascii="宋体"/>
          <w:bCs/>
          <w:highlight w:val="none"/>
        </w:rPr>
      </w:pPr>
      <w:r>
        <w:rPr>
          <w:rFonts w:ascii="宋体" w:hAnsi="宋体"/>
          <w:bCs/>
          <w:highlight w:val="none"/>
        </w:rPr>
        <w:t>1)</w:t>
      </w:r>
      <w:r>
        <w:rPr>
          <w:rFonts w:ascii="宋体" w:hAnsi="宋体"/>
          <w:bCs/>
          <w:highlight w:val="none"/>
        </w:rPr>
        <w:tab/>
      </w:r>
      <w:r>
        <w:rPr>
          <w:rFonts w:hint="eastAsia" w:ascii="宋体" w:hAnsi="宋体"/>
          <w:bCs/>
          <w:highlight w:val="none"/>
        </w:rPr>
        <w:t>投标人所投产品属于节能产品清单中强制采购的节能产品，不享受鼓励优惠政策；属于节能产品目录中非强制采用的节能产品，需在资格证明文件中明确，享受鼓励优惠政策。</w:t>
      </w:r>
    </w:p>
    <w:p>
      <w:pPr>
        <w:pStyle w:val="19"/>
        <w:spacing w:line="360" w:lineRule="auto"/>
        <w:ind w:firstLine="480" w:firstLineChars="200"/>
        <w:rPr>
          <w:rFonts w:ascii="宋体"/>
          <w:bCs/>
          <w:highlight w:val="none"/>
        </w:rPr>
      </w:pPr>
      <w:r>
        <w:rPr>
          <w:rFonts w:ascii="宋体" w:hAnsi="宋体"/>
          <w:bCs/>
          <w:highlight w:val="none"/>
        </w:rPr>
        <w:t>2)</w:t>
      </w:r>
      <w:r>
        <w:rPr>
          <w:rFonts w:ascii="宋体" w:hAnsi="宋体"/>
          <w:bCs/>
          <w:highlight w:val="none"/>
        </w:rPr>
        <w:tab/>
      </w:r>
      <w:r>
        <w:rPr>
          <w:rFonts w:hint="eastAsia" w:ascii="宋体" w:hAnsi="宋体"/>
          <w:bCs/>
          <w:highlight w:val="none"/>
        </w:rPr>
        <w:t>投标人在投标文件中对所投产品为节能、环境标志产品清单中的产品，在报价时必须对此类产品单独分项报价（需提供投标明细表，含此类产品的单价、数量及全部节能、环境标志产品价格占总报价的权重），并提供属于政府采购清单内产品的证明资料（需提供加盖公章的环境标志产品政府采购清单官方网站截图及产品目录（财政部、环保部最新一期）、加盖公章的节能产品政府采购清单官方网站截图及产品目录（财政部、国家发改委最新一期）），未提供节能、环境标志产品投标明细表及属于政府采购清单内产品的证明资料的不给予鼓励优惠政策，若节能、环境标志清单内的产品仅是构成报价产品的部件、组件或零件的，则该报价产品不享受鼓励优惠政策。</w:t>
      </w:r>
    </w:p>
    <w:p>
      <w:pPr>
        <w:pStyle w:val="19"/>
        <w:spacing w:line="360" w:lineRule="auto"/>
        <w:ind w:firstLine="480" w:firstLineChars="200"/>
        <w:rPr>
          <w:rFonts w:ascii="宋体"/>
          <w:bCs/>
          <w:highlight w:val="none"/>
        </w:rPr>
      </w:pPr>
      <w:r>
        <w:rPr>
          <w:rFonts w:ascii="宋体" w:hAnsi="宋体"/>
          <w:bCs/>
          <w:highlight w:val="none"/>
        </w:rPr>
        <w:t>3)</w:t>
      </w:r>
      <w:r>
        <w:rPr>
          <w:rFonts w:ascii="宋体" w:hAnsi="宋体"/>
          <w:bCs/>
          <w:highlight w:val="none"/>
        </w:rPr>
        <w:tab/>
      </w:r>
      <w:r>
        <w:rPr>
          <w:rFonts w:hint="eastAsia" w:ascii="宋体" w:hAnsi="宋体"/>
          <w:bCs/>
          <w:highlight w:val="none"/>
        </w:rPr>
        <w:t>在价格评标项中，对节能、环保产品分别给予价格评标总分值</w:t>
      </w:r>
      <w:r>
        <w:rPr>
          <w:rFonts w:ascii="宋体" w:hAnsi="宋体"/>
          <w:bCs/>
          <w:highlight w:val="none"/>
        </w:rPr>
        <w:t>5%</w:t>
      </w:r>
      <w:r>
        <w:rPr>
          <w:rFonts w:hint="eastAsia" w:ascii="宋体" w:hAnsi="宋体"/>
          <w:bCs/>
          <w:highlight w:val="none"/>
        </w:rPr>
        <w:t>的加分，加分公式如下：加分</w:t>
      </w:r>
      <w:r>
        <w:rPr>
          <w:rFonts w:ascii="宋体" w:hAnsi="宋体"/>
          <w:bCs/>
          <w:highlight w:val="none"/>
        </w:rPr>
        <w:t>=</w:t>
      </w:r>
      <w:r>
        <w:rPr>
          <w:rFonts w:hint="eastAsia" w:ascii="宋体" w:hAnsi="宋体"/>
          <w:bCs/>
          <w:highlight w:val="none"/>
        </w:rPr>
        <w:t>价格评标总分值×</w:t>
      </w:r>
      <w:r>
        <w:rPr>
          <w:rFonts w:ascii="宋体" w:hAnsi="宋体"/>
          <w:bCs/>
          <w:highlight w:val="none"/>
        </w:rPr>
        <w:t>5%</w:t>
      </w:r>
      <w:r>
        <w:rPr>
          <w:rFonts w:hint="eastAsia" w:ascii="宋体" w:hAnsi="宋体"/>
          <w:bCs/>
          <w:highlight w:val="none"/>
        </w:rPr>
        <w:t>×节能、环保产品价格在总报价中所占权重；</w:t>
      </w:r>
    </w:p>
    <w:p>
      <w:pPr>
        <w:pStyle w:val="19"/>
        <w:spacing w:line="360" w:lineRule="auto"/>
        <w:ind w:firstLine="480" w:firstLineChars="200"/>
        <w:rPr>
          <w:rFonts w:ascii="宋体"/>
          <w:bCs/>
          <w:highlight w:val="none"/>
        </w:rPr>
      </w:pPr>
      <w:r>
        <w:rPr>
          <w:rFonts w:ascii="宋体" w:hAnsi="宋体"/>
          <w:bCs/>
          <w:highlight w:val="none"/>
        </w:rPr>
        <w:t xml:space="preserve">4) </w:t>
      </w:r>
      <w:r>
        <w:rPr>
          <w:rFonts w:hint="eastAsia" w:ascii="宋体" w:hAnsi="宋体"/>
          <w:bCs/>
          <w:highlight w:val="none"/>
        </w:rPr>
        <w:t>在技术评标项中，对节能、环保产品分别给予技术评标总分值</w:t>
      </w:r>
      <w:r>
        <w:rPr>
          <w:rFonts w:ascii="宋体" w:hAnsi="宋体"/>
          <w:bCs/>
          <w:highlight w:val="none"/>
        </w:rPr>
        <w:t>5%</w:t>
      </w:r>
      <w:r>
        <w:rPr>
          <w:rFonts w:hint="eastAsia" w:ascii="宋体" w:hAnsi="宋体"/>
          <w:bCs/>
          <w:highlight w:val="none"/>
        </w:rPr>
        <w:t>的加分，加分公式如下：加分</w:t>
      </w:r>
      <w:r>
        <w:rPr>
          <w:rFonts w:ascii="宋体" w:hAnsi="宋体"/>
          <w:bCs/>
          <w:highlight w:val="none"/>
        </w:rPr>
        <w:t>=</w:t>
      </w:r>
      <w:r>
        <w:rPr>
          <w:rFonts w:hint="eastAsia" w:ascii="宋体" w:hAnsi="宋体"/>
          <w:bCs/>
          <w:highlight w:val="none"/>
        </w:rPr>
        <w:t>技术评标总分值×</w:t>
      </w:r>
      <w:r>
        <w:rPr>
          <w:rFonts w:ascii="宋体" w:hAnsi="宋体"/>
          <w:bCs/>
          <w:highlight w:val="none"/>
        </w:rPr>
        <w:t>5%</w:t>
      </w:r>
      <w:r>
        <w:rPr>
          <w:rFonts w:hint="eastAsia" w:ascii="宋体" w:hAnsi="宋体"/>
          <w:bCs/>
          <w:highlight w:val="none"/>
        </w:rPr>
        <w:t>×节能、环保产品价格在总报价中所占权重。</w:t>
      </w:r>
    </w:p>
    <w:p>
      <w:pPr>
        <w:pStyle w:val="19"/>
        <w:spacing w:line="360" w:lineRule="auto"/>
        <w:ind w:firstLine="480" w:firstLineChars="200"/>
        <w:rPr>
          <w:rFonts w:ascii="宋体"/>
          <w:bCs/>
          <w:highlight w:val="none"/>
        </w:rPr>
      </w:pPr>
      <w:r>
        <w:rPr>
          <w:rFonts w:ascii="宋体" w:hAnsi="宋体"/>
          <w:bCs/>
          <w:highlight w:val="none"/>
        </w:rPr>
        <w:t>2</w:t>
      </w:r>
      <w:r>
        <w:rPr>
          <w:rFonts w:hint="eastAsia" w:ascii="宋体" w:hAnsi="宋体"/>
          <w:bCs/>
          <w:highlight w:val="none"/>
        </w:rPr>
        <w:t>、小微企业</w:t>
      </w:r>
    </w:p>
    <w:p>
      <w:pPr>
        <w:pStyle w:val="19"/>
        <w:spacing w:line="360" w:lineRule="auto"/>
        <w:ind w:firstLine="480" w:firstLineChars="200"/>
        <w:rPr>
          <w:rFonts w:ascii="宋体"/>
          <w:bCs/>
          <w:highlight w:val="none"/>
        </w:rPr>
      </w:pPr>
      <w:r>
        <w:rPr>
          <w:rFonts w:ascii="宋体" w:hAnsi="宋体"/>
          <w:bCs/>
          <w:highlight w:val="none"/>
        </w:rPr>
        <w:t xml:space="preserve">1) </w:t>
      </w:r>
      <w:r>
        <w:rPr>
          <w:rFonts w:hint="eastAsia" w:ascii="宋体" w:hAnsi="宋体"/>
          <w:bCs/>
          <w:highlight w:val="none"/>
        </w:rPr>
        <w:t>投标人如属小微企业，产品价格需扣除的，须按照工信部联企业</w:t>
      </w:r>
      <w:r>
        <w:rPr>
          <w:rFonts w:ascii="宋体" w:hAnsi="宋体"/>
          <w:bCs/>
          <w:highlight w:val="none"/>
        </w:rPr>
        <w:t>[2011]300</w:t>
      </w:r>
      <w:r>
        <w:rPr>
          <w:rFonts w:hint="eastAsia" w:ascii="宋体" w:hAnsi="宋体"/>
          <w:bCs/>
          <w:highlight w:val="none"/>
        </w:rPr>
        <w:t>号文《关于印发中小企业划型标准规定的通知》及财政部、工信部等部委发布的《政府采购促进中小企业发展暂行办法》的规定需提供企业所在地县级以上中小企业主管部门出具的小微企业证明、《小微企业声明函》、《从业人员声明函》，否则评标时不予承认；</w:t>
      </w:r>
    </w:p>
    <w:p>
      <w:pPr>
        <w:pStyle w:val="19"/>
        <w:spacing w:line="360" w:lineRule="auto"/>
        <w:ind w:firstLine="480" w:firstLineChars="200"/>
        <w:rPr>
          <w:rFonts w:ascii="宋体"/>
          <w:bCs/>
          <w:highlight w:val="none"/>
        </w:rPr>
      </w:pPr>
      <w:r>
        <w:rPr>
          <w:rFonts w:ascii="宋体" w:hAnsi="宋体"/>
          <w:bCs/>
          <w:highlight w:val="none"/>
        </w:rPr>
        <w:t>2)</w:t>
      </w:r>
      <w:r>
        <w:rPr>
          <w:rFonts w:hint="eastAsia" w:ascii="宋体" w:hAnsi="宋体"/>
          <w:bCs/>
          <w:highlight w:val="none"/>
        </w:rPr>
        <w:t>投标人所投产品中全部为小微企业产品，给予</w:t>
      </w:r>
      <w:r>
        <w:rPr>
          <w:rFonts w:ascii="宋体" w:hAnsi="宋体"/>
          <w:bCs/>
          <w:highlight w:val="none"/>
        </w:rPr>
        <w:t>6%</w:t>
      </w:r>
      <w:r>
        <w:rPr>
          <w:rFonts w:hint="eastAsia" w:ascii="宋体" w:hAnsi="宋体"/>
          <w:bCs/>
          <w:highlight w:val="none"/>
        </w:rPr>
        <w:t>的价格扣除；所投产品中部分为小微企业产品，小微企业产品金额占合同金额</w:t>
      </w:r>
      <w:r>
        <w:rPr>
          <w:rFonts w:ascii="宋体" w:hAnsi="宋体"/>
          <w:bCs/>
          <w:highlight w:val="none"/>
        </w:rPr>
        <w:t>30%</w:t>
      </w:r>
      <w:r>
        <w:rPr>
          <w:rFonts w:hint="eastAsia" w:ascii="宋体" w:hAnsi="宋体"/>
          <w:bCs/>
          <w:highlight w:val="none"/>
        </w:rPr>
        <w:t>以下的不给予价格扣除，小微企业产品金额占合同金额</w:t>
      </w:r>
      <w:r>
        <w:rPr>
          <w:rFonts w:ascii="宋体" w:hAnsi="宋体"/>
          <w:bCs/>
          <w:highlight w:val="none"/>
        </w:rPr>
        <w:t>30%</w:t>
      </w:r>
      <w:r>
        <w:rPr>
          <w:rFonts w:hint="eastAsia" w:ascii="宋体" w:hAnsi="宋体"/>
          <w:bCs/>
          <w:highlight w:val="none"/>
        </w:rPr>
        <w:t>以上的给予</w:t>
      </w:r>
      <w:r>
        <w:rPr>
          <w:rFonts w:ascii="宋体" w:hAnsi="宋体"/>
          <w:bCs/>
          <w:highlight w:val="none"/>
        </w:rPr>
        <w:t>2%</w:t>
      </w:r>
      <w:r>
        <w:rPr>
          <w:rFonts w:hint="eastAsia" w:ascii="宋体" w:hAnsi="宋体"/>
          <w:bCs/>
          <w:highlight w:val="none"/>
        </w:rPr>
        <w:t>的价格扣除；</w:t>
      </w:r>
    </w:p>
    <w:p>
      <w:pPr>
        <w:pStyle w:val="19"/>
        <w:spacing w:line="360" w:lineRule="auto"/>
        <w:ind w:firstLine="480" w:firstLineChars="200"/>
        <w:rPr>
          <w:rFonts w:ascii="宋体"/>
          <w:bCs/>
          <w:highlight w:val="none"/>
        </w:rPr>
      </w:pPr>
      <w:r>
        <w:rPr>
          <w:rFonts w:ascii="宋体" w:hAnsi="宋体"/>
          <w:bCs/>
          <w:highlight w:val="none"/>
        </w:rPr>
        <w:t>3)</w:t>
      </w:r>
      <w:r>
        <w:rPr>
          <w:rFonts w:hint="eastAsia" w:ascii="宋体" w:hAnsi="宋体"/>
          <w:bCs/>
          <w:highlight w:val="none"/>
        </w:rPr>
        <w:t>根据《财政部司法部关于政府采购支持监狱企业发展有关问题的通知》（财库【</w:t>
      </w:r>
      <w:r>
        <w:rPr>
          <w:rFonts w:ascii="宋体" w:hAnsi="宋体"/>
          <w:bCs/>
          <w:highlight w:val="none"/>
        </w:rPr>
        <w:t>2014</w:t>
      </w:r>
      <w:r>
        <w:rPr>
          <w:rFonts w:hint="eastAsia" w:ascii="宋体" w:hAnsi="宋体"/>
          <w:bCs/>
          <w:highlight w:val="none"/>
        </w:rPr>
        <w:t>】</w:t>
      </w:r>
      <w:r>
        <w:rPr>
          <w:rFonts w:ascii="宋体" w:hAnsi="宋体"/>
          <w:bCs/>
          <w:highlight w:val="none"/>
        </w:rPr>
        <w:t xml:space="preserve">68 </w:t>
      </w:r>
      <w:r>
        <w:rPr>
          <w:rFonts w:hint="eastAsia" w:ascii="宋体" w:hAnsi="宋体"/>
          <w:bCs/>
          <w:highlight w:val="none"/>
        </w:rPr>
        <w:t>号）文件规定，在政府采购活动中，监狱企业视同小型、微型企业，享受评标中价格扣除的政府采购政策；</w:t>
      </w:r>
    </w:p>
    <w:p>
      <w:pPr>
        <w:pStyle w:val="19"/>
        <w:spacing w:line="360" w:lineRule="auto"/>
        <w:ind w:firstLine="480" w:firstLineChars="200"/>
        <w:rPr>
          <w:rFonts w:ascii="宋体"/>
          <w:bCs/>
          <w:highlight w:val="none"/>
        </w:rPr>
      </w:pPr>
      <w:r>
        <w:rPr>
          <w:rFonts w:ascii="宋体" w:hAnsi="宋体"/>
          <w:bCs/>
          <w:highlight w:val="none"/>
        </w:rPr>
        <w:t>4)</w:t>
      </w:r>
      <w:r>
        <w:rPr>
          <w:rFonts w:hint="eastAsia" w:ascii="宋体" w:hAnsi="宋体"/>
          <w:bCs/>
          <w:highlight w:val="none"/>
        </w:rPr>
        <w:t>如投标人为监狱企业，须提供省级以上监狱管理局、戒毒管理局（含新疆生产建设兵团）出具的属于监狱企业的证明文件，否则评标时不予承认；</w:t>
      </w:r>
    </w:p>
    <w:p>
      <w:pPr>
        <w:pStyle w:val="19"/>
        <w:spacing w:line="360" w:lineRule="auto"/>
        <w:ind w:firstLine="480" w:firstLineChars="200"/>
        <w:rPr>
          <w:rFonts w:ascii="宋体"/>
          <w:bCs/>
          <w:highlight w:val="none"/>
        </w:rPr>
      </w:pPr>
      <w:r>
        <w:rPr>
          <w:rFonts w:ascii="宋体" w:hAnsi="宋体"/>
          <w:bCs/>
          <w:highlight w:val="none"/>
        </w:rPr>
        <w:t>5)</w:t>
      </w:r>
      <w:r>
        <w:rPr>
          <w:rFonts w:hint="eastAsia" w:ascii="宋体" w:hAnsi="宋体"/>
          <w:bCs/>
          <w:highlight w:val="none"/>
        </w:rPr>
        <w:t>小型、微型企业提供中型及以上企业制造的货物的，视同为中型及以上企业；</w:t>
      </w:r>
    </w:p>
    <w:p>
      <w:pPr>
        <w:pStyle w:val="19"/>
        <w:spacing w:line="360" w:lineRule="auto"/>
        <w:ind w:firstLine="480" w:firstLineChars="200"/>
        <w:rPr>
          <w:rFonts w:ascii="宋体"/>
          <w:bCs/>
          <w:highlight w:val="none"/>
        </w:rPr>
      </w:pPr>
      <w:r>
        <w:rPr>
          <w:rFonts w:ascii="宋体" w:hAnsi="宋体"/>
          <w:bCs/>
          <w:highlight w:val="none"/>
        </w:rPr>
        <w:t>6)</w:t>
      </w:r>
      <w:r>
        <w:rPr>
          <w:rFonts w:hint="eastAsia" w:ascii="宋体" w:hAnsi="宋体"/>
          <w:bCs/>
          <w:highlight w:val="none"/>
        </w:rPr>
        <w:t>给予小型和微型企业产品的价格</w:t>
      </w:r>
      <w:r>
        <w:rPr>
          <w:rFonts w:ascii="宋体" w:hAnsi="宋体"/>
          <w:bCs/>
          <w:highlight w:val="none"/>
        </w:rPr>
        <w:t>6%</w:t>
      </w:r>
      <w:r>
        <w:rPr>
          <w:rFonts w:hint="eastAsia" w:ascii="宋体" w:hAnsi="宋体"/>
          <w:bCs/>
          <w:highlight w:val="none"/>
        </w:rPr>
        <w:t>的扣除；计算方法是：</w:t>
      </w:r>
    </w:p>
    <w:p>
      <w:pPr>
        <w:pStyle w:val="19"/>
        <w:spacing w:line="360" w:lineRule="auto"/>
        <w:ind w:firstLine="480" w:firstLineChars="200"/>
        <w:rPr>
          <w:rFonts w:ascii="宋体"/>
          <w:bCs/>
          <w:highlight w:val="none"/>
        </w:rPr>
      </w:pPr>
      <w:r>
        <w:rPr>
          <w:rFonts w:hint="eastAsia" w:ascii="宋体" w:hAnsi="宋体"/>
          <w:bCs/>
          <w:highlight w:val="none"/>
        </w:rPr>
        <w:t>最终价格＝报价×</w:t>
      </w:r>
      <w:r>
        <w:rPr>
          <w:rFonts w:ascii="宋体" w:hAnsi="宋体"/>
          <w:bCs/>
          <w:highlight w:val="none"/>
        </w:rPr>
        <w:t>94%</w:t>
      </w:r>
      <w:r>
        <w:rPr>
          <w:rFonts w:hint="eastAsia" w:ascii="宋体" w:hAnsi="宋体"/>
          <w:bCs/>
          <w:highlight w:val="none"/>
        </w:rPr>
        <w:t>，按照最终价格计算其价格分得分。</w:t>
      </w:r>
    </w:p>
    <w:p>
      <w:pPr>
        <w:pStyle w:val="19"/>
        <w:spacing w:line="360" w:lineRule="auto"/>
        <w:ind w:firstLine="480" w:firstLineChars="200"/>
        <w:rPr>
          <w:rFonts w:ascii="宋体"/>
          <w:bCs/>
          <w:highlight w:val="none"/>
        </w:rPr>
      </w:pPr>
      <w:r>
        <w:rPr>
          <w:rFonts w:hint="eastAsia" w:ascii="宋体" w:hAnsi="宋体"/>
          <w:bCs/>
          <w:highlight w:val="none"/>
        </w:rPr>
        <w:t>报价时，投标人须提供企业所在地的县级以上中小企业主管部门出具的证明文件和《小微企业声明函》原件（代理商报价的，还须提供代理商所在地的县级以上中小企业主管部门出具的证明文件和《小微企业声明函》原件），否则不给予价格扣除。</w:t>
      </w:r>
    </w:p>
    <w:p>
      <w:pPr>
        <w:pStyle w:val="19"/>
        <w:spacing w:line="360" w:lineRule="auto"/>
        <w:ind w:firstLine="480" w:firstLineChars="200"/>
        <w:rPr>
          <w:rFonts w:ascii="宋体"/>
          <w:bCs/>
          <w:highlight w:val="none"/>
        </w:rPr>
      </w:pPr>
      <w:r>
        <w:rPr>
          <w:rFonts w:ascii="宋体" w:hAnsi="宋体"/>
          <w:bCs/>
          <w:highlight w:val="none"/>
        </w:rPr>
        <w:t>3</w:t>
      </w:r>
      <w:r>
        <w:rPr>
          <w:rFonts w:hint="eastAsia" w:ascii="宋体" w:hAnsi="宋体"/>
          <w:bCs/>
          <w:highlight w:val="none"/>
        </w:rPr>
        <w:t>、监狱企业</w:t>
      </w:r>
    </w:p>
    <w:p>
      <w:pPr>
        <w:pStyle w:val="19"/>
        <w:spacing w:line="360" w:lineRule="auto"/>
        <w:ind w:firstLine="480" w:firstLineChars="200"/>
        <w:rPr>
          <w:rFonts w:ascii="宋体"/>
          <w:bCs/>
          <w:highlight w:val="none"/>
        </w:rPr>
      </w:pPr>
      <w:r>
        <w:rPr>
          <w:rFonts w:ascii="宋体" w:hAnsi="宋体"/>
          <w:bCs/>
          <w:highlight w:val="none"/>
        </w:rPr>
        <w:t>1)</w:t>
      </w:r>
      <w:r>
        <w:rPr>
          <w:rFonts w:ascii="宋体" w:hAnsi="宋体"/>
          <w:bCs/>
          <w:highlight w:val="none"/>
        </w:rPr>
        <w:tab/>
      </w:r>
      <w:r>
        <w:rPr>
          <w:rFonts w:hint="eastAsia" w:ascii="宋体" w:hAnsi="宋体"/>
          <w:bCs/>
          <w:highlight w:val="none"/>
        </w:rPr>
        <w:t>给予监狱企业产品的价格</w:t>
      </w:r>
      <w:r>
        <w:rPr>
          <w:rFonts w:ascii="宋体" w:hAnsi="宋体"/>
          <w:bCs/>
          <w:highlight w:val="none"/>
        </w:rPr>
        <w:t>6%</w:t>
      </w:r>
      <w:r>
        <w:rPr>
          <w:rFonts w:hint="eastAsia" w:ascii="宋体" w:hAnsi="宋体"/>
          <w:bCs/>
          <w:highlight w:val="none"/>
        </w:rPr>
        <w:t>的扣除；计算方法是：</w:t>
      </w:r>
    </w:p>
    <w:p>
      <w:pPr>
        <w:pStyle w:val="19"/>
        <w:spacing w:line="360" w:lineRule="auto"/>
        <w:ind w:firstLine="480" w:firstLineChars="200"/>
        <w:rPr>
          <w:rFonts w:ascii="宋体"/>
          <w:bCs/>
          <w:highlight w:val="none"/>
        </w:rPr>
      </w:pPr>
      <w:r>
        <w:rPr>
          <w:rFonts w:hint="eastAsia" w:ascii="宋体" w:hAnsi="宋体"/>
          <w:bCs/>
          <w:highlight w:val="none"/>
        </w:rPr>
        <w:t>最终价格＝报价×</w:t>
      </w:r>
      <w:r>
        <w:rPr>
          <w:rFonts w:ascii="宋体" w:hAnsi="宋体"/>
          <w:bCs/>
          <w:highlight w:val="none"/>
        </w:rPr>
        <w:t>94%</w:t>
      </w:r>
      <w:r>
        <w:rPr>
          <w:rFonts w:hint="eastAsia" w:ascii="宋体" w:hAnsi="宋体"/>
          <w:bCs/>
          <w:highlight w:val="none"/>
        </w:rPr>
        <w:t>，按照最终价格计算其价格分得分。</w:t>
      </w:r>
    </w:p>
    <w:p>
      <w:pPr>
        <w:pStyle w:val="19"/>
        <w:spacing w:line="360" w:lineRule="auto"/>
        <w:ind w:firstLine="480" w:firstLineChars="200"/>
        <w:rPr>
          <w:rFonts w:ascii="宋体"/>
          <w:bCs/>
          <w:highlight w:val="none"/>
        </w:rPr>
      </w:pPr>
      <w:r>
        <w:rPr>
          <w:rFonts w:ascii="宋体" w:hAnsi="宋体"/>
          <w:bCs/>
          <w:highlight w:val="none"/>
        </w:rPr>
        <w:t>4</w:t>
      </w:r>
      <w:r>
        <w:rPr>
          <w:rFonts w:hint="eastAsia" w:ascii="宋体" w:hAnsi="宋体"/>
          <w:bCs/>
          <w:highlight w:val="none"/>
        </w:rPr>
        <w:t>、残疾人福利性单位</w:t>
      </w:r>
    </w:p>
    <w:p>
      <w:pPr>
        <w:pStyle w:val="19"/>
        <w:spacing w:line="360" w:lineRule="auto"/>
        <w:ind w:firstLine="480" w:firstLineChars="200"/>
        <w:rPr>
          <w:rFonts w:ascii="宋体"/>
          <w:bCs/>
          <w:highlight w:val="none"/>
        </w:rPr>
      </w:pPr>
      <w:r>
        <w:rPr>
          <w:rFonts w:hint="eastAsia" w:ascii="宋体" w:hAnsi="宋体"/>
          <w:bCs/>
          <w:highlight w:val="none"/>
        </w:rPr>
        <w:t>根据《财政部</w:t>
      </w:r>
      <w:r>
        <w:rPr>
          <w:rFonts w:ascii="宋体" w:hAnsi="宋体"/>
          <w:bCs/>
          <w:highlight w:val="none"/>
        </w:rPr>
        <w:t xml:space="preserve"> </w:t>
      </w:r>
      <w:r>
        <w:rPr>
          <w:rFonts w:hint="eastAsia" w:ascii="宋体" w:hAnsi="宋体"/>
          <w:bCs/>
          <w:highlight w:val="none"/>
        </w:rPr>
        <w:t>民政部</w:t>
      </w:r>
      <w:r>
        <w:rPr>
          <w:rFonts w:ascii="宋体" w:hAnsi="宋体"/>
          <w:bCs/>
          <w:highlight w:val="none"/>
        </w:rPr>
        <w:t xml:space="preserve"> </w:t>
      </w:r>
      <w:r>
        <w:rPr>
          <w:rFonts w:hint="eastAsia" w:ascii="宋体" w:hAnsi="宋体"/>
          <w:bCs/>
          <w:highlight w:val="none"/>
        </w:rPr>
        <w:t>中国残疾人联合会关于促进残疾人就业政府采购政策的通知》（财库〔</w:t>
      </w:r>
      <w:r>
        <w:rPr>
          <w:rFonts w:ascii="宋体" w:hAnsi="宋体"/>
          <w:bCs/>
          <w:highlight w:val="none"/>
        </w:rPr>
        <w:t>2018</w:t>
      </w:r>
      <w:r>
        <w:rPr>
          <w:rFonts w:hint="eastAsia" w:ascii="宋体" w:hAnsi="宋体"/>
          <w:bCs/>
          <w:highlight w:val="none"/>
        </w:rPr>
        <w:t>〕</w:t>
      </w:r>
      <w:r>
        <w:rPr>
          <w:rFonts w:ascii="宋体" w:hAnsi="宋体"/>
          <w:bCs/>
          <w:highlight w:val="none"/>
        </w:rPr>
        <w:t>141</w:t>
      </w:r>
      <w:r>
        <w:rPr>
          <w:rFonts w:hint="eastAsia" w:ascii="宋体" w:hAnsi="宋体"/>
          <w:bCs/>
          <w:highlight w:val="none"/>
        </w:rPr>
        <w:t>号）的规定，残疾人福利性单位视同小型、微型企业，给予价格</w:t>
      </w:r>
      <w:r>
        <w:rPr>
          <w:rFonts w:ascii="宋体" w:hAnsi="宋体"/>
          <w:bCs/>
          <w:highlight w:val="none"/>
        </w:rPr>
        <w:t>6%</w:t>
      </w:r>
      <w:r>
        <w:rPr>
          <w:rFonts w:hint="eastAsia" w:ascii="宋体" w:hAnsi="宋体"/>
          <w:bCs/>
          <w:highlight w:val="none"/>
        </w:rPr>
        <w:t>的扣除；计算方法是：最终价格＝报价×</w:t>
      </w:r>
      <w:r>
        <w:rPr>
          <w:rFonts w:ascii="宋体" w:hAnsi="宋体"/>
          <w:bCs/>
          <w:highlight w:val="none"/>
        </w:rPr>
        <w:t>94%</w:t>
      </w:r>
      <w:r>
        <w:rPr>
          <w:rFonts w:hint="eastAsia" w:ascii="宋体" w:hAnsi="宋体"/>
          <w:bCs/>
          <w:highlight w:val="none"/>
        </w:rPr>
        <w:t>，按照最终价格计算其价格分得分。</w:t>
      </w:r>
    </w:p>
    <w:p>
      <w:pPr>
        <w:pStyle w:val="19"/>
        <w:numPr>
          <w:ilvl w:val="0"/>
          <w:numId w:val="3"/>
        </w:numPr>
        <w:spacing w:line="360" w:lineRule="auto"/>
        <w:ind w:firstLine="480" w:firstLineChars="200"/>
        <w:rPr>
          <w:rFonts w:ascii="宋体"/>
          <w:bCs/>
          <w:highlight w:val="none"/>
        </w:rPr>
      </w:pPr>
      <w:r>
        <w:rPr>
          <w:rFonts w:hint="eastAsia" w:ascii="宋体" w:hAnsi="宋体"/>
          <w:bCs/>
          <w:highlight w:val="none"/>
        </w:rPr>
        <w:t>单价招标的项目中具有节能、环保、小微企业生产的产品权重计算方式：以具有节能、环保、小微企业生产的产品的单价之和与全部单价之和计算其权重。</w:t>
      </w:r>
    </w:p>
    <w:p>
      <w:pPr>
        <w:pStyle w:val="19"/>
        <w:spacing w:line="360" w:lineRule="auto"/>
        <w:rPr>
          <w:rFonts w:ascii="宋体"/>
          <w:bCs/>
          <w:highlight w:val="none"/>
        </w:rPr>
      </w:pPr>
      <w:r>
        <w:rPr>
          <w:rFonts w:ascii="宋体" w:hAnsi="宋体"/>
          <w:bCs/>
          <w:highlight w:val="none"/>
        </w:rPr>
        <w:t xml:space="preserve">   24.5 </w:t>
      </w:r>
      <w:r>
        <w:rPr>
          <w:rFonts w:hint="eastAsia" w:ascii="宋体" w:hAnsi="宋体"/>
          <w:bCs/>
          <w:highlight w:val="none"/>
        </w:rPr>
        <w:t>无论在评标过程中或其他任何时侯发现下列情形之一的，投标将被拒绝，若中标，则无效。招标代理有权依法追究投标人的法律责任。</w:t>
      </w:r>
    </w:p>
    <w:p>
      <w:pPr>
        <w:pStyle w:val="19"/>
        <w:spacing w:line="360" w:lineRule="auto"/>
        <w:ind w:firstLine="480" w:firstLineChars="200"/>
        <w:rPr>
          <w:rFonts w:ascii="宋体"/>
          <w:bCs/>
          <w:highlight w:val="none"/>
        </w:rPr>
      </w:pPr>
      <w:r>
        <w:rPr>
          <w:rFonts w:ascii="宋体" w:hAnsi="宋体"/>
          <w:bCs/>
          <w:highlight w:val="none"/>
        </w:rPr>
        <w:t xml:space="preserve">1) </w:t>
      </w:r>
      <w:r>
        <w:rPr>
          <w:rFonts w:hint="eastAsia" w:ascii="宋体" w:hAnsi="宋体"/>
          <w:bCs/>
          <w:highlight w:val="none"/>
        </w:rPr>
        <w:t>提供虚假材料谋取中标的；</w:t>
      </w:r>
    </w:p>
    <w:p>
      <w:pPr>
        <w:pStyle w:val="19"/>
        <w:spacing w:line="360" w:lineRule="auto"/>
        <w:ind w:firstLine="480" w:firstLineChars="200"/>
        <w:rPr>
          <w:rFonts w:ascii="宋体"/>
          <w:bCs/>
          <w:highlight w:val="none"/>
        </w:rPr>
      </w:pPr>
      <w:r>
        <w:rPr>
          <w:rFonts w:ascii="宋体" w:hAnsi="宋体"/>
          <w:bCs/>
          <w:highlight w:val="none"/>
        </w:rPr>
        <w:t xml:space="preserve">2) </w:t>
      </w:r>
      <w:r>
        <w:rPr>
          <w:rFonts w:hint="eastAsia" w:ascii="宋体" w:hAnsi="宋体"/>
          <w:bCs/>
          <w:highlight w:val="none"/>
        </w:rPr>
        <w:t>采取不正当手段诋毁、排挤其他投标人的；</w:t>
      </w:r>
    </w:p>
    <w:p>
      <w:pPr>
        <w:pStyle w:val="19"/>
        <w:spacing w:line="360" w:lineRule="auto"/>
        <w:ind w:firstLine="480" w:firstLineChars="200"/>
        <w:rPr>
          <w:rFonts w:ascii="宋体"/>
          <w:bCs/>
          <w:highlight w:val="none"/>
        </w:rPr>
      </w:pPr>
      <w:r>
        <w:rPr>
          <w:rFonts w:ascii="宋体" w:hAnsi="宋体"/>
          <w:bCs/>
          <w:highlight w:val="none"/>
        </w:rPr>
        <w:t xml:space="preserve">3) </w:t>
      </w:r>
      <w:r>
        <w:rPr>
          <w:rFonts w:hint="eastAsia" w:ascii="宋体" w:hAnsi="宋体"/>
          <w:bCs/>
          <w:highlight w:val="none"/>
        </w:rPr>
        <w:t>恶意串通投标的；</w:t>
      </w:r>
    </w:p>
    <w:p>
      <w:pPr>
        <w:pStyle w:val="19"/>
        <w:spacing w:line="360" w:lineRule="auto"/>
        <w:ind w:firstLine="480" w:firstLineChars="200"/>
        <w:rPr>
          <w:rFonts w:ascii="宋体"/>
          <w:bCs/>
          <w:highlight w:val="none"/>
        </w:rPr>
      </w:pPr>
      <w:r>
        <w:rPr>
          <w:rFonts w:ascii="宋体" w:hAnsi="宋体"/>
          <w:bCs/>
          <w:highlight w:val="none"/>
        </w:rPr>
        <w:t xml:space="preserve">4) </w:t>
      </w:r>
      <w:r>
        <w:rPr>
          <w:rFonts w:hint="eastAsia" w:ascii="宋体" w:hAnsi="宋体"/>
          <w:bCs/>
          <w:highlight w:val="none"/>
        </w:rPr>
        <w:t>其他任何有企图影响招标结果公正性的活动。</w:t>
      </w:r>
    </w:p>
    <w:p>
      <w:pPr>
        <w:pStyle w:val="19"/>
        <w:spacing w:line="360" w:lineRule="auto"/>
        <w:ind w:firstLine="480" w:firstLineChars="200"/>
        <w:rPr>
          <w:rFonts w:ascii="宋体"/>
          <w:bCs/>
          <w:highlight w:val="none"/>
        </w:rPr>
      </w:pPr>
      <w:r>
        <w:rPr>
          <w:rFonts w:hint="eastAsia" w:ascii="宋体" w:hAnsi="宋体"/>
          <w:bCs/>
          <w:highlight w:val="none"/>
        </w:rPr>
        <w:t>经初审合格的投标文件，评标委员会将根据招标文件确定的评标方法做进一步评定。</w:t>
      </w:r>
    </w:p>
    <w:p>
      <w:pPr>
        <w:pStyle w:val="19"/>
        <w:spacing w:line="360" w:lineRule="auto"/>
        <w:ind w:firstLine="480" w:firstLineChars="200"/>
        <w:rPr>
          <w:rFonts w:ascii="宋体"/>
          <w:bCs/>
          <w:highlight w:val="none"/>
        </w:rPr>
      </w:pPr>
      <w:r>
        <w:rPr>
          <w:rFonts w:ascii="宋体" w:hAnsi="宋体"/>
          <w:bCs/>
          <w:highlight w:val="none"/>
        </w:rPr>
        <w:t xml:space="preserve">25.  </w:t>
      </w:r>
      <w:r>
        <w:rPr>
          <w:rFonts w:hint="eastAsia" w:ascii="宋体" w:hAnsi="宋体"/>
          <w:bCs/>
          <w:highlight w:val="none"/>
        </w:rPr>
        <w:t>确定中标候选人</w:t>
      </w:r>
    </w:p>
    <w:p>
      <w:pPr>
        <w:pStyle w:val="19"/>
        <w:spacing w:line="360" w:lineRule="auto"/>
        <w:ind w:firstLine="480" w:firstLineChars="200"/>
        <w:rPr>
          <w:rFonts w:ascii="宋体"/>
          <w:bCs/>
          <w:highlight w:val="none"/>
        </w:rPr>
      </w:pPr>
      <w:r>
        <w:rPr>
          <w:rFonts w:hint="eastAsia" w:ascii="宋体" w:hAnsi="宋体"/>
          <w:bCs/>
          <w:highlight w:val="none"/>
        </w:rPr>
        <w:t>评标委员会推荐综合排序第一的投标人定为第一中标候选人，排序第二的投标人为第二中标候选人，排序第三的投标人为第三中标候选人，并提出评标书面报告和推荐中标意见报招标人审批确认。</w:t>
      </w:r>
    </w:p>
    <w:p>
      <w:pPr>
        <w:pStyle w:val="19"/>
        <w:spacing w:line="360" w:lineRule="auto"/>
        <w:ind w:left="571" w:leftChars="272"/>
        <w:rPr>
          <w:rFonts w:ascii="宋体"/>
          <w:bCs/>
          <w:highlight w:val="none"/>
        </w:rPr>
      </w:pPr>
      <w:r>
        <w:rPr>
          <w:rFonts w:ascii="宋体" w:hAnsi="宋体"/>
          <w:bCs/>
          <w:highlight w:val="none"/>
        </w:rPr>
        <w:t xml:space="preserve">26.  </w:t>
      </w:r>
      <w:r>
        <w:rPr>
          <w:rFonts w:hint="eastAsia" w:ascii="宋体" w:hAnsi="宋体"/>
          <w:bCs/>
          <w:highlight w:val="none"/>
        </w:rPr>
        <w:t>评标过程保密</w:t>
      </w:r>
    </w:p>
    <w:p>
      <w:pPr>
        <w:pStyle w:val="19"/>
        <w:spacing w:line="360" w:lineRule="auto"/>
        <w:ind w:firstLine="600" w:firstLineChars="250"/>
        <w:rPr>
          <w:rFonts w:ascii="宋体"/>
          <w:bCs/>
          <w:highlight w:val="none"/>
        </w:rPr>
      </w:pPr>
      <w:r>
        <w:rPr>
          <w:rFonts w:hint="eastAsia" w:ascii="宋体" w:hAnsi="宋体"/>
          <w:bCs/>
          <w:highlight w:val="none"/>
        </w:rPr>
        <w:t>开标之后，直到签订合同止，凡是属于审查、澄清、评价和比较投标的有关资料以及综合排序等情况，均不得向投标人或者其他与评标无关的人员透露。</w:t>
      </w:r>
    </w:p>
    <w:p>
      <w:pPr>
        <w:pStyle w:val="12"/>
        <w:spacing w:line="360" w:lineRule="auto"/>
        <w:ind w:left="571" w:leftChars="272" w:firstLine="0" w:firstLineChars="0"/>
        <w:outlineLvl w:val="0"/>
        <w:rPr>
          <w:rFonts w:ascii="宋体"/>
          <w:bCs/>
          <w:sz w:val="24"/>
          <w:highlight w:val="none"/>
        </w:rPr>
      </w:pPr>
      <w:bookmarkStart w:id="97" w:name="_Toc30962"/>
      <w:bookmarkStart w:id="98" w:name="_Toc29202"/>
      <w:bookmarkStart w:id="99" w:name="_Toc10857"/>
      <w:r>
        <w:rPr>
          <w:rFonts w:ascii="宋体" w:hAnsi="宋体"/>
          <w:bCs/>
          <w:sz w:val="24"/>
          <w:highlight w:val="none"/>
        </w:rPr>
        <w:t xml:space="preserve">27.  </w:t>
      </w:r>
      <w:r>
        <w:rPr>
          <w:rFonts w:hint="eastAsia" w:ascii="宋体" w:hAnsi="宋体"/>
          <w:bCs/>
          <w:sz w:val="24"/>
          <w:highlight w:val="none"/>
        </w:rPr>
        <w:t>投标人瑕疵滞后的处理</w:t>
      </w:r>
      <w:bookmarkEnd w:id="97"/>
      <w:bookmarkEnd w:id="98"/>
      <w:bookmarkEnd w:id="99"/>
    </w:p>
    <w:p>
      <w:pPr>
        <w:pStyle w:val="19"/>
        <w:spacing w:line="360" w:lineRule="auto"/>
        <w:ind w:firstLine="600" w:firstLineChars="250"/>
        <w:rPr>
          <w:rFonts w:ascii="宋体"/>
          <w:bCs/>
          <w:highlight w:val="none"/>
        </w:rPr>
      </w:pPr>
      <w:r>
        <w:rPr>
          <w:rFonts w:ascii="宋体" w:hAnsi="宋体"/>
          <w:bCs/>
          <w:highlight w:val="none"/>
        </w:rPr>
        <w:t xml:space="preserve">27.1 </w:t>
      </w:r>
      <w:r>
        <w:rPr>
          <w:rFonts w:hint="eastAsia" w:ascii="宋体" w:hAnsi="宋体"/>
          <w:bCs/>
          <w:highlight w:val="none"/>
        </w:rPr>
        <w:t>无论基于何种原因，各项本应作拒绝处理的情形即便未被及时发现而使该投标人进入初审、综合评标或其它后续程序，包括已经签订合同的情形，一旦在任何时间被发现存在上述情形，则招标代理均有权随时视情形决定是否取消该投标人的此前评议结果，或随时视情形决定是否对该投标予以拒绝，并有权决定采取相应的补救或纠正措施。一旦该投标人被拒绝或被取消该投标人的此前评议结果，其现有的位置将被其他投标人依序替代，相关的一切损失均由该投标人承担。</w:t>
      </w:r>
    </w:p>
    <w:p>
      <w:pPr>
        <w:pStyle w:val="19"/>
        <w:spacing w:line="360" w:lineRule="auto"/>
        <w:ind w:firstLine="480" w:firstLineChars="200"/>
        <w:rPr>
          <w:rFonts w:ascii="宋体"/>
          <w:bCs/>
          <w:highlight w:val="none"/>
        </w:rPr>
      </w:pPr>
      <w:r>
        <w:rPr>
          <w:rFonts w:ascii="宋体" w:hAnsi="宋体"/>
          <w:bCs/>
          <w:highlight w:val="none"/>
        </w:rPr>
        <w:t xml:space="preserve">27.2 </w:t>
      </w:r>
      <w:r>
        <w:rPr>
          <w:rFonts w:hint="eastAsia" w:ascii="宋体" w:hAnsi="宋体"/>
          <w:bCs/>
          <w:highlight w:val="none"/>
        </w:rPr>
        <w:t>若已经超过质疑期限而没有被发现且已经签订了相关的合同，之后才发现存在上述情形，经评标委员会再行审查认为其在技术、必要资质等方面并不存在问题而仅属于商务方面存在瑕疵的问题，且若一旦取消该投标人的此前评议结果或采取类似效果的处理措施将对本次采购更为不利，在此情形下准备考虑维持结果，评标委员会有权要求该存在瑕疵的投标人提供特别担保金用以承担可能产生的赔偿责任，若其拒绝提供该等担保或所实际提供的担保金额不足要求金额，评标委员会有权并且应当决定取消投标人的此前评议结果或采取类似效果的措施。</w:t>
      </w:r>
    </w:p>
    <w:p>
      <w:pPr>
        <w:pStyle w:val="21"/>
        <w:spacing w:line="360" w:lineRule="auto"/>
        <w:ind w:leftChars="0" w:hanging="100" w:firstLineChars="0"/>
        <w:outlineLvl w:val="1"/>
        <w:rPr>
          <w:rFonts w:ascii="宋体"/>
          <w:b/>
          <w:bCs/>
          <w:sz w:val="24"/>
          <w:highlight w:val="none"/>
        </w:rPr>
      </w:pPr>
      <w:bookmarkStart w:id="100" w:name="_Toc28609"/>
      <w:bookmarkStart w:id="101" w:name="_Toc7870"/>
      <w:r>
        <w:rPr>
          <w:rFonts w:hint="eastAsia" w:ascii="宋体" w:hAnsi="宋体"/>
          <w:b/>
          <w:bCs/>
          <w:sz w:val="24"/>
          <w:highlight w:val="none"/>
        </w:rPr>
        <w:t>六、合同签订</w:t>
      </w:r>
      <w:bookmarkEnd w:id="100"/>
      <w:bookmarkEnd w:id="101"/>
    </w:p>
    <w:p>
      <w:pPr>
        <w:pStyle w:val="19"/>
        <w:spacing w:line="360" w:lineRule="auto"/>
        <w:ind w:left="571" w:leftChars="271" w:hanging="2" w:hangingChars="1"/>
        <w:rPr>
          <w:rFonts w:ascii="宋体"/>
          <w:bCs/>
          <w:highlight w:val="none"/>
        </w:rPr>
      </w:pPr>
      <w:r>
        <w:rPr>
          <w:rFonts w:ascii="宋体" w:hAnsi="宋体"/>
          <w:bCs/>
          <w:highlight w:val="none"/>
        </w:rPr>
        <w:t xml:space="preserve">28  </w:t>
      </w:r>
      <w:r>
        <w:rPr>
          <w:rFonts w:hint="eastAsia" w:ascii="宋体" w:hAnsi="宋体"/>
          <w:bCs/>
          <w:highlight w:val="none"/>
        </w:rPr>
        <w:t>中标通知</w:t>
      </w:r>
    </w:p>
    <w:p>
      <w:pPr>
        <w:pStyle w:val="19"/>
        <w:spacing w:line="360" w:lineRule="auto"/>
        <w:ind w:firstLine="480" w:firstLineChars="200"/>
        <w:rPr>
          <w:rFonts w:ascii="宋体"/>
          <w:bCs/>
          <w:highlight w:val="none"/>
        </w:rPr>
      </w:pPr>
      <w:r>
        <w:rPr>
          <w:rFonts w:ascii="宋体" w:hAnsi="宋体"/>
          <w:bCs/>
          <w:highlight w:val="none"/>
        </w:rPr>
        <w:t>28.1</w:t>
      </w:r>
      <w:r>
        <w:rPr>
          <w:rFonts w:hint="eastAsia" w:ascii="宋体" w:hAnsi="宋体"/>
          <w:bCs/>
          <w:highlight w:val="none"/>
        </w:rPr>
        <w:t>中标结果公示将在中国政府采购网、中国招标投标公共服务平台、山东大学第二医院同时发布。不再以书面方式通知未中标投标人。招标代理对未中标的投标人不作未中标原因的解释。</w:t>
      </w:r>
    </w:p>
    <w:p>
      <w:pPr>
        <w:pStyle w:val="19"/>
        <w:spacing w:line="360" w:lineRule="auto"/>
        <w:ind w:firstLine="480" w:firstLineChars="200"/>
        <w:rPr>
          <w:rFonts w:ascii="宋体"/>
          <w:bCs/>
          <w:highlight w:val="none"/>
        </w:rPr>
      </w:pPr>
      <w:r>
        <w:rPr>
          <w:rFonts w:ascii="宋体" w:hAnsi="宋体"/>
          <w:bCs/>
          <w:highlight w:val="none"/>
        </w:rPr>
        <w:t xml:space="preserve">28.2 </w:t>
      </w:r>
      <w:r>
        <w:rPr>
          <w:rFonts w:hint="eastAsia" w:ascii="宋体" w:hAnsi="宋体"/>
          <w:bCs/>
          <w:highlight w:val="none"/>
        </w:rPr>
        <w:t>在投标有效期内，招标人及招标代理将向中标人签发《中标通知书》。中标通知书是合同的一个组成部分。</w:t>
      </w:r>
    </w:p>
    <w:p>
      <w:pPr>
        <w:pStyle w:val="19"/>
        <w:spacing w:line="360" w:lineRule="auto"/>
        <w:ind w:firstLine="480" w:firstLineChars="200"/>
        <w:rPr>
          <w:rFonts w:ascii="宋体"/>
          <w:bCs/>
          <w:highlight w:val="none"/>
        </w:rPr>
      </w:pPr>
      <w:r>
        <w:rPr>
          <w:rFonts w:ascii="宋体" w:hAnsi="宋体"/>
          <w:bCs/>
          <w:highlight w:val="none"/>
        </w:rPr>
        <w:t>28.3</w:t>
      </w:r>
      <w:r>
        <w:rPr>
          <w:rFonts w:hint="eastAsia" w:ascii="宋体" w:hAnsi="宋体"/>
          <w:bCs/>
          <w:highlight w:val="none"/>
        </w:rPr>
        <w:t>中标通知书发出后，招标人改变中标结果，或者中标人放弃中标项目的，应当依法承担法律责任。</w:t>
      </w:r>
    </w:p>
    <w:p>
      <w:pPr>
        <w:pStyle w:val="19"/>
        <w:spacing w:line="360" w:lineRule="auto"/>
        <w:ind w:left="571" w:leftChars="272"/>
        <w:rPr>
          <w:rFonts w:ascii="宋体"/>
          <w:bCs/>
          <w:highlight w:val="none"/>
        </w:rPr>
      </w:pPr>
      <w:r>
        <w:rPr>
          <w:rFonts w:ascii="宋体" w:hAnsi="宋体"/>
          <w:bCs/>
          <w:highlight w:val="none"/>
        </w:rPr>
        <w:t xml:space="preserve">29.  </w:t>
      </w:r>
      <w:r>
        <w:rPr>
          <w:rFonts w:hint="eastAsia" w:ascii="宋体" w:hAnsi="宋体"/>
          <w:bCs/>
          <w:highlight w:val="none"/>
        </w:rPr>
        <w:t>签订合同</w:t>
      </w:r>
    </w:p>
    <w:p>
      <w:pPr>
        <w:pStyle w:val="19"/>
        <w:spacing w:line="360" w:lineRule="auto"/>
        <w:ind w:firstLine="480" w:firstLineChars="200"/>
        <w:rPr>
          <w:rFonts w:ascii="宋体"/>
          <w:bCs/>
          <w:highlight w:val="none"/>
        </w:rPr>
      </w:pPr>
      <w:r>
        <w:rPr>
          <w:rFonts w:ascii="宋体" w:hAnsi="宋体"/>
          <w:bCs/>
          <w:highlight w:val="none"/>
        </w:rPr>
        <w:t xml:space="preserve">29.1 </w:t>
      </w:r>
      <w:r>
        <w:rPr>
          <w:rFonts w:hint="eastAsia" w:ascii="宋体" w:hAnsi="宋体"/>
          <w:bCs/>
          <w:highlight w:val="none"/>
        </w:rPr>
        <w:t>中标通知书发出之日起</w:t>
      </w:r>
      <w:r>
        <w:rPr>
          <w:rFonts w:ascii="宋体" w:hAnsi="宋体"/>
          <w:bCs/>
          <w:highlight w:val="none"/>
        </w:rPr>
        <w:t>30</w:t>
      </w:r>
      <w:r>
        <w:rPr>
          <w:rFonts w:hint="eastAsia" w:ascii="宋体" w:hAnsi="宋体"/>
          <w:bCs/>
          <w:highlight w:val="none"/>
        </w:rPr>
        <w:t>日内，按照招标确定的事项签订合同。</w:t>
      </w:r>
    </w:p>
    <w:p>
      <w:pPr>
        <w:pStyle w:val="19"/>
        <w:spacing w:line="360" w:lineRule="auto"/>
        <w:ind w:firstLine="480" w:firstLineChars="200"/>
        <w:rPr>
          <w:rFonts w:ascii="宋体"/>
          <w:bCs/>
          <w:highlight w:val="none"/>
        </w:rPr>
      </w:pPr>
      <w:r>
        <w:rPr>
          <w:rFonts w:ascii="宋体" w:hAnsi="宋体"/>
          <w:bCs/>
          <w:highlight w:val="none"/>
        </w:rPr>
        <w:t xml:space="preserve">29.2 </w:t>
      </w:r>
      <w:r>
        <w:rPr>
          <w:rFonts w:hint="eastAsia" w:ascii="宋体" w:hAnsi="宋体"/>
          <w:bCs/>
          <w:highlight w:val="none"/>
        </w:rPr>
        <w:t>招标文件、中标人的投标文件以及评标过程中的有关澄清、说明或者补正文件均为合同的组成部分。</w:t>
      </w:r>
    </w:p>
    <w:p>
      <w:pPr>
        <w:pStyle w:val="19"/>
        <w:spacing w:line="360" w:lineRule="auto"/>
        <w:ind w:firstLine="480" w:firstLineChars="200"/>
        <w:rPr>
          <w:rFonts w:ascii="宋体"/>
          <w:bCs/>
          <w:highlight w:val="none"/>
        </w:rPr>
      </w:pPr>
      <w:r>
        <w:rPr>
          <w:rFonts w:ascii="宋体" w:hAnsi="宋体"/>
          <w:bCs/>
          <w:highlight w:val="none"/>
        </w:rPr>
        <w:t>29.3</w:t>
      </w:r>
      <w:r>
        <w:rPr>
          <w:rFonts w:hint="eastAsia" w:ascii="宋体" w:hAnsi="宋体"/>
          <w:bCs/>
          <w:highlight w:val="none"/>
        </w:rPr>
        <w:t>不按约定签订或履行合同，给对方造成损失的，应承担赔偿责任。</w:t>
      </w:r>
    </w:p>
    <w:p>
      <w:pPr>
        <w:pStyle w:val="19"/>
        <w:spacing w:line="360" w:lineRule="auto"/>
        <w:ind w:left="571" w:leftChars="272"/>
        <w:rPr>
          <w:rFonts w:ascii="宋体"/>
          <w:bCs/>
          <w:highlight w:val="none"/>
        </w:rPr>
      </w:pPr>
      <w:r>
        <w:rPr>
          <w:rFonts w:ascii="宋体" w:hAnsi="宋体"/>
          <w:bCs/>
          <w:highlight w:val="none"/>
        </w:rPr>
        <w:t xml:space="preserve">30.  </w:t>
      </w:r>
      <w:r>
        <w:rPr>
          <w:rFonts w:hint="eastAsia" w:ascii="宋体" w:hAnsi="宋体"/>
          <w:bCs/>
          <w:highlight w:val="none"/>
        </w:rPr>
        <w:t>履约保证金</w:t>
      </w:r>
      <w:r>
        <w:rPr>
          <w:rFonts w:ascii="宋体" w:hAnsi="宋体"/>
          <w:bCs/>
          <w:highlight w:val="none"/>
        </w:rPr>
        <w:t>(</w:t>
      </w:r>
      <w:r>
        <w:rPr>
          <w:rFonts w:hint="eastAsia" w:ascii="宋体" w:hAnsi="宋体"/>
          <w:bCs/>
          <w:highlight w:val="none"/>
        </w:rPr>
        <w:t>本项目不适用</w:t>
      </w:r>
      <w:r>
        <w:rPr>
          <w:rFonts w:ascii="宋体" w:hAnsi="宋体"/>
          <w:bCs/>
          <w:highlight w:val="none"/>
        </w:rPr>
        <w:t>)</w:t>
      </w:r>
    </w:p>
    <w:p>
      <w:pPr>
        <w:pStyle w:val="21"/>
        <w:spacing w:line="360" w:lineRule="auto"/>
        <w:ind w:leftChars="0" w:hanging="100" w:firstLineChars="0"/>
        <w:outlineLvl w:val="1"/>
        <w:rPr>
          <w:rFonts w:ascii="宋体"/>
          <w:b/>
          <w:bCs/>
          <w:sz w:val="24"/>
          <w:highlight w:val="none"/>
        </w:rPr>
      </w:pPr>
      <w:bookmarkStart w:id="102" w:name="_Toc30952"/>
      <w:bookmarkStart w:id="103" w:name="_Toc3157"/>
      <w:bookmarkStart w:id="104" w:name="_Toc13878"/>
      <w:r>
        <w:rPr>
          <w:rFonts w:hint="eastAsia" w:ascii="宋体" w:hAnsi="宋体"/>
          <w:b/>
          <w:bCs/>
          <w:sz w:val="24"/>
          <w:highlight w:val="none"/>
        </w:rPr>
        <w:t>七、处罚、质疑</w:t>
      </w:r>
      <w:bookmarkEnd w:id="102"/>
      <w:bookmarkEnd w:id="103"/>
      <w:bookmarkEnd w:id="104"/>
    </w:p>
    <w:p>
      <w:pPr>
        <w:pStyle w:val="19"/>
        <w:tabs>
          <w:tab w:val="left" w:pos="1146"/>
        </w:tabs>
        <w:spacing w:line="360" w:lineRule="auto"/>
        <w:ind w:left="1139" w:leftChars="274" w:right="283" w:hanging="564" w:hangingChars="235"/>
        <w:rPr>
          <w:rFonts w:ascii="宋体"/>
          <w:bCs/>
          <w:highlight w:val="none"/>
        </w:rPr>
      </w:pPr>
      <w:r>
        <w:rPr>
          <w:rFonts w:ascii="宋体" w:hAnsi="宋体"/>
          <w:bCs/>
          <w:highlight w:val="none"/>
        </w:rPr>
        <w:t xml:space="preserve">31.  </w:t>
      </w:r>
      <w:r>
        <w:rPr>
          <w:rFonts w:hint="eastAsia" w:ascii="宋体" w:hAnsi="宋体"/>
          <w:bCs/>
          <w:highlight w:val="none"/>
        </w:rPr>
        <w:t>处罚</w:t>
      </w:r>
    </w:p>
    <w:p>
      <w:pPr>
        <w:pStyle w:val="19"/>
        <w:spacing w:line="360" w:lineRule="auto"/>
        <w:ind w:firstLine="480" w:firstLineChars="200"/>
        <w:rPr>
          <w:rFonts w:ascii="宋体"/>
          <w:bCs/>
          <w:highlight w:val="none"/>
        </w:rPr>
      </w:pPr>
      <w:r>
        <w:rPr>
          <w:rFonts w:hint="eastAsia" w:ascii="宋体" w:hAnsi="宋体"/>
          <w:bCs/>
          <w:highlight w:val="none"/>
        </w:rPr>
        <w:t>发生下列情况之一，投标人的投标保证金或履约保证金不予退还，并被列入不良行为记录名单，投标人今后参与同类招标项目的机会可能会受到影响：</w:t>
      </w:r>
    </w:p>
    <w:p>
      <w:pPr>
        <w:pStyle w:val="19"/>
        <w:spacing w:line="360" w:lineRule="auto"/>
        <w:ind w:firstLine="480" w:firstLineChars="200"/>
        <w:rPr>
          <w:rFonts w:ascii="宋体"/>
          <w:bCs/>
          <w:highlight w:val="none"/>
        </w:rPr>
      </w:pPr>
      <w:r>
        <w:rPr>
          <w:rFonts w:ascii="宋体" w:hAnsi="宋体"/>
          <w:bCs/>
          <w:highlight w:val="none"/>
        </w:rPr>
        <w:t>1)</w:t>
      </w:r>
      <w:r>
        <w:rPr>
          <w:rFonts w:hint="eastAsia" w:ascii="宋体" w:hAnsi="宋体"/>
          <w:bCs/>
          <w:highlight w:val="none"/>
        </w:rPr>
        <w:t>开标后在投标有效期内，投标人撤回其投标；</w:t>
      </w:r>
    </w:p>
    <w:p>
      <w:pPr>
        <w:pStyle w:val="19"/>
        <w:spacing w:line="360" w:lineRule="auto"/>
        <w:ind w:firstLine="480" w:firstLineChars="200"/>
        <w:rPr>
          <w:rFonts w:ascii="宋体"/>
          <w:bCs/>
          <w:highlight w:val="none"/>
        </w:rPr>
      </w:pPr>
      <w:r>
        <w:rPr>
          <w:rFonts w:ascii="宋体" w:hAnsi="宋体"/>
          <w:bCs/>
          <w:highlight w:val="none"/>
        </w:rPr>
        <w:t>2)</w:t>
      </w:r>
      <w:r>
        <w:rPr>
          <w:rFonts w:hint="eastAsia" w:ascii="宋体" w:hAnsi="宋体"/>
          <w:bCs/>
          <w:highlight w:val="none"/>
        </w:rPr>
        <w:t>中标人未按本招标文件规定签订采购合同；</w:t>
      </w:r>
    </w:p>
    <w:p>
      <w:pPr>
        <w:pStyle w:val="19"/>
        <w:spacing w:line="360" w:lineRule="auto"/>
        <w:ind w:firstLine="480" w:firstLineChars="200"/>
        <w:rPr>
          <w:rFonts w:ascii="宋体"/>
          <w:bCs/>
          <w:highlight w:val="none"/>
        </w:rPr>
      </w:pPr>
      <w:r>
        <w:rPr>
          <w:rFonts w:ascii="宋体" w:hAnsi="宋体"/>
          <w:bCs/>
          <w:highlight w:val="none"/>
        </w:rPr>
        <w:t>3)</w:t>
      </w:r>
      <w:r>
        <w:rPr>
          <w:rFonts w:hint="eastAsia" w:ascii="宋体" w:hAnsi="宋体"/>
          <w:bCs/>
          <w:highlight w:val="none"/>
        </w:rPr>
        <w:t>中标人与采购人订立背离合同实质性内容的其它协议；</w:t>
      </w:r>
    </w:p>
    <w:p>
      <w:pPr>
        <w:pStyle w:val="19"/>
        <w:spacing w:line="360" w:lineRule="auto"/>
        <w:ind w:firstLine="480" w:firstLineChars="200"/>
        <w:rPr>
          <w:rFonts w:ascii="宋体"/>
          <w:bCs/>
          <w:highlight w:val="none"/>
        </w:rPr>
      </w:pPr>
      <w:r>
        <w:rPr>
          <w:rFonts w:ascii="宋体" w:hAnsi="宋体"/>
          <w:bCs/>
          <w:highlight w:val="none"/>
        </w:rPr>
        <w:t>4)</w:t>
      </w:r>
      <w:r>
        <w:rPr>
          <w:rFonts w:hint="eastAsia" w:ascii="宋体" w:hAnsi="宋体"/>
          <w:bCs/>
          <w:highlight w:val="none"/>
        </w:rPr>
        <w:t>中标人将中标项目转让给他人，或者在投标文件中未说明，且未经招标人同意，将中标项目分包给他人的；</w:t>
      </w:r>
    </w:p>
    <w:p>
      <w:pPr>
        <w:pStyle w:val="19"/>
        <w:spacing w:line="360" w:lineRule="auto"/>
        <w:ind w:firstLine="480" w:firstLineChars="200"/>
        <w:rPr>
          <w:rFonts w:ascii="宋体"/>
          <w:bCs/>
          <w:highlight w:val="none"/>
        </w:rPr>
      </w:pPr>
      <w:r>
        <w:rPr>
          <w:rFonts w:ascii="宋体" w:hAnsi="宋体"/>
          <w:bCs/>
          <w:highlight w:val="none"/>
        </w:rPr>
        <w:t>5)</w:t>
      </w:r>
      <w:r>
        <w:rPr>
          <w:rFonts w:hint="eastAsia" w:ascii="宋体" w:hAnsi="宋体"/>
          <w:bCs/>
          <w:highlight w:val="none"/>
        </w:rPr>
        <w:t>中标人不按要求提交履约保证金的；</w:t>
      </w:r>
    </w:p>
    <w:p>
      <w:pPr>
        <w:pStyle w:val="19"/>
        <w:spacing w:line="360" w:lineRule="auto"/>
        <w:ind w:firstLine="480" w:firstLineChars="200"/>
        <w:rPr>
          <w:rFonts w:ascii="宋体"/>
          <w:bCs/>
          <w:highlight w:val="none"/>
        </w:rPr>
      </w:pPr>
      <w:r>
        <w:rPr>
          <w:rFonts w:ascii="宋体" w:hAnsi="宋体"/>
          <w:bCs/>
          <w:highlight w:val="none"/>
        </w:rPr>
        <w:t>6)</w:t>
      </w:r>
      <w:r>
        <w:rPr>
          <w:rFonts w:hint="eastAsia" w:ascii="宋体" w:hAnsi="宋体"/>
          <w:bCs/>
          <w:highlight w:val="none"/>
        </w:rPr>
        <w:t>中标人未按招标文件规定和合同约定履行义务的行为。</w:t>
      </w:r>
    </w:p>
    <w:p>
      <w:pPr>
        <w:pStyle w:val="19"/>
        <w:tabs>
          <w:tab w:val="left" w:pos="1146"/>
        </w:tabs>
        <w:spacing w:line="360" w:lineRule="auto"/>
        <w:ind w:left="1139" w:leftChars="274" w:right="283" w:hanging="564" w:hangingChars="235"/>
        <w:rPr>
          <w:rFonts w:ascii="宋体"/>
          <w:bCs/>
          <w:highlight w:val="none"/>
        </w:rPr>
      </w:pPr>
      <w:r>
        <w:rPr>
          <w:rFonts w:ascii="宋体" w:hAnsi="宋体"/>
          <w:bCs/>
          <w:highlight w:val="none"/>
        </w:rPr>
        <w:t xml:space="preserve">32   </w:t>
      </w:r>
      <w:r>
        <w:rPr>
          <w:rFonts w:hint="eastAsia" w:ascii="宋体" w:hAnsi="宋体"/>
          <w:bCs/>
          <w:highlight w:val="none"/>
        </w:rPr>
        <w:t>质疑</w:t>
      </w:r>
    </w:p>
    <w:p>
      <w:pPr>
        <w:pStyle w:val="19"/>
        <w:spacing w:line="360" w:lineRule="auto"/>
        <w:ind w:firstLine="480" w:firstLineChars="200"/>
        <w:rPr>
          <w:rFonts w:ascii="宋体"/>
          <w:bCs/>
          <w:highlight w:val="none"/>
        </w:rPr>
      </w:pPr>
      <w:r>
        <w:rPr>
          <w:rFonts w:ascii="宋体" w:hAnsi="宋体"/>
          <w:bCs/>
          <w:highlight w:val="none"/>
        </w:rPr>
        <w:t xml:space="preserve">32.1 </w:t>
      </w:r>
      <w:r>
        <w:rPr>
          <w:rFonts w:hint="eastAsia" w:ascii="宋体" w:hAnsi="宋体"/>
          <w:bCs/>
          <w:highlight w:val="none"/>
        </w:rPr>
        <w:t>投标人对招标活动事项有疑问的，可以向招标人或招标代理提出询问，招标人或招标代理将依法作出答复，但答复的内容不涉及商业秘密；</w:t>
      </w:r>
    </w:p>
    <w:p>
      <w:pPr>
        <w:pStyle w:val="19"/>
        <w:spacing w:line="360" w:lineRule="auto"/>
        <w:ind w:firstLine="480" w:firstLineChars="200"/>
        <w:rPr>
          <w:rFonts w:ascii="宋体"/>
          <w:bCs/>
          <w:highlight w:val="none"/>
        </w:rPr>
      </w:pPr>
      <w:r>
        <w:rPr>
          <w:rFonts w:ascii="宋体" w:hAnsi="宋体"/>
          <w:bCs/>
          <w:highlight w:val="none"/>
        </w:rPr>
        <w:t>32.2</w:t>
      </w:r>
      <w:r>
        <w:rPr>
          <w:rFonts w:hint="eastAsia" w:ascii="宋体" w:hAnsi="宋体"/>
          <w:bCs/>
          <w:highlight w:val="none"/>
        </w:rPr>
        <w:t>投标人认为招标文件、招标过程和中标结果使自己的合法权益受到损害的，可以在《中华人民共和国政府采购法》及实施条例规定的时间内以书面形式向招标代理提出质疑，超过期限不予受理。</w:t>
      </w:r>
    </w:p>
    <w:p>
      <w:pPr>
        <w:pStyle w:val="19"/>
        <w:spacing w:line="360" w:lineRule="auto"/>
        <w:ind w:firstLine="480" w:firstLineChars="200"/>
        <w:rPr>
          <w:rFonts w:ascii="宋体"/>
          <w:bCs/>
          <w:highlight w:val="none"/>
        </w:rPr>
      </w:pPr>
      <w:r>
        <w:rPr>
          <w:rFonts w:ascii="宋体" w:hAnsi="宋体"/>
          <w:bCs/>
          <w:highlight w:val="none"/>
        </w:rPr>
        <w:t>32.3</w:t>
      </w:r>
      <w:r>
        <w:rPr>
          <w:rFonts w:hint="eastAsia" w:ascii="宋体" w:hAnsi="宋体"/>
          <w:bCs/>
          <w:highlight w:val="none"/>
        </w:rPr>
        <w:t>质疑文件应包括以下主要内容，并按照</w:t>
      </w:r>
      <w:r>
        <w:rPr>
          <w:rFonts w:hint="eastAsia" w:ascii="宋体"/>
          <w:bCs/>
          <w:highlight w:val="none"/>
        </w:rPr>
        <w:t>“</w:t>
      </w:r>
      <w:r>
        <w:rPr>
          <w:rFonts w:hint="eastAsia" w:ascii="宋体" w:hAnsi="宋体"/>
          <w:bCs/>
          <w:highlight w:val="none"/>
        </w:rPr>
        <w:t>谁主张、谁举证</w:t>
      </w:r>
      <w:r>
        <w:rPr>
          <w:rFonts w:hint="eastAsia" w:ascii="宋体"/>
          <w:bCs/>
          <w:highlight w:val="none"/>
        </w:rPr>
        <w:t>”</w:t>
      </w:r>
      <w:r>
        <w:rPr>
          <w:rFonts w:hint="eastAsia" w:ascii="宋体" w:hAnsi="宋体"/>
          <w:bCs/>
          <w:highlight w:val="none"/>
        </w:rPr>
        <w:t>的原则，附上相关证明材料。否则，招标代理人不予受理：</w:t>
      </w:r>
    </w:p>
    <w:p>
      <w:pPr>
        <w:pStyle w:val="19"/>
        <w:spacing w:line="360" w:lineRule="auto"/>
        <w:ind w:firstLine="480" w:firstLineChars="200"/>
        <w:rPr>
          <w:rFonts w:ascii="宋体"/>
          <w:bCs/>
          <w:highlight w:val="none"/>
        </w:rPr>
      </w:pPr>
      <w:r>
        <w:rPr>
          <w:rFonts w:hint="eastAsia" w:ascii="宋体" w:hAnsi="宋体"/>
          <w:bCs/>
          <w:highlight w:val="none"/>
        </w:rPr>
        <w:t>（</w:t>
      </w:r>
      <w:r>
        <w:rPr>
          <w:rFonts w:ascii="宋体" w:hAnsi="宋体"/>
          <w:bCs/>
          <w:highlight w:val="none"/>
        </w:rPr>
        <w:t>1</w:t>
      </w:r>
      <w:r>
        <w:rPr>
          <w:rFonts w:hint="eastAsia" w:ascii="宋体" w:hAnsi="宋体"/>
          <w:bCs/>
          <w:highlight w:val="none"/>
        </w:rPr>
        <w:t>）质疑项目名称、招标编号、包号、招标公告发布时间、开标时间；</w:t>
      </w:r>
    </w:p>
    <w:p>
      <w:pPr>
        <w:pStyle w:val="19"/>
        <w:spacing w:line="360" w:lineRule="auto"/>
        <w:ind w:firstLine="480" w:firstLineChars="200"/>
        <w:rPr>
          <w:rFonts w:ascii="宋体"/>
          <w:bCs/>
          <w:highlight w:val="none"/>
        </w:rPr>
      </w:pPr>
      <w:r>
        <w:rPr>
          <w:rFonts w:hint="eastAsia" w:ascii="宋体" w:hAnsi="宋体"/>
          <w:bCs/>
          <w:highlight w:val="none"/>
        </w:rPr>
        <w:t>（</w:t>
      </w:r>
      <w:r>
        <w:rPr>
          <w:rFonts w:ascii="宋体" w:hAnsi="宋体"/>
          <w:bCs/>
          <w:highlight w:val="none"/>
        </w:rPr>
        <w:t>2</w:t>
      </w:r>
      <w:r>
        <w:rPr>
          <w:rFonts w:hint="eastAsia" w:ascii="宋体" w:hAnsi="宋体"/>
          <w:bCs/>
          <w:highlight w:val="none"/>
        </w:rPr>
        <w:t>）具体的质疑事项及法律依据（具体条款）；</w:t>
      </w:r>
    </w:p>
    <w:p>
      <w:pPr>
        <w:pStyle w:val="19"/>
        <w:spacing w:line="360" w:lineRule="auto"/>
        <w:ind w:firstLine="480" w:firstLineChars="200"/>
        <w:rPr>
          <w:rFonts w:ascii="宋体"/>
          <w:bCs/>
          <w:highlight w:val="none"/>
        </w:rPr>
      </w:pPr>
      <w:r>
        <w:rPr>
          <w:rFonts w:hint="eastAsia" w:ascii="宋体" w:hAnsi="宋体"/>
          <w:bCs/>
          <w:highlight w:val="none"/>
        </w:rPr>
        <w:t>（</w:t>
      </w:r>
      <w:r>
        <w:rPr>
          <w:rFonts w:ascii="宋体" w:hAnsi="宋体"/>
          <w:bCs/>
          <w:highlight w:val="none"/>
        </w:rPr>
        <w:t>3</w:t>
      </w:r>
      <w:r>
        <w:rPr>
          <w:rFonts w:hint="eastAsia" w:ascii="宋体" w:hAnsi="宋体"/>
          <w:bCs/>
          <w:highlight w:val="none"/>
        </w:rPr>
        <w:t>）质疑相关证明文件或证明材料，如果涉及到产品功能或技术指标的，应出具相关制造商的证明文件；</w:t>
      </w:r>
    </w:p>
    <w:p>
      <w:pPr>
        <w:pStyle w:val="19"/>
        <w:spacing w:line="360" w:lineRule="auto"/>
        <w:ind w:firstLine="480" w:firstLineChars="200"/>
        <w:rPr>
          <w:rFonts w:ascii="宋体"/>
          <w:bCs/>
          <w:highlight w:val="none"/>
        </w:rPr>
      </w:pPr>
      <w:r>
        <w:rPr>
          <w:rFonts w:hint="eastAsia" w:ascii="宋体" w:hAnsi="宋体"/>
          <w:bCs/>
          <w:highlight w:val="none"/>
        </w:rPr>
        <w:t>（</w:t>
      </w:r>
      <w:r>
        <w:rPr>
          <w:rFonts w:ascii="宋体" w:hAnsi="宋体"/>
          <w:bCs/>
          <w:highlight w:val="none"/>
        </w:rPr>
        <w:t>4</w:t>
      </w:r>
      <w:r>
        <w:rPr>
          <w:rFonts w:hint="eastAsia" w:ascii="宋体" w:hAnsi="宋体"/>
          <w:bCs/>
          <w:highlight w:val="none"/>
        </w:rPr>
        <w:t>）质疑投标人名称、地址、联系方式（包括手机、传真号码）；</w:t>
      </w:r>
    </w:p>
    <w:p>
      <w:pPr>
        <w:pStyle w:val="19"/>
        <w:spacing w:line="360" w:lineRule="auto"/>
        <w:ind w:firstLine="480" w:firstLineChars="200"/>
        <w:rPr>
          <w:rFonts w:ascii="宋体"/>
          <w:bCs/>
          <w:highlight w:val="none"/>
        </w:rPr>
      </w:pPr>
      <w:r>
        <w:rPr>
          <w:rFonts w:hint="eastAsia" w:ascii="宋体" w:hAnsi="宋体"/>
          <w:bCs/>
          <w:highlight w:val="none"/>
        </w:rPr>
        <w:t>（</w:t>
      </w:r>
      <w:r>
        <w:rPr>
          <w:rFonts w:ascii="宋体" w:hAnsi="宋体"/>
          <w:bCs/>
          <w:highlight w:val="none"/>
        </w:rPr>
        <w:t>5</w:t>
      </w:r>
      <w:r>
        <w:rPr>
          <w:rFonts w:hint="eastAsia" w:ascii="宋体" w:hAnsi="宋体"/>
          <w:bCs/>
          <w:highlight w:val="none"/>
        </w:rPr>
        <w:t>）法定代表人签署本人姓名或印盖本人姓名章并加盖单位公章，或法定代表人特别授权加盖单位公章，并由参加招标项目的授权代表签署本人姓名或印盖本人姓名章等。</w:t>
      </w:r>
    </w:p>
    <w:p>
      <w:pPr>
        <w:pStyle w:val="19"/>
        <w:spacing w:line="360" w:lineRule="auto"/>
        <w:ind w:firstLine="480" w:firstLineChars="200"/>
        <w:rPr>
          <w:rFonts w:ascii="宋体"/>
          <w:bCs/>
          <w:highlight w:val="none"/>
        </w:rPr>
      </w:pPr>
      <w:r>
        <w:rPr>
          <w:rFonts w:ascii="宋体" w:hAnsi="宋体"/>
          <w:bCs/>
          <w:highlight w:val="none"/>
        </w:rPr>
        <w:t>32.4</w:t>
      </w:r>
      <w:r>
        <w:rPr>
          <w:rFonts w:hint="eastAsia" w:ascii="宋体" w:hAnsi="宋体"/>
          <w:bCs/>
          <w:highlight w:val="none"/>
        </w:rPr>
        <w:t>投标人不得虚假质疑和恶意质疑，并对质疑内容的真实性承担责任。投标人或者其他利害关系人通过捏造事实、伪造证明材料等方式提出异议或投诉，阻碍招标活动正常进行的，属于严重不良行为，招标代理将提请有关部门列入不良行为记录名单，并依法予以处罚。</w:t>
      </w:r>
    </w:p>
    <w:p>
      <w:pPr>
        <w:pStyle w:val="21"/>
        <w:spacing w:line="360" w:lineRule="auto"/>
        <w:ind w:leftChars="0" w:hanging="100" w:firstLineChars="0"/>
        <w:outlineLvl w:val="1"/>
        <w:rPr>
          <w:rFonts w:ascii="宋体"/>
          <w:b/>
          <w:bCs/>
          <w:sz w:val="24"/>
          <w:highlight w:val="none"/>
        </w:rPr>
      </w:pPr>
      <w:bookmarkStart w:id="105" w:name="_Toc1537"/>
      <w:bookmarkStart w:id="106" w:name="_Toc26147"/>
      <w:bookmarkStart w:id="107" w:name="_Toc1876"/>
      <w:r>
        <w:rPr>
          <w:rFonts w:hint="eastAsia" w:ascii="宋体" w:hAnsi="宋体"/>
          <w:b/>
          <w:bCs/>
          <w:sz w:val="24"/>
          <w:highlight w:val="none"/>
        </w:rPr>
        <w:t>八、保密</w:t>
      </w:r>
      <w:bookmarkEnd w:id="105"/>
      <w:bookmarkEnd w:id="106"/>
      <w:bookmarkEnd w:id="107"/>
    </w:p>
    <w:p>
      <w:pPr>
        <w:pStyle w:val="19"/>
        <w:tabs>
          <w:tab w:val="left" w:pos="1146"/>
        </w:tabs>
        <w:spacing w:line="360" w:lineRule="auto"/>
        <w:ind w:left="1139" w:leftChars="274" w:right="283" w:hanging="564" w:hangingChars="235"/>
        <w:rPr>
          <w:rFonts w:ascii="宋体"/>
          <w:bCs/>
          <w:highlight w:val="none"/>
        </w:rPr>
      </w:pPr>
      <w:r>
        <w:rPr>
          <w:rFonts w:ascii="宋体" w:hAnsi="宋体"/>
          <w:bCs/>
          <w:highlight w:val="none"/>
        </w:rPr>
        <w:t xml:space="preserve">33.  </w:t>
      </w:r>
      <w:r>
        <w:rPr>
          <w:rFonts w:hint="eastAsia" w:ascii="宋体" w:hAnsi="宋体"/>
          <w:bCs/>
          <w:highlight w:val="none"/>
        </w:rPr>
        <w:t>保密</w:t>
      </w:r>
    </w:p>
    <w:p>
      <w:pPr>
        <w:pStyle w:val="19"/>
        <w:spacing w:line="360" w:lineRule="auto"/>
        <w:ind w:firstLine="480" w:firstLineChars="200"/>
        <w:rPr>
          <w:rFonts w:ascii="宋体"/>
          <w:bCs/>
          <w:highlight w:val="none"/>
        </w:rPr>
      </w:pPr>
      <w:r>
        <w:rPr>
          <w:rFonts w:hint="eastAsia" w:ascii="宋体" w:hAnsi="宋体"/>
          <w:bCs/>
          <w:highlight w:val="none"/>
        </w:rPr>
        <w:t>投标单位对所领取的有关文件及资料负有保密的义务，因投标单位原因造成资料泄密，投标单位承担相应责任。</w:t>
      </w:r>
    </w:p>
    <w:p>
      <w:pPr>
        <w:pStyle w:val="21"/>
        <w:spacing w:line="360" w:lineRule="auto"/>
        <w:ind w:leftChars="0" w:hanging="100" w:firstLineChars="0"/>
        <w:outlineLvl w:val="1"/>
        <w:rPr>
          <w:rFonts w:ascii="宋体"/>
          <w:b/>
          <w:bCs/>
          <w:sz w:val="24"/>
          <w:highlight w:val="none"/>
        </w:rPr>
      </w:pPr>
      <w:bookmarkStart w:id="108" w:name="_Toc28213"/>
      <w:bookmarkStart w:id="109" w:name="_Toc14534"/>
      <w:bookmarkStart w:id="110" w:name="_Toc11927"/>
      <w:r>
        <w:rPr>
          <w:rFonts w:hint="eastAsia" w:ascii="宋体" w:hAnsi="宋体"/>
          <w:b/>
          <w:bCs/>
          <w:sz w:val="24"/>
          <w:highlight w:val="none"/>
        </w:rPr>
        <w:t>九、专利权</w:t>
      </w:r>
      <w:bookmarkEnd w:id="108"/>
      <w:bookmarkEnd w:id="109"/>
      <w:bookmarkEnd w:id="110"/>
    </w:p>
    <w:p>
      <w:pPr>
        <w:pStyle w:val="19"/>
        <w:tabs>
          <w:tab w:val="left" w:pos="1146"/>
        </w:tabs>
        <w:spacing w:line="360" w:lineRule="auto"/>
        <w:ind w:left="1139" w:leftChars="274" w:right="283" w:hanging="564" w:hangingChars="235"/>
        <w:rPr>
          <w:rFonts w:ascii="宋体"/>
          <w:bCs/>
          <w:highlight w:val="none"/>
        </w:rPr>
      </w:pPr>
      <w:r>
        <w:rPr>
          <w:rFonts w:ascii="宋体" w:hAnsi="宋体"/>
          <w:bCs/>
          <w:highlight w:val="none"/>
        </w:rPr>
        <w:t xml:space="preserve">34.  </w:t>
      </w:r>
      <w:r>
        <w:rPr>
          <w:rFonts w:hint="eastAsia" w:ascii="宋体" w:hAnsi="宋体"/>
          <w:bCs/>
          <w:highlight w:val="none"/>
        </w:rPr>
        <w:t>专利权</w:t>
      </w:r>
    </w:p>
    <w:p>
      <w:pPr>
        <w:pStyle w:val="19"/>
        <w:spacing w:line="360" w:lineRule="auto"/>
        <w:ind w:firstLine="480" w:firstLineChars="200"/>
        <w:rPr>
          <w:rFonts w:ascii="宋体"/>
          <w:bCs/>
          <w:highlight w:val="none"/>
        </w:rPr>
      </w:pPr>
      <w:r>
        <w:rPr>
          <w:rFonts w:hint="eastAsia" w:ascii="宋体" w:hAnsi="宋体"/>
          <w:bCs/>
          <w:highlight w:val="none"/>
        </w:rPr>
        <w:t>投标人提供的所有产品应保证用户免受第三方主张的任何权利的义务。“第三方主张的权利”包括产品的所有权、知识产权、债权、担保物权、用益物权等权利。</w:t>
      </w:r>
    </w:p>
    <w:p>
      <w:pPr>
        <w:pStyle w:val="21"/>
        <w:spacing w:line="360" w:lineRule="auto"/>
        <w:ind w:leftChars="0" w:hanging="100" w:firstLineChars="0"/>
        <w:outlineLvl w:val="1"/>
        <w:rPr>
          <w:rFonts w:ascii="宋体"/>
          <w:b/>
          <w:bCs/>
          <w:sz w:val="24"/>
          <w:highlight w:val="none"/>
        </w:rPr>
      </w:pPr>
      <w:bookmarkStart w:id="111" w:name="_Toc9163"/>
      <w:bookmarkStart w:id="112" w:name="_Toc1386"/>
      <w:bookmarkStart w:id="113" w:name="_Toc5288"/>
      <w:r>
        <w:rPr>
          <w:rFonts w:hint="eastAsia" w:ascii="宋体" w:hAnsi="宋体"/>
          <w:b/>
          <w:bCs/>
          <w:sz w:val="24"/>
          <w:highlight w:val="none"/>
        </w:rPr>
        <w:t>十、解释权</w:t>
      </w:r>
      <w:bookmarkEnd w:id="111"/>
      <w:bookmarkEnd w:id="112"/>
      <w:bookmarkEnd w:id="113"/>
    </w:p>
    <w:p>
      <w:pPr>
        <w:pStyle w:val="19"/>
        <w:spacing w:line="360" w:lineRule="auto"/>
        <w:ind w:firstLine="480" w:firstLineChars="200"/>
        <w:rPr>
          <w:rFonts w:ascii="宋体" w:hAnsi="宋体"/>
          <w:bCs/>
          <w:highlight w:val="none"/>
        </w:rPr>
      </w:pPr>
      <w:r>
        <w:rPr>
          <w:rFonts w:hint="eastAsia" w:ascii="宋体" w:hAnsi="宋体"/>
          <w:bCs/>
          <w:highlight w:val="none"/>
        </w:rPr>
        <w:t>35.  解释权</w:t>
      </w:r>
    </w:p>
    <w:p>
      <w:pPr>
        <w:pStyle w:val="19"/>
        <w:spacing w:line="360" w:lineRule="auto"/>
        <w:ind w:firstLine="480" w:firstLineChars="200"/>
        <w:rPr>
          <w:rFonts w:ascii="宋体" w:hAnsi="宋体"/>
          <w:bCs/>
          <w:highlight w:val="none"/>
        </w:rPr>
      </w:pPr>
      <w:r>
        <w:rPr>
          <w:rFonts w:hint="eastAsia" w:ascii="宋体" w:hAnsi="宋体"/>
          <w:bCs/>
          <w:highlight w:val="none"/>
        </w:rPr>
        <w:t>本招标文件的最终解释权归招标代理，当对一个问题有多种解释时以招标代理的书面解释为准。招标文件未做须知明示，而又有相关法律、法规规定的，招标代理对此所做解释以相关的法律、法规规定为依据。</w:t>
      </w:r>
    </w:p>
    <w:p>
      <w:pPr>
        <w:pStyle w:val="21"/>
        <w:snapToGrid w:val="0"/>
        <w:spacing w:line="360" w:lineRule="auto"/>
        <w:ind w:leftChars="0" w:hanging="100" w:firstLineChars="0"/>
        <w:outlineLvl w:val="1"/>
        <w:rPr>
          <w:rFonts w:ascii="宋体"/>
          <w:b/>
          <w:bCs/>
          <w:sz w:val="24"/>
          <w:highlight w:val="none"/>
        </w:rPr>
      </w:pPr>
      <w:bookmarkStart w:id="114" w:name="_Toc8805"/>
      <w:bookmarkStart w:id="115" w:name="_Toc27088"/>
      <w:bookmarkStart w:id="116" w:name="_Toc1488"/>
      <w:r>
        <w:rPr>
          <w:rFonts w:hint="eastAsia" w:ascii="宋体" w:hAnsi="宋体"/>
          <w:b/>
          <w:bCs/>
          <w:sz w:val="24"/>
          <w:highlight w:val="none"/>
        </w:rPr>
        <w:t>十一、其他</w:t>
      </w:r>
      <w:bookmarkEnd w:id="114"/>
      <w:bookmarkEnd w:id="115"/>
      <w:bookmarkEnd w:id="116"/>
    </w:p>
    <w:p>
      <w:pPr>
        <w:pStyle w:val="21"/>
        <w:numPr>
          <w:ilvl w:val="0"/>
          <w:numId w:val="4"/>
        </w:numPr>
        <w:snapToGrid w:val="0"/>
        <w:spacing w:line="480" w:lineRule="auto"/>
        <w:ind w:leftChars="0" w:firstLineChars="0"/>
        <w:outlineLvl w:val="0"/>
        <w:rPr>
          <w:rFonts w:ascii="宋体"/>
          <w:bCs/>
          <w:sz w:val="24"/>
          <w:highlight w:val="none"/>
        </w:rPr>
      </w:pPr>
      <w:bookmarkStart w:id="117" w:name="_Toc30190"/>
      <w:bookmarkStart w:id="118" w:name="_Toc19127"/>
      <w:bookmarkStart w:id="119" w:name="_Toc17247"/>
      <w:r>
        <w:rPr>
          <w:rFonts w:hint="eastAsia" w:ascii="宋体" w:hAnsi="宋体"/>
          <w:bCs/>
          <w:sz w:val="24"/>
          <w:highlight w:val="none"/>
        </w:rPr>
        <w:t>其他</w:t>
      </w:r>
      <w:bookmarkEnd w:id="117"/>
      <w:bookmarkEnd w:id="118"/>
      <w:bookmarkEnd w:id="119"/>
    </w:p>
    <w:p>
      <w:pPr>
        <w:pStyle w:val="21"/>
        <w:snapToGrid w:val="0"/>
        <w:spacing w:line="480" w:lineRule="auto"/>
        <w:ind w:left="570" w:leftChars="0" w:firstLine="0" w:firstLineChars="0"/>
        <w:outlineLvl w:val="0"/>
        <w:rPr>
          <w:rFonts w:ascii="宋体"/>
          <w:bCs/>
          <w:sz w:val="24"/>
          <w:highlight w:val="none"/>
        </w:rPr>
      </w:pPr>
      <w:bookmarkStart w:id="120" w:name="_Toc7890"/>
      <w:bookmarkStart w:id="121" w:name="_Toc12623"/>
      <w:bookmarkStart w:id="122" w:name="_Toc4557"/>
      <w:r>
        <w:rPr>
          <w:rFonts w:ascii="宋体" w:hAnsi="宋体"/>
          <w:bCs/>
          <w:sz w:val="24"/>
          <w:highlight w:val="none"/>
        </w:rPr>
        <w:t>36.1</w:t>
      </w:r>
      <w:r>
        <w:rPr>
          <w:rFonts w:hint="eastAsia" w:ascii="宋体" w:hAnsi="宋体"/>
          <w:bCs/>
          <w:sz w:val="24"/>
          <w:highlight w:val="none"/>
        </w:rPr>
        <w:t>投标人所报产品技术参数（或使用功能）必须满足招标人要求。</w:t>
      </w:r>
      <w:bookmarkEnd w:id="120"/>
      <w:bookmarkEnd w:id="121"/>
      <w:bookmarkEnd w:id="122"/>
    </w:p>
    <w:p>
      <w:pPr>
        <w:pStyle w:val="21"/>
        <w:snapToGrid w:val="0"/>
        <w:spacing w:line="480" w:lineRule="auto"/>
        <w:ind w:left="570" w:leftChars="0" w:firstLine="0" w:firstLineChars="0"/>
        <w:outlineLvl w:val="0"/>
        <w:rPr>
          <w:rFonts w:ascii="宋体"/>
          <w:bCs/>
          <w:sz w:val="24"/>
          <w:highlight w:val="none"/>
        </w:rPr>
      </w:pPr>
      <w:bookmarkStart w:id="123" w:name="_Toc20220"/>
      <w:bookmarkStart w:id="124" w:name="_Toc30966"/>
      <w:bookmarkStart w:id="125" w:name="_Toc9875"/>
      <w:r>
        <w:rPr>
          <w:rFonts w:ascii="宋体" w:hAnsi="宋体"/>
          <w:bCs/>
          <w:sz w:val="24"/>
          <w:highlight w:val="none"/>
        </w:rPr>
        <w:t xml:space="preserve">36.2 </w:t>
      </w:r>
      <w:r>
        <w:rPr>
          <w:rFonts w:hint="eastAsia" w:ascii="宋体" w:hAnsi="宋体"/>
          <w:bCs/>
          <w:sz w:val="24"/>
          <w:highlight w:val="none"/>
        </w:rPr>
        <w:t>招标人不保证低价中标。</w:t>
      </w:r>
      <w:bookmarkEnd w:id="123"/>
      <w:bookmarkEnd w:id="124"/>
      <w:bookmarkEnd w:id="125"/>
    </w:p>
    <w:p>
      <w:pPr>
        <w:pStyle w:val="20"/>
        <w:tabs>
          <w:tab w:val="left" w:pos="0"/>
        </w:tabs>
        <w:spacing w:line="480" w:lineRule="exact"/>
        <w:ind w:left="0" w:leftChars="0" w:firstLine="0" w:firstLineChars="0"/>
        <w:jc w:val="center"/>
        <w:rPr>
          <w:rFonts w:ascii="宋体"/>
          <w:bCs/>
          <w:highlight w:val="none"/>
        </w:rPr>
      </w:pPr>
      <w:r>
        <w:rPr>
          <w:rFonts w:ascii="宋体"/>
          <w:bCs/>
          <w:highlight w:val="none"/>
        </w:rPr>
        <w:br w:type="page"/>
      </w:r>
      <w:bookmarkStart w:id="126" w:name="_Toc21726"/>
    </w:p>
    <w:p>
      <w:pPr>
        <w:pStyle w:val="20"/>
        <w:tabs>
          <w:tab w:val="left" w:pos="0"/>
        </w:tabs>
        <w:spacing w:line="480" w:lineRule="exact"/>
        <w:ind w:left="0" w:leftChars="0" w:firstLine="0" w:firstLineChars="0"/>
        <w:jc w:val="center"/>
        <w:rPr>
          <w:rFonts w:ascii="宋体"/>
          <w:b/>
          <w:sz w:val="36"/>
          <w:highlight w:val="none"/>
        </w:rPr>
      </w:pPr>
      <w:r>
        <w:rPr>
          <w:rFonts w:hint="eastAsia" w:ascii="宋体" w:hAnsi="宋体"/>
          <w:b/>
          <w:sz w:val="36"/>
          <w:highlight w:val="none"/>
        </w:rPr>
        <w:t>第三部分招标要求</w:t>
      </w:r>
      <w:bookmarkEnd w:id="126"/>
    </w:p>
    <w:p>
      <w:pPr>
        <w:spacing w:line="440" w:lineRule="exact"/>
        <w:rPr>
          <w:rFonts w:ascii="宋体"/>
          <w:bCs/>
          <w:highlight w:val="none"/>
        </w:rPr>
      </w:pPr>
    </w:p>
    <w:p>
      <w:pPr>
        <w:spacing w:line="360" w:lineRule="auto"/>
        <w:rPr>
          <w:b/>
          <w:szCs w:val="28"/>
          <w:highlight w:val="none"/>
        </w:rPr>
      </w:pPr>
      <w:r>
        <w:rPr>
          <w:rFonts w:hint="eastAsia"/>
          <w:b/>
          <w:bCs/>
          <w:sz w:val="28"/>
          <w:highlight w:val="none"/>
        </w:rPr>
        <w:t>一、本项目分包情况</w:t>
      </w:r>
    </w:p>
    <w:p>
      <w:pPr>
        <w:spacing w:line="360" w:lineRule="auto"/>
        <w:ind w:firstLine="240" w:firstLineChars="100"/>
        <w:rPr>
          <w:rFonts w:hint="eastAsia"/>
          <w:sz w:val="24"/>
          <w:highlight w:val="none"/>
        </w:rPr>
      </w:pPr>
      <w:r>
        <w:rPr>
          <w:sz w:val="24"/>
          <w:highlight w:val="none"/>
        </w:rPr>
        <w:t xml:space="preserve"> </w:t>
      </w:r>
      <w:r>
        <w:rPr>
          <w:rFonts w:hint="eastAsia"/>
          <w:sz w:val="24"/>
          <w:highlight w:val="none"/>
        </w:rPr>
        <w:t xml:space="preserve"> 本次招标为山东大学第二医院康复数字化管理系统采购项目。投标人必须对所报设备完全响应，不得对包内设备分解后进行响应。</w:t>
      </w:r>
    </w:p>
    <w:p>
      <w:pPr>
        <w:spacing w:line="360" w:lineRule="auto"/>
        <w:ind w:firstLine="480" w:firstLineChars="200"/>
        <w:rPr>
          <w:rFonts w:hint="eastAsia" w:ascii="Times New Roman" w:hAnsi="Times New Roman" w:eastAsia="宋体" w:cs="Times New Roman"/>
          <w:sz w:val="24"/>
          <w:highlight w:val="none"/>
          <w:lang w:eastAsia="zh-CN"/>
        </w:rPr>
      </w:pPr>
      <w:r>
        <w:rPr>
          <w:rFonts w:hint="eastAsia" w:ascii="宋体" w:hAnsi="宋体"/>
          <w:bCs/>
          <w:sz w:val="24"/>
          <w:highlight w:val="none"/>
        </w:rPr>
        <w:t>交付期</w:t>
      </w:r>
      <w:r>
        <w:rPr>
          <w:rFonts w:hint="eastAsia" w:ascii="Times New Roman" w:hAnsi="Times New Roman" w:eastAsia="宋体" w:cs="Times New Roman"/>
          <w:sz w:val="24"/>
          <w:highlight w:val="none"/>
          <w:lang w:eastAsia="zh-CN"/>
        </w:rPr>
        <w:t>：</w:t>
      </w:r>
      <w:r>
        <w:rPr>
          <w:rFonts w:hint="eastAsia" w:ascii="Times New Roman" w:hAnsi="Times New Roman" w:eastAsia="宋体" w:cs="Times New Roman"/>
          <w:sz w:val="24"/>
          <w:highlight w:val="none"/>
        </w:rPr>
        <w:t>6个月</w:t>
      </w:r>
      <w:r>
        <w:rPr>
          <w:rFonts w:hint="eastAsia" w:cs="Times New Roman"/>
          <w:sz w:val="24"/>
          <w:highlight w:val="none"/>
          <w:lang w:eastAsia="zh-CN"/>
        </w:rPr>
        <w:t>，</w:t>
      </w:r>
      <w:r>
        <w:rPr>
          <w:rFonts w:hint="eastAsia" w:cs="Times New Roman"/>
          <w:sz w:val="24"/>
          <w:highlight w:val="none"/>
          <w:lang w:val="en-US" w:eastAsia="zh-CN"/>
        </w:rPr>
        <w:t>可竞报</w:t>
      </w:r>
      <w:r>
        <w:rPr>
          <w:rFonts w:hint="eastAsia" w:ascii="Times New Roman" w:hAnsi="Times New Roman" w:eastAsia="宋体" w:cs="Times New Roman"/>
          <w:sz w:val="24"/>
          <w:highlight w:val="none"/>
          <w:lang w:eastAsia="zh-CN"/>
        </w:rPr>
        <w:t>。</w:t>
      </w:r>
    </w:p>
    <w:p>
      <w:pPr>
        <w:spacing w:line="360" w:lineRule="auto"/>
        <w:ind w:firstLine="480" w:firstLineChars="200"/>
        <w:rPr>
          <w:rFonts w:hint="eastAsia" w:ascii="Times New Roman" w:hAnsi="Times New Roman" w:eastAsia="宋体" w:cs="Times New Roman"/>
          <w:sz w:val="24"/>
          <w:highlight w:val="none"/>
          <w:lang w:eastAsia="zh-CN"/>
        </w:rPr>
      </w:pPr>
      <w:r>
        <w:rPr>
          <w:rFonts w:hint="eastAsia" w:ascii="Times New Roman" w:hAnsi="Times New Roman" w:eastAsia="宋体" w:cs="Times New Roman"/>
          <w:sz w:val="24"/>
          <w:highlight w:val="none"/>
        </w:rPr>
        <w:t>质保期</w:t>
      </w:r>
      <w:r>
        <w:rPr>
          <w:rFonts w:hint="eastAsia" w:ascii="Times New Roman" w:hAnsi="Times New Roman" w:eastAsia="宋体" w:cs="Times New Roman"/>
          <w:sz w:val="24"/>
          <w:highlight w:val="none"/>
          <w:lang w:eastAsia="zh-CN"/>
        </w:rPr>
        <w:t>：</w:t>
      </w:r>
      <w:r>
        <w:rPr>
          <w:rFonts w:hint="eastAsia" w:cs="Times New Roman"/>
          <w:sz w:val="24"/>
          <w:highlight w:val="none"/>
          <w:lang w:val="en-US" w:eastAsia="zh-CN"/>
        </w:rPr>
        <w:t>不低于</w:t>
      </w:r>
      <w:r>
        <w:rPr>
          <w:rFonts w:hint="eastAsia" w:ascii="Times New Roman" w:hAnsi="Times New Roman" w:eastAsia="宋体" w:cs="Times New Roman"/>
          <w:sz w:val="24"/>
          <w:highlight w:val="none"/>
        </w:rPr>
        <w:t>1年</w:t>
      </w:r>
      <w:r>
        <w:rPr>
          <w:rFonts w:hint="eastAsia" w:ascii="Times New Roman" w:hAnsi="Times New Roman" w:eastAsia="宋体" w:cs="Times New Roman"/>
          <w:sz w:val="24"/>
          <w:highlight w:val="none"/>
          <w:lang w:eastAsia="zh-CN"/>
        </w:rPr>
        <w:t>。</w:t>
      </w:r>
    </w:p>
    <w:p>
      <w:pPr>
        <w:pStyle w:val="4"/>
        <w:numPr>
          <w:ilvl w:val="0"/>
          <w:numId w:val="5"/>
        </w:numPr>
        <w:spacing w:line="480" w:lineRule="exact"/>
        <w:rPr>
          <w:color w:val="000000"/>
          <w:sz w:val="28"/>
          <w:szCs w:val="28"/>
          <w:highlight w:val="none"/>
        </w:rPr>
      </w:pPr>
      <w:bookmarkStart w:id="127" w:name="_Toc2031"/>
      <w:r>
        <w:rPr>
          <w:rFonts w:hint="eastAsia"/>
          <w:color w:val="000000"/>
          <w:sz w:val="28"/>
          <w:szCs w:val="28"/>
          <w:highlight w:val="none"/>
        </w:rPr>
        <w:t xml:space="preserve">技术参数 </w:t>
      </w:r>
    </w:p>
    <w:p>
      <w:pPr>
        <w:pStyle w:val="4"/>
        <w:spacing w:line="480" w:lineRule="exact"/>
        <w:rPr>
          <w:color w:val="000000"/>
          <w:sz w:val="24"/>
          <w:szCs w:val="24"/>
          <w:highlight w:val="none"/>
        </w:rPr>
      </w:pPr>
      <w:r>
        <w:rPr>
          <w:rFonts w:hint="eastAsia"/>
          <w:color w:val="000000"/>
          <w:sz w:val="24"/>
          <w:szCs w:val="24"/>
          <w:highlight w:val="none"/>
        </w:rPr>
        <w:t>（一）系统功能清单</w:t>
      </w:r>
    </w:p>
    <w:p>
      <w:pPr>
        <w:numPr>
          <w:ilvl w:val="0"/>
          <w:numId w:val="6"/>
        </w:numPr>
        <w:rPr>
          <w:rFonts w:ascii="宋体" w:hAnsi="宋体" w:cs="宋体"/>
          <w:bCs/>
          <w:sz w:val="24"/>
          <w:highlight w:val="none"/>
        </w:rPr>
      </w:pPr>
      <w:r>
        <w:rPr>
          <w:rFonts w:hint="eastAsia" w:ascii="宋体" w:hAnsi="宋体" w:cs="宋体"/>
          <w:bCs/>
          <w:sz w:val="24"/>
          <w:highlight w:val="none"/>
        </w:rPr>
        <w:t>康复评定工作站</w:t>
      </w:r>
    </w:p>
    <w:p>
      <w:pPr>
        <w:numPr>
          <w:ilvl w:val="0"/>
          <w:numId w:val="7"/>
        </w:numPr>
        <w:ind w:left="5" w:hanging="5"/>
        <w:rPr>
          <w:rFonts w:ascii="宋体" w:hAnsi="宋体" w:cs="宋体"/>
          <w:sz w:val="24"/>
          <w:highlight w:val="none"/>
        </w:rPr>
      </w:pPr>
      <w:r>
        <w:rPr>
          <w:rFonts w:hint="eastAsia" w:ascii="宋体" w:hAnsi="宋体" w:cs="宋体"/>
          <w:sz w:val="24"/>
          <w:highlight w:val="none"/>
        </w:rPr>
        <w:t>具备数字化康复评估功能，包含普通伤员及灾害伤员的评估，各种康复评估量表达180个以上；</w:t>
      </w:r>
    </w:p>
    <w:p>
      <w:pPr>
        <w:numPr>
          <w:ilvl w:val="0"/>
          <w:numId w:val="7"/>
        </w:numPr>
        <w:rPr>
          <w:rFonts w:ascii="宋体" w:hAnsi="宋体" w:cs="宋体"/>
          <w:sz w:val="24"/>
          <w:highlight w:val="none"/>
        </w:rPr>
      </w:pPr>
      <w:r>
        <w:rPr>
          <w:rFonts w:hint="eastAsia" w:ascii="宋体" w:hAnsi="宋体" w:cs="宋体"/>
          <w:sz w:val="24"/>
          <w:highlight w:val="none"/>
        </w:rPr>
        <w:t>管理评估量表，根据病种推荐预设方案、历史方案、推荐方案快速选择量表；</w:t>
      </w:r>
    </w:p>
    <w:p>
      <w:pPr>
        <w:numPr>
          <w:ilvl w:val="0"/>
          <w:numId w:val="7"/>
        </w:numPr>
        <w:rPr>
          <w:rFonts w:ascii="宋体" w:hAnsi="宋体" w:cs="宋体"/>
          <w:sz w:val="24"/>
          <w:highlight w:val="none"/>
        </w:rPr>
      </w:pPr>
      <w:r>
        <w:rPr>
          <w:rFonts w:hint="eastAsia" w:ascii="宋体" w:hAnsi="宋体" w:cs="宋体"/>
          <w:sz w:val="24"/>
          <w:highlight w:val="none"/>
        </w:rPr>
        <w:t>能形成规范的，可打印，可编辑的评估报告；</w:t>
      </w:r>
    </w:p>
    <w:p>
      <w:pPr>
        <w:numPr>
          <w:ilvl w:val="0"/>
          <w:numId w:val="7"/>
        </w:numPr>
        <w:rPr>
          <w:rFonts w:ascii="宋体" w:hAnsi="宋体" w:cs="宋体"/>
          <w:sz w:val="24"/>
          <w:highlight w:val="none"/>
        </w:rPr>
      </w:pPr>
      <w:r>
        <w:rPr>
          <w:rFonts w:hint="eastAsia" w:ascii="宋体" w:hAnsi="宋体" w:cs="宋体"/>
          <w:sz w:val="24"/>
          <w:highlight w:val="none"/>
        </w:rPr>
        <w:t>支持量表自动计算分数；支持视频采集（</w:t>
      </w:r>
      <w:r>
        <w:rPr>
          <w:rFonts w:hint="eastAsia" w:ascii="宋体" w:hAnsi="宋体" w:cs="宋体"/>
          <w:bCs/>
          <w:sz w:val="24"/>
          <w:highlight w:val="none"/>
        </w:rPr>
        <w:t>需提供产品现场演示</w:t>
      </w:r>
      <w:r>
        <w:rPr>
          <w:rFonts w:hint="eastAsia" w:ascii="宋体" w:hAnsi="宋体" w:cs="宋体"/>
          <w:sz w:val="24"/>
          <w:highlight w:val="none"/>
        </w:rPr>
        <w:t>）</w:t>
      </w:r>
    </w:p>
    <w:p>
      <w:pPr>
        <w:numPr>
          <w:ilvl w:val="0"/>
          <w:numId w:val="7"/>
        </w:numPr>
        <w:ind w:left="5" w:hanging="5"/>
        <w:rPr>
          <w:rFonts w:ascii="宋体" w:hAnsi="宋体" w:cs="宋体"/>
          <w:sz w:val="24"/>
          <w:highlight w:val="none"/>
        </w:rPr>
      </w:pPr>
      <w:r>
        <w:rPr>
          <w:rFonts w:hint="eastAsia" w:ascii="宋体" w:hAnsi="宋体" w:cs="宋体"/>
          <w:sz w:val="24"/>
          <w:highlight w:val="none"/>
        </w:rPr>
        <w:t>评估量表数据结构化存储，并可对历次评估数据进行对比分析，包括数值对比和视频对比（</w:t>
      </w:r>
      <w:r>
        <w:rPr>
          <w:rFonts w:hint="eastAsia" w:ascii="宋体" w:hAnsi="宋体" w:cs="宋体"/>
          <w:bCs/>
          <w:sz w:val="24"/>
          <w:highlight w:val="none"/>
        </w:rPr>
        <w:t>需提供产品现场演示</w:t>
      </w:r>
      <w:r>
        <w:rPr>
          <w:rFonts w:hint="eastAsia" w:ascii="宋体" w:hAnsi="宋体" w:cs="宋体"/>
          <w:sz w:val="24"/>
          <w:highlight w:val="none"/>
        </w:rPr>
        <w:t>）；</w:t>
      </w:r>
    </w:p>
    <w:p>
      <w:pPr>
        <w:numPr>
          <w:ilvl w:val="0"/>
          <w:numId w:val="7"/>
        </w:numPr>
        <w:rPr>
          <w:rFonts w:ascii="宋体" w:hAnsi="宋体" w:cs="宋体"/>
          <w:sz w:val="24"/>
          <w:highlight w:val="none"/>
        </w:rPr>
      </w:pPr>
      <w:r>
        <w:rPr>
          <w:rFonts w:hint="eastAsia" w:ascii="宋体" w:hAnsi="宋体" w:cs="宋体"/>
          <w:sz w:val="24"/>
          <w:highlight w:val="none"/>
        </w:rPr>
        <w:t>支持评估过程查看患者整个住院病历；支持查看患者的治疗记录情况；</w:t>
      </w:r>
    </w:p>
    <w:p>
      <w:pPr>
        <w:numPr>
          <w:ilvl w:val="0"/>
          <w:numId w:val="7"/>
        </w:numPr>
        <w:rPr>
          <w:rFonts w:ascii="宋体" w:hAnsi="宋体" w:cs="宋体"/>
          <w:sz w:val="24"/>
          <w:highlight w:val="none"/>
        </w:rPr>
      </w:pPr>
      <w:r>
        <w:rPr>
          <w:rFonts w:hint="eastAsia" w:ascii="宋体" w:hAnsi="宋体" w:cs="宋体"/>
          <w:sz w:val="24"/>
          <w:highlight w:val="none"/>
        </w:rPr>
        <w:t>支持建议医嘱推送给医师（</w:t>
      </w:r>
      <w:r>
        <w:rPr>
          <w:rFonts w:hint="eastAsia" w:ascii="宋体" w:hAnsi="宋体" w:cs="宋体"/>
          <w:bCs/>
          <w:sz w:val="24"/>
          <w:highlight w:val="none"/>
        </w:rPr>
        <w:t>需提供产品现场演示</w:t>
      </w:r>
      <w:r>
        <w:rPr>
          <w:rFonts w:hint="eastAsia" w:ascii="宋体" w:hAnsi="宋体" w:cs="宋体"/>
          <w:sz w:val="24"/>
          <w:highlight w:val="none"/>
        </w:rPr>
        <w:t>）；</w:t>
      </w:r>
    </w:p>
    <w:p>
      <w:pPr>
        <w:numPr>
          <w:ilvl w:val="0"/>
          <w:numId w:val="7"/>
        </w:numPr>
        <w:rPr>
          <w:rFonts w:ascii="宋体" w:hAnsi="宋体" w:cs="宋体"/>
          <w:sz w:val="24"/>
          <w:highlight w:val="none"/>
        </w:rPr>
      </w:pPr>
      <w:r>
        <w:rPr>
          <w:rFonts w:hint="eastAsia" w:ascii="宋体" w:hAnsi="宋体" w:cs="宋体"/>
          <w:sz w:val="24"/>
          <w:highlight w:val="none"/>
        </w:rPr>
        <w:t>支持康复顾问、医生、康复师、康复护士对于患者的评估结果进行查询；</w:t>
      </w:r>
    </w:p>
    <w:p>
      <w:pPr>
        <w:numPr>
          <w:ilvl w:val="0"/>
          <w:numId w:val="7"/>
        </w:numPr>
        <w:rPr>
          <w:rFonts w:ascii="宋体" w:hAnsi="宋体" w:cs="宋体"/>
          <w:sz w:val="24"/>
          <w:highlight w:val="none"/>
        </w:rPr>
      </w:pPr>
      <w:r>
        <w:rPr>
          <w:rFonts w:hint="eastAsia" w:ascii="宋体" w:hAnsi="宋体" w:cs="宋体"/>
          <w:sz w:val="24"/>
          <w:highlight w:val="none"/>
        </w:rPr>
        <w:t>音视频与医生评定医嘱绑定，形成闭环管理；</w:t>
      </w:r>
    </w:p>
    <w:p>
      <w:pPr>
        <w:numPr>
          <w:ilvl w:val="0"/>
          <w:numId w:val="7"/>
        </w:numPr>
        <w:rPr>
          <w:rFonts w:ascii="宋体" w:hAnsi="宋体" w:cs="宋体"/>
          <w:sz w:val="24"/>
          <w:highlight w:val="none"/>
        </w:rPr>
      </w:pPr>
      <w:r>
        <w:rPr>
          <w:rFonts w:hint="eastAsia" w:ascii="宋体" w:hAnsi="宋体" w:cs="宋体"/>
          <w:sz w:val="24"/>
          <w:highlight w:val="none"/>
        </w:rPr>
        <w:t>支持根据病种建立评定方案模板；</w:t>
      </w:r>
    </w:p>
    <w:p>
      <w:pPr>
        <w:numPr>
          <w:ilvl w:val="0"/>
          <w:numId w:val="7"/>
        </w:numPr>
        <w:rPr>
          <w:rFonts w:ascii="宋体" w:hAnsi="宋体" w:cs="宋体"/>
          <w:sz w:val="24"/>
          <w:highlight w:val="none"/>
        </w:rPr>
      </w:pPr>
      <w:r>
        <w:rPr>
          <w:rFonts w:hint="eastAsia" w:ascii="宋体" w:hAnsi="宋体" w:cs="宋体"/>
          <w:sz w:val="24"/>
          <w:highlight w:val="none"/>
        </w:rPr>
        <w:t>支持按不同治疗区填写评定子报告；</w:t>
      </w:r>
    </w:p>
    <w:p>
      <w:pPr>
        <w:numPr>
          <w:ilvl w:val="0"/>
          <w:numId w:val="7"/>
        </w:numPr>
        <w:rPr>
          <w:rFonts w:ascii="宋体" w:hAnsi="宋体" w:cs="宋体"/>
          <w:sz w:val="24"/>
          <w:highlight w:val="none"/>
        </w:rPr>
      </w:pPr>
      <w:r>
        <w:rPr>
          <w:rFonts w:hint="eastAsia" w:ascii="宋体" w:hAnsi="宋体" w:cs="宋体"/>
          <w:sz w:val="24"/>
          <w:highlight w:val="none"/>
        </w:rPr>
        <w:t>支持根据评定结果自动生成评定报告并可以进行微调；</w:t>
      </w:r>
    </w:p>
    <w:p>
      <w:pPr>
        <w:numPr>
          <w:ilvl w:val="0"/>
          <w:numId w:val="7"/>
        </w:numPr>
        <w:rPr>
          <w:rFonts w:ascii="宋体" w:hAnsi="宋体" w:cs="宋体"/>
          <w:sz w:val="24"/>
          <w:highlight w:val="none"/>
        </w:rPr>
      </w:pPr>
      <w:r>
        <w:rPr>
          <w:rFonts w:hint="eastAsia" w:ascii="宋体" w:hAnsi="宋体" w:cs="宋体"/>
          <w:sz w:val="24"/>
          <w:highlight w:val="none"/>
        </w:rPr>
        <w:t>支持评估报告完成时间质控功能；</w:t>
      </w:r>
    </w:p>
    <w:p>
      <w:pPr>
        <w:numPr>
          <w:ilvl w:val="0"/>
          <w:numId w:val="7"/>
        </w:numPr>
        <w:rPr>
          <w:rFonts w:ascii="宋体" w:hAnsi="宋体" w:cs="宋体"/>
          <w:sz w:val="24"/>
          <w:highlight w:val="none"/>
        </w:rPr>
      </w:pPr>
      <w:r>
        <w:rPr>
          <w:rFonts w:hint="eastAsia" w:ascii="宋体" w:hAnsi="宋体" w:cs="宋体"/>
          <w:sz w:val="24"/>
          <w:highlight w:val="none"/>
        </w:rPr>
        <w:t>支持评定报告CA数字签名；</w:t>
      </w:r>
    </w:p>
    <w:p>
      <w:pPr>
        <w:numPr>
          <w:ilvl w:val="0"/>
          <w:numId w:val="7"/>
        </w:numPr>
        <w:ind w:left="5" w:hanging="5"/>
        <w:rPr>
          <w:rFonts w:ascii="宋体" w:hAnsi="宋体" w:cs="宋体"/>
          <w:sz w:val="24"/>
          <w:highlight w:val="none"/>
        </w:rPr>
      </w:pPr>
      <w:r>
        <w:rPr>
          <w:rFonts w:hint="eastAsia" w:ascii="宋体" w:hAnsi="宋体" w:cs="宋体"/>
          <w:sz w:val="24"/>
          <w:highlight w:val="none"/>
        </w:rPr>
        <w:t>支持ICF评定功能，实现通用要素以及病种要素的推荐，医生可根据患者实际情况增删要素进行评定；</w:t>
      </w:r>
    </w:p>
    <w:p>
      <w:pPr>
        <w:numPr>
          <w:ilvl w:val="0"/>
          <w:numId w:val="7"/>
        </w:numPr>
        <w:rPr>
          <w:rFonts w:ascii="宋体" w:hAnsi="宋体" w:cs="宋体"/>
          <w:sz w:val="24"/>
          <w:highlight w:val="none"/>
        </w:rPr>
      </w:pPr>
      <w:r>
        <w:rPr>
          <w:rFonts w:hint="eastAsia" w:ascii="宋体" w:hAnsi="宋体" w:cs="宋体"/>
          <w:sz w:val="24"/>
          <w:highlight w:val="none"/>
        </w:rPr>
        <w:t>支持ICF编码与康复评定项目或者治疗区进行关联；</w:t>
      </w:r>
    </w:p>
    <w:p>
      <w:pPr>
        <w:numPr>
          <w:ilvl w:val="0"/>
          <w:numId w:val="7"/>
        </w:numPr>
        <w:rPr>
          <w:rFonts w:ascii="宋体" w:hAnsi="宋体" w:cs="宋体"/>
          <w:sz w:val="24"/>
          <w:highlight w:val="none"/>
        </w:rPr>
      </w:pPr>
      <w:r>
        <w:rPr>
          <w:rFonts w:hint="eastAsia" w:ascii="宋体" w:hAnsi="宋体" w:cs="宋体"/>
          <w:sz w:val="24"/>
          <w:highlight w:val="none"/>
        </w:rPr>
        <w:t>支持医生、治疗师、护士通过ICF进行评定工作；</w:t>
      </w:r>
    </w:p>
    <w:p>
      <w:pPr>
        <w:numPr>
          <w:ilvl w:val="0"/>
          <w:numId w:val="7"/>
        </w:numPr>
        <w:rPr>
          <w:rFonts w:ascii="宋体" w:hAnsi="宋体" w:cs="宋体"/>
          <w:sz w:val="24"/>
          <w:highlight w:val="none"/>
        </w:rPr>
      </w:pPr>
      <w:r>
        <w:rPr>
          <w:rFonts w:hint="eastAsia" w:ascii="宋体" w:hAnsi="宋体" w:cs="宋体"/>
          <w:sz w:val="24"/>
          <w:highlight w:val="none"/>
        </w:rPr>
        <w:t>支持自主选择ICF要素层级进行评定工作；</w:t>
      </w:r>
    </w:p>
    <w:p>
      <w:pPr>
        <w:numPr>
          <w:ilvl w:val="0"/>
          <w:numId w:val="7"/>
        </w:numPr>
        <w:ind w:left="5" w:hanging="5"/>
        <w:rPr>
          <w:rFonts w:ascii="宋体" w:hAnsi="宋体" w:cs="宋体"/>
          <w:sz w:val="24"/>
          <w:highlight w:val="none"/>
        </w:rPr>
      </w:pPr>
      <w:r>
        <w:rPr>
          <w:rFonts w:hint="eastAsia" w:ascii="宋体" w:hAnsi="宋体" w:cs="宋体"/>
          <w:sz w:val="24"/>
          <w:highlight w:val="none"/>
        </w:rPr>
        <w:t>支持实现ICF要素限定值的评估，并可参照项目（量表）评估结果（</w:t>
      </w:r>
      <w:r>
        <w:rPr>
          <w:rFonts w:hint="eastAsia" w:ascii="宋体" w:hAnsi="宋体" w:cs="宋体"/>
          <w:bCs/>
          <w:sz w:val="24"/>
          <w:highlight w:val="none"/>
        </w:rPr>
        <w:t>需提供产品现场演示</w:t>
      </w:r>
      <w:r>
        <w:rPr>
          <w:rFonts w:hint="eastAsia" w:ascii="宋体" w:hAnsi="宋体" w:cs="宋体"/>
          <w:sz w:val="24"/>
          <w:highlight w:val="none"/>
        </w:rPr>
        <w:t>）。</w:t>
      </w:r>
    </w:p>
    <w:p>
      <w:pPr>
        <w:numPr>
          <w:ilvl w:val="0"/>
          <w:numId w:val="6"/>
        </w:numPr>
        <w:rPr>
          <w:rFonts w:ascii="宋体" w:hAnsi="宋体" w:cs="宋体"/>
          <w:bCs/>
          <w:sz w:val="24"/>
          <w:highlight w:val="none"/>
        </w:rPr>
      </w:pPr>
      <w:r>
        <w:rPr>
          <w:rFonts w:hint="eastAsia" w:ascii="宋体" w:hAnsi="宋体" w:cs="宋体"/>
          <w:bCs/>
          <w:sz w:val="24"/>
          <w:highlight w:val="none"/>
        </w:rPr>
        <w:t>康复治疗工作站</w:t>
      </w:r>
    </w:p>
    <w:p>
      <w:pPr>
        <w:numPr>
          <w:ilvl w:val="0"/>
          <w:numId w:val="8"/>
        </w:numPr>
        <w:rPr>
          <w:rFonts w:ascii="宋体" w:hAnsi="宋体" w:cs="宋体"/>
          <w:sz w:val="24"/>
          <w:highlight w:val="none"/>
        </w:rPr>
      </w:pPr>
      <w:r>
        <w:rPr>
          <w:rFonts w:hint="eastAsia" w:ascii="宋体" w:hAnsi="宋体" w:cs="宋体"/>
          <w:sz w:val="24"/>
          <w:highlight w:val="none"/>
        </w:rPr>
        <w:t>根据临床医生开具的治疗医嘱，接口自动读取；</w:t>
      </w:r>
    </w:p>
    <w:p>
      <w:pPr>
        <w:numPr>
          <w:ilvl w:val="0"/>
          <w:numId w:val="8"/>
        </w:numPr>
        <w:rPr>
          <w:rFonts w:ascii="宋体" w:hAnsi="宋体" w:cs="宋体"/>
          <w:sz w:val="24"/>
          <w:highlight w:val="none"/>
        </w:rPr>
      </w:pPr>
      <w:r>
        <w:rPr>
          <w:rFonts w:hint="eastAsia" w:ascii="宋体" w:hAnsi="宋体" w:cs="宋体"/>
          <w:sz w:val="24"/>
          <w:highlight w:val="none"/>
        </w:rPr>
        <w:t>治疗师可进行自我治疗工作任务的查看；</w:t>
      </w:r>
    </w:p>
    <w:p>
      <w:pPr>
        <w:numPr>
          <w:ilvl w:val="0"/>
          <w:numId w:val="8"/>
        </w:numPr>
        <w:rPr>
          <w:rFonts w:ascii="宋体" w:hAnsi="宋体" w:cs="宋体"/>
          <w:sz w:val="24"/>
          <w:highlight w:val="none"/>
        </w:rPr>
      </w:pPr>
      <w:r>
        <w:rPr>
          <w:rFonts w:hint="eastAsia" w:ascii="宋体" w:hAnsi="宋体" w:cs="宋体"/>
          <w:sz w:val="24"/>
          <w:highlight w:val="none"/>
        </w:rPr>
        <w:t>治疗项目执行确认并可集成HIS的记账接口流程；</w:t>
      </w:r>
    </w:p>
    <w:p>
      <w:pPr>
        <w:numPr>
          <w:ilvl w:val="0"/>
          <w:numId w:val="8"/>
        </w:numPr>
        <w:rPr>
          <w:rFonts w:ascii="宋体" w:hAnsi="宋体" w:cs="宋体"/>
          <w:sz w:val="24"/>
          <w:highlight w:val="none"/>
        </w:rPr>
      </w:pPr>
      <w:r>
        <w:rPr>
          <w:rFonts w:hint="eastAsia" w:ascii="宋体" w:hAnsi="宋体" w:cs="宋体"/>
          <w:sz w:val="24"/>
          <w:highlight w:val="none"/>
        </w:rPr>
        <w:t>记录病人每次治疗结果的情况；</w:t>
      </w:r>
    </w:p>
    <w:p>
      <w:pPr>
        <w:numPr>
          <w:ilvl w:val="0"/>
          <w:numId w:val="8"/>
        </w:numPr>
        <w:ind w:left="5" w:hanging="5"/>
        <w:rPr>
          <w:rFonts w:ascii="宋体" w:hAnsi="宋体" w:cs="宋体"/>
          <w:sz w:val="24"/>
          <w:highlight w:val="none"/>
        </w:rPr>
      </w:pPr>
      <w:r>
        <w:rPr>
          <w:rFonts w:hint="eastAsia" w:ascii="宋体" w:hAnsi="宋体" w:cs="宋体"/>
          <w:sz w:val="24"/>
          <w:highlight w:val="none"/>
        </w:rPr>
        <w:t>支持中医针灸项目根据病症、症候推荐治疗穴位，并可以快速引用患者历史穴位方案；支持执行时可根据实际执行部位数量进行执行；支持未执行完成的部位数可以继续执行；（</w:t>
      </w:r>
      <w:r>
        <w:rPr>
          <w:rFonts w:hint="eastAsia" w:ascii="宋体" w:hAnsi="宋体" w:cs="宋体"/>
          <w:bCs/>
          <w:sz w:val="24"/>
          <w:highlight w:val="none"/>
        </w:rPr>
        <w:t>需提供产品现场演示</w:t>
      </w:r>
      <w:r>
        <w:rPr>
          <w:rFonts w:hint="eastAsia" w:ascii="宋体" w:hAnsi="宋体" w:cs="宋体"/>
          <w:sz w:val="24"/>
          <w:highlight w:val="none"/>
        </w:rPr>
        <w:t>）</w:t>
      </w:r>
    </w:p>
    <w:p>
      <w:pPr>
        <w:numPr>
          <w:ilvl w:val="0"/>
          <w:numId w:val="8"/>
        </w:numPr>
        <w:rPr>
          <w:rFonts w:ascii="宋体" w:hAnsi="宋体" w:cs="宋体"/>
          <w:sz w:val="24"/>
          <w:highlight w:val="none"/>
        </w:rPr>
      </w:pPr>
      <w:r>
        <w:rPr>
          <w:rFonts w:hint="eastAsia" w:ascii="宋体" w:hAnsi="宋体" w:cs="宋体"/>
          <w:sz w:val="24"/>
          <w:highlight w:val="none"/>
        </w:rPr>
        <w:t>支持显示治疗项目对应医嘱的嘱托内容；</w:t>
      </w:r>
    </w:p>
    <w:p>
      <w:pPr>
        <w:numPr>
          <w:ilvl w:val="0"/>
          <w:numId w:val="8"/>
        </w:numPr>
        <w:rPr>
          <w:rFonts w:ascii="宋体" w:hAnsi="宋体" w:cs="宋体"/>
          <w:sz w:val="24"/>
          <w:highlight w:val="none"/>
        </w:rPr>
      </w:pPr>
      <w:r>
        <w:rPr>
          <w:rFonts w:hint="eastAsia" w:ascii="宋体" w:hAnsi="宋体" w:cs="宋体"/>
          <w:sz w:val="24"/>
          <w:highlight w:val="none"/>
        </w:rPr>
        <w:t>支持执行时可根据实际执行部位数量进行执行；</w:t>
      </w:r>
    </w:p>
    <w:p>
      <w:pPr>
        <w:numPr>
          <w:ilvl w:val="0"/>
          <w:numId w:val="8"/>
        </w:numPr>
        <w:rPr>
          <w:rFonts w:ascii="宋体" w:hAnsi="宋体" w:cs="宋体"/>
          <w:sz w:val="24"/>
          <w:highlight w:val="none"/>
          <w:u w:val="single"/>
        </w:rPr>
      </w:pPr>
      <w:r>
        <w:rPr>
          <w:rFonts w:hint="eastAsia" w:ascii="宋体" w:hAnsi="宋体" w:cs="宋体"/>
          <w:sz w:val="24"/>
          <w:highlight w:val="none"/>
        </w:rPr>
        <w:t>支持未执行完成的部位数可以继续执行；</w:t>
      </w:r>
      <w:r>
        <w:rPr>
          <w:rFonts w:hint="eastAsia" w:ascii="宋体" w:hAnsi="宋体" w:cs="宋体"/>
          <w:sz w:val="24"/>
          <w:highlight w:val="none"/>
          <w:u w:val="single"/>
        </w:rPr>
        <w:t xml:space="preserve">       </w:t>
      </w:r>
    </w:p>
    <w:p>
      <w:pPr>
        <w:numPr>
          <w:ilvl w:val="0"/>
          <w:numId w:val="8"/>
        </w:numPr>
        <w:rPr>
          <w:rFonts w:ascii="宋体" w:hAnsi="宋体" w:cs="宋体"/>
          <w:sz w:val="24"/>
          <w:highlight w:val="none"/>
        </w:rPr>
      </w:pPr>
      <w:r>
        <w:rPr>
          <w:rFonts w:hint="eastAsia" w:ascii="宋体" w:hAnsi="宋体" w:cs="宋体"/>
          <w:sz w:val="24"/>
          <w:highlight w:val="none"/>
        </w:rPr>
        <w:t>支持调用HIS收费接口时根据实际执行部位数进行收费；</w:t>
      </w:r>
    </w:p>
    <w:p>
      <w:pPr>
        <w:numPr>
          <w:ilvl w:val="0"/>
          <w:numId w:val="8"/>
        </w:numPr>
        <w:rPr>
          <w:rFonts w:ascii="宋体" w:hAnsi="宋体" w:cs="宋体"/>
          <w:sz w:val="24"/>
          <w:highlight w:val="none"/>
        </w:rPr>
      </w:pPr>
      <w:r>
        <w:rPr>
          <w:rFonts w:hint="eastAsia" w:ascii="宋体" w:hAnsi="宋体" w:cs="宋体"/>
          <w:sz w:val="24"/>
          <w:highlight w:val="none"/>
        </w:rPr>
        <w:t>支持治疗未做备注自动记录在该患者留言板；（</w:t>
      </w:r>
      <w:r>
        <w:rPr>
          <w:rFonts w:hint="eastAsia" w:ascii="宋体" w:hAnsi="宋体" w:cs="宋体"/>
          <w:bCs/>
          <w:sz w:val="24"/>
          <w:highlight w:val="none"/>
        </w:rPr>
        <w:t>需提供产品现场演示</w:t>
      </w:r>
      <w:r>
        <w:rPr>
          <w:rFonts w:hint="eastAsia" w:ascii="宋体" w:hAnsi="宋体" w:cs="宋体"/>
          <w:sz w:val="24"/>
          <w:highlight w:val="none"/>
        </w:rPr>
        <w:t>）；</w:t>
      </w:r>
    </w:p>
    <w:p>
      <w:pPr>
        <w:numPr>
          <w:ilvl w:val="0"/>
          <w:numId w:val="8"/>
        </w:numPr>
        <w:rPr>
          <w:rFonts w:ascii="宋体" w:hAnsi="宋体" w:cs="宋体"/>
          <w:sz w:val="24"/>
          <w:highlight w:val="none"/>
        </w:rPr>
      </w:pPr>
      <w:r>
        <w:rPr>
          <w:rFonts w:hint="eastAsia" w:ascii="宋体" w:hAnsi="宋体" w:cs="宋体"/>
          <w:sz w:val="24"/>
          <w:highlight w:val="none"/>
        </w:rPr>
        <w:t>支持治疗排班后未及时治疗，自动通知相应治疗师；</w:t>
      </w:r>
    </w:p>
    <w:p>
      <w:pPr>
        <w:numPr>
          <w:ilvl w:val="0"/>
          <w:numId w:val="8"/>
        </w:numPr>
        <w:ind w:left="5" w:hanging="5"/>
        <w:rPr>
          <w:rFonts w:ascii="宋体" w:hAnsi="宋体" w:cs="宋体"/>
          <w:sz w:val="24"/>
          <w:highlight w:val="none"/>
        </w:rPr>
      </w:pPr>
      <w:r>
        <w:rPr>
          <w:rFonts w:hint="eastAsia" w:ascii="宋体" w:hAnsi="宋体" w:cs="宋体"/>
          <w:sz w:val="24"/>
          <w:highlight w:val="none"/>
        </w:rPr>
        <w:t>支持治疗执行时根据实际情况调整费用情况再调用HIS接口完成计费的功能；</w:t>
      </w:r>
    </w:p>
    <w:p>
      <w:pPr>
        <w:numPr>
          <w:ilvl w:val="0"/>
          <w:numId w:val="8"/>
        </w:numPr>
        <w:rPr>
          <w:rFonts w:ascii="宋体" w:hAnsi="宋体" w:cs="宋体"/>
          <w:sz w:val="24"/>
          <w:highlight w:val="none"/>
        </w:rPr>
      </w:pPr>
      <w:r>
        <w:rPr>
          <w:rFonts w:hint="eastAsia" w:ascii="宋体" w:hAnsi="宋体" w:cs="宋体"/>
          <w:sz w:val="24"/>
          <w:highlight w:val="none"/>
        </w:rPr>
        <w:t>支持执行后HIS收费未成功时可继续补计费的功能；</w:t>
      </w:r>
    </w:p>
    <w:p>
      <w:pPr>
        <w:numPr>
          <w:ilvl w:val="0"/>
          <w:numId w:val="8"/>
        </w:numPr>
        <w:rPr>
          <w:rFonts w:ascii="宋体" w:hAnsi="宋体" w:cs="宋体"/>
          <w:sz w:val="24"/>
          <w:highlight w:val="none"/>
        </w:rPr>
      </w:pPr>
      <w:r>
        <w:rPr>
          <w:rFonts w:hint="eastAsia" w:ascii="宋体" w:hAnsi="宋体" w:cs="宋体"/>
          <w:sz w:val="24"/>
          <w:highlight w:val="none"/>
        </w:rPr>
        <w:t>支持启用了HIS记账接口的模式下治疗项目退费的功能；</w:t>
      </w:r>
    </w:p>
    <w:p>
      <w:pPr>
        <w:numPr>
          <w:ilvl w:val="0"/>
          <w:numId w:val="8"/>
        </w:numPr>
        <w:rPr>
          <w:rFonts w:ascii="宋体" w:hAnsi="宋体" w:cs="宋体"/>
          <w:sz w:val="24"/>
          <w:highlight w:val="none"/>
        </w:rPr>
      </w:pPr>
      <w:r>
        <w:rPr>
          <w:rFonts w:hint="eastAsia" w:ascii="宋体" w:hAnsi="宋体" w:cs="宋体"/>
          <w:sz w:val="24"/>
          <w:highlight w:val="none"/>
        </w:rPr>
        <w:t>支持单独标记治疗项目收费状态的功能；</w:t>
      </w:r>
    </w:p>
    <w:p>
      <w:pPr>
        <w:numPr>
          <w:ilvl w:val="0"/>
          <w:numId w:val="8"/>
        </w:numPr>
        <w:rPr>
          <w:rFonts w:ascii="宋体" w:hAnsi="宋体" w:cs="宋体"/>
          <w:sz w:val="24"/>
          <w:highlight w:val="none"/>
        </w:rPr>
      </w:pPr>
      <w:r>
        <w:rPr>
          <w:rFonts w:hint="eastAsia" w:ascii="宋体" w:hAnsi="宋体" w:cs="宋体"/>
          <w:sz w:val="24"/>
          <w:highlight w:val="none"/>
        </w:rPr>
        <w:t>支持治疗师只能执行自己所辖治疗区的项目模式；</w:t>
      </w:r>
    </w:p>
    <w:p>
      <w:pPr>
        <w:numPr>
          <w:ilvl w:val="0"/>
          <w:numId w:val="8"/>
        </w:numPr>
        <w:rPr>
          <w:rFonts w:ascii="宋体" w:hAnsi="宋体" w:cs="宋体"/>
          <w:sz w:val="24"/>
          <w:highlight w:val="none"/>
        </w:rPr>
      </w:pPr>
      <w:r>
        <w:rPr>
          <w:rFonts w:hint="eastAsia" w:ascii="宋体" w:hAnsi="宋体" w:cs="宋体"/>
          <w:sz w:val="24"/>
          <w:highlight w:val="none"/>
        </w:rPr>
        <w:t>支持治疗师能操作科室下所有治疗区的项目模式；</w:t>
      </w:r>
    </w:p>
    <w:p>
      <w:pPr>
        <w:numPr>
          <w:ilvl w:val="0"/>
          <w:numId w:val="8"/>
        </w:numPr>
        <w:rPr>
          <w:rFonts w:ascii="宋体" w:hAnsi="宋体" w:cs="宋体"/>
          <w:sz w:val="24"/>
          <w:highlight w:val="none"/>
        </w:rPr>
      </w:pPr>
      <w:r>
        <w:rPr>
          <w:rFonts w:hint="eastAsia" w:ascii="宋体" w:hAnsi="宋体" w:cs="宋体"/>
          <w:sz w:val="24"/>
          <w:highlight w:val="none"/>
        </w:rPr>
        <w:t>支持通过治疗项目和病人联合查询患者治疗项目；</w:t>
      </w:r>
    </w:p>
    <w:p>
      <w:pPr>
        <w:numPr>
          <w:ilvl w:val="0"/>
          <w:numId w:val="8"/>
        </w:numPr>
        <w:rPr>
          <w:rFonts w:ascii="宋体" w:hAnsi="宋体" w:cs="宋体"/>
          <w:sz w:val="24"/>
          <w:highlight w:val="none"/>
        </w:rPr>
      </w:pPr>
      <w:r>
        <w:rPr>
          <w:rFonts w:hint="eastAsia" w:ascii="宋体" w:hAnsi="宋体" w:cs="宋体"/>
          <w:sz w:val="24"/>
          <w:highlight w:val="none"/>
        </w:rPr>
        <w:t>支持治疗执行时在治疗备注中填写治疗结论；</w:t>
      </w:r>
    </w:p>
    <w:p>
      <w:pPr>
        <w:numPr>
          <w:ilvl w:val="0"/>
          <w:numId w:val="8"/>
        </w:numPr>
        <w:rPr>
          <w:rFonts w:ascii="宋体" w:hAnsi="宋体" w:cs="宋体"/>
          <w:sz w:val="24"/>
          <w:highlight w:val="none"/>
        </w:rPr>
      </w:pPr>
      <w:r>
        <w:rPr>
          <w:rFonts w:hint="eastAsia" w:ascii="宋体" w:hAnsi="宋体" w:cs="宋体"/>
          <w:sz w:val="24"/>
          <w:highlight w:val="none"/>
        </w:rPr>
        <w:t>支持利用填写治疗备注，形成治疗记录单。</w:t>
      </w:r>
    </w:p>
    <w:p>
      <w:pPr>
        <w:numPr>
          <w:ilvl w:val="0"/>
          <w:numId w:val="6"/>
        </w:numPr>
        <w:rPr>
          <w:rFonts w:ascii="宋体" w:hAnsi="宋体" w:cs="宋体"/>
          <w:bCs/>
          <w:sz w:val="24"/>
          <w:highlight w:val="none"/>
        </w:rPr>
      </w:pPr>
      <w:r>
        <w:rPr>
          <w:rFonts w:hint="eastAsia" w:ascii="宋体" w:hAnsi="宋体" w:cs="宋体"/>
          <w:bCs/>
          <w:sz w:val="24"/>
          <w:highlight w:val="none"/>
        </w:rPr>
        <w:t>康复电子文书系统</w:t>
      </w:r>
    </w:p>
    <w:p>
      <w:pPr>
        <w:numPr>
          <w:ilvl w:val="0"/>
          <w:numId w:val="9"/>
        </w:numPr>
        <w:ind w:left="5" w:hanging="5"/>
        <w:rPr>
          <w:rFonts w:ascii="宋体" w:hAnsi="宋体" w:cs="宋体"/>
          <w:sz w:val="24"/>
          <w:highlight w:val="none"/>
        </w:rPr>
      </w:pPr>
      <w:r>
        <w:rPr>
          <w:rFonts w:hint="eastAsia" w:ascii="宋体" w:hAnsi="宋体" w:cs="宋体"/>
          <w:sz w:val="24"/>
          <w:highlight w:val="none"/>
        </w:rPr>
        <w:t>提供治疗师的书写首次治疗记录、上级治疗师查房记录、评定报告等提供结构化编写功能，便于治疗师快速准确的完成文书编辑；</w:t>
      </w:r>
    </w:p>
    <w:p>
      <w:pPr>
        <w:numPr>
          <w:ilvl w:val="0"/>
          <w:numId w:val="9"/>
        </w:numPr>
        <w:ind w:left="5" w:hanging="5"/>
        <w:rPr>
          <w:rFonts w:ascii="宋体" w:hAnsi="宋体" w:cs="宋体"/>
          <w:sz w:val="24"/>
          <w:highlight w:val="none"/>
        </w:rPr>
      </w:pPr>
      <w:r>
        <w:rPr>
          <w:rFonts w:hint="eastAsia" w:ascii="宋体" w:hAnsi="宋体" w:cs="宋体"/>
          <w:sz w:val="24"/>
          <w:highlight w:val="none"/>
        </w:rPr>
        <w:t>文书内容以结构化存储的方式进行保存，为后续康复治疗研究提供检索及研究提供便利；</w:t>
      </w:r>
    </w:p>
    <w:p>
      <w:pPr>
        <w:numPr>
          <w:ilvl w:val="0"/>
          <w:numId w:val="9"/>
        </w:numPr>
        <w:rPr>
          <w:rFonts w:ascii="宋体" w:hAnsi="宋体" w:cs="宋体"/>
          <w:sz w:val="24"/>
          <w:highlight w:val="none"/>
        </w:rPr>
      </w:pPr>
      <w:r>
        <w:rPr>
          <w:rFonts w:hint="eastAsia" w:ascii="宋体" w:hAnsi="宋体" w:cs="宋体"/>
          <w:sz w:val="24"/>
          <w:highlight w:val="none"/>
        </w:rPr>
        <w:t>对康复电子文书进行时间质控管理；</w:t>
      </w:r>
    </w:p>
    <w:p>
      <w:pPr>
        <w:numPr>
          <w:ilvl w:val="0"/>
          <w:numId w:val="9"/>
        </w:numPr>
        <w:rPr>
          <w:rFonts w:ascii="宋体" w:hAnsi="宋体" w:cs="宋体"/>
          <w:sz w:val="24"/>
          <w:highlight w:val="none"/>
        </w:rPr>
      </w:pPr>
      <w:r>
        <w:rPr>
          <w:rFonts w:hint="eastAsia" w:ascii="宋体" w:hAnsi="宋体" w:cs="宋体"/>
          <w:sz w:val="24"/>
          <w:highlight w:val="none"/>
        </w:rPr>
        <w:t>根据治疗执行备注，自动生成简洁的治疗记录文书；</w:t>
      </w:r>
      <w:r>
        <w:rPr>
          <w:rFonts w:hint="eastAsia" w:ascii="宋体" w:hAnsi="宋体" w:cs="宋体"/>
          <w:sz w:val="24"/>
          <w:highlight w:val="none"/>
          <w:u w:val="single"/>
        </w:rPr>
        <w:t xml:space="preserve">       </w:t>
      </w:r>
    </w:p>
    <w:p>
      <w:pPr>
        <w:numPr>
          <w:ilvl w:val="0"/>
          <w:numId w:val="9"/>
        </w:numPr>
        <w:rPr>
          <w:rFonts w:ascii="宋体" w:hAnsi="宋体" w:cs="宋体"/>
          <w:sz w:val="24"/>
          <w:highlight w:val="none"/>
        </w:rPr>
      </w:pPr>
      <w:r>
        <w:rPr>
          <w:rFonts w:hint="eastAsia" w:ascii="宋体" w:hAnsi="宋体" w:cs="宋体"/>
          <w:sz w:val="24"/>
          <w:highlight w:val="none"/>
        </w:rPr>
        <w:t>提供不同治疗文书模板，并提供词条功能提高文书书写效率；</w:t>
      </w:r>
    </w:p>
    <w:p>
      <w:pPr>
        <w:numPr>
          <w:ilvl w:val="0"/>
          <w:numId w:val="9"/>
        </w:numPr>
        <w:rPr>
          <w:rFonts w:ascii="宋体" w:hAnsi="宋体" w:cs="宋体"/>
          <w:sz w:val="24"/>
          <w:highlight w:val="none"/>
        </w:rPr>
      </w:pPr>
      <w:r>
        <w:rPr>
          <w:rFonts w:hint="eastAsia" w:ascii="宋体" w:hAnsi="宋体" w:cs="宋体"/>
          <w:sz w:val="24"/>
          <w:highlight w:val="none"/>
        </w:rPr>
        <w:t>提供由专业软件测评机构出具的康复电子文书系统相关测试报告。</w:t>
      </w:r>
    </w:p>
    <w:p>
      <w:pPr>
        <w:numPr>
          <w:ilvl w:val="0"/>
          <w:numId w:val="6"/>
        </w:numPr>
        <w:rPr>
          <w:rFonts w:ascii="宋体" w:hAnsi="宋体" w:cs="宋体"/>
          <w:bCs/>
          <w:sz w:val="24"/>
          <w:highlight w:val="none"/>
        </w:rPr>
      </w:pPr>
      <w:r>
        <w:rPr>
          <w:rFonts w:hint="eastAsia" w:ascii="宋体" w:hAnsi="宋体" w:cs="宋体"/>
          <w:bCs/>
          <w:sz w:val="24"/>
          <w:highlight w:val="none"/>
        </w:rPr>
        <w:t>康复业务统计分析系统</w:t>
      </w:r>
    </w:p>
    <w:p>
      <w:pPr>
        <w:numPr>
          <w:ilvl w:val="0"/>
          <w:numId w:val="10"/>
        </w:numPr>
        <w:ind w:left="5" w:hanging="5"/>
        <w:rPr>
          <w:rFonts w:ascii="宋体" w:hAnsi="宋体" w:cs="宋体"/>
          <w:sz w:val="24"/>
          <w:highlight w:val="none"/>
        </w:rPr>
      </w:pPr>
      <w:r>
        <w:rPr>
          <w:rFonts w:hint="eastAsia" w:ascii="宋体" w:hAnsi="宋体" w:cs="宋体"/>
          <w:sz w:val="24"/>
          <w:highlight w:val="none"/>
        </w:rPr>
        <w:t>统计科室的所有项目，设备使用率、治疗人次、治疗费用、工作量统计、量表统计、绩效统计，患者治疗情况统计、以及患者请假与终止治疗情况统计；</w:t>
      </w:r>
    </w:p>
    <w:p>
      <w:pPr>
        <w:numPr>
          <w:ilvl w:val="0"/>
          <w:numId w:val="10"/>
        </w:numPr>
        <w:rPr>
          <w:rFonts w:ascii="宋体" w:hAnsi="宋体" w:cs="宋体"/>
          <w:sz w:val="24"/>
          <w:highlight w:val="none"/>
        </w:rPr>
      </w:pPr>
      <w:r>
        <w:rPr>
          <w:rFonts w:hint="eastAsia" w:ascii="宋体" w:hAnsi="宋体" w:cs="宋体"/>
          <w:sz w:val="24"/>
          <w:highlight w:val="none"/>
        </w:rPr>
        <w:t>依据管理的需要可形成日报、周报、月报等；</w:t>
      </w:r>
    </w:p>
    <w:p>
      <w:pPr>
        <w:numPr>
          <w:ilvl w:val="0"/>
          <w:numId w:val="10"/>
        </w:numPr>
        <w:ind w:left="5" w:hanging="5"/>
        <w:rPr>
          <w:rFonts w:ascii="宋体" w:hAnsi="宋体" w:cs="宋体"/>
          <w:sz w:val="24"/>
          <w:highlight w:val="none"/>
        </w:rPr>
      </w:pPr>
      <w:r>
        <w:rPr>
          <w:rFonts w:hint="eastAsia" w:ascii="宋体" w:hAnsi="宋体" w:cs="宋体"/>
          <w:sz w:val="24"/>
          <w:highlight w:val="none"/>
        </w:rPr>
        <w:t>统计康复评定率、住院患者评估完成情况、住院患者评估超时完成情况等质控分析，并支持以图文形式展现（需提供产品现场演示）</w:t>
      </w:r>
    </w:p>
    <w:p>
      <w:pPr>
        <w:numPr>
          <w:ilvl w:val="0"/>
          <w:numId w:val="10"/>
        </w:numPr>
        <w:rPr>
          <w:rFonts w:ascii="宋体" w:hAnsi="宋体" w:cs="宋体"/>
          <w:sz w:val="24"/>
          <w:highlight w:val="none"/>
        </w:rPr>
      </w:pPr>
      <w:r>
        <w:rPr>
          <w:rFonts w:hint="eastAsia" w:ascii="宋体" w:hAnsi="宋体" w:cs="宋体"/>
          <w:sz w:val="24"/>
          <w:highlight w:val="none"/>
        </w:rPr>
        <w:t>其他自定义统计。</w:t>
      </w:r>
    </w:p>
    <w:p>
      <w:pPr>
        <w:numPr>
          <w:ilvl w:val="0"/>
          <w:numId w:val="6"/>
        </w:numPr>
        <w:rPr>
          <w:rFonts w:ascii="宋体" w:hAnsi="宋体" w:cs="宋体"/>
          <w:bCs/>
          <w:sz w:val="24"/>
          <w:highlight w:val="none"/>
        </w:rPr>
      </w:pPr>
      <w:r>
        <w:rPr>
          <w:rFonts w:hint="eastAsia" w:ascii="宋体" w:hAnsi="宋体" w:cs="宋体"/>
          <w:bCs/>
          <w:sz w:val="24"/>
          <w:highlight w:val="none"/>
        </w:rPr>
        <w:t>移动评定工作站</w:t>
      </w:r>
    </w:p>
    <w:p>
      <w:pPr>
        <w:pStyle w:val="99"/>
        <w:widowControl/>
        <w:numPr>
          <w:ilvl w:val="0"/>
          <w:numId w:val="11"/>
        </w:numPr>
        <w:spacing w:line="300" w:lineRule="auto"/>
        <w:ind w:firstLineChars="0"/>
        <w:rPr>
          <w:rFonts w:ascii="宋体" w:hAnsi="宋体" w:cs="宋体"/>
          <w:sz w:val="24"/>
          <w:highlight w:val="none"/>
        </w:rPr>
      </w:pPr>
      <w:r>
        <w:rPr>
          <w:rFonts w:hint="eastAsia" w:ascii="宋体" w:hAnsi="宋体" w:cs="宋体"/>
          <w:sz w:val="24"/>
          <w:highlight w:val="none"/>
        </w:rPr>
        <w:t>工作站支持移动应用，全面实现床旁评定功能；</w:t>
      </w:r>
    </w:p>
    <w:p>
      <w:pPr>
        <w:pStyle w:val="99"/>
        <w:widowControl/>
        <w:numPr>
          <w:ilvl w:val="0"/>
          <w:numId w:val="11"/>
        </w:numPr>
        <w:spacing w:line="300" w:lineRule="auto"/>
        <w:ind w:firstLineChars="0"/>
        <w:rPr>
          <w:rFonts w:ascii="宋体" w:hAnsi="宋体" w:cs="宋体"/>
          <w:sz w:val="24"/>
          <w:highlight w:val="none"/>
        </w:rPr>
      </w:pPr>
      <w:r>
        <w:rPr>
          <w:rFonts w:hint="eastAsia" w:ascii="宋体" w:hAnsi="宋体" w:cs="宋体"/>
          <w:sz w:val="24"/>
          <w:highlight w:val="none"/>
        </w:rPr>
        <w:t>支持同步患者HIS系统医嘱状态信息；</w:t>
      </w:r>
    </w:p>
    <w:p>
      <w:pPr>
        <w:pStyle w:val="99"/>
        <w:widowControl/>
        <w:numPr>
          <w:ilvl w:val="0"/>
          <w:numId w:val="11"/>
        </w:numPr>
        <w:spacing w:line="300" w:lineRule="auto"/>
        <w:ind w:firstLineChars="0"/>
        <w:rPr>
          <w:rFonts w:ascii="宋体" w:hAnsi="宋体" w:cs="宋体"/>
          <w:sz w:val="24"/>
          <w:highlight w:val="none"/>
        </w:rPr>
      </w:pPr>
      <w:r>
        <w:rPr>
          <w:rFonts w:hint="eastAsia" w:ascii="宋体" w:hAnsi="宋体" w:cs="宋体"/>
          <w:sz w:val="24"/>
          <w:highlight w:val="none"/>
        </w:rPr>
        <w:t>支持查看患者列表，支持模糊查询；</w:t>
      </w:r>
    </w:p>
    <w:p>
      <w:pPr>
        <w:pStyle w:val="99"/>
        <w:widowControl/>
        <w:numPr>
          <w:ilvl w:val="0"/>
          <w:numId w:val="11"/>
        </w:numPr>
        <w:spacing w:line="300" w:lineRule="auto"/>
        <w:ind w:firstLineChars="0"/>
        <w:rPr>
          <w:rFonts w:ascii="宋体" w:hAnsi="宋体" w:cs="宋体"/>
          <w:sz w:val="24"/>
          <w:highlight w:val="none"/>
        </w:rPr>
      </w:pPr>
      <w:r>
        <w:rPr>
          <w:rFonts w:hint="eastAsia" w:ascii="宋体" w:hAnsi="宋体" w:cs="宋体"/>
          <w:sz w:val="24"/>
          <w:highlight w:val="none"/>
        </w:rPr>
        <w:t xml:space="preserve">通过患者卡、住院号、腕带等快速定位患者，了解患者康复临床信息； </w:t>
      </w:r>
    </w:p>
    <w:p>
      <w:pPr>
        <w:pStyle w:val="99"/>
        <w:widowControl/>
        <w:numPr>
          <w:ilvl w:val="0"/>
          <w:numId w:val="11"/>
        </w:numPr>
        <w:spacing w:line="300" w:lineRule="auto"/>
        <w:ind w:left="5" w:hanging="5" w:firstLineChars="0"/>
        <w:rPr>
          <w:rFonts w:ascii="宋体" w:hAnsi="宋体" w:cs="宋体"/>
          <w:sz w:val="24"/>
          <w:highlight w:val="none"/>
        </w:rPr>
      </w:pPr>
      <w:r>
        <w:rPr>
          <w:rFonts w:hint="eastAsia" w:ascii="宋体" w:hAnsi="宋体" w:cs="宋体"/>
          <w:sz w:val="24"/>
          <w:highlight w:val="none"/>
        </w:rPr>
        <w:t>在移动设备上实现所见即所得的评定方式，并进行结构化的存储，评定结果分值可自动计算；</w:t>
      </w:r>
    </w:p>
    <w:p>
      <w:pPr>
        <w:pStyle w:val="99"/>
        <w:widowControl/>
        <w:numPr>
          <w:ilvl w:val="0"/>
          <w:numId w:val="11"/>
        </w:numPr>
        <w:spacing w:line="300" w:lineRule="auto"/>
        <w:ind w:firstLineChars="0"/>
        <w:rPr>
          <w:rFonts w:ascii="宋体" w:hAnsi="宋体" w:cs="宋体"/>
          <w:sz w:val="24"/>
          <w:highlight w:val="none"/>
          <w:u w:val="single"/>
        </w:rPr>
      </w:pPr>
      <w:r>
        <w:rPr>
          <w:rFonts w:hint="eastAsia" w:ascii="宋体" w:hAnsi="宋体" w:cs="宋体"/>
          <w:sz w:val="24"/>
          <w:highlight w:val="none"/>
        </w:rPr>
        <w:t>快速比较单个量表集体项目的评定结果，精确定位功能问题；</w:t>
      </w:r>
      <w:r>
        <w:rPr>
          <w:rFonts w:hint="eastAsia" w:ascii="宋体" w:hAnsi="宋体" w:cs="宋体"/>
          <w:sz w:val="24"/>
          <w:highlight w:val="none"/>
          <w:u w:val="single"/>
        </w:rPr>
        <w:t xml:space="preserve">      </w:t>
      </w:r>
    </w:p>
    <w:p>
      <w:pPr>
        <w:pStyle w:val="99"/>
        <w:widowControl/>
        <w:numPr>
          <w:ilvl w:val="0"/>
          <w:numId w:val="11"/>
        </w:numPr>
        <w:spacing w:line="300" w:lineRule="auto"/>
        <w:ind w:firstLineChars="0"/>
        <w:rPr>
          <w:rFonts w:ascii="宋体" w:hAnsi="宋体" w:cs="宋体"/>
          <w:sz w:val="24"/>
          <w:highlight w:val="none"/>
        </w:rPr>
      </w:pPr>
      <w:r>
        <w:rPr>
          <w:rFonts w:hint="eastAsia" w:ascii="宋体" w:hAnsi="宋体" w:cs="宋体"/>
          <w:sz w:val="24"/>
          <w:highlight w:val="none"/>
        </w:rPr>
        <w:t>评定过程中支持视频录入；</w:t>
      </w:r>
    </w:p>
    <w:p>
      <w:pPr>
        <w:pStyle w:val="99"/>
        <w:widowControl/>
        <w:numPr>
          <w:ilvl w:val="0"/>
          <w:numId w:val="11"/>
        </w:numPr>
        <w:spacing w:line="300" w:lineRule="auto"/>
        <w:ind w:firstLineChars="0"/>
        <w:rPr>
          <w:rFonts w:ascii="宋体" w:hAnsi="宋体" w:cs="宋体"/>
          <w:sz w:val="24"/>
          <w:highlight w:val="none"/>
        </w:rPr>
      </w:pPr>
      <w:r>
        <w:rPr>
          <w:rFonts w:hint="eastAsia" w:ascii="宋体" w:hAnsi="宋体" w:cs="宋体"/>
          <w:sz w:val="24"/>
          <w:highlight w:val="none"/>
        </w:rPr>
        <w:t>支持接收团队会议通知、查看会议消息、参会反馈、在线交流；</w:t>
      </w:r>
    </w:p>
    <w:p>
      <w:pPr>
        <w:pStyle w:val="99"/>
        <w:widowControl/>
        <w:numPr>
          <w:ilvl w:val="0"/>
          <w:numId w:val="11"/>
        </w:numPr>
        <w:spacing w:line="300" w:lineRule="auto"/>
        <w:ind w:firstLineChars="0"/>
        <w:rPr>
          <w:rFonts w:ascii="宋体" w:hAnsi="宋体" w:cs="宋体"/>
          <w:bCs/>
          <w:sz w:val="24"/>
          <w:highlight w:val="none"/>
        </w:rPr>
      </w:pPr>
      <w:r>
        <w:rPr>
          <w:rFonts w:hint="eastAsia" w:ascii="宋体" w:hAnsi="宋体" w:cs="宋体"/>
          <w:sz w:val="24"/>
          <w:highlight w:val="none"/>
        </w:rPr>
        <w:t>支持接收、查看系统消息信息。</w:t>
      </w:r>
    </w:p>
    <w:p>
      <w:pPr>
        <w:pStyle w:val="99"/>
        <w:widowControl/>
        <w:numPr>
          <w:ilvl w:val="0"/>
          <w:numId w:val="6"/>
        </w:numPr>
        <w:spacing w:line="300" w:lineRule="auto"/>
        <w:ind w:firstLine="0" w:firstLineChars="0"/>
        <w:rPr>
          <w:rFonts w:ascii="宋体" w:hAnsi="宋体" w:cs="宋体"/>
          <w:bCs/>
          <w:sz w:val="24"/>
          <w:highlight w:val="none"/>
        </w:rPr>
      </w:pPr>
      <w:r>
        <w:rPr>
          <w:rFonts w:hint="eastAsia" w:ascii="宋体" w:hAnsi="宋体" w:cs="宋体"/>
          <w:bCs/>
          <w:sz w:val="24"/>
          <w:highlight w:val="none"/>
        </w:rPr>
        <w:t>移动治疗工作站</w:t>
      </w:r>
    </w:p>
    <w:p>
      <w:pPr>
        <w:pStyle w:val="99"/>
        <w:widowControl/>
        <w:numPr>
          <w:ilvl w:val="0"/>
          <w:numId w:val="12"/>
        </w:numPr>
        <w:spacing w:line="300" w:lineRule="auto"/>
        <w:ind w:firstLineChars="0"/>
        <w:rPr>
          <w:rFonts w:ascii="宋体" w:hAnsi="宋体" w:cs="宋体"/>
          <w:sz w:val="24"/>
          <w:highlight w:val="none"/>
        </w:rPr>
      </w:pPr>
      <w:r>
        <w:rPr>
          <w:rFonts w:hint="eastAsia" w:ascii="宋体" w:hAnsi="宋体" w:cs="宋体"/>
          <w:sz w:val="24"/>
          <w:highlight w:val="none"/>
        </w:rPr>
        <w:t>工作站支持安卓和IOS双系统移动应用；</w:t>
      </w:r>
    </w:p>
    <w:p>
      <w:pPr>
        <w:pStyle w:val="99"/>
        <w:widowControl/>
        <w:numPr>
          <w:ilvl w:val="0"/>
          <w:numId w:val="12"/>
        </w:numPr>
        <w:spacing w:line="300" w:lineRule="auto"/>
        <w:ind w:firstLineChars="0"/>
        <w:rPr>
          <w:rFonts w:ascii="宋体" w:hAnsi="宋体" w:cs="宋体"/>
          <w:sz w:val="24"/>
          <w:highlight w:val="none"/>
        </w:rPr>
      </w:pPr>
      <w:r>
        <w:rPr>
          <w:rFonts w:hint="eastAsia" w:ascii="宋体" w:hAnsi="宋体" w:cs="宋体"/>
          <w:sz w:val="24"/>
          <w:highlight w:val="none"/>
        </w:rPr>
        <w:t>支持同步患者HIS系统医嘱状态信息；</w:t>
      </w:r>
    </w:p>
    <w:p>
      <w:pPr>
        <w:pStyle w:val="99"/>
        <w:widowControl/>
        <w:numPr>
          <w:ilvl w:val="0"/>
          <w:numId w:val="12"/>
        </w:numPr>
        <w:spacing w:line="300" w:lineRule="auto"/>
        <w:ind w:firstLineChars="0"/>
        <w:rPr>
          <w:rFonts w:ascii="宋体" w:hAnsi="宋体" w:cs="宋体"/>
          <w:sz w:val="24"/>
          <w:highlight w:val="none"/>
        </w:rPr>
      </w:pPr>
      <w:r>
        <w:rPr>
          <w:rFonts w:hint="eastAsia" w:ascii="宋体" w:hAnsi="宋体" w:cs="宋体"/>
          <w:sz w:val="24"/>
          <w:highlight w:val="none"/>
        </w:rPr>
        <w:t>支持查看患者列表，支持模糊查询；</w:t>
      </w:r>
    </w:p>
    <w:p>
      <w:pPr>
        <w:pStyle w:val="99"/>
        <w:widowControl/>
        <w:numPr>
          <w:ilvl w:val="0"/>
          <w:numId w:val="12"/>
        </w:numPr>
        <w:spacing w:line="300" w:lineRule="auto"/>
        <w:ind w:firstLineChars="0"/>
        <w:rPr>
          <w:rFonts w:ascii="宋体" w:hAnsi="宋体" w:cs="宋体"/>
          <w:sz w:val="24"/>
          <w:highlight w:val="none"/>
        </w:rPr>
      </w:pPr>
      <w:r>
        <w:rPr>
          <w:rFonts w:hint="eastAsia" w:ascii="宋体" w:hAnsi="宋体" w:cs="宋体"/>
          <w:sz w:val="24"/>
          <w:highlight w:val="none"/>
        </w:rPr>
        <w:t xml:space="preserve">通过扫描患者治疗卡或治疗单等快速定位患者，了解患者康复临床信息； </w:t>
      </w:r>
    </w:p>
    <w:p>
      <w:pPr>
        <w:pStyle w:val="99"/>
        <w:widowControl/>
        <w:numPr>
          <w:ilvl w:val="0"/>
          <w:numId w:val="12"/>
        </w:numPr>
        <w:spacing w:line="300" w:lineRule="auto"/>
        <w:ind w:firstLineChars="0"/>
        <w:rPr>
          <w:rFonts w:ascii="宋体" w:hAnsi="宋体" w:cs="宋体"/>
          <w:sz w:val="24"/>
          <w:highlight w:val="none"/>
        </w:rPr>
      </w:pPr>
      <w:r>
        <w:rPr>
          <w:rFonts w:hint="eastAsia" w:ascii="宋体" w:hAnsi="宋体" w:cs="宋体"/>
          <w:sz w:val="24"/>
          <w:highlight w:val="none"/>
        </w:rPr>
        <w:t>记录患者康复治疗次数；</w:t>
      </w:r>
    </w:p>
    <w:p>
      <w:pPr>
        <w:pStyle w:val="99"/>
        <w:widowControl/>
        <w:numPr>
          <w:ilvl w:val="0"/>
          <w:numId w:val="12"/>
        </w:numPr>
        <w:spacing w:line="300" w:lineRule="auto"/>
        <w:ind w:firstLineChars="0"/>
        <w:rPr>
          <w:rFonts w:ascii="宋体" w:hAnsi="宋体" w:cs="宋体"/>
          <w:sz w:val="24"/>
          <w:highlight w:val="none"/>
        </w:rPr>
      </w:pPr>
      <w:r>
        <w:rPr>
          <w:rFonts w:hint="eastAsia" w:ascii="宋体" w:hAnsi="宋体" w:cs="宋体"/>
          <w:sz w:val="24"/>
          <w:highlight w:val="none"/>
        </w:rPr>
        <w:t>添加治疗备注；</w:t>
      </w:r>
    </w:p>
    <w:p>
      <w:pPr>
        <w:pStyle w:val="99"/>
        <w:widowControl/>
        <w:numPr>
          <w:ilvl w:val="0"/>
          <w:numId w:val="12"/>
        </w:numPr>
        <w:spacing w:line="300" w:lineRule="auto"/>
        <w:ind w:firstLineChars="0"/>
        <w:rPr>
          <w:rFonts w:ascii="宋体" w:hAnsi="宋体" w:cs="宋体"/>
          <w:sz w:val="24"/>
          <w:highlight w:val="none"/>
        </w:rPr>
      </w:pPr>
      <w:r>
        <w:rPr>
          <w:rFonts w:hint="eastAsia" w:ascii="宋体" w:hAnsi="宋体" w:cs="宋体"/>
          <w:sz w:val="24"/>
          <w:highlight w:val="none"/>
        </w:rPr>
        <w:t>实现治疗次数记录的患者确认，支持扫描患者治疗卡；</w:t>
      </w:r>
    </w:p>
    <w:p>
      <w:pPr>
        <w:pStyle w:val="99"/>
        <w:widowControl/>
        <w:numPr>
          <w:ilvl w:val="0"/>
          <w:numId w:val="12"/>
        </w:numPr>
        <w:spacing w:line="300" w:lineRule="auto"/>
        <w:ind w:firstLineChars="0"/>
        <w:rPr>
          <w:rFonts w:ascii="宋体" w:hAnsi="宋体" w:cs="宋体"/>
          <w:sz w:val="24"/>
          <w:highlight w:val="none"/>
        </w:rPr>
      </w:pPr>
      <w:r>
        <w:rPr>
          <w:rFonts w:hint="eastAsia" w:ascii="宋体" w:hAnsi="宋体" w:cs="宋体"/>
          <w:sz w:val="24"/>
          <w:highlight w:val="none"/>
        </w:rPr>
        <w:t>治疗过程支持视频录入；</w:t>
      </w:r>
    </w:p>
    <w:p>
      <w:pPr>
        <w:pStyle w:val="99"/>
        <w:widowControl/>
        <w:numPr>
          <w:ilvl w:val="0"/>
          <w:numId w:val="12"/>
        </w:numPr>
        <w:spacing w:line="300" w:lineRule="auto"/>
        <w:ind w:firstLineChars="0"/>
        <w:rPr>
          <w:rFonts w:ascii="宋体" w:hAnsi="宋体" w:cs="宋体"/>
          <w:sz w:val="24"/>
          <w:highlight w:val="none"/>
        </w:rPr>
      </w:pPr>
      <w:r>
        <w:rPr>
          <w:rFonts w:hint="eastAsia" w:ascii="宋体" w:hAnsi="宋体" w:cs="宋体"/>
          <w:sz w:val="24"/>
          <w:highlight w:val="none"/>
        </w:rPr>
        <w:t>支持查看治疗师每日排班情况，支持查看当日的工作统计；</w:t>
      </w:r>
    </w:p>
    <w:p>
      <w:pPr>
        <w:pStyle w:val="99"/>
        <w:widowControl/>
        <w:numPr>
          <w:ilvl w:val="0"/>
          <w:numId w:val="12"/>
        </w:numPr>
        <w:spacing w:line="300" w:lineRule="auto"/>
        <w:ind w:firstLineChars="0"/>
        <w:rPr>
          <w:rFonts w:ascii="宋体" w:hAnsi="宋体" w:cs="宋体"/>
          <w:sz w:val="24"/>
          <w:highlight w:val="none"/>
        </w:rPr>
      </w:pPr>
      <w:r>
        <w:rPr>
          <w:rFonts w:hint="eastAsia" w:ascii="宋体" w:hAnsi="宋体" w:cs="宋体"/>
          <w:sz w:val="24"/>
          <w:highlight w:val="none"/>
        </w:rPr>
        <w:t>支持查看患者基本信息；</w:t>
      </w:r>
    </w:p>
    <w:p>
      <w:pPr>
        <w:pStyle w:val="99"/>
        <w:widowControl/>
        <w:numPr>
          <w:ilvl w:val="0"/>
          <w:numId w:val="12"/>
        </w:numPr>
        <w:spacing w:line="300" w:lineRule="auto"/>
        <w:ind w:firstLineChars="0"/>
        <w:rPr>
          <w:rFonts w:ascii="宋体" w:hAnsi="宋体" w:cs="宋体"/>
          <w:sz w:val="24"/>
          <w:highlight w:val="none"/>
        </w:rPr>
      </w:pPr>
      <w:r>
        <w:rPr>
          <w:rFonts w:hint="eastAsia" w:ascii="宋体" w:hAnsi="宋体" w:cs="宋体"/>
          <w:sz w:val="24"/>
          <w:highlight w:val="none"/>
        </w:rPr>
        <w:t>支持精确记录开始治疗时间、结束治疗的时间；</w:t>
      </w:r>
    </w:p>
    <w:p>
      <w:pPr>
        <w:pStyle w:val="99"/>
        <w:widowControl/>
        <w:numPr>
          <w:ilvl w:val="0"/>
          <w:numId w:val="12"/>
        </w:numPr>
        <w:spacing w:line="300" w:lineRule="auto"/>
        <w:ind w:firstLineChars="0"/>
        <w:rPr>
          <w:rFonts w:ascii="宋体" w:hAnsi="宋体" w:cs="宋体"/>
          <w:sz w:val="24"/>
          <w:highlight w:val="none"/>
        </w:rPr>
      </w:pPr>
      <w:r>
        <w:rPr>
          <w:rFonts w:hint="eastAsia" w:ascii="宋体" w:hAnsi="宋体" w:cs="宋体"/>
          <w:sz w:val="24"/>
          <w:highlight w:val="none"/>
        </w:rPr>
        <w:t>支持接收团队会议通知、查看会议消息、参会反馈、在线交流；</w:t>
      </w:r>
    </w:p>
    <w:p>
      <w:pPr>
        <w:pStyle w:val="99"/>
        <w:widowControl/>
        <w:numPr>
          <w:ilvl w:val="0"/>
          <w:numId w:val="12"/>
        </w:numPr>
        <w:spacing w:line="300" w:lineRule="auto"/>
        <w:ind w:firstLineChars="0"/>
        <w:rPr>
          <w:rFonts w:ascii="宋体" w:hAnsi="宋体" w:cs="宋体"/>
          <w:bCs/>
          <w:sz w:val="24"/>
          <w:highlight w:val="none"/>
        </w:rPr>
      </w:pPr>
      <w:r>
        <w:rPr>
          <w:rFonts w:hint="eastAsia" w:ascii="宋体" w:hAnsi="宋体" w:cs="宋体"/>
          <w:sz w:val="24"/>
          <w:highlight w:val="none"/>
        </w:rPr>
        <w:t>支持接收、查看系统消息信息。</w:t>
      </w:r>
    </w:p>
    <w:p>
      <w:pPr>
        <w:pStyle w:val="99"/>
        <w:widowControl/>
        <w:numPr>
          <w:ilvl w:val="0"/>
          <w:numId w:val="6"/>
        </w:numPr>
        <w:spacing w:line="300" w:lineRule="auto"/>
        <w:ind w:firstLine="0" w:firstLineChars="0"/>
        <w:rPr>
          <w:rFonts w:ascii="宋体" w:hAnsi="宋体" w:cs="宋体"/>
          <w:bCs/>
          <w:sz w:val="24"/>
          <w:highlight w:val="none"/>
        </w:rPr>
      </w:pPr>
      <w:r>
        <w:rPr>
          <w:rFonts w:hint="eastAsia" w:ascii="宋体" w:hAnsi="宋体" w:cs="宋体"/>
          <w:bCs/>
          <w:sz w:val="24"/>
          <w:highlight w:val="none"/>
        </w:rPr>
        <w:t>医治护沟通平台</w:t>
      </w:r>
    </w:p>
    <w:p>
      <w:pPr>
        <w:pStyle w:val="99"/>
        <w:widowControl/>
        <w:numPr>
          <w:ilvl w:val="0"/>
          <w:numId w:val="13"/>
        </w:numPr>
        <w:spacing w:line="300" w:lineRule="auto"/>
        <w:ind w:firstLineChars="0"/>
        <w:rPr>
          <w:rFonts w:ascii="宋体" w:hAnsi="宋体" w:cs="宋体"/>
          <w:sz w:val="24"/>
          <w:highlight w:val="none"/>
        </w:rPr>
      </w:pPr>
      <w:r>
        <w:rPr>
          <w:rFonts w:hint="eastAsia" w:ascii="宋体" w:hAnsi="宋体" w:cs="宋体"/>
          <w:sz w:val="24"/>
          <w:highlight w:val="none"/>
        </w:rPr>
        <w:t>支持医生、治疗师等医务人员实时沟通；</w:t>
      </w:r>
    </w:p>
    <w:p>
      <w:pPr>
        <w:pStyle w:val="99"/>
        <w:widowControl/>
        <w:numPr>
          <w:ilvl w:val="0"/>
          <w:numId w:val="13"/>
        </w:numPr>
        <w:spacing w:line="300" w:lineRule="auto"/>
        <w:ind w:firstLineChars="0"/>
        <w:rPr>
          <w:rFonts w:ascii="宋体" w:hAnsi="宋体" w:cs="宋体"/>
          <w:sz w:val="24"/>
          <w:highlight w:val="none"/>
          <w:u w:val="single"/>
        </w:rPr>
      </w:pPr>
      <w:r>
        <w:rPr>
          <w:rFonts w:hint="eastAsia" w:ascii="宋体" w:hAnsi="宋体" w:cs="宋体"/>
          <w:sz w:val="24"/>
          <w:highlight w:val="none"/>
        </w:rPr>
        <w:t>支持自动生成团队会议参会成员的群组会话；</w:t>
      </w:r>
      <w:r>
        <w:rPr>
          <w:rFonts w:hint="eastAsia" w:ascii="宋体" w:hAnsi="宋体" w:cs="宋体"/>
          <w:sz w:val="24"/>
          <w:highlight w:val="none"/>
          <w:u w:val="single"/>
        </w:rPr>
        <w:t xml:space="preserve">        </w:t>
      </w:r>
    </w:p>
    <w:p>
      <w:pPr>
        <w:pStyle w:val="99"/>
        <w:widowControl/>
        <w:numPr>
          <w:ilvl w:val="0"/>
          <w:numId w:val="13"/>
        </w:numPr>
        <w:spacing w:line="300" w:lineRule="auto"/>
        <w:ind w:firstLineChars="0"/>
        <w:rPr>
          <w:rFonts w:ascii="宋体" w:hAnsi="宋体" w:cs="宋体"/>
          <w:sz w:val="24"/>
          <w:highlight w:val="none"/>
        </w:rPr>
      </w:pPr>
      <w:r>
        <w:rPr>
          <w:rFonts w:hint="eastAsia" w:ascii="宋体" w:hAnsi="宋体" w:cs="宋体"/>
          <w:sz w:val="24"/>
          <w:highlight w:val="none"/>
        </w:rPr>
        <w:t>留言消息支持两种类型管理，包含紧急发送和一般发送两种类型（</w:t>
      </w:r>
      <w:r>
        <w:rPr>
          <w:rFonts w:hint="eastAsia" w:ascii="宋体" w:hAnsi="宋体" w:cs="宋体"/>
          <w:bCs/>
          <w:sz w:val="24"/>
          <w:highlight w:val="none"/>
        </w:rPr>
        <w:t>需提供产品现场演示</w:t>
      </w:r>
      <w:r>
        <w:rPr>
          <w:rFonts w:hint="eastAsia" w:ascii="宋体" w:hAnsi="宋体" w:cs="宋体"/>
          <w:sz w:val="24"/>
          <w:highlight w:val="none"/>
        </w:rPr>
        <w:t>）</w:t>
      </w:r>
    </w:p>
    <w:p>
      <w:pPr>
        <w:pStyle w:val="99"/>
        <w:widowControl/>
        <w:numPr>
          <w:ilvl w:val="0"/>
          <w:numId w:val="13"/>
        </w:numPr>
        <w:spacing w:line="300" w:lineRule="auto"/>
        <w:ind w:firstLineChars="0"/>
        <w:rPr>
          <w:rFonts w:ascii="宋体" w:hAnsi="宋体" w:cs="宋体"/>
          <w:bCs/>
          <w:sz w:val="24"/>
          <w:highlight w:val="none"/>
        </w:rPr>
      </w:pPr>
      <w:r>
        <w:rPr>
          <w:rFonts w:hint="eastAsia" w:ascii="宋体" w:hAnsi="宋体" w:cs="宋体"/>
          <w:sz w:val="24"/>
          <w:highlight w:val="none"/>
        </w:rPr>
        <w:t>支持电脑端和移动端消息互通。</w:t>
      </w:r>
    </w:p>
    <w:p>
      <w:pPr>
        <w:pStyle w:val="99"/>
        <w:widowControl/>
        <w:numPr>
          <w:ilvl w:val="0"/>
          <w:numId w:val="6"/>
        </w:numPr>
        <w:spacing w:line="300" w:lineRule="auto"/>
        <w:ind w:firstLine="0" w:firstLineChars="0"/>
        <w:rPr>
          <w:rFonts w:ascii="宋体" w:hAnsi="宋体" w:cs="宋体"/>
          <w:bCs/>
          <w:sz w:val="24"/>
          <w:highlight w:val="none"/>
        </w:rPr>
      </w:pPr>
      <w:r>
        <w:rPr>
          <w:rFonts w:hint="eastAsia" w:ascii="宋体" w:hAnsi="宋体" w:cs="宋体"/>
          <w:bCs/>
          <w:sz w:val="24"/>
          <w:highlight w:val="none"/>
        </w:rPr>
        <w:t>康复患者查询终端</w:t>
      </w:r>
    </w:p>
    <w:p>
      <w:pPr>
        <w:pStyle w:val="99"/>
        <w:widowControl/>
        <w:numPr>
          <w:ilvl w:val="0"/>
          <w:numId w:val="14"/>
        </w:numPr>
        <w:spacing w:line="300" w:lineRule="auto"/>
        <w:ind w:firstLineChars="0"/>
        <w:rPr>
          <w:rFonts w:ascii="宋体" w:hAnsi="宋体" w:cs="宋体"/>
          <w:sz w:val="24"/>
          <w:highlight w:val="none"/>
        </w:rPr>
      </w:pPr>
      <w:r>
        <w:rPr>
          <w:rFonts w:hint="eastAsia" w:ascii="宋体" w:hAnsi="宋体" w:cs="宋体"/>
          <w:sz w:val="24"/>
          <w:highlight w:val="none"/>
        </w:rPr>
        <w:t>支持实现患者的治疗信息查询；</w:t>
      </w:r>
    </w:p>
    <w:p>
      <w:pPr>
        <w:pStyle w:val="99"/>
        <w:widowControl/>
        <w:numPr>
          <w:ilvl w:val="0"/>
          <w:numId w:val="14"/>
        </w:numPr>
        <w:spacing w:line="300" w:lineRule="auto"/>
        <w:ind w:firstLineChars="0"/>
        <w:rPr>
          <w:rFonts w:ascii="宋体" w:hAnsi="宋体" w:cs="宋体"/>
          <w:sz w:val="24"/>
          <w:highlight w:val="none"/>
        </w:rPr>
      </w:pPr>
      <w:r>
        <w:rPr>
          <w:rFonts w:hint="eastAsia" w:ascii="宋体" w:hAnsi="宋体" w:cs="宋体"/>
          <w:sz w:val="24"/>
          <w:highlight w:val="none"/>
        </w:rPr>
        <w:t>支持实现患者的评定的信息查询；</w:t>
      </w:r>
    </w:p>
    <w:p>
      <w:pPr>
        <w:pStyle w:val="99"/>
        <w:widowControl/>
        <w:numPr>
          <w:ilvl w:val="0"/>
          <w:numId w:val="14"/>
        </w:numPr>
        <w:spacing w:line="300" w:lineRule="auto"/>
        <w:ind w:firstLineChars="0"/>
        <w:rPr>
          <w:rFonts w:ascii="宋体" w:hAnsi="宋体" w:cs="宋体"/>
          <w:sz w:val="24"/>
          <w:highlight w:val="none"/>
        </w:rPr>
      </w:pPr>
      <w:r>
        <w:rPr>
          <w:rFonts w:hint="eastAsia" w:ascii="宋体" w:hAnsi="宋体" w:cs="宋体"/>
          <w:sz w:val="24"/>
          <w:highlight w:val="none"/>
        </w:rPr>
        <w:t>支持患者给医生、治疗师留言；</w:t>
      </w:r>
    </w:p>
    <w:p>
      <w:pPr>
        <w:pStyle w:val="99"/>
        <w:widowControl/>
        <w:numPr>
          <w:ilvl w:val="0"/>
          <w:numId w:val="14"/>
        </w:numPr>
        <w:spacing w:line="300" w:lineRule="auto"/>
        <w:ind w:firstLineChars="0"/>
        <w:rPr>
          <w:rFonts w:ascii="宋体" w:hAnsi="宋体" w:cs="宋体"/>
          <w:sz w:val="24"/>
          <w:highlight w:val="none"/>
        </w:rPr>
      </w:pPr>
      <w:r>
        <w:rPr>
          <w:rFonts w:hint="eastAsia" w:ascii="宋体" w:hAnsi="宋体" w:cs="宋体"/>
          <w:sz w:val="24"/>
          <w:highlight w:val="none"/>
        </w:rPr>
        <w:t>支持患者自主查询其排班情况并打印；</w:t>
      </w:r>
    </w:p>
    <w:p>
      <w:pPr>
        <w:pStyle w:val="99"/>
        <w:widowControl/>
        <w:numPr>
          <w:ilvl w:val="0"/>
          <w:numId w:val="14"/>
        </w:numPr>
        <w:spacing w:line="300" w:lineRule="auto"/>
        <w:ind w:firstLineChars="0"/>
        <w:rPr>
          <w:rFonts w:ascii="宋体" w:hAnsi="宋体" w:cs="宋体"/>
          <w:sz w:val="24"/>
          <w:highlight w:val="none"/>
        </w:rPr>
      </w:pPr>
      <w:r>
        <w:rPr>
          <w:rFonts w:hint="eastAsia" w:ascii="宋体" w:hAnsi="宋体" w:cs="宋体"/>
          <w:sz w:val="24"/>
          <w:highlight w:val="none"/>
        </w:rPr>
        <w:t>支持患者通过终端自主排队；</w:t>
      </w:r>
    </w:p>
    <w:p>
      <w:pPr>
        <w:pStyle w:val="99"/>
        <w:widowControl/>
        <w:numPr>
          <w:ilvl w:val="0"/>
          <w:numId w:val="14"/>
        </w:numPr>
        <w:spacing w:line="300" w:lineRule="auto"/>
        <w:ind w:firstLineChars="0"/>
        <w:rPr>
          <w:rFonts w:ascii="宋体" w:hAnsi="宋体" w:cs="宋体"/>
          <w:sz w:val="24"/>
          <w:highlight w:val="none"/>
        </w:rPr>
      </w:pPr>
      <w:r>
        <w:rPr>
          <w:rFonts w:hint="eastAsia" w:ascii="宋体" w:hAnsi="宋体" w:cs="宋体"/>
          <w:sz w:val="24"/>
          <w:highlight w:val="none"/>
        </w:rPr>
        <w:t>支持患者对医治护的服务进行评价；</w:t>
      </w:r>
    </w:p>
    <w:p>
      <w:pPr>
        <w:pStyle w:val="99"/>
        <w:widowControl/>
        <w:numPr>
          <w:ilvl w:val="0"/>
          <w:numId w:val="14"/>
        </w:numPr>
        <w:spacing w:line="300" w:lineRule="auto"/>
        <w:ind w:firstLineChars="0"/>
        <w:rPr>
          <w:rFonts w:ascii="宋体" w:hAnsi="宋体" w:cs="宋体"/>
          <w:bCs/>
          <w:sz w:val="24"/>
          <w:highlight w:val="none"/>
        </w:rPr>
      </w:pPr>
      <w:r>
        <w:rPr>
          <w:rFonts w:hint="eastAsia" w:ascii="宋体" w:hAnsi="宋体" w:cs="宋体"/>
          <w:sz w:val="24"/>
          <w:highlight w:val="none"/>
        </w:rPr>
        <w:t>支持患者查询并打印康复宣教资料。</w:t>
      </w:r>
    </w:p>
    <w:p>
      <w:pPr>
        <w:pStyle w:val="99"/>
        <w:widowControl/>
        <w:numPr>
          <w:ilvl w:val="0"/>
          <w:numId w:val="6"/>
        </w:numPr>
        <w:spacing w:line="300" w:lineRule="auto"/>
        <w:ind w:firstLine="0" w:firstLineChars="0"/>
        <w:rPr>
          <w:rFonts w:ascii="宋体" w:hAnsi="宋体" w:cs="宋体"/>
          <w:bCs/>
          <w:sz w:val="24"/>
          <w:highlight w:val="none"/>
        </w:rPr>
      </w:pPr>
      <w:r>
        <w:rPr>
          <w:rFonts w:hint="eastAsia" w:ascii="宋体" w:hAnsi="宋体" w:cs="宋体"/>
          <w:bCs/>
          <w:sz w:val="24"/>
          <w:highlight w:val="none"/>
        </w:rPr>
        <w:t>智能排班、排队系统</w:t>
      </w:r>
    </w:p>
    <w:p>
      <w:pPr>
        <w:numPr>
          <w:ilvl w:val="0"/>
          <w:numId w:val="15"/>
        </w:numPr>
        <w:ind w:left="5" w:hanging="5"/>
        <w:rPr>
          <w:rFonts w:ascii="宋体" w:hAnsi="宋体" w:cs="宋体"/>
          <w:sz w:val="24"/>
          <w:highlight w:val="none"/>
        </w:rPr>
      </w:pPr>
      <w:r>
        <w:rPr>
          <w:rFonts w:hint="eastAsia" w:ascii="宋体" w:hAnsi="宋体" w:cs="宋体"/>
          <w:sz w:val="24"/>
          <w:highlight w:val="none"/>
        </w:rPr>
        <w:t>支持根据治疗师、治疗设备、治疗区、治疗时间、患者、不同时长的治疗项目进行多维度一键智能排班工作；（需提供产品现场演示）；</w:t>
      </w:r>
    </w:p>
    <w:p>
      <w:pPr>
        <w:numPr>
          <w:ilvl w:val="0"/>
          <w:numId w:val="15"/>
        </w:numPr>
        <w:rPr>
          <w:rFonts w:ascii="宋体" w:hAnsi="宋体" w:cs="宋体"/>
          <w:sz w:val="24"/>
          <w:highlight w:val="none"/>
        </w:rPr>
      </w:pPr>
      <w:r>
        <w:rPr>
          <w:rFonts w:hint="eastAsia" w:ascii="宋体" w:hAnsi="宋体" w:cs="宋体"/>
          <w:sz w:val="24"/>
          <w:highlight w:val="none"/>
        </w:rPr>
        <w:t>支持临时排班处理；</w:t>
      </w:r>
    </w:p>
    <w:p>
      <w:pPr>
        <w:numPr>
          <w:ilvl w:val="0"/>
          <w:numId w:val="15"/>
        </w:numPr>
        <w:rPr>
          <w:rFonts w:ascii="宋体" w:hAnsi="宋体" w:cs="宋体"/>
          <w:sz w:val="24"/>
          <w:highlight w:val="none"/>
        </w:rPr>
      </w:pPr>
      <w:r>
        <w:rPr>
          <w:rFonts w:hint="eastAsia" w:ascii="宋体" w:hAnsi="宋体" w:cs="宋体"/>
          <w:sz w:val="24"/>
          <w:highlight w:val="none"/>
        </w:rPr>
        <w:t>支持治疗项目只能在医生开具的建议治疗区进行排班的模式；</w:t>
      </w:r>
    </w:p>
    <w:p>
      <w:pPr>
        <w:numPr>
          <w:ilvl w:val="0"/>
          <w:numId w:val="15"/>
        </w:numPr>
        <w:rPr>
          <w:rFonts w:ascii="宋体" w:hAnsi="宋体" w:cs="宋体"/>
          <w:sz w:val="24"/>
          <w:highlight w:val="none"/>
        </w:rPr>
      </w:pPr>
      <w:r>
        <w:rPr>
          <w:rFonts w:hint="eastAsia" w:ascii="宋体" w:hAnsi="宋体" w:cs="宋体"/>
          <w:sz w:val="24"/>
          <w:highlight w:val="none"/>
        </w:rPr>
        <w:t>支持治疗项目能在所有可做治疗区排班的模式；</w:t>
      </w:r>
    </w:p>
    <w:p>
      <w:pPr>
        <w:numPr>
          <w:ilvl w:val="0"/>
          <w:numId w:val="15"/>
        </w:numPr>
        <w:rPr>
          <w:rFonts w:ascii="宋体" w:hAnsi="宋体" w:cs="宋体"/>
          <w:sz w:val="24"/>
          <w:highlight w:val="none"/>
        </w:rPr>
      </w:pPr>
      <w:r>
        <w:rPr>
          <w:rFonts w:hint="eastAsia" w:ascii="宋体" w:hAnsi="宋体" w:cs="宋体"/>
          <w:sz w:val="24"/>
          <w:highlight w:val="none"/>
        </w:rPr>
        <w:t xml:space="preserve">支持排班信息外接大屏展示； </w:t>
      </w:r>
    </w:p>
    <w:p>
      <w:pPr>
        <w:numPr>
          <w:ilvl w:val="0"/>
          <w:numId w:val="15"/>
        </w:numPr>
        <w:rPr>
          <w:rFonts w:ascii="宋体" w:hAnsi="宋体" w:cs="宋体"/>
          <w:sz w:val="24"/>
          <w:highlight w:val="none"/>
        </w:rPr>
      </w:pPr>
      <w:r>
        <w:rPr>
          <w:rFonts w:hint="eastAsia" w:ascii="宋体" w:hAnsi="宋体" w:cs="宋体"/>
          <w:sz w:val="24"/>
          <w:highlight w:val="none"/>
        </w:rPr>
        <w:t>支持二维码或腕带等介质进行患者识别进行排队操作；</w:t>
      </w:r>
    </w:p>
    <w:p>
      <w:pPr>
        <w:numPr>
          <w:ilvl w:val="0"/>
          <w:numId w:val="15"/>
        </w:numPr>
        <w:rPr>
          <w:rFonts w:ascii="宋体" w:hAnsi="宋体" w:cs="宋体"/>
          <w:sz w:val="24"/>
          <w:highlight w:val="none"/>
        </w:rPr>
      </w:pPr>
      <w:r>
        <w:rPr>
          <w:rFonts w:hint="eastAsia" w:ascii="宋体" w:hAnsi="宋体" w:cs="宋体"/>
          <w:sz w:val="24"/>
          <w:highlight w:val="none"/>
        </w:rPr>
        <w:t>支持取消排队记录；</w:t>
      </w:r>
    </w:p>
    <w:p>
      <w:pPr>
        <w:numPr>
          <w:ilvl w:val="0"/>
          <w:numId w:val="15"/>
        </w:numPr>
        <w:rPr>
          <w:rFonts w:ascii="宋体" w:hAnsi="宋体" w:cs="宋体"/>
          <w:sz w:val="24"/>
          <w:highlight w:val="none"/>
          <w:u w:val="single"/>
        </w:rPr>
      </w:pPr>
      <w:r>
        <w:rPr>
          <w:rFonts w:hint="eastAsia" w:ascii="宋体" w:hAnsi="宋体" w:cs="宋体"/>
          <w:sz w:val="24"/>
          <w:highlight w:val="none"/>
        </w:rPr>
        <w:t>支持治疗师只能操作自己所辖的队列模式；</w:t>
      </w:r>
      <w:r>
        <w:rPr>
          <w:rFonts w:hint="eastAsia" w:ascii="宋体" w:hAnsi="宋体" w:cs="宋体"/>
          <w:sz w:val="24"/>
          <w:highlight w:val="none"/>
          <w:u w:val="single"/>
        </w:rPr>
        <w:t xml:space="preserve">        </w:t>
      </w:r>
    </w:p>
    <w:p>
      <w:pPr>
        <w:numPr>
          <w:ilvl w:val="0"/>
          <w:numId w:val="15"/>
        </w:numPr>
        <w:rPr>
          <w:rFonts w:ascii="宋体" w:hAnsi="宋体" w:cs="宋体"/>
          <w:sz w:val="24"/>
          <w:highlight w:val="none"/>
        </w:rPr>
      </w:pPr>
      <w:r>
        <w:rPr>
          <w:rFonts w:hint="eastAsia" w:ascii="宋体" w:hAnsi="宋体" w:cs="宋体"/>
          <w:sz w:val="24"/>
          <w:highlight w:val="none"/>
        </w:rPr>
        <w:t>支持治疗师能对所辖治疗区所有队列操作的模式；</w:t>
      </w:r>
    </w:p>
    <w:p>
      <w:pPr>
        <w:numPr>
          <w:ilvl w:val="0"/>
          <w:numId w:val="15"/>
        </w:numPr>
        <w:rPr>
          <w:rFonts w:ascii="宋体" w:hAnsi="宋体" w:cs="宋体"/>
          <w:sz w:val="24"/>
          <w:highlight w:val="none"/>
        </w:rPr>
      </w:pPr>
      <w:r>
        <w:rPr>
          <w:rFonts w:hint="eastAsia" w:ascii="宋体" w:hAnsi="宋体" w:cs="宋体"/>
          <w:sz w:val="24"/>
          <w:highlight w:val="none"/>
        </w:rPr>
        <w:t>新增智能计算队列的等待时间，自动给病人优先安排排队时间较</w:t>
      </w:r>
    </w:p>
    <w:p>
      <w:pPr>
        <w:numPr>
          <w:ilvl w:val="0"/>
          <w:numId w:val="15"/>
        </w:numPr>
        <w:rPr>
          <w:rFonts w:ascii="宋体" w:hAnsi="宋体" w:cs="宋体"/>
          <w:sz w:val="24"/>
          <w:highlight w:val="none"/>
        </w:rPr>
      </w:pPr>
      <w:r>
        <w:rPr>
          <w:rFonts w:hint="eastAsia" w:ascii="宋体" w:hAnsi="宋体" w:cs="宋体"/>
          <w:sz w:val="24"/>
          <w:highlight w:val="none"/>
        </w:rPr>
        <w:t>少队列模式；</w:t>
      </w:r>
    </w:p>
    <w:p>
      <w:pPr>
        <w:numPr>
          <w:ilvl w:val="0"/>
          <w:numId w:val="15"/>
        </w:numPr>
        <w:rPr>
          <w:rFonts w:ascii="宋体" w:hAnsi="宋体" w:cs="宋体"/>
          <w:sz w:val="24"/>
          <w:highlight w:val="none"/>
        </w:rPr>
      </w:pPr>
      <w:r>
        <w:rPr>
          <w:rFonts w:hint="eastAsia" w:ascii="宋体" w:hAnsi="宋体" w:cs="宋体"/>
          <w:sz w:val="24"/>
          <w:highlight w:val="none"/>
        </w:rPr>
        <w:t>支持排队信息外接大屏展示；</w:t>
      </w:r>
    </w:p>
    <w:p>
      <w:pPr>
        <w:numPr>
          <w:ilvl w:val="0"/>
          <w:numId w:val="15"/>
        </w:numPr>
        <w:rPr>
          <w:rFonts w:ascii="宋体" w:hAnsi="宋体" w:cs="宋体"/>
          <w:sz w:val="24"/>
          <w:highlight w:val="none"/>
        </w:rPr>
      </w:pPr>
      <w:r>
        <w:rPr>
          <w:rFonts w:hint="eastAsia" w:ascii="宋体" w:hAnsi="宋体" w:cs="宋体"/>
          <w:sz w:val="24"/>
          <w:highlight w:val="none"/>
        </w:rPr>
        <w:t>支持治疗排班、治疗排队的叫号功能；</w:t>
      </w:r>
    </w:p>
    <w:p>
      <w:pPr>
        <w:pStyle w:val="99"/>
        <w:widowControl/>
        <w:numPr>
          <w:ilvl w:val="0"/>
          <w:numId w:val="15"/>
        </w:numPr>
        <w:spacing w:line="300" w:lineRule="auto"/>
        <w:ind w:firstLineChars="0"/>
        <w:rPr>
          <w:rFonts w:ascii="宋体" w:hAnsi="宋体" w:cs="宋体"/>
          <w:bCs/>
          <w:sz w:val="24"/>
          <w:highlight w:val="none"/>
        </w:rPr>
      </w:pPr>
      <w:r>
        <w:rPr>
          <w:rFonts w:hint="eastAsia" w:ascii="宋体" w:hAnsi="宋体" w:cs="宋体"/>
          <w:sz w:val="24"/>
          <w:highlight w:val="none"/>
        </w:rPr>
        <w:t>提供由专业软件测评机构出具的智能排班相关测试报告。</w:t>
      </w:r>
    </w:p>
    <w:p>
      <w:pPr>
        <w:pStyle w:val="99"/>
        <w:widowControl/>
        <w:numPr>
          <w:ilvl w:val="0"/>
          <w:numId w:val="6"/>
        </w:numPr>
        <w:spacing w:line="300" w:lineRule="auto"/>
        <w:ind w:firstLine="0" w:firstLineChars="0"/>
        <w:rPr>
          <w:rFonts w:ascii="宋体" w:hAnsi="宋体" w:cs="宋体"/>
          <w:bCs/>
          <w:sz w:val="24"/>
          <w:highlight w:val="none"/>
        </w:rPr>
      </w:pPr>
      <w:r>
        <w:rPr>
          <w:rFonts w:hint="eastAsia" w:ascii="宋体" w:hAnsi="宋体" w:cs="宋体"/>
          <w:bCs/>
          <w:sz w:val="24"/>
          <w:highlight w:val="none"/>
        </w:rPr>
        <w:t>TEAMWORK系统</w:t>
      </w:r>
    </w:p>
    <w:p>
      <w:pPr>
        <w:numPr>
          <w:ilvl w:val="0"/>
          <w:numId w:val="16"/>
        </w:numPr>
        <w:rPr>
          <w:rFonts w:ascii="宋体" w:hAnsi="宋体" w:cs="宋体"/>
          <w:sz w:val="24"/>
          <w:highlight w:val="none"/>
        </w:rPr>
      </w:pPr>
      <w:r>
        <w:rPr>
          <w:rFonts w:hint="eastAsia" w:ascii="宋体" w:hAnsi="宋体" w:cs="宋体"/>
          <w:sz w:val="24"/>
          <w:highlight w:val="none"/>
        </w:rPr>
        <w:t>支持可针对单个病人或多个病人病情建立团队会议并发送会议通知；</w:t>
      </w:r>
    </w:p>
    <w:p>
      <w:pPr>
        <w:numPr>
          <w:ilvl w:val="0"/>
          <w:numId w:val="16"/>
        </w:numPr>
        <w:rPr>
          <w:rFonts w:ascii="宋体" w:hAnsi="宋体" w:cs="宋体"/>
          <w:sz w:val="24"/>
          <w:highlight w:val="none"/>
        </w:rPr>
      </w:pPr>
      <w:r>
        <w:rPr>
          <w:rFonts w:hint="eastAsia" w:ascii="宋体" w:hAnsi="宋体" w:cs="宋体"/>
          <w:sz w:val="24"/>
          <w:highlight w:val="none"/>
        </w:rPr>
        <w:t>支持会议参会人员可通过消息中心商讨、交流患者病情；</w:t>
      </w:r>
    </w:p>
    <w:p>
      <w:pPr>
        <w:numPr>
          <w:ilvl w:val="0"/>
          <w:numId w:val="16"/>
        </w:numPr>
        <w:rPr>
          <w:rFonts w:ascii="宋体" w:hAnsi="宋体" w:cs="宋体"/>
          <w:sz w:val="24"/>
          <w:highlight w:val="none"/>
        </w:rPr>
      </w:pPr>
      <w:r>
        <w:rPr>
          <w:rFonts w:hint="eastAsia" w:ascii="宋体" w:hAnsi="宋体" w:cs="宋体"/>
          <w:sz w:val="24"/>
          <w:highlight w:val="none"/>
        </w:rPr>
        <w:t>参会人员可撰写针对每个病人独立的参会建议及建议医嘱；</w:t>
      </w:r>
    </w:p>
    <w:p>
      <w:pPr>
        <w:numPr>
          <w:ilvl w:val="0"/>
          <w:numId w:val="16"/>
        </w:numPr>
        <w:rPr>
          <w:rFonts w:ascii="宋体" w:hAnsi="宋体" w:cs="宋体"/>
          <w:sz w:val="24"/>
          <w:highlight w:val="none"/>
        </w:rPr>
      </w:pPr>
      <w:r>
        <w:rPr>
          <w:rFonts w:hint="eastAsia" w:ascii="宋体" w:hAnsi="宋体" w:cs="宋体"/>
          <w:sz w:val="24"/>
          <w:highlight w:val="none"/>
        </w:rPr>
        <w:t>总负责人可对当次会议的每个病人独立撰写会议总结报告；</w:t>
      </w:r>
    </w:p>
    <w:p>
      <w:pPr>
        <w:numPr>
          <w:ilvl w:val="0"/>
          <w:numId w:val="16"/>
        </w:numPr>
        <w:rPr>
          <w:rFonts w:ascii="宋体" w:hAnsi="宋体" w:cs="宋体"/>
          <w:sz w:val="24"/>
          <w:highlight w:val="none"/>
        </w:rPr>
      </w:pPr>
      <w:r>
        <w:rPr>
          <w:rFonts w:hint="eastAsia" w:ascii="宋体" w:hAnsi="宋体" w:cs="宋体"/>
          <w:sz w:val="24"/>
          <w:highlight w:val="none"/>
        </w:rPr>
        <w:t>支持会议安排，指定时间建立康复评价会；</w:t>
      </w:r>
    </w:p>
    <w:p>
      <w:pPr>
        <w:numPr>
          <w:ilvl w:val="0"/>
          <w:numId w:val="16"/>
        </w:numPr>
        <w:rPr>
          <w:rFonts w:ascii="宋体" w:hAnsi="宋体" w:cs="宋体"/>
          <w:sz w:val="24"/>
          <w:highlight w:val="none"/>
        </w:rPr>
      </w:pPr>
      <w:r>
        <w:rPr>
          <w:rFonts w:hint="eastAsia" w:ascii="宋体" w:hAnsi="宋体" w:cs="宋体"/>
          <w:sz w:val="24"/>
          <w:highlight w:val="none"/>
        </w:rPr>
        <w:t>支持直接调用患者病历夹；</w:t>
      </w:r>
    </w:p>
    <w:p>
      <w:pPr>
        <w:pStyle w:val="99"/>
        <w:widowControl/>
        <w:numPr>
          <w:ilvl w:val="0"/>
          <w:numId w:val="16"/>
        </w:numPr>
        <w:spacing w:line="300" w:lineRule="auto"/>
        <w:ind w:firstLineChars="0"/>
        <w:rPr>
          <w:rFonts w:ascii="宋体" w:hAnsi="宋体" w:cs="宋体"/>
          <w:bCs/>
          <w:sz w:val="24"/>
          <w:highlight w:val="none"/>
        </w:rPr>
      </w:pPr>
      <w:r>
        <w:rPr>
          <w:rFonts w:hint="eastAsia" w:ascii="宋体" w:hAnsi="宋体" w:cs="宋体"/>
          <w:sz w:val="24"/>
          <w:highlight w:val="none"/>
        </w:rPr>
        <w:t>支持自动生成团队会议报告和报告支持词条功能。</w:t>
      </w:r>
    </w:p>
    <w:p>
      <w:pPr>
        <w:pStyle w:val="99"/>
        <w:widowControl/>
        <w:numPr>
          <w:ilvl w:val="0"/>
          <w:numId w:val="6"/>
        </w:numPr>
        <w:spacing w:line="300" w:lineRule="auto"/>
        <w:ind w:firstLine="0" w:firstLineChars="0"/>
        <w:rPr>
          <w:rFonts w:ascii="宋体" w:hAnsi="宋体" w:cs="宋体"/>
          <w:bCs/>
          <w:sz w:val="24"/>
          <w:highlight w:val="none"/>
        </w:rPr>
      </w:pPr>
      <w:r>
        <w:rPr>
          <w:rFonts w:hint="eastAsia" w:ascii="宋体" w:hAnsi="宋体" w:cs="宋体"/>
          <w:bCs/>
          <w:sz w:val="24"/>
          <w:highlight w:val="none"/>
        </w:rPr>
        <w:t>家庭康复训练管理</w:t>
      </w:r>
    </w:p>
    <w:p>
      <w:pPr>
        <w:numPr>
          <w:ilvl w:val="0"/>
          <w:numId w:val="17"/>
        </w:numPr>
        <w:rPr>
          <w:rFonts w:ascii="宋体" w:hAnsi="宋体" w:cs="宋体"/>
          <w:sz w:val="24"/>
          <w:highlight w:val="none"/>
        </w:rPr>
      </w:pPr>
      <w:r>
        <w:rPr>
          <w:rFonts w:hint="eastAsia" w:ascii="宋体" w:hAnsi="宋体" w:cs="宋体"/>
          <w:sz w:val="24"/>
          <w:highlight w:val="none"/>
        </w:rPr>
        <w:t>制定家庭训练方案；</w:t>
      </w:r>
    </w:p>
    <w:p>
      <w:pPr>
        <w:numPr>
          <w:ilvl w:val="0"/>
          <w:numId w:val="17"/>
        </w:numPr>
        <w:rPr>
          <w:rFonts w:ascii="宋体" w:hAnsi="宋体" w:cs="宋体"/>
          <w:sz w:val="24"/>
          <w:highlight w:val="none"/>
        </w:rPr>
      </w:pPr>
      <w:r>
        <w:rPr>
          <w:rFonts w:hint="eastAsia" w:ascii="宋体" w:hAnsi="宋体" w:cs="宋体"/>
          <w:sz w:val="24"/>
          <w:highlight w:val="none"/>
        </w:rPr>
        <w:t>打印家庭训练方案；</w:t>
      </w:r>
    </w:p>
    <w:p>
      <w:pPr>
        <w:pStyle w:val="99"/>
        <w:widowControl/>
        <w:numPr>
          <w:ilvl w:val="0"/>
          <w:numId w:val="17"/>
        </w:numPr>
        <w:spacing w:line="300" w:lineRule="auto"/>
        <w:ind w:firstLineChars="0"/>
        <w:rPr>
          <w:rFonts w:ascii="宋体" w:hAnsi="宋体" w:cs="宋体"/>
          <w:bCs/>
          <w:sz w:val="24"/>
          <w:highlight w:val="none"/>
        </w:rPr>
      </w:pPr>
      <w:r>
        <w:rPr>
          <w:rFonts w:hint="eastAsia" w:ascii="宋体" w:hAnsi="宋体" w:cs="宋体"/>
          <w:sz w:val="24"/>
          <w:highlight w:val="none"/>
        </w:rPr>
        <w:t>支持训练方案和随访绑定。</w:t>
      </w:r>
    </w:p>
    <w:p>
      <w:pPr>
        <w:pStyle w:val="99"/>
        <w:widowControl/>
        <w:numPr>
          <w:ilvl w:val="0"/>
          <w:numId w:val="6"/>
        </w:numPr>
        <w:spacing w:line="300" w:lineRule="auto"/>
        <w:ind w:firstLine="0" w:firstLineChars="0"/>
        <w:rPr>
          <w:rFonts w:ascii="宋体" w:hAnsi="宋体" w:cs="宋体"/>
          <w:bCs/>
          <w:sz w:val="24"/>
          <w:highlight w:val="none"/>
        </w:rPr>
      </w:pPr>
      <w:r>
        <w:rPr>
          <w:rFonts w:hint="eastAsia" w:ascii="宋体" w:hAnsi="宋体" w:cs="宋体"/>
          <w:bCs/>
          <w:sz w:val="24"/>
          <w:highlight w:val="none"/>
        </w:rPr>
        <w:t>康复随访系统</w:t>
      </w:r>
    </w:p>
    <w:p>
      <w:pPr>
        <w:numPr>
          <w:ilvl w:val="0"/>
          <w:numId w:val="18"/>
        </w:numPr>
        <w:rPr>
          <w:rFonts w:ascii="宋体" w:hAnsi="宋体" w:cs="宋体"/>
          <w:sz w:val="24"/>
          <w:highlight w:val="none"/>
        </w:rPr>
      </w:pPr>
      <w:r>
        <w:rPr>
          <w:rFonts w:hint="eastAsia" w:ascii="宋体" w:hAnsi="宋体" w:cs="宋体"/>
          <w:sz w:val="24"/>
          <w:highlight w:val="none"/>
        </w:rPr>
        <w:t>对当前病人进行随访计划设定，定时提醒随访内容和注意事项，巩固病人疗效；</w:t>
      </w:r>
    </w:p>
    <w:p>
      <w:pPr>
        <w:pStyle w:val="99"/>
        <w:widowControl/>
        <w:numPr>
          <w:ilvl w:val="0"/>
          <w:numId w:val="18"/>
        </w:numPr>
        <w:spacing w:line="300" w:lineRule="auto"/>
        <w:ind w:firstLineChars="0"/>
        <w:rPr>
          <w:rFonts w:ascii="宋体" w:hAnsi="宋体" w:cs="宋体"/>
          <w:bCs/>
          <w:sz w:val="24"/>
          <w:highlight w:val="none"/>
        </w:rPr>
      </w:pPr>
      <w:r>
        <w:rPr>
          <w:rFonts w:hint="eastAsia" w:ascii="宋体" w:hAnsi="宋体" w:cs="宋体"/>
          <w:sz w:val="24"/>
          <w:highlight w:val="none"/>
        </w:rPr>
        <w:t>回顾历史随访情况。</w:t>
      </w:r>
    </w:p>
    <w:p>
      <w:pPr>
        <w:pStyle w:val="99"/>
        <w:widowControl/>
        <w:numPr>
          <w:ilvl w:val="0"/>
          <w:numId w:val="6"/>
        </w:numPr>
        <w:spacing w:line="300" w:lineRule="auto"/>
        <w:ind w:firstLine="0" w:firstLineChars="0"/>
        <w:rPr>
          <w:rFonts w:ascii="宋体" w:hAnsi="宋体" w:cs="宋体"/>
          <w:bCs/>
          <w:sz w:val="24"/>
          <w:highlight w:val="none"/>
        </w:rPr>
      </w:pPr>
      <w:r>
        <w:rPr>
          <w:rFonts w:hint="eastAsia" w:ascii="宋体" w:hAnsi="宋体" w:cs="宋体"/>
          <w:bCs/>
          <w:sz w:val="24"/>
          <w:highlight w:val="none"/>
        </w:rPr>
        <w:t>病历夹系统</w:t>
      </w:r>
    </w:p>
    <w:p>
      <w:pPr>
        <w:numPr>
          <w:ilvl w:val="0"/>
          <w:numId w:val="19"/>
        </w:numPr>
        <w:rPr>
          <w:rFonts w:ascii="宋体" w:hAnsi="宋体" w:cs="宋体"/>
          <w:sz w:val="24"/>
          <w:highlight w:val="none"/>
        </w:rPr>
      </w:pPr>
      <w:r>
        <w:rPr>
          <w:rFonts w:hint="eastAsia" w:ascii="宋体" w:hAnsi="宋体" w:cs="宋体"/>
          <w:sz w:val="24"/>
          <w:highlight w:val="none"/>
        </w:rPr>
        <w:t xml:space="preserve">病历夹功能可支持治疗师对病人的治疗全过程管理和了解； </w:t>
      </w:r>
    </w:p>
    <w:p>
      <w:pPr>
        <w:numPr>
          <w:ilvl w:val="0"/>
          <w:numId w:val="19"/>
        </w:numPr>
        <w:rPr>
          <w:rFonts w:ascii="宋体" w:hAnsi="宋体" w:cs="宋体"/>
          <w:sz w:val="24"/>
          <w:highlight w:val="none"/>
        </w:rPr>
      </w:pPr>
      <w:r>
        <w:rPr>
          <w:rFonts w:hint="eastAsia" w:ascii="宋体" w:hAnsi="宋体" w:cs="宋体"/>
          <w:sz w:val="24"/>
          <w:highlight w:val="none"/>
        </w:rPr>
        <w:t>通过时间轴的方式展示患者治疗全过程；</w:t>
      </w:r>
    </w:p>
    <w:p>
      <w:pPr>
        <w:pStyle w:val="99"/>
        <w:widowControl/>
        <w:numPr>
          <w:ilvl w:val="0"/>
          <w:numId w:val="19"/>
        </w:numPr>
        <w:spacing w:line="300" w:lineRule="auto"/>
        <w:ind w:firstLineChars="0"/>
        <w:rPr>
          <w:rFonts w:ascii="宋体" w:hAnsi="宋体" w:cs="宋体"/>
          <w:bCs/>
          <w:sz w:val="24"/>
          <w:highlight w:val="none"/>
        </w:rPr>
      </w:pPr>
      <w:r>
        <w:rPr>
          <w:rFonts w:hint="eastAsia" w:ascii="宋体" w:hAnsi="宋体" w:cs="宋体"/>
          <w:sz w:val="24"/>
          <w:highlight w:val="none"/>
        </w:rPr>
        <w:t>支持通过病历夹查询患者临床信息，包括：病案首页、病程记录。</w:t>
      </w:r>
    </w:p>
    <w:p>
      <w:pPr>
        <w:pStyle w:val="99"/>
        <w:widowControl/>
        <w:numPr>
          <w:ilvl w:val="0"/>
          <w:numId w:val="6"/>
        </w:numPr>
        <w:spacing w:line="300" w:lineRule="auto"/>
        <w:ind w:firstLine="0" w:firstLineChars="0"/>
        <w:rPr>
          <w:rFonts w:ascii="宋体" w:hAnsi="宋体" w:cs="宋体"/>
          <w:bCs/>
          <w:sz w:val="24"/>
          <w:highlight w:val="none"/>
        </w:rPr>
      </w:pPr>
      <w:r>
        <w:rPr>
          <w:rFonts w:hint="eastAsia" w:ascii="宋体" w:hAnsi="宋体" w:cs="宋体"/>
          <w:bCs/>
          <w:sz w:val="24"/>
          <w:highlight w:val="none"/>
        </w:rPr>
        <w:t>康复看板系统</w:t>
      </w:r>
    </w:p>
    <w:p>
      <w:pPr>
        <w:numPr>
          <w:ilvl w:val="0"/>
          <w:numId w:val="20"/>
        </w:numPr>
        <w:rPr>
          <w:rFonts w:ascii="宋体" w:hAnsi="宋体" w:cs="宋体"/>
          <w:sz w:val="24"/>
          <w:highlight w:val="none"/>
        </w:rPr>
      </w:pPr>
      <w:r>
        <w:rPr>
          <w:rFonts w:hint="eastAsia" w:ascii="宋体" w:hAnsi="宋体" w:cs="宋体"/>
          <w:sz w:val="24"/>
          <w:highlight w:val="none"/>
        </w:rPr>
        <w:t>支持通过看板了解患者的医嘱信息、护理信息、康复治疗信息；</w:t>
      </w:r>
    </w:p>
    <w:p>
      <w:pPr>
        <w:numPr>
          <w:ilvl w:val="0"/>
          <w:numId w:val="20"/>
        </w:numPr>
        <w:rPr>
          <w:rFonts w:ascii="宋体" w:hAnsi="宋体" w:cs="宋体"/>
          <w:sz w:val="24"/>
          <w:highlight w:val="none"/>
        </w:rPr>
      </w:pPr>
      <w:r>
        <w:rPr>
          <w:rFonts w:hint="eastAsia" w:ascii="宋体" w:hAnsi="宋体" w:cs="宋体"/>
          <w:sz w:val="24"/>
          <w:highlight w:val="none"/>
        </w:rPr>
        <w:t>支持根据患者情况增删康复标签并打印；</w:t>
      </w:r>
    </w:p>
    <w:p>
      <w:pPr>
        <w:numPr>
          <w:ilvl w:val="0"/>
          <w:numId w:val="20"/>
        </w:numPr>
        <w:rPr>
          <w:rFonts w:ascii="宋体" w:hAnsi="宋体" w:cs="宋体"/>
          <w:sz w:val="24"/>
          <w:highlight w:val="none"/>
        </w:rPr>
      </w:pPr>
      <w:r>
        <w:rPr>
          <w:rFonts w:hint="eastAsia" w:ascii="宋体" w:hAnsi="宋体" w:cs="宋体"/>
          <w:sz w:val="24"/>
          <w:highlight w:val="none"/>
        </w:rPr>
        <w:t>支持医治护留言功能，并能按时间顺序展示；</w:t>
      </w:r>
    </w:p>
    <w:p>
      <w:pPr>
        <w:pStyle w:val="99"/>
        <w:widowControl/>
        <w:numPr>
          <w:ilvl w:val="0"/>
          <w:numId w:val="20"/>
        </w:numPr>
        <w:spacing w:line="300" w:lineRule="auto"/>
        <w:ind w:firstLineChars="0"/>
        <w:rPr>
          <w:rFonts w:ascii="宋体" w:hAnsi="宋体" w:cs="宋体"/>
          <w:bCs/>
          <w:sz w:val="24"/>
          <w:highlight w:val="none"/>
        </w:rPr>
      </w:pPr>
      <w:r>
        <w:rPr>
          <w:rFonts w:hint="eastAsia" w:ascii="宋体" w:hAnsi="宋体" w:cs="宋体"/>
          <w:sz w:val="24"/>
          <w:highlight w:val="none"/>
        </w:rPr>
        <w:t>可快速调取患者的评定量表及报告进行查阅。</w:t>
      </w:r>
    </w:p>
    <w:p>
      <w:pPr>
        <w:pStyle w:val="99"/>
        <w:widowControl/>
        <w:numPr>
          <w:ilvl w:val="0"/>
          <w:numId w:val="6"/>
        </w:numPr>
        <w:spacing w:line="300" w:lineRule="auto"/>
        <w:ind w:firstLine="0" w:firstLineChars="0"/>
        <w:rPr>
          <w:rFonts w:ascii="宋体" w:hAnsi="宋体" w:cs="宋体"/>
          <w:bCs/>
          <w:sz w:val="24"/>
          <w:highlight w:val="none"/>
        </w:rPr>
      </w:pPr>
      <w:r>
        <w:rPr>
          <w:rFonts w:hint="eastAsia" w:ascii="宋体" w:hAnsi="宋体" w:cs="宋体"/>
          <w:bCs/>
          <w:sz w:val="24"/>
          <w:highlight w:val="none"/>
        </w:rPr>
        <w:t>病例检索</w:t>
      </w:r>
    </w:p>
    <w:p>
      <w:pPr>
        <w:numPr>
          <w:ilvl w:val="0"/>
          <w:numId w:val="21"/>
        </w:numPr>
        <w:rPr>
          <w:rFonts w:ascii="宋体" w:hAnsi="宋体" w:cs="宋体"/>
          <w:sz w:val="24"/>
          <w:highlight w:val="none"/>
        </w:rPr>
      </w:pPr>
      <w:r>
        <w:rPr>
          <w:rFonts w:hint="eastAsia" w:ascii="宋体" w:hAnsi="宋体" w:cs="宋体"/>
          <w:sz w:val="24"/>
          <w:highlight w:val="none"/>
        </w:rPr>
        <w:t>可根据患者提供快速的历次病历、评定量表、康复文书等资料检索；</w:t>
      </w:r>
    </w:p>
    <w:p>
      <w:pPr>
        <w:numPr>
          <w:ilvl w:val="0"/>
          <w:numId w:val="21"/>
        </w:numPr>
        <w:rPr>
          <w:rFonts w:ascii="宋体" w:hAnsi="宋体" w:cs="宋体"/>
          <w:sz w:val="24"/>
          <w:highlight w:val="none"/>
        </w:rPr>
      </w:pPr>
      <w:r>
        <w:rPr>
          <w:rFonts w:hint="eastAsia" w:ascii="宋体" w:hAnsi="宋体" w:cs="宋体"/>
          <w:sz w:val="24"/>
          <w:highlight w:val="none"/>
        </w:rPr>
        <w:t>可根据病种进行相关病历、治疗文书、评定量表检索及查询；</w:t>
      </w:r>
    </w:p>
    <w:p>
      <w:pPr>
        <w:numPr>
          <w:ilvl w:val="0"/>
          <w:numId w:val="21"/>
        </w:numPr>
        <w:rPr>
          <w:rFonts w:ascii="宋体" w:hAnsi="宋体" w:cs="宋体"/>
          <w:sz w:val="24"/>
          <w:highlight w:val="none"/>
        </w:rPr>
      </w:pPr>
      <w:r>
        <w:rPr>
          <w:rFonts w:hint="eastAsia" w:ascii="宋体" w:hAnsi="宋体" w:cs="宋体"/>
          <w:sz w:val="24"/>
          <w:highlight w:val="none"/>
        </w:rPr>
        <w:t>可根据评定量表独立检索量表相关的使用记录；</w:t>
      </w:r>
    </w:p>
    <w:p>
      <w:pPr>
        <w:pStyle w:val="99"/>
        <w:widowControl/>
        <w:numPr>
          <w:ilvl w:val="0"/>
          <w:numId w:val="21"/>
        </w:numPr>
        <w:spacing w:line="300" w:lineRule="auto"/>
        <w:ind w:firstLineChars="0"/>
        <w:rPr>
          <w:rFonts w:ascii="宋体" w:hAnsi="宋体" w:cs="宋体"/>
          <w:bCs/>
          <w:sz w:val="24"/>
          <w:highlight w:val="none"/>
        </w:rPr>
      </w:pPr>
      <w:r>
        <w:rPr>
          <w:rFonts w:hint="eastAsia" w:ascii="宋体" w:hAnsi="宋体" w:cs="宋体"/>
          <w:sz w:val="24"/>
          <w:highlight w:val="none"/>
        </w:rPr>
        <w:t>支持不同患者同一量表进行对比。（需提供产品现场演示）</w:t>
      </w:r>
    </w:p>
    <w:p>
      <w:pPr>
        <w:pStyle w:val="99"/>
        <w:widowControl/>
        <w:numPr>
          <w:ilvl w:val="0"/>
          <w:numId w:val="6"/>
        </w:numPr>
        <w:spacing w:line="300" w:lineRule="auto"/>
        <w:ind w:firstLine="0" w:firstLineChars="0"/>
        <w:rPr>
          <w:rFonts w:ascii="宋体" w:hAnsi="宋体" w:cs="宋体"/>
          <w:bCs/>
          <w:sz w:val="24"/>
          <w:highlight w:val="none"/>
        </w:rPr>
      </w:pPr>
      <w:r>
        <w:rPr>
          <w:rFonts w:hint="eastAsia" w:ascii="宋体" w:hAnsi="宋体" w:cs="宋体"/>
          <w:bCs/>
          <w:sz w:val="24"/>
          <w:highlight w:val="none"/>
        </w:rPr>
        <w:t>专家知识库</w:t>
      </w:r>
    </w:p>
    <w:p>
      <w:pPr>
        <w:pStyle w:val="130"/>
        <w:numPr>
          <w:ilvl w:val="0"/>
          <w:numId w:val="22"/>
        </w:numPr>
        <w:ind w:hangingChars="177"/>
        <w:rPr>
          <w:rFonts w:ascii="宋体" w:hAnsi="宋体" w:cs="宋体"/>
          <w:sz w:val="24"/>
          <w:highlight w:val="none"/>
        </w:rPr>
      </w:pPr>
      <w:r>
        <w:rPr>
          <w:rFonts w:hint="eastAsia" w:ascii="宋体" w:hAnsi="宋体" w:cs="宋体"/>
          <w:sz w:val="24"/>
          <w:highlight w:val="none"/>
        </w:rPr>
        <w:t>在线电子图书馆功能，快速查询康复相关信息；</w:t>
      </w:r>
    </w:p>
    <w:p>
      <w:pPr>
        <w:pStyle w:val="107"/>
        <w:numPr>
          <w:ilvl w:val="0"/>
          <w:numId w:val="22"/>
        </w:numPr>
        <w:ind w:firstLineChars="0"/>
        <w:rPr>
          <w:rFonts w:ascii="宋体" w:hAnsi="宋体" w:cs="宋体"/>
          <w:sz w:val="24"/>
          <w:szCs w:val="24"/>
          <w:highlight w:val="none"/>
          <w:u w:val="single"/>
        </w:rPr>
      </w:pPr>
      <w:r>
        <w:rPr>
          <w:rFonts w:hint="eastAsia" w:ascii="宋体" w:hAnsi="宋体" w:cs="宋体"/>
          <w:sz w:val="24"/>
          <w:szCs w:val="24"/>
          <w:highlight w:val="none"/>
        </w:rPr>
        <w:t>专家知识库文章阅读；</w:t>
      </w:r>
      <w:r>
        <w:rPr>
          <w:rFonts w:hint="eastAsia" w:ascii="宋体" w:hAnsi="宋体" w:cs="宋体"/>
          <w:sz w:val="24"/>
          <w:szCs w:val="24"/>
          <w:highlight w:val="none"/>
          <w:u w:val="single"/>
        </w:rPr>
        <w:t xml:space="preserve">         </w:t>
      </w:r>
    </w:p>
    <w:p>
      <w:pPr>
        <w:numPr>
          <w:ilvl w:val="0"/>
          <w:numId w:val="22"/>
        </w:numPr>
        <w:rPr>
          <w:rFonts w:ascii="宋体" w:hAnsi="宋体" w:cs="宋体"/>
          <w:sz w:val="24"/>
          <w:highlight w:val="none"/>
        </w:rPr>
      </w:pPr>
      <w:r>
        <w:rPr>
          <w:rFonts w:hint="eastAsia" w:ascii="宋体" w:hAnsi="宋体" w:cs="宋体"/>
          <w:sz w:val="24"/>
          <w:highlight w:val="none"/>
        </w:rPr>
        <w:t>通过评定结果查询治疗方案；</w:t>
      </w:r>
    </w:p>
    <w:p>
      <w:pPr>
        <w:pStyle w:val="99"/>
        <w:widowControl/>
        <w:numPr>
          <w:ilvl w:val="0"/>
          <w:numId w:val="22"/>
        </w:numPr>
        <w:spacing w:line="300" w:lineRule="auto"/>
        <w:ind w:firstLineChars="0"/>
        <w:rPr>
          <w:rFonts w:ascii="宋体" w:hAnsi="宋体" w:cs="宋体"/>
          <w:bCs/>
          <w:sz w:val="24"/>
          <w:highlight w:val="none"/>
        </w:rPr>
      </w:pPr>
      <w:r>
        <w:rPr>
          <w:rFonts w:hint="eastAsia" w:ascii="宋体" w:hAnsi="宋体" w:cs="宋体"/>
          <w:sz w:val="24"/>
          <w:highlight w:val="none"/>
        </w:rPr>
        <w:t>提供由专业软件测评机构出具的专家知识库相关测试报告。</w:t>
      </w:r>
    </w:p>
    <w:p>
      <w:pPr>
        <w:pStyle w:val="99"/>
        <w:widowControl/>
        <w:numPr>
          <w:ilvl w:val="0"/>
          <w:numId w:val="6"/>
        </w:numPr>
        <w:spacing w:line="300" w:lineRule="auto"/>
        <w:ind w:firstLine="0" w:firstLineChars="0"/>
        <w:rPr>
          <w:rFonts w:ascii="宋体" w:hAnsi="宋体" w:cs="宋体"/>
          <w:bCs/>
          <w:sz w:val="24"/>
          <w:highlight w:val="none"/>
        </w:rPr>
      </w:pPr>
      <w:r>
        <w:rPr>
          <w:rFonts w:hint="eastAsia" w:ascii="宋体" w:hAnsi="宋体" w:cs="宋体"/>
          <w:bCs/>
          <w:sz w:val="24"/>
          <w:highlight w:val="none"/>
        </w:rPr>
        <w:t>康复医生工作站</w:t>
      </w:r>
    </w:p>
    <w:p>
      <w:pPr>
        <w:pStyle w:val="99"/>
        <w:widowControl/>
        <w:numPr>
          <w:ilvl w:val="0"/>
          <w:numId w:val="23"/>
        </w:numPr>
        <w:spacing w:line="300" w:lineRule="auto"/>
        <w:ind w:firstLineChars="0"/>
        <w:rPr>
          <w:rFonts w:ascii="宋体" w:hAnsi="宋体" w:cs="宋体"/>
          <w:sz w:val="24"/>
          <w:highlight w:val="none"/>
        </w:rPr>
      </w:pPr>
      <w:r>
        <w:rPr>
          <w:rFonts w:hint="eastAsia" w:ascii="宋体" w:hAnsi="宋体" w:cs="宋体"/>
          <w:sz w:val="24"/>
          <w:highlight w:val="none"/>
        </w:rPr>
        <w:t>支持根据患者设置责任治疗师（服务协调人）；</w:t>
      </w:r>
    </w:p>
    <w:p>
      <w:pPr>
        <w:pStyle w:val="99"/>
        <w:widowControl/>
        <w:numPr>
          <w:ilvl w:val="0"/>
          <w:numId w:val="23"/>
        </w:numPr>
        <w:spacing w:line="300" w:lineRule="auto"/>
        <w:ind w:firstLineChars="0"/>
        <w:rPr>
          <w:rFonts w:ascii="宋体" w:hAnsi="宋体" w:cs="宋体"/>
          <w:sz w:val="24"/>
          <w:highlight w:val="none"/>
        </w:rPr>
      </w:pPr>
      <w:r>
        <w:rPr>
          <w:rFonts w:hint="eastAsia" w:ascii="宋体" w:hAnsi="宋体" w:cs="宋体"/>
          <w:sz w:val="24"/>
          <w:highlight w:val="none"/>
        </w:rPr>
        <w:t>支持针对已建档患者，进行快速接诊；</w:t>
      </w:r>
    </w:p>
    <w:p>
      <w:pPr>
        <w:pStyle w:val="99"/>
        <w:widowControl/>
        <w:numPr>
          <w:ilvl w:val="0"/>
          <w:numId w:val="23"/>
        </w:numPr>
        <w:spacing w:line="300" w:lineRule="auto"/>
        <w:ind w:left="5" w:hanging="5" w:firstLineChars="0"/>
        <w:rPr>
          <w:rFonts w:ascii="宋体" w:hAnsi="宋体" w:cs="宋体"/>
          <w:sz w:val="24"/>
          <w:highlight w:val="none"/>
        </w:rPr>
      </w:pPr>
      <w:r>
        <w:rPr>
          <w:rFonts w:hint="eastAsia" w:ascii="宋体" w:hAnsi="宋体" w:cs="宋体"/>
          <w:sz w:val="24"/>
          <w:highlight w:val="none"/>
        </w:rPr>
        <w:t>支持医师下达治疗项目，针灸等项目可输入部位数/组数，快速输入部位或标记在生理图上；（需提供产品现场演示）</w:t>
      </w:r>
    </w:p>
    <w:p>
      <w:pPr>
        <w:pStyle w:val="99"/>
        <w:widowControl/>
        <w:numPr>
          <w:ilvl w:val="0"/>
          <w:numId w:val="23"/>
        </w:numPr>
        <w:spacing w:line="300" w:lineRule="auto"/>
        <w:ind w:left="5" w:hanging="5" w:firstLineChars="0"/>
        <w:rPr>
          <w:rFonts w:ascii="宋体" w:hAnsi="宋体" w:cs="宋体"/>
          <w:sz w:val="24"/>
          <w:highlight w:val="none"/>
        </w:rPr>
      </w:pPr>
      <w:r>
        <w:rPr>
          <w:rFonts w:hint="eastAsia" w:ascii="宋体" w:hAnsi="宋体" w:cs="宋体"/>
          <w:sz w:val="24"/>
          <w:highlight w:val="none"/>
        </w:rPr>
        <w:t>支持直接开具临床用药医嘱、康复评定医嘱、康复治疗医嘱、康复家庭训练方案，并支持快速引用评定师/治疗师发送的建议医嘱；（需提供产品现场演示）</w:t>
      </w:r>
    </w:p>
    <w:p>
      <w:pPr>
        <w:pStyle w:val="99"/>
        <w:widowControl/>
        <w:numPr>
          <w:ilvl w:val="0"/>
          <w:numId w:val="23"/>
        </w:numPr>
        <w:spacing w:line="300" w:lineRule="auto"/>
        <w:ind w:firstLineChars="0"/>
        <w:rPr>
          <w:rFonts w:ascii="宋体" w:hAnsi="宋体" w:cs="宋体"/>
          <w:sz w:val="24"/>
          <w:highlight w:val="none"/>
        </w:rPr>
      </w:pPr>
      <w:r>
        <w:rPr>
          <w:rFonts w:hint="eastAsia" w:ascii="宋体" w:hAnsi="宋体" w:cs="宋体"/>
          <w:sz w:val="24"/>
          <w:highlight w:val="none"/>
        </w:rPr>
        <w:t>支持根据病种推荐预设方案、历史治疗方案、推荐方案；</w:t>
      </w:r>
    </w:p>
    <w:p>
      <w:pPr>
        <w:pStyle w:val="99"/>
        <w:widowControl/>
        <w:numPr>
          <w:ilvl w:val="0"/>
          <w:numId w:val="23"/>
        </w:numPr>
        <w:spacing w:line="300" w:lineRule="auto"/>
        <w:ind w:firstLineChars="0"/>
        <w:rPr>
          <w:rFonts w:ascii="宋体" w:hAnsi="宋体" w:cs="宋体"/>
          <w:sz w:val="24"/>
          <w:highlight w:val="none"/>
        </w:rPr>
      </w:pPr>
      <w:r>
        <w:rPr>
          <w:rFonts w:hint="eastAsia" w:ascii="宋体" w:hAnsi="宋体" w:cs="宋体"/>
          <w:sz w:val="24"/>
          <w:highlight w:val="none"/>
        </w:rPr>
        <w:t xml:space="preserve">支持打印患者治疗单； </w:t>
      </w:r>
    </w:p>
    <w:p>
      <w:pPr>
        <w:pStyle w:val="99"/>
        <w:widowControl/>
        <w:numPr>
          <w:ilvl w:val="0"/>
          <w:numId w:val="23"/>
        </w:numPr>
        <w:spacing w:line="300" w:lineRule="auto"/>
        <w:ind w:firstLineChars="0"/>
        <w:rPr>
          <w:rFonts w:ascii="宋体" w:hAnsi="宋体"/>
          <w:sz w:val="28"/>
          <w:szCs w:val="28"/>
          <w:highlight w:val="none"/>
        </w:rPr>
      </w:pPr>
      <w:r>
        <w:rPr>
          <w:rFonts w:hint="eastAsia" w:ascii="宋体" w:hAnsi="宋体" w:cs="宋体"/>
          <w:sz w:val="24"/>
          <w:highlight w:val="none"/>
        </w:rPr>
        <w:t>支持出院患者治疗、评定信息查看。</w:t>
      </w:r>
    </w:p>
    <w:p>
      <w:pPr>
        <w:pStyle w:val="4"/>
        <w:spacing w:line="480" w:lineRule="exact"/>
        <w:rPr>
          <w:color w:val="000000"/>
          <w:sz w:val="24"/>
          <w:szCs w:val="24"/>
          <w:highlight w:val="none"/>
        </w:rPr>
      </w:pPr>
      <w:r>
        <w:rPr>
          <w:rFonts w:hint="eastAsia"/>
          <w:color w:val="000000"/>
          <w:sz w:val="24"/>
          <w:szCs w:val="24"/>
          <w:highlight w:val="none"/>
        </w:rPr>
        <w:t>（二）其他要求</w:t>
      </w:r>
    </w:p>
    <w:p>
      <w:pPr>
        <w:pStyle w:val="99"/>
        <w:widowControl/>
        <w:numPr>
          <w:ilvl w:val="0"/>
          <w:numId w:val="24"/>
        </w:numPr>
        <w:spacing w:line="300" w:lineRule="auto"/>
        <w:ind w:firstLine="0" w:firstLineChars="0"/>
        <w:rPr>
          <w:rFonts w:ascii="宋体" w:hAnsi="宋体" w:cs="宋体"/>
          <w:bCs/>
          <w:sz w:val="24"/>
          <w:highlight w:val="none"/>
        </w:rPr>
      </w:pPr>
      <w:r>
        <w:rPr>
          <w:rFonts w:hint="eastAsia" w:ascii="宋体" w:hAnsi="宋体" w:cs="宋体"/>
          <w:bCs/>
          <w:sz w:val="24"/>
          <w:highlight w:val="none"/>
        </w:rPr>
        <w:t>硬件设备</w:t>
      </w:r>
    </w:p>
    <w:p>
      <w:pPr>
        <w:pStyle w:val="99"/>
        <w:widowControl/>
        <w:spacing w:line="300" w:lineRule="auto"/>
        <w:ind w:firstLine="0" w:firstLineChars="0"/>
        <w:rPr>
          <w:rFonts w:ascii="宋体" w:hAnsi="宋体" w:cs="宋体"/>
          <w:bCs/>
          <w:sz w:val="24"/>
          <w:highlight w:val="none"/>
        </w:rPr>
      </w:pPr>
      <w:r>
        <w:rPr>
          <w:rFonts w:hint="eastAsia" w:ascii="宋体" w:hAnsi="宋体" w:cs="宋体"/>
          <w:bCs/>
          <w:sz w:val="24"/>
          <w:highlight w:val="none"/>
        </w:rPr>
        <w:t>(1)服务器（1台）</w:t>
      </w:r>
    </w:p>
    <w:p>
      <w:pPr>
        <w:numPr>
          <w:ilvl w:val="0"/>
          <w:numId w:val="25"/>
        </w:numPr>
        <w:rPr>
          <w:rFonts w:ascii="宋体" w:hAnsi="宋体" w:cs="宋体"/>
          <w:sz w:val="24"/>
          <w:highlight w:val="none"/>
        </w:rPr>
      </w:pPr>
      <w:r>
        <w:rPr>
          <w:rFonts w:hint="eastAsia" w:ascii="宋体" w:hAnsi="宋体" w:cs="宋体"/>
          <w:sz w:val="24"/>
          <w:highlight w:val="none"/>
        </w:rPr>
        <w:t>服务器12*3.5”盘；</w:t>
      </w:r>
    </w:p>
    <w:p>
      <w:pPr>
        <w:numPr>
          <w:ilvl w:val="0"/>
          <w:numId w:val="25"/>
        </w:numPr>
        <w:rPr>
          <w:rFonts w:ascii="宋体" w:hAnsi="宋体" w:cs="宋体"/>
          <w:sz w:val="24"/>
          <w:highlight w:val="none"/>
        </w:rPr>
      </w:pPr>
      <w:r>
        <w:rPr>
          <w:rFonts w:hint="eastAsia" w:ascii="宋体" w:hAnsi="宋体" w:cs="宋体"/>
          <w:sz w:val="24"/>
          <w:highlight w:val="none"/>
        </w:rPr>
        <w:t>CPU：英特尔至强铜牌3106(1.7GHz/8-core/11MB/85W)处理器；</w:t>
      </w:r>
    </w:p>
    <w:p>
      <w:pPr>
        <w:numPr>
          <w:ilvl w:val="0"/>
          <w:numId w:val="25"/>
        </w:numPr>
        <w:rPr>
          <w:rFonts w:ascii="宋体" w:hAnsi="宋体" w:cs="宋体"/>
          <w:sz w:val="24"/>
          <w:highlight w:val="none"/>
        </w:rPr>
      </w:pPr>
      <w:r>
        <w:rPr>
          <w:rFonts w:hint="eastAsia" w:ascii="宋体" w:hAnsi="宋体" w:cs="宋体"/>
          <w:sz w:val="24"/>
          <w:highlight w:val="none"/>
        </w:rPr>
        <w:t>内存：2*DDR4 RDIMM内存-16GB；</w:t>
      </w:r>
    </w:p>
    <w:p>
      <w:pPr>
        <w:numPr>
          <w:ilvl w:val="0"/>
          <w:numId w:val="25"/>
        </w:numPr>
        <w:rPr>
          <w:rFonts w:ascii="宋体" w:hAnsi="宋体" w:cs="宋体"/>
          <w:sz w:val="24"/>
          <w:highlight w:val="none"/>
          <w:u w:val="single"/>
        </w:rPr>
      </w:pPr>
      <w:r>
        <w:rPr>
          <w:rFonts w:hint="eastAsia" w:ascii="宋体" w:hAnsi="宋体" w:cs="宋体"/>
          <w:sz w:val="24"/>
          <w:highlight w:val="none"/>
        </w:rPr>
        <w:t>硬盘：2000GB-SATA 6Gb/s-7.2K rpm；</w:t>
      </w:r>
      <w:r>
        <w:rPr>
          <w:rFonts w:hint="eastAsia" w:ascii="宋体" w:hAnsi="宋体" w:cs="宋体"/>
          <w:sz w:val="24"/>
          <w:highlight w:val="none"/>
          <w:u w:val="single"/>
        </w:rPr>
        <w:t xml:space="preserve">       </w:t>
      </w:r>
    </w:p>
    <w:p>
      <w:pPr>
        <w:pStyle w:val="99"/>
        <w:widowControl/>
        <w:numPr>
          <w:ilvl w:val="0"/>
          <w:numId w:val="25"/>
        </w:numPr>
        <w:spacing w:line="300" w:lineRule="auto"/>
        <w:ind w:firstLineChars="0"/>
        <w:rPr>
          <w:rFonts w:ascii="宋体" w:hAnsi="宋体" w:cs="宋体"/>
          <w:bCs/>
          <w:sz w:val="24"/>
          <w:highlight w:val="none"/>
        </w:rPr>
      </w:pPr>
      <w:r>
        <w:rPr>
          <w:rFonts w:hint="eastAsia" w:ascii="宋体" w:hAnsi="宋体" w:cs="宋体"/>
          <w:sz w:val="24"/>
          <w:highlight w:val="none"/>
        </w:rPr>
        <w:t>电源：550W 白金交流电源模块 ；</w:t>
      </w:r>
    </w:p>
    <w:p>
      <w:pPr>
        <w:pStyle w:val="99"/>
        <w:widowControl/>
        <w:spacing w:line="300" w:lineRule="auto"/>
        <w:ind w:firstLine="0" w:firstLineChars="0"/>
        <w:rPr>
          <w:rFonts w:ascii="宋体" w:hAnsi="宋体" w:cs="宋体"/>
          <w:bCs/>
          <w:sz w:val="24"/>
          <w:highlight w:val="none"/>
        </w:rPr>
      </w:pPr>
      <w:r>
        <w:rPr>
          <w:rFonts w:hint="eastAsia" w:ascii="宋体" w:hAnsi="宋体" w:cs="宋体"/>
          <w:bCs/>
          <w:sz w:val="24"/>
          <w:highlight w:val="none"/>
        </w:rPr>
        <w:t>（2）移动治疗终端（8台）</w:t>
      </w:r>
    </w:p>
    <w:p>
      <w:pPr>
        <w:numPr>
          <w:ilvl w:val="0"/>
          <w:numId w:val="26"/>
        </w:numPr>
        <w:rPr>
          <w:rFonts w:ascii="宋体" w:hAnsi="宋体" w:cs="宋体"/>
          <w:sz w:val="24"/>
          <w:highlight w:val="none"/>
        </w:rPr>
      </w:pPr>
      <w:r>
        <w:rPr>
          <w:rFonts w:hint="eastAsia" w:ascii="宋体" w:hAnsi="宋体" w:cs="宋体"/>
          <w:sz w:val="24"/>
          <w:highlight w:val="none"/>
        </w:rPr>
        <w:t>系统：Android；CPU：主频≧1.5</w:t>
      </w:r>
      <w:r>
        <w:rPr>
          <w:rFonts w:hint="eastAsia" w:ascii="宋体" w:hAnsi="宋体" w:cs="宋体"/>
          <w:color w:val="333333"/>
          <w:sz w:val="24"/>
          <w:highlight w:val="none"/>
          <w:shd w:val="clear" w:color="auto" w:fill="FFFFFF"/>
        </w:rPr>
        <w:t>Ghz</w:t>
      </w:r>
      <w:r>
        <w:rPr>
          <w:rFonts w:hint="eastAsia" w:ascii="宋体" w:hAnsi="宋体" w:cs="宋体"/>
          <w:sz w:val="24"/>
          <w:highlight w:val="none"/>
        </w:rPr>
        <w:t>；运行内存：6GB；机身容量：64GB；</w:t>
      </w:r>
    </w:p>
    <w:p>
      <w:pPr>
        <w:numPr>
          <w:ilvl w:val="0"/>
          <w:numId w:val="26"/>
        </w:numPr>
        <w:rPr>
          <w:rFonts w:ascii="宋体" w:hAnsi="宋体" w:cs="宋体"/>
          <w:sz w:val="24"/>
          <w:highlight w:val="none"/>
        </w:rPr>
      </w:pPr>
      <w:r>
        <w:rPr>
          <w:rFonts w:hint="eastAsia" w:ascii="宋体" w:hAnsi="宋体" w:cs="宋体"/>
          <w:sz w:val="24"/>
          <w:highlight w:val="none"/>
        </w:rPr>
        <w:t>前摄的主摄像素1600万像素；</w:t>
      </w:r>
    </w:p>
    <w:p>
      <w:pPr>
        <w:pStyle w:val="99"/>
        <w:widowControl/>
        <w:numPr>
          <w:ilvl w:val="0"/>
          <w:numId w:val="26"/>
        </w:numPr>
        <w:spacing w:line="300" w:lineRule="auto"/>
        <w:ind w:firstLineChars="0"/>
        <w:rPr>
          <w:rFonts w:ascii="宋体" w:hAnsi="宋体" w:cs="宋体"/>
          <w:bCs/>
          <w:sz w:val="24"/>
          <w:highlight w:val="none"/>
        </w:rPr>
      </w:pPr>
      <w:r>
        <w:rPr>
          <w:rFonts w:hint="eastAsia" w:ascii="宋体" w:hAnsi="宋体" w:cs="宋体"/>
          <w:sz w:val="24"/>
          <w:highlight w:val="none"/>
        </w:rPr>
        <w:t>屏幕分辨率FHD+ 1080x2340像素；</w:t>
      </w:r>
    </w:p>
    <w:p>
      <w:pPr>
        <w:pStyle w:val="99"/>
        <w:widowControl/>
        <w:spacing w:line="300" w:lineRule="auto"/>
        <w:ind w:firstLine="0" w:firstLineChars="0"/>
        <w:rPr>
          <w:rFonts w:ascii="宋体" w:hAnsi="宋体" w:cs="宋体"/>
          <w:bCs/>
          <w:sz w:val="24"/>
          <w:highlight w:val="none"/>
        </w:rPr>
      </w:pPr>
      <w:r>
        <w:rPr>
          <w:rFonts w:hint="eastAsia" w:ascii="宋体" w:hAnsi="宋体" w:cs="宋体"/>
          <w:bCs/>
          <w:sz w:val="24"/>
          <w:highlight w:val="none"/>
        </w:rPr>
        <w:t>（3）移动评定终端（3台）</w:t>
      </w:r>
    </w:p>
    <w:p>
      <w:pPr>
        <w:pStyle w:val="99"/>
        <w:widowControl/>
        <w:spacing w:line="300" w:lineRule="auto"/>
        <w:ind w:firstLine="0" w:firstLineChars="0"/>
        <w:rPr>
          <w:rFonts w:ascii="宋体" w:hAnsi="宋体" w:cs="宋体"/>
          <w:sz w:val="24"/>
          <w:highlight w:val="none"/>
        </w:rPr>
      </w:pPr>
      <w:r>
        <w:rPr>
          <w:rFonts w:hint="eastAsia" w:ascii="宋体" w:hAnsi="宋体" w:cs="宋体"/>
          <w:sz w:val="24"/>
          <w:highlight w:val="none"/>
        </w:rPr>
        <w:t>屏幕尺寸≥9英寸；屏幕分辨率：≥2048*1536；系统内存：≥2GB,存储容量: ≥32GB</w:t>
      </w:r>
    </w:p>
    <w:p>
      <w:pPr>
        <w:pStyle w:val="99"/>
        <w:widowControl/>
        <w:spacing w:line="300" w:lineRule="auto"/>
        <w:ind w:firstLine="0" w:firstLineChars="0"/>
        <w:rPr>
          <w:rFonts w:ascii="宋体" w:hAnsi="宋体" w:cs="宋体"/>
          <w:bCs/>
          <w:sz w:val="24"/>
          <w:highlight w:val="none"/>
        </w:rPr>
      </w:pPr>
      <w:r>
        <w:rPr>
          <w:rFonts w:hint="eastAsia" w:ascii="宋体" w:hAnsi="宋体" w:cs="宋体"/>
          <w:bCs/>
          <w:sz w:val="24"/>
          <w:highlight w:val="none"/>
        </w:rPr>
        <w:t>（4）台式电脑（3台）</w:t>
      </w:r>
    </w:p>
    <w:p>
      <w:pPr>
        <w:pStyle w:val="99"/>
        <w:widowControl/>
        <w:spacing w:line="300" w:lineRule="auto"/>
        <w:ind w:hanging="4" w:firstLineChars="0"/>
        <w:rPr>
          <w:rFonts w:ascii="宋体" w:hAnsi="宋体" w:cs="宋体"/>
          <w:bCs/>
          <w:sz w:val="24"/>
          <w:highlight w:val="none"/>
        </w:rPr>
      </w:pPr>
      <w:r>
        <w:rPr>
          <w:rFonts w:hint="eastAsia" w:ascii="宋体" w:hAnsi="宋体" w:cs="宋体"/>
          <w:sz w:val="24"/>
          <w:highlight w:val="none"/>
        </w:rPr>
        <w:t>CPU Intel I5四核，内存4G、硬盘500G、显示器分辨率1600*900，尺寸19.5英寸，操作系统：Windows 10</w:t>
      </w:r>
    </w:p>
    <w:p>
      <w:pPr>
        <w:pStyle w:val="99"/>
        <w:widowControl/>
        <w:spacing w:line="300" w:lineRule="auto"/>
        <w:ind w:firstLine="0" w:firstLineChars="0"/>
        <w:rPr>
          <w:rFonts w:ascii="宋体" w:hAnsi="宋体" w:cs="宋体"/>
          <w:bCs/>
          <w:sz w:val="24"/>
          <w:highlight w:val="none"/>
        </w:rPr>
      </w:pPr>
      <w:r>
        <w:rPr>
          <w:rFonts w:hint="eastAsia" w:ascii="宋体" w:hAnsi="宋体" w:cs="宋体"/>
          <w:bCs/>
          <w:sz w:val="24"/>
          <w:highlight w:val="none"/>
        </w:rPr>
        <w:t>（5）触摸屏一体机（1台）</w:t>
      </w:r>
    </w:p>
    <w:p>
      <w:pPr>
        <w:pStyle w:val="99"/>
        <w:widowControl/>
        <w:spacing w:line="300" w:lineRule="auto"/>
        <w:ind w:left="5" w:hanging="5" w:firstLineChars="0"/>
        <w:rPr>
          <w:rFonts w:ascii="宋体" w:hAnsi="宋体" w:cs="宋体"/>
          <w:bCs/>
          <w:sz w:val="24"/>
          <w:highlight w:val="none"/>
        </w:rPr>
      </w:pPr>
      <w:r>
        <w:rPr>
          <w:rFonts w:hint="eastAsia" w:ascii="宋体" w:hAnsi="宋体" w:cs="宋体"/>
          <w:sz w:val="24"/>
          <w:highlight w:val="none"/>
        </w:rPr>
        <w:t>I5/4G/128G固态盘；触摸屏尺寸32寸（屏比16：9）；操作系统：Windows 10</w:t>
      </w:r>
    </w:p>
    <w:p>
      <w:pPr>
        <w:pStyle w:val="99"/>
        <w:widowControl/>
        <w:spacing w:line="300" w:lineRule="auto"/>
        <w:ind w:firstLine="0" w:firstLineChars="0"/>
        <w:rPr>
          <w:rFonts w:ascii="宋体" w:hAnsi="宋体" w:cs="宋体"/>
          <w:bCs/>
          <w:sz w:val="24"/>
          <w:highlight w:val="none"/>
        </w:rPr>
      </w:pPr>
      <w:r>
        <w:rPr>
          <w:rFonts w:hint="eastAsia" w:ascii="宋体" w:hAnsi="宋体" w:cs="宋体"/>
          <w:bCs/>
          <w:sz w:val="24"/>
          <w:highlight w:val="none"/>
        </w:rPr>
        <w:t>（6）小米盒子（1台）</w:t>
      </w:r>
    </w:p>
    <w:p>
      <w:pPr>
        <w:ind w:left="425" w:hanging="424" w:hangingChars="177"/>
        <w:rPr>
          <w:rFonts w:ascii="宋体" w:hAnsi="宋体" w:cs="宋体"/>
          <w:bCs/>
          <w:sz w:val="24"/>
          <w:highlight w:val="none"/>
        </w:rPr>
      </w:pPr>
      <w:r>
        <w:rPr>
          <w:rFonts w:hint="eastAsia" w:ascii="宋体" w:hAnsi="宋体" w:cs="宋体"/>
          <w:sz w:val="24"/>
          <w:highlight w:val="none"/>
        </w:rPr>
        <w:t>CPU核心数：四核；智能网络终端可选；系统：Android；遥控器：蓝牙遥控</w:t>
      </w:r>
    </w:p>
    <w:p>
      <w:pPr>
        <w:pStyle w:val="99"/>
        <w:widowControl/>
        <w:numPr>
          <w:ilvl w:val="0"/>
          <w:numId w:val="27"/>
        </w:numPr>
        <w:spacing w:line="300" w:lineRule="auto"/>
        <w:ind w:firstLineChars="0"/>
        <w:rPr>
          <w:rFonts w:ascii="宋体" w:hAnsi="宋体" w:cs="宋体"/>
          <w:bCs/>
          <w:sz w:val="24"/>
          <w:highlight w:val="none"/>
        </w:rPr>
      </w:pPr>
      <w:r>
        <w:rPr>
          <w:rFonts w:hint="eastAsia" w:ascii="宋体" w:hAnsi="宋体" w:cs="宋体"/>
          <w:bCs/>
          <w:sz w:val="24"/>
          <w:highlight w:val="none"/>
        </w:rPr>
        <w:t>大屏显示器（1台）</w:t>
      </w:r>
    </w:p>
    <w:p>
      <w:pPr>
        <w:ind w:left="425" w:hanging="424" w:hangingChars="177"/>
        <w:rPr>
          <w:rFonts w:ascii="宋体" w:hAnsi="宋体" w:cs="宋体"/>
          <w:sz w:val="24"/>
          <w:highlight w:val="none"/>
          <w:u w:val="single"/>
        </w:rPr>
      </w:pPr>
      <w:r>
        <w:rPr>
          <w:rFonts w:hint="eastAsia" w:ascii="宋体" w:hAnsi="宋体" w:cs="宋体"/>
          <w:sz w:val="24"/>
          <w:highlight w:val="none"/>
        </w:rPr>
        <w:t>屏幕尺寸50英寸；屏幕分辨率超高清4K；屏幕比例：16:9</w:t>
      </w:r>
    </w:p>
    <w:p>
      <w:pPr>
        <w:numPr>
          <w:ilvl w:val="0"/>
          <w:numId w:val="24"/>
        </w:numPr>
        <w:rPr>
          <w:rFonts w:ascii="宋体" w:hAnsi="宋体" w:cs="宋体"/>
          <w:bCs/>
          <w:sz w:val="24"/>
          <w:highlight w:val="none"/>
        </w:rPr>
      </w:pPr>
      <w:r>
        <w:rPr>
          <w:rFonts w:hint="eastAsia" w:ascii="宋体" w:hAnsi="宋体" w:cs="宋体"/>
          <w:bCs/>
          <w:sz w:val="24"/>
          <w:highlight w:val="none"/>
        </w:rPr>
        <w:t>项目验收</w:t>
      </w:r>
    </w:p>
    <w:p>
      <w:pPr>
        <w:numPr>
          <w:ilvl w:val="0"/>
          <w:numId w:val="28"/>
        </w:numPr>
        <w:rPr>
          <w:rFonts w:ascii="宋体" w:hAnsi="宋体" w:cs="宋体"/>
          <w:sz w:val="24"/>
          <w:highlight w:val="none"/>
        </w:rPr>
      </w:pPr>
      <w:r>
        <w:rPr>
          <w:rFonts w:hint="eastAsia" w:ascii="宋体" w:hAnsi="宋体" w:cs="宋体"/>
          <w:sz w:val="24"/>
          <w:highlight w:val="none"/>
        </w:rPr>
        <w:t>验收标准：以系统运行达到产品功能清单的功能模块为标准。</w:t>
      </w:r>
    </w:p>
    <w:p>
      <w:pPr>
        <w:numPr>
          <w:ilvl w:val="0"/>
          <w:numId w:val="28"/>
        </w:numPr>
        <w:ind w:left="205" w:hanging="205"/>
        <w:rPr>
          <w:rFonts w:ascii="宋体" w:hAnsi="宋体" w:cs="宋体"/>
          <w:sz w:val="24"/>
          <w:highlight w:val="none"/>
        </w:rPr>
      </w:pPr>
      <w:r>
        <w:rPr>
          <w:rFonts w:hint="eastAsia" w:ascii="宋体" w:hAnsi="宋体" w:cs="宋体"/>
          <w:sz w:val="24"/>
          <w:highlight w:val="none"/>
        </w:rPr>
        <w:t>系统上线运行稳定后，乙方提交《项目验收报告》，甲方在核实验收标准满足情况后签署《项目验收报告》。如果不满足验收条件，甲方提供书面报告给乙方，乙方根据报告整改后再次提交验收流程。</w:t>
      </w:r>
    </w:p>
    <w:p>
      <w:pPr>
        <w:numPr>
          <w:ilvl w:val="0"/>
          <w:numId w:val="28"/>
        </w:numPr>
        <w:rPr>
          <w:rFonts w:ascii="宋体" w:hAnsi="宋体" w:cs="宋体"/>
          <w:sz w:val="24"/>
          <w:highlight w:val="none"/>
        </w:rPr>
      </w:pPr>
      <w:r>
        <w:rPr>
          <w:rFonts w:hint="eastAsia" w:ascii="宋体" w:hAnsi="宋体" w:cs="宋体"/>
          <w:sz w:val="24"/>
          <w:highlight w:val="none"/>
        </w:rPr>
        <w:t>硬件设备到货正常使用。</w:t>
      </w:r>
    </w:p>
    <w:p>
      <w:pPr>
        <w:numPr>
          <w:ilvl w:val="0"/>
          <w:numId w:val="28"/>
        </w:numPr>
        <w:rPr>
          <w:rFonts w:ascii="宋体" w:hAnsi="宋体" w:cs="宋体"/>
          <w:sz w:val="24"/>
          <w:highlight w:val="none"/>
        </w:rPr>
      </w:pPr>
      <w:r>
        <w:rPr>
          <w:rFonts w:hint="eastAsia" w:ascii="宋体" w:hAnsi="宋体" w:cs="宋体"/>
          <w:sz w:val="24"/>
          <w:highlight w:val="none"/>
        </w:rPr>
        <w:t>项目计划书、用户需求分析报告、数据库表结构和字段详细说明。</w:t>
      </w:r>
    </w:p>
    <w:p>
      <w:pPr>
        <w:numPr>
          <w:ilvl w:val="0"/>
          <w:numId w:val="28"/>
        </w:numPr>
        <w:ind w:left="5" w:hanging="5"/>
        <w:rPr>
          <w:rFonts w:ascii="宋体" w:hAnsi="宋体" w:cs="宋体"/>
          <w:sz w:val="24"/>
          <w:highlight w:val="none"/>
        </w:rPr>
      </w:pPr>
      <w:r>
        <w:rPr>
          <w:rFonts w:hint="eastAsia" w:ascii="宋体" w:hAnsi="宋体" w:cs="宋体"/>
          <w:sz w:val="24"/>
          <w:highlight w:val="none"/>
        </w:rPr>
        <w:t>项目设计说明书：包括系统概要设计说明书、系统详细设计说明书（界面设计、数据库设计、流程、业务处理逻辑及涉及数据库表字段变化说明等）、已开发的接口详细说明文档。</w:t>
      </w:r>
    </w:p>
    <w:p>
      <w:pPr>
        <w:numPr>
          <w:ilvl w:val="0"/>
          <w:numId w:val="28"/>
        </w:numPr>
        <w:rPr>
          <w:rFonts w:ascii="宋体" w:hAnsi="宋体" w:cs="宋体"/>
          <w:sz w:val="24"/>
          <w:highlight w:val="none"/>
        </w:rPr>
      </w:pPr>
      <w:r>
        <w:rPr>
          <w:rFonts w:hint="eastAsia" w:ascii="宋体" w:hAnsi="宋体" w:cs="宋体"/>
          <w:sz w:val="24"/>
          <w:highlight w:val="none"/>
        </w:rPr>
        <w:t>安装、测试报告：包括安装手册、测试报告、测试用例说明等。</w:t>
      </w:r>
    </w:p>
    <w:p>
      <w:pPr>
        <w:numPr>
          <w:ilvl w:val="0"/>
          <w:numId w:val="28"/>
        </w:numPr>
        <w:rPr>
          <w:rFonts w:ascii="宋体" w:hAnsi="宋体" w:cs="宋体"/>
          <w:sz w:val="24"/>
          <w:highlight w:val="none"/>
        </w:rPr>
      </w:pPr>
      <w:r>
        <w:rPr>
          <w:rFonts w:hint="eastAsia" w:ascii="宋体" w:hAnsi="宋体" w:cs="宋体"/>
          <w:sz w:val="24"/>
          <w:highlight w:val="none"/>
        </w:rPr>
        <w:t>使用手册：包括用户手册、操作手册、培训手册等。</w:t>
      </w:r>
    </w:p>
    <w:p>
      <w:pPr>
        <w:numPr>
          <w:ilvl w:val="0"/>
          <w:numId w:val="28"/>
        </w:numPr>
        <w:rPr>
          <w:rFonts w:ascii="宋体" w:hAnsi="宋体" w:cs="宋体"/>
          <w:sz w:val="24"/>
          <w:highlight w:val="none"/>
        </w:rPr>
      </w:pPr>
      <w:r>
        <w:rPr>
          <w:rFonts w:hint="eastAsia" w:ascii="宋体" w:hAnsi="宋体" w:cs="宋体"/>
          <w:sz w:val="24"/>
          <w:highlight w:val="none"/>
        </w:rPr>
        <w:t>系统维护手册：《页面维护文档》、《非页面维护文档》、《数据库维护文档》等。</w:t>
      </w:r>
      <w:r>
        <w:rPr>
          <w:rFonts w:hint="eastAsia" w:ascii="宋体" w:hAnsi="宋体" w:cs="宋体"/>
          <w:sz w:val="24"/>
          <w:highlight w:val="none"/>
          <w:u w:val="single"/>
        </w:rPr>
        <w:t xml:space="preserve">              </w:t>
      </w:r>
    </w:p>
    <w:p>
      <w:pPr>
        <w:numPr>
          <w:ilvl w:val="0"/>
          <w:numId w:val="24"/>
        </w:numPr>
        <w:ind w:left="425" w:hanging="425"/>
        <w:rPr>
          <w:rFonts w:ascii="宋体" w:hAnsi="宋体" w:cs="宋体"/>
          <w:bCs/>
          <w:sz w:val="24"/>
          <w:highlight w:val="none"/>
        </w:rPr>
      </w:pPr>
      <w:r>
        <w:rPr>
          <w:rFonts w:hint="eastAsia" w:ascii="宋体" w:hAnsi="宋体" w:cs="宋体"/>
          <w:bCs/>
          <w:sz w:val="24"/>
          <w:highlight w:val="none"/>
        </w:rPr>
        <w:t>源代码交付</w:t>
      </w:r>
    </w:p>
    <w:p>
      <w:pPr>
        <w:numPr>
          <w:ilvl w:val="0"/>
          <w:numId w:val="29"/>
        </w:numPr>
        <w:ind w:left="5" w:hanging="5"/>
        <w:rPr>
          <w:rFonts w:ascii="宋体" w:hAnsi="宋体" w:cs="宋体"/>
          <w:sz w:val="24"/>
          <w:highlight w:val="none"/>
        </w:rPr>
      </w:pPr>
      <w:r>
        <w:rPr>
          <w:rFonts w:hint="eastAsia" w:ascii="宋体" w:hAnsi="宋体" w:cs="宋体"/>
          <w:sz w:val="24"/>
          <w:highlight w:val="none"/>
        </w:rPr>
        <w:t>在实施过程中，为确保甲方可独立进行该项目的后续开发和维护工作，乙方需提供所有程序源码、数据库表结构及说明文档、开发设计文档、二次开发工具及说明等相关资料，同时向甲方提供相应的开发技能培训。如果乙方提供的产品或开发工具存在知识产权纠纷，由乙方负责，甲方不承担责任。为保障甲方能够在系统上线后具备独立维护的能力，乙方需提供康复系统所有数据库表结构及详细说明，同时向甲方提供软件安装、部署、日常运维技能培训。双方合作中涉及的所有业务、技术资料，均有责任对第三方保密。如其中一方擅自将涉及另一方的商业和技术秘密的资料透漏给第三方，则另一方将保留追究对方法律责任的权利。</w:t>
      </w:r>
    </w:p>
    <w:p>
      <w:pPr>
        <w:numPr>
          <w:ilvl w:val="0"/>
          <w:numId w:val="24"/>
        </w:numPr>
        <w:rPr>
          <w:rFonts w:ascii="宋体" w:hAnsi="宋体" w:cs="宋体"/>
          <w:bCs/>
          <w:sz w:val="24"/>
          <w:highlight w:val="none"/>
        </w:rPr>
      </w:pPr>
      <w:r>
        <w:rPr>
          <w:rFonts w:hint="eastAsia" w:ascii="宋体" w:hAnsi="宋体" w:cs="宋体"/>
          <w:bCs/>
          <w:sz w:val="24"/>
          <w:highlight w:val="none"/>
        </w:rPr>
        <w:t>售后维保服务</w:t>
      </w:r>
    </w:p>
    <w:p>
      <w:pPr>
        <w:numPr>
          <w:ilvl w:val="0"/>
          <w:numId w:val="30"/>
        </w:numPr>
        <w:ind w:left="-15" w:firstLine="15"/>
        <w:rPr>
          <w:rFonts w:ascii="宋体" w:hAnsi="宋体" w:cs="宋体"/>
          <w:sz w:val="24"/>
          <w:highlight w:val="none"/>
        </w:rPr>
      </w:pPr>
      <w:r>
        <w:rPr>
          <w:rFonts w:hint="eastAsia" w:ascii="宋体" w:hAnsi="宋体" w:cs="宋体"/>
          <w:sz w:val="24"/>
          <w:highlight w:val="none"/>
        </w:rPr>
        <w:t>使用过程中，软件出现故障，甲方告知后8小时内工程师到场进行调试，告知后12小时内系统无法恢复的，应出具善后解决方案。</w:t>
      </w:r>
    </w:p>
    <w:p>
      <w:pPr>
        <w:numPr>
          <w:ilvl w:val="0"/>
          <w:numId w:val="30"/>
        </w:numPr>
        <w:ind w:left="5" w:hanging="5"/>
        <w:rPr>
          <w:rFonts w:ascii="宋体" w:hAnsi="宋体" w:cs="宋体"/>
          <w:sz w:val="24"/>
          <w:highlight w:val="none"/>
        </w:rPr>
      </w:pPr>
      <w:r>
        <w:rPr>
          <w:rFonts w:hint="eastAsia" w:ascii="宋体" w:hAnsi="宋体" w:cs="宋体"/>
          <w:sz w:val="24"/>
          <w:highlight w:val="none"/>
        </w:rPr>
        <w:t>如出现硬件（合同内服务器及电脑）故障，甲方告知后4小时内无法修复的，应保证告知后6小时内提供的备用机到位。</w:t>
      </w:r>
    </w:p>
    <w:p>
      <w:pPr>
        <w:numPr>
          <w:ilvl w:val="0"/>
          <w:numId w:val="30"/>
        </w:numPr>
        <w:rPr>
          <w:rFonts w:ascii="宋体" w:hAnsi="宋体" w:cs="宋体"/>
          <w:sz w:val="24"/>
          <w:highlight w:val="none"/>
        </w:rPr>
      </w:pPr>
      <w:r>
        <w:rPr>
          <w:rFonts w:hint="eastAsia" w:ascii="宋体" w:hAnsi="宋体" w:cs="宋体"/>
          <w:sz w:val="24"/>
          <w:highlight w:val="none"/>
        </w:rPr>
        <w:t>系统升级后，工程师要在2个工作日内进行全院培训或个别科室针对性培训。</w:t>
      </w:r>
    </w:p>
    <w:p>
      <w:pPr>
        <w:numPr>
          <w:ilvl w:val="0"/>
          <w:numId w:val="30"/>
        </w:numPr>
        <w:ind w:left="5" w:hanging="5"/>
        <w:rPr>
          <w:rFonts w:ascii="宋体" w:hAnsi="宋体" w:cs="宋体"/>
          <w:sz w:val="24"/>
          <w:highlight w:val="none"/>
        </w:rPr>
      </w:pPr>
      <w:r>
        <w:rPr>
          <w:rFonts w:hint="eastAsia" w:ascii="宋体" w:hAnsi="宋体" w:cs="宋体"/>
          <w:sz w:val="24"/>
          <w:highlight w:val="none"/>
        </w:rPr>
        <w:t>在项目验收通过后提供一年售后维保期(包含项目内所有软件和硬件设备)，过后系统运行正常，第二年起每年按不低于合同额的8%的标准收取软件维护费用，甲方在收到乙方发票的10个工作日内支付。具体金额及服务内容以双方签订的软件维护合同为准。</w:t>
      </w:r>
    </w:p>
    <w:p>
      <w:pPr>
        <w:numPr>
          <w:ilvl w:val="0"/>
          <w:numId w:val="30"/>
        </w:numPr>
        <w:ind w:left="5" w:hanging="5"/>
        <w:rPr>
          <w:rFonts w:ascii="宋体" w:hAnsi="宋体" w:cs="宋体"/>
          <w:sz w:val="24"/>
          <w:highlight w:val="none"/>
        </w:rPr>
      </w:pPr>
      <w:r>
        <w:rPr>
          <w:rFonts w:hint="eastAsia" w:ascii="宋体" w:hAnsi="宋体" w:cs="宋体"/>
          <w:sz w:val="24"/>
          <w:highlight w:val="none"/>
        </w:rPr>
        <w:t>维保期内，因其他任何原因造成的现有接口（验收时接口交付文档确定）的调整，乙方须免费对接口进行相应的更改。因科室新提出的需求（不在验收接口范围内）的接口开发，通过友好协商确定。</w:t>
      </w:r>
    </w:p>
    <w:p>
      <w:pPr>
        <w:numPr>
          <w:ilvl w:val="0"/>
          <w:numId w:val="30"/>
        </w:numPr>
        <w:rPr>
          <w:rFonts w:ascii="宋体" w:hAnsi="宋体" w:cs="宋体"/>
          <w:sz w:val="24"/>
          <w:highlight w:val="none"/>
        </w:rPr>
      </w:pPr>
      <w:r>
        <w:rPr>
          <w:rFonts w:hint="eastAsia" w:ascii="宋体" w:hAnsi="宋体" w:cs="宋体"/>
          <w:sz w:val="24"/>
          <w:highlight w:val="none"/>
        </w:rPr>
        <w:t>乙方提供的维保服务方式如下：</w:t>
      </w:r>
    </w:p>
    <w:p>
      <w:pPr>
        <w:tabs>
          <w:tab w:val="left" w:pos="0"/>
        </w:tabs>
        <w:ind w:left="80" w:leftChars="38" w:firstLine="393" w:firstLineChars="164"/>
        <w:rPr>
          <w:rFonts w:ascii="宋体" w:hAnsi="宋体" w:cs="宋体"/>
          <w:sz w:val="24"/>
          <w:highlight w:val="none"/>
        </w:rPr>
      </w:pPr>
      <w:r>
        <w:rPr>
          <w:rFonts w:hint="eastAsia" w:ascii="宋体" w:hAnsi="宋体" w:cs="宋体"/>
          <w:sz w:val="24"/>
          <w:highlight w:val="none"/>
        </w:rPr>
        <w:t>在正常的工作环境和使用条件下，提供7*24小时呼叫中心（400-870-8816）服务；光纤网络远程在线服务；现场服务和邮件服务等；利用一切可以辅助服务的技术手段，用心构架起立体式服务网络。</w:t>
      </w:r>
    </w:p>
    <w:p>
      <w:pPr>
        <w:ind w:left="425" w:hanging="424" w:hangingChars="177"/>
        <w:rPr>
          <w:rFonts w:ascii="宋体" w:hAnsi="宋体" w:cs="宋体"/>
          <w:sz w:val="24"/>
          <w:highlight w:val="none"/>
        </w:rPr>
      </w:pPr>
      <w:r>
        <w:rPr>
          <w:rFonts w:hint="eastAsia" w:ascii="宋体" w:hAnsi="宋体" w:cs="宋体"/>
          <w:sz w:val="24"/>
          <w:highlight w:val="none"/>
        </w:rPr>
        <w:t xml:space="preserve">工作时间：乙方依据北京时间，依据不同的服务方式有以下三种服务时间： </w:t>
      </w:r>
    </w:p>
    <w:p>
      <w:pPr>
        <w:rPr>
          <w:rFonts w:ascii="宋体" w:hAnsi="宋体" w:cs="宋体"/>
          <w:sz w:val="24"/>
          <w:highlight w:val="none"/>
        </w:rPr>
      </w:pPr>
      <w:r>
        <w:rPr>
          <w:rFonts w:hint="eastAsia" w:ascii="宋体" w:hAnsi="宋体" w:cs="宋体"/>
          <w:sz w:val="24"/>
          <w:highlight w:val="none"/>
        </w:rPr>
        <w:t>（1）5x8： 周一到周五，8:30—17:00，中华人民共和国法定节假日除外。</w:t>
      </w:r>
    </w:p>
    <w:p>
      <w:pPr>
        <w:rPr>
          <w:rFonts w:ascii="宋体" w:hAnsi="宋体" w:cs="宋体"/>
          <w:sz w:val="24"/>
          <w:highlight w:val="none"/>
        </w:rPr>
      </w:pPr>
      <w:r>
        <w:rPr>
          <w:rFonts w:hint="eastAsia" w:ascii="宋体" w:hAnsi="宋体" w:cs="宋体"/>
          <w:sz w:val="24"/>
          <w:highlight w:val="none"/>
        </w:rPr>
        <w:t>（2）7x10：周一到周日，8:30—19:00，中华人民共和国法定节假日除外。</w:t>
      </w:r>
    </w:p>
    <w:p>
      <w:pPr>
        <w:rPr>
          <w:rFonts w:ascii="宋体" w:hAnsi="宋体" w:cs="宋体"/>
          <w:sz w:val="24"/>
          <w:highlight w:val="none"/>
        </w:rPr>
      </w:pPr>
      <w:r>
        <w:rPr>
          <w:rFonts w:hint="eastAsia" w:ascii="宋体" w:hAnsi="宋体" w:cs="宋体"/>
          <w:sz w:val="24"/>
          <w:highlight w:val="none"/>
        </w:rPr>
        <w:t>（3）7x24：周一到周日，0:00—24:00。</w:t>
      </w:r>
    </w:p>
    <w:p>
      <w:pPr>
        <w:numPr>
          <w:ilvl w:val="0"/>
          <w:numId w:val="30"/>
        </w:numPr>
        <w:rPr>
          <w:rFonts w:ascii="宋体" w:hAnsi="宋体" w:cs="宋体"/>
          <w:sz w:val="24"/>
          <w:highlight w:val="none"/>
        </w:rPr>
      </w:pPr>
      <w:r>
        <w:rPr>
          <w:rFonts w:hint="eastAsia" w:ascii="宋体" w:hAnsi="宋体" w:cs="宋体"/>
          <w:sz w:val="24"/>
          <w:highlight w:val="none"/>
        </w:rPr>
        <w:t>服务内容：</w:t>
      </w:r>
    </w:p>
    <w:tbl>
      <w:tblPr>
        <w:tblStyle w:val="49"/>
        <w:tblW w:w="9280" w:type="dxa"/>
        <w:jc w:val="righ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0"/>
        <w:gridCol w:w="1684"/>
        <w:gridCol w:w="6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tblHeader/>
          <w:jc w:val="right"/>
        </w:trPr>
        <w:tc>
          <w:tcPr>
            <w:tcW w:w="760" w:type="dxa"/>
            <w:tcBorders>
              <w:top w:val="single" w:color="auto" w:sz="4" w:space="0"/>
              <w:left w:val="single" w:color="auto" w:sz="4" w:space="0"/>
              <w:bottom w:val="single" w:color="auto" w:sz="4" w:space="0"/>
              <w:right w:val="single" w:color="auto" w:sz="4" w:space="0"/>
            </w:tcBorders>
            <w:shd w:val="clear" w:color="auto" w:fill="F2F2F2"/>
            <w:vAlign w:val="center"/>
          </w:tcPr>
          <w:p>
            <w:pPr>
              <w:jc w:val="center"/>
              <w:rPr>
                <w:rFonts w:ascii="宋体" w:hAnsi="宋体" w:cs="宋体"/>
                <w:sz w:val="24"/>
                <w:highlight w:val="none"/>
              </w:rPr>
            </w:pPr>
            <w:r>
              <w:rPr>
                <w:rFonts w:hint="eastAsia" w:ascii="宋体" w:hAnsi="宋体" w:cs="宋体"/>
                <w:sz w:val="24"/>
                <w:highlight w:val="none"/>
              </w:rPr>
              <w:t>序号</w:t>
            </w:r>
          </w:p>
        </w:tc>
        <w:tc>
          <w:tcPr>
            <w:tcW w:w="1684" w:type="dxa"/>
            <w:tcBorders>
              <w:top w:val="single" w:color="auto" w:sz="4" w:space="0"/>
              <w:left w:val="single" w:color="auto" w:sz="4" w:space="0"/>
              <w:bottom w:val="single" w:color="auto" w:sz="4" w:space="0"/>
              <w:right w:val="single" w:color="auto" w:sz="4" w:space="0"/>
            </w:tcBorders>
            <w:shd w:val="clear" w:color="auto" w:fill="F2F2F2"/>
            <w:vAlign w:val="center"/>
          </w:tcPr>
          <w:p>
            <w:pPr>
              <w:jc w:val="center"/>
              <w:rPr>
                <w:rFonts w:ascii="宋体" w:hAnsi="宋体" w:cs="宋体"/>
                <w:sz w:val="24"/>
                <w:highlight w:val="none"/>
              </w:rPr>
            </w:pPr>
            <w:r>
              <w:rPr>
                <w:rFonts w:hint="eastAsia" w:ascii="宋体" w:hAnsi="宋体" w:cs="宋体"/>
                <w:sz w:val="24"/>
                <w:highlight w:val="none"/>
              </w:rPr>
              <w:t>项目</w:t>
            </w:r>
          </w:p>
        </w:tc>
        <w:tc>
          <w:tcPr>
            <w:tcW w:w="6836" w:type="dxa"/>
            <w:tcBorders>
              <w:top w:val="single" w:color="auto" w:sz="4" w:space="0"/>
              <w:left w:val="single" w:color="auto" w:sz="4" w:space="0"/>
              <w:bottom w:val="single" w:color="auto" w:sz="4" w:space="0"/>
              <w:right w:val="single" w:color="auto" w:sz="4" w:space="0"/>
            </w:tcBorders>
            <w:shd w:val="clear" w:color="auto" w:fill="F2F2F2"/>
            <w:vAlign w:val="center"/>
          </w:tcPr>
          <w:p>
            <w:pPr>
              <w:jc w:val="center"/>
              <w:rPr>
                <w:rFonts w:ascii="宋体" w:hAnsi="宋体" w:cs="宋体"/>
                <w:sz w:val="24"/>
                <w:highlight w:val="none"/>
              </w:rPr>
            </w:pPr>
            <w:r>
              <w:rPr>
                <w:rFonts w:hint="eastAsia" w:ascii="宋体" w:hAnsi="宋体" w:cs="宋体"/>
                <w:sz w:val="24"/>
                <w:highlight w:val="none"/>
              </w:rPr>
              <w:t>服务内容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2" w:hRule="atLeast"/>
          <w:jc w:val="right"/>
        </w:trPr>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highlight w:val="none"/>
              </w:rPr>
            </w:pPr>
            <w:r>
              <w:rPr>
                <w:rFonts w:hint="eastAsia" w:ascii="宋体" w:hAnsi="宋体" w:cs="宋体"/>
                <w:sz w:val="24"/>
                <w:highlight w:val="none"/>
              </w:rPr>
              <w:t>1</w:t>
            </w:r>
          </w:p>
        </w:tc>
        <w:tc>
          <w:tcPr>
            <w:tcW w:w="168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highlight w:val="none"/>
              </w:rPr>
            </w:pPr>
            <w:r>
              <w:rPr>
                <w:rFonts w:hint="eastAsia" w:ascii="宋体" w:hAnsi="宋体" w:cs="宋体"/>
                <w:sz w:val="24"/>
                <w:highlight w:val="none"/>
              </w:rPr>
              <w:t>更新升级服务</w:t>
            </w:r>
          </w:p>
        </w:tc>
        <w:tc>
          <w:tcPr>
            <w:tcW w:w="6836" w:type="dxa"/>
            <w:tcBorders>
              <w:top w:val="single" w:color="auto" w:sz="4" w:space="0"/>
              <w:left w:val="single" w:color="auto" w:sz="4" w:space="0"/>
              <w:bottom w:val="single" w:color="auto" w:sz="4" w:space="0"/>
              <w:right w:val="single" w:color="auto" w:sz="4" w:space="0"/>
            </w:tcBorders>
            <w:vAlign w:val="center"/>
          </w:tcPr>
          <w:p>
            <w:pPr>
              <w:numPr>
                <w:ilvl w:val="0"/>
                <w:numId w:val="31"/>
              </w:numPr>
              <w:adjustRightInd w:val="0"/>
              <w:snapToGrid w:val="0"/>
              <w:spacing w:line="320" w:lineRule="exact"/>
              <w:jc w:val="left"/>
              <w:rPr>
                <w:rFonts w:ascii="宋体" w:hAnsi="宋体" w:cs="宋体"/>
                <w:sz w:val="24"/>
                <w:highlight w:val="none"/>
              </w:rPr>
            </w:pPr>
            <w:r>
              <w:rPr>
                <w:rFonts w:hint="eastAsia" w:ascii="宋体" w:hAnsi="宋体" w:cs="宋体"/>
                <w:sz w:val="24"/>
                <w:highlight w:val="none"/>
              </w:rPr>
              <w:t>产品当前版本补丁包免费更新升级服务；</w:t>
            </w:r>
          </w:p>
          <w:p>
            <w:pPr>
              <w:numPr>
                <w:ilvl w:val="0"/>
                <w:numId w:val="31"/>
              </w:numPr>
              <w:adjustRightInd w:val="0"/>
              <w:snapToGrid w:val="0"/>
              <w:spacing w:line="320" w:lineRule="exact"/>
              <w:ind w:left="200" w:hanging="200"/>
              <w:rPr>
                <w:rFonts w:ascii="宋体" w:hAnsi="宋体" w:cs="宋体"/>
                <w:sz w:val="24"/>
                <w:highlight w:val="none"/>
              </w:rPr>
            </w:pPr>
            <w:r>
              <w:rPr>
                <w:rFonts w:hint="eastAsia" w:ascii="宋体" w:hAnsi="宋体" w:cs="宋体"/>
                <w:sz w:val="24"/>
                <w:highlight w:val="none"/>
              </w:rPr>
              <w:t>客户购买产品模块及许可范围的新版本免费升级服务（跨版本除外）；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5" w:hRule="atLeast"/>
          <w:jc w:val="right"/>
        </w:trPr>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highlight w:val="none"/>
              </w:rPr>
            </w:pPr>
            <w:r>
              <w:rPr>
                <w:rFonts w:hint="eastAsia" w:ascii="宋体" w:hAnsi="宋体" w:cs="宋体"/>
                <w:sz w:val="24"/>
                <w:highlight w:val="none"/>
              </w:rPr>
              <w:t>2</w:t>
            </w:r>
          </w:p>
        </w:tc>
        <w:tc>
          <w:tcPr>
            <w:tcW w:w="16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rPr>
                <w:rFonts w:ascii="宋体" w:hAnsi="宋体" w:cs="宋体"/>
                <w:sz w:val="24"/>
                <w:highlight w:val="none"/>
              </w:rPr>
            </w:pPr>
            <w:r>
              <w:rPr>
                <w:rFonts w:hint="eastAsia" w:ascii="宋体" w:hAnsi="宋体" w:cs="宋体"/>
                <w:sz w:val="24"/>
                <w:highlight w:val="none"/>
              </w:rPr>
              <w:t>问题解决服务</w:t>
            </w:r>
          </w:p>
        </w:tc>
        <w:tc>
          <w:tcPr>
            <w:tcW w:w="6836" w:type="dxa"/>
            <w:tcBorders>
              <w:top w:val="single" w:color="auto" w:sz="4" w:space="0"/>
              <w:left w:val="single" w:color="auto" w:sz="4" w:space="0"/>
              <w:bottom w:val="single" w:color="auto" w:sz="4" w:space="0"/>
              <w:right w:val="single" w:color="auto" w:sz="4" w:space="0"/>
            </w:tcBorders>
            <w:vAlign w:val="center"/>
          </w:tcPr>
          <w:p>
            <w:pPr>
              <w:numPr>
                <w:ilvl w:val="0"/>
                <w:numId w:val="32"/>
              </w:numPr>
              <w:adjustRightInd w:val="0"/>
              <w:snapToGrid w:val="0"/>
              <w:spacing w:line="320" w:lineRule="exact"/>
              <w:rPr>
                <w:rFonts w:ascii="宋体" w:hAnsi="宋体" w:cs="宋体"/>
                <w:sz w:val="24"/>
                <w:highlight w:val="none"/>
              </w:rPr>
            </w:pPr>
            <w:r>
              <w:rPr>
                <w:rFonts w:hint="eastAsia" w:ascii="宋体" w:hAnsi="宋体" w:cs="宋体"/>
                <w:sz w:val="24"/>
                <w:highlight w:val="none"/>
              </w:rPr>
              <w:t>400热线咨询。提供提供5x8热线电话人工服务。</w:t>
            </w:r>
          </w:p>
          <w:p>
            <w:pPr>
              <w:numPr>
                <w:ilvl w:val="0"/>
                <w:numId w:val="32"/>
              </w:numPr>
              <w:adjustRightInd w:val="0"/>
              <w:snapToGrid w:val="0"/>
              <w:spacing w:line="320" w:lineRule="exact"/>
              <w:ind w:left="200" w:hanging="200"/>
              <w:rPr>
                <w:rFonts w:ascii="宋体" w:hAnsi="宋体" w:cs="宋体"/>
                <w:sz w:val="24"/>
                <w:highlight w:val="none"/>
              </w:rPr>
            </w:pPr>
            <w:r>
              <w:rPr>
                <w:rFonts w:hint="eastAsia" w:ascii="宋体" w:hAnsi="宋体" w:cs="宋体"/>
                <w:sz w:val="24"/>
                <w:highlight w:val="none"/>
              </w:rPr>
              <w:t>在线支持。提供5x8人工在线服务，7x24自助检索服务。客户可以通过在线咨询、语音方式向公司服务顾问咨询应用问题；</w:t>
            </w:r>
          </w:p>
          <w:p>
            <w:pPr>
              <w:numPr>
                <w:ilvl w:val="0"/>
                <w:numId w:val="32"/>
              </w:numPr>
              <w:adjustRightInd w:val="0"/>
              <w:snapToGrid w:val="0"/>
              <w:spacing w:line="320" w:lineRule="exact"/>
              <w:ind w:left="200" w:hanging="200"/>
              <w:rPr>
                <w:rFonts w:ascii="宋体" w:hAnsi="宋体" w:cs="宋体"/>
                <w:sz w:val="24"/>
                <w:highlight w:val="none"/>
              </w:rPr>
            </w:pPr>
            <w:r>
              <w:rPr>
                <w:rFonts w:hint="eastAsia" w:ascii="宋体" w:hAnsi="宋体" w:cs="宋体"/>
                <w:sz w:val="24"/>
                <w:highlight w:val="none"/>
              </w:rPr>
              <w:t>远程支持：提供5x8人工远程服务，经客户授权同意，公司服务顾问通过远程方式连接客户使用的软件产品的应用现场，进行查看、定位、诊断，提供解决方案及应用指导。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81" w:hRule="atLeast"/>
          <w:jc w:val="right"/>
        </w:trPr>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highlight w:val="none"/>
              </w:rPr>
            </w:pPr>
            <w:r>
              <w:rPr>
                <w:rFonts w:hint="eastAsia" w:ascii="宋体" w:hAnsi="宋体" w:cs="宋体"/>
                <w:sz w:val="24"/>
                <w:highlight w:val="none"/>
              </w:rPr>
              <w:t>3</w:t>
            </w:r>
          </w:p>
        </w:tc>
        <w:tc>
          <w:tcPr>
            <w:tcW w:w="16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rPr>
                <w:rFonts w:ascii="宋体" w:hAnsi="宋体" w:cs="宋体"/>
                <w:sz w:val="24"/>
                <w:highlight w:val="none"/>
              </w:rPr>
            </w:pPr>
            <w:r>
              <w:rPr>
                <w:rFonts w:hint="eastAsia" w:ascii="宋体" w:hAnsi="宋体" w:cs="宋体"/>
                <w:sz w:val="24"/>
                <w:highlight w:val="none"/>
              </w:rPr>
              <w:t>知识转移服务</w:t>
            </w:r>
          </w:p>
        </w:tc>
        <w:tc>
          <w:tcPr>
            <w:tcW w:w="6836" w:type="dxa"/>
            <w:tcBorders>
              <w:top w:val="single" w:color="auto" w:sz="4" w:space="0"/>
              <w:left w:val="single" w:color="auto" w:sz="4" w:space="0"/>
              <w:bottom w:val="single" w:color="auto" w:sz="4" w:space="0"/>
              <w:right w:val="single" w:color="auto" w:sz="4" w:space="0"/>
            </w:tcBorders>
            <w:vAlign w:val="center"/>
          </w:tcPr>
          <w:p>
            <w:pPr>
              <w:numPr>
                <w:ilvl w:val="0"/>
                <w:numId w:val="32"/>
              </w:numPr>
              <w:adjustRightInd w:val="0"/>
              <w:snapToGrid w:val="0"/>
              <w:spacing w:line="320" w:lineRule="exact"/>
              <w:ind w:left="200" w:hanging="200"/>
              <w:rPr>
                <w:rFonts w:ascii="宋体" w:hAnsi="宋体" w:cs="宋体"/>
                <w:sz w:val="24"/>
                <w:highlight w:val="none"/>
              </w:rPr>
            </w:pPr>
            <w:r>
              <w:rPr>
                <w:rFonts w:hint="eastAsia" w:ascii="宋体" w:hAnsi="宋体" w:cs="宋体"/>
                <w:sz w:val="24"/>
                <w:highlight w:val="none"/>
              </w:rPr>
              <w:t>一级问题处理: 提供7x24紧急受理服务，在5x8工作时间内将通过400热线受理，其他时间将通过指定电话受理。对于热线、在线、远程方式都无法解决的一级问题，公司将安排服务顾问前往现场，进行查看、定位、诊断，进行现场故障排除。一级问题是指正式运行系统停机或极其重要的系统功能瘫痪将导致重大经济损失的问题</w:t>
            </w:r>
          </w:p>
          <w:p>
            <w:pPr>
              <w:numPr>
                <w:ilvl w:val="0"/>
                <w:numId w:val="32"/>
              </w:numPr>
              <w:adjustRightInd w:val="0"/>
              <w:snapToGrid w:val="0"/>
              <w:spacing w:line="320" w:lineRule="exact"/>
              <w:rPr>
                <w:rFonts w:ascii="宋体" w:hAnsi="宋体" w:cs="宋体"/>
                <w:sz w:val="24"/>
                <w:highlight w:val="none"/>
              </w:rPr>
            </w:pPr>
            <w:r>
              <w:rPr>
                <w:rFonts w:hint="eastAsia" w:ascii="宋体" w:hAnsi="宋体" w:cs="宋体"/>
                <w:sz w:val="24"/>
                <w:highlight w:val="none"/>
              </w:rPr>
              <w:t>知识转移：客户可以访问定期更新的软件产品在线帮助。</w:t>
            </w:r>
          </w:p>
        </w:tc>
      </w:tr>
    </w:tbl>
    <w:p>
      <w:pPr>
        <w:numPr>
          <w:ilvl w:val="0"/>
          <w:numId w:val="30"/>
        </w:numPr>
        <w:rPr>
          <w:rFonts w:ascii="宋体" w:hAnsi="宋体" w:cs="宋体"/>
          <w:sz w:val="24"/>
          <w:highlight w:val="none"/>
        </w:rPr>
      </w:pPr>
      <w:r>
        <w:rPr>
          <w:rFonts w:hint="eastAsia" w:ascii="宋体" w:hAnsi="宋体" w:cs="宋体"/>
          <w:sz w:val="24"/>
          <w:highlight w:val="none"/>
        </w:rPr>
        <w:t>健康检查服务：</w:t>
      </w:r>
    </w:p>
    <w:p>
      <w:pPr>
        <w:ind w:left="17" w:leftChars="8" w:firstLine="451" w:firstLineChars="188"/>
        <w:rPr>
          <w:rFonts w:ascii="宋体" w:hAnsi="宋体" w:cs="宋体"/>
          <w:sz w:val="24"/>
          <w:highlight w:val="none"/>
        </w:rPr>
      </w:pPr>
      <w:r>
        <w:rPr>
          <w:rFonts w:hint="eastAsia" w:ascii="宋体" w:hAnsi="宋体" w:cs="宋体"/>
          <w:sz w:val="24"/>
          <w:highlight w:val="none"/>
        </w:rPr>
        <w:t>维保期内，乙方提供每年1次健康检查服务，针对乙方运行的数据质量、数据库运行情况、服务器运行情况等进行健康检查，并提交健康检查服务报告。</w:t>
      </w:r>
    </w:p>
    <w:p>
      <w:pPr>
        <w:numPr>
          <w:ilvl w:val="0"/>
          <w:numId w:val="30"/>
        </w:numPr>
        <w:rPr>
          <w:rFonts w:ascii="宋体" w:hAnsi="宋体" w:cs="宋体"/>
          <w:sz w:val="24"/>
          <w:highlight w:val="none"/>
        </w:rPr>
      </w:pPr>
      <w:bookmarkStart w:id="128" w:name="_Toc508719932"/>
      <w:r>
        <w:rPr>
          <w:rFonts w:hint="eastAsia" w:ascii="宋体" w:hAnsi="宋体" w:cs="宋体"/>
          <w:sz w:val="24"/>
          <w:highlight w:val="none"/>
        </w:rPr>
        <w:t>应急服务</w:t>
      </w:r>
      <w:bookmarkEnd w:id="128"/>
      <w:r>
        <w:rPr>
          <w:rFonts w:hint="eastAsia" w:ascii="宋体" w:hAnsi="宋体" w:cs="宋体"/>
          <w:sz w:val="24"/>
          <w:highlight w:val="none"/>
        </w:rPr>
        <w:t>：</w:t>
      </w:r>
    </w:p>
    <w:p>
      <w:pPr>
        <w:ind w:left="5" w:firstLine="420" w:firstLineChars="175"/>
        <w:rPr>
          <w:rFonts w:ascii="宋体" w:hAnsi="宋体" w:cs="宋体"/>
          <w:sz w:val="24"/>
          <w:highlight w:val="none"/>
        </w:rPr>
      </w:pPr>
      <w:bookmarkStart w:id="129" w:name="_Toc429749603"/>
      <w:bookmarkStart w:id="130" w:name="_Toc429669581"/>
      <w:r>
        <w:rPr>
          <w:rFonts w:hint="eastAsia" w:ascii="宋体" w:hAnsi="宋体" w:cs="宋体"/>
          <w:sz w:val="24"/>
          <w:highlight w:val="none"/>
        </w:rPr>
        <w:t>针对不可预期的且客户自身不能处理的突发故障，乙方承诺提供技术支持，若有需要可提供现场服务。如突发故障是由乙方软件自身缺陷造成的，相关费用由乙方自行承担，甲方使用乙方软件系统期间，乙方提供长期应急服务，该服务不受本合同期限影响。如突发故障是乙方软件以外的因素造成，相关费用由甲方承担，具体金额双方通过友好协商确定。</w:t>
      </w:r>
      <w:bookmarkEnd w:id="129"/>
      <w:bookmarkEnd w:id="130"/>
    </w:p>
    <w:p>
      <w:pPr>
        <w:numPr>
          <w:ilvl w:val="0"/>
          <w:numId w:val="30"/>
        </w:numPr>
        <w:rPr>
          <w:rFonts w:ascii="宋体" w:hAnsi="宋体" w:cs="宋体"/>
          <w:sz w:val="24"/>
          <w:highlight w:val="none"/>
        </w:rPr>
      </w:pPr>
      <w:r>
        <w:rPr>
          <w:rFonts w:hint="eastAsia" w:ascii="宋体" w:hAnsi="宋体" w:cs="宋体"/>
          <w:sz w:val="24"/>
          <w:highlight w:val="none"/>
        </w:rPr>
        <w:t>数据备份与恢复服务：</w:t>
      </w:r>
    </w:p>
    <w:p>
      <w:pPr>
        <w:ind w:left="5" w:firstLine="420" w:firstLineChars="175"/>
        <w:rPr>
          <w:rFonts w:ascii="宋体" w:hAnsi="宋体" w:cs="宋体"/>
          <w:sz w:val="24"/>
          <w:highlight w:val="none"/>
        </w:rPr>
      </w:pPr>
      <w:r>
        <w:rPr>
          <w:rFonts w:hint="eastAsia" w:ascii="宋体" w:hAnsi="宋体" w:cs="宋体"/>
          <w:sz w:val="24"/>
          <w:highlight w:val="none"/>
        </w:rPr>
        <w:t>乙方软件运行具有数据库自动备份功能，当乙方软件数据库出现崩溃时，在数据库备份映像保留的前提下，乙方根据甲方的备份数据，帮助甲方进行数据恢复，甲方使用乙方软件系统期间，乙方提供长期数据备份与恢复服务，该服务不受本合同期限影响。如遇其它特殊数据损毁情况，乙方也将尽力提供数据恢复方案，并提供尽可能的技术支持。</w:t>
      </w:r>
    </w:p>
    <w:p>
      <w:pPr>
        <w:numPr>
          <w:ilvl w:val="0"/>
          <w:numId w:val="30"/>
        </w:numPr>
        <w:rPr>
          <w:rFonts w:ascii="宋体" w:hAnsi="宋体" w:cs="宋体"/>
          <w:sz w:val="24"/>
          <w:highlight w:val="none"/>
        </w:rPr>
      </w:pPr>
      <w:r>
        <w:rPr>
          <w:rFonts w:hint="eastAsia" w:ascii="宋体" w:hAnsi="宋体" w:cs="宋体"/>
          <w:sz w:val="24"/>
          <w:highlight w:val="none"/>
        </w:rPr>
        <w:t>数据交互接口对接：</w:t>
      </w:r>
    </w:p>
    <w:p>
      <w:pPr>
        <w:ind w:left="5" w:firstLine="420" w:firstLineChars="175"/>
        <w:rPr>
          <w:rFonts w:ascii="宋体" w:hAnsi="宋体" w:cs="宋体"/>
          <w:sz w:val="24"/>
          <w:highlight w:val="none"/>
        </w:rPr>
      </w:pPr>
      <w:r>
        <w:rPr>
          <w:rFonts w:hint="eastAsia" w:ascii="宋体" w:hAnsi="宋体" w:cs="宋体"/>
          <w:sz w:val="24"/>
          <w:highlight w:val="none"/>
        </w:rPr>
        <w:t>与第三方数据交互，需首先通过医院的</w:t>
      </w:r>
      <w:r>
        <w:rPr>
          <w:rFonts w:ascii="宋体" w:hAnsi="宋体" w:cs="宋体"/>
          <w:sz w:val="24"/>
          <w:highlight w:val="none"/>
        </w:rPr>
        <w:t>ESB</w:t>
      </w:r>
      <w:r>
        <w:rPr>
          <w:rFonts w:hint="eastAsia" w:ascii="宋体" w:hAnsi="宋体" w:cs="宋体"/>
          <w:sz w:val="24"/>
          <w:highlight w:val="none"/>
        </w:rPr>
        <w:t>、</w:t>
      </w:r>
      <w:r>
        <w:rPr>
          <w:rFonts w:ascii="宋体" w:hAnsi="宋体" w:cs="宋体"/>
          <w:sz w:val="24"/>
          <w:highlight w:val="none"/>
        </w:rPr>
        <w:t>CDR</w:t>
      </w:r>
      <w:r>
        <w:rPr>
          <w:rFonts w:hint="eastAsia" w:ascii="宋体" w:hAnsi="宋体" w:cs="宋体"/>
          <w:sz w:val="24"/>
          <w:highlight w:val="none"/>
        </w:rPr>
        <w:t>集成平台实现。</w:t>
      </w:r>
    </w:p>
    <w:p>
      <w:pPr>
        <w:ind w:left="5" w:firstLine="420" w:firstLineChars="175"/>
        <w:rPr>
          <w:rFonts w:ascii="宋体" w:hAnsi="宋体" w:cs="宋体"/>
          <w:sz w:val="24"/>
          <w:highlight w:val="none"/>
        </w:rPr>
      </w:pPr>
      <w:r>
        <w:rPr>
          <w:rFonts w:hint="eastAsia" w:ascii="宋体" w:hAnsi="宋体" w:cs="宋体"/>
          <w:sz w:val="24"/>
          <w:highlight w:val="none"/>
        </w:rPr>
        <w:t>项目实施中所需对接的各系统所需的接口费用，均包含在项目费用中，不另计费。</w:t>
      </w:r>
    </w:p>
    <w:p>
      <w:pPr>
        <w:rPr>
          <w:highlight w:val="none"/>
        </w:rPr>
      </w:pPr>
    </w:p>
    <w:p>
      <w:pPr>
        <w:spacing w:line="360" w:lineRule="auto"/>
        <w:jc w:val="center"/>
        <w:rPr>
          <w:rFonts w:ascii="宋体"/>
          <w:b/>
          <w:sz w:val="36"/>
          <w:highlight w:val="none"/>
        </w:rPr>
      </w:pPr>
      <w:r>
        <w:rPr>
          <w:rFonts w:hint="eastAsia" w:ascii="宋体" w:hAnsi="宋体" w:cs="宋体"/>
          <w:b/>
          <w:sz w:val="24"/>
          <w:highlight w:val="none"/>
        </w:rPr>
        <w:br w:type="page"/>
      </w:r>
      <w:r>
        <w:rPr>
          <w:rFonts w:hint="eastAsia" w:ascii="宋体" w:hAnsi="宋体"/>
          <w:b/>
          <w:sz w:val="36"/>
          <w:highlight w:val="none"/>
        </w:rPr>
        <w:t>第四部分合同条款及格式</w:t>
      </w:r>
      <w:bookmarkEnd w:id="127"/>
    </w:p>
    <w:p>
      <w:pPr>
        <w:pStyle w:val="20"/>
        <w:tabs>
          <w:tab w:val="left" w:pos="0"/>
        </w:tabs>
        <w:spacing w:line="480" w:lineRule="exact"/>
        <w:ind w:left="0" w:leftChars="0" w:firstLine="0" w:firstLineChars="0"/>
        <w:jc w:val="center"/>
        <w:rPr>
          <w:rFonts w:ascii="宋体"/>
          <w:sz w:val="28"/>
          <w:szCs w:val="28"/>
          <w:highlight w:val="none"/>
        </w:rPr>
      </w:pPr>
    </w:p>
    <w:p>
      <w:pPr>
        <w:pStyle w:val="20"/>
        <w:tabs>
          <w:tab w:val="left" w:pos="0"/>
        </w:tabs>
        <w:spacing w:line="480" w:lineRule="exact"/>
        <w:ind w:left="0" w:leftChars="0" w:firstLine="0" w:firstLineChars="0"/>
        <w:jc w:val="center"/>
        <w:rPr>
          <w:rFonts w:ascii="宋体"/>
          <w:sz w:val="28"/>
          <w:szCs w:val="28"/>
          <w:highlight w:val="none"/>
        </w:rPr>
      </w:pPr>
      <w:r>
        <w:rPr>
          <w:rFonts w:hint="eastAsia" w:ascii="宋体" w:hAnsi="宋体"/>
          <w:sz w:val="28"/>
          <w:szCs w:val="28"/>
          <w:highlight w:val="none"/>
        </w:rPr>
        <w:t>第一节：合同条款</w:t>
      </w:r>
    </w:p>
    <w:p>
      <w:pPr>
        <w:pStyle w:val="19"/>
        <w:spacing w:line="480" w:lineRule="exact"/>
        <w:rPr>
          <w:rFonts w:ascii="宋体"/>
          <w:bCs/>
          <w:highlight w:val="none"/>
        </w:rPr>
      </w:pPr>
      <w:r>
        <w:rPr>
          <w:rFonts w:ascii="宋体" w:hAnsi="宋体"/>
          <w:bCs/>
          <w:highlight w:val="none"/>
        </w:rPr>
        <w:t>1</w:t>
      </w:r>
      <w:r>
        <w:rPr>
          <w:rFonts w:hint="eastAsia" w:ascii="宋体" w:hAnsi="宋体"/>
          <w:bCs/>
          <w:highlight w:val="none"/>
        </w:rPr>
        <w:t>、定义</w:t>
      </w:r>
    </w:p>
    <w:p>
      <w:pPr>
        <w:pStyle w:val="19"/>
        <w:spacing w:line="480" w:lineRule="exact"/>
        <w:ind w:left="1"/>
        <w:rPr>
          <w:rFonts w:ascii="宋体"/>
          <w:bCs/>
          <w:highlight w:val="none"/>
        </w:rPr>
      </w:pPr>
      <w:r>
        <w:rPr>
          <w:rFonts w:ascii="宋体" w:hAnsi="宋体"/>
          <w:bCs/>
          <w:highlight w:val="none"/>
        </w:rPr>
        <w:t xml:space="preserve">1.1 </w:t>
      </w:r>
      <w:r>
        <w:rPr>
          <w:rFonts w:hint="eastAsia" w:ascii="宋体" w:hAnsi="宋体"/>
          <w:bCs/>
          <w:highlight w:val="none"/>
        </w:rPr>
        <w:t>“合同”系指甲乙双方签署的、合同格式中载明的甲乙双方所达成的，包括所有的附件和构成合同的其它文件。</w:t>
      </w:r>
    </w:p>
    <w:p>
      <w:pPr>
        <w:pStyle w:val="19"/>
        <w:spacing w:line="480" w:lineRule="exact"/>
        <w:ind w:left="1"/>
        <w:rPr>
          <w:rFonts w:ascii="宋体"/>
          <w:bCs/>
          <w:highlight w:val="none"/>
        </w:rPr>
      </w:pPr>
      <w:r>
        <w:rPr>
          <w:rFonts w:ascii="宋体" w:hAnsi="宋体"/>
          <w:bCs/>
          <w:highlight w:val="none"/>
        </w:rPr>
        <w:t xml:space="preserve">1.2 </w:t>
      </w:r>
      <w:r>
        <w:rPr>
          <w:rFonts w:hint="eastAsia" w:ascii="宋体" w:hAnsi="宋体"/>
          <w:bCs/>
          <w:highlight w:val="none"/>
        </w:rPr>
        <w:t>“货物”系指乙方根据合同约定须向甲方提供的一切设备、机械、仪表、备件、工具、手册和其它技术资料及材料。</w:t>
      </w:r>
    </w:p>
    <w:p>
      <w:pPr>
        <w:pStyle w:val="19"/>
        <w:spacing w:line="480" w:lineRule="exact"/>
        <w:ind w:left="1"/>
        <w:rPr>
          <w:rFonts w:ascii="宋体"/>
          <w:bCs/>
          <w:highlight w:val="none"/>
        </w:rPr>
      </w:pPr>
      <w:r>
        <w:rPr>
          <w:rFonts w:ascii="宋体" w:hAnsi="宋体"/>
          <w:bCs/>
          <w:highlight w:val="none"/>
        </w:rPr>
        <w:t xml:space="preserve">1.3 </w:t>
      </w:r>
      <w:r>
        <w:rPr>
          <w:rFonts w:hint="eastAsia" w:ascii="宋体" w:hAnsi="宋体"/>
          <w:bCs/>
          <w:highlight w:val="none"/>
        </w:rPr>
        <w:t>“服务”系指根据合同约定乙方承担与供货有关的辅助服务，如运输、保险及安装、调试、提供技术协助、培训和其他类似的服务。</w:t>
      </w:r>
    </w:p>
    <w:p>
      <w:pPr>
        <w:pStyle w:val="19"/>
        <w:spacing w:line="480" w:lineRule="exact"/>
        <w:rPr>
          <w:rFonts w:ascii="宋体"/>
          <w:bCs/>
          <w:highlight w:val="none"/>
        </w:rPr>
      </w:pPr>
      <w:r>
        <w:rPr>
          <w:rFonts w:ascii="宋体" w:hAnsi="宋体"/>
          <w:bCs/>
          <w:highlight w:val="none"/>
        </w:rPr>
        <w:t xml:space="preserve">1.4 </w:t>
      </w:r>
      <w:r>
        <w:rPr>
          <w:rFonts w:hint="eastAsia" w:ascii="宋体" w:hAnsi="宋体"/>
          <w:bCs/>
          <w:highlight w:val="none"/>
        </w:rPr>
        <w:t>“甲方”系指与中标投标人签署合同的单位。</w:t>
      </w:r>
    </w:p>
    <w:p>
      <w:pPr>
        <w:pStyle w:val="19"/>
        <w:spacing w:line="480" w:lineRule="exact"/>
        <w:rPr>
          <w:rFonts w:ascii="宋体"/>
          <w:bCs/>
          <w:highlight w:val="none"/>
        </w:rPr>
      </w:pPr>
      <w:r>
        <w:rPr>
          <w:rFonts w:ascii="宋体" w:hAnsi="宋体"/>
          <w:bCs/>
          <w:highlight w:val="none"/>
        </w:rPr>
        <w:t xml:space="preserve">1.5 </w:t>
      </w:r>
      <w:r>
        <w:rPr>
          <w:rFonts w:hint="eastAsia" w:ascii="宋体" w:hAnsi="宋体"/>
          <w:bCs/>
          <w:highlight w:val="none"/>
        </w:rPr>
        <w:t>“乙方”系指根据合同约定提供货物和服务的中标投标人。</w:t>
      </w:r>
    </w:p>
    <w:p>
      <w:pPr>
        <w:pStyle w:val="19"/>
        <w:spacing w:line="480" w:lineRule="exact"/>
        <w:rPr>
          <w:rFonts w:ascii="宋体"/>
          <w:bCs/>
          <w:highlight w:val="none"/>
        </w:rPr>
      </w:pPr>
      <w:r>
        <w:rPr>
          <w:rFonts w:ascii="宋体" w:hAnsi="宋体"/>
          <w:bCs/>
          <w:highlight w:val="none"/>
        </w:rPr>
        <w:t xml:space="preserve">1.6 </w:t>
      </w:r>
      <w:r>
        <w:rPr>
          <w:rFonts w:hint="eastAsia" w:ascii="宋体" w:hAnsi="宋体"/>
          <w:bCs/>
          <w:highlight w:val="none"/>
        </w:rPr>
        <w:t>“现场”系指合同约定货物将要运至和安装的地点。</w:t>
      </w:r>
    </w:p>
    <w:p>
      <w:pPr>
        <w:pStyle w:val="19"/>
        <w:spacing w:line="480" w:lineRule="exact"/>
        <w:ind w:left="1"/>
        <w:rPr>
          <w:rFonts w:ascii="宋体"/>
          <w:bCs/>
          <w:highlight w:val="none"/>
        </w:rPr>
      </w:pPr>
      <w:r>
        <w:rPr>
          <w:rFonts w:ascii="宋体" w:hAnsi="宋体"/>
          <w:bCs/>
          <w:highlight w:val="none"/>
        </w:rPr>
        <w:t xml:space="preserve">1.7 </w:t>
      </w:r>
      <w:r>
        <w:rPr>
          <w:rFonts w:hint="eastAsia" w:ascii="宋体" w:hAnsi="宋体"/>
          <w:bCs/>
          <w:highlight w:val="none"/>
        </w:rPr>
        <w:t>“验收“系指合同双方依据强制性的国家技术质量规范和合同约定，确认合同项下的货物符合合同规定的活动。</w:t>
      </w:r>
    </w:p>
    <w:p>
      <w:pPr>
        <w:pStyle w:val="19"/>
        <w:spacing w:line="480" w:lineRule="exact"/>
        <w:rPr>
          <w:rFonts w:ascii="宋体"/>
          <w:bCs/>
          <w:highlight w:val="none"/>
        </w:rPr>
      </w:pPr>
      <w:r>
        <w:rPr>
          <w:rFonts w:ascii="宋体" w:hAnsi="宋体"/>
          <w:bCs/>
          <w:highlight w:val="none"/>
        </w:rPr>
        <w:t>2</w:t>
      </w:r>
      <w:r>
        <w:rPr>
          <w:rFonts w:hint="eastAsia" w:ascii="宋体" w:hAnsi="宋体"/>
          <w:bCs/>
          <w:highlight w:val="none"/>
        </w:rPr>
        <w:t>、技术规范</w:t>
      </w:r>
    </w:p>
    <w:p>
      <w:pPr>
        <w:pStyle w:val="19"/>
        <w:spacing w:line="480" w:lineRule="exact"/>
        <w:ind w:left="1"/>
        <w:rPr>
          <w:rFonts w:ascii="宋体"/>
          <w:bCs/>
          <w:highlight w:val="none"/>
        </w:rPr>
      </w:pPr>
      <w:r>
        <w:rPr>
          <w:rFonts w:ascii="宋体" w:hAnsi="宋体"/>
          <w:bCs/>
          <w:highlight w:val="none"/>
        </w:rPr>
        <w:t xml:space="preserve">2.1  </w:t>
      </w:r>
      <w:r>
        <w:rPr>
          <w:rFonts w:hint="eastAsia" w:ascii="宋体" w:hAnsi="宋体"/>
          <w:bCs/>
          <w:highlight w:val="none"/>
        </w:rPr>
        <w:t>提交货物的技术规范应与招标文件规定的技术规范和技术规范附件（如果有的话）及其投标文件的技术规格偏差表相一致。若技术规范中无相应说明，则以国家有关部门最新颁布的相应标准及规范为准。</w:t>
      </w:r>
    </w:p>
    <w:p>
      <w:pPr>
        <w:pStyle w:val="19"/>
        <w:spacing w:line="480" w:lineRule="exact"/>
        <w:rPr>
          <w:rFonts w:ascii="宋体"/>
          <w:bCs/>
          <w:highlight w:val="none"/>
        </w:rPr>
      </w:pPr>
      <w:r>
        <w:rPr>
          <w:rFonts w:ascii="宋体" w:hAnsi="宋体"/>
          <w:bCs/>
          <w:highlight w:val="none"/>
        </w:rPr>
        <w:t>3</w:t>
      </w:r>
      <w:r>
        <w:rPr>
          <w:rFonts w:hint="eastAsia" w:ascii="宋体" w:hAnsi="宋体"/>
          <w:bCs/>
          <w:highlight w:val="none"/>
        </w:rPr>
        <w:t>、知识产权</w:t>
      </w:r>
    </w:p>
    <w:p>
      <w:pPr>
        <w:pStyle w:val="19"/>
        <w:spacing w:line="480" w:lineRule="exact"/>
        <w:ind w:left="1"/>
        <w:rPr>
          <w:rFonts w:ascii="宋体"/>
          <w:bCs/>
          <w:highlight w:val="none"/>
        </w:rPr>
      </w:pPr>
      <w:r>
        <w:rPr>
          <w:rFonts w:ascii="宋体" w:hAnsi="宋体"/>
          <w:bCs/>
          <w:highlight w:val="none"/>
        </w:rPr>
        <w:t xml:space="preserve">3.1 </w:t>
      </w:r>
      <w:r>
        <w:rPr>
          <w:rFonts w:hint="eastAsia" w:ascii="宋体" w:hAnsi="宋体"/>
          <w:bCs/>
          <w:highlight w:val="none"/>
        </w:rPr>
        <w:t>乙方应保证甲方在中国境内使用货物或货物的任何一部分时，免受第三方提出的侵犯其知识产权的诉讼。如果第三方提出侵权指控，乙方须与第三方交涉并承担可能发生的一切法律责任、费用和经济赔偿。</w:t>
      </w:r>
    </w:p>
    <w:p>
      <w:pPr>
        <w:pStyle w:val="19"/>
        <w:spacing w:line="480" w:lineRule="exact"/>
        <w:rPr>
          <w:rFonts w:ascii="宋体"/>
          <w:bCs/>
          <w:highlight w:val="none"/>
        </w:rPr>
      </w:pPr>
      <w:r>
        <w:rPr>
          <w:rFonts w:ascii="宋体" w:hAnsi="宋体"/>
          <w:bCs/>
          <w:highlight w:val="none"/>
        </w:rPr>
        <w:t>4</w:t>
      </w:r>
      <w:r>
        <w:rPr>
          <w:rFonts w:hint="eastAsia" w:ascii="宋体" w:hAnsi="宋体"/>
          <w:bCs/>
          <w:highlight w:val="none"/>
        </w:rPr>
        <w:t>、付款</w:t>
      </w:r>
    </w:p>
    <w:p>
      <w:pPr>
        <w:pStyle w:val="19"/>
        <w:spacing w:line="480" w:lineRule="exact"/>
        <w:ind w:left="1"/>
        <w:rPr>
          <w:rFonts w:hint="eastAsia" w:ascii="宋体" w:hAnsi="宋体" w:eastAsia="宋体" w:cs="Times New Roman"/>
          <w:bCs/>
          <w:highlight w:val="none"/>
        </w:rPr>
      </w:pPr>
      <w:r>
        <w:rPr>
          <w:rFonts w:hint="eastAsia" w:ascii="宋体" w:hAnsi="宋体" w:eastAsia="宋体" w:cs="Times New Roman"/>
          <w:bCs/>
          <w:highlight w:val="none"/>
        </w:rPr>
        <w:t>付款方式：</w:t>
      </w:r>
    </w:p>
    <w:p>
      <w:pPr>
        <w:pStyle w:val="19"/>
        <w:spacing w:line="480" w:lineRule="exact"/>
        <w:ind w:left="1"/>
        <w:rPr>
          <w:rFonts w:hint="eastAsia" w:ascii="宋体" w:hAnsi="宋体" w:eastAsia="宋体" w:cs="Times New Roman"/>
          <w:bCs/>
          <w:highlight w:val="none"/>
        </w:rPr>
      </w:pPr>
      <w:r>
        <w:rPr>
          <w:rFonts w:hint="eastAsia" w:ascii="宋体" w:hAnsi="宋体" w:eastAsia="宋体" w:cs="Times New Roman"/>
          <w:bCs/>
          <w:highlight w:val="none"/>
        </w:rPr>
        <w:t>合同签订且由信息中心确认乙方技术人员入场后，乙方开具正规发票十五个工作日内，支付合同总金额20%；整体系统部署完成且硬件设备到货正常使用通过验收，乙方开具正规发票十五个工作日内，支付合同总金额70%；余款10%乙方履行完成一年免费维保期后付清。</w:t>
      </w:r>
    </w:p>
    <w:p>
      <w:pPr>
        <w:pStyle w:val="19"/>
        <w:spacing w:line="480" w:lineRule="exact"/>
        <w:ind w:left="1"/>
        <w:rPr>
          <w:rFonts w:ascii="宋体"/>
          <w:bCs/>
          <w:highlight w:val="none"/>
        </w:rPr>
      </w:pPr>
      <w:r>
        <w:rPr>
          <w:rFonts w:ascii="宋体" w:hAnsi="宋体"/>
          <w:bCs/>
          <w:highlight w:val="none"/>
        </w:rPr>
        <w:t>5</w:t>
      </w:r>
      <w:r>
        <w:rPr>
          <w:rFonts w:hint="eastAsia" w:ascii="宋体" w:hAnsi="宋体"/>
          <w:bCs/>
          <w:highlight w:val="none"/>
        </w:rPr>
        <w:t>、交货方式、安装时间、地点</w:t>
      </w:r>
    </w:p>
    <w:p>
      <w:pPr>
        <w:spacing w:line="480" w:lineRule="exact"/>
        <w:ind w:firstLine="360" w:firstLineChars="150"/>
        <w:rPr>
          <w:rFonts w:ascii="宋体"/>
          <w:bCs/>
          <w:sz w:val="24"/>
          <w:highlight w:val="none"/>
        </w:rPr>
      </w:pPr>
      <w:r>
        <w:rPr>
          <w:rFonts w:hint="eastAsia" w:ascii="宋体" w:hAnsi="宋体"/>
          <w:bCs/>
          <w:sz w:val="24"/>
          <w:highlight w:val="none"/>
        </w:rPr>
        <w:t>交货、安装时间按招标确定的合同条款。</w:t>
      </w:r>
    </w:p>
    <w:p>
      <w:pPr>
        <w:pStyle w:val="19"/>
        <w:spacing w:line="480" w:lineRule="exact"/>
        <w:rPr>
          <w:rFonts w:ascii="宋体"/>
          <w:bCs/>
          <w:highlight w:val="none"/>
        </w:rPr>
      </w:pPr>
      <w:r>
        <w:rPr>
          <w:rFonts w:ascii="宋体" w:hAnsi="宋体"/>
          <w:bCs/>
          <w:highlight w:val="none"/>
        </w:rPr>
        <w:t>6</w:t>
      </w:r>
      <w:r>
        <w:rPr>
          <w:rFonts w:hint="eastAsia" w:ascii="宋体" w:hAnsi="宋体"/>
          <w:bCs/>
          <w:highlight w:val="none"/>
        </w:rPr>
        <w:t>、质量</w:t>
      </w:r>
    </w:p>
    <w:p>
      <w:pPr>
        <w:pStyle w:val="19"/>
        <w:spacing w:line="480" w:lineRule="exact"/>
        <w:ind w:left="1"/>
        <w:rPr>
          <w:rFonts w:ascii="宋体"/>
          <w:bCs/>
          <w:highlight w:val="none"/>
        </w:rPr>
      </w:pPr>
      <w:r>
        <w:rPr>
          <w:rFonts w:ascii="宋体" w:hAnsi="宋体"/>
          <w:bCs/>
          <w:highlight w:val="none"/>
        </w:rPr>
        <w:t xml:space="preserve">6.1 </w:t>
      </w:r>
      <w:r>
        <w:rPr>
          <w:rFonts w:hint="eastAsia" w:ascii="宋体" w:hAnsi="宋体"/>
          <w:bCs/>
          <w:highlight w:val="none"/>
        </w:rPr>
        <w:t>乙方须保证货物是货物制造厂商原造的，全新、未使用过的，并完全符合强制性的国家技术质量规范和招标文件规定的质量、规格、性能和技术规范等要求。</w:t>
      </w:r>
    </w:p>
    <w:p>
      <w:pPr>
        <w:pStyle w:val="19"/>
        <w:spacing w:line="480" w:lineRule="exact"/>
        <w:ind w:left="763" w:hanging="763" w:hangingChars="318"/>
        <w:rPr>
          <w:rFonts w:ascii="宋体"/>
          <w:bCs/>
          <w:highlight w:val="none"/>
        </w:rPr>
      </w:pPr>
      <w:r>
        <w:rPr>
          <w:rFonts w:ascii="宋体" w:hAnsi="宋体"/>
          <w:bCs/>
          <w:highlight w:val="none"/>
        </w:rPr>
        <w:t>6.2</w:t>
      </w:r>
      <w:r>
        <w:rPr>
          <w:rFonts w:hint="eastAsia" w:ascii="宋体" w:hAnsi="宋体"/>
          <w:bCs/>
          <w:highlight w:val="none"/>
        </w:rPr>
        <w:t>乙方提供给甲方的货物应通过货物制造商的出厂检验，并提供质量合格证书。</w:t>
      </w:r>
    </w:p>
    <w:p>
      <w:pPr>
        <w:pStyle w:val="19"/>
        <w:spacing w:line="480" w:lineRule="exact"/>
        <w:ind w:left="1"/>
        <w:rPr>
          <w:rFonts w:ascii="宋体"/>
          <w:bCs/>
          <w:highlight w:val="none"/>
        </w:rPr>
      </w:pPr>
      <w:r>
        <w:rPr>
          <w:rFonts w:ascii="宋体" w:hAnsi="宋体"/>
          <w:bCs/>
          <w:highlight w:val="none"/>
        </w:rPr>
        <w:t xml:space="preserve">6.3 </w:t>
      </w:r>
      <w:r>
        <w:rPr>
          <w:rFonts w:hint="eastAsia" w:ascii="宋体" w:hAnsi="宋体"/>
          <w:bCs/>
          <w:highlight w:val="none"/>
        </w:rPr>
        <w:t>乙方保证提供的货物符合中华人民共和国国家及行业的安全质量标准；若货物来源于中华人民共和国境外，还要同时符合货物来源国的官方、行业及生产厂商的安全质量标准。上述标准为已发布的且在货物交付时有效的最新版本的标准；当货物来源于中华人民共和国境外时，产品必须附有原产地证明、中华人民共和国商检机构的检验证明、合法进货渠道证明及海关完税证明，此外，有关技术资料中须附有全文翻译的中文文本。</w:t>
      </w:r>
    </w:p>
    <w:p>
      <w:pPr>
        <w:pStyle w:val="19"/>
        <w:spacing w:line="480" w:lineRule="exact"/>
        <w:ind w:left="1"/>
        <w:rPr>
          <w:rFonts w:ascii="宋体"/>
          <w:bCs/>
          <w:highlight w:val="none"/>
        </w:rPr>
      </w:pPr>
      <w:r>
        <w:rPr>
          <w:rFonts w:ascii="宋体" w:hAnsi="宋体"/>
          <w:bCs/>
          <w:highlight w:val="none"/>
        </w:rPr>
        <w:t xml:space="preserve">6.4 </w:t>
      </w:r>
      <w:r>
        <w:rPr>
          <w:rFonts w:hint="eastAsia" w:ascii="宋体" w:hAnsi="宋体"/>
          <w:bCs/>
          <w:highlight w:val="none"/>
        </w:rPr>
        <w:t>乙方须保证所提供的货物经正确安装、正常运转和保养，在其使用寿命期内须具有符合质量要求和产品说明书的性能。在货物质量保证期之内，乙方须对由于设计、工艺或材料的缺陷而发生的任何不足或故障负责。</w:t>
      </w:r>
    </w:p>
    <w:p>
      <w:pPr>
        <w:pStyle w:val="19"/>
        <w:spacing w:line="480" w:lineRule="exact"/>
        <w:ind w:left="1"/>
        <w:rPr>
          <w:rFonts w:ascii="宋体"/>
          <w:bCs/>
          <w:highlight w:val="none"/>
        </w:rPr>
      </w:pPr>
      <w:r>
        <w:rPr>
          <w:rFonts w:ascii="宋体" w:hAnsi="宋体"/>
          <w:bCs/>
          <w:highlight w:val="none"/>
        </w:rPr>
        <w:t xml:space="preserve">6.5 </w:t>
      </w:r>
      <w:r>
        <w:rPr>
          <w:rFonts w:hint="eastAsia" w:ascii="宋体" w:hAnsi="宋体"/>
          <w:bCs/>
          <w:highlight w:val="none"/>
        </w:rPr>
        <w:t>根据甲方按检验标准自己检验结果或委托有资质的相关质检机构的检验结果，发现货物的数量、质量、规格与合同不符；或者在质量保证期内，证实货物存在缺陷，包括潜在的缺陷或使用不符合要求的材料等，甲方应尽快以书面形式通知乙方。乙方在收到通知后五日内应免费维修或更换有缺陷的货物或部件。</w:t>
      </w:r>
    </w:p>
    <w:p>
      <w:pPr>
        <w:pStyle w:val="19"/>
        <w:spacing w:line="480" w:lineRule="exact"/>
        <w:ind w:left="1"/>
        <w:rPr>
          <w:rFonts w:ascii="宋体"/>
          <w:bCs/>
          <w:highlight w:val="none"/>
        </w:rPr>
      </w:pPr>
      <w:r>
        <w:rPr>
          <w:rFonts w:ascii="宋体" w:hAnsi="宋体"/>
          <w:bCs/>
          <w:highlight w:val="none"/>
        </w:rPr>
        <w:t xml:space="preserve">6.6 </w:t>
      </w:r>
      <w:r>
        <w:rPr>
          <w:rFonts w:hint="eastAsia" w:ascii="宋体" w:hAnsi="宋体"/>
          <w:bCs/>
          <w:highlight w:val="none"/>
        </w:rPr>
        <w:t>如果乙方在收到通知后五日内没有弥补缺陷，甲方可采取必要的补救措施，但由此引发的风险和费用将由乙方承担。</w:t>
      </w:r>
    </w:p>
    <w:p>
      <w:pPr>
        <w:pStyle w:val="19"/>
        <w:spacing w:line="480" w:lineRule="exact"/>
        <w:ind w:left="1"/>
        <w:rPr>
          <w:rFonts w:ascii="宋体"/>
          <w:bCs/>
          <w:highlight w:val="none"/>
        </w:rPr>
      </w:pPr>
      <w:r>
        <w:rPr>
          <w:rFonts w:ascii="宋体" w:hAnsi="宋体"/>
          <w:bCs/>
          <w:highlight w:val="none"/>
        </w:rPr>
        <w:t xml:space="preserve">6.7 </w:t>
      </w:r>
      <w:r>
        <w:rPr>
          <w:rFonts w:hint="eastAsia" w:ascii="宋体" w:hAnsi="宋体"/>
          <w:bCs/>
          <w:highlight w:val="none"/>
        </w:rPr>
        <w:t>除“合同特殊条款”另有规定外，货物的质量保证期为自货物通过验收之日起</w:t>
      </w:r>
      <w:r>
        <w:rPr>
          <w:rFonts w:ascii="宋体" w:hAnsi="宋体"/>
          <w:bCs/>
          <w:highlight w:val="none"/>
        </w:rPr>
        <w:t>12</w:t>
      </w:r>
      <w:r>
        <w:rPr>
          <w:rFonts w:hint="eastAsia" w:ascii="宋体" w:hAnsi="宋体"/>
          <w:bCs/>
          <w:highlight w:val="none"/>
        </w:rPr>
        <w:t>个月。</w:t>
      </w:r>
    </w:p>
    <w:p>
      <w:pPr>
        <w:pStyle w:val="19"/>
        <w:spacing w:line="480" w:lineRule="exact"/>
        <w:ind w:left="1"/>
        <w:rPr>
          <w:rFonts w:ascii="宋体"/>
          <w:bCs/>
          <w:highlight w:val="none"/>
        </w:rPr>
      </w:pPr>
      <w:r>
        <w:rPr>
          <w:rFonts w:ascii="宋体" w:hAnsi="宋体"/>
          <w:bCs/>
          <w:highlight w:val="none"/>
        </w:rPr>
        <w:t xml:space="preserve">6.8 </w:t>
      </w:r>
      <w:r>
        <w:rPr>
          <w:rFonts w:hint="eastAsia" w:ascii="宋体" w:hAnsi="宋体"/>
          <w:bCs/>
          <w:highlight w:val="none"/>
        </w:rPr>
        <w:t>在合同货物质量保证期届满后，乙方保证继续为甲方提供货物的备品、备件及维修服务，且乙方保证在货物使用期内以不高于任何第三方的优惠价格提供上述服务。</w:t>
      </w:r>
    </w:p>
    <w:p>
      <w:pPr>
        <w:pStyle w:val="19"/>
        <w:spacing w:line="480" w:lineRule="exact"/>
        <w:rPr>
          <w:rFonts w:ascii="宋体"/>
          <w:bCs/>
          <w:highlight w:val="none"/>
        </w:rPr>
      </w:pPr>
      <w:r>
        <w:rPr>
          <w:rFonts w:ascii="宋体" w:hAnsi="宋体"/>
          <w:bCs/>
          <w:highlight w:val="none"/>
        </w:rPr>
        <w:t>7</w:t>
      </w:r>
      <w:r>
        <w:rPr>
          <w:rFonts w:hint="eastAsia" w:ascii="宋体" w:hAnsi="宋体"/>
          <w:bCs/>
          <w:highlight w:val="none"/>
        </w:rPr>
        <w:t>、包装和标记</w:t>
      </w:r>
    </w:p>
    <w:p>
      <w:pPr>
        <w:pStyle w:val="19"/>
        <w:spacing w:line="480" w:lineRule="exact"/>
        <w:ind w:left="1"/>
        <w:rPr>
          <w:rFonts w:ascii="宋体"/>
          <w:bCs/>
          <w:highlight w:val="none"/>
        </w:rPr>
      </w:pPr>
      <w:r>
        <w:rPr>
          <w:rFonts w:ascii="宋体" w:hAnsi="宋体"/>
          <w:bCs/>
          <w:highlight w:val="none"/>
        </w:rPr>
        <w:t xml:space="preserve">7.1 </w:t>
      </w:r>
      <w:r>
        <w:rPr>
          <w:rFonts w:hint="eastAsia" w:ascii="宋体" w:hAnsi="宋体"/>
          <w:bCs/>
          <w:highlight w:val="none"/>
        </w:rPr>
        <w:t>乙方交付的所有货物应具有适于运输的坚固包装，并且乙方应根据货物的不同特性和要求采取防潮、防雨、防锈、防震、防腐等保护措施，以确保货物安全无损地到达指定交货地点。</w:t>
      </w:r>
    </w:p>
    <w:p>
      <w:pPr>
        <w:pStyle w:val="19"/>
        <w:spacing w:line="480" w:lineRule="exact"/>
        <w:ind w:left="1"/>
        <w:rPr>
          <w:rFonts w:ascii="宋体"/>
          <w:bCs/>
          <w:highlight w:val="none"/>
        </w:rPr>
      </w:pPr>
      <w:r>
        <w:rPr>
          <w:rFonts w:ascii="宋体" w:hAnsi="宋体"/>
          <w:bCs/>
          <w:highlight w:val="none"/>
        </w:rPr>
        <w:t xml:space="preserve">7.2 </w:t>
      </w:r>
      <w:r>
        <w:rPr>
          <w:rFonts w:hint="eastAsia" w:ascii="宋体" w:hAnsi="宋体"/>
          <w:bCs/>
          <w:highlight w:val="none"/>
        </w:rPr>
        <w:t>乙方应在每件包装箱相对的二个侧面上，用不褪色的油漆印刷以下标记：</w:t>
      </w:r>
    </w:p>
    <w:p>
      <w:pPr>
        <w:pStyle w:val="19"/>
        <w:spacing w:line="480" w:lineRule="exact"/>
        <w:ind w:left="1"/>
        <w:rPr>
          <w:rFonts w:ascii="宋体"/>
          <w:bCs/>
          <w:highlight w:val="none"/>
        </w:rPr>
      </w:pPr>
      <w:r>
        <w:rPr>
          <w:rFonts w:ascii="宋体" w:hAnsi="宋体"/>
          <w:bCs/>
          <w:highlight w:val="none"/>
        </w:rPr>
        <w:t>(a)</w:t>
      </w:r>
      <w:r>
        <w:rPr>
          <w:rFonts w:hint="eastAsia" w:ascii="宋体" w:hAnsi="宋体"/>
          <w:bCs/>
          <w:highlight w:val="none"/>
        </w:rPr>
        <w:t>收货单位；</w:t>
      </w:r>
      <w:r>
        <w:rPr>
          <w:rFonts w:ascii="宋体" w:hAnsi="宋体"/>
          <w:bCs/>
          <w:highlight w:val="none"/>
        </w:rPr>
        <w:t>(b)</w:t>
      </w:r>
      <w:r>
        <w:rPr>
          <w:rFonts w:hint="eastAsia" w:ascii="宋体" w:hAnsi="宋体"/>
          <w:bCs/>
          <w:highlight w:val="none"/>
        </w:rPr>
        <w:t>货物名称；</w:t>
      </w:r>
      <w:r>
        <w:rPr>
          <w:rFonts w:ascii="宋体" w:hAnsi="宋体"/>
          <w:bCs/>
          <w:highlight w:val="none"/>
        </w:rPr>
        <w:t>(c)</w:t>
      </w:r>
      <w:r>
        <w:rPr>
          <w:rFonts w:hint="eastAsia" w:ascii="宋体" w:hAnsi="宋体"/>
          <w:bCs/>
          <w:highlight w:val="none"/>
        </w:rPr>
        <w:t>箱号</w:t>
      </w:r>
      <w:r>
        <w:rPr>
          <w:rFonts w:ascii="宋体" w:hAnsi="宋体"/>
          <w:bCs/>
          <w:highlight w:val="none"/>
        </w:rPr>
        <w:t>/</w:t>
      </w:r>
      <w:r>
        <w:rPr>
          <w:rFonts w:hint="eastAsia" w:ascii="宋体" w:hAnsi="宋体"/>
          <w:bCs/>
          <w:highlight w:val="none"/>
        </w:rPr>
        <w:t>件号；</w:t>
      </w:r>
      <w:r>
        <w:rPr>
          <w:rFonts w:ascii="宋体" w:hAnsi="宋体"/>
          <w:bCs/>
          <w:highlight w:val="none"/>
        </w:rPr>
        <w:t>(d)</w:t>
      </w:r>
      <w:r>
        <w:rPr>
          <w:rFonts w:hint="eastAsia" w:ascii="宋体" w:hAnsi="宋体"/>
          <w:bCs/>
          <w:highlight w:val="none"/>
        </w:rPr>
        <w:t>毛重</w:t>
      </w:r>
      <w:r>
        <w:rPr>
          <w:rFonts w:ascii="宋体" w:hAnsi="宋体"/>
          <w:bCs/>
          <w:highlight w:val="none"/>
        </w:rPr>
        <w:t>(</w:t>
      </w:r>
      <w:r>
        <w:rPr>
          <w:rFonts w:hint="eastAsia" w:ascii="宋体" w:hAnsi="宋体"/>
          <w:bCs/>
          <w:highlight w:val="none"/>
        </w:rPr>
        <w:t>千克</w:t>
      </w:r>
      <w:r>
        <w:rPr>
          <w:rFonts w:ascii="宋体" w:hAnsi="宋体"/>
          <w:bCs/>
          <w:highlight w:val="none"/>
        </w:rPr>
        <w:t>)</w:t>
      </w:r>
      <w:r>
        <w:rPr>
          <w:rFonts w:hint="eastAsia" w:ascii="宋体" w:hAnsi="宋体"/>
          <w:bCs/>
          <w:highlight w:val="none"/>
        </w:rPr>
        <w:t>；</w:t>
      </w:r>
      <w:r>
        <w:rPr>
          <w:rFonts w:ascii="宋体" w:hAnsi="宋体"/>
          <w:bCs/>
          <w:highlight w:val="none"/>
        </w:rPr>
        <w:t>(e)</w:t>
      </w:r>
      <w:r>
        <w:rPr>
          <w:rFonts w:hint="eastAsia" w:ascii="宋体" w:hAnsi="宋体"/>
          <w:bCs/>
          <w:highlight w:val="none"/>
        </w:rPr>
        <w:t>尺码</w:t>
      </w:r>
      <w:r>
        <w:rPr>
          <w:rFonts w:ascii="宋体" w:hAnsi="宋体"/>
          <w:bCs/>
          <w:highlight w:val="none"/>
        </w:rPr>
        <w:t>(</w:t>
      </w:r>
      <w:r>
        <w:rPr>
          <w:rFonts w:hint="eastAsia" w:ascii="宋体" w:hAnsi="宋体"/>
          <w:bCs/>
          <w:highlight w:val="none"/>
        </w:rPr>
        <w:t>长</w:t>
      </w:r>
      <w:r>
        <w:rPr>
          <w:rFonts w:ascii="宋体" w:hAnsi="宋体"/>
          <w:bCs/>
          <w:highlight w:val="none"/>
        </w:rPr>
        <w:t>*</w:t>
      </w:r>
      <w:r>
        <w:rPr>
          <w:rFonts w:hint="eastAsia" w:ascii="宋体" w:hAnsi="宋体"/>
          <w:bCs/>
          <w:highlight w:val="none"/>
        </w:rPr>
        <w:t>宽</w:t>
      </w:r>
      <w:r>
        <w:rPr>
          <w:rFonts w:ascii="宋体" w:hAnsi="宋体"/>
          <w:bCs/>
          <w:highlight w:val="none"/>
        </w:rPr>
        <w:t>*</w:t>
      </w:r>
      <w:r>
        <w:rPr>
          <w:rFonts w:hint="eastAsia" w:ascii="宋体" w:hAnsi="宋体"/>
          <w:bCs/>
          <w:highlight w:val="none"/>
        </w:rPr>
        <w:t>高</w:t>
      </w:r>
      <w:r>
        <w:rPr>
          <w:rFonts w:ascii="宋体" w:hAnsi="宋体"/>
          <w:bCs/>
          <w:highlight w:val="none"/>
        </w:rPr>
        <w:t>)</w:t>
      </w:r>
      <w:r>
        <w:rPr>
          <w:rFonts w:hint="eastAsia" w:ascii="宋体" w:hAnsi="宋体"/>
          <w:bCs/>
          <w:highlight w:val="none"/>
        </w:rPr>
        <w:t>；</w:t>
      </w:r>
      <w:r>
        <w:rPr>
          <w:rFonts w:ascii="宋体" w:hAnsi="宋体"/>
          <w:bCs/>
          <w:highlight w:val="none"/>
        </w:rPr>
        <w:t xml:space="preserve">(f) </w:t>
      </w:r>
      <w:r>
        <w:rPr>
          <w:rFonts w:hint="eastAsia" w:ascii="宋体" w:hAnsi="宋体"/>
          <w:bCs/>
          <w:highlight w:val="none"/>
        </w:rPr>
        <w:t>发货单位；</w:t>
      </w:r>
      <w:r>
        <w:rPr>
          <w:rFonts w:ascii="宋体" w:hAnsi="宋体"/>
          <w:bCs/>
          <w:highlight w:val="none"/>
        </w:rPr>
        <w:t>(g)</w:t>
      </w:r>
      <w:r>
        <w:rPr>
          <w:rFonts w:hint="eastAsia" w:ascii="宋体" w:hAnsi="宋体"/>
          <w:bCs/>
          <w:highlight w:val="none"/>
        </w:rPr>
        <w:t>发货单位详细地址。</w:t>
      </w:r>
    </w:p>
    <w:p>
      <w:pPr>
        <w:pStyle w:val="19"/>
        <w:spacing w:line="480" w:lineRule="exact"/>
        <w:ind w:left="1"/>
        <w:rPr>
          <w:rFonts w:ascii="宋体"/>
          <w:bCs/>
          <w:highlight w:val="none"/>
        </w:rPr>
      </w:pPr>
      <w:r>
        <w:rPr>
          <w:rFonts w:hint="eastAsia" w:ascii="宋体" w:hAnsi="宋体"/>
          <w:bCs/>
          <w:highlight w:val="none"/>
        </w:rPr>
        <w:t>乙方应根据货物的不同特性和装卸运输上的不同要求，在包装箱相对的二个侧面上印刷“勿倒置”、“小心轻放”、“防潮”等字样和装卸搬运时应注意的通用图案。</w:t>
      </w:r>
    </w:p>
    <w:p>
      <w:pPr>
        <w:pStyle w:val="19"/>
        <w:spacing w:line="480" w:lineRule="exact"/>
        <w:ind w:left="1"/>
        <w:rPr>
          <w:rFonts w:ascii="宋体"/>
          <w:bCs/>
          <w:highlight w:val="none"/>
        </w:rPr>
      </w:pPr>
      <w:r>
        <w:rPr>
          <w:rFonts w:ascii="宋体" w:hAnsi="宋体"/>
          <w:bCs/>
          <w:highlight w:val="none"/>
        </w:rPr>
        <w:t xml:space="preserve">7.3 </w:t>
      </w:r>
      <w:r>
        <w:rPr>
          <w:rFonts w:hint="eastAsia" w:ascii="宋体" w:hAnsi="宋体"/>
          <w:bCs/>
          <w:highlight w:val="none"/>
        </w:rPr>
        <w:t>每件包装箱内应附一份详细装箱单、质量合格证和产品使用说明书及其它全套的技术资料。</w:t>
      </w:r>
    </w:p>
    <w:p>
      <w:pPr>
        <w:pStyle w:val="19"/>
        <w:spacing w:line="480" w:lineRule="exact"/>
        <w:ind w:left="1"/>
        <w:rPr>
          <w:rFonts w:ascii="宋体"/>
          <w:bCs/>
          <w:highlight w:val="none"/>
        </w:rPr>
      </w:pPr>
      <w:r>
        <w:rPr>
          <w:rFonts w:ascii="宋体" w:hAnsi="宋体"/>
          <w:bCs/>
          <w:highlight w:val="none"/>
        </w:rPr>
        <w:t xml:space="preserve">7.4 </w:t>
      </w:r>
      <w:r>
        <w:rPr>
          <w:rFonts w:hint="eastAsia" w:ascii="宋体" w:hAnsi="宋体"/>
          <w:bCs/>
          <w:highlight w:val="none"/>
        </w:rPr>
        <w:t>凡因乙方对货物包装不善、标记不明、防护措施不当或在货物装箱前保管不良，或因乙方其它原因，致使货物遭到损坏或丢失，由乙方承担责任。</w:t>
      </w:r>
    </w:p>
    <w:p>
      <w:pPr>
        <w:pStyle w:val="19"/>
        <w:spacing w:line="480" w:lineRule="exact"/>
        <w:rPr>
          <w:rFonts w:ascii="宋体"/>
          <w:bCs/>
          <w:highlight w:val="none"/>
        </w:rPr>
      </w:pPr>
      <w:r>
        <w:rPr>
          <w:rFonts w:ascii="宋体" w:hAnsi="宋体"/>
          <w:bCs/>
          <w:highlight w:val="none"/>
        </w:rPr>
        <w:t>8</w:t>
      </w:r>
      <w:r>
        <w:rPr>
          <w:rFonts w:hint="eastAsia" w:ascii="宋体" w:hAnsi="宋体"/>
          <w:bCs/>
          <w:highlight w:val="none"/>
        </w:rPr>
        <w:t>、技术资料</w:t>
      </w:r>
    </w:p>
    <w:p>
      <w:pPr>
        <w:pStyle w:val="19"/>
        <w:tabs>
          <w:tab w:val="left" w:pos="764"/>
        </w:tabs>
        <w:spacing w:line="480" w:lineRule="exact"/>
        <w:ind w:left="720" w:hanging="720" w:hangingChars="300"/>
        <w:rPr>
          <w:rFonts w:ascii="宋体"/>
          <w:bCs/>
          <w:highlight w:val="none"/>
        </w:rPr>
      </w:pPr>
      <w:r>
        <w:rPr>
          <w:rFonts w:hint="eastAsia" w:ascii="宋体" w:hAnsi="宋体"/>
          <w:bCs/>
          <w:highlight w:val="none"/>
        </w:rPr>
        <w:t>合同项下技术资料</w:t>
      </w:r>
      <w:r>
        <w:rPr>
          <w:rFonts w:ascii="宋体" w:hAnsi="宋体"/>
          <w:bCs/>
          <w:highlight w:val="none"/>
        </w:rPr>
        <w:t>(</w:t>
      </w:r>
      <w:r>
        <w:rPr>
          <w:rFonts w:hint="eastAsia" w:ascii="宋体" w:hAnsi="宋体"/>
          <w:bCs/>
          <w:highlight w:val="none"/>
        </w:rPr>
        <w:t>除合同特殊条款规定外</w:t>
      </w:r>
      <w:r>
        <w:rPr>
          <w:rFonts w:ascii="宋体" w:hAnsi="宋体"/>
          <w:bCs/>
          <w:highlight w:val="none"/>
        </w:rPr>
        <w:t>)</w:t>
      </w:r>
      <w:r>
        <w:rPr>
          <w:rFonts w:hint="eastAsia" w:ascii="宋体" w:hAnsi="宋体"/>
          <w:bCs/>
          <w:highlight w:val="none"/>
        </w:rPr>
        <w:t>将以下列方式交付：</w:t>
      </w:r>
    </w:p>
    <w:p>
      <w:pPr>
        <w:pStyle w:val="19"/>
        <w:spacing w:line="480" w:lineRule="exact"/>
        <w:ind w:left="1"/>
        <w:rPr>
          <w:rFonts w:ascii="宋体"/>
          <w:bCs/>
          <w:highlight w:val="none"/>
        </w:rPr>
      </w:pPr>
      <w:r>
        <w:rPr>
          <w:rFonts w:ascii="宋体" w:hAnsi="宋体"/>
          <w:bCs/>
          <w:highlight w:val="none"/>
        </w:rPr>
        <w:t xml:space="preserve">8.1 </w:t>
      </w:r>
      <w:r>
        <w:rPr>
          <w:rFonts w:hint="eastAsia" w:ascii="宋体" w:hAnsi="宋体"/>
          <w:bCs/>
          <w:highlight w:val="none"/>
        </w:rPr>
        <w:t>合同生效后日之内，乙方应将每台设备和仪器的中文技术资料一套</w:t>
      </w:r>
      <w:r>
        <w:rPr>
          <w:rFonts w:ascii="宋体" w:hAnsi="宋体"/>
          <w:bCs/>
          <w:highlight w:val="none"/>
        </w:rPr>
        <w:t>(</w:t>
      </w:r>
      <w:r>
        <w:rPr>
          <w:rFonts w:hint="eastAsia" w:ascii="宋体" w:hAnsi="宋体"/>
          <w:bCs/>
          <w:highlight w:val="none"/>
        </w:rPr>
        <w:t>进口货物中英文各一套</w:t>
      </w:r>
      <w:r>
        <w:rPr>
          <w:rFonts w:ascii="宋体" w:hAnsi="宋体"/>
          <w:bCs/>
          <w:highlight w:val="none"/>
        </w:rPr>
        <w:t>)</w:t>
      </w:r>
      <w:r>
        <w:rPr>
          <w:rFonts w:hint="eastAsia" w:ascii="宋体" w:hAnsi="宋体"/>
          <w:bCs/>
          <w:highlight w:val="none"/>
        </w:rPr>
        <w:t>目录索引、图纸、操作手册、使用指南、维修指南和／或服务手册和示意图等交付甲方。</w:t>
      </w:r>
    </w:p>
    <w:p>
      <w:pPr>
        <w:pStyle w:val="19"/>
        <w:tabs>
          <w:tab w:val="left" w:pos="764"/>
        </w:tabs>
        <w:spacing w:line="480" w:lineRule="exact"/>
        <w:ind w:left="720" w:hanging="720" w:hangingChars="300"/>
        <w:rPr>
          <w:rFonts w:ascii="宋体"/>
          <w:bCs/>
          <w:highlight w:val="none"/>
        </w:rPr>
      </w:pPr>
      <w:r>
        <w:rPr>
          <w:rFonts w:ascii="宋体" w:hAnsi="宋体"/>
          <w:bCs/>
          <w:highlight w:val="none"/>
        </w:rPr>
        <w:t xml:space="preserve">8.2 </w:t>
      </w:r>
      <w:r>
        <w:rPr>
          <w:rFonts w:hint="eastAsia" w:ascii="宋体" w:hAnsi="宋体"/>
          <w:bCs/>
          <w:highlight w:val="none"/>
        </w:rPr>
        <w:t>另外一套完整的上述资料应包装好随同每批货物一起发运。</w:t>
      </w:r>
    </w:p>
    <w:p>
      <w:pPr>
        <w:pStyle w:val="19"/>
        <w:spacing w:line="480" w:lineRule="exact"/>
        <w:ind w:left="1"/>
        <w:rPr>
          <w:rFonts w:ascii="宋体"/>
          <w:bCs/>
          <w:highlight w:val="none"/>
        </w:rPr>
      </w:pPr>
      <w:r>
        <w:rPr>
          <w:rFonts w:ascii="宋体" w:hAnsi="宋体"/>
          <w:bCs/>
          <w:highlight w:val="none"/>
        </w:rPr>
        <w:t xml:space="preserve">8.3 </w:t>
      </w:r>
      <w:r>
        <w:rPr>
          <w:rFonts w:hint="eastAsia" w:ascii="宋体" w:hAnsi="宋体"/>
          <w:bCs/>
          <w:highlight w:val="none"/>
        </w:rPr>
        <w:t>如果甲方确认乙方提供的技术资料不完整或在运输过程中丢失，乙方将在收到甲方通知后</w:t>
      </w:r>
      <w:r>
        <w:rPr>
          <w:rFonts w:ascii="宋体" w:hAnsi="宋体"/>
          <w:bCs/>
          <w:highlight w:val="none"/>
        </w:rPr>
        <w:t>3</w:t>
      </w:r>
      <w:r>
        <w:rPr>
          <w:rFonts w:hint="eastAsia" w:ascii="宋体" w:hAnsi="宋体"/>
          <w:bCs/>
          <w:highlight w:val="none"/>
        </w:rPr>
        <w:t>日内将这些资料免费交付甲方。</w:t>
      </w:r>
    </w:p>
    <w:p>
      <w:pPr>
        <w:pStyle w:val="19"/>
        <w:spacing w:line="480" w:lineRule="exact"/>
        <w:rPr>
          <w:rFonts w:ascii="宋体"/>
          <w:bCs/>
          <w:highlight w:val="none"/>
        </w:rPr>
      </w:pPr>
      <w:r>
        <w:rPr>
          <w:rFonts w:ascii="宋体" w:hAnsi="宋体"/>
          <w:bCs/>
          <w:highlight w:val="none"/>
        </w:rPr>
        <w:t>9</w:t>
      </w:r>
      <w:r>
        <w:rPr>
          <w:rFonts w:hint="eastAsia" w:ascii="宋体" w:hAnsi="宋体"/>
          <w:bCs/>
          <w:highlight w:val="none"/>
        </w:rPr>
        <w:t>、风险负担</w:t>
      </w:r>
    </w:p>
    <w:p>
      <w:pPr>
        <w:pStyle w:val="19"/>
        <w:spacing w:line="480" w:lineRule="exact"/>
        <w:ind w:left="1"/>
        <w:rPr>
          <w:rFonts w:ascii="宋体"/>
          <w:bCs/>
          <w:highlight w:val="none"/>
        </w:rPr>
      </w:pPr>
      <w:r>
        <w:rPr>
          <w:rFonts w:ascii="宋体" w:hAnsi="宋体"/>
          <w:bCs/>
          <w:highlight w:val="none"/>
        </w:rPr>
        <w:t xml:space="preserve">9.1 </w:t>
      </w:r>
      <w:r>
        <w:rPr>
          <w:rFonts w:hint="eastAsia" w:ascii="宋体" w:hAnsi="宋体"/>
          <w:bCs/>
          <w:highlight w:val="none"/>
        </w:rPr>
        <w:t>货物毁损、灭失的风险在该货物通过甲乙双方联合验收交付前由乙方承担，通过联合验收交付后由甲方承担；因质量问题甲方拒收的，风险由乙方承担。</w:t>
      </w:r>
    </w:p>
    <w:p>
      <w:pPr>
        <w:pStyle w:val="19"/>
        <w:spacing w:line="480" w:lineRule="exact"/>
        <w:rPr>
          <w:rFonts w:ascii="宋体"/>
          <w:bCs/>
          <w:highlight w:val="none"/>
        </w:rPr>
      </w:pPr>
      <w:r>
        <w:rPr>
          <w:rFonts w:ascii="宋体" w:hAnsi="宋体"/>
          <w:bCs/>
          <w:highlight w:val="none"/>
        </w:rPr>
        <w:t>10</w:t>
      </w:r>
      <w:r>
        <w:rPr>
          <w:rFonts w:hint="eastAsia" w:ascii="宋体" w:hAnsi="宋体"/>
          <w:bCs/>
          <w:highlight w:val="none"/>
        </w:rPr>
        <w:t>、验收</w:t>
      </w:r>
    </w:p>
    <w:p>
      <w:pPr>
        <w:pStyle w:val="19"/>
        <w:spacing w:line="480" w:lineRule="exact"/>
        <w:ind w:left="1"/>
        <w:rPr>
          <w:rFonts w:ascii="宋体"/>
          <w:bCs/>
          <w:highlight w:val="none"/>
        </w:rPr>
      </w:pPr>
      <w:r>
        <w:rPr>
          <w:rFonts w:ascii="宋体" w:hAnsi="宋体"/>
          <w:bCs/>
          <w:highlight w:val="none"/>
        </w:rPr>
        <w:t xml:space="preserve">10.1 </w:t>
      </w:r>
      <w:r>
        <w:rPr>
          <w:rFonts w:hint="eastAsia" w:ascii="宋体" w:hAnsi="宋体"/>
          <w:bCs/>
          <w:highlight w:val="none"/>
        </w:rPr>
        <w:t>乙方提交的货物由甲方负责组织验收。甲方指定验收人员，全权负责验收签字工作，要将验收情况在验收单中如实说明，并签字确认。甲方要对自己的验收意见负责，如果验收意见与事实不符，应承担相应的法律责任。一方如对验收意见存在异议，可向当地质检（商检）部门申请检验，并出具检验证书，检验费用由主张方支付。</w:t>
      </w:r>
    </w:p>
    <w:p>
      <w:pPr>
        <w:pStyle w:val="19"/>
        <w:spacing w:line="480" w:lineRule="exact"/>
        <w:rPr>
          <w:rFonts w:ascii="宋体"/>
          <w:bCs/>
          <w:highlight w:val="none"/>
        </w:rPr>
      </w:pPr>
      <w:bookmarkStart w:id="131" w:name="_Toc487900361"/>
      <w:r>
        <w:rPr>
          <w:rFonts w:ascii="宋体" w:hAnsi="宋体"/>
          <w:bCs/>
          <w:highlight w:val="none"/>
        </w:rPr>
        <w:t>11</w:t>
      </w:r>
      <w:r>
        <w:rPr>
          <w:rFonts w:hint="eastAsia" w:ascii="宋体" w:hAnsi="宋体"/>
          <w:bCs/>
          <w:highlight w:val="none"/>
        </w:rPr>
        <w:t>、索赔</w:t>
      </w:r>
      <w:bookmarkEnd w:id="131"/>
    </w:p>
    <w:p>
      <w:pPr>
        <w:pStyle w:val="19"/>
        <w:spacing w:line="480" w:lineRule="exact"/>
        <w:ind w:left="1"/>
        <w:rPr>
          <w:rFonts w:ascii="宋体"/>
          <w:bCs/>
          <w:highlight w:val="none"/>
        </w:rPr>
      </w:pPr>
      <w:r>
        <w:rPr>
          <w:rFonts w:ascii="宋体" w:hAnsi="宋体"/>
          <w:bCs/>
          <w:highlight w:val="none"/>
        </w:rPr>
        <w:t xml:space="preserve">11.1 </w:t>
      </w:r>
      <w:r>
        <w:rPr>
          <w:rFonts w:hint="eastAsia" w:ascii="宋体" w:hAnsi="宋体"/>
          <w:bCs/>
          <w:highlight w:val="none"/>
        </w:rPr>
        <w:t>如果货物的质量、规格、数量、重量等与合同不符，或在质量保证期内证实货物存有缺陷，包括潜在的缺陷或使用不符合要求的材料等，甲方有权根据有资质的权威质检机构的检验结果向乙方提出索赔（但责任应由保险公司或运输部门承担的除外）。</w:t>
      </w:r>
    </w:p>
    <w:p>
      <w:pPr>
        <w:pStyle w:val="19"/>
        <w:spacing w:line="480" w:lineRule="exact"/>
        <w:ind w:left="1"/>
        <w:rPr>
          <w:rFonts w:ascii="宋体"/>
          <w:bCs/>
          <w:highlight w:val="none"/>
        </w:rPr>
      </w:pPr>
      <w:bookmarkStart w:id="132" w:name="_Ref467378076"/>
      <w:r>
        <w:rPr>
          <w:rFonts w:ascii="宋体" w:hAnsi="宋体"/>
          <w:bCs/>
          <w:highlight w:val="none"/>
        </w:rPr>
        <w:t xml:space="preserve">11.2 </w:t>
      </w:r>
      <w:r>
        <w:rPr>
          <w:rFonts w:hint="eastAsia" w:ascii="宋体" w:hAnsi="宋体"/>
          <w:bCs/>
          <w:highlight w:val="none"/>
        </w:rPr>
        <w:t>如果乙方对甲方提出的索赔负有责任，乙方应按照甲方同意的下列一种或多种方式解决索赔事宜：</w:t>
      </w:r>
      <w:bookmarkEnd w:id="132"/>
    </w:p>
    <w:p>
      <w:pPr>
        <w:pStyle w:val="19"/>
        <w:spacing w:line="480" w:lineRule="exact"/>
        <w:ind w:left="1"/>
        <w:rPr>
          <w:rFonts w:ascii="宋体"/>
          <w:bCs/>
          <w:highlight w:val="none"/>
        </w:rPr>
      </w:pPr>
      <w:r>
        <w:rPr>
          <w:rFonts w:ascii="宋体" w:hAnsi="宋体"/>
          <w:bCs/>
          <w:highlight w:val="none"/>
        </w:rPr>
        <w:t xml:space="preserve">1) </w:t>
      </w:r>
      <w:r>
        <w:rPr>
          <w:rFonts w:hint="eastAsia" w:ascii="宋体" w:hAnsi="宋体"/>
          <w:bCs/>
          <w:highlight w:val="none"/>
        </w:rPr>
        <w:t>乙方同意退货并用合同规定的货币将货款退还给甲方，并承担由此发生的一切损失和费用，包括利息、银行手续费、运费、保险费、检验费、仓储费、装卸费以及为保护退回货物所需的其他必要费用。</w:t>
      </w:r>
    </w:p>
    <w:p>
      <w:pPr>
        <w:pStyle w:val="19"/>
        <w:spacing w:line="480" w:lineRule="exact"/>
        <w:ind w:left="1"/>
        <w:rPr>
          <w:rFonts w:ascii="宋体"/>
          <w:bCs/>
          <w:highlight w:val="none"/>
        </w:rPr>
      </w:pPr>
      <w:r>
        <w:rPr>
          <w:rFonts w:ascii="宋体" w:hAnsi="宋体"/>
          <w:bCs/>
          <w:highlight w:val="none"/>
        </w:rPr>
        <w:t>2</w:t>
      </w:r>
      <w:r>
        <w:rPr>
          <w:rFonts w:hint="eastAsia" w:ascii="宋体" w:hAnsi="宋体"/>
          <w:bCs/>
          <w:highlight w:val="none"/>
        </w:rPr>
        <w:t>）根据货物低劣程度、损坏程度以及甲方所遭受损失的数额，经甲乙双方商定</w:t>
      </w:r>
    </w:p>
    <w:p>
      <w:pPr>
        <w:pStyle w:val="19"/>
        <w:spacing w:line="480" w:lineRule="exact"/>
        <w:ind w:left="1"/>
        <w:rPr>
          <w:rFonts w:ascii="宋体"/>
          <w:bCs/>
          <w:highlight w:val="none"/>
        </w:rPr>
      </w:pPr>
      <w:r>
        <w:rPr>
          <w:rFonts w:hint="eastAsia" w:ascii="宋体" w:hAnsi="宋体"/>
          <w:bCs/>
          <w:highlight w:val="none"/>
        </w:rPr>
        <w:t>降低货物的价格，或由有权的部门评估，以降低后的价格或评估价格为准。</w:t>
      </w:r>
    </w:p>
    <w:p>
      <w:pPr>
        <w:pStyle w:val="19"/>
        <w:spacing w:line="480" w:lineRule="exact"/>
        <w:ind w:left="1"/>
        <w:rPr>
          <w:rFonts w:ascii="宋体"/>
          <w:bCs/>
          <w:highlight w:val="none"/>
        </w:rPr>
      </w:pPr>
      <w:r>
        <w:rPr>
          <w:rFonts w:ascii="宋体" w:hAnsi="宋体"/>
          <w:bCs/>
          <w:highlight w:val="none"/>
        </w:rPr>
        <w:t>3</w:t>
      </w:r>
      <w:r>
        <w:rPr>
          <w:rFonts w:hint="eastAsia" w:ascii="宋体" w:hAnsi="宋体"/>
          <w:bCs/>
          <w:highlight w:val="none"/>
        </w:rPr>
        <w:t>）用符合规格、质量和性能要求的新零件、部件或货物来更换有缺陷的部分或／和修补缺陷部分，乙方应承担一切费用和风险并负担甲方所发生的一切直接费用。同时，乙方应相应延长修补或更换件的质量保证期。</w:t>
      </w:r>
    </w:p>
    <w:p>
      <w:pPr>
        <w:pStyle w:val="19"/>
        <w:spacing w:line="480" w:lineRule="exact"/>
        <w:ind w:left="1"/>
        <w:rPr>
          <w:rFonts w:ascii="宋体"/>
          <w:bCs/>
          <w:highlight w:val="none"/>
        </w:rPr>
      </w:pPr>
      <w:r>
        <w:rPr>
          <w:rFonts w:ascii="宋体" w:hAnsi="宋体"/>
          <w:bCs/>
          <w:highlight w:val="none"/>
        </w:rPr>
        <w:t xml:space="preserve">11.3 </w:t>
      </w:r>
      <w:r>
        <w:rPr>
          <w:rFonts w:hint="eastAsia" w:ascii="宋体" w:hAnsi="宋体"/>
          <w:bCs/>
          <w:highlight w:val="none"/>
        </w:rPr>
        <w:t>如果在甲方发出索赔通知后</w:t>
      </w:r>
      <w:r>
        <w:rPr>
          <w:rFonts w:ascii="宋体" w:hAnsi="宋体"/>
          <w:bCs/>
          <w:highlight w:val="none"/>
        </w:rPr>
        <w:t>7</w:t>
      </w:r>
      <w:r>
        <w:rPr>
          <w:rFonts w:hint="eastAsia" w:ascii="宋体" w:hAnsi="宋体"/>
          <w:bCs/>
          <w:highlight w:val="none"/>
        </w:rPr>
        <w:t>日内，乙方未作答复，上述索赔应视为已被乙方接受。如乙方未能在甲方提出索赔通知后</w:t>
      </w:r>
      <w:r>
        <w:rPr>
          <w:rFonts w:ascii="宋体" w:hAnsi="宋体"/>
          <w:bCs/>
          <w:highlight w:val="none"/>
        </w:rPr>
        <w:t>7</w:t>
      </w:r>
      <w:r>
        <w:rPr>
          <w:rFonts w:hint="eastAsia" w:ascii="宋体" w:hAnsi="宋体"/>
          <w:bCs/>
          <w:highlight w:val="none"/>
        </w:rPr>
        <w:t>日内或甲方同意的更长时间内，按照本合同的相应规定解决索赔事宜，甲方将从应付货款中扣回索赔金额。如果这些金额不足以补偿索赔金额，甲方有权向乙方提出不足部分的补偿。</w:t>
      </w:r>
    </w:p>
    <w:p>
      <w:pPr>
        <w:pStyle w:val="19"/>
        <w:spacing w:line="480" w:lineRule="exact"/>
        <w:rPr>
          <w:rFonts w:ascii="宋体"/>
          <w:bCs/>
          <w:highlight w:val="none"/>
        </w:rPr>
      </w:pPr>
      <w:r>
        <w:rPr>
          <w:rFonts w:ascii="宋体" w:hAnsi="宋体"/>
          <w:bCs/>
          <w:highlight w:val="none"/>
        </w:rPr>
        <w:t>12</w:t>
      </w:r>
      <w:r>
        <w:rPr>
          <w:rFonts w:hint="eastAsia" w:ascii="宋体" w:hAnsi="宋体"/>
          <w:bCs/>
          <w:highlight w:val="none"/>
        </w:rPr>
        <w:t>、违约赔偿</w:t>
      </w:r>
    </w:p>
    <w:p>
      <w:pPr>
        <w:pStyle w:val="19"/>
        <w:spacing w:line="480" w:lineRule="exact"/>
        <w:ind w:left="1"/>
        <w:rPr>
          <w:rFonts w:ascii="宋体"/>
          <w:bCs/>
          <w:highlight w:val="none"/>
        </w:rPr>
      </w:pPr>
      <w:r>
        <w:rPr>
          <w:rFonts w:ascii="宋体" w:hAnsi="宋体"/>
          <w:bCs/>
          <w:highlight w:val="none"/>
        </w:rPr>
        <w:t xml:space="preserve">12.1 </w:t>
      </w:r>
      <w:r>
        <w:rPr>
          <w:rFonts w:hint="eastAsia" w:ascii="宋体" w:hAnsi="宋体"/>
          <w:bCs/>
          <w:highlight w:val="none"/>
        </w:rPr>
        <w:t>乙方延迟交货，每延迟</w:t>
      </w:r>
      <w:r>
        <w:rPr>
          <w:rFonts w:ascii="宋体" w:hAnsi="宋体"/>
          <w:bCs/>
          <w:highlight w:val="none"/>
        </w:rPr>
        <w:t>1</w:t>
      </w:r>
      <w:r>
        <w:rPr>
          <w:rFonts w:hint="eastAsia" w:ascii="宋体" w:hAnsi="宋体"/>
          <w:bCs/>
          <w:highlight w:val="none"/>
        </w:rPr>
        <w:t>日，按应交付货物总额</w:t>
      </w:r>
      <w:r>
        <w:rPr>
          <w:rFonts w:ascii="宋体" w:hAnsi="宋体"/>
          <w:bCs/>
          <w:highlight w:val="none"/>
        </w:rPr>
        <w:t>0.3</w:t>
      </w:r>
      <w:r>
        <w:rPr>
          <w:rFonts w:hint="eastAsia" w:ascii="宋体" w:hAnsi="宋体"/>
          <w:bCs/>
          <w:highlight w:val="none"/>
        </w:rPr>
        <w:t>‰支付违约金。乙方履行合同不符合规定，除应按合同约定及时调换外，在调换货物期间，应按调换货物金额每日</w:t>
      </w:r>
      <w:r>
        <w:rPr>
          <w:rFonts w:ascii="宋体" w:hAnsi="宋体"/>
          <w:bCs/>
          <w:highlight w:val="none"/>
        </w:rPr>
        <w:t>0.3</w:t>
      </w:r>
      <w:r>
        <w:rPr>
          <w:rFonts w:hint="eastAsia" w:ascii="宋体" w:hAnsi="宋体"/>
          <w:bCs/>
          <w:highlight w:val="none"/>
        </w:rPr>
        <w:t>‰向甲方支付违约金。</w:t>
      </w:r>
    </w:p>
    <w:p>
      <w:pPr>
        <w:pStyle w:val="19"/>
        <w:spacing w:line="480" w:lineRule="exact"/>
        <w:ind w:left="1"/>
        <w:rPr>
          <w:rFonts w:ascii="宋体"/>
          <w:bCs/>
          <w:highlight w:val="none"/>
        </w:rPr>
      </w:pPr>
      <w:r>
        <w:rPr>
          <w:rFonts w:ascii="宋体" w:hAnsi="宋体"/>
          <w:bCs/>
          <w:highlight w:val="none"/>
        </w:rPr>
        <w:t xml:space="preserve">12.2 </w:t>
      </w:r>
      <w:r>
        <w:rPr>
          <w:rFonts w:hint="eastAsia" w:ascii="宋体" w:hAnsi="宋体"/>
          <w:bCs/>
          <w:highlight w:val="none"/>
        </w:rPr>
        <w:t>如乙方违约，甲方有权从应付货款中扣除违约金及其它费用，履约保证金不足部分，甲方保留追索的权利。</w:t>
      </w:r>
    </w:p>
    <w:p>
      <w:pPr>
        <w:pStyle w:val="19"/>
        <w:spacing w:line="480" w:lineRule="exact"/>
        <w:ind w:left="1"/>
        <w:rPr>
          <w:rFonts w:ascii="宋体"/>
          <w:bCs/>
          <w:highlight w:val="none"/>
        </w:rPr>
      </w:pPr>
      <w:r>
        <w:rPr>
          <w:rFonts w:ascii="宋体" w:hAnsi="宋体"/>
          <w:bCs/>
          <w:highlight w:val="none"/>
        </w:rPr>
        <w:t xml:space="preserve">12.3 </w:t>
      </w:r>
      <w:r>
        <w:rPr>
          <w:rFonts w:hint="eastAsia" w:ascii="宋体" w:hAnsi="宋体"/>
          <w:bCs/>
          <w:highlight w:val="none"/>
        </w:rPr>
        <w:t>如因一方违约，双方未能就赔偿损失达成协议，引起诉讼或仲裁时，违约方除应赔偿对方经济损失外，还应承担对方因诉讼或仲裁所支付的律师代理费等相关费用。</w:t>
      </w:r>
    </w:p>
    <w:p>
      <w:pPr>
        <w:pStyle w:val="19"/>
        <w:spacing w:line="480" w:lineRule="exact"/>
        <w:ind w:left="1"/>
        <w:rPr>
          <w:rFonts w:ascii="宋体"/>
          <w:bCs/>
          <w:highlight w:val="none"/>
        </w:rPr>
      </w:pPr>
      <w:r>
        <w:rPr>
          <w:rFonts w:ascii="宋体" w:hAnsi="宋体"/>
          <w:bCs/>
          <w:highlight w:val="none"/>
        </w:rPr>
        <w:t xml:space="preserve">12.4 </w:t>
      </w:r>
      <w:r>
        <w:rPr>
          <w:rFonts w:hint="eastAsia" w:ascii="宋体" w:hAnsi="宋体"/>
          <w:bCs/>
          <w:highlight w:val="none"/>
        </w:rPr>
        <w:t>按照合同规定应该偿付的违约金、赔偿金等，应当在明确责任后三日内，按银行规定或双方商定的结算办法付清，否则按逾期付款处理。</w:t>
      </w:r>
    </w:p>
    <w:p>
      <w:pPr>
        <w:pStyle w:val="19"/>
        <w:spacing w:line="480" w:lineRule="exact"/>
        <w:rPr>
          <w:rFonts w:ascii="宋体"/>
          <w:bCs/>
          <w:highlight w:val="none"/>
        </w:rPr>
      </w:pPr>
      <w:r>
        <w:rPr>
          <w:rFonts w:ascii="宋体" w:hAnsi="宋体"/>
          <w:bCs/>
          <w:highlight w:val="none"/>
        </w:rPr>
        <w:t>13</w:t>
      </w:r>
      <w:r>
        <w:rPr>
          <w:rFonts w:hint="eastAsia" w:ascii="宋体" w:hAnsi="宋体"/>
          <w:bCs/>
          <w:highlight w:val="none"/>
        </w:rPr>
        <w:t>、合同修改</w:t>
      </w:r>
    </w:p>
    <w:p>
      <w:pPr>
        <w:pStyle w:val="19"/>
        <w:spacing w:line="480" w:lineRule="exact"/>
        <w:ind w:left="1"/>
        <w:rPr>
          <w:rFonts w:ascii="宋体"/>
          <w:bCs/>
          <w:highlight w:val="none"/>
        </w:rPr>
      </w:pPr>
      <w:r>
        <w:rPr>
          <w:rFonts w:ascii="宋体" w:hAnsi="宋体"/>
          <w:bCs/>
          <w:highlight w:val="none"/>
        </w:rPr>
        <w:t xml:space="preserve">13.1 </w:t>
      </w:r>
      <w:r>
        <w:rPr>
          <w:rFonts w:hint="eastAsia" w:ascii="宋体" w:hAnsi="宋体"/>
          <w:bCs/>
          <w:highlight w:val="none"/>
        </w:rPr>
        <w:t>甲方和乙方都不得擅自变更合同，但合同继续履行将损害国家和社会公共利益的除外。如必须对合同条款进行改动时，双方须共同签署书面文件。</w:t>
      </w:r>
    </w:p>
    <w:p>
      <w:pPr>
        <w:pStyle w:val="19"/>
        <w:spacing w:line="480" w:lineRule="exact"/>
        <w:rPr>
          <w:rFonts w:ascii="宋体"/>
          <w:bCs/>
          <w:highlight w:val="none"/>
        </w:rPr>
      </w:pPr>
      <w:r>
        <w:rPr>
          <w:rFonts w:ascii="宋体" w:hAnsi="宋体"/>
          <w:bCs/>
          <w:highlight w:val="none"/>
        </w:rPr>
        <w:t>14</w:t>
      </w:r>
      <w:r>
        <w:rPr>
          <w:rFonts w:hint="eastAsia" w:ascii="宋体" w:hAnsi="宋体"/>
          <w:bCs/>
          <w:highlight w:val="none"/>
        </w:rPr>
        <w:t>、违约终止合同</w:t>
      </w:r>
    </w:p>
    <w:p>
      <w:pPr>
        <w:pStyle w:val="19"/>
        <w:spacing w:line="480" w:lineRule="exact"/>
        <w:ind w:left="1"/>
        <w:rPr>
          <w:rFonts w:ascii="宋体"/>
          <w:bCs/>
          <w:highlight w:val="none"/>
        </w:rPr>
      </w:pPr>
      <w:r>
        <w:rPr>
          <w:rFonts w:ascii="宋体" w:hAnsi="宋体"/>
          <w:bCs/>
          <w:highlight w:val="none"/>
        </w:rPr>
        <w:t xml:space="preserve">14.1 </w:t>
      </w:r>
      <w:r>
        <w:rPr>
          <w:rFonts w:hint="eastAsia" w:ascii="宋体" w:hAnsi="宋体"/>
          <w:bCs/>
          <w:highlight w:val="none"/>
        </w:rPr>
        <w:t>在甲方因乙方违约而按合同约定采取的任何补救措施不受影响的情况下，甲方可在下列情况下向乙方发出书面通知，提出终止部分或全部合同。</w:t>
      </w:r>
    </w:p>
    <w:p>
      <w:pPr>
        <w:pStyle w:val="19"/>
        <w:spacing w:line="480" w:lineRule="exact"/>
        <w:ind w:left="1"/>
        <w:rPr>
          <w:rFonts w:ascii="宋体"/>
          <w:bCs/>
          <w:highlight w:val="none"/>
        </w:rPr>
      </w:pPr>
      <w:r>
        <w:rPr>
          <w:rFonts w:ascii="宋体" w:hAnsi="宋体"/>
          <w:bCs/>
          <w:highlight w:val="none"/>
        </w:rPr>
        <w:t>1)</w:t>
      </w:r>
      <w:r>
        <w:rPr>
          <w:rFonts w:hint="eastAsia" w:ascii="宋体" w:hAnsi="宋体"/>
          <w:bCs/>
          <w:highlight w:val="none"/>
        </w:rPr>
        <w:t>如果乙方未能在合同规定的限期或甲方同意延长的限期内提供部分或全部货物和服务。</w:t>
      </w:r>
    </w:p>
    <w:p>
      <w:pPr>
        <w:pStyle w:val="19"/>
        <w:spacing w:line="480" w:lineRule="exact"/>
        <w:ind w:left="1"/>
        <w:rPr>
          <w:rFonts w:ascii="宋体"/>
          <w:bCs/>
          <w:highlight w:val="none"/>
        </w:rPr>
      </w:pPr>
      <w:r>
        <w:rPr>
          <w:rFonts w:ascii="宋体" w:hAnsi="宋体"/>
          <w:bCs/>
          <w:highlight w:val="none"/>
        </w:rPr>
        <w:t>2</w:t>
      </w:r>
      <w:r>
        <w:rPr>
          <w:rFonts w:hint="eastAsia" w:ascii="宋体" w:hAnsi="宋体"/>
          <w:bCs/>
          <w:highlight w:val="none"/>
        </w:rPr>
        <w:t>）如果乙方未能履行合同规定的其它任何义务。</w:t>
      </w:r>
    </w:p>
    <w:p>
      <w:pPr>
        <w:pStyle w:val="19"/>
        <w:spacing w:line="480" w:lineRule="exact"/>
        <w:ind w:left="1"/>
        <w:rPr>
          <w:rFonts w:ascii="宋体"/>
          <w:bCs/>
          <w:highlight w:val="none"/>
        </w:rPr>
      </w:pPr>
      <w:r>
        <w:rPr>
          <w:rFonts w:ascii="宋体" w:hAnsi="宋体"/>
          <w:bCs/>
          <w:highlight w:val="none"/>
        </w:rPr>
        <w:t>3</w:t>
      </w:r>
      <w:r>
        <w:rPr>
          <w:rFonts w:hint="eastAsia" w:ascii="宋体" w:hAnsi="宋体"/>
          <w:bCs/>
          <w:highlight w:val="none"/>
        </w:rPr>
        <w:t>）如果乙方在本合同的竞争或实施中有腐败和欺诈行为。为此，定义如下：“腐</w:t>
      </w:r>
    </w:p>
    <w:p>
      <w:pPr>
        <w:pStyle w:val="19"/>
        <w:spacing w:line="480" w:lineRule="exact"/>
        <w:ind w:left="1"/>
        <w:rPr>
          <w:rFonts w:ascii="宋体"/>
          <w:bCs/>
          <w:highlight w:val="none"/>
        </w:rPr>
      </w:pPr>
      <w:r>
        <w:rPr>
          <w:rFonts w:hint="eastAsia" w:ascii="宋体" w:hAnsi="宋体"/>
          <w:bCs/>
          <w:highlight w:val="none"/>
        </w:rPr>
        <w:t>败行为“是指提供、给予、接受或索取任何有价值的东西来影响采购人员在采购过程或合同实施过程中的行为；“欺诈行为”是指为了影响采购过程或合同实施过程而谎报事实，弄虚作假，损害甲方的利益，包括乙方单位之间串通，人为地使供货活动丧失竞争性，损害甲方所能获得的权益。</w:t>
      </w:r>
    </w:p>
    <w:p>
      <w:pPr>
        <w:pStyle w:val="19"/>
        <w:spacing w:line="480" w:lineRule="exact"/>
        <w:ind w:left="1"/>
        <w:rPr>
          <w:rFonts w:ascii="宋体"/>
          <w:bCs/>
          <w:highlight w:val="none"/>
        </w:rPr>
      </w:pPr>
      <w:r>
        <w:rPr>
          <w:rFonts w:ascii="宋体" w:hAnsi="宋体"/>
          <w:bCs/>
          <w:highlight w:val="none"/>
        </w:rPr>
        <w:t xml:space="preserve">14.2  </w:t>
      </w:r>
      <w:r>
        <w:rPr>
          <w:rFonts w:hint="eastAsia" w:ascii="宋体" w:hAnsi="宋体"/>
          <w:bCs/>
          <w:highlight w:val="none"/>
        </w:rPr>
        <w:t>在甲方根据</w:t>
      </w:r>
      <w:r>
        <w:rPr>
          <w:rFonts w:ascii="宋体" w:hAnsi="宋体"/>
          <w:bCs/>
          <w:highlight w:val="none"/>
        </w:rPr>
        <w:t>15.1</w:t>
      </w:r>
      <w:r>
        <w:rPr>
          <w:rFonts w:hint="eastAsia" w:ascii="宋体" w:hAnsi="宋体"/>
          <w:bCs/>
          <w:highlight w:val="none"/>
        </w:rPr>
        <w:t>规定，全部或部分终止合同之后，甲方可以全部或部分购买类似货物或服务，乙方应承担甲方购买类似货物或服务而产生的额外支出。部分终止合同的，乙方应继续履行合同中未终止的部分。</w:t>
      </w:r>
    </w:p>
    <w:p>
      <w:pPr>
        <w:pStyle w:val="19"/>
        <w:spacing w:line="480" w:lineRule="exact"/>
        <w:rPr>
          <w:rFonts w:ascii="宋体"/>
          <w:bCs/>
          <w:highlight w:val="none"/>
        </w:rPr>
      </w:pPr>
      <w:r>
        <w:rPr>
          <w:rFonts w:ascii="宋体" w:hAnsi="宋体"/>
          <w:bCs/>
          <w:highlight w:val="none"/>
        </w:rPr>
        <w:t>15</w:t>
      </w:r>
      <w:r>
        <w:rPr>
          <w:rFonts w:hint="eastAsia" w:ascii="宋体" w:hAnsi="宋体"/>
          <w:bCs/>
          <w:highlight w:val="none"/>
        </w:rPr>
        <w:t>、破产终止合同</w:t>
      </w:r>
    </w:p>
    <w:p>
      <w:pPr>
        <w:pStyle w:val="19"/>
        <w:spacing w:line="480" w:lineRule="exact"/>
        <w:ind w:left="1"/>
        <w:rPr>
          <w:rFonts w:ascii="宋体"/>
          <w:bCs/>
          <w:highlight w:val="none"/>
        </w:rPr>
      </w:pPr>
      <w:r>
        <w:rPr>
          <w:rFonts w:ascii="宋体" w:hAnsi="宋体"/>
          <w:bCs/>
          <w:highlight w:val="none"/>
        </w:rPr>
        <w:t xml:space="preserve">15.1 </w:t>
      </w:r>
      <w:r>
        <w:rPr>
          <w:rFonts w:hint="eastAsia" w:ascii="宋体" w:hAnsi="宋体"/>
          <w:bCs/>
          <w:highlight w:val="none"/>
        </w:rPr>
        <w:t>如果乙方破产或无清偿能力时，甲方可在任何时候以书面形式通知乙方终止合同，而不给乙方补偿。该合同的终止将不损害或不影响甲方已经采取或将要采取的任何行动或补救措施的权利。</w:t>
      </w:r>
    </w:p>
    <w:p>
      <w:pPr>
        <w:pStyle w:val="19"/>
        <w:spacing w:line="480" w:lineRule="exact"/>
        <w:rPr>
          <w:rFonts w:ascii="宋体"/>
          <w:bCs/>
          <w:highlight w:val="none"/>
        </w:rPr>
      </w:pPr>
      <w:r>
        <w:rPr>
          <w:rFonts w:ascii="宋体" w:hAnsi="宋体"/>
          <w:bCs/>
          <w:highlight w:val="none"/>
        </w:rPr>
        <w:t>16</w:t>
      </w:r>
      <w:r>
        <w:rPr>
          <w:rFonts w:hint="eastAsia" w:ascii="宋体" w:hAnsi="宋体"/>
          <w:bCs/>
          <w:highlight w:val="none"/>
        </w:rPr>
        <w:t>、不可抗力</w:t>
      </w:r>
    </w:p>
    <w:p>
      <w:pPr>
        <w:pStyle w:val="19"/>
        <w:spacing w:line="480" w:lineRule="exact"/>
        <w:ind w:left="1"/>
        <w:rPr>
          <w:rFonts w:ascii="宋体"/>
          <w:bCs/>
          <w:highlight w:val="none"/>
        </w:rPr>
      </w:pPr>
      <w:bookmarkStart w:id="133" w:name="_Toc487900365"/>
      <w:r>
        <w:rPr>
          <w:rFonts w:ascii="宋体" w:hAnsi="宋体"/>
          <w:bCs/>
          <w:highlight w:val="none"/>
        </w:rPr>
        <w:t xml:space="preserve">16.1 </w:t>
      </w:r>
      <w:r>
        <w:rPr>
          <w:rFonts w:hint="eastAsia" w:ascii="宋体" w:hAnsi="宋体"/>
          <w:bCs/>
          <w:highlight w:val="none"/>
        </w:rPr>
        <w:t>甲乙双方因不可抗力而导致合同实施延误或不能履行合同义务，不承担误期赔偿或不能履行合同义务的责任。不可抗力事件系指买卖双方在缔结合同时所不能遇见的，并且它的发生及其后果是无法避免和无法克服的时间，诸如战争、严重火灾、洪水、台风、地震等。</w:t>
      </w:r>
    </w:p>
    <w:p>
      <w:pPr>
        <w:pStyle w:val="19"/>
        <w:spacing w:line="420" w:lineRule="exact"/>
        <w:ind w:left="1"/>
        <w:rPr>
          <w:rFonts w:ascii="宋体"/>
          <w:bCs/>
          <w:highlight w:val="none"/>
        </w:rPr>
      </w:pPr>
      <w:r>
        <w:rPr>
          <w:rFonts w:ascii="宋体" w:hAnsi="宋体"/>
          <w:bCs/>
          <w:highlight w:val="none"/>
        </w:rPr>
        <w:t xml:space="preserve">16.2 </w:t>
      </w:r>
      <w:r>
        <w:rPr>
          <w:rFonts w:hint="eastAsia" w:ascii="宋体" w:hAnsi="宋体"/>
          <w:bCs/>
          <w:highlight w:val="none"/>
        </w:rPr>
        <w:t>在不可抗力事件发生后，当事方应尽快以书面形式通知对方，并于事件发生后</w:t>
      </w:r>
      <w:r>
        <w:rPr>
          <w:rFonts w:ascii="宋体" w:hAnsi="宋体"/>
          <w:bCs/>
          <w:highlight w:val="none"/>
        </w:rPr>
        <w:t>15</w:t>
      </w:r>
      <w:r>
        <w:rPr>
          <w:rFonts w:hint="eastAsia" w:ascii="宋体" w:hAnsi="宋体"/>
          <w:bCs/>
          <w:highlight w:val="none"/>
        </w:rPr>
        <w:t>日内将有关部门出具的证明文件送对方审阅确认。</w:t>
      </w:r>
    </w:p>
    <w:p>
      <w:pPr>
        <w:pStyle w:val="19"/>
        <w:spacing w:line="420" w:lineRule="exact"/>
        <w:ind w:left="763" w:hanging="763" w:hangingChars="318"/>
        <w:rPr>
          <w:rFonts w:ascii="宋体"/>
          <w:bCs/>
          <w:highlight w:val="none"/>
        </w:rPr>
      </w:pPr>
      <w:r>
        <w:rPr>
          <w:rFonts w:ascii="宋体" w:hAnsi="宋体"/>
          <w:bCs/>
          <w:highlight w:val="none"/>
        </w:rPr>
        <w:t xml:space="preserve">16.3 </w:t>
      </w:r>
      <w:r>
        <w:rPr>
          <w:rFonts w:hint="eastAsia" w:ascii="宋体" w:hAnsi="宋体"/>
          <w:bCs/>
          <w:highlight w:val="none"/>
        </w:rPr>
        <w:t>双方应通过友好协商在合理的时间内达成进一步履行合同的协议。</w:t>
      </w:r>
    </w:p>
    <w:p>
      <w:pPr>
        <w:pStyle w:val="19"/>
        <w:spacing w:line="420" w:lineRule="exact"/>
        <w:rPr>
          <w:rFonts w:ascii="宋体"/>
          <w:bCs/>
          <w:highlight w:val="none"/>
        </w:rPr>
      </w:pPr>
      <w:r>
        <w:rPr>
          <w:rFonts w:ascii="宋体" w:hAnsi="宋体"/>
          <w:bCs/>
          <w:highlight w:val="none"/>
        </w:rPr>
        <w:t xml:space="preserve">17   </w:t>
      </w:r>
      <w:r>
        <w:rPr>
          <w:rFonts w:hint="eastAsia" w:ascii="宋体" w:hAnsi="宋体"/>
          <w:bCs/>
          <w:highlight w:val="none"/>
        </w:rPr>
        <w:t>税费</w:t>
      </w:r>
      <w:bookmarkEnd w:id="133"/>
    </w:p>
    <w:p>
      <w:pPr>
        <w:pStyle w:val="19"/>
        <w:spacing w:line="420" w:lineRule="exact"/>
        <w:ind w:left="763" w:hanging="763" w:hangingChars="318"/>
        <w:rPr>
          <w:rFonts w:ascii="宋体"/>
          <w:bCs/>
          <w:highlight w:val="none"/>
        </w:rPr>
      </w:pPr>
      <w:r>
        <w:rPr>
          <w:rFonts w:ascii="宋体" w:hAnsi="宋体"/>
          <w:bCs/>
          <w:highlight w:val="none"/>
        </w:rPr>
        <w:t xml:space="preserve">17.1 </w:t>
      </w:r>
      <w:r>
        <w:rPr>
          <w:rFonts w:hint="eastAsia" w:ascii="宋体" w:hAnsi="宋体"/>
          <w:bCs/>
          <w:highlight w:val="none"/>
        </w:rPr>
        <w:t>与本合同有关的一切税费均适用中华人民共和国法律的相关规定。</w:t>
      </w:r>
    </w:p>
    <w:p>
      <w:pPr>
        <w:pStyle w:val="19"/>
        <w:spacing w:line="420" w:lineRule="exact"/>
        <w:rPr>
          <w:rFonts w:ascii="宋体"/>
          <w:bCs/>
          <w:highlight w:val="none"/>
        </w:rPr>
      </w:pPr>
      <w:bookmarkStart w:id="134" w:name="_Toc487900369"/>
      <w:r>
        <w:rPr>
          <w:rFonts w:ascii="宋体" w:hAnsi="宋体"/>
          <w:bCs/>
          <w:highlight w:val="none"/>
        </w:rPr>
        <w:t xml:space="preserve">18   </w:t>
      </w:r>
      <w:r>
        <w:rPr>
          <w:rFonts w:hint="eastAsia" w:ascii="宋体" w:hAnsi="宋体"/>
          <w:bCs/>
          <w:highlight w:val="none"/>
        </w:rPr>
        <w:t>转让和分包</w:t>
      </w:r>
      <w:bookmarkEnd w:id="134"/>
    </w:p>
    <w:p>
      <w:pPr>
        <w:pStyle w:val="19"/>
        <w:spacing w:line="420" w:lineRule="exact"/>
        <w:ind w:left="763" w:hanging="763" w:hangingChars="318"/>
        <w:rPr>
          <w:rFonts w:ascii="宋体"/>
          <w:bCs/>
          <w:highlight w:val="none"/>
        </w:rPr>
      </w:pPr>
      <w:r>
        <w:rPr>
          <w:rFonts w:hint="eastAsia" w:ascii="宋体" w:hAnsi="宋体"/>
          <w:bCs/>
          <w:highlight w:val="none"/>
        </w:rPr>
        <w:t>未经允许，本招标采购项目不得转让。</w:t>
      </w:r>
    </w:p>
    <w:p>
      <w:pPr>
        <w:pStyle w:val="19"/>
        <w:spacing w:line="420" w:lineRule="exact"/>
        <w:rPr>
          <w:rFonts w:ascii="宋体"/>
          <w:bCs/>
          <w:highlight w:val="none"/>
        </w:rPr>
      </w:pPr>
      <w:bookmarkStart w:id="135" w:name="_Toc487900371"/>
      <w:r>
        <w:rPr>
          <w:rFonts w:ascii="宋体" w:hAnsi="宋体"/>
          <w:bCs/>
          <w:highlight w:val="none"/>
        </w:rPr>
        <w:t xml:space="preserve">19   </w:t>
      </w:r>
      <w:r>
        <w:rPr>
          <w:rFonts w:hint="eastAsia" w:ascii="宋体" w:hAnsi="宋体"/>
          <w:bCs/>
          <w:highlight w:val="none"/>
        </w:rPr>
        <w:t>通知</w:t>
      </w:r>
      <w:bookmarkEnd w:id="135"/>
    </w:p>
    <w:p>
      <w:pPr>
        <w:pStyle w:val="19"/>
        <w:spacing w:line="420" w:lineRule="exact"/>
        <w:ind w:left="1"/>
        <w:rPr>
          <w:rFonts w:ascii="宋体"/>
          <w:bCs/>
          <w:highlight w:val="none"/>
        </w:rPr>
      </w:pPr>
      <w:r>
        <w:rPr>
          <w:rFonts w:hint="eastAsia" w:ascii="宋体" w:hAnsi="宋体"/>
          <w:bCs/>
          <w:highlight w:val="none"/>
        </w:rPr>
        <w:t>合同任何一方给另一方的通知，都应以书面形式发送，而另一方也应以书面形式确认并发送到对方明确的地址。</w:t>
      </w:r>
    </w:p>
    <w:p>
      <w:pPr>
        <w:pStyle w:val="19"/>
        <w:spacing w:line="420" w:lineRule="exact"/>
        <w:rPr>
          <w:rFonts w:ascii="宋体"/>
          <w:bCs/>
          <w:highlight w:val="none"/>
        </w:rPr>
      </w:pPr>
      <w:r>
        <w:rPr>
          <w:rFonts w:ascii="宋体" w:hAnsi="宋体"/>
          <w:bCs/>
          <w:highlight w:val="none"/>
        </w:rPr>
        <w:t>20</w:t>
      </w:r>
      <w:r>
        <w:rPr>
          <w:rFonts w:hint="eastAsia" w:ascii="宋体" w:hAnsi="宋体"/>
          <w:bCs/>
          <w:highlight w:val="none"/>
        </w:rPr>
        <w:t>、争议的解决</w:t>
      </w:r>
    </w:p>
    <w:p>
      <w:pPr>
        <w:pStyle w:val="19"/>
        <w:spacing w:line="420" w:lineRule="exact"/>
        <w:ind w:firstLine="480" w:firstLineChars="200"/>
        <w:rPr>
          <w:rFonts w:ascii="宋体"/>
          <w:bCs/>
          <w:highlight w:val="none"/>
        </w:rPr>
      </w:pPr>
      <w:r>
        <w:rPr>
          <w:rFonts w:hint="eastAsia" w:ascii="宋体" w:hAnsi="宋体"/>
          <w:bCs/>
          <w:highlight w:val="none"/>
        </w:rPr>
        <w:t>合同发生纠纷时，双方应协商解决，协商不成可以提交济南仲裁委员会仲裁。</w:t>
      </w:r>
    </w:p>
    <w:p>
      <w:pPr>
        <w:pStyle w:val="19"/>
        <w:spacing w:line="420" w:lineRule="exact"/>
        <w:rPr>
          <w:rFonts w:ascii="宋体"/>
          <w:bCs/>
          <w:highlight w:val="none"/>
        </w:rPr>
      </w:pPr>
      <w:r>
        <w:rPr>
          <w:rFonts w:ascii="宋体" w:hAnsi="宋体"/>
          <w:bCs/>
          <w:highlight w:val="none"/>
        </w:rPr>
        <w:t>21</w:t>
      </w:r>
      <w:r>
        <w:rPr>
          <w:rFonts w:hint="eastAsia" w:ascii="宋体" w:hAnsi="宋体"/>
          <w:bCs/>
          <w:highlight w:val="none"/>
        </w:rPr>
        <w:t>、合同生效</w:t>
      </w:r>
    </w:p>
    <w:p>
      <w:pPr>
        <w:pStyle w:val="19"/>
        <w:spacing w:line="420" w:lineRule="exact"/>
        <w:ind w:left="703" w:leftChars="200" w:hanging="283" w:hangingChars="118"/>
        <w:rPr>
          <w:rFonts w:ascii="宋体"/>
          <w:bCs/>
          <w:highlight w:val="none"/>
        </w:rPr>
      </w:pPr>
      <w:r>
        <w:rPr>
          <w:rFonts w:hint="eastAsia" w:ascii="宋体" w:hAnsi="宋体"/>
          <w:bCs/>
          <w:highlight w:val="none"/>
        </w:rPr>
        <w:t>本合同甲乙双方签章后即生效。</w:t>
      </w:r>
    </w:p>
    <w:p>
      <w:pPr>
        <w:pStyle w:val="20"/>
        <w:tabs>
          <w:tab w:val="left" w:pos="0"/>
        </w:tabs>
        <w:spacing w:line="480" w:lineRule="exact"/>
        <w:ind w:left="0" w:leftChars="0" w:firstLine="0" w:firstLineChars="0"/>
        <w:jc w:val="center"/>
        <w:rPr>
          <w:rFonts w:ascii="宋体"/>
          <w:bCs/>
          <w:highlight w:val="none"/>
        </w:rPr>
      </w:pPr>
      <w:r>
        <w:rPr>
          <w:rFonts w:ascii="宋体"/>
          <w:bCs/>
          <w:highlight w:val="none"/>
        </w:rPr>
        <w:br w:type="page"/>
      </w:r>
    </w:p>
    <w:p>
      <w:pPr>
        <w:pStyle w:val="20"/>
        <w:tabs>
          <w:tab w:val="left" w:pos="0"/>
        </w:tabs>
        <w:spacing w:line="480" w:lineRule="exact"/>
        <w:ind w:left="0" w:leftChars="0" w:firstLine="0" w:firstLineChars="0"/>
        <w:jc w:val="center"/>
        <w:rPr>
          <w:rFonts w:ascii="宋体"/>
          <w:sz w:val="32"/>
          <w:szCs w:val="32"/>
          <w:highlight w:val="none"/>
        </w:rPr>
      </w:pPr>
      <w:r>
        <w:rPr>
          <w:rFonts w:hint="eastAsia" w:ascii="宋体" w:hAnsi="宋体"/>
          <w:sz w:val="32"/>
          <w:szCs w:val="32"/>
          <w:highlight w:val="none"/>
        </w:rPr>
        <w:t>第二节：合同格式</w:t>
      </w:r>
    </w:p>
    <w:p>
      <w:pPr>
        <w:spacing w:line="480" w:lineRule="exact"/>
        <w:jc w:val="center"/>
        <w:rPr>
          <w:rFonts w:ascii="宋体"/>
          <w:bCs/>
          <w:sz w:val="24"/>
          <w:highlight w:val="none"/>
        </w:rPr>
      </w:pPr>
    </w:p>
    <w:p>
      <w:pPr>
        <w:spacing w:line="480" w:lineRule="exact"/>
        <w:jc w:val="center"/>
        <w:rPr>
          <w:rFonts w:ascii="宋体"/>
          <w:bCs/>
          <w:sz w:val="24"/>
          <w:highlight w:val="none"/>
        </w:rPr>
      </w:pPr>
    </w:p>
    <w:p>
      <w:pPr>
        <w:snapToGrid w:val="0"/>
        <w:spacing w:before="290" w:beforeLines="100" w:line="480" w:lineRule="exact"/>
        <w:jc w:val="center"/>
        <w:rPr>
          <w:rFonts w:ascii="宋体"/>
          <w:b/>
          <w:sz w:val="72"/>
          <w:szCs w:val="72"/>
          <w:highlight w:val="none"/>
        </w:rPr>
      </w:pPr>
      <w:r>
        <w:rPr>
          <w:rFonts w:hint="eastAsia" w:ascii="宋体" w:hAnsi="宋体"/>
          <w:b/>
          <w:sz w:val="72"/>
          <w:szCs w:val="72"/>
          <w:highlight w:val="none"/>
        </w:rPr>
        <w:t>采购合同</w:t>
      </w:r>
    </w:p>
    <w:p>
      <w:pPr>
        <w:snapToGrid w:val="0"/>
        <w:spacing w:line="480" w:lineRule="exact"/>
        <w:jc w:val="center"/>
        <w:rPr>
          <w:rFonts w:ascii="宋体"/>
          <w:sz w:val="32"/>
          <w:szCs w:val="32"/>
          <w:highlight w:val="none"/>
        </w:rPr>
      </w:pPr>
    </w:p>
    <w:p>
      <w:pPr>
        <w:snapToGrid w:val="0"/>
        <w:spacing w:line="480" w:lineRule="exact"/>
        <w:jc w:val="center"/>
        <w:rPr>
          <w:rFonts w:ascii="宋体"/>
          <w:sz w:val="32"/>
          <w:szCs w:val="32"/>
          <w:highlight w:val="none"/>
        </w:rPr>
      </w:pPr>
    </w:p>
    <w:p>
      <w:pPr>
        <w:snapToGrid w:val="0"/>
        <w:spacing w:line="480" w:lineRule="exact"/>
        <w:jc w:val="center"/>
        <w:rPr>
          <w:rFonts w:ascii="宋体"/>
          <w:b/>
          <w:sz w:val="30"/>
          <w:szCs w:val="30"/>
          <w:highlight w:val="none"/>
        </w:rPr>
      </w:pPr>
    </w:p>
    <w:p>
      <w:pPr>
        <w:snapToGrid w:val="0"/>
        <w:spacing w:line="480" w:lineRule="exact"/>
        <w:jc w:val="center"/>
        <w:rPr>
          <w:rFonts w:ascii="宋体"/>
          <w:b/>
          <w:sz w:val="30"/>
          <w:szCs w:val="30"/>
          <w:highlight w:val="none"/>
        </w:rPr>
      </w:pPr>
    </w:p>
    <w:p>
      <w:pPr>
        <w:snapToGrid w:val="0"/>
        <w:spacing w:line="480" w:lineRule="exact"/>
        <w:jc w:val="center"/>
        <w:rPr>
          <w:rFonts w:ascii="宋体"/>
          <w:b/>
          <w:sz w:val="30"/>
          <w:szCs w:val="30"/>
          <w:highlight w:val="none"/>
        </w:rPr>
      </w:pPr>
      <w:r>
        <w:rPr>
          <w:rFonts w:ascii="宋体"/>
          <w:b/>
          <w:sz w:val="30"/>
          <w:szCs w:val="30"/>
          <w:highlight w:val="none"/>
        </w:rPr>
        <w:tab/>
      </w:r>
    </w:p>
    <w:p>
      <w:pPr>
        <w:snapToGrid w:val="0"/>
        <w:spacing w:line="480" w:lineRule="exact"/>
        <w:ind w:firstLine="1606" w:firstLineChars="500"/>
        <w:rPr>
          <w:rFonts w:ascii="宋体"/>
          <w:b/>
          <w:sz w:val="32"/>
          <w:szCs w:val="32"/>
          <w:highlight w:val="none"/>
          <w:u w:val="single"/>
        </w:rPr>
      </w:pPr>
      <w:r>
        <w:rPr>
          <w:rFonts w:hint="eastAsia" w:ascii="宋体" w:hAnsi="宋体"/>
          <w:b/>
          <w:sz w:val="32"/>
          <w:szCs w:val="32"/>
          <w:highlight w:val="none"/>
        </w:rPr>
        <w:t>项目名称</w:t>
      </w:r>
      <w:r>
        <w:rPr>
          <w:rFonts w:ascii="宋体" w:hAnsi="宋体"/>
          <w:b/>
          <w:sz w:val="32"/>
          <w:szCs w:val="32"/>
          <w:highlight w:val="none"/>
        </w:rPr>
        <w:t>:</w:t>
      </w:r>
    </w:p>
    <w:p>
      <w:pPr>
        <w:snapToGrid w:val="0"/>
        <w:spacing w:line="480" w:lineRule="exact"/>
        <w:jc w:val="center"/>
        <w:rPr>
          <w:rFonts w:ascii="宋体"/>
          <w:b/>
          <w:sz w:val="32"/>
          <w:szCs w:val="32"/>
          <w:highlight w:val="none"/>
          <w:u w:val="single"/>
        </w:rPr>
      </w:pPr>
    </w:p>
    <w:p>
      <w:pPr>
        <w:snapToGrid w:val="0"/>
        <w:spacing w:line="480" w:lineRule="exact"/>
        <w:ind w:firstLine="1606" w:firstLineChars="500"/>
        <w:rPr>
          <w:rFonts w:ascii="宋体"/>
          <w:sz w:val="32"/>
          <w:szCs w:val="32"/>
          <w:highlight w:val="none"/>
          <w:u w:val="single"/>
        </w:rPr>
      </w:pPr>
      <w:r>
        <w:rPr>
          <w:rFonts w:hint="eastAsia" w:ascii="宋体" w:hAnsi="宋体"/>
          <w:b/>
          <w:sz w:val="32"/>
          <w:szCs w:val="32"/>
          <w:highlight w:val="none"/>
        </w:rPr>
        <w:t>招标编号</w:t>
      </w:r>
      <w:r>
        <w:rPr>
          <w:rFonts w:ascii="宋体" w:hAnsi="宋体"/>
          <w:b/>
          <w:sz w:val="32"/>
          <w:szCs w:val="32"/>
          <w:highlight w:val="none"/>
        </w:rPr>
        <w:t>:</w:t>
      </w:r>
    </w:p>
    <w:p>
      <w:pPr>
        <w:snapToGrid w:val="0"/>
        <w:spacing w:line="480" w:lineRule="exact"/>
        <w:jc w:val="center"/>
        <w:rPr>
          <w:rFonts w:ascii="宋体"/>
          <w:sz w:val="32"/>
          <w:szCs w:val="32"/>
          <w:highlight w:val="none"/>
        </w:rPr>
      </w:pPr>
    </w:p>
    <w:p>
      <w:pPr>
        <w:snapToGrid w:val="0"/>
        <w:spacing w:line="480" w:lineRule="exact"/>
        <w:jc w:val="center"/>
        <w:rPr>
          <w:rFonts w:ascii="宋体"/>
          <w:b/>
          <w:sz w:val="32"/>
          <w:szCs w:val="32"/>
          <w:highlight w:val="none"/>
        </w:rPr>
      </w:pPr>
    </w:p>
    <w:p>
      <w:pPr>
        <w:snapToGrid w:val="0"/>
        <w:spacing w:line="480" w:lineRule="exact"/>
        <w:jc w:val="center"/>
        <w:rPr>
          <w:rFonts w:ascii="宋体"/>
          <w:b/>
          <w:sz w:val="36"/>
          <w:highlight w:val="none"/>
        </w:rPr>
      </w:pPr>
    </w:p>
    <w:p>
      <w:pPr>
        <w:snapToGrid w:val="0"/>
        <w:spacing w:line="480" w:lineRule="exact"/>
        <w:jc w:val="center"/>
        <w:rPr>
          <w:rFonts w:ascii="宋体"/>
          <w:b/>
          <w:sz w:val="36"/>
          <w:highlight w:val="none"/>
        </w:rPr>
      </w:pPr>
    </w:p>
    <w:p>
      <w:pPr>
        <w:snapToGrid w:val="0"/>
        <w:spacing w:line="480" w:lineRule="exact"/>
        <w:jc w:val="center"/>
        <w:rPr>
          <w:rFonts w:ascii="宋体"/>
          <w:b/>
          <w:sz w:val="36"/>
          <w:highlight w:val="none"/>
        </w:rPr>
      </w:pPr>
    </w:p>
    <w:p>
      <w:pPr>
        <w:snapToGrid w:val="0"/>
        <w:spacing w:line="480" w:lineRule="exact"/>
        <w:jc w:val="center"/>
        <w:rPr>
          <w:rFonts w:ascii="宋体"/>
          <w:b/>
          <w:sz w:val="36"/>
          <w:highlight w:val="none"/>
        </w:rPr>
      </w:pPr>
    </w:p>
    <w:p>
      <w:pPr>
        <w:snapToGrid w:val="0"/>
        <w:spacing w:line="480" w:lineRule="exact"/>
        <w:jc w:val="center"/>
        <w:rPr>
          <w:rFonts w:ascii="宋体"/>
          <w:b/>
          <w:sz w:val="36"/>
          <w:highlight w:val="none"/>
        </w:rPr>
      </w:pPr>
    </w:p>
    <w:p>
      <w:pPr>
        <w:snapToGrid w:val="0"/>
        <w:spacing w:line="480" w:lineRule="exact"/>
        <w:jc w:val="center"/>
        <w:rPr>
          <w:rFonts w:ascii="宋体"/>
          <w:b/>
          <w:sz w:val="36"/>
          <w:highlight w:val="none"/>
        </w:rPr>
      </w:pPr>
    </w:p>
    <w:p>
      <w:pPr>
        <w:snapToGrid w:val="0"/>
        <w:spacing w:line="480" w:lineRule="exact"/>
        <w:jc w:val="center"/>
        <w:rPr>
          <w:rFonts w:ascii="宋体"/>
          <w:b/>
          <w:sz w:val="36"/>
          <w:highlight w:val="none"/>
        </w:rPr>
      </w:pPr>
    </w:p>
    <w:p>
      <w:pPr>
        <w:snapToGrid w:val="0"/>
        <w:spacing w:line="480" w:lineRule="exact"/>
        <w:jc w:val="center"/>
        <w:rPr>
          <w:rFonts w:ascii="宋体"/>
          <w:b/>
          <w:sz w:val="36"/>
          <w:highlight w:val="none"/>
        </w:rPr>
      </w:pPr>
    </w:p>
    <w:p>
      <w:pPr>
        <w:snapToGrid w:val="0"/>
        <w:spacing w:line="480" w:lineRule="exact"/>
        <w:ind w:firstLine="1606" w:firstLineChars="500"/>
        <w:rPr>
          <w:rFonts w:ascii="宋体"/>
          <w:b/>
          <w:sz w:val="32"/>
          <w:szCs w:val="32"/>
          <w:highlight w:val="none"/>
        </w:rPr>
      </w:pPr>
      <w:r>
        <w:rPr>
          <w:rFonts w:hint="eastAsia" w:ascii="宋体" w:hAnsi="宋体"/>
          <w:b/>
          <w:sz w:val="32"/>
          <w:szCs w:val="32"/>
          <w:highlight w:val="none"/>
        </w:rPr>
        <w:t>甲方</w:t>
      </w:r>
      <w:r>
        <w:rPr>
          <w:rFonts w:ascii="宋体" w:hAnsi="宋体"/>
          <w:b/>
          <w:sz w:val="32"/>
          <w:szCs w:val="32"/>
          <w:highlight w:val="none"/>
        </w:rPr>
        <w:t>:</w:t>
      </w:r>
    </w:p>
    <w:p>
      <w:pPr>
        <w:snapToGrid w:val="0"/>
        <w:spacing w:before="290" w:beforeLines="100" w:line="480" w:lineRule="exact"/>
        <w:ind w:firstLine="1606" w:firstLineChars="500"/>
        <w:rPr>
          <w:rFonts w:ascii="宋体"/>
          <w:b/>
          <w:sz w:val="32"/>
          <w:szCs w:val="32"/>
          <w:highlight w:val="none"/>
          <w:u w:val="single"/>
        </w:rPr>
      </w:pPr>
      <w:r>
        <w:rPr>
          <w:rFonts w:hint="eastAsia" w:ascii="宋体" w:hAnsi="宋体"/>
          <w:b/>
          <w:sz w:val="32"/>
          <w:szCs w:val="32"/>
          <w:highlight w:val="none"/>
        </w:rPr>
        <w:t>乙方</w:t>
      </w:r>
      <w:r>
        <w:rPr>
          <w:rFonts w:ascii="宋体" w:hAnsi="宋体"/>
          <w:b/>
          <w:sz w:val="32"/>
          <w:szCs w:val="32"/>
          <w:highlight w:val="none"/>
        </w:rPr>
        <w:t>:</w:t>
      </w:r>
    </w:p>
    <w:p>
      <w:pPr>
        <w:snapToGrid w:val="0"/>
        <w:spacing w:before="290" w:beforeLines="100" w:line="480" w:lineRule="exact"/>
        <w:ind w:firstLine="1606" w:firstLineChars="500"/>
        <w:rPr>
          <w:rFonts w:ascii="宋体"/>
          <w:b/>
          <w:sz w:val="32"/>
          <w:szCs w:val="32"/>
          <w:highlight w:val="none"/>
          <w:u w:val="single"/>
        </w:rPr>
      </w:pPr>
      <w:r>
        <w:rPr>
          <w:rFonts w:hint="eastAsia" w:ascii="宋体" w:hAnsi="宋体"/>
          <w:b/>
          <w:sz w:val="32"/>
          <w:szCs w:val="32"/>
          <w:highlight w:val="none"/>
        </w:rPr>
        <w:t>日期</w:t>
      </w:r>
      <w:r>
        <w:rPr>
          <w:rFonts w:ascii="宋体" w:hAnsi="宋体"/>
          <w:b/>
          <w:sz w:val="32"/>
          <w:szCs w:val="32"/>
          <w:highlight w:val="none"/>
        </w:rPr>
        <w:t>:</w:t>
      </w:r>
    </w:p>
    <w:p>
      <w:pPr>
        <w:widowControl/>
        <w:ind w:firstLine="643" w:firstLineChars="200"/>
        <w:jc w:val="left"/>
        <w:rPr>
          <w:rFonts w:ascii="宋体"/>
          <w:sz w:val="24"/>
          <w:highlight w:val="none"/>
        </w:rPr>
      </w:pPr>
      <w:r>
        <w:rPr>
          <w:rFonts w:ascii="宋体"/>
          <w:b/>
          <w:sz w:val="32"/>
          <w:szCs w:val="32"/>
          <w:highlight w:val="none"/>
          <w:u w:val="single"/>
        </w:rPr>
        <w:br w:type="page"/>
      </w:r>
      <w:r>
        <w:rPr>
          <w:rFonts w:hint="eastAsia" w:ascii="宋体" w:hAnsi="宋体"/>
          <w:sz w:val="24"/>
          <w:highlight w:val="none"/>
        </w:rPr>
        <w:t>（甲方）所需</w:t>
      </w:r>
      <w:r>
        <w:rPr>
          <w:rFonts w:ascii="宋体" w:hAnsi="宋体"/>
          <w:sz w:val="24"/>
          <w:highlight w:val="none"/>
        </w:rPr>
        <w:t xml:space="preserve"> (</w:t>
      </w:r>
      <w:r>
        <w:rPr>
          <w:rFonts w:hint="eastAsia" w:ascii="宋体" w:hAnsi="宋体"/>
          <w:sz w:val="24"/>
          <w:highlight w:val="none"/>
        </w:rPr>
        <w:t>项目名称</w:t>
      </w:r>
      <w:r>
        <w:rPr>
          <w:rFonts w:ascii="宋体" w:hAnsi="宋体"/>
          <w:sz w:val="24"/>
          <w:highlight w:val="none"/>
        </w:rPr>
        <w:t>)</w:t>
      </w:r>
      <w:r>
        <w:rPr>
          <w:rFonts w:hint="eastAsia" w:ascii="宋体" w:hAnsi="宋体"/>
          <w:sz w:val="24"/>
          <w:highlight w:val="none"/>
        </w:rPr>
        <w:t>经（代理机构名称）以招标文件在国内以公开招标方式进行采购。经评标委员会确定（乙方）为中标人。甲、乙双方根据《中华人民共和国合同法》、《中华人民共和国政府采购法》和其他法律、法规的规定，并按照公正、平等、自愿、诚实信用的原则，同意按照以下条款和条件，签署本合同。</w:t>
      </w:r>
    </w:p>
    <w:p>
      <w:pPr>
        <w:snapToGrid w:val="0"/>
        <w:spacing w:line="480" w:lineRule="exact"/>
        <w:ind w:firstLine="383" w:firstLineChars="159"/>
        <w:outlineLvl w:val="0"/>
        <w:rPr>
          <w:rFonts w:ascii="宋体"/>
          <w:b/>
          <w:bCs/>
          <w:sz w:val="24"/>
          <w:highlight w:val="none"/>
        </w:rPr>
      </w:pPr>
      <w:bookmarkStart w:id="136" w:name="_Toc15866"/>
      <w:bookmarkStart w:id="137" w:name="_Toc27021"/>
      <w:bookmarkStart w:id="138" w:name="_Toc15550"/>
      <w:r>
        <w:rPr>
          <w:rFonts w:hint="eastAsia" w:ascii="宋体" w:hAnsi="宋体"/>
          <w:b/>
          <w:bCs/>
          <w:sz w:val="24"/>
          <w:highlight w:val="none"/>
        </w:rPr>
        <w:t>一、本合同由合同文本和下列文件组成</w:t>
      </w:r>
      <w:bookmarkEnd w:id="136"/>
      <w:bookmarkEnd w:id="137"/>
      <w:bookmarkEnd w:id="138"/>
    </w:p>
    <w:p>
      <w:pPr>
        <w:snapToGrid w:val="0"/>
        <w:spacing w:line="480" w:lineRule="exact"/>
        <w:ind w:firstLine="480"/>
        <w:rPr>
          <w:rFonts w:ascii="宋体"/>
          <w:sz w:val="24"/>
          <w:highlight w:val="none"/>
        </w:rPr>
      </w:pPr>
      <w:r>
        <w:rPr>
          <w:rFonts w:ascii="宋体" w:hAnsi="宋体"/>
          <w:sz w:val="24"/>
          <w:highlight w:val="none"/>
        </w:rPr>
        <w:t>1</w:t>
      </w:r>
      <w:r>
        <w:rPr>
          <w:rFonts w:hint="eastAsia" w:ascii="宋体" w:hAnsi="宋体"/>
          <w:sz w:val="24"/>
          <w:highlight w:val="none"/>
        </w:rPr>
        <w:t>、合同一般条款</w:t>
      </w:r>
    </w:p>
    <w:p>
      <w:pPr>
        <w:snapToGrid w:val="0"/>
        <w:spacing w:line="480" w:lineRule="exact"/>
        <w:ind w:firstLine="480"/>
        <w:rPr>
          <w:rFonts w:ascii="宋体"/>
          <w:sz w:val="24"/>
          <w:highlight w:val="none"/>
        </w:rPr>
      </w:pPr>
      <w:r>
        <w:rPr>
          <w:rFonts w:ascii="宋体" w:hAnsi="宋体"/>
          <w:sz w:val="24"/>
          <w:highlight w:val="none"/>
        </w:rPr>
        <w:t>2</w:t>
      </w:r>
      <w:r>
        <w:rPr>
          <w:rFonts w:hint="eastAsia" w:ascii="宋体" w:hAnsi="宋体"/>
          <w:sz w:val="24"/>
          <w:highlight w:val="none"/>
        </w:rPr>
        <w:t>、合同特殊条款</w:t>
      </w:r>
    </w:p>
    <w:p>
      <w:pPr>
        <w:snapToGrid w:val="0"/>
        <w:spacing w:line="480" w:lineRule="exact"/>
        <w:ind w:firstLine="480"/>
        <w:rPr>
          <w:rFonts w:ascii="宋体"/>
          <w:sz w:val="24"/>
          <w:highlight w:val="none"/>
        </w:rPr>
      </w:pPr>
      <w:r>
        <w:rPr>
          <w:rFonts w:ascii="宋体" w:hAnsi="宋体"/>
          <w:sz w:val="24"/>
          <w:highlight w:val="none"/>
        </w:rPr>
        <w:t>3</w:t>
      </w:r>
      <w:r>
        <w:rPr>
          <w:rFonts w:hint="eastAsia" w:ascii="宋体" w:hAnsi="宋体"/>
          <w:sz w:val="24"/>
          <w:highlight w:val="none"/>
        </w:rPr>
        <w:t>、采购服务内容</w:t>
      </w:r>
    </w:p>
    <w:p>
      <w:pPr>
        <w:snapToGrid w:val="0"/>
        <w:spacing w:line="480" w:lineRule="exact"/>
        <w:ind w:firstLine="480"/>
        <w:rPr>
          <w:rFonts w:ascii="宋体"/>
          <w:sz w:val="24"/>
          <w:highlight w:val="none"/>
        </w:rPr>
      </w:pPr>
      <w:r>
        <w:rPr>
          <w:rFonts w:ascii="宋体" w:hAnsi="宋体"/>
          <w:sz w:val="24"/>
          <w:highlight w:val="none"/>
        </w:rPr>
        <w:t>4</w:t>
      </w:r>
      <w:r>
        <w:rPr>
          <w:rFonts w:hint="eastAsia" w:ascii="宋体" w:hAnsi="宋体"/>
          <w:sz w:val="24"/>
          <w:highlight w:val="none"/>
        </w:rPr>
        <w:t>、合同补充条款或说明</w:t>
      </w:r>
    </w:p>
    <w:p>
      <w:pPr>
        <w:snapToGrid w:val="0"/>
        <w:spacing w:line="480" w:lineRule="exact"/>
        <w:ind w:firstLine="382"/>
        <w:outlineLvl w:val="0"/>
        <w:rPr>
          <w:rFonts w:ascii="宋体"/>
          <w:b/>
          <w:bCs/>
          <w:sz w:val="24"/>
          <w:highlight w:val="none"/>
        </w:rPr>
      </w:pPr>
      <w:bookmarkStart w:id="139" w:name="_Toc9903"/>
      <w:bookmarkStart w:id="140" w:name="_Toc9153"/>
      <w:bookmarkStart w:id="141" w:name="_Toc16073"/>
      <w:r>
        <w:rPr>
          <w:rFonts w:hint="eastAsia" w:ascii="宋体" w:hAnsi="宋体"/>
          <w:b/>
          <w:bCs/>
          <w:sz w:val="24"/>
          <w:highlight w:val="none"/>
        </w:rPr>
        <w:t>二、货物的名称、数量</w:t>
      </w:r>
      <w:bookmarkEnd w:id="139"/>
      <w:bookmarkEnd w:id="140"/>
      <w:bookmarkEnd w:id="141"/>
    </w:p>
    <w:p>
      <w:pPr>
        <w:snapToGrid w:val="0"/>
        <w:spacing w:line="480" w:lineRule="exact"/>
        <w:ind w:firstLine="382"/>
        <w:outlineLvl w:val="0"/>
        <w:rPr>
          <w:rFonts w:ascii="宋体"/>
          <w:b/>
          <w:bCs/>
          <w:sz w:val="24"/>
          <w:highlight w:val="none"/>
          <w:u w:val="single"/>
        </w:rPr>
      </w:pPr>
    </w:p>
    <w:p>
      <w:pPr>
        <w:snapToGrid w:val="0"/>
        <w:spacing w:line="480" w:lineRule="exact"/>
        <w:ind w:left="380" w:leftChars="181"/>
        <w:rPr>
          <w:rFonts w:ascii="宋体"/>
          <w:sz w:val="24"/>
          <w:highlight w:val="none"/>
        </w:rPr>
      </w:pPr>
      <w:r>
        <w:rPr>
          <w:rFonts w:hint="eastAsia" w:ascii="宋体" w:hAnsi="宋体"/>
          <w:sz w:val="24"/>
          <w:highlight w:val="none"/>
        </w:rPr>
        <w:t>（后附详细清单）</w:t>
      </w:r>
    </w:p>
    <w:p>
      <w:pPr>
        <w:snapToGrid w:val="0"/>
        <w:spacing w:line="480" w:lineRule="exact"/>
        <w:ind w:firstLine="382"/>
        <w:outlineLvl w:val="0"/>
        <w:rPr>
          <w:rFonts w:ascii="宋体"/>
          <w:sz w:val="24"/>
          <w:highlight w:val="none"/>
        </w:rPr>
      </w:pPr>
      <w:bookmarkStart w:id="142" w:name="_Toc1690"/>
      <w:bookmarkStart w:id="143" w:name="_Toc4618"/>
      <w:bookmarkStart w:id="144" w:name="_Toc14263"/>
      <w:r>
        <w:rPr>
          <w:rFonts w:hint="eastAsia" w:ascii="宋体" w:hAnsi="宋体"/>
          <w:b/>
          <w:bCs/>
          <w:sz w:val="24"/>
          <w:highlight w:val="none"/>
        </w:rPr>
        <w:t>三、合同金额</w:t>
      </w:r>
      <w:bookmarkEnd w:id="142"/>
      <w:bookmarkEnd w:id="143"/>
      <w:bookmarkEnd w:id="144"/>
    </w:p>
    <w:p>
      <w:pPr>
        <w:snapToGrid w:val="0"/>
        <w:spacing w:line="480" w:lineRule="exact"/>
        <w:rPr>
          <w:rFonts w:ascii="宋体"/>
          <w:sz w:val="24"/>
          <w:highlight w:val="none"/>
        </w:rPr>
      </w:pPr>
      <w:r>
        <w:rPr>
          <w:rFonts w:hint="eastAsia" w:ascii="宋体" w:hAnsi="宋体"/>
          <w:sz w:val="24"/>
          <w:highlight w:val="none"/>
        </w:rPr>
        <w:t>合同总金额：</w:t>
      </w:r>
      <w:r>
        <w:rPr>
          <w:rFonts w:hint="eastAsia" w:ascii="宋体" w:hAnsi="宋体"/>
          <w:sz w:val="24"/>
          <w:highlight w:val="none"/>
          <w:u w:val="single"/>
        </w:rPr>
        <w:t>人民币</w:t>
      </w:r>
      <w:r>
        <w:rPr>
          <w:rFonts w:hint="eastAsia" w:ascii="宋体" w:hAnsi="宋体"/>
          <w:sz w:val="24"/>
          <w:highlight w:val="none"/>
        </w:rPr>
        <w:t>（大写）</w:t>
      </w:r>
    </w:p>
    <w:p>
      <w:pPr>
        <w:snapToGrid w:val="0"/>
        <w:spacing w:line="480" w:lineRule="exact"/>
        <w:ind w:firstLine="1440" w:firstLineChars="600"/>
        <w:rPr>
          <w:rFonts w:ascii="宋体"/>
          <w:sz w:val="24"/>
          <w:highlight w:val="none"/>
        </w:rPr>
      </w:pPr>
      <w:r>
        <w:rPr>
          <w:rFonts w:hint="eastAsia" w:ascii="宋体" w:hAnsi="宋体"/>
          <w:sz w:val="24"/>
          <w:highlight w:val="none"/>
          <w:u w:val="single"/>
        </w:rPr>
        <w:t>人民币</w:t>
      </w:r>
      <w:r>
        <w:rPr>
          <w:rFonts w:hint="eastAsia" w:ascii="宋体" w:hAnsi="宋体"/>
          <w:sz w:val="24"/>
          <w:highlight w:val="none"/>
        </w:rPr>
        <w:t>（小写）</w:t>
      </w:r>
    </w:p>
    <w:p>
      <w:pPr>
        <w:pStyle w:val="14"/>
        <w:snapToGrid w:val="0"/>
        <w:spacing w:line="480" w:lineRule="exact"/>
        <w:ind w:firstLine="960" w:firstLineChars="400"/>
        <w:rPr>
          <w:rFonts w:ascii="宋体"/>
          <w:sz w:val="24"/>
          <w:highlight w:val="none"/>
        </w:rPr>
      </w:pPr>
      <w:r>
        <w:rPr>
          <w:rFonts w:hint="eastAsia" w:ascii="宋体" w:hAnsi="宋体"/>
          <w:sz w:val="24"/>
          <w:highlight w:val="none"/>
        </w:rPr>
        <w:t>分项价格见中标货物清单</w:t>
      </w:r>
    </w:p>
    <w:p>
      <w:pPr>
        <w:snapToGrid w:val="0"/>
        <w:spacing w:line="480" w:lineRule="exact"/>
        <w:ind w:firstLine="482" w:firstLineChars="200"/>
        <w:outlineLvl w:val="0"/>
        <w:rPr>
          <w:rFonts w:ascii="宋体"/>
          <w:b/>
          <w:sz w:val="24"/>
          <w:highlight w:val="none"/>
        </w:rPr>
      </w:pPr>
      <w:bookmarkStart w:id="145" w:name="_Toc23604"/>
      <w:bookmarkStart w:id="146" w:name="_Toc19878"/>
      <w:bookmarkStart w:id="147" w:name="_Toc10675"/>
      <w:r>
        <w:rPr>
          <w:rFonts w:hint="eastAsia" w:ascii="宋体" w:hAnsi="宋体"/>
          <w:b/>
          <w:bCs/>
          <w:sz w:val="24"/>
          <w:highlight w:val="none"/>
        </w:rPr>
        <w:t>四、</w:t>
      </w:r>
      <w:bookmarkEnd w:id="145"/>
      <w:bookmarkEnd w:id="146"/>
      <w:bookmarkEnd w:id="147"/>
      <w:r>
        <w:rPr>
          <w:rFonts w:hint="eastAsia" w:ascii="宋体" w:hAnsi="宋体"/>
          <w:b/>
          <w:sz w:val="24"/>
          <w:highlight w:val="none"/>
        </w:rPr>
        <w:t>付款方式：</w:t>
      </w:r>
    </w:p>
    <w:p>
      <w:pPr>
        <w:tabs>
          <w:tab w:val="left" w:pos="764"/>
        </w:tabs>
        <w:snapToGrid w:val="0"/>
        <w:spacing w:line="480" w:lineRule="exact"/>
        <w:ind w:firstLine="476" w:firstLineChars="200"/>
        <w:rPr>
          <w:rFonts w:ascii="仿宋" w:hAnsi="仿宋" w:eastAsia="仿宋"/>
          <w:spacing w:val="-1"/>
          <w:sz w:val="28"/>
          <w:szCs w:val="28"/>
          <w:highlight w:val="none"/>
        </w:rPr>
      </w:pPr>
      <w:r>
        <w:rPr>
          <w:rFonts w:hint="eastAsia" w:ascii="宋体" w:hAnsi="宋体" w:eastAsia="宋体" w:cs="宋体"/>
          <w:spacing w:val="-1"/>
          <w:sz w:val="24"/>
          <w:szCs w:val="24"/>
          <w:highlight w:val="none"/>
        </w:rPr>
        <w:t>合同签订且由信息中心确认乙方技术人员入场后，乙方开具正规发票十五个工作日内，支付合同总金额20%；整体系统部署完成且硬件设备到货正常使用通过验收，乙方开具正规发票十五个工作日内，支付合同总金额70%；余款10%乙方履行完成一年免费维保期后付清</w:t>
      </w:r>
      <w:r>
        <w:rPr>
          <w:rFonts w:ascii="仿宋" w:hAnsi="仿宋" w:eastAsia="仿宋"/>
          <w:spacing w:val="-1"/>
          <w:sz w:val="28"/>
          <w:szCs w:val="28"/>
          <w:highlight w:val="none"/>
        </w:rPr>
        <w:t>。</w:t>
      </w:r>
    </w:p>
    <w:p>
      <w:pPr>
        <w:tabs>
          <w:tab w:val="left" w:pos="764"/>
        </w:tabs>
        <w:snapToGrid w:val="0"/>
        <w:spacing w:line="480" w:lineRule="exact"/>
        <w:ind w:firstLine="361" w:firstLineChars="150"/>
        <w:rPr>
          <w:rFonts w:ascii="宋体"/>
          <w:b/>
          <w:bCs/>
          <w:sz w:val="24"/>
          <w:highlight w:val="none"/>
        </w:rPr>
      </w:pPr>
      <w:r>
        <w:rPr>
          <w:rFonts w:hint="eastAsia" w:ascii="宋体" w:hAnsi="宋体"/>
          <w:b/>
          <w:bCs/>
          <w:sz w:val="24"/>
          <w:highlight w:val="none"/>
        </w:rPr>
        <w:t>五、交付时间、地点、验收方式</w:t>
      </w:r>
    </w:p>
    <w:p>
      <w:pPr>
        <w:snapToGrid w:val="0"/>
        <w:spacing w:line="480" w:lineRule="exact"/>
        <w:ind w:firstLine="480" w:firstLineChars="200"/>
        <w:rPr>
          <w:rFonts w:ascii="宋体"/>
          <w:sz w:val="24"/>
          <w:highlight w:val="none"/>
        </w:rPr>
      </w:pPr>
      <w:r>
        <w:rPr>
          <w:rFonts w:ascii="宋体" w:hAnsi="宋体"/>
          <w:sz w:val="24"/>
          <w:highlight w:val="none"/>
        </w:rPr>
        <w:t>1</w:t>
      </w:r>
      <w:r>
        <w:rPr>
          <w:rFonts w:hint="eastAsia" w:ascii="宋体" w:hAnsi="宋体"/>
          <w:sz w:val="24"/>
          <w:highlight w:val="none"/>
        </w:rPr>
        <w:t>、交付日期：合同生效之日起</w:t>
      </w:r>
      <w:r>
        <w:rPr>
          <w:sz w:val="24"/>
          <w:highlight w:val="none"/>
          <w:u w:val="single"/>
        </w:rPr>
        <w:t xml:space="preserve">            </w:t>
      </w:r>
      <w:r>
        <w:rPr>
          <w:rFonts w:hint="eastAsia" w:ascii="宋体" w:hAnsi="宋体"/>
          <w:sz w:val="24"/>
          <w:highlight w:val="none"/>
        </w:rPr>
        <w:t>日内交付。。</w:t>
      </w:r>
    </w:p>
    <w:p>
      <w:pPr>
        <w:tabs>
          <w:tab w:val="left" w:pos="955"/>
        </w:tabs>
        <w:snapToGrid w:val="0"/>
        <w:spacing w:line="480" w:lineRule="exact"/>
        <w:ind w:firstLine="480" w:firstLineChars="200"/>
        <w:rPr>
          <w:rFonts w:ascii="宋体"/>
          <w:sz w:val="24"/>
          <w:highlight w:val="none"/>
        </w:rPr>
      </w:pPr>
      <w:r>
        <w:rPr>
          <w:rFonts w:ascii="宋体" w:hAnsi="宋体"/>
          <w:sz w:val="24"/>
          <w:highlight w:val="none"/>
        </w:rPr>
        <w:t>2</w:t>
      </w:r>
      <w:r>
        <w:rPr>
          <w:rFonts w:hint="eastAsia" w:ascii="宋体" w:hAnsi="宋体"/>
          <w:sz w:val="24"/>
          <w:highlight w:val="none"/>
        </w:rPr>
        <w:t>、交货地点：甲方指定地点。</w:t>
      </w:r>
    </w:p>
    <w:p>
      <w:pPr>
        <w:tabs>
          <w:tab w:val="left" w:pos="955"/>
        </w:tabs>
        <w:snapToGrid w:val="0"/>
        <w:spacing w:line="480" w:lineRule="exact"/>
        <w:ind w:firstLine="480" w:firstLineChars="200"/>
        <w:rPr>
          <w:rFonts w:ascii="宋体"/>
          <w:sz w:val="24"/>
          <w:highlight w:val="none"/>
          <w:u w:val="single"/>
        </w:rPr>
      </w:pPr>
      <w:r>
        <w:rPr>
          <w:rFonts w:ascii="宋体" w:hAnsi="宋体"/>
          <w:sz w:val="24"/>
          <w:highlight w:val="none"/>
        </w:rPr>
        <w:t>3</w:t>
      </w:r>
      <w:r>
        <w:rPr>
          <w:rFonts w:hint="eastAsia" w:ascii="宋体" w:hAnsi="宋体"/>
          <w:sz w:val="24"/>
          <w:highlight w:val="none"/>
        </w:rPr>
        <w:t>、验收方式：。</w:t>
      </w:r>
    </w:p>
    <w:p>
      <w:pPr>
        <w:snapToGrid w:val="0"/>
        <w:spacing w:line="480" w:lineRule="exact"/>
        <w:ind w:left="380" w:leftChars="181" w:firstLine="2"/>
        <w:outlineLvl w:val="0"/>
        <w:rPr>
          <w:rFonts w:ascii="宋体"/>
          <w:b/>
          <w:bCs/>
          <w:sz w:val="24"/>
          <w:highlight w:val="none"/>
        </w:rPr>
      </w:pPr>
      <w:bookmarkStart w:id="148" w:name="_Toc28907"/>
      <w:bookmarkStart w:id="149" w:name="_Toc28569"/>
      <w:bookmarkStart w:id="150" w:name="_Toc12280"/>
      <w:r>
        <w:rPr>
          <w:rFonts w:hint="eastAsia" w:ascii="宋体" w:hAnsi="宋体"/>
          <w:b/>
          <w:bCs/>
          <w:sz w:val="24"/>
          <w:highlight w:val="none"/>
        </w:rPr>
        <w:t>六、履约保证金</w:t>
      </w:r>
      <w:bookmarkEnd w:id="148"/>
      <w:bookmarkEnd w:id="149"/>
      <w:bookmarkEnd w:id="150"/>
    </w:p>
    <w:p>
      <w:pPr>
        <w:snapToGrid w:val="0"/>
        <w:spacing w:line="480" w:lineRule="exact"/>
        <w:ind w:firstLine="840" w:firstLineChars="350"/>
        <w:rPr>
          <w:rFonts w:ascii="宋体"/>
          <w:sz w:val="24"/>
          <w:highlight w:val="none"/>
        </w:rPr>
      </w:pPr>
      <w:r>
        <w:rPr>
          <w:rFonts w:hint="eastAsia" w:ascii="宋体" w:hAnsi="宋体"/>
          <w:sz w:val="24"/>
          <w:highlight w:val="none"/>
        </w:rPr>
        <w:t>履约保证金在货物交付验收合格</w:t>
      </w:r>
      <w:r>
        <w:rPr>
          <w:rFonts w:hint="eastAsia" w:ascii="宋体" w:hAnsi="宋体"/>
          <w:sz w:val="24"/>
          <w:highlight w:val="none"/>
          <w:u w:val="single"/>
        </w:rPr>
        <w:t>个</w:t>
      </w:r>
      <w:r>
        <w:rPr>
          <w:rFonts w:hint="eastAsia" w:ascii="宋体" w:hAnsi="宋体"/>
          <w:sz w:val="24"/>
          <w:highlight w:val="none"/>
        </w:rPr>
        <w:t>月无质量问题后，</w:t>
      </w:r>
      <w:r>
        <w:rPr>
          <w:rFonts w:ascii="宋体" w:hAnsi="宋体"/>
          <w:sz w:val="24"/>
          <w:highlight w:val="none"/>
        </w:rPr>
        <w:t xml:space="preserve"> 15</w:t>
      </w:r>
      <w:r>
        <w:rPr>
          <w:rFonts w:hint="eastAsia" w:ascii="宋体" w:hAnsi="宋体"/>
          <w:sz w:val="24"/>
          <w:highlight w:val="none"/>
        </w:rPr>
        <w:t>日内无息退还。</w:t>
      </w:r>
    </w:p>
    <w:p>
      <w:pPr>
        <w:snapToGrid w:val="0"/>
        <w:spacing w:line="480" w:lineRule="exact"/>
        <w:ind w:left="380" w:leftChars="181" w:firstLine="2"/>
        <w:outlineLvl w:val="0"/>
        <w:rPr>
          <w:rFonts w:ascii="宋体"/>
          <w:b/>
          <w:bCs/>
          <w:sz w:val="24"/>
          <w:highlight w:val="none"/>
        </w:rPr>
      </w:pPr>
      <w:bookmarkStart w:id="151" w:name="_Toc24320"/>
      <w:bookmarkStart w:id="152" w:name="_Toc29637"/>
      <w:bookmarkStart w:id="153" w:name="_Toc609"/>
      <w:r>
        <w:rPr>
          <w:rFonts w:hint="eastAsia" w:ascii="宋体" w:hAnsi="宋体"/>
          <w:b/>
          <w:bCs/>
          <w:sz w:val="24"/>
          <w:highlight w:val="none"/>
        </w:rPr>
        <w:t>七、合同生效</w:t>
      </w:r>
      <w:bookmarkEnd w:id="151"/>
      <w:bookmarkEnd w:id="152"/>
      <w:bookmarkEnd w:id="153"/>
    </w:p>
    <w:p>
      <w:pPr>
        <w:tabs>
          <w:tab w:val="left" w:pos="1146"/>
        </w:tabs>
        <w:snapToGrid w:val="0"/>
        <w:spacing w:line="480" w:lineRule="exact"/>
        <w:ind w:left="540" w:leftChars="257" w:firstLine="360" w:firstLineChars="150"/>
        <w:rPr>
          <w:rFonts w:ascii="宋体"/>
          <w:sz w:val="24"/>
          <w:highlight w:val="none"/>
        </w:rPr>
      </w:pPr>
      <w:r>
        <w:rPr>
          <w:rFonts w:hint="eastAsia" w:ascii="宋体" w:hAnsi="宋体"/>
          <w:sz w:val="24"/>
          <w:highlight w:val="none"/>
        </w:rPr>
        <w:t>本合同甲乙双方签章后生效。</w:t>
      </w:r>
    </w:p>
    <w:p>
      <w:pPr>
        <w:snapToGrid w:val="0"/>
        <w:spacing w:line="480" w:lineRule="exact"/>
        <w:ind w:left="380" w:leftChars="181" w:firstLine="2"/>
        <w:outlineLvl w:val="0"/>
        <w:rPr>
          <w:rFonts w:ascii="宋体"/>
          <w:b/>
          <w:bCs/>
          <w:sz w:val="24"/>
          <w:highlight w:val="none"/>
        </w:rPr>
      </w:pPr>
      <w:bookmarkStart w:id="154" w:name="_Toc28312"/>
      <w:bookmarkStart w:id="155" w:name="_Toc10585"/>
      <w:bookmarkStart w:id="156" w:name="_Toc20385"/>
      <w:r>
        <w:rPr>
          <w:rFonts w:hint="eastAsia" w:ascii="宋体" w:hAnsi="宋体"/>
          <w:b/>
          <w:bCs/>
          <w:sz w:val="24"/>
          <w:highlight w:val="none"/>
        </w:rPr>
        <w:t>八、合同保存</w:t>
      </w:r>
      <w:bookmarkEnd w:id="154"/>
      <w:bookmarkEnd w:id="155"/>
      <w:bookmarkEnd w:id="156"/>
    </w:p>
    <w:p>
      <w:pPr>
        <w:snapToGrid w:val="0"/>
        <w:spacing w:line="480" w:lineRule="exact"/>
        <w:ind w:left="479" w:leftChars="228" w:firstLine="480" w:firstLineChars="200"/>
        <w:rPr>
          <w:rFonts w:ascii="宋体"/>
          <w:sz w:val="24"/>
          <w:highlight w:val="none"/>
        </w:rPr>
      </w:pPr>
      <w:r>
        <w:rPr>
          <w:rFonts w:hint="eastAsia" w:ascii="宋体" w:hAnsi="宋体"/>
          <w:sz w:val="24"/>
          <w:highlight w:val="none"/>
        </w:rPr>
        <w:t>本合同一式</w:t>
      </w:r>
      <w:r>
        <w:rPr>
          <w:rFonts w:ascii="宋体" w:hAnsi="宋体"/>
          <w:sz w:val="24"/>
          <w:highlight w:val="none"/>
          <w:u w:val="single"/>
        </w:rPr>
        <w:t xml:space="preserve">  </w:t>
      </w:r>
      <w:r>
        <w:rPr>
          <w:rFonts w:hint="eastAsia" w:ascii="宋体" w:hAnsi="宋体"/>
          <w:sz w:val="24"/>
          <w:highlight w:val="none"/>
        </w:rPr>
        <w:t>份，甲方</w:t>
      </w:r>
      <w:r>
        <w:rPr>
          <w:rFonts w:ascii="宋体" w:hAnsi="宋体"/>
          <w:sz w:val="24"/>
          <w:highlight w:val="none"/>
          <w:u w:val="single"/>
        </w:rPr>
        <w:t xml:space="preserve">  </w:t>
      </w:r>
      <w:r>
        <w:rPr>
          <w:rFonts w:hint="eastAsia" w:ascii="宋体" w:hAnsi="宋体"/>
          <w:sz w:val="24"/>
          <w:highlight w:val="none"/>
        </w:rPr>
        <w:t>份，乙方</w:t>
      </w:r>
      <w:r>
        <w:rPr>
          <w:rFonts w:ascii="宋体" w:hAnsi="宋体"/>
          <w:sz w:val="24"/>
          <w:highlight w:val="none"/>
          <w:u w:val="single"/>
        </w:rPr>
        <w:t xml:space="preserve">   </w:t>
      </w:r>
      <w:r>
        <w:rPr>
          <w:rFonts w:hint="eastAsia" w:ascii="宋体" w:hAnsi="宋体"/>
          <w:sz w:val="24"/>
          <w:highlight w:val="none"/>
        </w:rPr>
        <w:t>份。</w:t>
      </w:r>
    </w:p>
    <w:p>
      <w:pPr>
        <w:snapToGrid w:val="0"/>
        <w:spacing w:line="480" w:lineRule="exact"/>
        <w:ind w:left="380" w:leftChars="181" w:firstLine="2"/>
        <w:outlineLvl w:val="0"/>
        <w:rPr>
          <w:rFonts w:ascii="宋体"/>
          <w:b/>
          <w:bCs/>
          <w:sz w:val="24"/>
          <w:highlight w:val="none"/>
        </w:rPr>
      </w:pPr>
      <w:bookmarkStart w:id="157" w:name="_Toc23003"/>
      <w:bookmarkStart w:id="158" w:name="_Toc14149"/>
      <w:bookmarkStart w:id="159" w:name="_Toc17788"/>
      <w:r>
        <w:rPr>
          <w:rFonts w:hint="eastAsia" w:ascii="宋体" w:hAnsi="宋体"/>
          <w:b/>
          <w:bCs/>
          <w:sz w:val="24"/>
          <w:highlight w:val="none"/>
        </w:rPr>
        <w:t>九、违约条款</w:t>
      </w:r>
      <w:bookmarkEnd w:id="157"/>
      <w:bookmarkEnd w:id="158"/>
      <w:bookmarkEnd w:id="159"/>
    </w:p>
    <w:p>
      <w:pPr>
        <w:tabs>
          <w:tab w:val="left" w:pos="955"/>
          <w:tab w:val="left" w:pos="1146"/>
        </w:tabs>
        <w:snapToGrid w:val="0"/>
        <w:spacing w:line="480" w:lineRule="exact"/>
        <w:ind w:left="479" w:leftChars="228" w:firstLine="480" w:firstLineChars="200"/>
        <w:rPr>
          <w:rFonts w:ascii="宋体"/>
          <w:sz w:val="24"/>
          <w:highlight w:val="none"/>
        </w:rPr>
      </w:pPr>
      <w:r>
        <w:rPr>
          <w:rFonts w:hint="eastAsia" w:ascii="宋体" w:hAnsi="宋体"/>
          <w:sz w:val="24"/>
          <w:highlight w:val="none"/>
        </w:rPr>
        <w:t>（</w:t>
      </w:r>
      <w:r>
        <w:rPr>
          <w:rFonts w:ascii="宋体" w:hAnsi="宋体"/>
          <w:sz w:val="24"/>
          <w:highlight w:val="none"/>
        </w:rPr>
        <w:t>1</w:t>
      </w:r>
      <w:r>
        <w:rPr>
          <w:rFonts w:hint="eastAsia" w:ascii="宋体" w:hAnsi="宋体"/>
          <w:sz w:val="24"/>
          <w:highlight w:val="none"/>
        </w:rPr>
        <w:t>）合同一方违约，违约方向对方支付违约金，违约金额为成交金额的</w:t>
      </w:r>
      <w:r>
        <w:rPr>
          <w:rFonts w:ascii="宋体" w:hAnsi="宋体"/>
          <w:sz w:val="24"/>
          <w:highlight w:val="none"/>
        </w:rPr>
        <w:t>10%</w:t>
      </w:r>
      <w:r>
        <w:rPr>
          <w:rFonts w:hint="eastAsia" w:ascii="宋体" w:hAnsi="宋体"/>
          <w:sz w:val="24"/>
          <w:highlight w:val="none"/>
        </w:rPr>
        <w:t>。中标人违约，直接从履约保证金中扣除。</w:t>
      </w:r>
    </w:p>
    <w:p>
      <w:pPr>
        <w:tabs>
          <w:tab w:val="left" w:pos="955"/>
          <w:tab w:val="left" w:pos="1146"/>
        </w:tabs>
        <w:snapToGrid w:val="0"/>
        <w:spacing w:line="480" w:lineRule="exact"/>
        <w:ind w:left="479" w:leftChars="228" w:firstLine="480" w:firstLineChars="200"/>
        <w:rPr>
          <w:rFonts w:ascii="宋体"/>
          <w:sz w:val="24"/>
          <w:highlight w:val="none"/>
        </w:rPr>
      </w:pPr>
      <w:r>
        <w:rPr>
          <w:rFonts w:hint="eastAsia" w:ascii="宋体" w:hAnsi="宋体"/>
          <w:sz w:val="24"/>
          <w:highlight w:val="none"/>
        </w:rPr>
        <w:t>（</w:t>
      </w:r>
      <w:r>
        <w:rPr>
          <w:rFonts w:ascii="宋体" w:hAnsi="宋体"/>
          <w:sz w:val="24"/>
          <w:highlight w:val="none"/>
        </w:rPr>
        <w:t>2</w:t>
      </w:r>
      <w:r>
        <w:rPr>
          <w:rFonts w:hint="eastAsia" w:ascii="宋体" w:hAnsi="宋体"/>
          <w:sz w:val="24"/>
          <w:highlight w:val="none"/>
        </w:rPr>
        <w:t>）中标人给用户造成的实际损失高于违约金的，成交供应商应给用户对高出违约金的部分予以赔偿。</w:t>
      </w:r>
    </w:p>
    <w:p>
      <w:pPr>
        <w:tabs>
          <w:tab w:val="left" w:pos="955"/>
          <w:tab w:val="left" w:pos="1146"/>
        </w:tabs>
        <w:snapToGrid w:val="0"/>
        <w:spacing w:line="480" w:lineRule="exact"/>
        <w:ind w:left="479" w:leftChars="228" w:firstLine="480" w:firstLineChars="200"/>
        <w:rPr>
          <w:rFonts w:ascii="宋体"/>
          <w:sz w:val="24"/>
          <w:highlight w:val="none"/>
        </w:rPr>
      </w:pPr>
      <w:r>
        <w:rPr>
          <w:rFonts w:hint="eastAsia" w:ascii="宋体" w:hAnsi="宋体"/>
          <w:sz w:val="24"/>
          <w:highlight w:val="none"/>
        </w:rPr>
        <w:t>（</w:t>
      </w:r>
      <w:r>
        <w:rPr>
          <w:rFonts w:ascii="宋体" w:hAnsi="宋体"/>
          <w:sz w:val="24"/>
          <w:highlight w:val="none"/>
        </w:rPr>
        <w:t>3</w:t>
      </w:r>
      <w:r>
        <w:rPr>
          <w:rFonts w:hint="eastAsia" w:ascii="宋体" w:hAnsi="宋体"/>
          <w:sz w:val="24"/>
          <w:highlight w:val="none"/>
        </w:rPr>
        <w:t>）中标人迟延履行合同、不完全履行合同或提供的服务不符合招标文件的要求，除支付违约金外，仍应实际履行合同或重新提供符合要求的服务。</w:t>
      </w:r>
    </w:p>
    <w:p>
      <w:pPr>
        <w:tabs>
          <w:tab w:val="left" w:pos="955"/>
          <w:tab w:val="left" w:pos="1146"/>
        </w:tabs>
        <w:snapToGrid w:val="0"/>
        <w:spacing w:line="480" w:lineRule="exact"/>
        <w:ind w:firstLine="960" w:firstLineChars="400"/>
        <w:rPr>
          <w:rFonts w:ascii="宋体"/>
          <w:sz w:val="24"/>
          <w:highlight w:val="none"/>
        </w:rPr>
      </w:pPr>
      <w:r>
        <w:rPr>
          <w:rFonts w:hint="eastAsia" w:ascii="宋体" w:hAnsi="宋体"/>
          <w:sz w:val="24"/>
          <w:highlight w:val="none"/>
        </w:rPr>
        <w:t>（</w:t>
      </w:r>
      <w:r>
        <w:rPr>
          <w:rFonts w:ascii="宋体" w:hAnsi="宋体"/>
          <w:sz w:val="24"/>
          <w:highlight w:val="none"/>
        </w:rPr>
        <w:t>4</w:t>
      </w:r>
      <w:r>
        <w:rPr>
          <w:rFonts w:hint="eastAsia" w:ascii="宋体" w:hAnsi="宋体"/>
          <w:sz w:val="24"/>
          <w:highlight w:val="none"/>
        </w:rPr>
        <w:t>）其它未尽事宜，以《中华人民共和国合同法》规定为准。</w:t>
      </w:r>
    </w:p>
    <w:p>
      <w:pPr>
        <w:tabs>
          <w:tab w:val="left" w:pos="955"/>
          <w:tab w:val="left" w:pos="1146"/>
        </w:tabs>
        <w:snapToGrid w:val="0"/>
        <w:spacing w:line="480" w:lineRule="exact"/>
        <w:ind w:firstLine="482" w:firstLineChars="200"/>
        <w:outlineLvl w:val="0"/>
        <w:rPr>
          <w:rFonts w:ascii="宋体"/>
          <w:sz w:val="24"/>
          <w:highlight w:val="none"/>
        </w:rPr>
      </w:pPr>
      <w:bookmarkStart w:id="160" w:name="_Toc4944"/>
      <w:bookmarkStart w:id="161" w:name="_Toc25277"/>
      <w:bookmarkStart w:id="162" w:name="_Toc2531"/>
      <w:r>
        <w:rPr>
          <w:rFonts w:hint="eastAsia" w:ascii="宋体" w:hAnsi="宋体"/>
          <w:b/>
          <w:bCs/>
          <w:sz w:val="24"/>
          <w:highlight w:val="none"/>
        </w:rPr>
        <w:t>十、</w:t>
      </w:r>
      <w:r>
        <w:rPr>
          <w:rFonts w:hint="eastAsia" w:ascii="宋体" w:hAnsi="宋体"/>
          <w:sz w:val="24"/>
          <w:highlight w:val="none"/>
        </w:rPr>
        <w:t>合同发生纠纷时，向济南仲裁委员会提起仲裁。</w:t>
      </w:r>
      <w:bookmarkEnd w:id="160"/>
      <w:bookmarkEnd w:id="161"/>
      <w:bookmarkEnd w:id="162"/>
    </w:p>
    <w:p>
      <w:pPr>
        <w:snapToGrid w:val="0"/>
        <w:spacing w:line="480" w:lineRule="exact"/>
        <w:ind w:firstLine="480" w:firstLineChars="200"/>
        <w:rPr>
          <w:rFonts w:ascii="宋体"/>
          <w:sz w:val="24"/>
          <w:highlight w:val="none"/>
        </w:rPr>
      </w:pPr>
      <w:r>
        <w:rPr>
          <w:rFonts w:hint="eastAsia" w:ascii="宋体" w:hAnsi="宋体"/>
          <w:sz w:val="24"/>
          <w:highlight w:val="none"/>
        </w:rPr>
        <w:t>甲方（公章）：</w:t>
      </w:r>
      <w:r>
        <w:rPr>
          <w:rFonts w:ascii="宋体" w:hAnsi="宋体"/>
          <w:sz w:val="24"/>
          <w:highlight w:val="none"/>
        </w:rPr>
        <w:t xml:space="preserve">                         </w:t>
      </w:r>
      <w:r>
        <w:rPr>
          <w:rFonts w:hint="eastAsia" w:ascii="宋体" w:hAnsi="宋体"/>
          <w:sz w:val="24"/>
          <w:highlight w:val="none"/>
        </w:rPr>
        <w:t>乙方（公章）：</w:t>
      </w:r>
    </w:p>
    <w:p>
      <w:pPr>
        <w:snapToGrid w:val="0"/>
        <w:spacing w:line="480" w:lineRule="exact"/>
        <w:ind w:firstLine="480" w:firstLineChars="200"/>
        <w:rPr>
          <w:rFonts w:ascii="宋体"/>
          <w:sz w:val="24"/>
          <w:highlight w:val="none"/>
        </w:rPr>
      </w:pPr>
      <w:r>
        <w:rPr>
          <w:rFonts w:hint="eastAsia" w:ascii="宋体" w:hAnsi="宋体"/>
          <w:sz w:val="24"/>
          <w:highlight w:val="none"/>
        </w:rPr>
        <w:t>法定代表人或授权代理人：（签字）</w:t>
      </w:r>
      <w:r>
        <w:rPr>
          <w:rFonts w:ascii="宋体" w:hAnsi="宋体"/>
          <w:sz w:val="24"/>
          <w:highlight w:val="none"/>
        </w:rPr>
        <w:t xml:space="preserve">       </w:t>
      </w:r>
      <w:r>
        <w:rPr>
          <w:rFonts w:hint="eastAsia" w:ascii="宋体" w:hAnsi="宋体"/>
          <w:sz w:val="24"/>
          <w:highlight w:val="none"/>
        </w:rPr>
        <w:t>法定代表人或授权代理人：（签字）</w:t>
      </w:r>
    </w:p>
    <w:p>
      <w:pPr>
        <w:snapToGrid w:val="0"/>
        <w:spacing w:line="480" w:lineRule="exact"/>
        <w:ind w:firstLine="480" w:firstLineChars="200"/>
        <w:rPr>
          <w:rFonts w:ascii="宋体"/>
          <w:sz w:val="24"/>
          <w:highlight w:val="none"/>
        </w:rPr>
      </w:pPr>
      <w:r>
        <w:rPr>
          <w:rFonts w:hint="eastAsia" w:ascii="宋体" w:hAnsi="宋体"/>
          <w:sz w:val="24"/>
          <w:highlight w:val="none"/>
        </w:rPr>
        <w:t>开户单位：</w:t>
      </w:r>
      <w:r>
        <w:rPr>
          <w:rFonts w:ascii="宋体" w:hAnsi="宋体"/>
          <w:sz w:val="24"/>
          <w:highlight w:val="none"/>
        </w:rPr>
        <w:t xml:space="preserve">                            </w:t>
      </w:r>
      <w:r>
        <w:rPr>
          <w:rFonts w:hint="eastAsia" w:ascii="宋体" w:hAnsi="宋体"/>
          <w:sz w:val="24"/>
          <w:highlight w:val="none"/>
        </w:rPr>
        <w:t>开户单位：</w:t>
      </w:r>
    </w:p>
    <w:p>
      <w:pPr>
        <w:snapToGrid w:val="0"/>
        <w:spacing w:line="480" w:lineRule="exact"/>
        <w:ind w:firstLine="480" w:firstLineChars="200"/>
        <w:rPr>
          <w:rFonts w:ascii="宋体"/>
          <w:sz w:val="24"/>
          <w:highlight w:val="none"/>
        </w:rPr>
      </w:pPr>
      <w:r>
        <w:rPr>
          <w:rFonts w:hint="eastAsia" w:ascii="宋体" w:hAnsi="宋体"/>
          <w:sz w:val="24"/>
          <w:highlight w:val="none"/>
        </w:rPr>
        <w:t>开户银行：</w:t>
      </w:r>
      <w:r>
        <w:rPr>
          <w:rFonts w:ascii="宋体" w:hAnsi="宋体"/>
          <w:sz w:val="24"/>
          <w:highlight w:val="none"/>
        </w:rPr>
        <w:t xml:space="preserve">                            </w:t>
      </w:r>
      <w:r>
        <w:rPr>
          <w:rFonts w:hint="eastAsia" w:ascii="宋体" w:hAnsi="宋体"/>
          <w:sz w:val="24"/>
          <w:highlight w:val="none"/>
        </w:rPr>
        <w:t>开户银行：</w:t>
      </w:r>
    </w:p>
    <w:p>
      <w:pPr>
        <w:snapToGrid w:val="0"/>
        <w:spacing w:line="480" w:lineRule="exact"/>
        <w:ind w:firstLine="480" w:firstLineChars="200"/>
        <w:rPr>
          <w:rFonts w:ascii="宋体"/>
          <w:sz w:val="24"/>
          <w:highlight w:val="none"/>
        </w:rPr>
      </w:pPr>
      <w:r>
        <w:rPr>
          <w:rFonts w:hint="eastAsia" w:ascii="宋体" w:hAnsi="宋体"/>
          <w:sz w:val="24"/>
          <w:highlight w:val="none"/>
        </w:rPr>
        <w:t>帐号：</w:t>
      </w:r>
      <w:r>
        <w:rPr>
          <w:rFonts w:ascii="宋体" w:hAnsi="宋体"/>
          <w:sz w:val="24"/>
          <w:highlight w:val="none"/>
        </w:rPr>
        <w:t xml:space="preserve">                                </w:t>
      </w:r>
      <w:r>
        <w:rPr>
          <w:rFonts w:hint="eastAsia" w:ascii="宋体" w:hAnsi="宋体"/>
          <w:sz w:val="24"/>
          <w:highlight w:val="none"/>
        </w:rPr>
        <w:t>帐号：</w:t>
      </w:r>
    </w:p>
    <w:p>
      <w:pPr>
        <w:snapToGrid w:val="0"/>
        <w:spacing w:line="480" w:lineRule="exact"/>
        <w:ind w:firstLine="480" w:firstLineChars="200"/>
        <w:rPr>
          <w:rFonts w:ascii="宋体"/>
          <w:sz w:val="24"/>
          <w:highlight w:val="none"/>
        </w:rPr>
      </w:pPr>
      <w:r>
        <w:rPr>
          <w:rFonts w:hint="eastAsia" w:ascii="宋体" w:hAnsi="宋体"/>
          <w:sz w:val="24"/>
          <w:highlight w:val="none"/>
        </w:rPr>
        <w:t>地址：</w:t>
      </w:r>
      <w:r>
        <w:rPr>
          <w:rFonts w:ascii="宋体" w:hAnsi="宋体"/>
          <w:sz w:val="24"/>
          <w:highlight w:val="none"/>
        </w:rPr>
        <w:t xml:space="preserve">                                </w:t>
      </w:r>
      <w:r>
        <w:rPr>
          <w:rFonts w:hint="eastAsia" w:ascii="宋体" w:hAnsi="宋体"/>
          <w:sz w:val="24"/>
          <w:highlight w:val="none"/>
        </w:rPr>
        <w:t>地址：</w:t>
      </w:r>
    </w:p>
    <w:p>
      <w:pPr>
        <w:snapToGrid w:val="0"/>
        <w:spacing w:line="480" w:lineRule="exact"/>
        <w:ind w:firstLine="480" w:firstLineChars="200"/>
        <w:rPr>
          <w:rFonts w:ascii="宋体"/>
          <w:sz w:val="24"/>
          <w:highlight w:val="none"/>
        </w:rPr>
      </w:pPr>
      <w:r>
        <w:rPr>
          <w:rFonts w:hint="eastAsia" w:ascii="宋体" w:hAnsi="宋体"/>
          <w:sz w:val="24"/>
          <w:highlight w:val="none"/>
        </w:rPr>
        <w:t>邮政编码：</w:t>
      </w:r>
      <w:r>
        <w:rPr>
          <w:rFonts w:ascii="宋体" w:hAnsi="宋体"/>
          <w:sz w:val="24"/>
          <w:highlight w:val="none"/>
        </w:rPr>
        <w:t xml:space="preserve">                            </w:t>
      </w:r>
      <w:r>
        <w:rPr>
          <w:rFonts w:hint="eastAsia" w:ascii="宋体" w:hAnsi="宋体"/>
          <w:sz w:val="24"/>
          <w:highlight w:val="none"/>
        </w:rPr>
        <w:t>邮政编码：</w:t>
      </w:r>
    </w:p>
    <w:p>
      <w:pPr>
        <w:snapToGrid w:val="0"/>
        <w:spacing w:line="480" w:lineRule="exact"/>
        <w:ind w:firstLine="480" w:firstLineChars="200"/>
        <w:rPr>
          <w:rFonts w:ascii="宋体"/>
          <w:sz w:val="24"/>
          <w:highlight w:val="none"/>
        </w:rPr>
      </w:pPr>
      <w:r>
        <w:rPr>
          <w:rFonts w:hint="eastAsia" w:ascii="宋体" w:hAnsi="宋体"/>
          <w:sz w:val="24"/>
          <w:highlight w:val="none"/>
        </w:rPr>
        <w:t>电话：</w:t>
      </w:r>
      <w:r>
        <w:rPr>
          <w:rFonts w:ascii="宋体" w:hAnsi="宋体"/>
          <w:sz w:val="24"/>
          <w:highlight w:val="none"/>
        </w:rPr>
        <w:t xml:space="preserve">                                </w:t>
      </w:r>
      <w:r>
        <w:rPr>
          <w:rFonts w:hint="eastAsia" w:ascii="宋体" w:hAnsi="宋体"/>
          <w:sz w:val="24"/>
          <w:highlight w:val="none"/>
        </w:rPr>
        <w:t>电话：</w:t>
      </w:r>
    </w:p>
    <w:p>
      <w:pPr>
        <w:snapToGrid w:val="0"/>
        <w:spacing w:line="480" w:lineRule="exact"/>
        <w:ind w:firstLine="480" w:firstLineChars="200"/>
        <w:rPr>
          <w:rFonts w:ascii="宋体"/>
          <w:sz w:val="24"/>
          <w:highlight w:val="none"/>
        </w:rPr>
      </w:pPr>
      <w:r>
        <w:rPr>
          <w:rFonts w:hint="eastAsia" w:ascii="宋体" w:hAnsi="宋体"/>
          <w:sz w:val="24"/>
          <w:highlight w:val="none"/>
        </w:rPr>
        <w:t>签订时间：</w:t>
      </w:r>
      <w:r>
        <w:rPr>
          <w:rFonts w:ascii="宋体" w:hAnsi="宋体"/>
          <w:sz w:val="24"/>
          <w:highlight w:val="none"/>
        </w:rPr>
        <w:t xml:space="preserve">                            </w:t>
      </w:r>
      <w:r>
        <w:rPr>
          <w:rFonts w:hint="eastAsia" w:ascii="宋体" w:hAnsi="宋体"/>
          <w:sz w:val="24"/>
          <w:highlight w:val="none"/>
        </w:rPr>
        <w:t>签订时间：</w:t>
      </w:r>
    </w:p>
    <w:p>
      <w:pPr>
        <w:snapToGrid w:val="0"/>
        <w:spacing w:before="290" w:beforeLines="100" w:line="480" w:lineRule="exact"/>
        <w:jc w:val="center"/>
        <w:outlineLvl w:val="0"/>
        <w:rPr>
          <w:rFonts w:ascii="宋体"/>
          <w:b/>
          <w:sz w:val="36"/>
          <w:highlight w:val="none"/>
        </w:rPr>
      </w:pPr>
      <w:r>
        <w:rPr>
          <w:rFonts w:ascii="宋体"/>
          <w:sz w:val="24"/>
          <w:highlight w:val="none"/>
        </w:rPr>
        <w:br w:type="page"/>
      </w:r>
      <w:bookmarkStart w:id="163" w:name="_Toc4921"/>
      <w:r>
        <w:rPr>
          <w:rFonts w:hint="eastAsia" w:ascii="宋体" w:hAnsi="宋体"/>
          <w:b/>
          <w:kern w:val="0"/>
          <w:sz w:val="36"/>
          <w:szCs w:val="20"/>
          <w:highlight w:val="none"/>
        </w:rPr>
        <w:t>第五部分附件</w:t>
      </w:r>
      <w:bookmarkEnd w:id="163"/>
    </w:p>
    <w:p>
      <w:pPr>
        <w:pStyle w:val="29"/>
        <w:spacing w:line="480" w:lineRule="exact"/>
        <w:ind w:firstLine="0" w:firstLineChars="0"/>
        <w:jc w:val="left"/>
        <w:rPr>
          <w:rFonts w:ascii="宋体"/>
          <w:bCs/>
          <w:highlight w:val="none"/>
        </w:rPr>
      </w:pPr>
      <w:r>
        <w:rPr>
          <w:rFonts w:hint="eastAsia" w:ascii="宋体" w:hAnsi="宋体"/>
          <w:bCs/>
          <w:highlight w:val="none"/>
        </w:rPr>
        <w:t>附件一：</w:t>
      </w:r>
    </w:p>
    <w:p>
      <w:pPr>
        <w:pStyle w:val="29"/>
        <w:spacing w:line="480" w:lineRule="exact"/>
        <w:ind w:firstLine="591" w:firstLineChars="184"/>
        <w:jc w:val="center"/>
        <w:rPr>
          <w:rFonts w:ascii="宋体"/>
          <w:b/>
          <w:bCs/>
          <w:sz w:val="32"/>
          <w:szCs w:val="32"/>
          <w:highlight w:val="none"/>
        </w:rPr>
      </w:pPr>
      <w:r>
        <w:rPr>
          <w:rFonts w:hint="eastAsia" w:ascii="宋体" w:hAnsi="宋体"/>
          <w:b/>
          <w:bCs/>
          <w:sz w:val="32"/>
          <w:szCs w:val="32"/>
          <w:highlight w:val="none"/>
        </w:rPr>
        <w:t>投标函</w:t>
      </w:r>
    </w:p>
    <w:p>
      <w:pPr>
        <w:pStyle w:val="29"/>
        <w:spacing w:line="480" w:lineRule="exact"/>
        <w:ind w:firstLine="0" w:firstLineChars="0"/>
        <w:jc w:val="left"/>
        <w:rPr>
          <w:rFonts w:ascii="宋体"/>
          <w:bCs/>
          <w:highlight w:val="none"/>
        </w:rPr>
      </w:pPr>
      <w:r>
        <w:rPr>
          <w:rFonts w:hint="eastAsia" w:ascii="宋体" w:hAnsi="宋体"/>
          <w:bCs/>
          <w:highlight w:val="none"/>
        </w:rPr>
        <w:t>山东大学第二医院：</w:t>
      </w:r>
    </w:p>
    <w:p>
      <w:pPr>
        <w:pStyle w:val="29"/>
        <w:spacing w:line="480" w:lineRule="exact"/>
        <w:ind w:firstLine="480"/>
        <w:jc w:val="left"/>
        <w:rPr>
          <w:rFonts w:ascii="宋体"/>
          <w:highlight w:val="none"/>
        </w:rPr>
      </w:pPr>
      <w:r>
        <w:rPr>
          <w:rFonts w:hint="eastAsia" w:ascii="宋体" w:hAnsi="宋体"/>
          <w:highlight w:val="none"/>
        </w:rPr>
        <w:t>经研究，我们决定参加招标编号为</w:t>
      </w:r>
      <w:r>
        <w:rPr>
          <w:rFonts w:hint="eastAsia" w:ascii="宋体" w:hAnsi="宋体"/>
          <w:highlight w:val="none"/>
          <w:u w:val="single"/>
        </w:rPr>
        <w:t>（项目名称）</w:t>
      </w:r>
      <w:r>
        <w:rPr>
          <w:rFonts w:hint="eastAsia" w:ascii="宋体" w:hAnsi="宋体"/>
          <w:highlight w:val="none"/>
        </w:rPr>
        <w:t>的投标活动并提交投标文件。为此，我方郑重声明以下诸点，并负法律责任。</w:t>
      </w:r>
    </w:p>
    <w:p>
      <w:pPr>
        <w:pStyle w:val="29"/>
        <w:spacing w:line="480" w:lineRule="exact"/>
        <w:ind w:firstLine="480"/>
        <w:jc w:val="left"/>
        <w:rPr>
          <w:rFonts w:ascii="宋体"/>
          <w:highlight w:val="none"/>
        </w:rPr>
      </w:pPr>
      <w:r>
        <w:rPr>
          <w:rFonts w:ascii="宋体" w:hAnsi="宋体"/>
          <w:highlight w:val="none"/>
        </w:rPr>
        <w:t>1</w:t>
      </w:r>
      <w:r>
        <w:rPr>
          <w:rFonts w:hint="eastAsia" w:ascii="宋体" w:hAnsi="宋体"/>
          <w:highlight w:val="none"/>
        </w:rPr>
        <w:t>、我方提交的投标文件，正本一份，副本</w:t>
      </w:r>
      <w:r>
        <w:rPr>
          <w:rFonts w:ascii="宋体" w:hAnsi="宋体"/>
          <w:highlight w:val="none"/>
          <w:u w:val="single"/>
        </w:rPr>
        <w:t xml:space="preserve">  </w:t>
      </w:r>
      <w:r>
        <w:rPr>
          <w:rFonts w:hint="eastAsia" w:ascii="宋体" w:hAnsi="宋体"/>
          <w:highlight w:val="none"/>
        </w:rPr>
        <w:t>份。</w:t>
      </w:r>
    </w:p>
    <w:p>
      <w:pPr>
        <w:pStyle w:val="29"/>
        <w:spacing w:line="480" w:lineRule="exact"/>
        <w:ind w:firstLine="480"/>
        <w:jc w:val="left"/>
        <w:rPr>
          <w:rFonts w:ascii="宋体"/>
          <w:highlight w:val="none"/>
        </w:rPr>
      </w:pPr>
      <w:r>
        <w:rPr>
          <w:rFonts w:ascii="宋体" w:hAnsi="宋体"/>
          <w:highlight w:val="none"/>
        </w:rPr>
        <w:t>2</w:t>
      </w:r>
      <w:r>
        <w:rPr>
          <w:rFonts w:hint="eastAsia" w:ascii="宋体" w:hAnsi="宋体"/>
          <w:highlight w:val="none"/>
        </w:rPr>
        <w:t>、如果我们的投标文件被接受，我们将履行招标文件中规定的每一项要求，并按我们投标文件中的承诺按期、按质、按量提供货物</w:t>
      </w:r>
      <w:r>
        <w:rPr>
          <w:rFonts w:hint="eastAsia" w:ascii="宋体" w:hAnsi="宋体"/>
          <w:color w:val="000000"/>
          <w:highlight w:val="none"/>
        </w:rPr>
        <w:t>及服务</w:t>
      </w:r>
      <w:r>
        <w:rPr>
          <w:rFonts w:hint="eastAsia" w:ascii="宋体" w:hAnsi="宋体"/>
          <w:highlight w:val="none"/>
        </w:rPr>
        <w:t>。</w:t>
      </w:r>
    </w:p>
    <w:p>
      <w:pPr>
        <w:pStyle w:val="29"/>
        <w:spacing w:line="480" w:lineRule="exact"/>
        <w:ind w:firstLine="480"/>
        <w:jc w:val="left"/>
        <w:rPr>
          <w:rFonts w:ascii="宋体"/>
          <w:highlight w:val="none"/>
        </w:rPr>
      </w:pPr>
      <w:r>
        <w:rPr>
          <w:rFonts w:ascii="宋体" w:hAnsi="宋体"/>
          <w:highlight w:val="none"/>
        </w:rPr>
        <w:t>3</w:t>
      </w:r>
      <w:r>
        <w:rPr>
          <w:rFonts w:hint="eastAsia" w:ascii="宋体" w:hAnsi="宋体"/>
          <w:highlight w:val="none"/>
        </w:rPr>
        <w:t>、我们理解，最低报价不是中标的唯一条件，你们有选择中标人的权力。</w:t>
      </w:r>
    </w:p>
    <w:p>
      <w:pPr>
        <w:pStyle w:val="29"/>
        <w:spacing w:line="480" w:lineRule="exact"/>
        <w:ind w:firstLine="480"/>
        <w:jc w:val="left"/>
        <w:rPr>
          <w:rFonts w:ascii="宋体"/>
          <w:highlight w:val="none"/>
        </w:rPr>
      </w:pPr>
      <w:r>
        <w:rPr>
          <w:rFonts w:ascii="宋体" w:hAnsi="宋体"/>
          <w:highlight w:val="none"/>
        </w:rPr>
        <w:t>4</w:t>
      </w:r>
      <w:r>
        <w:rPr>
          <w:rFonts w:hint="eastAsia" w:ascii="宋体" w:hAnsi="宋体"/>
          <w:highlight w:val="none"/>
        </w:rPr>
        <w:t>、我方愿按《中华人民共和国合同法》履行自己的全部责任。</w:t>
      </w:r>
    </w:p>
    <w:p>
      <w:pPr>
        <w:pStyle w:val="29"/>
        <w:spacing w:line="480" w:lineRule="exact"/>
        <w:ind w:firstLine="480"/>
        <w:jc w:val="left"/>
        <w:rPr>
          <w:rFonts w:ascii="宋体"/>
          <w:highlight w:val="none"/>
        </w:rPr>
      </w:pPr>
      <w:r>
        <w:rPr>
          <w:rFonts w:ascii="宋体" w:hAnsi="宋体"/>
          <w:highlight w:val="none"/>
        </w:rPr>
        <w:t>5</w:t>
      </w:r>
      <w:r>
        <w:rPr>
          <w:rFonts w:hint="eastAsia" w:ascii="宋体" w:hAnsi="宋体"/>
          <w:highlight w:val="none"/>
        </w:rPr>
        <w:t>、我们同意按招标文件规定交纳投标保证金、中标服务费，遵守贵机构有关招标的各项规定。</w:t>
      </w:r>
    </w:p>
    <w:p>
      <w:pPr>
        <w:pStyle w:val="29"/>
        <w:spacing w:line="480" w:lineRule="exact"/>
        <w:ind w:firstLine="480"/>
        <w:jc w:val="left"/>
        <w:rPr>
          <w:rFonts w:ascii="宋体"/>
          <w:highlight w:val="none"/>
        </w:rPr>
      </w:pPr>
      <w:r>
        <w:rPr>
          <w:rFonts w:ascii="宋体" w:hAnsi="宋体"/>
          <w:highlight w:val="none"/>
        </w:rPr>
        <w:t>6</w:t>
      </w:r>
      <w:r>
        <w:rPr>
          <w:rFonts w:hint="eastAsia" w:ascii="宋体" w:hAnsi="宋体"/>
          <w:highlight w:val="none"/>
        </w:rPr>
        <w:t>、我方若未成为中标人，贵机构有权不做任何解释。</w:t>
      </w:r>
    </w:p>
    <w:p>
      <w:pPr>
        <w:pStyle w:val="29"/>
        <w:spacing w:line="480" w:lineRule="exact"/>
        <w:ind w:firstLine="480"/>
        <w:jc w:val="left"/>
        <w:rPr>
          <w:rFonts w:ascii="宋体"/>
          <w:highlight w:val="none"/>
        </w:rPr>
      </w:pPr>
      <w:r>
        <w:rPr>
          <w:rFonts w:ascii="宋体" w:hAnsi="宋体"/>
          <w:highlight w:val="none"/>
        </w:rPr>
        <w:t>7</w:t>
      </w:r>
      <w:r>
        <w:rPr>
          <w:rFonts w:hint="eastAsia" w:ascii="宋体" w:hAnsi="宋体"/>
          <w:highlight w:val="none"/>
        </w:rPr>
        <w:t>、我方的投标文件自开标之日起有效期为</w:t>
      </w:r>
      <w:r>
        <w:rPr>
          <w:rFonts w:ascii="宋体" w:hAnsi="宋体"/>
          <w:highlight w:val="none"/>
          <w:u w:val="single"/>
        </w:rPr>
        <w:t xml:space="preserve">  </w:t>
      </w:r>
      <w:r>
        <w:rPr>
          <w:rFonts w:hint="eastAsia" w:ascii="宋体" w:hAnsi="宋体"/>
          <w:highlight w:val="none"/>
        </w:rPr>
        <w:t>日。</w:t>
      </w:r>
    </w:p>
    <w:p>
      <w:pPr>
        <w:pStyle w:val="29"/>
        <w:spacing w:line="480" w:lineRule="exact"/>
        <w:ind w:firstLine="480"/>
        <w:jc w:val="left"/>
        <w:rPr>
          <w:rFonts w:ascii="宋体"/>
          <w:highlight w:val="none"/>
        </w:rPr>
      </w:pPr>
      <w:r>
        <w:rPr>
          <w:rFonts w:ascii="宋体" w:hAnsi="宋体"/>
          <w:highlight w:val="none"/>
        </w:rPr>
        <w:t>8</w:t>
      </w:r>
      <w:r>
        <w:rPr>
          <w:rFonts w:hint="eastAsia" w:ascii="宋体" w:hAnsi="宋体"/>
          <w:highlight w:val="none"/>
        </w:rPr>
        <w:t>、与本投标有关的一切正式往来通讯请寄：</w:t>
      </w:r>
    </w:p>
    <w:p>
      <w:pPr>
        <w:spacing w:line="480" w:lineRule="exact"/>
        <w:ind w:firstLine="480" w:firstLineChars="200"/>
        <w:rPr>
          <w:rFonts w:ascii="宋体"/>
          <w:sz w:val="24"/>
          <w:highlight w:val="none"/>
        </w:rPr>
      </w:pPr>
      <w:r>
        <w:rPr>
          <w:rFonts w:hint="eastAsia" w:ascii="宋体" w:hAnsi="宋体"/>
          <w:sz w:val="24"/>
          <w:highlight w:val="none"/>
        </w:rPr>
        <w:t>地址：</w:t>
      </w:r>
      <w:r>
        <w:rPr>
          <w:rFonts w:hint="eastAsia" w:ascii="宋体" w:hAnsi="宋体" w:cs="宋体"/>
          <w:sz w:val="24"/>
          <w:highlight w:val="none"/>
        </w:rPr>
        <w:t></w:t>
      </w:r>
    </w:p>
    <w:p>
      <w:pPr>
        <w:spacing w:line="480" w:lineRule="exact"/>
        <w:rPr>
          <w:rFonts w:ascii="宋体"/>
          <w:sz w:val="24"/>
          <w:highlight w:val="none"/>
        </w:rPr>
      </w:pPr>
      <w:r>
        <w:rPr>
          <w:rFonts w:hint="eastAsia" w:ascii="宋体" w:hAnsi="宋体"/>
          <w:sz w:val="24"/>
          <w:highlight w:val="none"/>
        </w:rPr>
        <w:t>邮政编码：</w:t>
      </w:r>
    </w:p>
    <w:p>
      <w:pPr>
        <w:spacing w:line="480" w:lineRule="exact"/>
        <w:rPr>
          <w:rFonts w:ascii="宋体"/>
          <w:sz w:val="24"/>
          <w:highlight w:val="none"/>
        </w:rPr>
      </w:pPr>
      <w:r>
        <w:rPr>
          <w:rFonts w:hint="eastAsia" w:ascii="宋体" w:hAnsi="宋体"/>
          <w:sz w:val="24"/>
          <w:highlight w:val="none"/>
        </w:rPr>
        <w:t>电话号码：</w:t>
      </w:r>
    </w:p>
    <w:p>
      <w:pPr>
        <w:spacing w:line="480" w:lineRule="exact"/>
        <w:rPr>
          <w:rFonts w:ascii="宋体"/>
          <w:sz w:val="24"/>
          <w:highlight w:val="none"/>
        </w:rPr>
      </w:pPr>
      <w:r>
        <w:rPr>
          <w:rFonts w:hint="eastAsia" w:ascii="宋体" w:hAnsi="宋体"/>
          <w:sz w:val="24"/>
          <w:highlight w:val="none"/>
        </w:rPr>
        <w:t>传真号码：</w:t>
      </w:r>
    </w:p>
    <w:p>
      <w:pPr>
        <w:spacing w:line="480" w:lineRule="exact"/>
        <w:rPr>
          <w:rFonts w:ascii="宋体"/>
          <w:sz w:val="24"/>
          <w:highlight w:val="none"/>
        </w:rPr>
      </w:pPr>
      <w:r>
        <w:rPr>
          <w:rFonts w:hint="eastAsia" w:ascii="宋体" w:hAnsi="宋体"/>
          <w:sz w:val="24"/>
          <w:highlight w:val="none"/>
        </w:rPr>
        <w:t>开户名称：</w:t>
      </w:r>
    </w:p>
    <w:p>
      <w:pPr>
        <w:spacing w:line="480" w:lineRule="exact"/>
        <w:rPr>
          <w:rFonts w:ascii="宋体"/>
          <w:sz w:val="24"/>
          <w:highlight w:val="none"/>
        </w:rPr>
      </w:pPr>
      <w:r>
        <w:rPr>
          <w:rFonts w:hint="eastAsia" w:ascii="宋体" w:hAnsi="宋体"/>
          <w:sz w:val="24"/>
          <w:highlight w:val="none"/>
        </w:rPr>
        <w:t>开户银行：</w:t>
      </w:r>
    </w:p>
    <w:p>
      <w:pPr>
        <w:spacing w:line="480" w:lineRule="exact"/>
        <w:ind w:firstLine="240" w:firstLineChars="100"/>
        <w:rPr>
          <w:rFonts w:ascii="宋体"/>
          <w:sz w:val="24"/>
          <w:highlight w:val="none"/>
        </w:rPr>
      </w:pPr>
      <w:r>
        <w:rPr>
          <w:rFonts w:hint="eastAsia" w:ascii="宋体" w:hAnsi="宋体"/>
          <w:sz w:val="24"/>
          <w:highlight w:val="none"/>
        </w:rPr>
        <w:t>银行帐号：</w:t>
      </w:r>
    </w:p>
    <w:p>
      <w:pPr>
        <w:spacing w:line="480" w:lineRule="exact"/>
        <w:rPr>
          <w:rFonts w:ascii="宋体"/>
          <w:sz w:val="24"/>
          <w:highlight w:val="none"/>
          <w:u w:val="single"/>
        </w:rPr>
      </w:pPr>
      <w:r>
        <w:rPr>
          <w:rFonts w:hint="eastAsia" w:ascii="宋体" w:hAnsi="宋体"/>
          <w:sz w:val="24"/>
          <w:highlight w:val="none"/>
        </w:rPr>
        <w:t>授权代表（签字或盖章</w:t>
      </w:r>
      <w:r>
        <w:rPr>
          <w:rFonts w:ascii="宋体" w:hAnsi="宋体"/>
          <w:sz w:val="24"/>
          <w:highlight w:val="none"/>
        </w:rPr>
        <w:t>)</w:t>
      </w:r>
    </w:p>
    <w:p>
      <w:pPr>
        <w:spacing w:before="145" w:beforeLines="50" w:line="480" w:lineRule="exact"/>
        <w:rPr>
          <w:rFonts w:ascii="宋体"/>
          <w:sz w:val="24"/>
          <w:highlight w:val="none"/>
          <w:u w:val="single"/>
        </w:rPr>
      </w:pPr>
      <w:r>
        <w:rPr>
          <w:rFonts w:hint="eastAsia" w:ascii="宋体" w:hAnsi="宋体"/>
          <w:sz w:val="24"/>
          <w:highlight w:val="none"/>
        </w:rPr>
        <w:t>投标人名称（公章</w:t>
      </w:r>
      <w:r>
        <w:rPr>
          <w:rFonts w:ascii="宋体" w:hAnsi="宋体"/>
          <w:sz w:val="24"/>
          <w:highlight w:val="none"/>
        </w:rPr>
        <w:t>)</w:t>
      </w:r>
    </w:p>
    <w:p>
      <w:pPr>
        <w:spacing w:line="480" w:lineRule="exact"/>
        <w:rPr>
          <w:rFonts w:ascii="宋体"/>
          <w:sz w:val="24"/>
          <w:highlight w:val="none"/>
        </w:rPr>
      </w:pPr>
      <w:r>
        <w:rPr>
          <w:rFonts w:hint="eastAsia" w:ascii="宋体" w:hAnsi="宋体"/>
          <w:sz w:val="24"/>
          <w:highlight w:val="none"/>
        </w:rPr>
        <w:t>日期：</w:t>
      </w:r>
    </w:p>
    <w:p>
      <w:pPr>
        <w:spacing w:before="145" w:beforeLines="50" w:line="480" w:lineRule="exact"/>
        <w:rPr>
          <w:rFonts w:ascii="宋体"/>
          <w:bCs/>
          <w:sz w:val="24"/>
          <w:highlight w:val="none"/>
        </w:rPr>
      </w:pPr>
      <w:r>
        <w:rPr>
          <w:rFonts w:ascii="宋体"/>
          <w:sz w:val="24"/>
          <w:highlight w:val="none"/>
        </w:rPr>
        <w:br w:type="page"/>
      </w:r>
      <w:r>
        <w:rPr>
          <w:rFonts w:hint="eastAsia" w:ascii="宋体" w:hAnsi="宋体"/>
          <w:bCs/>
          <w:sz w:val="24"/>
          <w:highlight w:val="none"/>
        </w:rPr>
        <w:t>附件二：</w:t>
      </w:r>
    </w:p>
    <w:p>
      <w:pPr>
        <w:pStyle w:val="19"/>
        <w:spacing w:line="480" w:lineRule="exact"/>
        <w:jc w:val="center"/>
        <w:rPr>
          <w:rFonts w:ascii="宋体"/>
          <w:b/>
          <w:sz w:val="32"/>
          <w:szCs w:val="32"/>
          <w:highlight w:val="none"/>
        </w:rPr>
      </w:pPr>
      <w:r>
        <w:rPr>
          <w:rFonts w:hint="eastAsia" w:ascii="宋体" w:hAnsi="宋体"/>
          <w:b/>
          <w:sz w:val="32"/>
          <w:szCs w:val="32"/>
          <w:highlight w:val="none"/>
        </w:rPr>
        <w:t>授权委托书</w:t>
      </w:r>
    </w:p>
    <w:p>
      <w:pPr>
        <w:pStyle w:val="19"/>
        <w:spacing w:line="480" w:lineRule="exact"/>
        <w:jc w:val="center"/>
        <w:rPr>
          <w:rFonts w:ascii="宋体"/>
          <w:b/>
          <w:sz w:val="32"/>
          <w:highlight w:val="none"/>
        </w:rPr>
      </w:pPr>
    </w:p>
    <w:p>
      <w:pPr>
        <w:overflowPunct w:val="0"/>
        <w:autoSpaceDE w:val="0"/>
        <w:autoSpaceDN w:val="0"/>
        <w:adjustRightInd w:val="0"/>
        <w:spacing w:line="480" w:lineRule="exact"/>
        <w:ind w:firstLine="480" w:firstLineChars="200"/>
        <w:jc w:val="left"/>
        <w:rPr>
          <w:rFonts w:ascii="宋体"/>
          <w:kern w:val="0"/>
          <w:sz w:val="24"/>
          <w:highlight w:val="none"/>
        </w:rPr>
      </w:pPr>
      <w:r>
        <w:rPr>
          <w:rFonts w:hint="eastAsia" w:ascii="宋体" w:hAnsi="宋体"/>
          <w:kern w:val="0"/>
          <w:sz w:val="24"/>
          <w:highlight w:val="none"/>
        </w:rPr>
        <w:t>本授权委托书声明：我（姓名）系</w:t>
      </w:r>
      <w:r>
        <w:rPr>
          <w:rFonts w:hint="eastAsia" w:ascii="宋体" w:hAnsi="宋体"/>
          <w:kern w:val="0"/>
          <w:sz w:val="24"/>
          <w:highlight w:val="none"/>
          <w:u w:val="single"/>
        </w:rPr>
        <w:t>（投标人名称）</w:t>
      </w:r>
      <w:r>
        <w:rPr>
          <w:rFonts w:hint="eastAsia" w:ascii="宋体" w:hAnsi="宋体"/>
          <w:kern w:val="0"/>
          <w:sz w:val="24"/>
          <w:highlight w:val="none"/>
        </w:rPr>
        <w:t>的法定代表人，现授权委托</w:t>
      </w:r>
      <w:r>
        <w:rPr>
          <w:rFonts w:hint="eastAsia" w:ascii="宋体" w:hAnsi="宋体"/>
          <w:kern w:val="0"/>
          <w:sz w:val="24"/>
          <w:highlight w:val="none"/>
          <w:u w:val="single"/>
        </w:rPr>
        <w:t>（投标人名称）</w:t>
      </w:r>
      <w:r>
        <w:rPr>
          <w:rFonts w:hint="eastAsia" w:ascii="宋体" w:hAnsi="宋体"/>
          <w:kern w:val="0"/>
          <w:sz w:val="24"/>
          <w:highlight w:val="none"/>
        </w:rPr>
        <w:t>的</w:t>
      </w:r>
      <w:r>
        <w:rPr>
          <w:rFonts w:hint="eastAsia" w:ascii="宋体" w:hAnsi="宋体"/>
          <w:kern w:val="0"/>
          <w:sz w:val="24"/>
          <w:highlight w:val="none"/>
          <w:u w:val="single"/>
        </w:rPr>
        <w:t>（姓名）</w:t>
      </w:r>
      <w:r>
        <w:rPr>
          <w:rFonts w:hint="eastAsia" w:ascii="宋体" w:hAnsi="宋体"/>
          <w:kern w:val="0"/>
          <w:sz w:val="24"/>
          <w:highlight w:val="none"/>
        </w:rPr>
        <w:t>为我方代理人，代理人根据授权，以我方名义签署、澄清、说明、补正、递交、撤回、修改（招标编号：</w:t>
      </w:r>
      <w:r>
        <w:rPr>
          <w:rFonts w:ascii="宋体" w:hAnsi="宋体"/>
          <w:kern w:val="0"/>
          <w:sz w:val="24"/>
          <w:highlight w:val="none"/>
          <w:u w:val="single"/>
        </w:rPr>
        <w:t xml:space="preserve">        </w:t>
      </w:r>
      <w:r>
        <w:rPr>
          <w:rFonts w:hint="eastAsia" w:ascii="宋体" w:hAnsi="宋体"/>
          <w:kern w:val="0"/>
          <w:sz w:val="24"/>
          <w:highlight w:val="none"/>
        </w:rPr>
        <w:t>）项目的投标文件、签订合同和处理有关事宜，其法律后果由我方承担。</w:t>
      </w:r>
    </w:p>
    <w:p>
      <w:pPr>
        <w:overflowPunct w:val="0"/>
        <w:autoSpaceDE w:val="0"/>
        <w:autoSpaceDN w:val="0"/>
        <w:adjustRightInd w:val="0"/>
        <w:spacing w:line="480" w:lineRule="exact"/>
        <w:ind w:firstLine="567"/>
        <w:jc w:val="left"/>
        <w:rPr>
          <w:rFonts w:ascii="宋体"/>
          <w:kern w:val="0"/>
          <w:sz w:val="24"/>
          <w:highlight w:val="none"/>
        </w:rPr>
      </w:pPr>
    </w:p>
    <w:p>
      <w:pPr>
        <w:overflowPunct w:val="0"/>
        <w:autoSpaceDE w:val="0"/>
        <w:autoSpaceDN w:val="0"/>
        <w:adjustRightInd w:val="0"/>
        <w:spacing w:line="480" w:lineRule="exact"/>
        <w:ind w:firstLine="567"/>
        <w:jc w:val="left"/>
        <w:rPr>
          <w:rFonts w:ascii="宋体"/>
          <w:kern w:val="0"/>
          <w:sz w:val="24"/>
          <w:highlight w:val="none"/>
        </w:rPr>
      </w:pPr>
      <w:r>
        <w:rPr>
          <w:rFonts w:hint="eastAsia" w:ascii="宋体" w:hAnsi="宋体"/>
          <w:kern w:val="0"/>
          <w:sz w:val="24"/>
          <w:highlight w:val="none"/>
        </w:rPr>
        <w:t>代理人无转委托权，特此委托．</w:t>
      </w:r>
    </w:p>
    <w:p>
      <w:pPr>
        <w:overflowPunct w:val="0"/>
        <w:autoSpaceDE w:val="0"/>
        <w:autoSpaceDN w:val="0"/>
        <w:adjustRightInd w:val="0"/>
        <w:spacing w:line="480" w:lineRule="exact"/>
        <w:ind w:firstLine="567"/>
        <w:jc w:val="left"/>
        <w:rPr>
          <w:rFonts w:ascii="宋体"/>
          <w:kern w:val="0"/>
          <w:sz w:val="24"/>
          <w:highlight w:val="none"/>
        </w:rPr>
      </w:pPr>
    </w:p>
    <w:tbl>
      <w:tblPr>
        <w:tblStyle w:val="49"/>
        <w:tblW w:w="781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7" w:hRule="atLeast"/>
          <w:jc w:val="center"/>
        </w:trPr>
        <w:tc>
          <w:tcPr>
            <w:tcW w:w="7814" w:type="dxa"/>
            <w:vAlign w:val="center"/>
          </w:tcPr>
          <w:p>
            <w:pPr>
              <w:overflowPunct w:val="0"/>
              <w:autoSpaceDE w:val="0"/>
              <w:autoSpaceDN w:val="0"/>
              <w:adjustRightInd w:val="0"/>
              <w:spacing w:line="480" w:lineRule="exact"/>
              <w:jc w:val="center"/>
              <w:rPr>
                <w:rFonts w:ascii="宋体"/>
                <w:kern w:val="0"/>
                <w:sz w:val="24"/>
                <w:highlight w:val="none"/>
              </w:rPr>
            </w:pPr>
            <w:r>
              <w:rPr>
                <w:rFonts w:hint="eastAsia" w:ascii="宋体" w:hAnsi="宋体"/>
                <w:highlight w:val="none"/>
              </w:rPr>
              <w:t>委托代理人身份证复印件或扫描件</w:t>
            </w:r>
          </w:p>
        </w:tc>
      </w:tr>
    </w:tbl>
    <w:p>
      <w:pPr>
        <w:overflowPunct w:val="0"/>
        <w:autoSpaceDE w:val="0"/>
        <w:autoSpaceDN w:val="0"/>
        <w:adjustRightInd w:val="0"/>
        <w:spacing w:line="480" w:lineRule="exact"/>
        <w:ind w:firstLine="567"/>
        <w:jc w:val="left"/>
        <w:rPr>
          <w:rFonts w:ascii="宋体"/>
          <w:kern w:val="0"/>
          <w:sz w:val="24"/>
          <w:highlight w:val="none"/>
        </w:rPr>
      </w:pPr>
    </w:p>
    <w:p>
      <w:pPr>
        <w:overflowPunct w:val="0"/>
        <w:autoSpaceDE w:val="0"/>
        <w:autoSpaceDN w:val="0"/>
        <w:adjustRightInd w:val="0"/>
        <w:spacing w:line="480" w:lineRule="exact"/>
        <w:ind w:firstLine="567"/>
        <w:jc w:val="left"/>
        <w:rPr>
          <w:rFonts w:ascii="宋体"/>
          <w:kern w:val="0"/>
          <w:sz w:val="24"/>
          <w:highlight w:val="none"/>
          <w:u w:val="single"/>
        </w:rPr>
      </w:pPr>
      <w:r>
        <w:rPr>
          <w:rFonts w:hint="eastAsia" w:ascii="宋体" w:hAnsi="宋体"/>
          <w:kern w:val="0"/>
          <w:sz w:val="24"/>
          <w:highlight w:val="none"/>
        </w:rPr>
        <w:t>投标人：</w:t>
      </w:r>
      <w:r>
        <w:rPr>
          <w:rFonts w:hint="eastAsia" w:ascii="宋体" w:hAnsi="宋体"/>
          <w:kern w:val="0"/>
          <w:sz w:val="24"/>
          <w:highlight w:val="none"/>
          <w:u w:val="single"/>
        </w:rPr>
        <w:t>（盖章）</w:t>
      </w:r>
      <w:r>
        <w:rPr>
          <w:rFonts w:ascii="宋体" w:hAnsi="宋体"/>
          <w:kern w:val="0"/>
          <w:sz w:val="24"/>
          <w:highlight w:val="none"/>
          <w:u w:val="single"/>
        </w:rPr>
        <w:t xml:space="preserve">          </w:t>
      </w:r>
    </w:p>
    <w:p>
      <w:pPr>
        <w:overflowPunct w:val="0"/>
        <w:autoSpaceDE w:val="0"/>
        <w:autoSpaceDN w:val="0"/>
        <w:adjustRightInd w:val="0"/>
        <w:spacing w:line="480" w:lineRule="exact"/>
        <w:ind w:firstLine="567"/>
        <w:jc w:val="left"/>
        <w:rPr>
          <w:rFonts w:ascii="宋体"/>
          <w:kern w:val="0"/>
          <w:sz w:val="24"/>
          <w:highlight w:val="none"/>
          <w:u w:val="single"/>
        </w:rPr>
      </w:pPr>
      <w:r>
        <w:rPr>
          <w:rFonts w:hint="eastAsia" w:ascii="宋体" w:hAnsi="宋体"/>
          <w:kern w:val="0"/>
          <w:sz w:val="24"/>
          <w:highlight w:val="none"/>
        </w:rPr>
        <w:t>法定代表人：</w:t>
      </w:r>
      <w:r>
        <w:rPr>
          <w:rFonts w:hint="eastAsia" w:ascii="宋体" w:hAnsi="宋体"/>
          <w:kern w:val="0"/>
          <w:sz w:val="24"/>
          <w:highlight w:val="none"/>
          <w:u w:val="single"/>
        </w:rPr>
        <w:t>（签字或盖章）</w:t>
      </w:r>
    </w:p>
    <w:p>
      <w:pPr>
        <w:overflowPunct w:val="0"/>
        <w:autoSpaceDE w:val="0"/>
        <w:autoSpaceDN w:val="0"/>
        <w:adjustRightInd w:val="0"/>
        <w:spacing w:line="480" w:lineRule="exact"/>
        <w:ind w:firstLine="567"/>
        <w:jc w:val="left"/>
        <w:rPr>
          <w:rFonts w:ascii="宋体"/>
          <w:kern w:val="0"/>
          <w:sz w:val="24"/>
          <w:highlight w:val="none"/>
        </w:rPr>
      </w:pPr>
      <w:r>
        <w:rPr>
          <w:rFonts w:hint="eastAsia" w:ascii="宋体" w:hAnsi="宋体"/>
          <w:kern w:val="0"/>
          <w:sz w:val="24"/>
          <w:highlight w:val="none"/>
        </w:rPr>
        <w:t>授权委托日期：</w:t>
      </w:r>
      <w:r>
        <w:rPr>
          <w:rFonts w:ascii="宋体" w:hAnsi="宋体"/>
          <w:kern w:val="0"/>
          <w:sz w:val="24"/>
          <w:highlight w:val="none"/>
        </w:rPr>
        <w:t xml:space="preserve"> </w:t>
      </w:r>
      <w:r>
        <w:rPr>
          <w:rFonts w:hint="eastAsia" w:ascii="宋体" w:hAnsi="宋体"/>
          <w:kern w:val="0"/>
          <w:sz w:val="24"/>
          <w:highlight w:val="none"/>
        </w:rPr>
        <w:t>年</w:t>
      </w:r>
      <w:r>
        <w:rPr>
          <w:rFonts w:ascii="宋体" w:hAnsi="宋体"/>
          <w:kern w:val="0"/>
          <w:sz w:val="24"/>
          <w:highlight w:val="none"/>
        </w:rPr>
        <w:t xml:space="preserve"> </w:t>
      </w:r>
      <w:r>
        <w:rPr>
          <w:rFonts w:hint="eastAsia" w:ascii="宋体" w:hAnsi="宋体"/>
          <w:kern w:val="0"/>
          <w:sz w:val="24"/>
          <w:highlight w:val="none"/>
        </w:rPr>
        <w:t>月</w:t>
      </w:r>
      <w:r>
        <w:rPr>
          <w:rFonts w:ascii="宋体" w:hAnsi="宋体"/>
          <w:kern w:val="0"/>
          <w:sz w:val="24"/>
          <w:highlight w:val="none"/>
        </w:rPr>
        <w:t xml:space="preserve"> </w:t>
      </w:r>
      <w:r>
        <w:rPr>
          <w:rFonts w:hint="eastAsia" w:ascii="宋体" w:hAnsi="宋体"/>
          <w:kern w:val="0"/>
          <w:sz w:val="24"/>
          <w:highlight w:val="none"/>
        </w:rPr>
        <w:t>日</w:t>
      </w:r>
    </w:p>
    <w:p>
      <w:pPr>
        <w:pStyle w:val="19"/>
        <w:spacing w:line="480" w:lineRule="exact"/>
        <w:rPr>
          <w:rFonts w:ascii="宋体"/>
          <w:bCs/>
          <w:highlight w:val="none"/>
        </w:rPr>
      </w:pPr>
      <w:r>
        <w:rPr>
          <w:rFonts w:ascii="宋体"/>
          <w:bCs/>
          <w:highlight w:val="none"/>
        </w:rPr>
        <w:br w:type="page"/>
      </w:r>
      <w:r>
        <w:rPr>
          <w:rFonts w:hint="eastAsia" w:ascii="宋体" w:hAnsi="宋体"/>
          <w:bCs/>
          <w:highlight w:val="none"/>
        </w:rPr>
        <w:t>附件三：</w:t>
      </w:r>
    </w:p>
    <w:p>
      <w:pPr>
        <w:pStyle w:val="19"/>
        <w:spacing w:after="145" w:afterLines="50" w:line="480" w:lineRule="exact"/>
        <w:jc w:val="center"/>
        <w:rPr>
          <w:rFonts w:ascii="宋体"/>
          <w:b/>
          <w:bCs/>
          <w:sz w:val="32"/>
          <w:szCs w:val="32"/>
          <w:highlight w:val="none"/>
        </w:rPr>
      </w:pPr>
      <w:r>
        <w:rPr>
          <w:rFonts w:hint="eastAsia" w:ascii="宋体" w:hAnsi="宋体"/>
          <w:b/>
          <w:bCs/>
          <w:sz w:val="32"/>
          <w:szCs w:val="32"/>
          <w:highlight w:val="none"/>
        </w:rPr>
        <w:t>开标一览表</w:t>
      </w:r>
    </w:p>
    <w:p>
      <w:pPr>
        <w:pStyle w:val="19"/>
        <w:spacing w:line="480" w:lineRule="exact"/>
        <w:jc w:val="center"/>
        <w:rPr>
          <w:rFonts w:ascii="宋体"/>
          <w:bCs/>
          <w:szCs w:val="24"/>
          <w:highlight w:val="none"/>
        </w:rPr>
      </w:pPr>
      <w:r>
        <w:rPr>
          <w:rFonts w:ascii="宋体" w:hAnsi="宋体"/>
          <w:bCs/>
          <w:szCs w:val="24"/>
          <w:highlight w:val="none"/>
        </w:rPr>
        <w:t xml:space="preserve">                                                       </w:t>
      </w:r>
      <w:r>
        <w:rPr>
          <w:rFonts w:hint="eastAsia" w:ascii="宋体" w:hAnsi="宋体"/>
          <w:bCs/>
          <w:szCs w:val="24"/>
          <w:highlight w:val="none"/>
        </w:rPr>
        <w:t>单位：元人民币</w:t>
      </w:r>
    </w:p>
    <w:tbl>
      <w:tblPr>
        <w:tblStyle w:val="49"/>
        <w:tblW w:w="9820" w:type="dxa"/>
        <w:tblInd w:w="-2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99"/>
        <w:gridCol w:w="71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5" w:hRule="atLeast"/>
        </w:trPr>
        <w:tc>
          <w:tcPr>
            <w:tcW w:w="2699" w:type="dxa"/>
            <w:vAlign w:val="center"/>
          </w:tcPr>
          <w:p>
            <w:pPr>
              <w:spacing w:line="480" w:lineRule="exact"/>
              <w:jc w:val="center"/>
              <w:rPr>
                <w:rFonts w:ascii="宋体"/>
                <w:bCs/>
                <w:sz w:val="24"/>
                <w:highlight w:val="none"/>
              </w:rPr>
            </w:pPr>
            <w:r>
              <w:rPr>
                <w:rFonts w:hint="eastAsia" w:ascii="宋体" w:hAnsi="宋体"/>
                <w:bCs/>
                <w:sz w:val="24"/>
                <w:highlight w:val="none"/>
              </w:rPr>
              <w:t>项目名称</w:t>
            </w:r>
          </w:p>
        </w:tc>
        <w:tc>
          <w:tcPr>
            <w:tcW w:w="7121" w:type="dxa"/>
            <w:vAlign w:val="center"/>
          </w:tcPr>
          <w:p>
            <w:pPr>
              <w:spacing w:line="480" w:lineRule="exact"/>
              <w:rPr>
                <w:rFonts w:ascii="宋体"/>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5" w:hRule="atLeast"/>
        </w:trPr>
        <w:tc>
          <w:tcPr>
            <w:tcW w:w="2699" w:type="dxa"/>
            <w:vAlign w:val="center"/>
          </w:tcPr>
          <w:p>
            <w:pPr>
              <w:spacing w:line="480" w:lineRule="exact"/>
              <w:jc w:val="center"/>
              <w:rPr>
                <w:rFonts w:ascii="宋体"/>
                <w:bCs/>
                <w:sz w:val="24"/>
                <w:highlight w:val="none"/>
              </w:rPr>
            </w:pPr>
            <w:r>
              <w:rPr>
                <w:rFonts w:hint="eastAsia" w:ascii="宋体" w:hAnsi="宋体"/>
                <w:bCs/>
                <w:sz w:val="24"/>
                <w:highlight w:val="none"/>
              </w:rPr>
              <w:t>投标人名称</w:t>
            </w:r>
          </w:p>
        </w:tc>
        <w:tc>
          <w:tcPr>
            <w:tcW w:w="7121" w:type="dxa"/>
            <w:vAlign w:val="center"/>
          </w:tcPr>
          <w:p>
            <w:pPr>
              <w:spacing w:line="480" w:lineRule="exact"/>
              <w:rPr>
                <w:rFonts w:ascii="宋体"/>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9" w:hRule="atLeast"/>
        </w:trPr>
        <w:tc>
          <w:tcPr>
            <w:tcW w:w="2699" w:type="dxa"/>
            <w:vAlign w:val="center"/>
          </w:tcPr>
          <w:p>
            <w:pPr>
              <w:spacing w:line="480" w:lineRule="exact"/>
              <w:jc w:val="center"/>
              <w:rPr>
                <w:rFonts w:ascii="宋体"/>
                <w:bCs/>
                <w:sz w:val="24"/>
                <w:highlight w:val="none"/>
              </w:rPr>
            </w:pPr>
            <w:r>
              <w:rPr>
                <w:rFonts w:hint="eastAsia" w:ascii="宋体" w:hAnsi="宋体"/>
                <w:bCs/>
                <w:sz w:val="24"/>
                <w:highlight w:val="none"/>
              </w:rPr>
              <w:t>投标报价</w:t>
            </w:r>
          </w:p>
        </w:tc>
        <w:tc>
          <w:tcPr>
            <w:tcW w:w="7121" w:type="dxa"/>
            <w:vAlign w:val="center"/>
          </w:tcPr>
          <w:p>
            <w:pPr>
              <w:spacing w:line="360" w:lineRule="auto"/>
              <w:rPr>
                <w:rFonts w:ascii="宋体" w:hAnsi="宋体" w:cs="宋体"/>
                <w:szCs w:val="20"/>
                <w:highlight w:val="none"/>
              </w:rPr>
            </w:pPr>
            <w:r>
              <w:rPr>
                <w:rFonts w:ascii="宋体" w:hAnsi="宋体" w:cs="宋体"/>
                <w:szCs w:val="20"/>
                <w:highlight w:val="none"/>
              </w:rPr>
              <w:t>（大写）：</w:t>
            </w:r>
          </w:p>
          <w:p>
            <w:pPr>
              <w:spacing w:line="480" w:lineRule="exact"/>
              <w:rPr>
                <w:rFonts w:ascii="宋体" w:hAnsi="宋体"/>
                <w:sz w:val="24"/>
                <w:highlight w:val="none"/>
              </w:rPr>
            </w:pPr>
            <w:r>
              <w:rPr>
                <w:rFonts w:ascii="宋体" w:hAnsi="宋体" w:cs="宋体"/>
                <w:szCs w:val="20"/>
                <w:highlight w:val="none"/>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5" w:hRule="atLeast"/>
        </w:trPr>
        <w:tc>
          <w:tcPr>
            <w:tcW w:w="2699" w:type="dxa"/>
            <w:vAlign w:val="center"/>
          </w:tcPr>
          <w:p>
            <w:pPr>
              <w:spacing w:line="480" w:lineRule="exact"/>
              <w:jc w:val="center"/>
              <w:rPr>
                <w:rFonts w:ascii="宋体"/>
                <w:bCs/>
                <w:sz w:val="24"/>
                <w:highlight w:val="none"/>
              </w:rPr>
            </w:pPr>
            <w:r>
              <w:rPr>
                <w:rFonts w:hint="eastAsia" w:ascii="宋体" w:hAnsi="宋体"/>
                <w:bCs/>
                <w:sz w:val="24"/>
                <w:highlight w:val="none"/>
              </w:rPr>
              <w:t>交付期</w:t>
            </w:r>
          </w:p>
        </w:tc>
        <w:tc>
          <w:tcPr>
            <w:tcW w:w="7121" w:type="dxa"/>
            <w:vAlign w:val="center"/>
          </w:tcPr>
          <w:p>
            <w:pPr>
              <w:spacing w:line="480" w:lineRule="exact"/>
              <w:rPr>
                <w:rFonts w:ascii="宋体"/>
                <w:bCs/>
                <w:sz w:val="24"/>
                <w:highlight w:val="none"/>
              </w:rPr>
            </w:pPr>
            <w:r>
              <w:rPr>
                <w:color w:val="000000"/>
                <w:sz w:val="24"/>
                <w:highlight w:val="none"/>
              </w:rPr>
              <w:t>合同生效之日起</w:t>
            </w:r>
            <w:r>
              <w:rPr>
                <w:color w:val="000000"/>
                <w:sz w:val="24"/>
                <w:highlight w:val="none"/>
                <w:u w:val="single"/>
              </w:rPr>
              <w:t xml:space="preserve">    </w:t>
            </w:r>
            <w:r>
              <w:rPr>
                <w:color w:val="000000"/>
                <w:sz w:val="24"/>
                <w:highlight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5" w:hRule="atLeast"/>
        </w:trPr>
        <w:tc>
          <w:tcPr>
            <w:tcW w:w="2699" w:type="dxa"/>
            <w:vAlign w:val="center"/>
          </w:tcPr>
          <w:p>
            <w:pPr>
              <w:spacing w:line="480" w:lineRule="exact"/>
              <w:jc w:val="center"/>
              <w:rPr>
                <w:rFonts w:ascii="宋体"/>
                <w:sz w:val="24"/>
                <w:highlight w:val="none"/>
              </w:rPr>
            </w:pPr>
            <w:r>
              <w:rPr>
                <w:rFonts w:hint="eastAsia" w:ascii="宋体" w:hAnsi="宋体"/>
                <w:sz w:val="24"/>
                <w:highlight w:val="none"/>
              </w:rPr>
              <w:t>质保期</w:t>
            </w:r>
          </w:p>
        </w:tc>
        <w:tc>
          <w:tcPr>
            <w:tcW w:w="7121" w:type="dxa"/>
            <w:vAlign w:val="center"/>
          </w:tcPr>
          <w:p>
            <w:pPr>
              <w:spacing w:line="480" w:lineRule="exact"/>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7" w:hRule="atLeast"/>
        </w:trPr>
        <w:tc>
          <w:tcPr>
            <w:tcW w:w="2699" w:type="dxa"/>
            <w:vAlign w:val="center"/>
          </w:tcPr>
          <w:p>
            <w:pPr>
              <w:spacing w:line="480" w:lineRule="exact"/>
              <w:jc w:val="center"/>
              <w:rPr>
                <w:rFonts w:ascii="宋体"/>
                <w:bCs/>
                <w:sz w:val="24"/>
                <w:highlight w:val="none"/>
              </w:rPr>
            </w:pPr>
            <w:r>
              <w:rPr>
                <w:rFonts w:hint="eastAsia" w:ascii="宋体" w:hAnsi="宋体"/>
                <w:bCs/>
                <w:sz w:val="24"/>
                <w:highlight w:val="none"/>
              </w:rPr>
              <w:t>投标人对招标文件的</w:t>
            </w:r>
          </w:p>
          <w:p>
            <w:pPr>
              <w:spacing w:line="480" w:lineRule="exact"/>
              <w:jc w:val="center"/>
              <w:rPr>
                <w:rFonts w:ascii="宋体"/>
                <w:bCs/>
                <w:sz w:val="24"/>
                <w:highlight w:val="none"/>
              </w:rPr>
            </w:pPr>
            <w:r>
              <w:rPr>
                <w:rFonts w:hint="eastAsia" w:ascii="宋体" w:hAnsi="宋体"/>
                <w:bCs/>
                <w:sz w:val="24"/>
                <w:highlight w:val="none"/>
              </w:rPr>
              <w:t>认同情况</w:t>
            </w:r>
          </w:p>
        </w:tc>
        <w:tc>
          <w:tcPr>
            <w:tcW w:w="7121" w:type="dxa"/>
            <w:vAlign w:val="center"/>
          </w:tcPr>
          <w:p>
            <w:pPr>
              <w:spacing w:line="480" w:lineRule="exact"/>
              <w:rPr>
                <w:rFonts w:ascii="宋体"/>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3" w:hRule="atLeast"/>
        </w:trPr>
        <w:tc>
          <w:tcPr>
            <w:tcW w:w="2699" w:type="dxa"/>
            <w:vAlign w:val="center"/>
          </w:tcPr>
          <w:p>
            <w:pPr>
              <w:spacing w:line="480" w:lineRule="exact"/>
              <w:jc w:val="center"/>
              <w:rPr>
                <w:rFonts w:ascii="宋体"/>
                <w:bCs/>
                <w:sz w:val="24"/>
                <w:highlight w:val="none"/>
              </w:rPr>
            </w:pPr>
            <w:r>
              <w:rPr>
                <w:rFonts w:hint="eastAsia" w:ascii="宋体" w:hAnsi="宋体"/>
                <w:bCs/>
                <w:sz w:val="24"/>
                <w:highlight w:val="none"/>
              </w:rPr>
              <w:t>备注</w:t>
            </w:r>
          </w:p>
        </w:tc>
        <w:tc>
          <w:tcPr>
            <w:tcW w:w="7121" w:type="dxa"/>
            <w:vAlign w:val="center"/>
          </w:tcPr>
          <w:p>
            <w:pPr>
              <w:spacing w:line="480" w:lineRule="exact"/>
              <w:rPr>
                <w:rFonts w:ascii="宋体"/>
                <w:bCs/>
                <w:sz w:val="24"/>
                <w:highlight w:val="none"/>
              </w:rPr>
            </w:pPr>
          </w:p>
        </w:tc>
      </w:tr>
    </w:tbl>
    <w:p>
      <w:pPr>
        <w:pStyle w:val="96"/>
        <w:spacing w:before="240" w:line="480" w:lineRule="exact"/>
        <w:ind w:firstLine="0" w:firstLineChars="0"/>
        <w:rPr>
          <w:rFonts w:ascii="宋体"/>
          <w:highlight w:val="none"/>
        </w:rPr>
      </w:pPr>
      <w:r>
        <w:rPr>
          <w:rFonts w:hint="eastAsia" w:ascii="宋体" w:hAnsi="宋体"/>
          <w:highlight w:val="none"/>
        </w:rPr>
        <w:t>投标人名称（盖章）：</w:t>
      </w:r>
    </w:p>
    <w:p>
      <w:pPr>
        <w:pStyle w:val="96"/>
        <w:spacing w:before="240" w:line="480" w:lineRule="exact"/>
        <w:ind w:firstLine="0" w:firstLineChars="0"/>
        <w:rPr>
          <w:rFonts w:ascii="宋体"/>
          <w:highlight w:val="none"/>
        </w:rPr>
      </w:pPr>
      <w:r>
        <w:rPr>
          <w:rFonts w:hint="eastAsia" w:ascii="宋体" w:hAnsi="宋体"/>
          <w:highlight w:val="none"/>
        </w:rPr>
        <w:t>授权代表（签字或盖章）：</w:t>
      </w:r>
    </w:p>
    <w:p>
      <w:pPr>
        <w:pStyle w:val="96"/>
        <w:spacing w:before="240" w:line="480" w:lineRule="exact"/>
        <w:ind w:right="94" w:firstLine="7182" w:firstLineChars="2850"/>
        <w:rPr>
          <w:rFonts w:ascii="宋体"/>
          <w:highlight w:val="none"/>
        </w:rPr>
      </w:pPr>
      <w:r>
        <w:rPr>
          <w:rFonts w:hint="eastAsia" w:ascii="宋体" w:hAnsi="宋体"/>
          <w:highlight w:val="none"/>
        </w:rPr>
        <w:t>年</w:t>
      </w:r>
      <w:r>
        <w:rPr>
          <w:rFonts w:ascii="宋体" w:hAnsi="宋体"/>
          <w:highlight w:val="none"/>
        </w:rPr>
        <w:t xml:space="preserve">  </w:t>
      </w:r>
      <w:r>
        <w:rPr>
          <w:rFonts w:hint="eastAsia" w:ascii="宋体" w:hAnsi="宋体"/>
          <w:highlight w:val="none"/>
        </w:rPr>
        <w:t>月</w:t>
      </w:r>
      <w:r>
        <w:rPr>
          <w:rFonts w:ascii="宋体" w:hAnsi="宋体"/>
          <w:highlight w:val="none"/>
        </w:rPr>
        <w:t xml:space="preserve">  </w:t>
      </w:r>
      <w:r>
        <w:rPr>
          <w:rFonts w:hint="eastAsia" w:ascii="宋体" w:hAnsi="宋体"/>
          <w:highlight w:val="none"/>
        </w:rPr>
        <w:t>日</w:t>
      </w:r>
    </w:p>
    <w:p>
      <w:pPr>
        <w:spacing w:line="480" w:lineRule="exact"/>
        <w:rPr>
          <w:sz w:val="24"/>
          <w:highlight w:val="none"/>
        </w:rPr>
      </w:pPr>
      <w:r>
        <w:rPr>
          <w:rFonts w:hint="eastAsia" w:ascii="宋体" w:hAnsi="宋体"/>
          <w:sz w:val="24"/>
          <w:highlight w:val="none"/>
        </w:rPr>
        <w:t>说明：</w:t>
      </w:r>
      <w:r>
        <w:rPr>
          <w:rFonts w:hint="eastAsia"/>
          <w:sz w:val="24"/>
          <w:highlight w:val="none"/>
        </w:rPr>
        <w:t>本报价内容一览表除与投标文件装订在一起外，应单独密封一份用于唱标，各项内容务必填写详细，可以填满，但不允许添加附页。</w:t>
      </w:r>
      <w:r>
        <w:rPr>
          <w:sz w:val="24"/>
          <w:highlight w:val="none"/>
        </w:rPr>
        <w:t xml:space="preserve"> </w:t>
      </w:r>
    </w:p>
    <w:p>
      <w:pPr>
        <w:spacing w:line="480" w:lineRule="exact"/>
        <w:rPr>
          <w:rFonts w:ascii="宋体"/>
          <w:b/>
          <w:sz w:val="24"/>
          <w:highlight w:val="none"/>
        </w:rPr>
      </w:pPr>
    </w:p>
    <w:p>
      <w:pPr>
        <w:spacing w:line="480" w:lineRule="exact"/>
        <w:rPr>
          <w:rFonts w:ascii="宋体"/>
          <w:b/>
          <w:sz w:val="24"/>
          <w:highlight w:val="none"/>
        </w:rPr>
        <w:sectPr>
          <w:footerReference r:id="rId8" w:type="first"/>
          <w:footerReference r:id="rId7" w:type="default"/>
          <w:type w:val="continuous"/>
          <w:pgSz w:w="11907" w:h="16840"/>
          <w:pgMar w:top="1304" w:right="1213" w:bottom="1157" w:left="1418" w:header="851" w:footer="851" w:gutter="0"/>
          <w:cols w:space="720" w:num="1"/>
          <w:titlePg/>
          <w:docGrid w:type="lines" w:linePitch="290" w:charSpace="-3931"/>
        </w:sectPr>
      </w:pPr>
    </w:p>
    <w:p>
      <w:pPr>
        <w:pStyle w:val="15"/>
        <w:spacing w:line="480" w:lineRule="exact"/>
        <w:rPr>
          <w:rFonts w:ascii="宋体" w:hAnsi="宋体" w:eastAsia="宋体"/>
          <w:highlight w:val="none"/>
        </w:rPr>
      </w:pPr>
      <w:r>
        <w:rPr>
          <w:rFonts w:hint="eastAsia" w:ascii="宋体" w:hAnsi="宋体" w:eastAsia="宋体" w:cs="Times New Roman"/>
          <w:sz w:val="24"/>
          <w:szCs w:val="24"/>
          <w:highlight w:val="none"/>
        </w:rPr>
        <w:br w:type="page"/>
      </w:r>
      <w:r>
        <w:rPr>
          <w:rFonts w:hint="eastAsia" w:ascii="宋体" w:hAnsi="宋体" w:eastAsia="宋体" w:cs="Times New Roman"/>
          <w:sz w:val="24"/>
          <w:szCs w:val="24"/>
          <w:highlight w:val="none"/>
        </w:rPr>
        <w:t>附件四：</w:t>
      </w:r>
    </w:p>
    <w:p>
      <w:pPr>
        <w:pStyle w:val="15"/>
        <w:spacing w:line="480" w:lineRule="exact"/>
        <w:jc w:val="center"/>
        <w:rPr>
          <w:rFonts w:ascii="宋体" w:hAnsi="宋体" w:eastAsia="宋体" w:cs="Times New Roman"/>
          <w:b/>
          <w:sz w:val="32"/>
          <w:szCs w:val="32"/>
          <w:highlight w:val="none"/>
        </w:rPr>
      </w:pPr>
      <w:r>
        <w:rPr>
          <w:rFonts w:hint="eastAsia" w:ascii="宋体" w:hAnsi="宋体" w:eastAsia="宋体" w:cs="Times New Roman"/>
          <w:b/>
          <w:sz w:val="32"/>
          <w:szCs w:val="32"/>
          <w:highlight w:val="none"/>
        </w:rPr>
        <w:t>技术偏离表</w:t>
      </w:r>
    </w:p>
    <w:p>
      <w:pPr>
        <w:spacing w:line="480" w:lineRule="exact"/>
        <w:rPr>
          <w:highlight w:val="none"/>
        </w:rPr>
      </w:pPr>
      <w:r>
        <w:rPr>
          <w:rFonts w:hint="eastAsia" w:ascii="宋体" w:hAnsi="宋体"/>
          <w:sz w:val="24"/>
          <w:highlight w:val="none"/>
        </w:rPr>
        <w:t>项目名称</w:t>
      </w:r>
      <w:r>
        <w:rPr>
          <w:rFonts w:ascii="宋体" w:hAnsi="宋体"/>
          <w:sz w:val="24"/>
          <w:highlight w:val="none"/>
        </w:rPr>
        <w:t xml:space="preserve"> :                              </w:t>
      </w:r>
      <w:r>
        <w:rPr>
          <w:rFonts w:hint="eastAsia" w:ascii="宋体" w:hAnsi="宋体"/>
          <w:sz w:val="24"/>
          <w:highlight w:val="none"/>
        </w:rPr>
        <w:t xml:space="preserve">                        </w:t>
      </w:r>
      <w:r>
        <w:rPr>
          <w:rFonts w:ascii="宋体" w:hAnsi="宋体"/>
          <w:sz w:val="24"/>
          <w:highlight w:val="none"/>
        </w:rPr>
        <w:t xml:space="preserve">  </w:t>
      </w:r>
    </w:p>
    <w:tbl>
      <w:tblPr>
        <w:tblStyle w:val="49"/>
        <w:tblW w:w="93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298"/>
        <w:gridCol w:w="1404"/>
        <w:gridCol w:w="1525"/>
        <w:gridCol w:w="1646"/>
        <w:gridCol w:w="1188"/>
        <w:gridCol w:w="1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4" w:hRule="atLeast"/>
        </w:trPr>
        <w:tc>
          <w:tcPr>
            <w:tcW w:w="900" w:type="dxa"/>
            <w:vAlign w:val="center"/>
          </w:tcPr>
          <w:p>
            <w:pPr>
              <w:spacing w:line="480" w:lineRule="exact"/>
              <w:jc w:val="center"/>
              <w:rPr>
                <w:rFonts w:ascii="宋体"/>
                <w:sz w:val="24"/>
                <w:highlight w:val="none"/>
              </w:rPr>
            </w:pPr>
            <w:r>
              <w:rPr>
                <w:rFonts w:hint="eastAsia" w:ascii="宋体"/>
                <w:sz w:val="24"/>
                <w:highlight w:val="none"/>
              </w:rPr>
              <w:t>序号</w:t>
            </w:r>
          </w:p>
        </w:tc>
        <w:tc>
          <w:tcPr>
            <w:tcW w:w="1298" w:type="dxa"/>
            <w:vAlign w:val="center"/>
          </w:tcPr>
          <w:p>
            <w:pPr>
              <w:spacing w:line="480" w:lineRule="exact"/>
              <w:jc w:val="center"/>
              <w:rPr>
                <w:rFonts w:ascii="宋体"/>
                <w:sz w:val="24"/>
                <w:highlight w:val="none"/>
              </w:rPr>
            </w:pPr>
            <w:r>
              <w:rPr>
                <w:rFonts w:hint="eastAsia" w:ascii="宋体"/>
                <w:sz w:val="24"/>
                <w:highlight w:val="none"/>
              </w:rPr>
              <w:t>招标文件条目号</w:t>
            </w:r>
          </w:p>
        </w:tc>
        <w:tc>
          <w:tcPr>
            <w:tcW w:w="1404" w:type="dxa"/>
            <w:vAlign w:val="center"/>
          </w:tcPr>
          <w:p>
            <w:pPr>
              <w:spacing w:line="480" w:lineRule="exact"/>
              <w:jc w:val="center"/>
              <w:rPr>
                <w:rFonts w:ascii="宋体"/>
                <w:sz w:val="24"/>
                <w:highlight w:val="none"/>
              </w:rPr>
            </w:pPr>
            <w:r>
              <w:rPr>
                <w:rFonts w:hint="eastAsia" w:ascii="宋体"/>
                <w:sz w:val="24"/>
                <w:highlight w:val="none"/>
              </w:rPr>
              <w:t>招标文件技术要求</w:t>
            </w:r>
          </w:p>
        </w:tc>
        <w:tc>
          <w:tcPr>
            <w:tcW w:w="1525" w:type="dxa"/>
            <w:vAlign w:val="center"/>
          </w:tcPr>
          <w:p>
            <w:pPr>
              <w:spacing w:line="480" w:lineRule="exact"/>
              <w:jc w:val="center"/>
              <w:rPr>
                <w:rFonts w:ascii="宋体"/>
                <w:sz w:val="24"/>
                <w:highlight w:val="none"/>
              </w:rPr>
            </w:pPr>
            <w:r>
              <w:rPr>
                <w:rFonts w:hint="eastAsia" w:ascii="宋体"/>
                <w:sz w:val="24"/>
                <w:highlight w:val="none"/>
              </w:rPr>
              <w:t>投标文件实际情况</w:t>
            </w:r>
          </w:p>
        </w:tc>
        <w:tc>
          <w:tcPr>
            <w:tcW w:w="1646" w:type="dxa"/>
            <w:vAlign w:val="center"/>
          </w:tcPr>
          <w:p>
            <w:pPr>
              <w:spacing w:line="480" w:lineRule="exact"/>
              <w:jc w:val="center"/>
              <w:rPr>
                <w:rFonts w:ascii="宋体"/>
                <w:sz w:val="24"/>
                <w:highlight w:val="none"/>
              </w:rPr>
            </w:pPr>
            <w:r>
              <w:rPr>
                <w:rFonts w:hint="eastAsia" w:ascii="宋体"/>
                <w:sz w:val="24"/>
                <w:highlight w:val="none"/>
              </w:rPr>
              <w:t>投标文件对应的页码及条目号</w:t>
            </w:r>
          </w:p>
        </w:tc>
        <w:tc>
          <w:tcPr>
            <w:tcW w:w="1188" w:type="dxa"/>
            <w:vAlign w:val="center"/>
          </w:tcPr>
          <w:p>
            <w:pPr>
              <w:spacing w:line="480" w:lineRule="exact"/>
              <w:jc w:val="center"/>
              <w:rPr>
                <w:rFonts w:ascii="宋体"/>
                <w:sz w:val="24"/>
                <w:highlight w:val="none"/>
              </w:rPr>
            </w:pPr>
            <w:r>
              <w:rPr>
                <w:rFonts w:hint="eastAsia" w:ascii="宋体"/>
                <w:sz w:val="24"/>
                <w:highlight w:val="none"/>
              </w:rPr>
              <w:t>偏离情况</w:t>
            </w:r>
          </w:p>
        </w:tc>
        <w:tc>
          <w:tcPr>
            <w:tcW w:w="1359" w:type="dxa"/>
            <w:vAlign w:val="center"/>
          </w:tcPr>
          <w:p>
            <w:pPr>
              <w:spacing w:line="480" w:lineRule="exact"/>
              <w:jc w:val="center"/>
              <w:rPr>
                <w:rFonts w:ascii="宋体"/>
                <w:sz w:val="24"/>
                <w:highlight w:val="none"/>
              </w:rPr>
            </w:pPr>
            <w:r>
              <w:rPr>
                <w:rFonts w:hint="eastAsia" w:ascii="宋体"/>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2" w:hRule="atLeast"/>
        </w:trPr>
        <w:tc>
          <w:tcPr>
            <w:tcW w:w="900" w:type="dxa"/>
            <w:vAlign w:val="center"/>
          </w:tcPr>
          <w:p>
            <w:pPr>
              <w:spacing w:line="480" w:lineRule="exact"/>
              <w:jc w:val="center"/>
              <w:rPr>
                <w:rFonts w:ascii="宋体"/>
                <w:sz w:val="24"/>
                <w:highlight w:val="none"/>
              </w:rPr>
            </w:pPr>
          </w:p>
        </w:tc>
        <w:tc>
          <w:tcPr>
            <w:tcW w:w="1298" w:type="dxa"/>
            <w:vAlign w:val="center"/>
          </w:tcPr>
          <w:p>
            <w:pPr>
              <w:spacing w:line="480" w:lineRule="exact"/>
              <w:jc w:val="center"/>
              <w:rPr>
                <w:rFonts w:ascii="宋体"/>
                <w:sz w:val="24"/>
                <w:highlight w:val="none"/>
              </w:rPr>
            </w:pPr>
          </w:p>
        </w:tc>
        <w:tc>
          <w:tcPr>
            <w:tcW w:w="1404" w:type="dxa"/>
            <w:vAlign w:val="center"/>
          </w:tcPr>
          <w:p>
            <w:pPr>
              <w:spacing w:line="480" w:lineRule="exact"/>
              <w:jc w:val="center"/>
              <w:rPr>
                <w:rFonts w:ascii="宋体"/>
                <w:sz w:val="24"/>
                <w:highlight w:val="none"/>
              </w:rPr>
            </w:pPr>
          </w:p>
        </w:tc>
        <w:tc>
          <w:tcPr>
            <w:tcW w:w="1525" w:type="dxa"/>
            <w:vAlign w:val="center"/>
          </w:tcPr>
          <w:p>
            <w:pPr>
              <w:spacing w:line="480" w:lineRule="exact"/>
              <w:jc w:val="center"/>
              <w:rPr>
                <w:rFonts w:ascii="宋体"/>
                <w:sz w:val="24"/>
                <w:highlight w:val="none"/>
              </w:rPr>
            </w:pPr>
          </w:p>
        </w:tc>
        <w:tc>
          <w:tcPr>
            <w:tcW w:w="1646" w:type="dxa"/>
            <w:vAlign w:val="center"/>
          </w:tcPr>
          <w:p>
            <w:pPr>
              <w:spacing w:line="480" w:lineRule="exact"/>
              <w:jc w:val="center"/>
              <w:rPr>
                <w:rFonts w:ascii="宋体"/>
                <w:sz w:val="24"/>
                <w:highlight w:val="none"/>
              </w:rPr>
            </w:pPr>
          </w:p>
        </w:tc>
        <w:tc>
          <w:tcPr>
            <w:tcW w:w="1188" w:type="dxa"/>
            <w:vAlign w:val="center"/>
          </w:tcPr>
          <w:p>
            <w:pPr>
              <w:spacing w:line="480" w:lineRule="exact"/>
              <w:jc w:val="center"/>
              <w:rPr>
                <w:rFonts w:ascii="宋体"/>
                <w:sz w:val="24"/>
                <w:highlight w:val="none"/>
              </w:rPr>
            </w:pPr>
          </w:p>
        </w:tc>
        <w:tc>
          <w:tcPr>
            <w:tcW w:w="1359" w:type="dxa"/>
            <w:vAlign w:val="center"/>
          </w:tcPr>
          <w:p>
            <w:pPr>
              <w:spacing w:line="480" w:lineRule="exact"/>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2" w:hRule="atLeast"/>
        </w:trPr>
        <w:tc>
          <w:tcPr>
            <w:tcW w:w="900" w:type="dxa"/>
            <w:vAlign w:val="center"/>
          </w:tcPr>
          <w:p>
            <w:pPr>
              <w:spacing w:line="480" w:lineRule="exact"/>
              <w:jc w:val="center"/>
              <w:rPr>
                <w:rFonts w:ascii="宋体"/>
                <w:sz w:val="24"/>
                <w:highlight w:val="none"/>
              </w:rPr>
            </w:pPr>
          </w:p>
        </w:tc>
        <w:tc>
          <w:tcPr>
            <w:tcW w:w="1298" w:type="dxa"/>
            <w:vAlign w:val="center"/>
          </w:tcPr>
          <w:p>
            <w:pPr>
              <w:spacing w:line="480" w:lineRule="exact"/>
              <w:jc w:val="center"/>
              <w:rPr>
                <w:rFonts w:ascii="宋体"/>
                <w:sz w:val="24"/>
                <w:highlight w:val="none"/>
              </w:rPr>
            </w:pPr>
          </w:p>
        </w:tc>
        <w:tc>
          <w:tcPr>
            <w:tcW w:w="1404" w:type="dxa"/>
            <w:vAlign w:val="center"/>
          </w:tcPr>
          <w:p>
            <w:pPr>
              <w:spacing w:line="480" w:lineRule="exact"/>
              <w:jc w:val="center"/>
              <w:rPr>
                <w:rFonts w:ascii="宋体"/>
                <w:sz w:val="24"/>
                <w:highlight w:val="none"/>
              </w:rPr>
            </w:pPr>
          </w:p>
        </w:tc>
        <w:tc>
          <w:tcPr>
            <w:tcW w:w="1525" w:type="dxa"/>
            <w:vAlign w:val="center"/>
          </w:tcPr>
          <w:p>
            <w:pPr>
              <w:spacing w:line="480" w:lineRule="exact"/>
              <w:jc w:val="center"/>
              <w:rPr>
                <w:rFonts w:ascii="宋体"/>
                <w:sz w:val="24"/>
                <w:highlight w:val="none"/>
              </w:rPr>
            </w:pPr>
          </w:p>
        </w:tc>
        <w:tc>
          <w:tcPr>
            <w:tcW w:w="1646" w:type="dxa"/>
            <w:vAlign w:val="center"/>
          </w:tcPr>
          <w:p>
            <w:pPr>
              <w:spacing w:line="480" w:lineRule="exact"/>
              <w:jc w:val="center"/>
              <w:rPr>
                <w:rFonts w:ascii="宋体"/>
                <w:sz w:val="24"/>
                <w:highlight w:val="none"/>
              </w:rPr>
            </w:pPr>
          </w:p>
        </w:tc>
        <w:tc>
          <w:tcPr>
            <w:tcW w:w="1188" w:type="dxa"/>
            <w:vAlign w:val="center"/>
          </w:tcPr>
          <w:p>
            <w:pPr>
              <w:spacing w:line="480" w:lineRule="exact"/>
              <w:jc w:val="center"/>
              <w:rPr>
                <w:rFonts w:ascii="宋体"/>
                <w:sz w:val="24"/>
                <w:highlight w:val="none"/>
              </w:rPr>
            </w:pPr>
          </w:p>
        </w:tc>
        <w:tc>
          <w:tcPr>
            <w:tcW w:w="1359" w:type="dxa"/>
            <w:vAlign w:val="center"/>
          </w:tcPr>
          <w:p>
            <w:pPr>
              <w:spacing w:line="480" w:lineRule="exact"/>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2" w:hRule="atLeast"/>
        </w:trPr>
        <w:tc>
          <w:tcPr>
            <w:tcW w:w="900" w:type="dxa"/>
            <w:vAlign w:val="center"/>
          </w:tcPr>
          <w:p>
            <w:pPr>
              <w:spacing w:line="480" w:lineRule="exact"/>
              <w:jc w:val="center"/>
              <w:rPr>
                <w:rFonts w:ascii="宋体"/>
                <w:sz w:val="24"/>
                <w:highlight w:val="none"/>
              </w:rPr>
            </w:pPr>
          </w:p>
        </w:tc>
        <w:tc>
          <w:tcPr>
            <w:tcW w:w="1298" w:type="dxa"/>
            <w:vAlign w:val="center"/>
          </w:tcPr>
          <w:p>
            <w:pPr>
              <w:spacing w:line="480" w:lineRule="exact"/>
              <w:jc w:val="center"/>
              <w:rPr>
                <w:rFonts w:ascii="宋体"/>
                <w:sz w:val="24"/>
                <w:highlight w:val="none"/>
              </w:rPr>
            </w:pPr>
          </w:p>
        </w:tc>
        <w:tc>
          <w:tcPr>
            <w:tcW w:w="1404" w:type="dxa"/>
            <w:vAlign w:val="center"/>
          </w:tcPr>
          <w:p>
            <w:pPr>
              <w:spacing w:line="480" w:lineRule="exact"/>
              <w:jc w:val="center"/>
              <w:rPr>
                <w:rFonts w:ascii="宋体"/>
                <w:sz w:val="24"/>
                <w:highlight w:val="none"/>
              </w:rPr>
            </w:pPr>
          </w:p>
        </w:tc>
        <w:tc>
          <w:tcPr>
            <w:tcW w:w="1525" w:type="dxa"/>
            <w:vAlign w:val="center"/>
          </w:tcPr>
          <w:p>
            <w:pPr>
              <w:spacing w:line="480" w:lineRule="exact"/>
              <w:jc w:val="center"/>
              <w:rPr>
                <w:rFonts w:ascii="宋体"/>
                <w:sz w:val="24"/>
                <w:highlight w:val="none"/>
              </w:rPr>
            </w:pPr>
          </w:p>
        </w:tc>
        <w:tc>
          <w:tcPr>
            <w:tcW w:w="1646" w:type="dxa"/>
            <w:vAlign w:val="center"/>
          </w:tcPr>
          <w:p>
            <w:pPr>
              <w:spacing w:line="480" w:lineRule="exact"/>
              <w:jc w:val="center"/>
              <w:rPr>
                <w:rFonts w:ascii="宋体"/>
                <w:sz w:val="24"/>
                <w:highlight w:val="none"/>
              </w:rPr>
            </w:pPr>
          </w:p>
        </w:tc>
        <w:tc>
          <w:tcPr>
            <w:tcW w:w="1188" w:type="dxa"/>
            <w:vAlign w:val="center"/>
          </w:tcPr>
          <w:p>
            <w:pPr>
              <w:spacing w:line="480" w:lineRule="exact"/>
              <w:jc w:val="center"/>
              <w:rPr>
                <w:rFonts w:ascii="宋体"/>
                <w:sz w:val="24"/>
                <w:highlight w:val="none"/>
              </w:rPr>
            </w:pPr>
          </w:p>
        </w:tc>
        <w:tc>
          <w:tcPr>
            <w:tcW w:w="1359" w:type="dxa"/>
            <w:vAlign w:val="center"/>
          </w:tcPr>
          <w:p>
            <w:pPr>
              <w:spacing w:line="480" w:lineRule="exact"/>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2" w:hRule="atLeast"/>
        </w:trPr>
        <w:tc>
          <w:tcPr>
            <w:tcW w:w="900" w:type="dxa"/>
            <w:vAlign w:val="center"/>
          </w:tcPr>
          <w:p>
            <w:pPr>
              <w:spacing w:line="480" w:lineRule="exact"/>
              <w:jc w:val="center"/>
              <w:rPr>
                <w:rFonts w:ascii="宋体"/>
                <w:sz w:val="24"/>
                <w:highlight w:val="none"/>
              </w:rPr>
            </w:pPr>
          </w:p>
        </w:tc>
        <w:tc>
          <w:tcPr>
            <w:tcW w:w="1298" w:type="dxa"/>
            <w:vAlign w:val="center"/>
          </w:tcPr>
          <w:p>
            <w:pPr>
              <w:spacing w:line="480" w:lineRule="exact"/>
              <w:jc w:val="center"/>
              <w:rPr>
                <w:rFonts w:ascii="宋体"/>
                <w:sz w:val="24"/>
                <w:highlight w:val="none"/>
              </w:rPr>
            </w:pPr>
          </w:p>
        </w:tc>
        <w:tc>
          <w:tcPr>
            <w:tcW w:w="1404" w:type="dxa"/>
            <w:vAlign w:val="center"/>
          </w:tcPr>
          <w:p>
            <w:pPr>
              <w:spacing w:line="480" w:lineRule="exact"/>
              <w:jc w:val="center"/>
              <w:rPr>
                <w:rFonts w:ascii="宋体"/>
                <w:sz w:val="24"/>
                <w:highlight w:val="none"/>
              </w:rPr>
            </w:pPr>
          </w:p>
        </w:tc>
        <w:tc>
          <w:tcPr>
            <w:tcW w:w="1525" w:type="dxa"/>
            <w:vAlign w:val="center"/>
          </w:tcPr>
          <w:p>
            <w:pPr>
              <w:spacing w:line="480" w:lineRule="exact"/>
              <w:jc w:val="center"/>
              <w:rPr>
                <w:rFonts w:ascii="宋体"/>
                <w:sz w:val="24"/>
                <w:highlight w:val="none"/>
              </w:rPr>
            </w:pPr>
          </w:p>
        </w:tc>
        <w:tc>
          <w:tcPr>
            <w:tcW w:w="1646" w:type="dxa"/>
            <w:vAlign w:val="center"/>
          </w:tcPr>
          <w:p>
            <w:pPr>
              <w:spacing w:line="480" w:lineRule="exact"/>
              <w:jc w:val="center"/>
              <w:rPr>
                <w:rFonts w:ascii="宋体"/>
                <w:sz w:val="24"/>
                <w:highlight w:val="none"/>
              </w:rPr>
            </w:pPr>
          </w:p>
        </w:tc>
        <w:tc>
          <w:tcPr>
            <w:tcW w:w="1188" w:type="dxa"/>
            <w:vAlign w:val="center"/>
          </w:tcPr>
          <w:p>
            <w:pPr>
              <w:spacing w:line="480" w:lineRule="exact"/>
              <w:jc w:val="center"/>
              <w:rPr>
                <w:rFonts w:ascii="宋体"/>
                <w:sz w:val="24"/>
                <w:highlight w:val="none"/>
              </w:rPr>
            </w:pPr>
          </w:p>
        </w:tc>
        <w:tc>
          <w:tcPr>
            <w:tcW w:w="1359" w:type="dxa"/>
            <w:vAlign w:val="center"/>
          </w:tcPr>
          <w:p>
            <w:pPr>
              <w:spacing w:line="480" w:lineRule="exact"/>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2" w:hRule="atLeast"/>
        </w:trPr>
        <w:tc>
          <w:tcPr>
            <w:tcW w:w="900" w:type="dxa"/>
            <w:vAlign w:val="center"/>
          </w:tcPr>
          <w:p>
            <w:pPr>
              <w:spacing w:line="480" w:lineRule="exact"/>
              <w:jc w:val="center"/>
              <w:rPr>
                <w:rFonts w:ascii="宋体"/>
                <w:sz w:val="24"/>
                <w:highlight w:val="none"/>
              </w:rPr>
            </w:pPr>
          </w:p>
        </w:tc>
        <w:tc>
          <w:tcPr>
            <w:tcW w:w="1298" w:type="dxa"/>
            <w:vAlign w:val="center"/>
          </w:tcPr>
          <w:p>
            <w:pPr>
              <w:spacing w:line="480" w:lineRule="exact"/>
              <w:jc w:val="center"/>
              <w:rPr>
                <w:rFonts w:ascii="宋体"/>
                <w:sz w:val="24"/>
                <w:highlight w:val="none"/>
              </w:rPr>
            </w:pPr>
          </w:p>
        </w:tc>
        <w:tc>
          <w:tcPr>
            <w:tcW w:w="1404" w:type="dxa"/>
            <w:vAlign w:val="center"/>
          </w:tcPr>
          <w:p>
            <w:pPr>
              <w:spacing w:line="480" w:lineRule="exact"/>
              <w:jc w:val="center"/>
              <w:rPr>
                <w:rFonts w:ascii="宋体"/>
                <w:sz w:val="24"/>
                <w:highlight w:val="none"/>
              </w:rPr>
            </w:pPr>
          </w:p>
        </w:tc>
        <w:tc>
          <w:tcPr>
            <w:tcW w:w="1525" w:type="dxa"/>
            <w:vAlign w:val="center"/>
          </w:tcPr>
          <w:p>
            <w:pPr>
              <w:spacing w:line="480" w:lineRule="exact"/>
              <w:jc w:val="center"/>
              <w:rPr>
                <w:rFonts w:ascii="宋体"/>
                <w:sz w:val="24"/>
                <w:highlight w:val="none"/>
              </w:rPr>
            </w:pPr>
          </w:p>
        </w:tc>
        <w:tc>
          <w:tcPr>
            <w:tcW w:w="1646" w:type="dxa"/>
            <w:vAlign w:val="center"/>
          </w:tcPr>
          <w:p>
            <w:pPr>
              <w:spacing w:line="480" w:lineRule="exact"/>
              <w:jc w:val="center"/>
              <w:rPr>
                <w:rFonts w:ascii="宋体"/>
                <w:sz w:val="24"/>
                <w:highlight w:val="none"/>
              </w:rPr>
            </w:pPr>
          </w:p>
        </w:tc>
        <w:tc>
          <w:tcPr>
            <w:tcW w:w="1188" w:type="dxa"/>
            <w:vAlign w:val="center"/>
          </w:tcPr>
          <w:p>
            <w:pPr>
              <w:spacing w:line="480" w:lineRule="exact"/>
              <w:jc w:val="center"/>
              <w:rPr>
                <w:rFonts w:ascii="宋体"/>
                <w:sz w:val="24"/>
                <w:highlight w:val="none"/>
              </w:rPr>
            </w:pPr>
          </w:p>
        </w:tc>
        <w:tc>
          <w:tcPr>
            <w:tcW w:w="1359" w:type="dxa"/>
            <w:vAlign w:val="center"/>
          </w:tcPr>
          <w:p>
            <w:pPr>
              <w:spacing w:line="480" w:lineRule="exact"/>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2" w:hRule="atLeast"/>
        </w:trPr>
        <w:tc>
          <w:tcPr>
            <w:tcW w:w="900" w:type="dxa"/>
            <w:vAlign w:val="center"/>
          </w:tcPr>
          <w:p>
            <w:pPr>
              <w:spacing w:line="480" w:lineRule="exact"/>
              <w:jc w:val="center"/>
              <w:rPr>
                <w:rFonts w:ascii="宋体"/>
                <w:sz w:val="24"/>
                <w:highlight w:val="none"/>
              </w:rPr>
            </w:pPr>
          </w:p>
        </w:tc>
        <w:tc>
          <w:tcPr>
            <w:tcW w:w="1298" w:type="dxa"/>
            <w:vAlign w:val="center"/>
          </w:tcPr>
          <w:p>
            <w:pPr>
              <w:spacing w:line="480" w:lineRule="exact"/>
              <w:jc w:val="center"/>
              <w:rPr>
                <w:rFonts w:ascii="宋体"/>
                <w:sz w:val="24"/>
                <w:highlight w:val="none"/>
              </w:rPr>
            </w:pPr>
          </w:p>
        </w:tc>
        <w:tc>
          <w:tcPr>
            <w:tcW w:w="1404" w:type="dxa"/>
            <w:vAlign w:val="center"/>
          </w:tcPr>
          <w:p>
            <w:pPr>
              <w:spacing w:line="480" w:lineRule="exact"/>
              <w:jc w:val="center"/>
              <w:rPr>
                <w:rFonts w:ascii="宋体"/>
                <w:sz w:val="24"/>
                <w:highlight w:val="none"/>
              </w:rPr>
            </w:pPr>
          </w:p>
        </w:tc>
        <w:tc>
          <w:tcPr>
            <w:tcW w:w="1525" w:type="dxa"/>
            <w:vAlign w:val="center"/>
          </w:tcPr>
          <w:p>
            <w:pPr>
              <w:spacing w:line="480" w:lineRule="exact"/>
              <w:jc w:val="center"/>
              <w:rPr>
                <w:rFonts w:ascii="宋体"/>
                <w:sz w:val="24"/>
                <w:highlight w:val="none"/>
              </w:rPr>
            </w:pPr>
          </w:p>
        </w:tc>
        <w:tc>
          <w:tcPr>
            <w:tcW w:w="1646" w:type="dxa"/>
            <w:vAlign w:val="center"/>
          </w:tcPr>
          <w:p>
            <w:pPr>
              <w:spacing w:line="480" w:lineRule="exact"/>
              <w:jc w:val="center"/>
              <w:rPr>
                <w:rFonts w:ascii="宋体"/>
                <w:sz w:val="24"/>
                <w:highlight w:val="none"/>
              </w:rPr>
            </w:pPr>
          </w:p>
        </w:tc>
        <w:tc>
          <w:tcPr>
            <w:tcW w:w="1188" w:type="dxa"/>
            <w:vAlign w:val="center"/>
          </w:tcPr>
          <w:p>
            <w:pPr>
              <w:spacing w:line="480" w:lineRule="exact"/>
              <w:jc w:val="center"/>
              <w:rPr>
                <w:rFonts w:ascii="宋体"/>
                <w:sz w:val="24"/>
                <w:highlight w:val="none"/>
              </w:rPr>
            </w:pPr>
          </w:p>
        </w:tc>
        <w:tc>
          <w:tcPr>
            <w:tcW w:w="1359" w:type="dxa"/>
            <w:vAlign w:val="center"/>
          </w:tcPr>
          <w:p>
            <w:pPr>
              <w:spacing w:line="480" w:lineRule="exact"/>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0" w:hRule="atLeast"/>
        </w:trPr>
        <w:tc>
          <w:tcPr>
            <w:tcW w:w="900" w:type="dxa"/>
            <w:vAlign w:val="center"/>
          </w:tcPr>
          <w:p>
            <w:pPr>
              <w:spacing w:line="480" w:lineRule="exact"/>
              <w:jc w:val="center"/>
              <w:rPr>
                <w:rFonts w:ascii="宋体"/>
                <w:sz w:val="24"/>
                <w:highlight w:val="none"/>
              </w:rPr>
            </w:pPr>
          </w:p>
        </w:tc>
        <w:tc>
          <w:tcPr>
            <w:tcW w:w="1298" w:type="dxa"/>
            <w:vAlign w:val="center"/>
          </w:tcPr>
          <w:p>
            <w:pPr>
              <w:spacing w:line="480" w:lineRule="exact"/>
              <w:jc w:val="center"/>
              <w:rPr>
                <w:rFonts w:ascii="宋体"/>
                <w:sz w:val="24"/>
                <w:highlight w:val="none"/>
              </w:rPr>
            </w:pPr>
          </w:p>
        </w:tc>
        <w:tc>
          <w:tcPr>
            <w:tcW w:w="1404" w:type="dxa"/>
            <w:vAlign w:val="center"/>
          </w:tcPr>
          <w:p>
            <w:pPr>
              <w:spacing w:line="480" w:lineRule="exact"/>
              <w:jc w:val="center"/>
              <w:rPr>
                <w:rFonts w:ascii="宋体"/>
                <w:sz w:val="24"/>
                <w:highlight w:val="none"/>
              </w:rPr>
            </w:pPr>
          </w:p>
        </w:tc>
        <w:tc>
          <w:tcPr>
            <w:tcW w:w="1525" w:type="dxa"/>
            <w:vAlign w:val="center"/>
          </w:tcPr>
          <w:p>
            <w:pPr>
              <w:spacing w:line="480" w:lineRule="exact"/>
              <w:jc w:val="center"/>
              <w:rPr>
                <w:rFonts w:ascii="宋体"/>
                <w:sz w:val="24"/>
                <w:highlight w:val="none"/>
              </w:rPr>
            </w:pPr>
          </w:p>
        </w:tc>
        <w:tc>
          <w:tcPr>
            <w:tcW w:w="1646" w:type="dxa"/>
            <w:vAlign w:val="center"/>
          </w:tcPr>
          <w:p>
            <w:pPr>
              <w:spacing w:line="480" w:lineRule="exact"/>
              <w:jc w:val="center"/>
              <w:rPr>
                <w:rFonts w:ascii="宋体"/>
                <w:sz w:val="24"/>
                <w:highlight w:val="none"/>
              </w:rPr>
            </w:pPr>
          </w:p>
        </w:tc>
        <w:tc>
          <w:tcPr>
            <w:tcW w:w="1188" w:type="dxa"/>
            <w:vAlign w:val="center"/>
          </w:tcPr>
          <w:p>
            <w:pPr>
              <w:spacing w:line="480" w:lineRule="exact"/>
              <w:jc w:val="center"/>
              <w:rPr>
                <w:rFonts w:ascii="宋体"/>
                <w:sz w:val="24"/>
                <w:highlight w:val="none"/>
              </w:rPr>
            </w:pPr>
          </w:p>
        </w:tc>
        <w:tc>
          <w:tcPr>
            <w:tcW w:w="1359" w:type="dxa"/>
            <w:vAlign w:val="center"/>
          </w:tcPr>
          <w:p>
            <w:pPr>
              <w:spacing w:line="480" w:lineRule="exact"/>
              <w:jc w:val="center"/>
              <w:rPr>
                <w:rFonts w:ascii="宋体"/>
                <w:sz w:val="24"/>
                <w:highlight w:val="none"/>
              </w:rPr>
            </w:pPr>
          </w:p>
        </w:tc>
      </w:tr>
    </w:tbl>
    <w:p>
      <w:pPr>
        <w:pStyle w:val="96"/>
        <w:adjustRightInd w:val="0"/>
        <w:snapToGrid w:val="0"/>
        <w:spacing w:before="240" w:line="240" w:lineRule="auto"/>
        <w:ind w:firstLine="0" w:firstLineChars="0"/>
        <w:rPr>
          <w:highlight w:val="none"/>
        </w:rPr>
      </w:pPr>
      <w:r>
        <w:rPr>
          <w:rFonts w:hint="eastAsia"/>
          <w:highlight w:val="none"/>
        </w:rPr>
        <w:t>说明：</w:t>
      </w:r>
      <w:r>
        <w:rPr>
          <w:highlight w:val="none"/>
        </w:rPr>
        <w:t>1</w:t>
      </w:r>
      <w:r>
        <w:rPr>
          <w:rFonts w:hint="eastAsia"/>
          <w:highlight w:val="none"/>
        </w:rPr>
        <w:t>、投标人请按照招标文件“第三部分招标要求”中的技术要求逐一填写，投标人不得自行增减或删除、修改任何指标，也不能直接复制粘贴招标文件中的要求，必须填写真实数据，否则评标委员会将作出不利于投标人的认定。</w:t>
      </w:r>
    </w:p>
    <w:p>
      <w:pPr>
        <w:pStyle w:val="96"/>
        <w:adjustRightInd w:val="0"/>
        <w:snapToGrid w:val="0"/>
        <w:spacing w:before="240" w:line="240" w:lineRule="auto"/>
        <w:ind w:firstLine="0" w:firstLineChars="0"/>
        <w:rPr>
          <w:highlight w:val="none"/>
        </w:rPr>
      </w:pPr>
      <w:r>
        <w:rPr>
          <w:highlight w:val="none"/>
        </w:rPr>
        <w:t xml:space="preserve">    2</w:t>
      </w:r>
      <w:r>
        <w:rPr>
          <w:rFonts w:hint="eastAsia"/>
          <w:highlight w:val="none"/>
        </w:rPr>
        <w:t>、投标人提供虚假承诺的，评标委员会可认定虚假投标，请各投标人谨慎填写。</w:t>
      </w:r>
    </w:p>
    <w:p>
      <w:pPr>
        <w:pStyle w:val="96"/>
        <w:spacing w:before="240" w:line="480" w:lineRule="exact"/>
        <w:ind w:firstLine="0" w:firstLineChars="0"/>
        <w:rPr>
          <w:highlight w:val="none"/>
        </w:rPr>
      </w:pPr>
    </w:p>
    <w:p>
      <w:pPr>
        <w:pStyle w:val="96"/>
        <w:spacing w:before="240" w:line="480" w:lineRule="exact"/>
        <w:ind w:firstLine="0" w:firstLineChars="0"/>
        <w:rPr>
          <w:highlight w:val="none"/>
        </w:rPr>
      </w:pPr>
    </w:p>
    <w:p>
      <w:pPr>
        <w:pStyle w:val="96"/>
        <w:spacing w:before="240" w:line="480" w:lineRule="exact"/>
        <w:ind w:firstLine="0" w:firstLineChars="0"/>
        <w:rPr>
          <w:highlight w:val="none"/>
        </w:rPr>
      </w:pPr>
      <w:r>
        <w:rPr>
          <w:rFonts w:hint="eastAsia"/>
          <w:highlight w:val="none"/>
        </w:rPr>
        <w:t>投标人名称（盖章）：</w:t>
      </w:r>
    </w:p>
    <w:p>
      <w:pPr>
        <w:pStyle w:val="96"/>
        <w:spacing w:before="240" w:line="480" w:lineRule="exact"/>
        <w:ind w:firstLine="0" w:firstLineChars="0"/>
        <w:rPr>
          <w:highlight w:val="none"/>
        </w:rPr>
      </w:pPr>
      <w:r>
        <w:rPr>
          <w:rFonts w:hint="eastAsia"/>
          <w:highlight w:val="none"/>
        </w:rPr>
        <w:t>授权代表（签字或盖章）：</w:t>
      </w:r>
    </w:p>
    <w:p>
      <w:pPr>
        <w:pStyle w:val="15"/>
        <w:wordWrap w:val="0"/>
        <w:spacing w:line="480" w:lineRule="exact"/>
        <w:ind w:right="720"/>
        <w:jc w:val="right"/>
        <w:rPr>
          <w:rFonts w:ascii="宋体" w:hAnsi="宋体" w:eastAsia="宋体" w:cs="Times New Roman"/>
          <w:sz w:val="24"/>
          <w:szCs w:val="24"/>
          <w:highlight w:val="none"/>
        </w:rPr>
      </w:pPr>
      <w:r>
        <w:rPr>
          <w:rFonts w:hint="eastAsia" w:ascii="宋体" w:hAnsi="宋体" w:eastAsia="宋体" w:cs="Times New Roman"/>
          <w:sz w:val="24"/>
          <w:szCs w:val="24"/>
          <w:highlight w:val="none"/>
        </w:rPr>
        <w:t>年</w:t>
      </w:r>
      <w:r>
        <w:rPr>
          <w:rFonts w:ascii="宋体" w:hAnsi="宋体" w:eastAsia="宋体" w:cs="Times New Roman"/>
          <w:sz w:val="24"/>
          <w:szCs w:val="24"/>
          <w:highlight w:val="none"/>
        </w:rPr>
        <w:t xml:space="preserve"> </w:t>
      </w:r>
      <w:r>
        <w:rPr>
          <w:rFonts w:hint="eastAsia" w:ascii="宋体" w:hAnsi="宋体" w:eastAsia="宋体" w:cs="Times New Roman"/>
          <w:sz w:val="24"/>
          <w:szCs w:val="24"/>
          <w:highlight w:val="none"/>
        </w:rPr>
        <w:t>月</w:t>
      </w:r>
      <w:r>
        <w:rPr>
          <w:rFonts w:ascii="宋体" w:hAnsi="宋体" w:eastAsia="宋体" w:cs="Times New Roman"/>
          <w:sz w:val="24"/>
          <w:szCs w:val="24"/>
          <w:highlight w:val="none"/>
        </w:rPr>
        <w:t xml:space="preserve"> </w:t>
      </w:r>
      <w:r>
        <w:rPr>
          <w:rFonts w:hint="eastAsia" w:ascii="宋体" w:hAnsi="宋体" w:eastAsia="宋体" w:cs="Times New Roman"/>
          <w:sz w:val="24"/>
          <w:szCs w:val="24"/>
          <w:highlight w:val="none"/>
        </w:rPr>
        <w:t>日</w:t>
      </w:r>
    </w:p>
    <w:p>
      <w:pPr>
        <w:spacing w:line="480" w:lineRule="exact"/>
        <w:rPr>
          <w:highlight w:val="none"/>
        </w:rPr>
      </w:pPr>
    </w:p>
    <w:p>
      <w:pPr>
        <w:pStyle w:val="15"/>
        <w:spacing w:line="480" w:lineRule="exact"/>
        <w:rPr>
          <w:rFonts w:ascii="宋体" w:hAnsi="宋体" w:eastAsia="宋体"/>
          <w:sz w:val="21"/>
          <w:highlight w:val="none"/>
        </w:rPr>
      </w:pPr>
      <w:r>
        <w:rPr>
          <w:rFonts w:ascii="宋体" w:hAnsi="宋体" w:eastAsia="宋体" w:cs="Times New Roman"/>
          <w:sz w:val="24"/>
          <w:szCs w:val="24"/>
          <w:highlight w:val="none"/>
        </w:rPr>
        <w:br w:type="page"/>
      </w:r>
      <w:r>
        <w:rPr>
          <w:rFonts w:hint="eastAsia" w:ascii="宋体" w:hAnsi="宋体" w:eastAsia="宋体" w:cs="Times New Roman"/>
          <w:sz w:val="24"/>
          <w:szCs w:val="24"/>
          <w:highlight w:val="none"/>
        </w:rPr>
        <w:t>附件五</w:t>
      </w:r>
      <w:r>
        <w:rPr>
          <w:rFonts w:ascii="宋体" w:hAnsi="宋体" w:eastAsia="宋体" w:cs="Times New Roman"/>
          <w:sz w:val="24"/>
          <w:szCs w:val="24"/>
          <w:highlight w:val="none"/>
        </w:rPr>
        <w:t>:</w:t>
      </w:r>
    </w:p>
    <w:p>
      <w:pPr>
        <w:pStyle w:val="15"/>
        <w:spacing w:line="480" w:lineRule="exact"/>
        <w:jc w:val="center"/>
        <w:rPr>
          <w:rFonts w:ascii="宋体" w:hAnsi="宋体" w:eastAsia="宋体" w:cs="Times New Roman"/>
          <w:b/>
          <w:sz w:val="32"/>
          <w:szCs w:val="32"/>
          <w:highlight w:val="none"/>
        </w:rPr>
      </w:pPr>
      <w:r>
        <w:rPr>
          <w:rFonts w:hint="eastAsia" w:ascii="宋体" w:hAnsi="宋体" w:eastAsia="宋体" w:cs="Times New Roman"/>
          <w:b/>
          <w:sz w:val="32"/>
          <w:szCs w:val="32"/>
          <w:highlight w:val="none"/>
        </w:rPr>
        <w:t>商务偏离表</w:t>
      </w:r>
    </w:p>
    <w:p>
      <w:pPr>
        <w:spacing w:line="480" w:lineRule="exact"/>
        <w:rPr>
          <w:highlight w:val="none"/>
        </w:rPr>
      </w:pPr>
      <w:r>
        <w:rPr>
          <w:rFonts w:hint="eastAsia" w:ascii="宋体" w:hAnsi="宋体"/>
          <w:sz w:val="24"/>
          <w:highlight w:val="none"/>
        </w:rPr>
        <w:t>项目名称</w:t>
      </w:r>
      <w:r>
        <w:rPr>
          <w:rFonts w:ascii="宋体" w:hAnsi="宋体"/>
          <w:sz w:val="24"/>
          <w:highlight w:val="none"/>
        </w:rPr>
        <w:t xml:space="preserve"> :                                       </w:t>
      </w:r>
    </w:p>
    <w:tbl>
      <w:tblPr>
        <w:tblStyle w:val="49"/>
        <w:tblW w:w="93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298"/>
        <w:gridCol w:w="1404"/>
        <w:gridCol w:w="1525"/>
        <w:gridCol w:w="1646"/>
        <w:gridCol w:w="1188"/>
        <w:gridCol w:w="1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4" w:hRule="atLeast"/>
        </w:trPr>
        <w:tc>
          <w:tcPr>
            <w:tcW w:w="900" w:type="dxa"/>
            <w:vAlign w:val="center"/>
          </w:tcPr>
          <w:p>
            <w:pPr>
              <w:spacing w:line="480" w:lineRule="exact"/>
              <w:jc w:val="center"/>
              <w:rPr>
                <w:rFonts w:ascii="宋体"/>
                <w:sz w:val="24"/>
                <w:highlight w:val="none"/>
              </w:rPr>
            </w:pPr>
            <w:r>
              <w:rPr>
                <w:rFonts w:hint="eastAsia" w:ascii="宋体"/>
                <w:sz w:val="24"/>
                <w:highlight w:val="none"/>
              </w:rPr>
              <w:t>序号</w:t>
            </w:r>
          </w:p>
        </w:tc>
        <w:tc>
          <w:tcPr>
            <w:tcW w:w="1298" w:type="dxa"/>
            <w:vAlign w:val="center"/>
          </w:tcPr>
          <w:p>
            <w:pPr>
              <w:spacing w:line="480" w:lineRule="exact"/>
              <w:jc w:val="center"/>
              <w:rPr>
                <w:rFonts w:ascii="宋体"/>
                <w:sz w:val="24"/>
                <w:highlight w:val="none"/>
              </w:rPr>
            </w:pPr>
            <w:r>
              <w:rPr>
                <w:rFonts w:hint="eastAsia" w:ascii="宋体"/>
                <w:sz w:val="24"/>
                <w:highlight w:val="none"/>
              </w:rPr>
              <w:t>招标文件条目号</w:t>
            </w:r>
          </w:p>
        </w:tc>
        <w:tc>
          <w:tcPr>
            <w:tcW w:w="1404" w:type="dxa"/>
            <w:vAlign w:val="center"/>
          </w:tcPr>
          <w:p>
            <w:pPr>
              <w:spacing w:line="480" w:lineRule="exact"/>
              <w:jc w:val="center"/>
              <w:rPr>
                <w:rFonts w:ascii="宋体"/>
                <w:sz w:val="24"/>
                <w:highlight w:val="none"/>
              </w:rPr>
            </w:pPr>
            <w:r>
              <w:rPr>
                <w:rFonts w:hint="eastAsia" w:ascii="宋体"/>
                <w:sz w:val="24"/>
                <w:highlight w:val="none"/>
              </w:rPr>
              <w:t>招标文件技术要求</w:t>
            </w:r>
          </w:p>
        </w:tc>
        <w:tc>
          <w:tcPr>
            <w:tcW w:w="1525" w:type="dxa"/>
            <w:vAlign w:val="center"/>
          </w:tcPr>
          <w:p>
            <w:pPr>
              <w:spacing w:line="480" w:lineRule="exact"/>
              <w:jc w:val="center"/>
              <w:rPr>
                <w:rFonts w:ascii="宋体"/>
                <w:sz w:val="24"/>
                <w:highlight w:val="none"/>
              </w:rPr>
            </w:pPr>
            <w:r>
              <w:rPr>
                <w:rFonts w:hint="eastAsia" w:ascii="宋体"/>
                <w:sz w:val="24"/>
                <w:highlight w:val="none"/>
              </w:rPr>
              <w:t>投标文件实际情况</w:t>
            </w:r>
          </w:p>
        </w:tc>
        <w:tc>
          <w:tcPr>
            <w:tcW w:w="1646" w:type="dxa"/>
            <w:vAlign w:val="center"/>
          </w:tcPr>
          <w:p>
            <w:pPr>
              <w:spacing w:line="480" w:lineRule="exact"/>
              <w:jc w:val="center"/>
              <w:rPr>
                <w:rFonts w:ascii="宋体"/>
                <w:sz w:val="24"/>
                <w:highlight w:val="none"/>
              </w:rPr>
            </w:pPr>
            <w:r>
              <w:rPr>
                <w:rFonts w:hint="eastAsia" w:ascii="宋体"/>
                <w:sz w:val="24"/>
                <w:highlight w:val="none"/>
              </w:rPr>
              <w:t>投标文件对应的页码</w:t>
            </w:r>
          </w:p>
        </w:tc>
        <w:tc>
          <w:tcPr>
            <w:tcW w:w="1188" w:type="dxa"/>
            <w:vAlign w:val="center"/>
          </w:tcPr>
          <w:p>
            <w:pPr>
              <w:spacing w:line="480" w:lineRule="exact"/>
              <w:jc w:val="center"/>
              <w:rPr>
                <w:rFonts w:ascii="宋体"/>
                <w:sz w:val="24"/>
                <w:highlight w:val="none"/>
              </w:rPr>
            </w:pPr>
            <w:r>
              <w:rPr>
                <w:rFonts w:hint="eastAsia" w:ascii="宋体"/>
                <w:sz w:val="24"/>
                <w:highlight w:val="none"/>
              </w:rPr>
              <w:t>偏离情况</w:t>
            </w:r>
          </w:p>
        </w:tc>
        <w:tc>
          <w:tcPr>
            <w:tcW w:w="1359" w:type="dxa"/>
            <w:vAlign w:val="center"/>
          </w:tcPr>
          <w:p>
            <w:pPr>
              <w:spacing w:line="480" w:lineRule="exact"/>
              <w:jc w:val="center"/>
              <w:rPr>
                <w:rFonts w:ascii="宋体"/>
                <w:sz w:val="24"/>
                <w:highlight w:val="none"/>
              </w:rPr>
            </w:pPr>
            <w:r>
              <w:rPr>
                <w:rFonts w:hint="eastAsia" w:ascii="宋体"/>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2" w:hRule="atLeast"/>
        </w:trPr>
        <w:tc>
          <w:tcPr>
            <w:tcW w:w="900" w:type="dxa"/>
            <w:vAlign w:val="center"/>
          </w:tcPr>
          <w:p>
            <w:pPr>
              <w:spacing w:line="480" w:lineRule="exact"/>
              <w:jc w:val="center"/>
              <w:rPr>
                <w:rFonts w:ascii="宋体"/>
                <w:sz w:val="24"/>
                <w:highlight w:val="none"/>
              </w:rPr>
            </w:pPr>
          </w:p>
        </w:tc>
        <w:tc>
          <w:tcPr>
            <w:tcW w:w="1298" w:type="dxa"/>
            <w:vAlign w:val="center"/>
          </w:tcPr>
          <w:p>
            <w:pPr>
              <w:spacing w:line="480" w:lineRule="exact"/>
              <w:jc w:val="center"/>
              <w:rPr>
                <w:rFonts w:ascii="宋体"/>
                <w:sz w:val="24"/>
                <w:highlight w:val="none"/>
              </w:rPr>
            </w:pPr>
          </w:p>
        </w:tc>
        <w:tc>
          <w:tcPr>
            <w:tcW w:w="1404" w:type="dxa"/>
            <w:vAlign w:val="center"/>
          </w:tcPr>
          <w:p>
            <w:pPr>
              <w:spacing w:line="480" w:lineRule="exact"/>
              <w:jc w:val="center"/>
              <w:rPr>
                <w:rFonts w:ascii="宋体"/>
                <w:sz w:val="24"/>
                <w:highlight w:val="none"/>
              </w:rPr>
            </w:pPr>
          </w:p>
        </w:tc>
        <w:tc>
          <w:tcPr>
            <w:tcW w:w="1525" w:type="dxa"/>
            <w:vAlign w:val="center"/>
          </w:tcPr>
          <w:p>
            <w:pPr>
              <w:spacing w:line="480" w:lineRule="exact"/>
              <w:jc w:val="center"/>
              <w:rPr>
                <w:rFonts w:ascii="宋体"/>
                <w:sz w:val="24"/>
                <w:highlight w:val="none"/>
              </w:rPr>
            </w:pPr>
          </w:p>
        </w:tc>
        <w:tc>
          <w:tcPr>
            <w:tcW w:w="1646" w:type="dxa"/>
            <w:vAlign w:val="center"/>
          </w:tcPr>
          <w:p>
            <w:pPr>
              <w:spacing w:line="480" w:lineRule="exact"/>
              <w:jc w:val="center"/>
              <w:rPr>
                <w:rFonts w:ascii="宋体"/>
                <w:sz w:val="24"/>
                <w:highlight w:val="none"/>
              </w:rPr>
            </w:pPr>
          </w:p>
        </w:tc>
        <w:tc>
          <w:tcPr>
            <w:tcW w:w="1188" w:type="dxa"/>
            <w:vAlign w:val="center"/>
          </w:tcPr>
          <w:p>
            <w:pPr>
              <w:spacing w:line="480" w:lineRule="exact"/>
              <w:jc w:val="center"/>
              <w:rPr>
                <w:rFonts w:ascii="宋体"/>
                <w:sz w:val="24"/>
                <w:highlight w:val="none"/>
              </w:rPr>
            </w:pPr>
          </w:p>
        </w:tc>
        <w:tc>
          <w:tcPr>
            <w:tcW w:w="1359" w:type="dxa"/>
            <w:vAlign w:val="center"/>
          </w:tcPr>
          <w:p>
            <w:pPr>
              <w:spacing w:line="480" w:lineRule="exact"/>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2" w:hRule="atLeast"/>
        </w:trPr>
        <w:tc>
          <w:tcPr>
            <w:tcW w:w="900" w:type="dxa"/>
            <w:vAlign w:val="center"/>
          </w:tcPr>
          <w:p>
            <w:pPr>
              <w:spacing w:line="480" w:lineRule="exact"/>
              <w:jc w:val="center"/>
              <w:rPr>
                <w:rFonts w:ascii="宋体"/>
                <w:sz w:val="24"/>
                <w:highlight w:val="none"/>
              </w:rPr>
            </w:pPr>
          </w:p>
        </w:tc>
        <w:tc>
          <w:tcPr>
            <w:tcW w:w="1298" w:type="dxa"/>
            <w:vAlign w:val="center"/>
          </w:tcPr>
          <w:p>
            <w:pPr>
              <w:spacing w:line="480" w:lineRule="exact"/>
              <w:jc w:val="center"/>
              <w:rPr>
                <w:rFonts w:ascii="宋体"/>
                <w:sz w:val="24"/>
                <w:highlight w:val="none"/>
              </w:rPr>
            </w:pPr>
          </w:p>
        </w:tc>
        <w:tc>
          <w:tcPr>
            <w:tcW w:w="1404" w:type="dxa"/>
            <w:vAlign w:val="center"/>
          </w:tcPr>
          <w:p>
            <w:pPr>
              <w:spacing w:line="480" w:lineRule="exact"/>
              <w:jc w:val="center"/>
              <w:rPr>
                <w:rFonts w:ascii="宋体"/>
                <w:sz w:val="24"/>
                <w:highlight w:val="none"/>
              </w:rPr>
            </w:pPr>
          </w:p>
        </w:tc>
        <w:tc>
          <w:tcPr>
            <w:tcW w:w="1525" w:type="dxa"/>
            <w:vAlign w:val="center"/>
          </w:tcPr>
          <w:p>
            <w:pPr>
              <w:spacing w:line="480" w:lineRule="exact"/>
              <w:jc w:val="center"/>
              <w:rPr>
                <w:rFonts w:ascii="宋体"/>
                <w:sz w:val="24"/>
                <w:highlight w:val="none"/>
              </w:rPr>
            </w:pPr>
          </w:p>
        </w:tc>
        <w:tc>
          <w:tcPr>
            <w:tcW w:w="1646" w:type="dxa"/>
            <w:vAlign w:val="center"/>
          </w:tcPr>
          <w:p>
            <w:pPr>
              <w:spacing w:line="480" w:lineRule="exact"/>
              <w:jc w:val="center"/>
              <w:rPr>
                <w:rFonts w:ascii="宋体"/>
                <w:sz w:val="24"/>
                <w:highlight w:val="none"/>
              </w:rPr>
            </w:pPr>
          </w:p>
        </w:tc>
        <w:tc>
          <w:tcPr>
            <w:tcW w:w="1188" w:type="dxa"/>
            <w:vAlign w:val="center"/>
          </w:tcPr>
          <w:p>
            <w:pPr>
              <w:spacing w:line="480" w:lineRule="exact"/>
              <w:jc w:val="center"/>
              <w:rPr>
                <w:rFonts w:ascii="宋体"/>
                <w:sz w:val="24"/>
                <w:highlight w:val="none"/>
              </w:rPr>
            </w:pPr>
          </w:p>
        </w:tc>
        <w:tc>
          <w:tcPr>
            <w:tcW w:w="1359" w:type="dxa"/>
            <w:vAlign w:val="center"/>
          </w:tcPr>
          <w:p>
            <w:pPr>
              <w:spacing w:line="480" w:lineRule="exact"/>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2" w:hRule="atLeast"/>
        </w:trPr>
        <w:tc>
          <w:tcPr>
            <w:tcW w:w="900" w:type="dxa"/>
            <w:vAlign w:val="center"/>
          </w:tcPr>
          <w:p>
            <w:pPr>
              <w:spacing w:line="480" w:lineRule="exact"/>
              <w:jc w:val="center"/>
              <w:rPr>
                <w:rFonts w:ascii="宋体"/>
                <w:sz w:val="24"/>
                <w:highlight w:val="none"/>
              </w:rPr>
            </w:pPr>
          </w:p>
        </w:tc>
        <w:tc>
          <w:tcPr>
            <w:tcW w:w="1298" w:type="dxa"/>
            <w:vAlign w:val="center"/>
          </w:tcPr>
          <w:p>
            <w:pPr>
              <w:spacing w:line="480" w:lineRule="exact"/>
              <w:jc w:val="center"/>
              <w:rPr>
                <w:rFonts w:ascii="宋体"/>
                <w:sz w:val="24"/>
                <w:highlight w:val="none"/>
              </w:rPr>
            </w:pPr>
          </w:p>
        </w:tc>
        <w:tc>
          <w:tcPr>
            <w:tcW w:w="1404" w:type="dxa"/>
            <w:vAlign w:val="center"/>
          </w:tcPr>
          <w:p>
            <w:pPr>
              <w:spacing w:line="480" w:lineRule="exact"/>
              <w:jc w:val="center"/>
              <w:rPr>
                <w:rFonts w:ascii="宋体"/>
                <w:sz w:val="24"/>
                <w:highlight w:val="none"/>
              </w:rPr>
            </w:pPr>
          </w:p>
        </w:tc>
        <w:tc>
          <w:tcPr>
            <w:tcW w:w="1525" w:type="dxa"/>
            <w:vAlign w:val="center"/>
          </w:tcPr>
          <w:p>
            <w:pPr>
              <w:spacing w:line="480" w:lineRule="exact"/>
              <w:jc w:val="center"/>
              <w:rPr>
                <w:rFonts w:ascii="宋体"/>
                <w:sz w:val="24"/>
                <w:highlight w:val="none"/>
              </w:rPr>
            </w:pPr>
          </w:p>
        </w:tc>
        <w:tc>
          <w:tcPr>
            <w:tcW w:w="1646" w:type="dxa"/>
            <w:vAlign w:val="center"/>
          </w:tcPr>
          <w:p>
            <w:pPr>
              <w:spacing w:line="480" w:lineRule="exact"/>
              <w:jc w:val="center"/>
              <w:rPr>
                <w:rFonts w:ascii="宋体"/>
                <w:sz w:val="24"/>
                <w:highlight w:val="none"/>
              </w:rPr>
            </w:pPr>
          </w:p>
        </w:tc>
        <w:tc>
          <w:tcPr>
            <w:tcW w:w="1188" w:type="dxa"/>
            <w:vAlign w:val="center"/>
          </w:tcPr>
          <w:p>
            <w:pPr>
              <w:spacing w:line="480" w:lineRule="exact"/>
              <w:jc w:val="center"/>
              <w:rPr>
                <w:rFonts w:ascii="宋体"/>
                <w:sz w:val="24"/>
                <w:highlight w:val="none"/>
              </w:rPr>
            </w:pPr>
          </w:p>
        </w:tc>
        <w:tc>
          <w:tcPr>
            <w:tcW w:w="1359" w:type="dxa"/>
            <w:vAlign w:val="center"/>
          </w:tcPr>
          <w:p>
            <w:pPr>
              <w:spacing w:line="480" w:lineRule="exact"/>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2" w:hRule="atLeast"/>
        </w:trPr>
        <w:tc>
          <w:tcPr>
            <w:tcW w:w="900" w:type="dxa"/>
            <w:vAlign w:val="center"/>
          </w:tcPr>
          <w:p>
            <w:pPr>
              <w:spacing w:line="480" w:lineRule="exact"/>
              <w:jc w:val="center"/>
              <w:rPr>
                <w:rFonts w:ascii="宋体"/>
                <w:sz w:val="24"/>
                <w:highlight w:val="none"/>
              </w:rPr>
            </w:pPr>
          </w:p>
        </w:tc>
        <w:tc>
          <w:tcPr>
            <w:tcW w:w="1298" w:type="dxa"/>
            <w:vAlign w:val="center"/>
          </w:tcPr>
          <w:p>
            <w:pPr>
              <w:spacing w:line="480" w:lineRule="exact"/>
              <w:jc w:val="center"/>
              <w:rPr>
                <w:rFonts w:ascii="宋体"/>
                <w:sz w:val="24"/>
                <w:highlight w:val="none"/>
              </w:rPr>
            </w:pPr>
          </w:p>
        </w:tc>
        <w:tc>
          <w:tcPr>
            <w:tcW w:w="1404" w:type="dxa"/>
            <w:vAlign w:val="center"/>
          </w:tcPr>
          <w:p>
            <w:pPr>
              <w:spacing w:line="480" w:lineRule="exact"/>
              <w:jc w:val="center"/>
              <w:rPr>
                <w:rFonts w:ascii="宋体"/>
                <w:sz w:val="24"/>
                <w:highlight w:val="none"/>
              </w:rPr>
            </w:pPr>
          </w:p>
        </w:tc>
        <w:tc>
          <w:tcPr>
            <w:tcW w:w="1525" w:type="dxa"/>
            <w:vAlign w:val="center"/>
          </w:tcPr>
          <w:p>
            <w:pPr>
              <w:spacing w:line="480" w:lineRule="exact"/>
              <w:jc w:val="center"/>
              <w:rPr>
                <w:rFonts w:ascii="宋体"/>
                <w:sz w:val="24"/>
                <w:highlight w:val="none"/>
              </w:rPr>
            </w:pPr>
          </w:p>
        </w:tc>
        <w:tc>
          <w:tcPr>
            <w:tcW w:w="1646" w:type="dxa"/>
            <w:vAlign w:val="center"/>
          </w:tcPr>
          <w:p>
            <w:pPr>
              <w:spacing w:line="480" w:lineRule="exact"/>
              <w:jc w:val="center"/>
              <w:rPr>
                <w:rFonts w:ascii="宋体"/>
                <w:sz w:val="24"/>
                <w:highlight w:val="none"/>
              </w:rPr>
            </w:pPr>
          </w:p>
        </w:tc>
        <w:tc>
          <w:tcPr>
            <w:tcW w:w="1188" w:type="dxa"/>
            <w:vAlign w:val="center"/>
          </w:tcPr>
          <w:p>
            <w:pPr>
              <w:spacing w:line="480" w:lineRule="exact"/>
              <w:jc w:val="center"/>
              <w:rPr>
                <w:rFonts w:ascii="宋体"/>
                <w:sz w:val="24"/>
                <w:highlight w:val="none"/>
              </w:rPr>
            </w:pPr>
          </w:p>
        </w:tc>
        <w:tc>
          <w:tcPr>
            <w:tcW w:w="1359" w:type="dxa"/>
            <w:vAlign w:val="center"/>
          </w:tcPr>
          <w:p>
            <w:pPr>
              <w:spacing w:line="480" w:lineRule="exact"/>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2" w:hRule="atLeast"/>
        </w:trPr>
        <w:tc>
          <w:tcPr>
            <w:tcW w:w="900" w:type="dxa"/>
            <w:vAlign w:val="center"/>
          </w:tcPr>
          <w:p>
            <w:pPr>
              <w:spacing w:line="480" w:lineRule="exact"/>
              <w:jc w:val="center"/>
              <w:rPr>
                <w:rFonts w:ascii="宋体"/>
                <w:sz w:val="24"/>
                <w:highlight w:val="none"/>
              </w:rPr>
            </w:pPr>
          </w:p>
        </w:tc>
        <w:tc>
          <w:tcPr>
            <w:tcW w:w="1298" w:type="dxa"/>
            <w:vAlign w:val="center"/>
          </w:tcPr>
          <w:p>
            <w:pPr>
              <w:spacing w:line="480" w:lineRule="exact"/>
              <w:jc w:val="center"/>
              <w:rPr>
                <w:rFonts w:ascii="宋体"/>
                <w:sz w:val="24"/>
                <w:highlight w:val="none"/>
              </w:rPr>
            </w:pPr>
          </w:p>
        </w:tc>
        <w:tc>
          <w:tcPr>
            <w:tcW w:w="1404" w:type="dxa"/>
            <w:vAlign w:val="center"/>
          </w:tcPr>
          <w:p>
            <w:pPr>
              <w:spacing w:line="480" w:lineRule="exact"/>
              <w:jc w:val="center"/>
              <w:rPr>
                <w:rFonts w:ascii="宋体"/>
                <w:sz w:val="24"/>
                <w:highlight w:val="none"/>
              </w:rPr>
            </w:pPr>
          </w:p>
        </w:tc>
        <w:tc>
          <w:tcPr>
            <w:tcW w:w="1525" w:type="dxa"/>
            <w:vAlign w:val="center"/>
          </w:tcPr>
          <w:p>
            <w:pPr>
              <w:spacing w:line="480" w:lineRule="exact"/>
              <w:jc w:val="center"/>
              <w:rPr>
                <w:rFonts w:ascii="宋体"/>
                <w:sz w:val="24"/>
                <w:highlight w:val="none"/>
              </w:rPr>
            </w:pPr>
          </w:p>
        </w:tc>
        <w:tc>
          <w:tcPr>
            <w:tcW w:w="1646" w:type="dxa"/>
            <w:vAlign w:val="center"/>
          </w:tcPr>
          <w:p>
            <w:pPr>
              <w:spacing w:line="480" w:lineRule="exact"/>
              <w:jc w:val="center"/>
              <w:rPr>
                <w:rFonts w:ascii="宋体"/>
                <w:sz w:val="24"/>
                <w:highlight w:val="none"/>
              </w:rPr>
            </w:pPr>
          </w:p>
        </w:tc>
        <w:tc>
          <w:tcPr>
            <w:tcW w:w="1188" w:type="dxa"/>
            <w:vAlign w:val="center"/>
          </w:tcPr>
          <w:p>
            <w:pPr>
              <w:spacing w:line="480" w:lineRule="exact"/>
              <w:jc w:val="center"/>
              <w:rPr>
                <w:rFonts w:ascii="宋体"/>
                <w:sz w:val="24"/>
                <w:highlight w:val="none"/>
              </w:rPr>
            </w:pPr>
          </w:p>
        </w:tc>
        <w:tc>
          <w:tcPr>
            <w:tcW w:w="1359" w:type="dxa"/>
            <w:vAlign w:val="center"/>
          </w:tcPr>
          <w:p>
            <w:pPr>
              <w:spacing w:line="480" w:lineRule="exact"/>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2" w:hRule="atLeast"/>
        </w:trPr>
        <w:tc>
          <w:tcPr>
            <w:tcW w:w="900" w:type="dxa"/>
            <w:vAlign w:val="center"/>
          </w:tcPr>
          <w:p>
            <w:pPr>
              <w:spacing w:line="480" w:lineRule="exact"/>
              <w:jc w:val="center"/>
              <w:rPr>
                <w:rFonts w:ascii="宋体"/>
                <w:sz w:val="24"/>
                <w:highlight w:val="none"/>
              </w:rPr>
            </w:pPr>
          </w:p>
        </w:tc>
        <w:tc>
          <w:tcPr>
            <w:tcW w:w="1298" w:type="dxa"/>
            <w:vAlign w:val="center"/>
          </w:tcPr>
          <w:p>
            <w:pPr>
              <w:spacing w:line="480" w:lineRule="exact"/>
              <w:jc w:val="center"/>
              <w:rPr>
                <w:rFonts w:ascii="宋体"/>
                <w:sz w:val="24"/>
                <w:highlight w:val="none"/>
              </w:rPr>
            </w:pPr>
          </w:p>
        </w:tc>
        <w:tc>
          <w:tcPr>
            <w:tcW w:w="1404" w:type="dxa"/>
            <w:vAlign w:val="center"/>
          </w:tcPr>
          <w:p>
            <w:pPr>
              <w:spacing w:line="480" w:lineRule="exact"/>
              <w:jc w:val="center"/>
              <w:rPr>
                <w:rFonts w:ascii="宋体"/>
                <w:sz w:val="24"/>
                <w:highlight w:val="none"/>
              </w:rPr>
            </w:pPr>
          </w:p>
        </w:tc>
        <w:tc>
          <w:tcPr>
            <w:tcW w:w="1525" w:type="dxa"/>
            <w:vAlign w:val="center"/>
          </w:tcPr>
          <w:p>
            <w:pPr>
              <w:spacing w:line="480" w:lineRule="exact"/>
              <w:jc w:val="center"/>
              <w:rPr>
                <w:rFonts w:ascii="宋体"/>
                <w:sz w:val="24"/>
                <w:highlight w:val="none"/>
              </w:rPr>
            </w:pPr>
          </w:p>
        </w:tc>
        <w:tc>
          <w:tcPr>
            <w:tcW w:w="1646" w:type="dxa"/>
            <w:vAlign w:val="center"/>
          </w:tcPr>
          <w:p>
            <w:pPr>
              <w:spacing w:line="480" w:lineRule="exact"/>
              <w:jc w:val="center"/>
              <w:rPr>
                <w:rFonts w:ascii="宋体"/>
                <w:sz w:val="24"/>
                <w:highlight w:val="none"/>
              </w:rPr>
            </w:pPr>
          </w:p>
        </w:tc>
        <w:tc>
          <w:tcPr>
            <w:tcW w:w="1188" w:type="dxa"/>
            <w:vAlign w:val="center"/>
          </w:tcPr>
          <w:p>
            <w:pPr>
              <w:spacing w:line="480" w:lineRule="exact"/>
              <w:jc w:val="center"/>
              <w:rPr>
                <w:rFonts w:ascii="宋体"/>
                <w:sz w:val="24"/>
                <w:highlight w:val="none"/>
              </w:rPr>
            </w:pPr>
          </w:p>
        </w:tc>
        <w:tc>
          <w:tcPr>
            <w:tcW w:w="1359" w:type="dxa"/>
            <w:vAlign w:val="center"/>
          </w:tcPr>
          <w:p>
            <w:pPr>
              <w:spacing w:line="480" w:lineRule="exact"/>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0" w:hRule="atLeast"/>
        </w:trPr>
        <w:tc>
          <w:tcPr>
            <w:tcW w:w="900" w:type="dxa"/>
            <w:vAlign w:val="center"/>
          </w:tcPr>
          <w:p>
            <w:pPr>
              <w:spacing w:line="480" w:lineRule="exact"/>
              <w:jc w:val="center"/>
              <w:rPr>
                <w:rFonts w:ascii="宋体"/>
                <w:sz w:val="24"/>
                <w:highlight w:val="none"/>
              </w:rPr>
            </w:pPr>
          </w:p>
        </w:tc>
        <w:tc>
          <w:tcPr>
            <w:tcW w:w="1298" w:type="dxa"/>
            <w:vAlign w:val="center"/>
          </w:tcPr>
          <w:p>
            <w:pPr>
              <w:spacing w:line="480" w:lineRule="exact"/>
              <w:jc w:val="center"/>
              <w:rPr>
                <w:rFonts w:ascii="宋体"/>
                <w:sz w:val="24"/>
                <w:highlight w:val="none"/>
              </w:rPr>
            </w:pPr>
          </w:p>
        </w:tc>
        <w:tc>
          <w:tcPr>
            <w:tcW w:w="1404" w:type="dxa"/>
            <w:vAlign w:val="center"/>
          </w:tcPr>
          <w:p>
            <w:pPr>
              <w:spacing w:line="480" w:lineRule="exact"/>
              <w:jc w:val="center"/>
              <w:rPr>
                <w:rFonts w:ascii="宋体"/>
                <w:sz w:val="24"/>
                <w:highlight w:val="none"/>
              </w:rPr>
            </w:pPr>
          </w:p>
        </w:tc>
        <w:tc>
          <w:tcPr>
            <w:tcW w:w="1525" w:type="dxa"/>
            <w:vAlign w:val="center"/>
          </w:tcPr>
          <w:p>
            <w:pPr>
              <w:spacing w:line="480" w:lineRule="exact"/>
              <w:jc w:val="center"/>
              <w:rPr>
                <w:rFonts w:ascii="宋体"/>
                <w:sz w:val="24"/>
                <w:highlight w:val="none"/>
              </w:rPr>
            </w:pPr>
          </w:p>
        </w:tc>
        <w:tc>
          <w:tcPr>
            <w:tcW w:w="1646" w:type="dxa"/>
            <w:vAlign w:val="center"/>
          </w:tcPr>
          <w:p>
            <w:pPr>
              <w:spacing w:line="480" w:lineRule="exact"/>
              <w:jc w:val="center"/>
              <w:rPr>
                <w:rFonts w:ascii="宋体"/>
                <w:sz w:val="24"/>
                <w:highlight w:val="none"/>
              </w:rPr>
            </w:pPr>
          </w:p>
        </w:tc>
        <w:tc>
          <w:tcPr>
            <w:tcW w:w="1188" w:type="dxa"/>
            <w:vAlign w:val="center"/>
          </w:tcPr>
          <w:p>
            <w:pPr>
              <w:spacing w:line="480" w:lineRule="exact"/>
              <w:jc w:val="center"/>
              <w:rPr>
                <w:rFonts w:ascii="宋体"/>
                <w:sz w:val="24"/>
                <w:highlight w:val="none"/>
              </w:rPr>
            </w:pPr>
          </w:p>
        </w:tc>
        <w:tc>
          <w:tcPr>
            <w:tcW w:w="1359" w:type="dxa"/>
            <w:vAlign w:val="center"/>
          </w:tcPr>
          <w:p>
            <w:pPr>
              <w:spacing w:line="480" w:lineRule="exact"/>
              <w:jc w:val="center"/>
              <w:rPr>
                <w:rFonts w:ascii="宋体"/>
                <w:sz w:val="24"/>
                <w:highlight w:val="none"/>
              </w:rPr>
            </w:pPr>
          </w:p>
        </w:tc>
      </w:tr>
    </w:tbl>
    <w:p>
      <w:pPr>
        <w:pStyle w:val="96"/>
        <w:snapToGrid w:val="0"/>
        <w:spacing w:before="240" w:line="240" w:lineRule="auto"/>
        <w:ind w:firstLine="0" w:firstLineChars="0"/>
        <w:rPr>
          <w:highlight w:val="none"/>
        </w:rPr>
      </w:pPr>
      <w:r>
        <w:rPr>
          <w:rFonts w:hint="eastAsia"/>
          <w:highlight w:val="none"/>
        </w:rPr>
        <w:t>说明：</w:t>
      </w:r>
      <w:r>
        <w:rPr>
          <w:highlight w:val="none"/>
        </w:rPr>
        <w:t>1</w:t>
      </w:r>
      <w:r>
        <w:rPr>
          <w:rFonts w:hint="eastAsia"/>
          <w:highlight w:val="none"/>
        </w:rPr>
        <w:t>、请填写招标文件已列明并要求投标人响应的如付款方式、交货期、质保期、培训方案、售后服务等商务条款，并逐一做出承诺。</w:t>
      </w:r>
    </w:p>
    <w:p>
      <w:pPr>
        <w:pStyle w:val="96"/>
        <w:snapToGrid w:val="0"/>
        <w:spacing w:before="240" w:line="240" w:lineRule="auto"/>
        <w:ind w:firstLine="0" w:firstLineChars="0"/>
        <w:rPr>
          <w:highlight w:val="none"/>
        </w:rPr>
      </w:pPr>
      <w:r>
        <w:rPr>
          <w:highlight w:val="none"/>
        </w:rPr>
        <w:t xml:space="preserve">      2</w:t>
      </w:r>
      <w:r>
        <w:rPr>
          <w:rFonts w:hint="eastAsia"/>
          <w:highlight w:val="none"/>
        </w:rPr>
        <w:t>、请投标人在填写偏离表时，对应招标文件要求如实填写“偏离”或“不偏离”，若投标人自行承诺的售后服务与此表不一致的，则评标委员会有权作出不利于投标人的认定。</w:t>
      </w:r>
    </w:p>
    <w:p>
      <w:pPr>
        <w:pStyle w:val="96"/>
        <w:snapToGrid w:val="0"/>
        <w:spacing w:before="240" w:line="240" w:lineRule="auto"/>
        <w:ind w:firstLine="0" w:firstLineChars="0"/>
        <w:rPr>
          <w:highlight w:val="none"/>
        </w:rPr>
      </w:pPr>
      <w:r>
        <w:rPr>
          <w:highlight w:val="none"/>
        </w:rPr>
        <w:t xml:space="preserve">     3</w:t>
      </w:r>
      <w:r>
        <w:rPr>
          <w:rFonts w:hint="eastAsia"/>
          <w:highlight w:val="none"/>
        </w:rPr>
        <w:t>、投标人提供虚假承诺的，评标委员会可认定为虚假投标。请各投标人谨慎填写。</w:t>
      </w:r>
    </w:p>
    <w:p>
      <w:pPr>
        <w:pStyle w:val="96"/>
        <w:spacing w:before="240" w:line="480" w:lineRule="exact"/>
        <w:ind w:firstLine="0" w:firstLineChars="0"/>
        <w:rPr>
          <w:highlight w:val="none"/>
        </w:rPr>
      </w:pPr>
    </w:p>
    <w:p>
      <w:pPr>
        <w:pStyle w:val="96"/>
        <w:spacing w:before="240" w:line="480" w:lineRule="exact"/>
        <w:ind w:firstLine="0" w:firstLineChars="0"/>
        <w:rPr>
          <w:highlight w:val="none"/>
        </w:rPr>
      </w:pPr>
      <w:r>
        <w:rPr>
          <w:rFonts w:hint="eastAsia"/>
          <w:highlight w:val="none"/>
        </w:rPr>
        <w:t>投标人名称（盖章）：</w:t>
      </w:r>
    </w:p>
    <w:p>
      <w:pPr>
        <w:pStyle w:val="96"/>
        <w:spacing w:before="240" w:line="480" w:lineRule="exact"/>
        <w:ind w:firstLine="0" w:firstLineChars="0"/>
        <w:rPr>
          <w:highlight w:val="none"/>
        </w:rPr>
      </w:pPr>
      <w:r>
        <w:rPr>
          <w:rFonts w:hint="eastAsia"/>
          <w:highlight w:val="none"/>
        </w:rPr>
        <w:t>授权代表（签字或盖章）：</w:t>
      </w:r>
    </w:p>
    <w:p>
      <w:pPr>
        <w:pStyle w:val="15"/>
        <w:wordWrap w:val="0"/>
        <w:spacing w:line="480" w:lineRule="exact"/>
        <w:ind w:right="480"/>
        <w:jc w:val="right"/>
        <w:rPr>
          <w:rFonts w:ascii="宋体" w:hAnsi="宋体" w:eastAsia="宋体" w:cs="Times New Roman"/>
          <w:sz w:val="24"/>
          <w:szCs w:val="24"/>
          <w:highlight w:val="none"/>
        </w:rPr>
      </w:pPr>
      <w:r>
        <w:rPr>
          <w:rFonts w:hint="eastAsia" w:ascii="宋体" w:hAnsi="宋体" w:eastAsia="宋体" w:cs="Times New Roman"/>
          <w:sz w:val="24"/>
          <w:szCs w:val="24"/>
          <w:highlight w:val="none"/>
        </w:rPr>
        <w:t>年月日</w:t>
      </w:r>
    </w:p>
    <w:p>
      <w:pPr>
        <w:spacing w:line="480" w:lineRule="exact"/>
        <w:outlineLvl w:val="0"/>
        <w:rPr>
          <w:rFonts w:ascii="宋体"/>
          <w:sz w:val="24"/>
          <w:highlight w:val="none"/>
        </w:rPr>
      </w:pPr>
    </w:p>
    <w:p>
      <w:pPr>
        <w:pStyle w:val="15"/>
        <w:spacing w:line="480" w:lineRule="exact"/>
        <w:rPr>
          <w:rFonts w:ascii="宋体" w:hAnsi="宋体" w:eastAsia="宋体" w:cs="Times New Roman"/>
          <w:sz w:val="24"/>
          <w:szCs w:val="24"/>
          <w:highlight w:val="none"/>
        </w:rPr>
      </w:pPr>
      <w:bookmarkStart w:id="164" w:name="_Toc13100"/>
      <w:bookmarkStart w:id="165" w:name="_Toc29000"/>
      <w:bookmarkStart w:id="166" w:name="_Toc13424"/>
      <w:r>
        <w:rPr>
          <w:rFonts w:hint="eastAsia" w:ascii="宋体" w:hAnsi="宋体" w:eastAsia="宋体" w:cs="Times New Roman"/>
          <w:sz w:val="24"/>
          <w:szCs w:val="24"/>
          <w:highlight w:val="none"/>
        </w:rPr>
        <w:t>附件六：</w:t>
      </w:r>
    </w:p>
    <w:p>
      <w:pPr>
        <w:pStyle w:val="2"/>
        <w:spacing w:line="580" w:lineRule="exact"/>
        <w:jc w:val="center"/>
        <w:rPr>
          <w:sz w:val="24"/>
          <w:highlight w:val="none"/>
        </w:rPr>
      </w:pPr>
      <w:r>
        <w:rPr>
          <w:rFonts w:hint="eastAsia"/>
          <w:sz w:val="28"/>
          <w:szCs w:val="28"/>
          <w:highlight w:val="none"/>
        </w:rPr>
        <w:t>项目部人员配备表</w:t>
      </w:r>
    </w:p>
    <w:p>
      <w:pPr>
        <w:spacing w:line="480" w:lineRule="exact"/>
        <w:rPr>
          <w:highlight w:val="none"/>
        </w:rPr>
      </w:pPr>
      <w:r>
        <w:rPr>
          <w:rFonts w:hint="eastAsia" w:ascii="宋体" w:hAnsi="宋体"/>
          <w:color w:val="000000"/>
          <w:sz w:val="24"/>
          <w:highlight w:val="none"/>
        </w:rPr>
        <w:t>项目名称</w:t>
      </w:r>
      <w:r>
        <w:rPr>
          <w:rFonts w:ascii="宋体" w:hAnsi="宋体"/>
          <w:color w:val="000000"/>
          <w:sz w:val="24"/>
          <w:highlight w:val="none"/>
        </w:rPr>
        <w:t xml:space="preserve"> :</w:t>
      </w:r>
    </w:p>
    <w:tbl>
      <w:tblPr>
        <w:tblStyle w:val="49"/>
        <w:tblW w:w="92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142"/>
        <w:gridCol w:w="1287"/>
        <w:gridCol w:w="858"/>
        <w:gridCol w:w="912"/>
        <w:gridCol w:w="1213"/>
        <w:gridCol w:w="1504"/>
        <w:gridCol w:w="16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jc w:val="center"/>
        </w:trPr>
        <w:tc>
          <w:tcPr>
            <w:tcW w:w="720" w:type="dxa"/>
            <w:vAlign w:val="center"/>
          </w:tcPr>
          <w:p>
            <w:pPr>
              <w:widowControl/>
              <w:snapToGrid w:val="0"/>
              <w:spacing w:line="400" w:lineRule="exact"/>
              <w:jc w:val="center"/>
              <w:rPr>
                <w:rFonts w:ascii="宋体" w:hAnsi="宋体" w:cs="楷体"/>
                <w:kern w:val="0"/>
                <w:sz w:val="24"/>
                <w:highlight w:val="none"/>
              </w:rPr>
            </w:pPr>
            <w:r>
              <w:rPr>
                <w:rFonts w:hint="eastAsia" w:ascii="宋体" w:hAnsi="宋体" w:cs="楷体"/>
                <w:kern w:val="0"/>
                <w:sz w:val="24"/>
                <w:highlight w:val="none"/>
              </w:rPr>
              <w:t>序号</w:t>
            </w:r>
          </w:p>
        </w:tc>
        <w:tc>
          <w:tcPr>
            <w:tcW w:w="1142" w:type="dxa"/>
            <w:vAlign w:val="center"/>
          </w:tcPr>
          <w:p>
            <w:pPr>
              <w:widowControl/>
              <w:snapToGrid w:val="0"/>
              <w:spacing w:line="400" w:lineRule="exact"/>
              <w:jc w:val="center"/>
              <w:rPr>
                <w:rFonts w:ascii="宋体" w:hAnsi="宋体" w:cs="楷体"/>
                <w:kern w:val="0"/>
                <w:sz w:val="24"/>
                <w:highlight w:val="none"/>
              </w:rPr>
            </w:pPr>
            <w:r>
              <w:rPr>
                <w:rFonts w:hint="eastAsia" w:ascii="宋体" w:hAnsi="宋体" w:cs="楷体"/>
                <w:kern w:val="0"/>
                <w:sz w:val="24"/>
                <w:highlight w:val="none"/>
              </w:rPr>
              <w:t>姓名</w:t>
            </w:r>
          </w:p>
        </w:tc>
        <w:tc>
          <w:tcPr>
            <w:tcW w:w="1287" w:type="dxa"/>
            <w:vAlign w:val="center"/>
          </w:tcPr>
          <w:p>
            <w:pPr>
              <w:widowControl/>
              <w:snapToGrid w:val="0"/>
              <w:spacing w:line="400" w:lineRule="exact"/>
              <w:jc w:val="center"/>
              <w:rPr>
                <w:rFonts w:ascii="宋体" w:hAnsi="宋体" w:cs="楷体"/>
                <w:kern w:val="0"/>
                <w:sz w:val="24"/>
                <w:highlight w:val="none"/>
              </w:rPr>
            </w:pPr>
            <w:r>
              <w:rPr>
                <w:rFonts w:hint="eastAsia" w:ascii="宋体" w:hAnsi="宋体" w:cs="楷体"/>
                <w:kern w:val="0"/>
                <w:sz w:val="24"/>
                <w:highlight w:val="none"/>
              </w:rPr>
              <w:t>岗位</w:t>
            </w:r>
          </w:p>
        </w:tc>
        <w:tc>
          <w:tcPr>
            <w:tcW w:w="858" w:type="dxa"/>
            <w:vAlign w:val="center"/>
          </w:tcPr>
          <w:p>
            <w:pPr>
              <w:widowControl/>
              <w:snapToGrid w:val="0"/>
              <w:spacing w:line="400" w:lineRule="exact"/>
              <w:jc w:val="center"/>
              <w:rPr>
                <w:rFonts w:ascii="宋体" w:hAnsi="宋体" w:cs="楷体"/>
                <w:kern w:val="0"/>
                <w:sz w:val="24"/>
                <w:highlight w:val="none"/>
              </w:rPr>
            </w:pPr>
            <w:r>
              <w:rPr>
                <w:rFonts w:hint="eastAsia" w:ascii="宋体" w:hAnsi="宋体" w:cs="楷体"/>
                <w:kern w:val="0"/>
                <w:sz w:val="24"/>
                <w:highlight w:val="none"/>
              </w:rPr>
              <w:t>年龄</w:t>
            </w:r>
          </w:p>
        </w:tc>
        <w:tc>
          <w:tcPr>
            <w:tcW w:w="912" w:type="dxa"/>
            <w:vAlign w:val="center"/>
          </w:tcPr>
          <w:p>
            <w:pPr>
              <w:widowControl/>
              <w:snapToGrid w:val="0"/>
              <w:spacing w:line="400" w:lineRule="exact"/>
              <w:jc w:val="center"/>
              <w:rPr>
                <w:rFonts w:ascii="宋体" w:hAnsi="宋体" w:cs="楷体"/>
                <w:kern w:val="0"/>
                <w:sz w:val="24"/>
                <w:highlight w:val="none"/>
              </w:rPr>
            </w:pPr>
            <w:r>
              <w:rPr>
                <w:rFonts w:hint="eastAsia" w:ascii="宋体" w:hAnsi="宋体" w:cs="楷体"/>
                <w:kern w:val="0"/>
                <w:sz w:val="24"/>
                <w:highlight w:val="none"/>
              </w:rPr>
              <w:t>专业</w:t>
            </w:r>
          </w:p>
        </w:tc>
        <w:tc>
          <w:tcPr>
            <w:tcW w:w="1213" w:type="dxa"/>
            <w:vAlign w:val="center"/>
          </w:tcPr>
          <w:p>
            <w:pPr>
              <w:widowControl/>
              <w:snapToGrid w:val="0"/>
              <w:spacing w:line="400" w:lineRule="exact"/>
              <w:jc w:val="center"/>
              <w:rPr>
                <w:rFonts w:ascii="宋体" w:hAnsi="宋体" w:cs="楷体"/>
                <w:kern w:val="0"/>
                <w:sz w:val="24"/>
                <w:highlight w:val="none"/>
              </w:rPr>
            </w:pPr>
            <w:r>
              <w:rPr>
                <w:rFonts w:hint="eastAsia" w:ascii="宋体" w:hAnsi="宋体" w:cs="楷体"/>
                <w:kern w:val="0"/>
                <w:sz w:val="24"/>
                <w:highlight w:val="none"/>
              </w:rPr>
              <w:t>职称</w:t>
            </w:r>
          </w:p>
        </w:tc>
        <w:tc>
          <w:tcPr>
            <w:tcW w:w="1504" w:type="dxa"/>
            <w:vAlign w:val="center"/>
          </w:tcPr>
          <w:p>
            <w:pPr>
              <w:widowControl/>
              <w:snapToGrid w:val="0"/>
              <w:spacing w:line="400" w:lineRule="exact"/>
              <w:jc w:val="center"/>
              <w:rPr>
                <w:rFonts w:ascii="宋体" w:hAnsi="宋体" w:cs="楷体"/>
                <w:kern w:val="0"/>
                <w:sz w:val="24"/>
                <w:highlight w:val="none"/>
              </w:rPr>
            </w:pPr>
            <w:r>
              <w:rPr>
                <w:rFonts w:hint="eastAsia" w:ascii="宋体" w:hAnsi="宋体" w:cs="楷体"/>
                <w:kern w:val="0"/>
                <w:sz w:val="24"/>
                <w:highlight w:val="none"/>
              </w:rPr>
              <w:t>岗位证书</w:t>
            </w:r>
          </w:p>
        </w:tc>
        <w:tc>
          <w:tcPr>
            <w:tcW w:w="1651" w:type="dxa"/>
            <w:vAlign w:val="center"/>
          </w:tcPr>
          <w:p>
            <w:pPr>
              <w:widowControl/>
              <w:snapToGrid w:val="0"/>
              <w:spacing w:line="400" w:lineRule="exact"/>
              <w:jc w:val="center"/>
              <w:rPr>
                <w:rFonts w:ascii="宋体" w:hAnsi="宋体" w:cs="楷体"/>
                <w:kern w:val="0"/>
                <w:sz w:val="24"/>
                <w:highlight w:val="none"/>
              </w:rPr>
            </w:pPr>
            <w:r>
              <w:rPr>
                <w:rFonts w:hint="eastAsia" w:ascii="宋体" w:hAnsi="宋体" w:cs="楷体"/>
                <w:kern w:val="0"/>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jc w:val="center"/>
        </w:trPr>
        <w:tc>
          <w:tcPr>
            <w:tcW w:w="720" w:type="dxa"/>
            <w:vAlign w:val="center"/>
          </w:tcPr>
          <w:p>
            <w:pPr>
              <w:widowControl/>
              <w:snapToGrid w:val="0"/>
              <w:spacing w:line="400" w:lineRule="exact"/>
              <w:jc w:val="center"/>
              <w:rPr>
                <w:rFonts w:ascii="宋体" w:hAnsi="宋体" w:cs="楷体"/>
                <w:kern w:val="0"/>
                <w:sz w:val="24"/>
                <w:highlight w:val="none"/>
              </w:rPr>
            </w:pPr>
            <w:r>
              <w:rPr>
                <w:rFonts w:hint="eastAsia" w:ascii="宋体" w:hAnsi="宋体" w:cs="楷体"/>
                <w:kern w:val="0"/>
                <w:sz w:val="24"/>
                <w:highlight w:val="none"/>
              </w:rPr>
              <w:t>1</w:t>
            </w:r>
          </w:p>
        </w:tc>
        <w:tc>
          <w:tcPr>
            <w:tcW w:w="1142" w:type="dxa"/>
            <w:vAlign w:val="center"/>
          </w:tcPr>
          <w:p>
            <w:pPr>
              <w:widowControl/>
              <w:snapToGrid w:val="0"/>
              <w:spacing w:line="400" w:lineRule="exact"/>
              <w:jc w:val="center"/>
              <w:rPr>
                <w:rFonts w:ascii="宋体" w:hAnsi="宋体" w:cs="楷体"/>
                <w:kern w:val="0"/>
                <w:sz w:val="24"/>
                <w:highlight w:val="none"/>
              </w:rPr>
            </w:pPr>
          </w:p>
        </w:tc>
        <w:tc>
          <w:tcPr>
            <w:tcW w:w="1287" w:type="dxa"/>
            <w:vAlign w:val="center"/>
          </w:tcPr>
          <w:p>
            <w:pPr>
              <w:widowControl/>
              <w:snapToGrid w:val="0"/>
              <w:spacing w:line="400" w:lineRule="exact"/>
              <w:jc w:val="center"/>
              <w:rPr>
                <w:rFonts w:ascii="宋体" w:hAnsi="宋体" w:cs="楷体"/>
                <w:kern w:val="0"/>
                <w:sz w:val="24"/>
                <w:highlight w:val="none"/>
              </w:rPr>
            </w:pPr>
          </w:p>
        </w:tc>
        <w:tc>
          <w:tcPr>
            <w:tcW w:w="858" w:type="dxa"/>
            <w:vAlign w:val="center"/>
          </w:tcPr>
          <w:p>
            <w:pPr>
              <w:widowControl/>
              <w:snapToGrid w:val="0"/>
              <w:spacing w:line="400" w:lineRule="exact"/>
              <w:jc w:val="center"/>
              <w:rPr>
                <w:rFonts w:ascii="宋体" w:hAnsi="宋体" w:cs="楷体"/>
                <w:kern w:val="0"/>
                <w:sz w:val="24"/>
                <w:highlight w:val="none"/>
              </w:rPr>
            </w:pPr>
          </w:p>
        </w:tc>
        <w:tc>
          <w:tcPr>
            <w:tcW w:w="912" w:type="dxa"/>
            <w:vAlign w:val="center"/>
          </w:tcPr>
          <w:p>
            <w:pPr>
              <w:widowControl/>
              <w:snapToGrid w:val="0"/>
              <w:spacing w:line="400" w:lineRule="exact"/>
              <w:jc w:val="center"/>
              <w:rPr>
                <w:rFonts w:ascii="宋体" w:hAnsi="宋体" w:cs="楷体"/>
                <w:kern w:val="0"/>
                <w:sz w:val="24"/>
                <w:highlight w:val="none"/>
              </w:rPr>
            </w:pPr>
          </w:p>
        </w:tc>
        <w:tc>
          <w:tcPr>
            <w:tcW w:w="1213" w:type="dxa"/>
          </w:tcPr>
          <w:p>
            <w:pPr>
              <w:widowControl/>
              <w:snapToGrid w:val="0"/>
              <w:spacing w:line="400" w:lineRule="exact"/>
              <w:jc w:val="center"/>
              <w:rPr>
                <w:rFonts w:ascii="宋体" w:hAnsi="宋体" w:cs="楷体"/>
                <w:kern w:val="0"/>
                <w:sz w:val="24"/>
                <w:highlight w:val="none"/>
              </w:rPr>
            </w:pPr>
          </w:p>
        </w:tc>
        <w:tc>
          <w:tcPr>
            <w:tcW w:w="1504" w:type="dxa"/>
            <w:vAlign w:val="center"/>
          </w:tcPr>
          <w:p>
            <w:pPr>
              <w:widowControl/>
              <w:snapToGrid w:val="0"/>
              <w:spacing w:line="400" w:lineRule="exact"/>
              <w:jc w:val="center"/>
              <w:rPr>
                <w:rFonts w:ascii="宋体" w:hAnsi="宋体" w:cs="楷体"/>
                <w:kern w:val="0"/>
                <w:sz w:val="24"/>
                <w:highlight w:val="none"/>
              </w:rPr>
            </w:pPr>
          </w:p>
        </w:tc>
        <w:tc>
          <w:tcPr>
            <w:tcW w:w="1651" w:type="dxa"/>
            <w:vAlign w:val="center"/>
          </w:tcPr>
          <w:p>
            <w:pPr>
              <w:widowControl/>
              <w:snapToGrid w:val="0"/>
              <w:spacing w:line="400" w:lineRule="exact"/>
              <w:jc w:val="center"/>
              <w:rPr>
                <w:rFonts w:ascii="宋体" w:hAnsi="宋体" w:cs="楷体"/>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jc w:val="center"/>
        </w:trPr>
        <w:tc>
          <w:tcPr>
            <w:tcW w:w="720" w:type="dxa"/>
            <w:vAlign w:val="center"/>
          </w:tcPr>
          <w:p>
            <w:pPr>
              <w:widowControl/>
              <w:snapToGrid w:val="0"/>
              <w:spacing w:line="400" w:lineRule="exact"/>
              <w:jc w:val="center"/>
              <w:rPr>
                <w:rFonts w:ascii="宋体" w:hAnsi="宋体" w:cs="楷体"/>
                <w:kern w:val="0"/>
                <w:sz w:val="24"/>
                <w:highlight w:val="none"/>
              </w:rPr>
            </w:pPr>
            <w:r>
              <w:rPr>
                <w:rFonts w:hint="eastAsia" w:ascii="宋体" w:hAnsi="宋体" w:cs="楷体"/>
                <w:kern w:val="0"/>
                <w:sz w:val="24"/>
                <w:highlight w:val="none"/>
              </w:rPr>
              <w:t>2</w:t>
            </w:r>
          </w:p>
        </w:tc>
        <w:tc>
          <w:tcPr>
            <w:tcW w:w="1142" w:type="dxa"/>
            <w:vAlign w:val="center"/>
          </w:tcPr>
          <w:p>
            <w:pPr>
              <w:widowControl/>
              <w:snapToGrid w:val="0"/>
              <w:spacing w:line="400" w:lineRule="exact"/>
              <w:jc w:val="center"/>
              <w:rPr>
                <w:rFonts w:ascii="宋体" w:hAnsi="宋体" w:cs="楷体"/>
                <w:kern w:val="0"/>
                <w:sz w:val="24"/>
                <w:highlight w:val="none"/>
              </w:rPr>
            </w:pPr>
          </w:p>
        </w:tc>
        <w:tc>
          <w:tcPr>
            <w:tcW w:w="1287" w:type="dxa"/>
            <w:vAlign w:val="center"/>
          </w:tcPr>
          <w:p>
            <w:pPr>
              <w:widowControl/>
              <w:snapToGrid w:val="0"/>
              <w:spacing w:line="400" w:lineRule="exact"/>
              <w:jc w:val="center"/>
              <w:rPr>
                <w:rFonts w:ascii="宋体" w:hAnsi="宋体" w:cs="楷体"/>
                <w:kern w:val="0"/>
                <w:sz w:val="24"/>
                <w:highlight w:val="none"/>
              </w:rPr>
            </w:pPr>
          </w:p>
        </w:tc>
        <w:tc>
          <w:tcPr>
            <w:tcW w:w="858" w:type="dxa"/>
            <w:vAlign w:val="center"/>
          </w:tcPr>
          <w:p>
            <w:pPr>
              <w:widowControl/>
              <w:snapToGrid w:val="0"/>
              <w:spacing w:line="400" w:lineRule="exact"/>
              <w:jc w:val="center"/>
              <w:rPr>
                <w:rFonts w:ascii="宋体" w:hAnsi="宋体" w:cs="楷体"/>
                <w:kern w:val="0"/>
                <w:sz w:val="24"/>
                <w:highlight w:val="none"/>
              </w:rPr>
            </w:pPr>
          </w:p>
        </w:tc>
        <w:tc>
          <w:tcPr>
            <w:tcW w:w="912" w:type="dxa"/>
            <w:vAlign w:val="center"/>
          </w:tcPr>
          <w:p>
            <w:pPr>
              <w:widowControl/>
              <w:snapToGrid w:val="0"/>
              <w:spacing w:line="400" w:lineRule="exact"/>
              <w:jc w:val="center"/>
              <w:rPr>
                <w:rFonts w:ascii="宋体" w:hAnsi="宋体" w:cs="楷体"/>
                <w:kern w:val="0"/>
                <w:sz w:val="24"/>
                <w:highlight w:val="none"/>
              </w:rPr>
            </w:pPr>
          </w:p>
        </w:tc>
        <w:tc>
          <w:tcPr>
            <w:tcW w:w="1213" w:type="dxa"/>
          </w:tcPr>
          <w:p>
            <w:pPr>
              <w:widowControl/>
              <w:snapToGrid w:val="0"/>
              <w:spacing w:line="400" w:lineRule="exact"/>
              <w:jc w:val="center"/>
              <w:rPr>
                <w:rFonts w:ascii="宋体" w:hAnsi="宋体" w:cs="楷体"/>
                <w:kern w:val="0"/>
                <w:sz w:val="24"/>
                <w:highlight w:val="none"/>
              </w:rPr>
            </w:pPr>
          </w:p>
        </w:tc>
        <w:tc>
          <w:tcPr>
            <w:tcW w:w="1504" w:type="dxa"/>
            <w:vAlign w:val="center"/>
          </w:tcPr>
          <w:p>
            <w:pPr>
              <w:widowControl/>
              <w:snapToGrid w:val="0"/>
              <w:spacing w:line="400" w:lineRule="exact"/>
              <w:jc w:val="center"/>
              <w:rPr>
                <w:rFonts w:ascii="宋体" w:hAnsi="宋体" w:cs="楷体"/>
                <w:kern w:val="0"/>
                <w:sz w:val="24"/>
                <w:highlight w:val="none"/>
              </w:rPr>
            </w:pPr>
          </w:p>
        </w:tc>
        <w:tc>
          <w:tcPr>
            <w:tcW w:w="1651" w:type="dxa"/>
            <w:vAlign w:val="center"/>
          </w:tcPr>
          <w:p>
            <w:pPr>
              <w:widowControl/>
              <w:snapToGrid w:val="0"/>
              <w:spacing w:line="400" w:lineRule="exact"/>
              <w:jc w:val="center"/>
              <w:rPr>
                <w:rFonts w:ascii="宋体" w:hAnsi="宋体" w:cs="楷体"/>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jc w:val="center"/>
        </w:trPr>
        <w:tc>
          <w:tcPr>
            <w:tcW w:w="720" w:type="dxa"/>
            <w:vAlign w:val="center"/>
          </w:tcPr>
          <w:p>
            <w:pPr>
              <w:widowControl/>
              <w:snapToGrid w:val="0"/>
              <w:spacing w:line="400" w:lineRule="exact"/>
              <w:jc w:val="center"/>
              <w:rPr>
                <w:rFonts w:ascii="宋体" w:hAnsi="宋体" w:cs="楷体"/>
                <w:kern w:val="0"/>
                <w:sz w:val="24"/>
                <w:highlight w:val="none"/>
              </w:rPr>
            </w:pPr>
            <w:r>
              <w:rPr>
                <w:rFonts w:hint="eastAsia" w:ascii="宋体" w:hAnsi="宋体" w:cs="楷体"/>
                <w:kern w:val="0"/>
                <w:sz w:val="24"/>
                <w:highlight w:val="none"/>
              </w:rPr>
              <w:t>3</w:t>
            </w:r>
          </w:p>
        </w:tc>
        <w:tc>
          <w:tcPr>
            <w:tcW w:w="1142" w:type="dxa"/>
            <w:vAlign w:val="center"/>
          </w:tcPr>
          <w:p>
            <w:pPr>
              <w:widowControl/>
              <w:snapToGrid w:val="0"/>
              <w:spacing w:line="400" w:lineRule="exact"/>
              <w:jc w:val="center"/>
              <w:rPr>
                <w:rFonts w:ascii="宋体" w:hAnsi="宋体" w:cs="楷体"/>
                <w:kern w:val="0"/>
                <w:sz w:val="24"/>
                <w:highlight w:val="none"/>
              </w:rPr>
            </w:pPr>
          </w:p>
        </w:tc>
        <w:tc>
          <w:tcPr>
            <w:tcW w:w="1287" w:type="dxa"/>
            <w:vAlign w:val="center"/>
          </w:tcPr>
          <w:p>
            <w:pPr>
              <w:widowControl/>
              <w:snapToGrid w:val="0"/>
              <w:spacing w:line="400" w:lineRule="exact"/>
              <w:jc w:val="center"/>
              <w:rPr>
                <w:rFonts w:ascii="宋体" w:hAnsi="宋体" w:cs="楷体"/>
                <w:kern w:val="0"/>
                <w:sz w:val="24"/>
                <w:highlight w:val="none"/>
              </w:rPr>
            </w:pPr>
          </w:p>
        </w:tc>
        <w:tc>
          <w:tcPr>
            <w:tcW w:w="858" w:type="dxa"/>
            <w:vAlign w:val="center"/>
          </w:tcPr>
          <w:p>
            <w:pPr>
              <w:widowControl/>
              <w:snapToGrid w:val="0"/>
              <w:spacing w:line="400" w:lineRule="exact"/>
              <w:jc w:val="center"/>
              <w:rPr>
                <w:rFonts w:ascii="宋体" w:hAnsi="宋体" w:cs="楷体"/>
                <w:kern w:val="0"/>
                <w:sz w:val="24"/>
                <w:highlight w:val="none"/>
              </w:rPr>
            </w:pPr>
          </w:p>
        </w:tc>
        <w:tc>
          <w:tcPr>
            <w:tcW w:w="912" w:type="dxa"/>
            <w:vAlign w:val="center"/>
          </w:tcPr>
          <w:p>
            <w:pPr>
              <w:widowControl/>
              <w:snapToGrid w:val="0"/>
              <w:spacing w:line="400" w:lineRule="exact"/>
              <w:jc w:val="center"/>
              <w:rPr>
                <w:rFonts w:ascii="宋体" w:hAnsi="宋体" w:cs="楷体"/>
                <w:kern w:val="0"/>
                <w:sz w:val="24"/>
                <w:highlight w:val="none"/>
              </w:rPr>
            </w:pPr>
          </w:p>
        </w:tc>
        <w:tc>
          <w:tcPr>
            <w:tcW w:w="1213" w:type="dxa"/>
          </w:tcPr>
          <w:p>
            <w:pPr>
              <w:widowControl/>
              <w:snapToGrid w:val="0"/>
              <w:spacing w:line="400" w:lineRule="exact"/>
              <w:jc w:val="center"/>
              <w:rPr>
                <w:rFonts w:ascii="宋体" w:hAnsi="宋体" w:cs="楷体"/>
                <w:kern w:val="0"/>
                <w:sz w:val="24"/>
                <w:highlight w:val="none"/>
              </w:rPr>
            </w:pPr>
          </w:p>
        </w:tc>
        <w:tc>
          <w:tcPr>
            <w:tcW w:w="1504" w:type="dxa"/>
            <w:vAlign w:val="center"/>
          </w:tcPr>
          <w:p>
            <w:pPr>
              <w:widowControl/>
              <w:snapToGrid w:val="0"/>
              <w:spacing w:line="400" w:lineRule="exact"/>
              <w:jc w:val="center"/>
              <w:rPr>
                <w:rFonts w:ascii="宋体" w:hAnsi="宋体" w:cs="楷体"/>
                <w:kern w:val="0"/>
                <w:sz w:val="24"/>
                <w:highlight w:val="none"/>
              </w:rPr>
            </w:pPr>
          </w:p>
        </w:tc>
        <w:tc>
          <w:tcPr>
            <w:tcW w:w="1651" w:type="dxa"/>
            <w:vAlign w:val="center"/>
          </w:tcPr>
          <w:p>
            <w:pPr>
              <w:widowControl/>
              <w:snapToGrid w:val="0"/>
              <w:spacing w:line="400" w:lineRule="exact"/>
              <w:jc w:val="center"/>
              <w:rPr>
                <w:rFonts w:ascii="宋体" w:hAnsi="宋体" w:cs="楷体"/>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jc w:val="center"/>
        </w:trPr>
        <w:tc>
          <w:tcPr>
            <w:tcW w:w="720" w:type="dxa"/>
            <w:vAlign w:val="center"/>
          </w:tcPr>
          <w:p>
            <w:pPr>
              <w:widowControl/>
              <w:snapToGrid w:val="0"/>
              <w:spacing w:line="400" w:lineRule="exact"/>
              <w:jc w:val="center"/>
              <w:rPr>
                <w:rFonts w:ascii="宋体" w:hAnsi="宋体" w:cs="楷体"/>
                <w:kern w:val="0"/>
                <w:sz w:val="24"/>
                <w:highlight w:val="none"/>
              </w:rPr>
            </w:pPr>
            <w:r>
              <w:rPr>
                <w:rFonts w:hint="eastAsia" w:ascii="宋体" w:hAnsi="宋体" w:cs="楷体"/>
                <w:kern w:val="0"/>
                <w:sz w:val="24"/>
                <w:highlight w:val="none"/>
              </w:rPr>
              <w:t>4</w:t>
            </w:r>
          </w:p>
        </w:tc>
        <w:tc>
          <w:tcPr>
            <w:tcW w:w="1142" w:type="dxa"/>
            <w:vAlign w:val="center"/>
          </w:tcPr>
          <w:p>
            <w:pPr>
              <w:widowControl/>
              <w:snapToGrid w:val="0"/>
              <w:spacing w:line="400" w:lineRule="exact"/>
              <w:jc w:val="center"/>
              <w:rPr>
                <w:rFonts w:ascii="宋体" w:hAnsi="宋体" w:cs="楷体"/>
                <w:kern w:val="0"/>
                <w:sz w:val="24"/>
                <w:highlight w:val="none"/>
              </w:rPr>
            </w:pPr>
          </w:p>
        </w:tc>
        <w:tc>
          <w:tcPr>
            <w:tcW w:w="1287" w:type="dxa"/>
            <w:vAlign w:val="center"/>
          </w:tcPr>
          <w:p>
            <w:pPr>
              <w:widowControl/>
              <w:snapToGrid w:val="0"/>
              <w:spacing w:line="400" w:lineRule="exact"/>
              <w:jc w:val="center"/>
              <w:rPr>
                <w:rFonts w:ascii="宋体" w:hAnsi="宋体" w:cs="楷体"/>
                <w:kern w:val="0"/>
                <w:sz w:val="24"/>
                <w:highlight w:val="none"/>
              </w:rPr>
            </w:pPr>
          </w:p>
        </w:tc>
        <w:tc>
          <w:tcPr>
            <w:tcW w:w="858" w:type="dxa"/>
            <w:vAlign w:val="center"/>
          </w:tcPr>
          <w:p>
            <w:pPr>
              <w:widowControl/>
              <w:snapToGrid w:val="0"/>
              <w:spacing w:line="400" w:lineRule="exact"/>
              <w:jc w:val="center"/>
              <w:rPr>
                <w:rFonts w:ascii="宋体" w:hAnsi="宋体" w:cs="楷体"/>
                <w:kern w:val="0"/>
                <w:sz w:val="24"/>
                <w:highlight w:val="none"/>
              </w:rPr>
            </w:pPr>
          </w:p>
        </w:tc>
        <w:tc>
          <w:tcPr>
            <w:tcW w:w="912" w:type="dxa"/>
            <w:vAlign w:val="center"/>
          </w:tcPr>
          <w:p>
            <w:pPr>
              <w:widowControl/>
              <w:snapToGrid w:val="0"/>
              <w:spacing w:line="400" w:lineRule="exact"/>
              <w:jc w:val="center"/>
              <w:rPr>
                <w:rFonts w:ascii="宋体" w:hAnsi="宋体" w:cs="楷体"/>
                <w:kern w:val="0"/>
                <w:sz w:val="24"/>
                <w:highlight w:val="none"/>
              </w:rPr>
            </w:pPr>
          </w:p>
        </w:tc>
        <w:tc>
          <w:tcPr>
            <w:tcW w:w="1213" w:type="dxa"/>
          </w:tcPr>
          <w:p>
            <w:pPr>
              <w:widowControl/>
              <w:snapToGrid w:val="0"/>
              <w:spacing w:line="400" w:lineRule="exact"/>
              <w:jc w:val="center"/>
              <w:rPr>
                <w:rFonts w:ascii="宋体" w:hAnsi="宋体" w:cs="楷体"/>
                <w:kern w:val="0"/>
                <w:sz w:val="24"/>
                <w:highlight w:val="none"/>
              </w:rPr>
            </w:pPr>
          </w:p>
        </w:tc>
        <w:tc>
          <w:tcPr>
            <w:tcW w:w="1504" w:type="dxa"/>
            <w:vAlign w:val="center"/>
          </w:tcPr>
          <w:p>
            <w:pPr>
              <w:widowControl/>
              <w:snapToGrid w:val="0"/>
              <w:spacing w:line="400" w:lineRule="exact"/>
              <w:jc w:val="center"/>
              <w:rPr>
                <w:rFonts w:ascii="宋体" w:hAnsi="宋体" w:cs="楷体"/>
                <w:kern w:val="0"/>
                <w:sz w:val="24"/>
                <w:highlight w:val="none"/>
              </w:rPr>
            </w:pPr>
          </w:p>
        </w:tc>
        <w:tc>
          <w:tcPr>
            <w:tcW w:w="1651" w:type="dxa"/>
            <w:vAlign w:val="center"/>
          </w:tcPr>
          <w:p>
            <w:pPr>
              <w:widowControl/>
              <w:snapToGrid w:val="0"/>
              <w:spacing w:line="400" w:lineRule="exact"/>
              <w:jc w:val="center"/>
              <w:rPr>
                <w:rFonts w:ascii="宋体" w:hAnsi="宋体" w:cs="楷体"/>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jc w:val="center"/>
        </w:trPr>
        <w:tc>
          <w:tcPr>
            <w:tcW w:w="720" w:type="dxa"/>
            <w:vAlign w:val="center"/>
          </w:tcPr>
          <w:p>
            <w:pPr>
              <w:widowControl/>
              <w:snapToGrid w:val="0"/>
              <w:spacing w:line="400" w:lineRule="exact"/>
              <w:jc w:val="center"/>
              <w:rPr>
                <w:rFonts w:ascii="宋体" w:hAnsi="宋体" w:cs="楷体"/>
                <w:kern w:val="0"/>
                <w:sz w:val="24"/>
                <w:highlight w:val="none"/>
              </w:rPr>
            </w:pPr>
            <w:r>
              <w:rPr>
                <w:rFonts w:hint="eastAsia" w:ascii="宋体" w:hAnsi="宋体" w:cs="楷体"/>
                <w:kern w:val="0"/>
                <w:sz w:val="24"/>
                <w:highlight w:val="none"/>
              </w:rPr>
              <w:t>5</w:t>
            </w:r>
          </w:p>
        </w:tc>
        <w:tc>
          <w:tcPr>
            <w:tcW w:w="1142" w:type="dxa"/>
            <w:vAlign w:val="center"/>
          </w:tcPr>
          <w:p>
            <w:pPr>
              <w:widowControl/>
              <w:snapToGrid w:val="0"/>
              <w:spacing w:line="400" w:lineRule="exact"/>
              <w:jc w:val="center"/>
              <w:rPr>
                <w:rFonts w:ascii="宋体" w:hAnsi="宋体" w:cs="楷体"/>
                <w:kern w:val="0"/>
                <w:sz w:val="24"/>
                <w:highlight w:val="none"/>
              </w:rPr>
            </w:pPr>
          </w:p>
        </w:tc>
        <w:tc>
          <w:tcPr>
            <w:tcW w:w="1287" w:type="dxa"/>
            <w:vAlign w:val="center"/>
          </w:tcPr>
          <w:p>
            <w:pPr>
              <w:widowControl/>
              <w:snapToGrid w:val="0"/>
              <w:spacing w:line="400" w:lineRule="exact"/>
              <w:jc w:val="center"/>
              <w:rPr>
                <w:rFonts w:ascii="宋体" w:hAnsi="宋体" w:cs="楷体"/>
                <w:kern w:val="0"/>
                <w:sz w:val="24"/>
                <w:highlight w:val="none"/>
              </w:rPr>
            </w:pPr>
          </w:p>
        </w:tc>
        <w:tc>
          <w:tcPr>
            <w:tcW w:w="858" w:type="dxa"/>
            <w:vAlign w:val="center"/>
          </w:tcPr>
          <w:p>
            <w:pPr>
              <w:widowControl/>
              <w:snapToGrid w:val="0"/>
              <w:spacing w:line="400" w:lineRule="exact"/>
              <w:jc w:val="center"/>
              <w:rPr>
                <w:rFonts w:ascii="宋体" w:hAnsi="宋体" w:cs="楷体"/>
                <w:kern w:val="0"/>
                <w:sz w:val="24"/>
                <w:highlight w:val="none"/>
              </w:rPr>
            </w:pPr>
          </w:p>
        </w:tc>
        <w:tc>
          <w:tcPr>
            <w:tcW w:w="912" w:type="dxa"/>
            <w:vAlign w:val="center"/>
          </w:tcPr>
          <w:p>
            <w:pPr>
              <w:widowControl/>
              <w:snapToGrid w:val="0"/>
              <w:spacing w:line="400" w:lineRule="exact"/>
              <w:jc w:val="center"/>
              <w:rPr>
                <w:rFonts w:ascii="宋体" w:hAnsi="宋体" w:cs="楷体"/>
                <w:kern w:val="0"/>
                <w:sz w:val="24"/>
                <w:highlight w:val="none"/>
              </w:rPr>
            </w:pPr>
          </w:p>
        </w:tc>
        <w:tc>
          <w:tcPr>
            <w:tcW w:w="1213" w:type="dxa"/>
          </w:tcPr>
          <w:p>
            <w:pPr>
              <w:widowControl/>
              <w:snapToGrid w:val="0"/>
              <w:spacing w:line="400" w:lineRule="exact"/>
              <w:jc w:val="center"/>
              <w:rPr>
                <w:rFonts w:ascii="宋体" w:hAnsi="宋体" w:cs="楷体"/>
                <w:kern w:val="0"/>
                <w:sz w:val="24"/>
                <w:highlight w:val="none"/>
              </w:rPr>
            </w:pPr>
          </w:p>
        </w:tc>
        <w:tc>
          <w:tcPr>
            <w:tcW w:w="1504" w:type="dxa"/>
            <w:vAlign w:val="center"/>
          </w:tcPr>
          <w:p>
            <w:pPr>
              <w:widowControl/>
              <w:snapToGrid w:val="0"/>
              <w:spacing w:line="400" w:lineRule="exact"/>
              <w:jc w:val="center"/>
              <w:rPr>
                <w:rFonts w:ascii="宋体" w:hAnsi="宋体" w:cs="楷体"/>
                <w:kern w:val="0"/>
                <w:sz w:val="24"/>
                <w:highlight w:val="none"/>
              </w:rPr>
            </w:pPr>
          </w:p>
        </w:tc>
        <w:tc>
          <w:tcPr>
            <w:tcW w:w="1651" w:type="dxa"/>
            <w:vAlign w:val="center"/>
          </w:tcPr>
          <w:p>
            <w:pPr>
              <w:widowControl/>
              <w:snapToGrid w:val="0"/>
              <w:spacing w:line="400" w:lineRule="exact"/>
              <w:jc w:val="center"/>
              <w:rPr>
                <w:rFonts w:ascii="宋体" w:hAnsi="宋体" w:cs="楷体"/>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jc w:val="center"/>
        </w:trPr>
        <w:tc>
          <w:tcPr>
            <w:tcW w:w="720" w:type="dxa"/>
            <w:vAlign w:val="center"/>
          </w:tcPr>
          <w:p>
            <w:pPr>
              <w:widowControl/>
              <w:snapToGrid w:val="0"/>
              <w:spacing w:line="400" w:lineRule="exact"/>
              <w:jc w:val="center"/>
              <w:rPr>
                <w:rFonts w:ascii="宋体" w:hAnsi="宋体" w:cs="楷体"/>
                <w:kern w:val="0"/>
                <w:sz w:val="24"/>
                <w:highlight w:val="none"/>
              </w:rPr>
            </w:pPr>
            <w:r>
              <w:rPr>
                <w:rFonts w:hint="eastAsia" w:ascii="宋体" w:hAnsi="宋体" w:cs="楷体"/>
                <w:kern w:val="0"/>
                <w:sz w:val="24"/>
                <w:highlight w:val="none"/>
              </w:rPr>
              <w:t>6</w:t>
            </w:r>
          </w:p>
        </w:tc>
        <w:tc>
          <w:tcPr>
            <w:tcW w:w="1142" w:type="dxa"/>
            <w:vAlign w:val="center"/>
          </w:tcPr>
          <w:p>
            <w:pPr>
              <w:widowControl/>
              <w:snapToGrid w:val="0"/>
              <w:spacing w:line="400" w:lineRule="exact"/>
              <w:jc w:val="center"/>
              <w:rPr>
                <w:rFonts w:ascii="宋体" w:hAnsi="宋体" w:cs="楷体"/>
                <w:kern w:val="0"/>
                <w:sz w:val="24"/>
                <w:highlight w:val="none"/>
              </w:rPr>
            </w:pPr>
          </w:p>
        </w:tc>
        <w:tc>
          <w:tcPr>
            <w:tcW w:w="1287" w:type="dxa"/>
            <w:vAlign w:val="center"/>
          </w:tcPr>
          <w:p>
            <w:pPr>
              <w:widowControl/>
              <w:snapToGrid w:val="0"/>
              <w:spacing w:line="400" w:lineRule="exact"/>
              <w:jc w:val="center"/>
              <w:rPr>
                <w:rFonts w:ascii="宋体" w:hAnsi="宋体" w:cs="楷体"/>
                <w:kern w:val="0"/>
                <w:sz w:val="24"/>
                <w:highlight w:val="none"/>
              </w:rPr>
            </w:pPr>
          </w:p>
        </w:tc>
        <w:tc>
          <w:tcPr>
            <w:tcW w:w="858" w:type="dxa"/>
            <w:vAlign w:val="center"/>
          </w:tcPr>
          <w:p>
            <w:pPr>
              <w:widowControl/>
              <w:snapToGrid w:val="0"/>
              <w:spacing w:line="400" w:lineRule="exact"/>
              <w:jc w:val="center"/>
              <w:rPr>
                <w:rFonts w:ascii="宋体" w:hAnsi="宋体" w:cs="楷体"/>
                <w:kern w:val="0"/>
                <w:sz w:val="24"/>
                <w:highlight w:val="none"/>
              </w:rPr>
            </w:pPr>
          </w:p>
        </w:tc>
        <w:tc>
          <w:tcPr>
            <w:tcW w:w="912" w:type="dxa"/>
            <w:vAlign w:val="center"/>
          </w:tcPr>
          <w:p>
            <w:pPr>
              <w:widowControl/>
              <w:snapToGrid w:val="0"/>
              <w:spacing w:line="400" w:lineRule="exact"/>
              <w:jc w:val="center"/>
              <w:rPr>
                <w:rFonts w:ascii="宋体" w:hAnsi="宋体" w:cs="楷体"/>
                <w:kern w:val="0"/>
                <w:sz w:val="24"/>
                <w:highlight w:val="none"/>
              </w:rPr>
            </w:pPr>
          </w:p>
        </w:tc>
        <w:tc>
          <w:tcPr>
            <w:tcW w:w="1213" w:type="dxa"/>
          </w:tcPr>
          <w:p>
            <w:pPr>
              <w:widowControl/>
              <w:snapToGrid w:val="0"/>
              <w:spacing w:line="400" w:lineRule="exact"/>
              <w:jc w:val="center"/>
              <w:rPr>
                <w:rFonts w:ascii="宋体" w:hAnsi="宋体" w:cs="楷体"/>
                <w:kern w:val="0"/>
                <w:sz w:val="24"/>
                <w:highlight w:val="none"/>
              </w:rPr>
            </w:pPr>
          </w:p>
        </w:tc>
        <w:tc>
          <w:tcPr>
            <w:tcW w:w="1504" w:type="dxa"/>
            <w:vAlign w:val="center"/>
          </w:tcPr>
          <w:p>
            <w:pPr>
              <w:widowControl/>
              <w:snapToGrid w:val="0"/>
              <w:spacing w:line="400" w:lineRule="exact"/>
              <w:jc w:val="center"/>
              <w:rPr>
                <w:rFonts w:ascii="宋体" w:hAnsi="宋体" w:cs="楷体"/>
                <w:kern w:val="0"/>
                <w:sz w:val="24"/>
                <w:highlight w:val="none"/>
              </w:rPr>
            </w:pPr>
          </w:p>
        </w:tc>
        <w:tc>
          <w:tcPr>
            <w:tcW w:w="1651" w:type="dxa"/>
            <w:vAlign w:val="center"/>
          </w:tcPr>
          <w:p>
            <w:pPr>
              <w:widowControl/>
              <w:snapToGrid w:val="0"/>
              <w:spacing w:line="400" w:lineRule="exact"/>
              <w:jc w:val="center"/>
              <w:rPr>
                <w:rFonts w:ascii="宋体" w:hAnsi="宋体" w:cs="楷体"/>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jc w:val="center"/>
        </w:trPr>
        <w:tc>
          <w:tcPr>
            <w:tcW w:w="720" w:type="dxa"/>
            <w:vAlign w:val="center"/>
          </w:tcPr>
          <w:p>
            <w:pPr>
              <w:widowControl/>
              <w:snapToGrid w:val="0"/>
              <w:spacing w:line="400" w:lineRule="exact"/>
              <w:jc w:val="center"/>
              <w:rPr>
                <w:rFonts w:ascii="宋体" w:hAnsi="宋体" w:cs="楷体"/>
                <w:kern w:val="0"/>
                <w:sz w:val="24"/>
                <w:highlight w:val="none"/>
              </w:rPr>
            </w:pPr>
            <w:r>
              <w:rPr>
                <w:rFonts w:hint="eastAsia" w:ascii="宋体" w:hAnsi="宋体" w:cs="楷体"/>
                <w:kern w:val="0"/>
                <w:sz w:val="24"/>
                <w:highlight w:val="none"/>
              </w:rPr>
              <w:t>7</w:t>
            </w:r>
          </w:p>
        </w:tc>
        <w:tc>
          <w:tcPr>
            <w:tcW w:w="1142" w:type="dxa"/>
            <w:vAlign w:val="center"/>
          </w:tcPr>
          <w:p>
            <w:pPr>
              <w:widowControl/>
              <w:snapToGrid w:val="0"/>
              <w:spacing w:line="400" w:lineRule="exact"/>
              <w:jc w:val="center"/>
              <w:rPr>
                <w:rFonts w:ascii="宋体" w:hAnsi="宋体" w:cs="楷体"/>
                <w:kern w:val="0"/>
                <w:sz w:val="24"/>
                <w:highlight w:val="none"/>
              </w:rPr>
            </w:pPr>
          </w:p>
        </w:tc>
        <w:tc>
          <w:tcPr>
            <w:tcW w:w="1287" w:type="dxa"/>
            <w:vAlign w:val="center"/>
          </w:tcPr>
          <w:p>
            <w:pPr>
              <w:widowControl/>
              <w:snapToGrid w:val="0"/>
              <w:spacing w:line="400" w:lineRule="exact"/>
              <w:jc w:val="center"/>
              <w:rPr>
                <w:rFonts w:ascii="宋体" w:hAnsi="宋体" w:cs="楷体"/>
                <w:kern w:val="0"/>
                <w:sz w:val="24"/>
                <w:highlight w:val="none"/>
              </w:rPr>
            </w:pPr>
          </w:p>
        </w:tc>
        <w:tc>
          <w:tcPr>
            <w:tcW w:w="858" w:type="dxa"/>
            <w:vAlign w:val="center"/>
          </w:tcPr>
          <w:p>
            <w:pPr>
              <w:widowControl/>
              <w:snapToGrid w:val="0"/>
              <w:spacing w:line="400" w:lineRule="exact"/>
              <w:jc w:val="center"/>
              <w:rPr>
                <w:rFonts w:ascii="宋体" w:hAnsi="宋体" w:cs="楷体"/>
                <w:kern w:val="0"/>
                <w:sz w:val="24"/>
                <w:highlight w:val="none"/>
              </w:rPr>
            </w:pPr>
          </w:p>
        </w:tc>
        <w:tc>
          <w:tcPr>
            <w:tcW w:w="912" w:type="dxa"/>
            <w:vAlign w:val="center"/>
          </w:tcPr>
          <w:p>
            <w:pPr>
              <w:widowControl/>
              <w:snapToGrid w:val="0"/>
              <w:spacing w:line="400" w:lineRule="exact"/>
              <w:jc w:val="center"/>
              <w:rPr>
                <w:rFonts w:ascii="宋体" w:hAnsi="宋体" w:cs="楷体"/>
                <w:kern w:val="0"/>
                <w:sz w:val="24"/>
                <w:highlight w:val="none"/>
              </w:rPr>
            </w:pPr>
          </w:p>
        </w:tc>
        <w:tc>
          <w:tcPr>
            <w:tcW w:w="1213" w:type="dxa"/>
          </w:tcPr>
          <w:p>
            <w:pPr>
              <w:widowControl/>
              <w:snapToGrid w:val="0"/>
              <w:spacing w:line="400" w:lineRule="exact"/>
              <w:jc w:val="center"/>
              <w:rPr>
                <w:rFonts w:ascii="宋体" w:hAnsi="宋体" w:cs="楷体"/>
                <w:kern w:val="0"/>
                <w:sz w:val="24"/>
                <w:highlight w:val="none"/>
              </w:rPr>
            </w:pPr>
          </w:p>
        </w:tc>
        <w:tc>
          <w:tcPr>
            <w:tcW w:w="1504" w:type="dxa"/>
            <w:vAlign w:val="center"/>
          </w:tcPr>
          <w:p>
            <w:pPr>
              <w:widowControl/>
              <w:snapToGrid w:val="0"/>
              <w:spacing w:line="400" w:lineRule="exact"/>
              <w:jc w:val="center"/>
              <w:rPr>
                <w:rFonts w:ascii="宋体" w:hAnsi="宋体" w:cs="楷体"/>
                <w:kern w:val="0"/>
                <w:sz w:val="24"/>
                <w:highlight w:val="none"/>
              </w:rPr>
            </w:pPr>
          </w:p>
        </w:tc>
        <w:tc>
          <w:tcPr>
            <w:tcW w:w="1651" w:type="dxa"/>
            <w:vAlign w:val="center"/>
          </w:tcPr>
          <w:p>
            <w:pPr>
              <w:widowControl/>
              <w:snapToGrid w:val="0"/>
              <w:spacing w:line="400" w:lineRule="exact"/>
              <w:jc w:val="center"/>
              <w:rPr>
                <w:rFonts w:ascii="宋体" w:hAnsi="宋体" w:cs="楷体"/>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jc w:val="center"/>
        </w:trPr>
        <w:tc>
          <w:tcPr>
            <w:tcW w:w="720" w:type="dxa"/>
            <w:vAlign w:val="center"/>
          </w:tcPr>
          <w:p>
            <w:pPr>
              <w:widowControl/>
              <w:snapToGrid w:val="0"/>
              <w:spacing w:line="400" w:lineRule="exact"/>
              <w:jc w:val="center"/>
              <w:rPr>
                <w:rFonts w:ascii="宋体" w:hAnsi="宋体" w:cs="楷体"/>
                <w:kern w:val="0"/>
                <w:sz w:val="24"/>
                <w:highlight w:val="none"/>
              </w:rPr>
            </w:pPr>
            <w:r>
              <w:rPr>
                <w:rFonts w:hint="eastAsia" w:ascii="宋体" w:hAnsi="宋体" w:cs="楷体"/>
                <w:kern w:val="0"/>
                <w:sz w:val="24"/>
                <w:highlight w:val="none"/>
              </w:rPr>
              <w:t>8</w:t>
            </w:r>
          </w:p>
        </w:tc>
        <w:tc>
          <w:tcPr>
            <w:tcW w:w="1142" w:type="dxa"/>
            <w:vAlign w:val="center"/>
          </w:tcPr>
          <w:p>
            <w:pPr>
              <w:widowControl/>
              <w:snapToGrid w:val="0"/>
              <w:spacing w:line="400" w:lineRule="exact"/>
              <w:jc w:val="center"/>
              <w:rPr>
                <w:rFonts w:ascii="宋体" w:hAnsi="宋体" w:cs="楷体"/>
                <w:kern w:val="0"/>
                <w:sz w:val="24"/>
                <w:highlight w:val="none"/>
              </w:rPr>
            </w:pPr>
          </w:p>
        </w:tc>
        <w:tc>
          <w:tcPr>
            <w:tcW w:w="1287" w:type="dxa"/>
            <w:vAlign w:val="center"/>
          </w:tcPr>
          <w:p>
            <w:pPr>
              <w:widowControl/>
              <w:snapToGrid w:val="0"/>
              <w:spacing w:line="400" w:lineRule="exact"/>
              <w:jc w:val="center"/>
              <w:rPr>
                <w:rFonts w:ascii="宋体" w:hAnsi="宋体" w:cs="楷体"/>
                <w:kern w:val="0"/>
                <w:sz w:val="24"/>
                <w:highlight w:val="none"/>
              </w:rPr>
            </w:pPr>
          </w:p>
        </w:tc>
        <w:tc>
          <w:tcPr>
            <w:tcW w:w="858" w:type="dxa"/>
            <w:vAlign w:val="center"/>
          </w:tcPr>
          <w:p>
            <w:pPr>
              <w:widowControl/>
              <w:snapToGrid w:val="0"/>
              <w:spacing w:line="400" w:lineRule="exact"/>
              <w:jc w:val="center"/>
              <w:rPr>
                <w:rFonts w:ascii="宋体" w:hAnsi="宋体" w:cs="楷体"/>
                <w:kern w:val="0"/>
                <w:sz w:val="24"/>
                <w:highlight w:val="none"/>
              </w:rPr>
            </w:pPr>
          </w:p>
        </w:tc>
        <w:tc>
          <w:tcPr>
            <w:tcW w:w="912" w:type="dxa"/>
            <w:vAlign w:val="center"/>
          </w:tcPr>
          <w:p>
            <w:pPr>
              <w:widowControl/>
              <w:snapToGrid w:val="0"/>
              <w:spacing w:line="400" w:lineRule="exact"/>
              <w:jc w:val="center"/>
              <w:rPr>
                <w:rFonts w:ascii="宋体" w:hAnsi="宋体" w:cs="楷体"/>
                <w:kern w:val="0"/>
                <w:sz w:val="24"/>
                <w:highlight w:val="none"/>
              </w:rPr>
            </w:pPr>
          </w:p>
        </w:tc>
        <w:tc>
          <w:tcPr>
            <w:tcW w:w="1213" w:type="dxa"/>
          </w:tcPr>
          <w:p>
            <w:pPr>
              <w:widowControl/>
              <w:snapToGrid w:val="0"/>
              <w:spacing w:line="400" w:lineRule="exact"/>
              <w:jc w:val="center"/>
              <w:rPr>
                <w:rFonts w:ascii="宋体" w:hAnsi="宋体" w:cs="楷体"/>
                <w:kern w:val="0"/>
                <w:sz w:val="24"/>
                <w:highlight w:val="none"/>
              </w:rPr>
            </w:pPr>
          </w:p>
        </w:tc>
        <w:tc>
          <w:tcPr>
            <w:tcW w:w="1504" w:type="dxa"/>
            <w:vAlign w:val="center"/>
          </w:tcPr>
          <w:p>
            <w:pPr>
              <w:widowControl/>
              <w:snapToGrid w:val="0"/>
              <w:spacing w:line="400" w:lineRule="exact"/>
              <w:jc w:val="center"/>
              <w:rPr>
                <w:rFonts w:ascii="宋体" w:hAnsi="宋体" w:cs="楷体"/>
                <w:kern w:val="0"/>
                <w:sz w:val="24"/>
                <w:highlight w:val="none"/>
              </w:rPr>
            </w:pPr>
          </w:p>
        </w:tc>
        <w:tc>
          <w:tcPr>
            <w:tcW w:w="1651" w:type="dxa"/>
            <w:vAlign w:val="center"/>
          </w:tcPr>
          <w:p>
            <w:pPr>
              <w:widowControl/>
              <w:snapToGrid w:val="0"/>
              <w:spacing w:line="400" w:lineRule="exact"/>
              <w:jc w:val="center"/>
              <w:rPr>
                <w:rFonts w:ascii="宋体" w:hAnsi="宋体" w:cs="楷体"/>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jc w:val="center"/>
        </w:trPr>
        <w:tc>
          <w:tcPr>
            <w:tcW w:w="720" w:type="dxa"/>
            <w:vAlign w:val="center"/>
          </w:tcPr>
          <w:p>
            <w:pPr>
              <w:widowControl/>
              <w:snapToGrid w:val="0"/>
              <w:spacing w:line="400" w:lineRule="exact"/>
              <w:jc w:val="center"/>
              <w:rPr>
                <w:rFonts w:ascii="宋体" w:hAnsi="宋体" w:cs="楷体"/>
                <w:kern w:val="0"/>
                <w:sz w:val="24"/>
                <w:highlight w:val="none"/>
              </w:rPr>
            </w:pPr>
            <w:r>
              <w:rPr>
                <w:rFonts w:hint="eastAsia" w:ascii="宋体" w:hAnsi="宋体" w:cs="楷体"/>
                <w:kern w:val="0"/>
                <w:sz w:val="24"/>
                <w:highlight w:val="none"/>
              </w:rPr>
              <w:t>9</w:t>
            </w:r>
          </w:p>
        </w:tc>
        <w:tc>
          <w:tcPr>
            <w:tcW w:w="1142" w:type="dxa"/>
            <w:vAlign w:val="center"/>
          </w:tcPr>
          <w:p>
            <w:pPr>
              <w:widowControl/>
              <w:snapToGrid w:val="0"/>
              <w:spacing w:line="400" w:lineRule="exact"/>
              <w:jc w:val="center"/>
              <w:rPr>
                <w:rFonts w:ascii="宋体" w:hAnsi="宋体" w:cs="楷体"/>
                <w:kern w:val="0"/>
                <w:sz w:val="24"/>
                <w:highlight w:val="none"/>
              </w:rPr>
            </w:pPr>
          </w:p>
        </w:tc>
        <w:tc>
          <w:tcPr>
            <w:tcW w:w="1287" w:type="dxa"/>
            <w:vAlign w:val="center"/>
          </w:tcPr>
          <w:p>
            <w:pPr>
              <w:widowControl/>
              <w:snapToGrid w:val="0"/>
              <w:spacing w:line="400" w:lineRule="exact"/>
              <w:jc w:val="center"/>
              <w:rPr>
                <w:rFonts w:ascii="宋体" w:hAnsi="宋体" w:cs="楷体"/>
                <w:kern w:val="0"/>
                <w:sz w:val="24"/>
                <w:highlight w:val="none"/>
              </w:rPr>
            </w:pPr>
          </w:p>
        </w:tc>
        <w:tc>
          <w:tcPr>
            <w:tcW w:w="858" w:type="dxa"/>
            <w:vAlign w:val="center"/>
          </w:tcPr>
          <w:p>
            <w:pPr>
              <w:widowControl/>
              <w:snapToGrid w:val="0"/>
              <w:spacing w:line="400" w:lineRule="exact"/>
              <w:jc w:val="center"/>
              <w:rPr>
                <w:rFonts w:ascii="宋体" w:hAnsi="宋体" w:cs="楷体"/>
                <w:kern w:val="0"/>
                <w:sz w:val="24"/>
                <w:highlight w:val="none"/>
              </w:rPr>
            </w:pPr>
          </w:p>
        </w:tc>
        <w:tc>
          <w:tcPr>
            <w:tcW w:w="912" w:type="dxa"/>
            <w:vAlign w:val="center"/>
          </w:tcPr>
          <w:p>
            <w:pPr>
              <w:widowControl/>
              <w:snapToGrid w:val="0"/>
              <w:spacing w:line="400" w:lineRule="exact"/>
              <w:jc w:val="center"/>
              <w:rPr>
                <w:rFonts w:ascii="宋体" w:hAnsi="宋体" w:cs="楷体"/>
                <w:kern w:val="0"/>
                <w:sz w:val="24"/>
                <w:highlight w:val="none"/>
              </w:rPr>
            </w:pPr>
          </w:p>
        </w:tc>
        <w:tc>
          <w:tcPr>
            <w:tcW w:w="1213" w:type="dxa"/>
          </w:tcPr>
          <w:p>
            <w:pPr>
              <w:widowControl/>
              <w:snapToGrid w:val="0"/>
              <w:spacing w:line="400" w:lineRule="exact"/>
              <w:jc w:val="center"/>
              <w:rPr>
                <w:rFonts w:ascii="宋体" w:hAnsi="宋体" w:cs="楷体"/>
                <w:kern w:val="0"/>
                <w:sz w:val="24"/>
                <w:highlight w:val="none"/>
              </w:rPr>
            </w:pPr>
          </w:p>
        </w:tc>
        <w:tc>
          <w:tcPr>
            <w:tcW w:w="1504" w:type="dxa"/>
            <w:vAlign w:val="center"/>
          </w:tcPr>
          <w:p>
            <w:pPr>
              <w:widowControl/>
              <w:snapToGrid w:val="0"/>
              <w:spacing w:line="400" w:lineRule="exact"/>
              <w:jc w:val="center"/>
              <w:rPr>
                <w:rFonts w:ascii="宋体" w:hAnsi="宋体" w:cs="楷体"/>
                <w:kern w:val="0"/>
                <w:sz w:val="24"/>
                <w:highlight w:val="none"/>
              </w:rPr>
            </w:pPr>
          </w:p>
        </w:tc>
        <w:tc>
          <w:tcPr>
            <w:tcW w:w="1651" w:type="dxa"/>
            <w:vAlign w:val="center"/>
          </w:tcPr>
          <w:p>
            <w:pPr>
              <w:widowControl/>
              <w:snapToGrid w:val="0"/>
              <w:spacing w:line="400" w:lineRule="exact"/>
              <w:jc w:val="center"/>
              <w:rPr>
                <w:rFonts w:ascii="宋体" w:hAnsi="宋体" w:cs="楷体"/>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jc w:val="center"/>
        </w:trPr>
        <w:tc>
          <w:tcPr>
            <w:tcW w:w="720" w:type="dxa"/>
            <w:vAlign w:val="center"/>
          </w:tcPr>
          <w:p>
            <w:pPr>
              <w:widowControl/>
              <w:snapToGrid w:val="0"/>
              <w:spacing w:line="400" w:lineRule="exact"/>
              <w:jc w:val="center"/>
              <w:rPr>
                <w:rFonts w:ascii="宋体" w:hAnsi="宋体" w:cs="楷体"/>
                <w:kern w:val="0"/>
                <w:sz w:val="24"/>
                <w:highlight w:val="none"/>
              </w:rPr>
            </w:pPr>
            <w:r>
              <w:rPr>
                <w:rFonts w:hint="eastAsia" w:ascii="宋体" w:hAnsi="宋体" w:cs="楷体"/>
                <w:kern w:val="0"/>
                <w:sz w:val="24"/>
                <w:highlight w:val="none"/>
              </w:rPr>
              <w:t>10</w:t>
            </w:r>
          </w:p>
        </w:tc>
        <w:tc>
          <w:tcPr>
            <w:tcW w:w="1142" w:type="dxa"/>
            <w:vAlign w:val="center"/>
          </w:tcPr>
          <w:p>
            <w:pPr>
              <w:widowControl/>
              <w:snapToGrid w:val="0"/>
              <w:spacing w:line="400" w:lineRule="exact"/>
              <w:jc w:val="center"/>
              <w:rPr>
                <w:rFonts w:ascii="宋体" w:hAnsi="宋体" w:cs="楷体"/>
                <w:kern w:val="0"/>
                <w:sz w:val="24"/>
                <w:highlight w:val="none"/>
              </w:rPr>
            </w:pPr>
          </w:p>
        </w:tc>
        <w:tc>
          <w:tcPr>
            <w:tcW w:w="1287" w:type="dxa"/>
            <w:vAlign w:val="center"/>
          </w:tcPr>
          <w:p>
            <w:pPr>
              <w:widowControl/>
              <w:snapToGrid w:val="0"/>
              <w:spacing w:line="400" w:lineRule="exact"/>
              <w:jc w:val="center"/>
              <w:rPr>
                <w:rFonts w:ascii="宋体" w:hAnsi="宋体" w:cs="楷体"/>
                <w:kern w:val="0"/>
                <w:sz w:val="24"/>
                <w:highlight w:val="none"/>
              </w:rPr>
            </w:pPr>
          </w:p>
        </w:tc>
        <w:tc>
          <w:tcPr>
            <w:tcW w:w="858" w:type="dxa"/>
            <w:vAlign w:val="center"/>
          </w:tcPr>
          <w:p>
            <w:pPr>
              <w:widowControl/>
              <w:snapToGrid w:val="0"/>
              <w:spacing w:line="400" w:lineRule="exact"/>
              <w:jc w:val="center"/>
              <w:rPr>
                <w:rFonts w:ascii="宋体" w:hAnsi="宋体" w:cs="楷体"/>
                <w:kern w:val="0"/>
                <w:sz w:val="24"/>
                <w:highlight w:val="none"/>
              </w:rPr>
            </w:pPr>
          </w:p>
        </w:tc>
        <w:tc>
          <w:tcPr>
            <w:tcW w:w="912" w:type="dxa"/>
            <w:vAlign w:val="center"/>
          </w:tcPr>
          <w:p>
            <w:pPr>
              <w:widowControl/>
              <w:snapToGrid w:val="0"/>
              <w:spacing w:line="400" w:lineRule="exact"/>
              <w:jc w:val="center"/>
              <w:rPr>
                <w:rFonts w:ascii="宋体" w:hAnsi="宋体" w:cs="楷体"/>
                <w:kern w:val="0"/>
                <w:sz w:val="24"/>
                <w:highlight w:val="none"/>
              </w:rPr>
            </w:pPr>
          </w:p>
        </w:tc>
        <w:tc>
          <w:tcPr>
            <w:tcW w:w="1213" w:type="dxa"/>
          </w:tcPr>
          <w:p>
            <w:pPr>
              <w:widowControl/>
              <w:snapToGrid w:val="0"/>
              <w:spacing w:line="400" w:lineRule="exact"/>
              <w:jc w:val="center"/>
              <w:rPr>
                <w:rFonts w:ascii="宋体" w:hAnsi="宋体" w:cs="楷体"/>
                <w:kern w:val="0"/>
                <w:sz w:val="24"/>
                <w:highlight w:val="none"/>
              </w:rPr>
            </w:pPr>
          </w:p>
        </w:tc>
        <w:tc>
          <w:tcPr>
            <w:tcW w:w="1504" w:type="dxa"/>
            <w:vAlign w:val="center"/>
          </w:tcPr>
          <w:p>
            <w:pPr>
              <w:widowControl/>
              <w:snapToGrid w:val="0"/>
              <w:spacing w:line="400" w:lineRule="exact"/>
              <w:jc w:val="center"/>
              <w:rPr>
                <w:rFonts w:ascii="宋体" w:hAnsi="宋体" w:cs="楷体"/>
                <w:kern w:val="0"/>
                <w:sz w:val="24"/>
                <w:highlight w:val="none"/>
              </w:rPr>
            </w:pPr>
          </w:p>
        </w:tc>
        <w:tc>
          <w:tcPr>
            <w:tcW w:w="1651" w:type="dxa"/>
            <w:vAlign w:val="center"/>
          </w:tcPr>
          <w:p>
            <w:pPr>
              <w:widowControl/>
              <w:snapToGrid w:val="0"/>
              <w:spacing w:line="400" w:lineRule="exact"/>
              <w:jc w:val="center"/>
              <w:rPr>
                <w:rFonts w:ascii="宋体" w:hAnsi="宋体" w:cs="楷体"/>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jc w:val="center"/>
        </w:trPr>
        <w:tc>
          <w:tcPr>
            <w:tcW w:w="720" w:type="dxa"/>
            <w:vAlign w:val="center"/>
          </w:tcPr>
          <w:p>
            <w:pPr>
              <w:widowControl/>
              <w:snapToGrid w:val="0"/>
              <w:spacing w:line="400" w:lineRule="exact"/>
              <w:jc w:val="center"/>
              <w:rPr>
                <w:rFonts w:ascii="宋体" w:hAnsi="宋体" w:cs="楷体"/>
                <w:kern w:val="0"/>
                <w:sz w:val="24"/>
                <w:highlight w:val="none"/>
              </w:rPr>
            </w:pPr>
            <w:r>
              <w:rPr>
                <w:rFonts w:hint="eastAsia" w:ascii="宋体" w:hAnsi="宋体" w:cs="楷体"/>
                <w:kern w:val="0"/>
                <w:sz w:val="24"/>
                <w:highlight w:val="none"/>
              </w:rPr>
              <w:t>……</w:t>
            </w:r>
          </w:p>
        </w:tc>
        <w:tc>
          <w:tcPr>
            <w:tcW w:w="1142" w:type="dxa"/>
            <w:vAlign w:val="center"/>
          </w:tcPr>
          <w:p>
            <w:pPr>
              <w:widowControl/>
              <w:snapToGrid w:val="0"/>
              <w:spacing w:line="400" w:lineRule="exact"/>
              <w:jc w:val="center"/>
              <w:rPr>
                <w:rFonts w:ascii="宋体" w:hAnsi="宋体" w:cs="楷体"/>
                <w:kern w:val="0"/>
                <w:sz w:val="24"/>
                <w:highlight w:val="none"/>
              </w:rPr>
            </w:pPr>
          </w:p>
        </w:tc>
        <w:tc>
          <w:tcPr>
            <w:tcW w:w="1287" w:type="dxa"/>
            <w:vAlign w:val="center"/>
          </w:tcPr>
          <w:p>
            <w:pPr>
              <w:widowControl/>
              <w:snapToGrid w:val="0"/>
              <w:spacing w:line="400" w:lineRule="exact"/>
              <w:jc w:val="center"/>
              <w:rPr>
                <w:rFonts w:ascii="宋体" w:hAnsi="宋体" w:cs="楷体"/>
                <w:kern w:val="0"/>
                <w:sz w:val="24"/>
                <w:highlight w:val="none"/>
              </w:rPr>
            </w:pPr>
          </w:p>
        </w:tc>
        <w:tc>
          <w:tcPr>
            <w:tcW w:w="858" w:type="dxa"/>
            <w:vAlign w:val="center"/>
          </w:tcPr>
          <w:p>
            <w:pPr>
              <w:widowControl/>
              <w:snapToGrid w:val="0"/>
              <w:spacing w:line="400" w:lineRule="exact"/>
              <w:jc w:val="center"/>
              <w:rPr>
                <w:rFonts w:ascii="宋体" w:hAnsi="宋体" w:cs="楷体"/>
                <w:kern w:val="0"/>
                <w:sz w:val="24"/>
                <w:highlight w:val="none"/>
              </w:rPr>
            </w:pPr>
          </w:p>
        </w:tc>
        <w:tc>
          <w:tcPr>
            <w:tcW w:w="912" w:type="dxa"/>
            <w:vAlign w:val="center"/>
          </w:tcPr>
          <w:p>
            <w:pPr>
              <w:widowControl/>
              <w:snapToGrid w:val="0"/>
              <w:spacing w:line="400" w:lineRule="exact"/>
              <w:jc w:val="center"/>
              <w:rPr>
                <w:rFonts w:ascii="宋体" w:hAnsi="宋体" w:cs="楷体"/>
                <w:kern w:val="0"/>
                <w:sz w:val="24"/>
                <w:highlight w:val="none"/>
              </w:rPr>
            </w:pPr>
          </w:p>
        </w:tc>
        <w:tc>
          <w:tcPr>
            <w:tcW w:w="1213" w:type="dxa"/>
          </w:tcPr>
          <w:p>
            <w:pPr>
              <w:widowControl/>
              <w:snapToGrid w:val="0"/>
              <w:spacing w:line="400" w:lineRule="exact"/>
              <w:jc w:val="center"/>
              <w:rPr>
                <w:rFonts w:ascii="宋体" w:hAnsi="宋体" w:cs="楷体"/>
                <w:kern w:val="0"/>
                <w:sz w:val="24"/>
                <w:highlight w:val="none"/>
              </w:rPr>
            </w:pPr>
          </w:p>
        </w:tc>
        <w:tc>
          <w:tcPr>
            <w:tcW w:w="1504" w:type="dxa"/>
            <w:vAlign w:val="center"/>
          </w:tcPr>
          <w:p>
            <w:pPr>
              <w:widowControl/>
              <w:snapToGrid w:val="0"/>
              <w:spacing w:line="400" w:lineRule="exact"/>
              <w:jc w:val="center"/>
              <w:rPr>
                <w:rFonts w:ascii="宋体" w:hAnsi="宋体" w:cs="楷体"/>
                <w:kern w:val="0"/>
                <w:sz w:val="24"/>
                <w:highlight w:val="none"/>
              </w:rPr>
            </w:pPr>
          </w:p>
        </w:tc>
        <w:tc>
          <w:tcPr>
            <w:tcW w:w="1651" w:type="dxa"/>
            <w:vAlign w:val="center"/>
          </w:tcPr>
          <w:p>
            <w:pPr>
              <w:widowControl/>
              <w:snapToGrid w:val="0"/>
              <w:spacing w:line="400" w:lineRule="exact"/>
              <w:jc w:val="center"/>
              <w:rPr>
                <w:rFonts w:ascii="宋体" w:hAnsi="宋体" w:cs="楷体"/>
                <w:kern w:val="0"/>
                <w:sz w:val="24"/>
                <w:highlight w:val="none"/>
              </w:rPr>
            </w:pPr>
          </w:p>
        </w:tc>
      </w:tr>
    </w:tbl>
    <w:p>
      <w:pPr>
        <w:pStyle w:val="96"/>
        <w:spacing w:before="240" w:line="480" w:lineRule="exact"/>
        <w:ind w:firstLine="0" w:firstLineChars="0"/>
        <w:rPr>
          <w:color w:val="000000"/>
          <w:highlight w:val="none"/>
        </w:rPr>
      </w:pPr>
      <w:r>
        <w:rPr>
          <w:rFonts w:hint="eastAsia"/>
          <w:color w:val="000000"/>
          <w:highlight w:val="none"/>
        </w:rPr>
        <w:t>投标人名称（盖章）：</w:t>
      </w:r>
    </w:p>
    <w:p>
      <w:pPr>
        <w:pStyle w:val="96"/>
        <w:spacing w:before="240" w:line="480" w:lineRule="exact"/>
        <w:ind w:firstLine="0" w:firstLineChars="0"/>
        <w:rPr>
          <w:color w:val="000000"/>
          <w:highlight w:val="none"/>
        </w:rPr>
      </w:pPr>
      <w:r>
        <w:rPr>
          <w:rFonts w:hint="eastAsia"/>
          <w:color w:val="000000"/>
          <w:highlight w:val="none"/>
        </w:rPr>
        <w:t>授权代表（签字或盖章）：</w:t>
      </w:r>
    </w:p>
    <w:p>
      <w:pPr>
        <w:pStyle w:val="15"/>
        <w:wordWrap w:val="0"/>
        <w:spacing w:line="480" w:lineRule="exact"/>
        <w:ind w:right="600"/>
        <w:jc w:val="right"/>
        <w:rPr>
          <w:rFonts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年 月 日</w:t>
      </w:r>
    </w:p>
    <w:p>
      <w:pPr>
        <w:rPr>
          <w:rFonts w:ascii="宋体"/>
          <w:b/>
          <w:color w:val="000000"/>
          <w:sz w:val="24"/>
          <w:highlight w:val="none"/>
        </w:rPr>
      </w:pPr>
      <w:r>
        <w:rPr>
          <w:rFonts w:hint="eastAsia" w:ascii="宋体"/>
          <w:b/>
          <w:color w:val="000000"/>
          <w:sz w:val="24"/>
          <w:highlight w:val="none"/>
        </w:rPr>
        <w:t>注：本表后附相关岗位证书及项目部人员近三个月的社保证明复印件</w:t>
      </w:r>
    </w:p>
    <w:p>
      <w:pPr>
        <w:spacing w:line="480" w:lineRule="exact"/>
        <w:jc w:val="center"/>
        <w:outlineLvl w:val="0"/>
        <w:rPr>
          <w:rFonts w:ascii="宋体"/>
          <w:b/>
          <w:sz w:val="28"/>
          <w:highlight w:val="none"/>
        </w:rPr>
      </w:pPr>
      <w:r>
        <w:rPr>
          <w:rFonts w:ascii="宋体"/>
          <w:color w:val="000000"/>
          <w:sz w:val="24"/>
          <w:highlight w:val="none"/>
        </w:rPr>
        <w:br w:type="page"/>
      </w:r>
      <w:r>
        <w:rPr>
          <w:rFonts w:hint="eastAsia" w:ascii="宋体" w:hAnsi="宋体"/>
          <w:sz w:val="24"/>
          <w:highlight w:val="none"/>
        </w:rPr>
        <w:t>附件七：</w:t>
      </w:r>
      <w:r>
        <w:rPr>
          <w:rFonts w:hint="eastAsia" w:ascii="宋体" w:hAnsi="宋体"/>
          <w:b/>
          <w:sz w:val="28"/>
          <w:highlight w:val="none"/>
        </w:rPr>
        <w:t>售后服务及其它优惠条件</w:t>
      </w:r>
      <w:bookmarkEnd w:id="164"/>
      <w:bookmarkEnd w:id="165"/>
      <w:bookmarkEnd w:id="166"/>
    </w:p>
    <w:p>
      <w:pPr>
        <w:spacing w:line="480" w:lineRule="exact"/>
        <w:jc w:val="center"/>
        <w:outlineLvl w:val="0"/>
        <w:rPr>
          <w:rFonts w:ascii="宋体"/>
          <w:bCs/>
          <w:sz w:val="28"/>
          <w:szCs w:val="28"/>
          <w:highlight w:val="none"/>
        </w:rPr>
      </w:pPr>
      <w:bookmarkStart w:id="167" w:name="_Toc13684"/>
      <w:bookmarkStart w:id="168" w:name="_Toc24720"/>
      <w:bookmarkStart w:id="169" w:name="_Toc22463"/>
      <w:r>
        <w:rPr>
          <w:rFonts w:hint="eastAsia" w:ascii="宋体" w:hAnsi="宋体"/>
          <w:bCs/>
          <w:sz w:val="28"/>
          <w:szCs w:val="28"/>
          <w:highlight w:val="none"/>
        </w:rPr>
        <w:t>（格式自定）</w:t>
      </w:r>
      <w:bookmarkEnd w:id="167"/>
      <w:bookmarkEnd w:id="168"/>
      <w:bookmarkEnd w:id="169"/>
    </w:p>
    <w:p>
      <w:pPr>
        <w:spacing w:line="480" w:lineRule="exact"/>
        <w:jc w:val="center"/>
        <w:outlineLvl w:val="0"/>
        <w:rPr>
          <w:rFonts w:ascii="宋体"/>
          <w:sz w:val="24"/>
          <w:highlight w:val="none"/>
        </w:rPr>
      </w:pPr>
    </w:p>
    <w:p>
      <w:pPr>
        <w:spacing w:line="480" w:lineRule="exact"/>
        <w:jc w:val="center"/>
        <w:outlineLvl w:val="0"/>
        <w:rPr>
          <w:rFonts w:ascii="宋体"/>
          <w:sz w:val="24"/>
          <w:highlight w:val="none"/>
        </w:rPr>
      </w:pPr>
    </w:p>
    <w:p>
      <w:pPr>
        <w:spacing w:line="480" w:lineRule="exact"/>
        <w:jc w:val="center"/>
        <w:outlineLvl w:val="0"/>
        <w:rPr>
          <w:rFonts w:ascii="宋体"/>
          <w:sz w:val="24"/>
          <w:highlight w:val="none"/>
        </w:rPr>
      </w:pPr>
    </w:p>
    <w:p>
      <w:pPr>
        <w:spacing w:line="480" w:lineRule="exact"/>
        <w:jc w:val="center"/>
        <w:outlineLvl w:val="0"/>
        <w:rPr>
          <w:rFonts w:ascii="宋体"/>
          <w:sz w:val="24"/>
          <w:highlight w:val="none"/>
        </w:rPr>
      </w:pPr>
    </w:p>
    <w:p>
      <w:pPr>
        <w:spacing w:line="520" w:lineRule="exact"/>
        <w:ind w:firstLine="3360" w:firstLineChars="1400"/>
        <w:rPr>
          <w:rFonts w:ascii="宋体"/>
          <w:sz w:val="24"/>
          <w:highlight w:val="none"/>
        </w:rPr>
      </w:pPr>
      <w:bookmarkStart w:id="170" w:name="_Toc14611"/>
      <w:bookmarkStart w:id="171" w:name="_Toc15805"/>
      <w:bookmarkStart w:id="172" w:name="_Toc14477"/>
      <w:r>
        <w:rPr>
          <w:rFonts w:hint="eastAsia" w:ascii="宋体" w:hAnsi="宋体"/>
          <w:sz w:val="24"/>
          <w:highlight w:val="none"/>
        </w:rPr>
        <w:t>附件八：</w:t>
      </w:r>
      <w:r>
        <w:rPr>
          <w:rFonts w:hint="eastAsia" w:ascii="宋体" w:hAnsi="宋体"/>
          <w:b/>
          <w:sz w:val="28"/>
          <w:highlight w:val="none"/>
        </w:rPr>
        <w:t>证明文件格式</w:t>
      </w:r>
      <w:bookmarkEnd w:id="170"/>
      <w:bookmarkEnd w:id="171"/>
      <w:bookmarkEnd w:id="172"/>
    </w:p>
    <w:p>
      <w:pPr>
        <w:spacing w:line="480" w:lineRule="exact"/>
        <w:jc w:val="center"/>
        <w:outlineLvl w:val="0"/>
        <w:rPr>
          <w:rFonts w:ascii="宋体"/>
          <w:b/>
          <w:sz w:val="28"/>
          <w:highlight w:val="none"/>
        </w:rPr>
      </w:pPr>
    </w:p>
    <w:p>
      <w:pPr>
        <w:spacing w:line="480" w:lineRule="exact"/>
        <w:jc w:val="center"/>
        <w:outlineLvl w:val="0"/>
        <w:rPr>
          <w:rFonts w:ascii="宋体"/>
          <w:b/>
          <w:sz w:val="28"/>
          <w:highlight w:val="none"/>
        </w:rPr>
      </w:pPr>
    </w:p>
    <w:p>
      <w:pPr>
        <w:spacing w:line="480" w:lineRule="exact"/>
        <w:jc w:val="center"/>
        <w:outlineLvl w:val="0"/>
        <w:rPr>
          <w:rFonts w:ascii="宋体"/>
          <w:b/>
          <w:sz w:val="24"/>
          <w:highlight w:val="none"/>
        </w:rPr>
      </w:pPr>
      <w:bookmarkStart w:id="173" w:name="_Toc28149"/>
      <w:bookmarkStart w:id="174" w:name="_Toc19508"/>
      <w:bookmarkStart w:id="175" w:name="_Toc5230"/>
      <w:r>
        <w:rPr>
          <w:rFonts w:hint="eastAsia" w:ascii="宋体" w:hAnsi="宋体"/>
          <w:b/>
          <w:sz w:val="24"/>
          <w:highlight w:val="none"/>
        </w:rPr>
        <w:t xml:space="preserve"> 格式</w:t>
      </w:r>
      <w:r>
        <w:rPr>
          <w:rFonts w:ascii="宋体" w:hAnsi="宋体"/>
          <w:b/>
          <w:sz w:val="24"/>
          <w:highlight w:val="none"/>
        </w:rPr>
        <w:t xml:space="preserve">1  </w:t>
      </w:r>
      <w:r>
        <w:rPr>
          <w:rFonts w:hint="eastAsia" w:ascii="宋体" w:hAnsi="宋体"/>
          <w:b/>
          <w:sz w:val="24"/>
          <w:highlight w:val="none"/>
        </w:rPr>
        <w:t>近三年无不良信誉证明</w:t>
      </w:r>
      <w:bookmarkEnd w:id="173"/>
      <w:bookmarkEnd w:id="174"/>
      <w:bookmarkEnd w:id="175"/>
    </w:p>
    <w:p>
      <w:pPr>
        <w:spacing w:line="480" w:lineRule="exact"/>
        <w:jc w:val="center"/>
        <w:outlineLvl w:val="0"/>
        <w:rPr>
          <w:rFonts w:ascii="宋体"/>
          <w:sz w:val="24"/>
          <w:highlight w:val="none"/>
        </w:rPr>
      </w:pPr>
      <w:bookmarkStart w:id="176" w:name="_Toc29571"/>
      <w:bookmarkStart w:id="177" w:name="_Toc16969"/>
      <w:bookmarkStart w:id="178" w:name="_Toc5579"/>
      <w:r>
        <w:rPr>
          <w:rFonts w:hint="eastAsia" w:ascii="宋体" w:hAnsi="宋体"/>
          <w:sz w:val="24"/>
          <w:highlight w:val="none"/>
        </w:rPr>
        <w:t>（需声明投标人近三年未发生重大质量安全事故；无弄虚作假和重大违法违纪行为；无医药购销领域商业贿赂方面的不良记录。）</w:t>
      </w:r>
      <w:bookmarkEnd w:id="176"/>
      <w:bookmarkEnd w:id="177"/>
      <w:bookmarkEnd w:id="178"/>
    </w:p>
    <w:p>
      <w:pPr>
        <w:spacing w:line="480" w:lineRule="exact"/>
        <w:jc w:val="center"/>
        <w:outlineLvl w:val="0"/>
        <w:rPr>
          <w:rFonts w:ascii="宋体"/>
          <w:sz w:val="24"/>
          <w:highlight w:val="none"/>
        </w:rPr>
      </w:pPr>
    </w:p>
    <w:p>
      <w:pPr>
        <w:spacing w:line="480" w:lineRule="exact"/>
        <w:jc w:val="center"/>
        <w:outlineLvl w:val="0"/>
        <w:rPr>
          <w:rFonts w:ascii="宋体"/>
          <w:sz w:val="24"/>
          <w:highlight w:val="none"/>
        </w:rPr>
      </w:pPr>
    </w:p>
    <w:p>
      <w:pPr>
        <w:spacing w:line="480" w:lineRule="exact"/>
        <w:jc w:val="center"/>
        <w:outlineLvl w:val="0"/>
        <w:rPr>
          <w:rFonts w:ascii="宋体"/>
          <w:b/>
          <w:sz w:val="24"/>
          <w:highlight w:val="none"/>
        </w:rPr>
      </w:pPr>
      <w:bookmarkStart w:id="179" w:name="_Toc5573"/>
      <w:bookmarkStart w:id="180" w:name="_Toc1781"/>
      <w:bookmarkStart w:id="181" w:name="_Toc25890"/>
      <w:r>
        <w:rPr>
          <w:rFonts w:hint="eastAsia" w:ascii="宋体" w:hAnsi="宋体"/>
          <w:b/>
          <w:sz w:val="24"/>
          <w:highlight w:val="none"/>
        </w:rPr>
        <w:t>格式</w:t>
      </w:r>
      <w:r>
        <w:rPr>
          <w:rFonts w:ascii="宋体" w:hAnsi="宋体"/>
          <w:b/>
          <w:sz w:val="24"/>
          <w:highlight w:val="none"/>
        </w:rPr>
        <w:t>2  201</w:t>
      </w:r>
      <w:r>
        <w:rPr>
          <w:rFonts w:hint="eastAsia" w:ascii="宋体" w:hAnsi="宋体"/>
          <w:b/>
          <w:sz w:val="24"/>
          <w:highlight w:val="none"/>
        </w:rPr>
        <w:t>8年度财务状况报告</w:t>
      </w:r>
      <w:bookmarkEnd w:id="179"/>
      <w:bookmarkEnd w:id="180"/>
      <w:bookmarkEnd w:id="181"/>
    </w:p>
    <w:p>
      <w:pPr>
        <w:spacing w:line="480" w:lineRule="exact"/>
        <w:jc w:val="center"/>
        <w:outlineLvl w:val="0"/>
        <w:rPr>
          <w:rFonts w:ascii="宋体"/>
          <w:sz w:val="24"/>
          <w:highlight w:val="none"/>
        </w:rPr>
      </w:pPr>
      <w:bookmarkStart w:id="182" w:name="_Toc29391"/>
      <w:bookmarkStart w:id="183" w:name="_Toc3211"/>
      <w:bookmarkStart w:id="184" w:name="_Toc24571"/>
      <w:r>
        <w:rPr>
          <w:rFonts w:hint="eastAsia" w:ascii="宋体" w:hAnsi="宋体"/>
          <w:sz w:val="24"/>
          <w:highlight w:val="none"/>
        </w:rPr>
        <w:t>（附财务报表（含资产负债表、现金流量表、利润表的复印件），或其基本开户银行出具的资信证明）</w:t>
      </w:r>
      <w:bookmarkEnd w:id="182"/>
      <w:bookmarkEnd w:id="183"/>
      <w:bookmarkEnd w:id="184"/>
      <w:r>
        <w:rPr>
          <w:rFonts w:hint="eastAsia" w:ascii="宋体" w:hAnsi="宋体"/>
          <w:sz w:val="24"/>
          <w:highlight w:val="none"/>
        </w:rPr>
        <w:t>，须法定代表人或授权代理人签章</w:t>
      </w:r>
    </w:p>
    <w:p>
      <w:pPr>
        <w:spacing w:line="480" w:lineRule="exact"/>
        <w:jc w:val="center"/>
        <w:outlineLvl w:val="0"/>
        <w:rPr>
          <w:rFonts w:ascii="宋体"/>
          <w:sz w:val="24"/>
          <w:highlight w:val="none"/>
        </w:rPr>
      </w:pPr>
    </w:p>
    <w:p>
      <w:pPr>
        <w:spacing w:line="480" w:lineRule="exact"/>
        <w:jc w:val="center"/>
        <w:outlineLvl w:val="0"/>
        <w:rPr>
          <w:rFonts w:ascii="宋体"/>
          <w:sz w:val="24"/>
          <w:highlight w:val="none"/>
        </w:rPr>
      </w:pPr>
    </w:p>
    <w:p>
      <w:pPr>
        <w:spacing w:line="480" w:lineRule="exact"/>
        <w:jc w:val="center"/>
        <w:outlineLvl w:val="0"/>
        <w:rPr>
          <w:rFonts w:ascii="宋体"/>
          <w:b/>
          <w:sz w:val="24"/>
          <w:highlight w:val="none"/>
        </w:rPr>
      </w:pPr>
      <w:bookmarkStart w:id="185" w:name="_Toc23494"/>
      <w:bookmarkStart w:id="186" w:name="_Toc13521"/>
      <w:bookmarkStart w:id="187" w:name="_Toc23883"/>
      <w:r>
        <w:rPr>
          <w:rFonts w:hint="eastAsia" w:ascii="宋体" w:hAnsi="宋体"/>
          <w:b/>
          <w:sz w:val="24"/>
          <w:highlight w:val="none"/>
        </w:rPr>
        <w:t>格式</w:t>
      </w:r>
      <w:r>
        <w:rPr>
          <w:rFonts w:ascii="宋体" w:hAnsi="宋体"/>
          <w:b/>
          <w:sz w:val="24"/>
          <w:highlight w:val="none"/>
        </w:rPr>
        <w:t xml:space="preserve">3  </w:t>
      </w:r>
      <w:r>
        <w:rPr>
          <w:rFonts w:hint="eastAsia" w:ascii="宋体" w:hAnsi="宋体"/>
          <w:b/>
          <w:sz w:val="24"/>
          <w:highlight w:val="none"/>
        </w:rPr>
        <w:t>依法缴纳税收和社会保障资金的相关材料</w:t>
      </w:r>
      <w:bookmarkEnd w:id="185"/>
      <w:bookmarkEnd w:id="186"/>
      <w:bookmarkEnd w:id="187"/>
    </w:p>
    <w:p>
      <w:pPr>
        <w:spacing w:line="480" w:lineRule="exact"/>
        <w:jc w:val="center"/>
        <w:outlineLvl w:val="0"/>
        <w:rPr>
          <w:rFonts w:ascii="宋体" w:hAnsi="宋体"/>
          <w:sz w:val="24"/>
          <w:highlight w:val="none"/>
        </w:rPr>
      </w:pPr>
      <w:bookmarkStart w:id="188" w:name="_Toc1183"/>
      <w:bookmarkStart w:id="189" w:name="_Toc20732"/>
      <w:bookmarkStart w:id="190" w:name="_Toc16451"/>
      <w:r>
        <w:rPr>
          <w:rFonts w:hint="eastAsia" w:ascii="宋体" w:hAnsi="宋体"/>
          <w:sz w:val="24"/>
          <w:highlight w:val="none"/>
        </w:rPr>
        <w:t>1、附近三个月的纳税凭证：完税凭证或免税证明或纳税申报表或银行缴税电汇凭证；</w:t>
      </w:r>
    </w:p>
    <w:p>
      <w:pPr>
        <w:spacing w:line="480" w:lineRule="exact"/>
        <w:outlineLvl w:val="0"/>
        <w:rPr>
          <w:rFonts w:ascii="宋体" w:hAnsi="宋体"/>
          <w:sz w:val="24"/>
          <w:highlight w:val="none"/>
        </w:rPr>
      </w:pPr>
      <w:r>
        <w:rPr>
          <w:rFonts w:hint="eastAsia" w:ascii="宋体" w:hAnsi="宋体"/>
          <w:sz w:val="24"/>
          <w:highlight w:val="none"/>
        </w:rPr>
        <w:t>2、近三个月缴纳社会保险的凭据：专用收据或社会保险缴纳清单。</w:t>
      </w:r>
    </w:p>
    <w:bookmarkEnd w:id="188"/>
    <w:bookmarkEnd w:id="189"/>
    <w:bookmarkEnd w:id="190"/>
    <w:p>
      <w:pPr>
        <w:spacing w:line="480" w:lineRule="exact"/>
        <w:jc w:val="center"/>
        <w:outlineLvl w:val="0"/>
        <w:rPr>
          <w:rFonts w:ascii="宋体"/>
          <w:sz w:val="24"/>
          <w:highlight w:val="none"/>
        </w:rPr>
      </w:pPr>
    </w:p>
    <w:p>
      <w:pPr>
        <w:spacing w:line="480" w:lineRule="exact"/>
        <w:jc w:val="center"/>
        <w:outlineLvl w:val="0"/>
        <w:rPr>
          <w:rFonts w:ascii="宋体"/>
          <w:b/>
          <w:sz w:val="28"/>
          <w:highlight w:val="none"/>
        </w:rPr>
      </w:pPr>
      <w:r>
        <w:rPr>
          <w:rFonts w:ascii="宋体"/>
          <w:b/>
          <w:sz w:val="24"/>
          <w:highlight w:val="none"/>
        </w:rPr>
        <w:br w:type="page"/>
      </w:r>
      <w:bookmarkStart w:id="191" w:name="_Toc4"/>
      <w:bookmarkStart w:id="192" w:name="_Toc31328"/>
      <w:bookmarkStart w:id="193" w:name="_Toc3815"/>
      <w:r>
        <w:rPr>
          <w:rFonts w:hint="eastAsia" w:ascii="宋体" w:hAnsi="宋体"/>
          <w:b/>
          <w:sz w:val="28"/>
          <w:highlight w:val="none"/>
        </w:rPr>
        <w:t>格式</w:t>
      </w:r>
      <w:r>
        <w:rPr>
          <w:rFonts w:ascii="宋体" w:hAnsi="宋体"/>
          <w:b/>
          <w:sz w:val="28"/>
          <w:highlight w:val="none"/>
        </w:rPr>
        <w:t xml:space="preserve">4  </w:t>
      </w:r>
      <w:r>
        <w:rPr>
          <w:rFonts w:hint="eastAsia" w:ascii="宋体" w:hAnsi="宋体"/>
          <w:b/>
          <w:sz w:val="28"/>
          <w:highlight w:val="none"/>
        </w:rPr>
        <w:t>具备履行合同所必需的设备和专业技术能力的证明材料</w:t>
      </w:r>
      <w:bookmarkEnd w:id="191"/>
      <w:bookmarkEnd w:id="192"/>
      <w:bookmarkEnd w:id="193"/>
    </w:p>
    <w:p>
      <w:pPr>
        <w:spacing w:line="480" w:lineRule="exact"/>
        <w:jc w:val="center"/>
        <w:outlineLvl w:val="0"/>
        <w:rPr>
          <w:rFonts w:ascii="宋体"/>
          <w:sz w:val="28"/>
          <w:highlight w:val="none"/>
        </w:rPr>
      </w:pPr>
    </w:p>
    <w:tbl>
      <w:tblPr>
        <w:tblStyle w:val="49"/>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2"/>
        <w:gridCol w:w="2773"/>
        <w:gridCol w:w="2413"/>
        <w:gridCol w:w="1425"/>
        <w:gridCol w:w="16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87" w:type="dxa"/>
            <w:gridSpan w:val="5"/>
          </w:tcPr>
          <w:p>
            <w:pPr>
              <w:spacing w:line="420" w:lineRule="exact"/>
              <w:jc w:val="center"/>
              <w:rPr>
                <w:sz w:val="24"/>
                <w:highlight w:val="none"/>
              </w:rPr>
            </w:pPr>
            <w:r>
              <w:rPr>
                <w:rFonts w:hint="eastAsia" w:ascii="宋体" w:hAnsi="宋体"/>
                <w:sz w:val="24"/>
                <w:highlight w:val="none"/>
              </w:rPr>
              <w:t>履行合同所必需的设备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2" w:type="dxa"/>
          </w:tcPr>
          <w:p>
            <w:pPr>
              <w:spacing w:line="420" w:lineRule="exact"/>
              <w:jc w:val="center"/>
              <w:rPr>
                <w:sz w:val="24"/>
                <w:highlight w:val="none"/>
              </w:rPr>
            </w:pPr>
            <w:r>
              <w:rPr>
                <w:rFonts w:hint="eastAsia"/>
                <w:sz w:val="24"/>
                <w:highlight w:val="none"/>
              </w:rPr>
              <w:t>序号</w:t>
            </w:r>
          </w:p>
        </w:tc>
        <w:tc>
          <w:tcPr>
            <w:tcW w:w="2773" w:type="dxa"/>
          </w:tcPr>
          <w:p>
            <w:pPr>
              <w:spacing w:line="420" w:lineRule="exact"/>
              <w:jc w:val="center"/>
              <w:rPr>
                <w:sz w:val="24"/>
                <w:highlight w:val="none"/>
              </w:rPr>
            </w:pPr>
            <w:r>
              <w:rPr>
                <w:rFonts w:hint="eastAsia"/>
                <w:sz w:val="24"/>
                <w:highlight w:val="none"/>
              </w:rPr>
              <w:t>设备名称</w:t>
            </w:r>
          </w:p>
        </w:tc>
        <w:tc>
          <w:tcPr>
            <w:tcW w:w="2413" w:type="dxa"/>
          </w:tcPr>
          <w:p>
            <w:pPr>
              <w:spacing w:line="420" w:lineRule="exact"/>
              <w:jc w:val="center"/>
              <w:rPr>
                <w:sz w:val="24"/>
                <w:highlight w:val="none"/>
              </w:rPr>
            </w:pPr>
            <w:r>
              <w:rPr>
                <w:rFonts w:hint="eastAsia"/>
                <w:sz w:val="24"/>
                <w:highlight w:val="none"/>
              </w:rPr>
              <w:t>规格型号</w:t>
            </w:r>
          </w:p>
        </w:tc>
        <w:tc>
          <w:tcPr>
            <w:tcW w:w="1425" w:type="dxa"/>
          </w:tcPr>
          <w:p>
            <w:pPr>
              <w:spacing w:line="420" w:lineRule="exact"/>
              <w:jc w:val="center"/>
              <w:rPr>
                <w:sz w:val="24"/>
                <w:highlight w:val="none"/>
              </w:rPr>
            </w:pPr>
            <w:r>
              <w:rPr>
                <w:rFonts w:hint="eastAsia"/>
                <w:sz w:val="24"/>
                <w:highlight w:val="none"/>
              </w:rPr>
              <w:t>数量</w:t>
            </w:r>
          </w:p>
        </w:tc>
        <w:tc>
          <w:tcPr>
            <w:tcW w:w="1664" w:type="dxa"/>
          </w:tcPr>
          <w:p>
            <w:pPr>
              <w:spacing w:line="420" w:lineRule="exact"/>
              <w:jc w:val="center"/>
              <w:rPr>
                <w:sz w:val="24"/>
                <w:highlight w:val="none"/>
              </w:rPr>
            </w:pPr>
            <w:r>
              <w:rPr>
                <w:rFonts w:hint="eastAsia"/>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2" w:type="dxa"/>
          </w:tcPr>
          <w:p>
            <w:pPr>
              <w:spacing w:line="420" w:lineRule="exact"/>
              <w:jc w:val="center"/>
              <w:rPr>
                <w:sz w:val="24"/>
                <w:highlight w:val="none"/>
              </w:rPr>
            </w:pPr>
          </w:p>
        </w:tc>
        <w:tc>
          <w:tcPr>
            <w:tcW w:w="2773" w:type="dxa"/>
          </w:tcPr>
          <w:p>
            <w:pPr>
              <w:spacing w:line="420" w:lineRule="exact"/>
              <w:rPr>
                <w:sz w:val="24"/>
                <w:highlight w:val="none"/>
              </w:rPr>
            </w:pPr>
          </w:p>
        </w:tc>
        <w:tc>
          <w:tcPr>
            <w:tcW w:w="2413" w:type="dxa"/>
          </w:tcPr>
          <w:p>
            <w:pPr>
              <w:spacing w:line="420" w:lineRule="exact"/>
              <w:rPr>
                <w:sz w:val="24"/>
                <w:highlight w:val="none"/>
              </w:rPr>
            </w:pPr>
          </w:p>
        </w:tc>
        <w:tc>
          <w:tcPr>
            <w:tcW w:w="1425" w:type="dxa"/>
          </w:tcPr>
          <w:p>
            <w:pPr>
              <w:spacing w:line="420" w:lineRule="exact"/>
              <w:rPr>
                <w:sz w:val="24"/>
                <w:highlight w:val="none"/>
              </w:rPr>
            </w:pPr>
          </w:p>
        </w:tc>
        <w:tc>
          <w:tcPr>
            <w:tcW w:w="1664" w:type="dxa"/>
          </w:tcPr>
          <w:p>
            <w:pPr>
              <w:spacing w:line="420" w:lineRule="exact"/>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2" w:type="dxa"/>
          </w:tcPr>
          <w:p>
            <w:pPr>
              <w:spacing w:line="420" w:lineRule="exact"/>
              <w:jc w:val="center"/>
              <w:rPr>
                <w:sz w:val="24"/>
                <w:highlight w:val="none"/>
              </w:rPr>
            </w:pPr>
          </w:p>
        </w:tc>
        <w:tc>
          <w:tcPr>
            <w:tcW w:w="2773" w:type="dxa"/>
          </w:tcPr>
          <w:p>
            <w:pPr>
              <w:spacing w:line="420" w:lineRule="exact"/>
              <w:rPr>
                <w:sz w:val="24"/>
                <w:highlight w:val="none"/>
              </w:rPr>
            </w:pPr>
          </w:p>
        </w:tc>
        <w:tc>
          <w:tcPr>
            <w:tcW w:w="2413" w:type="dxa"/>
          </w:tcPr>
          <w:p>
            <w:pPr>
              <w:spacing w:line="420" w:lineRule="exact"/>
              <w:rPr>
                <w:sz w:val="24"/>
                <w:highlight w:val="none"/>
              </w:rPr>
            </w:pPr>
          </w:p>
        </w:tc>
        <w:tc>
          <w:tcPr>
            <w:tcW w:w="1425" w:type="dxa"/>
          </w:tcPr>
          <w:p>
            <w:pPr>
              <w:spacing w:line="420" w:lineRule="exact"/>
              <w:rPr>
                <w:sz w:val="24"/>
                <w:highlight w:val="none"/>
              </w:rPr>
            </w:pPr>
          </w:p>
        </w:tc>
        <w:tc>
          <w:tcPr>
            <w:tcW w:w="1664" w:type="dxa"/>
          </w:tcPr>
          <w:p>
            <w:pPr>
              <w:spacing w:line="420" w:lineRule="exact"/>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2" w:type="dxa"/>
          </w:tcPr>
          <w:p>
            <w:pPr>
              <w:spacing w:line="420" w:lineRule="exact"/>
              <w:jc w:val="center"/>
              <w:rPr>
                <w:sz w:val="24"/>
                <w:highlight w:val="none"/>
              </w:rPr>
            </w:pPr>
          </w:p>
        </w:tc>
        <w:tc>
          <w:tcPr>
            <w:tcW w:w="2773" w:type="dxa"/>
          </w:tcPr>
          <w:p>
            <w:pPr>
              <w:spacing w:line="420" w:lineRule="exact"/>
              <w:rPr>
                <w:sz w:val="24"/>
                <w:highlight w:val="none"/>
              </w:rPr>
            </w:pPr>
          </w:p>
        </w:tc>
        <w:tc>
          <w:tcPr>
            <w:tcW w:w="2413" w:type="dxa"/>
          </w:tcPr>
          <w:p>
            <w:pPr>
              <w:spacing w:line="420" w:lineRule="exact"/>
              <w:rPr>
                <w:sz w:val="24"/>
                <w:highlight w:val="none"/>
              </w:rPr>
            </w:pPr>
          </w:p>
        </w:tc>
        <w:tc>
          <w:tcPr>
            <w:tcW w:w="1425" w:type="dxa"/>
          </w:tcPr>
          <w:p>
            <w:pPr>
              <w:spacing w:line="420" w:lineRule="exact"/>
              <w:rPr>
                <w:sz w:val="24"/>
                <w:highlight w:val="none"/>
              </w:rPr>
            </w:pPr>
          </w:p>
        </w:tc>
        <w:tc>
          <w:tcPr>
            <w:tcW w:w="1664" w:type="dxa"/>
          </w:tcPr>
          <w:p>
            <w:pPr>
              <w:spacing w:line="420" w:lineRule="exact"/>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2" w:type="dxa"/>
          </w:tcPr>
          <w:p>
            <w:pPr>
              <w:spacing w:line="420" w:lineRule="exact"/>
              <w:jc w:val="center"/>
              <w:rPr>
                <w:sz w:val="24"/>
                <w:highlight w:val="none"/>
              </w:rPr>
            </w:pPr>
          </w:p>
        </w:tc>
        <w:tc>
          <w:tcPr>
            <w:tcW w:w="2773" w:type="dxa"/>
          </w:tcPr>
          <w:p>
            <w:pPr>
              <w:spacing w:line="420" w:lineRule="exact"/>
              <w:rPr>
                <w:sz w:val="24"/>
                <w:highlight w:val="none"/>
              </w:rPr>
            </w:pPr>
          </w:p>
        </w:tc>
        <w:tc>
          <w:tcPr>
            <w:tcW w:w="2413" w:type="dxa"/>
          </w:tcPr>
          <w:p>
            <w:pPr>
              <w:spacing w:line="420" w:lineRule="exact"/>
              <w:rPr>
                <w:sz w:val="24"/>
                <w:highlight w:val="none"/>
              </w:rPr>
            </w:pPr>
          </w:p>
        </w:tc>
        <w:tc>
          <w:tcPr>
            <w:tcW w:w="1425" w:type="dxa"/>
          </w:tcPr>
          <w:p>
            <w:pPr>
              <w:spacing w:line="420" w:lineRule="exact"/>
              <w:rPr>
                <w:sz w:val="24"/>
                <w:highlight w:val="none"/>
              </w:rPr>
            </w:pPr>
          </w:p>
        </w:tc>
        <w:tc>
          <w:tcPr>
            <w:tcW w:w="1664" w:type="dxa"/>
          </w:tcPr>
          <w:p>
            <w:pPr>
              <w:spacing w:line="420" w:lineRule="exact"/>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87" w:type="dxa"/>
            <w:gridSpan w:val="5"/>
          </w:tcPr>
          <w:p>
            <w:pPr>
              <w:spacing w:line="420" w:lineRule="exact"/>
              <w:jc w:val="center"/>
              <w:rPr>
                <w:sz w:val="24"/>
                <w:highlight w:val="none"/>
              </w:rPr>
            </w:pPr>
            <w:r>
              <w:rPr>
                <w:rFonts w:hint="eastAsia" w:ascii="宋体" w:hAnsi="宋体"/>
                <w:sz w:val="24"/>
                <w:highlight w:val="none"/>
              </w:rPr>
              <w:t>专业技术能力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2" w:type="dxa"/>
          </w:tcPr>
          <w:p>
            <w:pPr>
              <w:spacing w:line="420" w:lineRule="exact"/>
              <w:jc w:val="center"/>
              <w:rPr>
                <w:sz w:val="24"/>
                <w:highlight w:val="none"/>
              </w:rPr>
            </w:pPr>
            <w:r>
              <w:rPr>
                <w:rFonts w:hint="eastAsia"/>
                <w:sz w:val="24"/>
                <w:highlight w:val="none"/>
              </w:rPr>
              <w:t>序号</w:t>
            </w:r>
          </w:p>
        </w:tc>
        <w:tc>
          <w:tcPr>
            <w:tcW w:w="2773" w:type="dxa"/>
          </w:tcPr>
          <w:p>
            <w:pPr>
              <w:spacing w:line="420" w:lineRule="exact"/>
              <w:jc w:val="center"/>
              <w:rPr>
                <w:sz w:val="24"/>
                <w:highlight w:val="none"/>
              </w:rPr>
            </w:pPr>
            <w:r>
              <w:rPr>
                <w:rFonts w:hint="eastAsia"/>
                <w:sz w:val="24"/>
                <w:highlight w:val="none"/>
              </w:rPr>
              <w:t>技术人员姓名</w:t>
            </w:r>
          </w:p>
        </w:tc>
        <w:tc>
          <w:tcPr>
            <w:tcW w:w="2413" w:type="dxa"/>
          </w:tcPr>
          <w:p>
            <w:pPr>
              <w:spacing w:line="420" w:lineRule="exact"/>
              <w:jc w:val="center"/>
              <w:rPr>
                <w:sz w:val="24"/>
                <w:highlight w:val="none"/>
              </w:rPr>
            </w:pPr>
            <w:r>
              <w:rPr>
                <w:rFonts w:hint="eastAsia"/>
                <w:sz w:val="24"/>
                <w:highlight w:val="none"/>
              </w:rPr>
              <w:t>职称</w:t>
            </w:r>
            <w:r>
              <w:rPr>
                <w:sz w:val="24"/>
                <w:highlight w:val="none"/>
              </w:rPr>
              <w:t>/</w:t>
            </w:r>
            <w:r>
              <w:rPr>
                <w:rFonts w:hint="eastAsia"/>
                <w:sz w:val="24"/>
                <w:highlight w:val="none"/>
              </w:rPr>
              <w:t>岗位证书</w:t>
            </w:r>
          </w:p>
        </w:tc>
        <w:tc>
          <w:tcPr>
            <w:tcW w:w="1425" w:type="dxa"/>
          </w:tcPr>
          <w:p>
            <w:pPr>
              <w:spacing w:line="420" w:lineRule="exact"/>
              <w:jc w:val="center"/>
              <w:rPr>
                <w:sz w:val="24"/>
                <w:highlight w:val="none"/>
              </w:rPr>
            </w:pPr>
            <w:r>
              <w:rPr>
                <w:rFonts w:hint="eastAsia"/>
                <w:sz w:val="24"/>
                <w:highlight w:val="none"/>
              </w:rPr>
              <w:t>数量</w:t>
            </w:r>
          </w:p>
        </w:tc>
        <w:tc>
          <w:tcPr>
            <w:tcW w:w="1664" w:type="dxa"/>
          </w:tcPr>
          <w:p>
            <w:pPr>
              <w:spacing w:line="420" w:lineRule="exact"/>
              <w:jc w:val="center"/>
              <w:rPr>
                <w:sz w:val="24"/>
                <w:highlight w:val="none"/>
              </w:rPr>
            </w:pPr>
            <w:r>
              <w:rPr>
                <w:rFonts w:hint="eastAsia"/>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2" w:type="dxa"/>
          </w:tcPr>
          <w:p>
            <w:pPr>
              <w:spacing w:line="420" w:lineRule="exact"/>
              <w:jc w:val="center"/>
              <w:rPr>
                <w:sz w:val="24"/>
                <w:highlight w:val="none"/>
              </w:rPr>
            </w:pPr>
          </w:p>
        </w:tc>
        <w:tc>
          <w:tcPr>
            <w:tcW w:w="2773" w:type="dxa"/>
          </w:tcPr>
          <w:p>
            <w:pPr>
              <w:spacing w:line="420" w:lineRule="exact"/>
              <w:rPr>
                <w:sz w:val="24"/>
                <w:highlight w:val="none"/>
              </w:rPr>
            </w:pPr>
          </w:p>
        </w:tc>
        <w:tc>
          <w:tcPr>
            <w:tcW w:w="2413" w:type="dxa"/>
          </w:tcPr>
          <w:p>
            <w:pPr>
              <w:spacing w:line="420" w:lineRule="exact"/>
              <w:rPr>
                <w:sz w:val="24"/>
                <w:highlight w:val="none"/>
              </w:rPr>
            </w:pPr>
          </w:p>
        </w:tc>
        <w:tc>
          <w:tcPr>
            <w:tcW w:w="1425" w:type="dxa"/>
          </w:tcPr>
          <w:p>
            <w:pPr>
              <w:spacing w:line="420" w:lineRule="exact"/>
              <w:rPr>
                <w:sz w:val="24"/>
                <w:highlight w:val="none"/>
              </w:rPr>
            </w:pPr>
          </w:p>
        </w:tc>
        <w:tc>
          <w:tcPr>
            <w:tcW w:w="1664" w:type="dxa"/>
          </w:tcPr>
          <w:p>
            <w:pPr>
              <w:spacing w:line="420" w:lineRule="exact"/>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2" w:type="dxa"/>
          </w:tcPr>
          <w:p>
            <w:pPr>
              <w:spacing w:line="420" w:lineRule="exact"/>
              <w:jc w:val="center"/>
              <w:rPr>
                <w:sz w:val="24"/>
                <w:highlight w:val="none"/>
              </w:rPr>
            </w:pPr>
          </w:p>
        </w:tc>
        <w:tc>
          <w:tcPr>
            <w:tcW w:w="2773" w:type="dxa"/>
          </w:tcPr>
          <w:p>
            <w:pPr>
              <w:spacing w:line="420" w:lineRule="exact"/>
              <w:rPr>
                <w:sz w:val="24"/>
                <w:highlight w:val="none"/>
              </w:rPr>
            </w:pPr>
          </w:p>
        </w:tc>
        <w:tc>
          <w:tcPr>
            <w:tcW w:w="2413" w:type="dxa"/>
          </w:tcPr>
          <w:p>
            <w:pPr>
              <w:spacing w:line="420" w:lineRule="exact"/>
              <w:rPr>
                <w:sz w:val="24"/>
                <w:highlight w:val="none"/>
              </w:rPr>
            </w:pPr>
          </w:p>
        </w:tc>
        <w:tc>
          <w:tcPr>
            <w:tcW w:w="1425" w:type="dxa"/>
          </w:tcPr>
          <w:p>
            <w:pPr>
              <w:spacing w:line="420" w:lineRule="exact"/>
              <w:rPr>
                <w:sz w:val="24"/>
                <w:highlight w:val="none"/>
              </w:rPr>
            </w:pPr>
          </w:p>
        </w:tc>
        <w:tc>
          <w:tcPr>
            <w:tcW w:w="1664" w:type="dxa"/>
          </w:tcPr>
          <w:p>
            <w:pPr>
              <w:spacing w:line="420" w:lineRule="exact"/>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2" w:type="dxa"/>
          </w:tcPr>
          <w:p>
            <w:pPr>
              <w:spacing w:line="420" w:lineRule="exact"/>
              <w:jc w:val="center"/>
              <w:rPr>
                <w:sz w:val="24"/>
                <w:highlight w:val="none"/>
              </w:rPr>
            </w:pPr>
          </w:p>
        </w:tc>
        <w:tc>
          <w:tcPr>
            <w:tcW w:w="2773" w:type="dxa"/>
          </w:tcPr>
          <w:p>
            <w:pPr>
              <w:spacing w:line="420" w:lineRule="exact"/>
              <w:rPr>
                <w:sz w:val="24"/>
                <w:highlight w:val="none"/>
              </w:rPr>
            </w:pPr>
          </w:p>
        </w:tc>
        <w:tc>
          <w:tcPr>
            <w:tcW w:w="2413" w:type="dxa"/>
          </w:tcPr>
          <w:p>
            <w:pPr>
              <w:spacing w:line="420" w:lineRule="exact"/>
              <w:rPr>
                <w:sz w:val="24"/>
                <w:highlight w:val="none"/>
              </w:rPr>
            </w:pPr>
          </w:p>
        </w:tc>
        <w:tc>
          <w:tcPr>
            <w:tcW w:w="1425" w:type="dxa"/>
          </w:tcPr>
          <w:p>
            <w:pPr>
              <w:spacing w:line="420" w:lineRule="exact"/>
              <w:rPr>
                <w:sz w:val="24"/>
                <w:highlight w:val="none"/>
              </w:rPr>
            </w:pPr>
          </w:p>
        </w:tc>
        <w:tc>
          <w:tcPr>
            <w:tcW w:w="1664" w:type="dxa"/>
          </w:tcPr>
          <w:p>
            <w:pPr>
              <w:spacing w:line="420" w:lineRule="exact"/>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2" w:type="dxa"/>
          </w:tcPr>
          <w:p>
            <w:pPr>
              <w:spacing w:line="420" w:lineRule="exact"/>
              <w:jc w:val="center"/>
              <w:rPr>
                <w:sz w:val="24"/>
                <w:highlight w:val="none"/>
              </w:rPr>
            </w:pPr>
          </w:p>
        </w:tc>
        <w:tc>
          <w:tcPr>
            <w:tcW w:w="2773" w:type="dxa"/>
          </w:tcPr>
          <w:p>
            <w:pPr>
              <w:spacing w:line="420" w:lineRule="exact"/>
              <w:rPr>
                <w:sz w:val="24"/>
                <w:highlight w:val="none"/>
              </w:rPr>
            </w:pPr>
          </w:p>
        </w:tc>
        <w:tc>
          <w:tcPr>
            <w:tcW w:w="2413" w:type="dxa"/>
          </w:tcPr>
          <w:p>
            <w:pPr>
              <w:spacing w:line="420" w:lineRule="exact"/>
              <w:rPr>
                <w:sz w:val="24"/>
                <w:highlight w:val="none"/>
              </w:rPr>
            </w:pPr>
          </w:p>
        </w:tc>
        <w:tc>
          <w:tcPr>
            <w:tcW w:w="1425" w:type="dxa"/>
          </w:tcPr>
          <w:p>
            <w:pPr>
              <w:spacing w:line="420" w:lineRule="exact"/>
              <w:rPr>
                <w:sz w:val="24"/>
                <w:highlight w:val="none"/>
              </w:rPr>
            </w:pPr>
          </w:p>
        </w:tc>
        <w:tc>
          <w:tcPr>
            <w:tcW w:w="1664" w:type="dxa"/>
          </w:tcPr>
          <w:p>
            <w:pPr>
              <w:spacing w:line="420" w:lineRule="exact"/>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2" w:type="dxa"/>
          </w:tcPr>
          <w:p>
            <w:pPr>
              <w:spacing w:line="420" w:lineRule="exact"/>
              <w:jc w:val="center"/>
              <w:rPr>
                <w:sz w:val="24"/>
                <w:highlight w:val="none"/>
              </w:rPr>
            </w:pPr>
          </w:p>
        </w:tc>
        <w:tc>
          <w:tcPr>
            <w:tcW w:w="2773" w:type="dxa"/>
          </w:tcPr>
          <w:p>
            <w:pPr>
              <w:spacing w:line="420" w:lineRule="exact"/>
              <w:rPr>
                <w:sz w:val="24"/>
                <w:highlight w:val="none"/>
              </w:rPr>
            </w:pPr>
          </w:p>
        </w:tc>
        <w:tc>
          <w:tcPr>
            <w:tcW w:w="2413" w:type="dxa"/>
          </w:tcPr>
          <w:p>
            <w:pPr>
              <w:spacing w:line="420" w:lineRule="exact"/>
              <w:rPr>
                <w:sz w:val="24"/>
                <w:highlight w:val="none"/>
              </w:rPr>
            </w:pPr>
          </w:p>
        </w:tc>
        <w:tc>
          <w:tcPr>
            <w:tcW w:w="1425" w:type="dxa"/>
          </w:tcPr>
          <w:p>
            <w:pPr>
              <w:spacing w:line="420" w:lineRule="exact"/>
              <w:rPr>
                <w:sz w:val="24"/>
                <w:highlight w:val="none"/>
              </w:rPr>
            </w:pPr>
          </w:p>
        </w:tc>
        <w:tc>
          <w:tcPr>
            <w:tcW w:w="1664" w:type="dxa"/>
          </w:tcPr>
          <w:p>
            <w:pPr>
              <w:spacing w:line="420" w:lineRule="exact"/>
              <w:rPr>
                <w:sz w:val="24"/>
                <w:highlight w:val="none"/>
              </w:rPr>
            </w:pPr>
          </w:p>
        </w:tc>
      </w:tr>
    </w:tbl>
    <w:p>
      <w:pPr>
        <w:pStyle w:val="96"/>
        <w:spacing w:before="240" w:after="145" w:line="480" w:lineRule="exact"/>
        <w:ind w:firstLine="0" w:firstLineChars="0"/>
        <w:rPr>
          <w:rFonts w:ascii="宋体"/>
          <w:highlight w:val="none"/>
        </w:rPr>
      </w:pPr>
      <w:r>
        <w:rPr>
          <w:rFonts w:hint="eastAsia" w:ascii="宋体" w:hAnsi="宋体"/>
          <w:highlight w:val="none"/>
        </w:rPr>
        <w:t>投标人名称（盖章）：</w:t>
      </w:r>
    </w:p>
    <w:p>
      <w:pPr>
        <w:pStyle w:val="96"/>
        <w:spacing w:before="240" w:after="145" w:line="480" w:lineRule="exact"/>
        <w:ind w:firstLine="0" w:firstLineChars="0"/>
        <w:rPr>
          <w:rFonts w:ascii="宋体"/>
          <w:highlight w:val="none"/>
        </w:rPr>
      </w:pPr>
      <w:r>
        <w:rPr>
          <w:rFonts w:hint="eastAsia" w:ascii="宋体" w:hAnsi="宋体"/>
          <w:highlight w:val="none"/>
        </w:rPr>
        <w:t>授权代表（签字或盖章）：</w:t>
      </w:r>
    </w:p>
    <w:p>
      <w:pPr>
        <w:pStyle w:val="96"/>
        <w:spacing w:before="240" w:after="145" w:line="480" w:lineRule="exact"/>
        <w:ind w:firstLine="0" w:firstLineChars="0"/>
        <w:rPr>
          <w:b/>
          <w:highlight w:val="none"/>
        </w:rPr>
      </w:pPr>
      <w:r>
        <w:rPr>
          <w:rFonts w:hint="eastAsia" w:ascii="宋体" w:hAnsi="宋体"/>
          <w:highlight w:val="none"/>
        </w:rPr>
        <w:t>日</w:t>
      </w:r>
      <w:r>
        <w:rPr>
          <w:rFonts w:ascii="宋体" w:hAnsi="宋体"/>
          <w:highlight w:val="none"/>
        </w:rPr>
        <w:t xml:space="preserve">   </w:t>
      </w:r>
      <w:r>
        <w:rPr>
          <w:rFonts w:hint="eastAsia" w:ascii="宋体" w:hAnsi="宋体"/>
          <w:highlight w:val="none"/>
        </w:rPr>
        <w:t>期：</w:t>
      </w:r>
    </w:p>
    <w:p>
      <w:pPr>
        <w:spacing w:line="480" w:lineRule="exact"/>
        <w:jc w:val="center"/>
        <w:outlineLvl w:val="0"/>
        <w:rPr>
          <w:rFonts w:ascii="宋体"/>
          <w:sz w:val="28"/>
          <w:highlight w:val="none"/>
        </w:rPr>
      </w:pPr>
      <w:r>
        <w:rPr>
          <w:rFonts w:ascii="宋体"/>
          <w:sz w:val="28"/>
          <w:highlight w:val="none"/>
        </w:rPr>
        <w:br w:type="page"/>
      </w:r>
    </w:p>
    <w:p>
      <w:pPr>
        <w:spacing w:line="480" w:lineRule="exact"/>
        <w:jc w:val="center"/>
        <w:outlineLvl w:val="0"/>
        <w:rPr>
          <w:rFonts w:ascii="宋体"/>
          <w:b/>
          <w:sz w:val="28"/>
          <w:highlight w:val="none"/>
        </w:rPr>
      </w:pPr>
      <w:bookmarkStart w:id="194" w:name="_Toc4460"/>
      <w:bookmarkStart w:id="195" w:name="_Toc15082"/>
      <w:bookmarkStart w:id="196" w:name="_Toc11678"/>
      <w:r>
        <w:rPr>
          <w:rFonts w:hint="eastAsia" w:ascii="宋体" w:hAnsi="宋体"/>
          <w:b/>
          <w:sz w:val="28"/>
          <w:highlight w:val="none"/>
        </w:rPr>
        <w:t>格式</w:t>
      </w:r>
      <w:r>
        <w:rPr>
          <w:rFonts w:ascii="宋体" w:hAnsi="宋体"/>
          <w:b/>
          <w:sz w:val="28"/>
          <w:highlight w:val="none"/>
        </w:rPr>
        <w:t xml:space="preserve">5  </w:t>
      </w:r>
      <w:r>
        <w:rPr>
          <w:rFonts w:hint="eastAsia" w:ascii="宋体" w:hAnsi="宋体"/>
          <w:b/>
          <w:sz w:val="28"/>
          <w:highlight w:val="none"/>
        </w:rPr>
        <w:t>小微企业声明函</w:t>
      </w:r>
      <w:bookmarkEnd w:id="194"/>
      <w:bookmarkEnd w:id="195"/>
      <w:bookmarkEnd w:id="196"/>
    </w:p>
    <w:p>
      <w:pPr>
        <w:spacing w:line="360" w:lineRule="auto"/>
        <w:ind w:firstLine="482" w:firstLineChars="200"/>
        <w:jc w:val="center"/>
        <w:rPr>
          <w:rFonts w:ascii="仿宋" w:hAnsi="仿宋" w:eastAsia="仿宋"/>
          <w:b/>
          <w:color w:val="000000"/>
          <w:sz w:val="24"/>
          <w:highlight w:val="none"/>
        </w:rPr>
      </w:pPr>
    </w:p>
    <w:p>
      <w:pPr>
        <w:spacing w:line="360" w:lineRule="auto"/>
        <w:ind w:firstLine="480" w:firstLineChars="200"/>
        <w:rPr>
          <w:rFonts w:ascii="宋体"/>
          <w:color w:val="000000"/>
          <w:sz w:val="24"/>
          <w:highlight w:val="none"/>
          <w:u w:val="single"/>
        </w:rPr>
      </w:pPr>
      <w:r>
        <w:rPr>
          <w:rFonts w:hint="eastAsia" w:ascii="宋体" w:hAnsi="宋体"/>
          <w:color w:val="000000"/>
          <w:sz w:val="24"/>
          <w:highlight w:val="none"/>
        </w:rPr>
        <w:t>项目编号：</w:t>
      </w:r>
      <w:r>
        <w:rPr>
          <w:rFonts w:ascii="宋体" w:hAnsi="宋体"/>
          <w:color w:val="000000"/>
          <w:sz w:val="24"/>
          <w:highlight w:val="none"/>
          <w:u w:val="single"/>
        </w:rPr>
        <w:t xml:space="preserve">               </w:t>
      </w:r>
    </w:p>
    <w:p>
      <w:pPr>
        <w:spacing w:line="360" w:lineRule="auto"/>
        <w:ind w:firstLine="480" w:firstLineChars="200"/>
        <w:rPr>
          <w:rFonts w:ascii="宋体"/>
          <w:color w:val="000000"/>
          <w:sz w:val="24"/>
          <w:highlight w:val="none"/>
        </w:rPr>
      </w:pPr>
      <w:r>
        <w:rPr>
          <w:rFonts w:hint="eastAsia" w:ascii="宋体" w:hAnsi="宋体"/>
          <w:color w:val="000000"/>
          <w:sz w:val="24"/>
          <w:highlight w:val="none"/>
        </w:rPr>
        <w:t>本公司郑重声明，根据《政府采购促进中小企业发展暂行办法》（财库【</w:t>
      </w:r>
      <w:r>
        <w:rPr>
          <w:rFonts w:ascii="宋体" w:hAnsi="宋体"/>
          <w:color w:val="000000"/>
          <w:sz w:val="24"/>
          <w:highlight w:val="none"/>
        </w:rPr>
        <w:t>2011</w:t>
      </w:r>
      <w:r>
        <w:rPr>
          <w:rFonts w:hint="eastAsia" w:ascii="宋体" w:hAnsi="宋体"/>
          <w:color w:val="000000"/>
          <w:sz w:val="24"/>
          <w:highlight w:val="none"/>
        </w:rPr>
        <w:t>】</w:t>
      </w:r>
      <w:r>
        <w:rPr>
          <w:rFonts w:ascii="宋体" w:hAnsi="宋体"/>
          <w:color w:val="000000"/>
          <w:sz w:val="24"/>
          <w:highlight w:val="none"/>
        </w:rPr>
        <w:t>181</w:t>
      </w:r>
      <w:r>
        <w:rPr>
          <w:rFonts w:hint="eastAsia" w:ascii="宋体" w:hAnsi="宋体"/>
          <w:color w:val="000000"/>
          <w:sz w:val="24"/>
          <w:highlight w:val="none"/>
        </w:rPr>
        <w:t>号）的规定，本公司为</w:t>
      </w:r>
      <w:r>
        <w:rPr>
          <w:rFonts w:ascii="宋体" w:hAnsi="宋体"/>
          <w:color w:val="000000"/>
          <w:sz w:val="24"/>
          <w:highlight w:val="none"/>
          <w:u w:val="single"/>
        </w:rPr>
        <w:t xml:space="preserve">         </w:t>
      </w:r>
      <w:r>
        <w:rPr>
          <w:rFonts w:hint="eastAsia" w:ascii="宋体" w:hAnsi="宋体"/>
          <w:color w:val="000000"/>
          <w:sz w:val="24"/>
          <w:highlight w:val="none"/>
        </w:rPr>
        <w:t>（请填写：小型、微型）企业。即，本公司同时满足以下条件：</w:t>
      </w:r>
    </w:p>
    <w:p>
      <w:pPr>
        <w:spacing w:line="360" w:lineRule="auto"/>
        <w:ind w:firstLine="600" w:firstLineChars="250"/>
        <w:rPr>
          <w:rFonts w:ascii="宋体"/>
          <w:color w:val="000000"/>
          <w:sz w:val="24"/>
          <w:highlight w:val="none"/>
        </w:rPr>
      </w:pPr>
      <w:r>
        <w:rPr>
          <w:rFonts w:ascii="宋体" w:hAnsi="宋体"/>
          <w:color w:val="000000"/>
          <w:sz w:val="24"/>
          <w:highlight w:val="none"/>
        </w:rPr>
        <w:t>1</w:t>
      </w:r>
      <w:r>
        <w:rPr>
          <w:rFonts w:hint="eastAsia" w:ascii="宋体" w:hAnsi="宋体"/>
          <w:color w:val="000000"/>
          <w:sz w:val="24"/>
          <w:highlight w:val="none"/>
        </w:rPr>
        <w:t>、根据《工业和信息化部、国家统计局、国家发展和改革委员会、财政部关于印发中小企业划型规定的通知》（工信部联企业【</w:t>
      </w:r>
      <w:r>
        <w:rPr>
          <w:rFonts w:ascii="宋体" w:hAnsi="宋体"/>
          <w:color w:val="000000"/>
          <w:sz w:val="24"/>
          <w:highlight w:val="none"/>
        </w:rPr>
        <w:t>2011</w:t>
      </w:r>
      <w:r>
        <w:rPr>
          <w:rFonts w:hint="eastAsia" w:ascii="宋体" w:hAnsi="宋体"/>
          <w:color w:val="000000"/>
          <w:sz w:val="24"/>
          <w:highlight w:val="none"/>
        </w:rPr>
        <w:t>】</w:t>
      </w:r>
      <w:r>
        <w:rPr>
          <w:rFonts w:ascii="宋体" w:hAnsi="宋体"/>
          <w:color w:val="000000"/>
          <w:sz w:val="24"/>
          <w:highlight w:val="none"/>
        </w:rPr>
        <w:t>300</w:t>
      </w:r>
      <w:r>
        <w:rPr>
          <w:rFonts w:hint="eastAsia" w:ascii="宋体" w:hAnsi="宋体"/>
          <w:color w:val="000000"/>
          <w:sz w:val="24"/>
          <w:highlight w:val="none"/>
        </w:rPr>
        <w:t>号）规定的划分标准，本公司为</w:t>
      </w:r>
      <w:r>
        <w:rPr>
          <w:rFonts w:ascii="宋体" w:hAnsi="宋体"/>
          <w:color w:val="000000"/>
          <w:sz w:val="24"/>
          <w:highlight w:val="none"/>
          <w:u w:val="single"/>
        </w:rPr>
        <w:t xml:space="preserve">       </w:t>
      </w:r>
      <w:r>
        <w:rPr>
          <w:rFonts w:hint="eastAsia" w:ascii="宋体" w:hAnsi="宋体"/>
          <w:color w:val="000000"/>
          <w:sz w:val="24"/>
          <w:highlight w:val="none"/>
        </w:rPr>
        <w:t>（请填写：小型、微型）企业。</w:t>
      </w:r>
    </w:p>
    <w:p>
      <w:pPr>
        <w:spacing w:line="360" w:lineRule="auto"/>
        <w:ind w:firstLine="600" w:firstLineChars="250"/>
        <w:rPr>
          <w:rFonts w:ascii="宋体"/>
          <w:color w:val="000000"/>
          <w:sz w:val="24"/>
          <w:highlight w:val="none"/>
        </w:rPr>
      </w:pPr>
      <w:r>
        <w:rPr>
          <w:rFonts w:ascii="宋体" w:hAnsi="宋体"/>
          <w:color w:val="000000"/>
          <w:sz w:val="24"/>
          <w:highlight w:val="none"/>
        </w:rPr>
        <w:t>2</w:t>
      </w:r>
      <w:r>
        <w:rPr>
          <w:rFonts w:hint="eastAsia" w:ascii="宋体" w:hAnsi="宋体"/>
          <w:color w:val="000000"/>
          <w:sz w:val="24"/>
          <w:highlight w:val="none"/>
        </w:rPr>
        <w:t>、本公司参加</w:t>
      </w:r>
      <w:r>
        <w:rPr>
          <w:rFonts w:ascii="宋体" w:hAnsi="宋体"/>
          <w:color w:val="000000"/>
          <w:sz w:val="24"/>
          <w:highlight w:val="none"/>
          <w:u w:val="single"/>
        </w:rPr>
        <w:t xml:space="preserve">      </w:t>
      </w:r>
      <w:r>
        <w:rPr>
          <w:rFonts w:hint="eastAsia" w:ascii="宋体" w:hAnsi="宋体"/>
          <w:color w:val="000000"/>
          <w:sz w:val="24"/>
          <w:highlight w:val="none"/>
        </w:rPr>
        <w:t>单位的</w:t>
      </w:r>
      <w:r>
        <w:rPr>
          <w:rFonts w:ascii="宋体" w:hAnsi="宋体"/>
          <w:color w:val="000000"/>
          <w:sz w:val="24"/>
          <w:highlight w:val="none"/>
          <w:u w:val="single"/>
        </w:rPr>
        <w:t xml:space="preserve">        </w:t>
      </w:r>
      <w:r>
        <w:rPr>
          <w:rFonts w:hint="eastAsia" w:ascii="宋体" w:hAnsi="宋体"/>
          <w:color w:val="000000"/>
          <w:sz w:val="24"/>
          <w:highlight w:val="none"/>
        </w:rPr>
        <w:t>项目采购活动提供本企业制造的货物。由本企业承担工程、提供服务，或者提供其他</w:t>
      </w:r>
      <w:r>
        <w:rPr>
          <w:rFonts w:ascii="宋体" w:hAnsi="宋体"/>
          <w:color w:val="000000"/>
          <w:sz w:val="24"/>
          <w:highlight w:val="none"/>
          <w:u w:val="single"/>
        </w:rPr>
        <w:t xml:space="preserve">       </w:t>
      </w:r>
      <w:r>
        <w:rPr>
          <w:rFonts w:hint="eastAsia" w:ascii="宋体" w:hAnsi="宋体"/>
          <w:color w:val="000000"/>
          <w:sz w:val="24"/>
          <w:highlight w:val="none"/>
        </w:rPr>
        <w:t>（请填写：小型、微型）企业制造的货物。本条所称货物不包括使用大型企业注册商标的货物。</w:t>
      </w:r>
    </w:p>
    <w:p>
      <w:pPr>
        <w:spacing w:line="360" w:lineRule="auto"/>
        <w:rPr>
          <w:rFonts w:ascii="宋体"/>
          <w:color w:val="000000"/>
          <w:sz w:val="24"/>
          <w:highlight w:val="none"/>
        </w:rPr>
      </w:pPr>
      <w:r>
        <w:rPr>
          <w:rFonts w:hint="eastAsia" w:ascii="宋体" w:hAnsi="宋体"/>
          <w:color w:val="000000"/>
          <w:sz w:val="24"/>
          <w:highlight w:val="none"/>
        </w:rPr>
        <w:t>本公司对上述声明的真实性负责。如有虚假，将依法承担相应责任。</w:t>
      </w:r>
    </w:p>
    <w:p>
      <w:pPr>
        <w:spacing w:line="360" w:lineRule="auto"/>
        <w:ind w:right="560"/>
        <w:rPr>
          <w:rFonts w:ascii="宋体"/>
          <w:sz w:val="24"/>
          <w:highlight w:val="none"/>
        </w:rPr>
      </w:pPr>
    </w:p>
    <w:p>
      <w:pPr>
        <w:spacing w:line="360" w:lineRule="auto"/>
        <w:ind w:right="560"/>
        <w:rPr>
          <w:rFonts w:ascii="宋体"/>
          <w:sz w:val="24"/>
          <w:highlight w:val="none"/>
          <w:u w:val="single"/>
        </w:rPr>
      </w:pPr>
      <w:r>
        <w:rPr>
          <w:rFonts w:hint="eastAsia" w:ascii="宋体" w:hAnsi="宋体"/>
          <w:sz w:val="24"/>
          <w:highlight w:val="none"/>
        </w:rPr>
        <w:t>投标人名称（公章）：</w:t>
      </w:r>
      <w:r>
        <w:rPr>
          <w:rFonts w:ascii="宋体" w:hAnsi="宋体"/>
          <w:sz w:val="24"/>
          <w:highlight w:val="none"/>
          <w:u w:val="single"/>
        </w:rPr>
        <w:t xml:space="preserve">                             </w:t>
      </w:r>
    </w:p>
    <w:p>
      <w:pPr>
        <w:spacing w:line="360" w:lineRule="auto"/>
        <w:ind w:right="560"/>
        <w:rPr>
          <w:rFonts w:ascii="宋体"/>
          <w:color w:val="000000"/>
          <w:sz w:val="24"/>
          <w:highlight w:val="none"/>
        </w:rPr>
      </w:pPr>
      <w:r>
        <w:rPr>
          <w:rFonts w:hint="eastAsia" w:ascii="宋体" w:hAnsi="宋体"/>
          <w:sz w:val="24"/>
          <w:highlight w:val="none"/>
        </w:rPr>
        <w:t>法定代表人或授权代理人（签字或盖章）：</w:t>
      </w:r>
      <w:r>
        <w:rPr>
          <w:rFonts w:ascii="宋体" w:hAnsi="宋体"/>
          <w:sz w:val="24"/>
          <w:highlight w:val="none"/>
          <w:u w:val="single"/>
        </w:rPr>
        <w:t xml:space="preserve">           </w:t>
      </w:r>
    </w:p>
    <w:p>
      <w:pPr>
        <w:spacing w:line="360" w:lineRule="auto"/>
        <w:jc w:val="right"/>
        <w:rPr>
          <w:rFonts w:ascii="宋体"/>
          <w:color w:val="000000"/>
          <w:sz w:val="24"/>
          <w:highlight w:val="none"/>
        </w:rPr>
      </w:pPr>
      <w:r>
        <w:rPr>
          <w:rFonts w:hint="eastAsia" w:ascii="宋体" w:hAnsi="宋体"/>
          <w:color w:val="000000"/>
          <w:sz w:val="24"/>
          <w:highlight w:val="none"/>
        </w:rPr>
        <w:t>年</w:t>
      </w:r>
      <w:r>
        <w:rPr>
          <w:rFonts w:ascii="宋体" w:hAnsi="宋体"/>
          <w:color w:val="000000"/>
          <w:sz w:val="24"/>
          <w:highlight w:val="none"/>
        </w:rPr>
        <w:t xml:space="preserve">   </w:t>
      </w:r>
      <w:r>
        <w:rPr>
          <w:rFonts w:hint="eastAsia" w:ascii="宋体" w:hAnsi="宋体"/>
          <w:color w:val="000000"/>
          <w:sz w:val="24"/>
          <w:highlight w:val="none"/>
        </w:rPr>
        <w:t>月</w:t>
      </w:r>
      <w:r>
        <w:rPr>
          <w:rFonts w:ascii="宋体" w:hAnsi="宋体"/>
          <w:color w:val="000000"/>
          <w:sz w:val="24"/>
          <w:highlight w:val="none"/>
        </w:rPr>
        <w:t xml:space="preserve">   </w:t>
      </w:r>
      <w:r>
        <w:rPr>
          <w:rFonts w:hint="eastAsia" w:ascii="宋体" w:hAnsi="宋体"/>
          <w:color w:val="000000"/>
          <w:sz w:val="24"/>
          <w:highlight w:val="none"/>
        </w:rPr>
        <w:t>日</w:t>
      </w:r>
    </w:p>
    <w:p>
      <w:pPr>
        <w:spacing w:line="480" w:lineRule="exact"/>
        <w:jc w:val="center"/>
        <w:outlineLvl w:val="0"/>
        <w:rPr>
          <w:rFonts w:ascii="仿宋" w:hAnsi="仿宋" w:eastAsia="仿宋"/>
          <w:color w:val="000000"/>
          <w:sz w:val="24"/>
          <w:highlight w:val="none"/>
        </w:rPr>
      </w:pPr>
      <w:r>
        <w:rPr>
          <w:rFonts w:ascii="仿宋" w:hAnsi="仿宋" w:eastAsia="仿宋"/>
          <w:color w:val="000000"/>
          <w:sz w:val="24"/>
          <w:highlight w:val="none"/>
        </w:rPr>
        <w:br w:type="page"/>
      </w:r>
    </w:p>
    <w:p>
      <w:pPr>
        <w:spacing w:line="480" w:lineRule="exact"/>
        <w:jc w:val="center"/>
        <w:outlineLvl w:val="0"/>
        <w:rPr>
          <w:rFonts w:ascii="宋体"/>
          <w:b/>
          <w:sz w:val="28"/>
          <w:highlight w:val="none"/>
        </w:rPr>
      </w:pPr>
      <w:bookmarkStart w:id="197" w:name="_Toc9435"/>
      <w:bookmarkStart w:id="198" w:name="_Toc170"/>
      <w:bookmarkStart w:id="199" w:name="_Toc14964"/>
      <w:r>
        <w:rPr>
          <w:rFonts w:hint="eastAsia" w:ascii="宋体" w:hAnsi="宋体"/>
          <w:b/>
          <w:sz w:val="28"/>
          <w:highlight w:val="none"/>
        </w:rPr>
        <w:t>格式</w:t>
      </w:r>
      <w:r>
        <w:rPr>
          <w:rFonts w:ascii="宋体" w:hAnsi="宋体"/>
          <w:b/>
          <w:sz w:val="28"/>
          <w:highlight w:val="none"/>
        </w:rPr>
        <w:t xml:space="preserve">6  </w:t>
      </w:r>
      <w:r>
        <w:rPr>
          <w:rFonts w:hint="eastAsia" w:ascii="宋体" w:hAnsi="宋体"/>
          <w:b/>
          <w:sz w:val="28"/>
          <w:highlight w:val="none"/>
        </w:rPr>
        <w:t>从业人员声明函</w:t>
      </w:r>
      <w:bookmarkEnd w:id="197"/>
      <w:bookmarkEnd w:id="198"/>
      <w:bookmarkEnd w:id="199"/>
    </w:p>
    <w:p>
      <w:pPr>
        <w:spacing w:line="480" w:lineRule="exact"/>
        <w:jc w:val="center"/>
        <w:outlineLvl w:val="0"/>
        <w:rPr>
          <w:rFonts w:ascii="宋体"/>
          <w:b/>
          <w:sz w:val="28"/>
          <w:highlight w:val="none"/>
        </w:rPr>
      </w:pPr>
    </w:p>
    <w:p>
      <w:pPr>
        <w:spacing w:line="360" w:lineRule="auto"/>
        <w:ind w:firstLine="480" w:firstLineChars="200"/>
        <w:rPr>
          <w:rFonts w:ascii="宋体"/>
          <w:color w:val="000000"/>
          <w:sz w:val="24"/>
          <w:highlight w:val="none"/>
          <w:u w:val="single"/>
        </w:rPr>
      </w:pPr>
      <w:r>
        <w:rPr>
          <w:rFonts w:hint="eastAsia" w:ascii="宋体" w:hAnsi="宋体"/>
          <w:color w:val="000000"/>
          <w:sz w:val="24"/>
          <w:highlight w:val="none"/>
        </w:rPr>
        <w:t>项目编号：</w:t>
      </w:r>
      <w:r>
        <w:rPr>
          <w:rFonts w:ascii="宋体" w:hAnsi="宋体"/>
          <w:color w:val="000000"/>
          <w:sz w:val="24"/>
          <w:highlight w:val="none"/>
          <w:u w:val="single"/>
        </w:rPr>
        <w:t xml:space="preserve">          </w:t>
      </w:r>
    </w:p>
    <w:p>
      <w:pPr>
        <w:spacing w:line="360" w:lineRule="auto"/>
        <w:ind w:firstLine="480" w:firstLineChars="200"/>
        <w:rPr>
          <w:rFonts w:ascii="宋体"/>
          <w:color w:val="000000"/>
          <w:sz w:val="24"/>
          <w:highlight w:val="none"/>
        </w:rPr>
      </w:pPr>
      <w:r>
        <w:rPr>
          <w:rFonts w:hint="eastAsia" w:ascii="宋体" w:hAnsi="宋体"/>
          <w:color w:val="000000"/>
          <w:sz w:val="24"/>
          <w:highlight w:val="none"/>
        </w:rPr>
        <w:t>本公司郑重声明：根据《政府采购促进中小企业发展暂行办法》（财库【</w:t>
      </w:r>
      <w:r>
        <w:rPr>
          <w:rFonts w:ascii="宋体" w:hAnsi="宋体"/>
          <w:color w:val="000000"/>
          <w:sz w:val="24"/>
          <w:highlight w:val="none"/>
        </w:rPr>
        <w:t>2011</w:t>
      </w:r>
      <w:r>
        <w:rPr>
          <w:rFonts w:hint="eastAsia" w:ascii="宋体" w:hAnsi="宋体"/>
          <w:color w:val="000000"/>
          <w:sz w:val="24"/>
          <w:highlight w:val="none"/>
        </w:rPr>
        <w:t>】</w:t>
      </w:r>
      <w:r>
        <w:rPr>
          <w:rFonts w:ascii="宋体" w:hAnsi="宋体"/>
          <w:color w:val="000000"/>
          <w:sz w:val="24"/>
          <w:highlight w:val="none"/>
        </w:rPr>
        <w:t>181</w:t>
      </w:r>
      <w:r>
        <w:rPr>
          <w:rFonts w:hint="eastAsia" w:ascii="宋体" w:hAnsi="宋体"/>
          <w:color w:val="000000"/>
          <w:sz w:val="24"/>
          <w:highlight w:val="none"/>
        </w:rPr>
        <w:t>号）、《工业和信息化部、国家统计局、国家发展和改革委员会、财政部关于印发中小企业划型规定的通知》（工信部联企业【</w:t>
      </w:r>
      <w:r>
        <w:rPr>
          <w:rFonts w:ascii="宋体" w:hAnsi="宋体"/>
          <w:color w:val="000000"/>
          <w:sz w:val="24"/>
          <w:highlight w:val="none"/>
        </w:rPr>
        <w:t>2011</w:t>
      </w:r>
      <w:r>
        <w:rPr>
          <w:rFonts w:hint="eastAsia" w:ascii="宋体" w:hAnsi="宋体"/>
          <w:color w:val="000000"/>
          <w:sz w:val="24"/>
          <w:highlight w:val="none"/>
        </w:rPr>
        <w:t>】</w:t>
      </w:r>
      <w:r>
        <w:rPr>
          <w:rFonts w:ascii="宋体" w:hAnsi="宋体"/>
          <w:color w:val="000000"/>
          <w:sz w:val="24"/>
          <w:highlight w:val="none"/>
        </w:rPr>
        <w:t>300</w:t>
      </w:r>
      <w:r>
        <w:rPr>
          <w:rFonts w:hint="eastAsia" w:ascii="宋体" w:hAnsi="宋体"/>
          <w:color w:val="000000"/>
          <w:sz w:val="24"/>
          <w:highlight w:val="none"/>
        </w:rPr>
        <w:t>号）规定，本公司从业人员数为</w:t>
      </w:r>
      <w:r>
        <w:rPr>
          <w:rFonts w:ascii="宋体" w:hAnsi="宋体"/>
          <w:color w:val="000000"/>
          <w:sz w:val="24"/>
          <w:highlight w:val="none"/>
          <w:u w:val="single"/>
        </w:rPr>
        <w:t xml:space="preserve">           </w:t>
      </w:r>
      <w:r>
        <w:rPr>
          <w:rFonts w:hint="eastAsia" w:ascii="宋体" w:hAnsi="宋体"/>
          <w:color w:val="000000"/>
          <w:sz w:val="24"/>
          <w:highlight w:val="none"/>
        </w:rPr>
        <w:t>。</w:t>
      </w:r>
    </w:p>
    <w:p>
      <w:pPr>
        <w:spacing w:line="360" w:lineRule="auto"/>
        <w:ind w:firstLine="480" w:firstLineChars="200"/>
        <w:rPr>
          <w:rFonts w:ascii="宋体"/>
          <w:color w:val="000000"/>
          <w:sz w:val="24"/>
          <w:highlight w:val="none"/>
        </w:rPr>
      </w:pPr>
      <w:r>
        <w:rPr>
          <w:rFonts w:hint="eastAsia" w:ascii="宋体" w:hAnsi="宋体"/>
          <w:color w:val="000000"/>
          <w:sz w:val="24"/>
          <w:highlight w:val="none"/>
        </w:rPr>
        <w:t>本公司对上述声明的真实性负责。如有虚假，将依法承担相应责任。</w:t>
      </w:r>
    </w:p>
    <w:p>
      <w:pPr>
        <w:spacing w:line="360" w:lineRule="auto"/>
        <w:ind w:firstLine="480" w:firstLineChars="200"/>
        <w:rPr>
          <w:rFonts w:ascii="宋体"/>
          <w:color w:val="000000"/>
          <w:sz w:val="24"/>
          <w:highlight w:val="none"/>
        </w:rPr>
      </w:pPr>
    </w:p>
    <w:p>
      <w:pPr>
        <w:spacing w:line="360" w:lineRule="auto"/>
        <w:ind w:right="560"/>
        <w:rPr>
          <w:rFonts w:ascii="宋体"/>
          <w:sz w:val="24"/>
          <w:highlight w:val="none"/>
          <w:u w:val="single"/>
        </w:rPr>
      </w:pPr>
      <w:r>
        <w:rPr>
          <w:rFonts w:hint="eastAsia" w:ascii="宋体" w:hAnsi="宋体"/>
          <w:sz w:val="24"/>
          <w:highlight w:val="none"/>
        </w:rPr>
        <w:t>投标人名称（公章）：</w:t>
      </w:r>
      <w:r>
        <w:rPr>
          <w:rFonts w:ascii="宋体" w:hAnsi="宋体"/>
          <w:sz w:val="24"/>
          <w:highlight w:val="none"/>
          <w:u w:val="single"/>
        </w:rPr>
        <w:t xml:space="preserve">                             </w:t>
      </w:r>
    </w:p>
    <w:p>
      <w:pPr>
        <w:spacing w:line="360" w:lineRule="auto"/>
        <w:ind w:right="560"/>
        <w:rPr>
          <w:rFonts w:ascii="宋体"/>
          <w:sz w:val="24"/>
          <w:highlight w:val="none"/>
          <w:u w:val="single"/>
        </w:rPr>
      </w:pPr>
      <w:r>
        <w:rPr>
          <w:rFonts w:hint="eastAsia" w:ascii="宋体" w:hAnsi="宋体"/>
          <w:sz w:val="24"/>
          <w:highlight w:val="none"/>
        </w:rPr>
        <w:t>法定代表人或授权代理人（签字或盖章）：</w:t>
      </w:r>
      <w:r>
        <w:rPr>
          <w:rFonts w:ascii="宋体" w:hAnsi="宋体"/>
          <w:sz w:val="24"/>
          <w:highlight w:val="none"/>
          <w:u w:val="single"/>
        </w:rPr>
        <w:t xml:space="preserve">           </w:t>
      </w:r>
    </w:p>
    <w:p>
      <w:pPr>
        <w:spacing w:line="360" w:lineRule="auto"/>
        <w:ind w:right="560"/>
        <w:rPr>
          <w:rFonts w:ascii="宋体"/>
          <w:color w:val="000000"/>
          <w:sz w:val="24"/>
          <w:highlight w:val="none"/>
        </w:rPr>
      </w:pPr>
    </w:p>
    <w:p>
      <w:pPr>
        <w:spacing w:line="360" w:lineRule="auto"/>
        <w:ind w:right="240"/>
        <w:jc w:val="right"/>
        <w:rPr>
          <w:rFonts w:ascii="宋体"/>
          <w:color w:val="000000"/>
          <w:sz w:val="24"/>
          <w:highlight w:val="none"/>
        </w:rPr>
      </w:pPr>
      <w:r>
        <w:rPr>
          <w:rFonts w:hint="eastAsia" w:ascii="宋体" w:hAnsi="宋体"/>
          <w:color w:val="000000"/>
          <w:sz w:val="24"/>
          <w:highlight w:val="none"/>
        </w:rPr>
        <w:t>年</w:t>
      </w:r>
      <w:r>
        <w:rPr>
          <w:rFonts w:ascii="宋体" w:hAnsi="宋体"/>
          <w:color w:val="000000"/>
          <w:sz w:val="24"/>
          <w:highlight w:val="none"/>
        </w:rPr>
        <w:t xml:space="preserve">   </w:t>
      </w:r>
      <w:r>
        <w:rPr>
          <w:rFonts w:hint="eastAsia" w:ascii="宋体" w:hAnsi="宋体"/>
          <w:color w:val="000000"/>
          <w:sz w:val="24"/>
          <w:highlight w:val="none"/>
        </w:rPr>
        <w:t>月</w:t>
      </w:r>
      <w:r>
        <w:rPr>
          <w:rFonts w:ascii="宋体" w:hAnsi="宋体"/>
          <w:color w:val="000000"/>
          <w:sz w:val="24"/>
          <w:highlight w:val="none"/>
        </w:rPr>
        <w:t xml:space="preserve">   </w:t>
      </w:r>
      <w:r>
        <w:rPr>
          <w:rFonts w:hint="eastAsia" w:ascii="宋体" w:hAnsi="宋体"/>
          <w:color w:val="000000"/>
          <w:sz w:val="24"/>
          <w:highlight w:val="none"/>
        </w:rPr>
        <w:t>日</w:t>
      </w:r>
    </w:p>
    <w:p>
      <w:pPr>
        <w:keepNext/>
        <w:keepLines/>
        <w:spacing w:before="120" w:after="120" w:line="360" w:lineRule="auto"/>
        <w:outlineLvl w:val="1"/>
        <w:rPr>
          <w:rFonts w:ascii="宋体"/>
          <w:b/>
          <w:bCs/>
          <w:sz w:val="24"/>
          <w:highlight w:val="none"/>
        </w:rPr>
      </w:pPr>
    </w:p>
    <w:p>
      <w:pPr>
        <w:spacing w:line="480" w:lineRule="exact"/>
        <w:rPr>
          <w:rFonts w:ascii="宋体"/>
          <w:sz w:val="24"/>
          <w:highlight w:val="none"/>
        </w:rPr>
      </w:pPr>
    </w:p>
    <w:p>
      <w:pPr>
        <w:spacing w:line="480" w:lineRule="exact"/>
        <w:jc w:val="left"/>
        <w:outlineLvl w:val="0"/>
        <w:rPr>
          <w:rFonts w:ascii="宋体"/>
          <w:bCs/>
          <w:sz w:val="28"/>
          <w:szCs w:val="28"/>
          <w:highlight w:val="none"/>
        </w:rPr>
      </w:pPr>
    </w:p>
    <w:p>
      <w:pPr>
        <w:pStyle w:val="2"/>
        <w:spacing w:line="580" w:lineRule="exact"/>
        <w:jc w:val="center"/>
        <w:rPr>
          <w:sz w:val="28"/>
          <w:szCs w:val="28"/>
          <w:highlight w:val="none"/>
        </w:rPr>
      </w:pPr>
      <w:r>
        <w:rPr>
          <w:rFonts w:ascii="宋体"/>
          <w:highlight w:val="none"/>
        </w:rPr>
        <w:br w:type="page"/>
      </w:r>
      <w:bookmarkStart w:id="200" w:name="_Toc492372156"/>
      <w:bookmarkStart w:id="201" w:name="_Toc503943637"/>
      <w:bookmarkStart w:id="202" w:name="_Toc15306"/>
      <w:bookmarkStart w:id="203" w:name="_Toc499831025"/>
      <w:bookmarkStart w:id="204" w:name="_Toc499827580"/>
      <w:r>
        <w:rPr>
          <w:rFonts w:hint="eastAsia"/>
          <w:sz w:val="28"/>
          <w:szCs w:val="28"/>
          <w:highlight w:val="none"/>
        </w:rPr>
        <w:t>格式</w:t>
      </w:r>
      <w:r>
        <w:rPr>
          <w:sz w:val="28"/>
          <w:szCs w:val="28"/>
          <w:highlight w:val="none"/>
        </w:rPr>
        <w:t xml:space="preserve">7  </w:t>
      </w:r>
      <w:bookmarkEnd w:id="200"/>
      <w:r>
        <w:rPr>
          <w:rFonts w:hint="eastAsia"/>
          <w:sz w:val="28"/>
          <w:szCs w:val="28"/>
          <w:highlight w:val="none"/>
        </w:rPr>
        <w:t>残疾人福利性单位声明函</w:t>
      </w:r>
      <w:bookmarkEnd w:id="201"/>
      <w:bookmarkEnd w:id="202"/>
      <w:bookmarkEnd w:id="203"/>
      <w:bookmarkEnd w:id="204"/>
    </w:p>
    <w:p>
      <w:pPr>
        <w:spacing w:line="480" w:lineRule="exact"/>
        <w:jc w:val="center"/>
        <w:outlineLvl w:val="0"/>
        <w:rPr>
          <w:highlight w:val="none"/>
        </w:rPr>
      </w:pPr>
    </w:p>
    <w:p>
      <w:pPr>
        <w:spacing w:line="480" w:lineRule="exact"/>
        <w:ind w:firstLine="504" w:firstLineChars="200"/>
        <w:rPr>
          <w:rFonts w:ascii="宋体"/>
          <w:spacing w:val="6"/>
          <w:sz w:val="24"/>
          <w:highlight w:val="none"/>
        </w:rPr>
      </w:pPr>
      <w:r>
        <w:rPr>
          <w:rFonts w:hint="eastAsia" w:ascii="宋体" w:hAnsi="宋体"/>
          <w:spacing w:val="6"/>
          <w:sz w:val="24"/>
          <w:highlight w:val="none"/>
        </w:rPr>
        <w:t>本单位郑重声明，根据《财政部</w:t>
      </w:r>
      <w:r>
        <w:rPr>
          <w:rFonts w:ascii="宋体" w:hAnsi="宋体"/>
          <w:spacing w:val="6"/>
          <w:sz w:val="24"/>
          <w:highlight w:val="none"/>
        </w:rPr>
        <w:t xml:space="preserve"> </w:t>
      </w:r>
      <w:r>
        <w:rPr>
          <w:rFonts w:hint="eastAsia" w:ascii="宋体" w:hAnsi="宋体"/>
          <w:spacing w:val="6"/>
          <w:sz w:val="24"/>
          <w:highlight w:val="none"/>
        </w:rPr>
        <w:t>民政部</w:t>
      </w:r>
      <w:r>
        <w:rPr>
          <w:rFonts w:ascii="宋体" w:hAnsi="宋体"/>
          <w:spacing w:val="6"/>
          <w:sz w:val="24"/>
          <w:highlight w:val="none"/>
        </w:rPr>
        <w:t xml:space="preserve"> </w:t>
      </w:r>
      <w:r>
        <w:rPr>
          <w:rFonts w:hint="eastAsia" w:ascii="宋体" w:hAnsi="宋体"/>
          <w:spacing w:val="6"/>
          <w:sz w:val="24"/>
          <w:highlight w:val="none"/>
        </w:rPr>
        <w:t>中国残疾人联合会关于促进残疾人就业政府采购政策的通知》（财库</w:t>
      </w:r>
      <w:r>
        <w:rPr>
          <w:rFonts w:hint="eastAsia" w:ascii="宋体" w:hAnsi="宋体"/>
          <w:sz w:val="24"/>
          <w:highlight w:val="none"/>
        </w:rPr>
        <w:t>〔</w:t>
      </w:r>
      <w:r>
        <w:rPr>
          <w:rFonts w:ascii="宋体" w:hAnsi="宋体"/>
          <w:sz w:val="24"/>
          <w:highlight w:val="none"/>
        </w:rPr>
        <w:t>2018</w:t>
      </w:r>
      <w:r>
        <w:rPr>
          <w:rFonts w:hint="eastAsia" w:ascii="宋体" w:hAnsi="宋体"/>
          <w:sz w:val="24"/>
          <w:highlight w:val="none"/>
        </w:rPr>
        <w:t>〕</w:t>
      </w:r>
      <w:r>
        <w:rPr>
          <w:rFonts w:ascii="宋体" w:hAnsi="宋体"/>
          <w:sz w:val="24"/>
          <w:highlight w:val="none"/>
        </w:rPr>
        <w:t xml:space="preserve"> 141</w:t>
      </w:r>
      <w:r>
        <w:rPr>
          <w:rFonts w:hint="eastAsia" w:ascii="宋体" w:hAnsi="宋体"/>
          <w:spacing w:val="6"/>
          <w:sz w:val="24"/>
          <w:highlight w:val="none"/>
        </w:rPr>
        <w:t>号）的规定，本单位为符合条件的残疾人福利性单位，且本单位参加</w:t>
      </w:r>
      <w:r>
        <w:rPr>
          <w:rFonts w:ascii="宋体" w:hAnsi="宋体"/>
          <w:spacing w:val="6"/>
          <w:sz w:val="24"/>
          <w:highlight w:val="none"/>
        </w:rPr>
        <w:t>______</w:t>
      </w:r>
      <w:r>
        <w:rPr>
          <w:rFonts w:hint="eastAsia" w:ascii="宋体" w:hAnsi="宋体"/>
          <w:spacing w:val="6"/>
          <w:sz w:val="24"/>
          <w:highlight w:val="none"/>
        </w:rPr>
        <w:t>单位的</w:t>
      </w:r>
      <w:r>
        <w:rPr>
          <w:rFonts w:ascii="宋体" w:hAnsi="宋体"/>
          <w:spacing w:val="6"/>
          <w:sz w:val="24"/>
          <w:highlight w:val="none"/>
        </w:rPr>
        <w:t>______</w:t>
      </w:r>
      <w:r>
        <w:rPr>
          <w:rFonts w:hint="eastAsia" w:ascii="宋体" w:hAnsi="宋体"/>
          <w:spacing w:val="6"/>
          <w:sz w:val="24"/>
          <w:highlight w:val="none"/>
        </w:rPr>
        <w:t>项目采购活动提供本单位制造的货物（由本单位承担工程</w:t>
      </w:r>
      <w:r>
        <w:rPr>
          <w:rFonts w:ascii="宋体" w:hAnsi="宋体"/>
          <w:spacing w:val="6"/>
          <w:sz w:val="24"/>
          <w:highlight w:val="none"/>
        </w:rPr>
        <w:t>/</w:t>
      </w:r>
      <w:r>
        <w:rPr>
          <w:rFonts w:hint="eastAsia" w:ascii="宋体" w:hAnsi="宋体"/>
          <w:spacing w:val="6"/>
          <w:sz w:val="24"/>
          <w:highlight w:val="none"/>
        </w:rPr>
        <w:t>提供服务），或者提供其他残疾人福利性单位制造的货物（不包括使用非残疾人福利性单位注册商标的货物）。</w:t>
      </w:r>
    </w:p>
    <w:p>
      <w:pPr>
        <w:spacing w:line="480" w:lineRule="exact"/>
        <w:ind w:firstLine="504" w:firstLineChars="200"/>
        <w:rPr>
          <w:rFonts w:ascii="宋体"/>
          <w:spacing w:val="6"/>
          <w:sz w:val="24"/>
          <w:highlight w:val="none"/>
        </w:rPr>
      </w:pPr>
      <w:r>
        <w:rPr>
          <w:rFonts w:hint="eastAsia" w:ascii="宋体" w:hAnsi="宋体"/>
          <w:spacing w:val="6"/>
          <w:sz w:val="24"/>
          <w:highlight w:val="none"/>
        </w:rPr>
        <w:t>本单位对上述声明的真实性负责。如有虚假，将依法承担相应责任。</w:t>
      </w:r>
    </w:p>
    <w:p>
      <w:pPr>
        <w:spacing w:line="480" w:lineRule="exact"/>
        <w:ind w:firstLine="504" w:firstLineChars="200"/>
        <w:rPr>
          <w:rFonts w:ascii="宋体"/>
          <w:spacing w:val="6"/>
          <w:sz w:val="24"/>
          <w:highlight w:val="none"/>
        </w:rPr>
      </w:pPr>
    </w:p>
    <w:p>
      <w:pPr>
        <w:spacing w:line="480" w:lineRule="exact"/>
        <w:ind w:firstLine="504" w:firstLineChars="200"/>
        <w:rPr>
          <w:rFonts w:ascii="宋体"/>
          <w:spacing w:val="6"/>
          <w:sz w:val="24"/>
          <w:highlight w:val="none"/>
        </w:rPr>
      </w:pPr>
    </w:p>
    <w:p>
      <w:pPr>
        <w:tabs>
          <w:tab w:val="left" w:pos="4860"/>
        </w:tabs>
        <w:spacing w:line="480" w:lineRule="exact"/>
        <w:ind w:right="1560" w:firstLine="504" w:firstLineChars="200"/>
        <w:jc w:val="center"/>
        <w:rPr>
          <w:rFonts w:ascii="宋体"/>
          <w:spacing w:val="6"/>
          <w:sz w:val="24"/>
          <w:highlight w:val="none"/>
        </w:rPr>
      </w:pPr>
      <w:r>
        <w:rPr>
          <w:rFonts w:ascii="宋体" w:hAnsi="宋体"/>
          <w:spacing w:val="6"/>
          <w:sz w:val="24"/>
          <w:highlight w:val="none"/>
        </w:rPr>
        <w:t xml:space="preserve">                 </w:t>
      </w:r>
      <w:r>
        <w:rPr>
          <w:rFonts w:hint="eastAsia" w:ascii="宋体" w:hAnsi="宋体"/>
          <w:spacing w:val="6"/>
          <w:sz w:val="24"/>
          <w:highlight w:val="none"/>
        </w:rPr>
        <w:t>单位名称（盖章）：</w:t>
      </w:r>
    </w:p>
    <w:p>
      <w:pPr>
        <w:tabs>
          <w:tab w:val="left" w:pos="4860"/>
        </w:tabs>
        <w:spacing w:line="480" w:lineRule="exact"/>
        <w:ind w:right="1560" w:firstLine="504" w:firstLineChars="200"/>
        <w:jc w:val="center"/>
        <w:rPr>
          <w:rFonts w:ascii="宋体"/>
          <w:spacing w:val="6"/>
          <w:sz w:val="24"/>
          <w:highlight w:val="none"/>
        </w:rPr>
      </w:pPr>
      <w:r>
        <w:rPr>
          <w:rFonts w:ascii="宋体" w:hAnsi="宋体"/>
          <w:spacing w:val="6"/>
          <w:sz w:val="24"/>
          <w:highlight w:val="none"/>
        </w:rPr>
        <w:t xml:space="preserve">         </w:t>
      </w:r>
      <w:r>
        <w:rPr>
          <w:rFonts w:hint="eastAsia" w:ascii="宋体" w:hAnsi="宋体"/>
          <w:spacing w:val="6"/>
          <w:sz w:val="24"/>
          <w:highlight w:val="none"/>
        </w:rPr>
        <w:t>日</w:t>
      </w:r>
      <w:r>
        <w:rPr>
          <w:rFonts w:ascii="宋体" w:hAnsi="宋体"/>
          <w:spacing w:val="6"/>
          <w:sz w:val="24"/>
          <w:highlight w:val="none"/>
        </w:rPr>
        <w:t xml:space="preserve">  </w:t>
      </w:r>
      <w:r>
        <w:rPr>
          <w:rFonts w:hint="eastAsia" w:ascii="宋体" w:hAnsi="宋体"/>
          <w:spacing w:val="6"/>
          <w:sz w:val="24"/>
          <w:highlight w:val="none"/>
        </w:rPr>
        <w:t>期：</w:t>
      </w:r>
    </w:p>
    <w:p>
      <w:pPr>
        <w:spacing w:line="480" w:lineRule="exact"/>
        <w:ind w:firstLine="504" w:firstLineChars="200"/>
        <w:rPr>
          <w:rFonts w:ascii="宋体"/>
          <w:spacing w:val="6"/>
          <w:sz w:val="24"/>
          <w:highlight w:val="none"/>
        </w:rPr>
      </w:pPr>
    </w:p>
    <w:p>
      <w:pPr>
        <w:spacing w:line="480" w:lineRule="exact"/>
        <w:ind w:firstLine="504" w:firstLineChars="200"/>
        <w:rPr>
          <w:rFonts w:ascii="宋体"/>
          <w:spacing w:val="6"/>
          <w:sz w:val="24"/>
          <w:highlight w:val="none"/>
        </w:rPr>
      </w:pPr>
      <w:r>
        <w:rPr>
          <w:rFonts w:hint="eastAsia" w:ascii="宋体" w:hAnsi="宋体"/>
          <w:color w:val="0D0D0D"/>
          <w:spacing w:val="6"/>
          <w:sz w:val="24"/>
          <w:highlight w:val="none"/>
        </w:rPr>
        <w:t>注：</w:t>
      </w:r>
      <w:r>
        <w:rPr>
          <w:rFonts w:ascii="宋体" w:hAnsi="宋体"/>
          <w:color w:val="0D0D0D"/>
          <w:spacing w:val="6"/>
          <w:sz w:val="24"/>
          <w:highlight w:val="none"/>
        </w:rPr>
        <w:t>1</w:t>
      </w:r>
      <w:r>
        <w:rPr>
          <w:rFonts w:hint="eastAsia" w:ascii="宋体" w:hAnsi="宋体"/>
          <w:color w:val="0D0D0D"/>
          <w:spacing w:val="6"/>
          <w:sz w:val="24"/>
          <w:highlight w:val="none"/>
        </w:rPr>
        <w:t>、</w:t>
      </w:r>
      <w:r>
        <w:rPr>
          <w:rFonts w:hint="eastAsia" w:ascii="宋体" w:hAnsi="宋体"/>
          <w:spacing w:val="6"/>
          <w:sz w:val="24"/>
          <w:highlight w:val="none"/>
        </w:rPr>
        <w:t>根据《财政部</w:t>
      </w:r>
      <w:r>
        <w:rPr>
          <w:rFonts w:ascii="宋体" w:hAnsi="宋体"/>
          <w:spacing w:val="6"/>
          <w:sz w:val="24"/>
          <w:highlight w:val="none"/>
        </w:rPr>
        <w:t xml:space="preserve"> </w:t>
      </w:r>
      <w:r>
        <w:rPr>
          <w:rFonts w:hint="eastAsia" w:ascii="宋体" w:hAnsi="宋体"/>
          <w:spacing w:val="6"/>
          <w:sz w:val="24"/>
          <w:highlight w:val="none"/>
        </w:rPr>
        <w:t>民政部</w:t>
      </w:r>
      <w:r>
        <w:rPr>
          <w:rFonts w:ascii="宋体" w:hAnsi="宋体"/>
          <w:spacing w:val="6"/>
          <w:sz w:val="24"/>
          <w:highlight w:val="none"/>
        </w:rPr>
        <w:t xml:space="preserve"> </w:t>
      </w:r>
      <w:r>
        <w:rPr>
          <w:rFonts w:hint="eastAsia" w:ascii="宋体" w:hAnsi="宋体"/>
          <w:spacing w:val="6"/>
          <w:sz w:val="24"/>
          <w:highlight w:val="none"/>
        </w:rPr>
        <w:t>中国残疾人联合会关于促进残疾人就业政府采购政策的通知》（财库</w:t>
      </w:r>
      <w:r>
        <w:rPr>
          <w:rFonts w:hint="eastAsia" w:ascii="宋体" w:hAnsi="宋体"/>
          <w:sz w:val="24"/>
          <w:highlight w:val="none"/>
        </w:rPr>
        <w:t>〔</w:t>
      </w:r>
      <w:r>
        <w:rPr>
          <w:rFonts w:ascii="宋体" w:hAnsi="宋体"/>
          <w:sz w:val="24"/>
          <w:highlight w:val="none"/>
        </w:rPr>
        <w:t>2018</w:t>
      </w:r>
      <w:r>
        <w:rPr>
          <w:rFonts w:hint="eastAsia" w:ascii="宋体" w:hAnsi="宋体"/>
          <w:sz w:val="24"/>
          <w:highlight w:val="none"/>
        </w:rPr>
        <w:t>〕</w:t>
      </w:r>
      <w:r>
        <w:rPr>
          <w:rFonts w:ascii="宋体" w:hAnsi="宋体"/>
          <w:sz w:val="24"/>
          <w:highlight w:val="none"/>
        </w:rPr>
        <w:t xml:space="preserve"> 141</w:t>
      </w:r>
      <w:r>
        <w:rPr>
          <w:rFonts w:hint="eastAsia" w:ascii="宋体" w:hAnsi="宋体"/>
          <w:spacing w:val="6"/>
          <w:sz w:val="24"/>
          <w:highlight w:val="none"/>
        </w:rPr>
        <w:t>号）第一条的规定：享受政府采购支持政策的残疾人福利性单位应当同时满足以下条件：</w:t>
      </w:r>
    </w:p>
    <w:p>
      <w:pPr>
        <w:spacing w:line="480" w:lineRule="exact"/>
        <w:ind w:firstLine="504" w:firstLineChars="200"/>
        <w:rPr>
          <w:rFonts w:ascii="宋体"/>
          <w:spacing w:val="6"/>
          <w:sz w:val="24"/>
          <w:highlight w:val="none"/>
        </w:rPr>
      </w:pPr>
      <w:r>
        <w:rPr>
          <w:rFonts w:hint="eastAsia" w:ascii="宋体" w:hAnsi="宋体"/>
          <w:spacing w:val="6"/>
          <w:sz w:val="24"/>
          <w:highlight w:val="none"/>
        </w:rPr>
        <w:t>（</w:t>
      </w:r>
      <w:r>
        <w:rPr>
          <w:rFonts w:ascii="宋体" w:hAnsi="宋体"/>
          <w:spacing w:val="6"/>
          <w:sz w:val="24"/>
          <w:highlight w:val="none"/>
        </w:rPr>
        <w:t>1</w:t>
      </w:r>
      <w:r>
        <w:rPr>
          <w:rFonts w:hint="eastAsia" w:ascii="宋体" w:hAnsi="宋体"/>
          <w:spacing w:val="6"/>
          <w:sz w:val="24"/>
          <w:highlight w:val="none"/>
        </w:rPr>
        <w:t>）安置的残疾人占本单位在职职工人数的比例不低于</w:t>
      </w:r>
      <w:r>
        <w:rPr>
          <w:rFonts w:ascii="宋体" w:hAnsi="宋体"/>
          <w:spacing w:val="6"/>
          <w:sz w:val="24"/>
          <w:highlight w:val="none"/>
        </w:rPr>
        <w:t>25%</w:t>
      </w:r>
      <w:r>
        <w:rPr>
          <w:rFonts w:hint="eastAsia" w:ascii="宋体" w:hAnsi="宋体"/>
          <w:spacing w:val="6"/>
          <w:sz w:val="24"/>
          <w:highlight w:val="none"/>
        </w:rPr>
        <w:t>（含</w:t>
      </w:r>
      <w:r>
        <w:rPr>
          <w:rFonts w:ascii="宋体" w:hAnsi="宋体"/>
          <w:spacing w:val="6"/>
          <w:sz w:val="24"/>
          <w:highlight w:val="none"/>
        </w:rPr>
        <w:t>25%</w:t>
      </w:r>
      <w:r>
        <w:rPr>
          <w:rFonts w:hint="eastAsia" w:ascii="宋体" w:hAnsi="宋体"/>
          <w:spacing w:val="6"/>
          <w:sz w:val="24"/>
          <w:highlight w:val="none"/>
        </w:rPr>
        <w:t>），并且安置的残疾人人数不少于</w:t>
      </w:r>
      <w:r>
        <w:rPr>
          <w:rFonts w:ascii="宋体" w:hAnsi="宋体"/>
          <w:spacing w:val="6"/>
          <w:sz w:val="24"/>
          <w:highlight w:val="none"/>
        </w:rPr>
        <w:t>10</w:t>
      </w:r>
      <w:r>
        <w:rPr>
          <w:rFonts w:hint="eastAsia" w:ascii="宋体" w:hAnsi="宋体"/>
          <w:spacing w:val="6"/>
          <w:sz w:val="24"/>
          <w:highlight w:val="none"/>
        </w:rPr>
        <w:t>人（含</w:t>
      </w:r>
      <w:r>
        <w:rPr>
          <w:rFonts w:ascii="宋体" w:hAnsi="宋体"/>
          <w:spacing w:val="6"/>
          <w:sz w:val="24"/>
          <w:highlight w:val="none"/>
        </w:rPr>
        <w:t>10</w:t>
      </w:r>
      <w:r>
        <w:rPr>
          <w:rFonts w:hint="eastAsia" w:ascii="宋体" w:hAnsi="宋体"/>
          <w:spacing w:val="6"/>
          <w:sz w:val="24"/>
          <w:highlight w:val="none"/>
        </w:rPr>
        <w:t>人）；</w:t>
      </w:r>
    </w:p>
    <w:p>
      <w:pPr>
        <w:spacing w:line="480" w:lineRule="exact"/>
        <w:ind w:firstLine="504" w:firstLineChars="200"/>
        <w:rPr>
          <w:rFonts w:ascii="宋体"/>
          <w:spacing w:val="6"/>
          <w:sz w:val="24"/>
          <w:highlight w:val="none"/>
        </w:rPr>
      </w:pPr>
      <w:r>
        <w:rPr>
          <w:rFonts w:hint="eastAsia" w:ascii="宋体" w:hAnsi="宋体"/>
          <w:spacing w:val="6"/>
          <w:sz w:val="24"/>
          <w:highlight w:val="none"/>
        </w:rPr>
        <w:t>（</w:t>
      </w:r>
      <w:r>
        <w:rPr>
          <w:rFonts w:ascii="宋体" w:hAnsi="宋体"/>
          <w:spacing w:val="6"/>
          <w:sz w:val="24"/>
          <w:highlight w:val="none"/>
        </w:rPr>
        <w:t>2</w:t>
      </w:r>
      <w:r>
        <w:rPr>
          <w:rFonts w:hint="eastAsia" w:ascii="宋体" w:hAnsi="宋体"/>
          <w:spacing w:val="6"/>
          <w:sz w:val="24"/>
          <w:highlight w:val="none"/>
        </w:rPr>
        <w:t>）依法与安置的每位残疾人签订了一年以上（含一年）的劳动合同或服务协议；</w:t>
      </w:r>
    </w:p>
    <w:p>
      <w:pPr>
        <w:spacing w:line="480" w:lineRule="exact"/>
        <w:ind w:firstLine="504" w:firstLineChars="200"/>
        <w:rPr>
          <w:rFonts w:ascii="宋体"/>
          <w:spacing w:val="6"/>
          <w:sz w:val="24"/>
          <w:highlight w:val="none"/>
        </w:rPr>
      </w:pPr>
      <w:r>
        <w:rPr>
          <w:rFonts w:hint="eastAsia" w:ascii="宋体" w:hAnsi="宋体"/>
          <w:spacing w:val="6"/>
          <w:sz w:val="24"/>
          <w:highlight w:val="none"/>
        </w:rPr>
        <w:t>（</w:t>
      </w:r>
      <w:r>
        <w:rPr>
          <w:rFonts w:ascii="宋体" w:hAnsi="宋体"/>
          <w:spacing w:val="6"/>
          <w:sz w:val="24"/>
          <w:highlight w:val="none"/>
        </w:rPr>
        <w:t>3</w:t>
      </w:r>
      <w:r>
        <w:rPr>
          <w:rFonts w:hint="eastAsia" w:ascii="宋体" w:hAnsi="宋体"/>
          <w:spacing w:val="6"/>
          <w:sz w:val="24"/>
          <w:highlight w:val="none"/>
        </w:rPr>
        <w:t>）为安置的每位残疾人按月足额缴纳了基本养老保险、基本医疗保险、失业保险、工伤保险和生育保险等社会保险费；</w:t>
      </w:r>
    </w:p>
    <w:p>
      <w:pPr>
        <w:spacing w:line="480" w:lineRule="exact"/>
        <w:ind w:firstLine="504" w:firstLineChars="200"/>
        <w:rPr>
          <w:rFonts w:ascii="宋体"/>
          <w:spacing w:val="6"/>
          <w:sz w:val="24"/>
          <w:highlight w:val="none"/>
        </w:rPr>
      </w:pPr>
      <w:r>
        <w:rPr>
          <w:rFonts w:hint="eastAsia" w:ascii="宋体" w:hAnsi="宋体"/>
          <w:spacing w:val="6"/>
          <w:sz w:val="24"/>
          <w:highlight w:val="none"/>
        </w:rPr>
        <w:t>（</w:t>
      </w:r>
      <w:r>
        <w:rPr>
          <w:rFonts w:ascii="宋体" w:hAnsi="宋体"/>
          <w:spacing w:val="6"/>
          <w:sz w:val="24"/>
          <w:highlight w:val="none"/>
        </w:rPr>
        <w:t>4</w:t>
      </w:r>
      <w:r>
        <w:rPr>
          <w:rFonts w:hint="eastAsia" w:ascii="宋体" w:hAnsi="宋体"/>
          <w:spacing w:val="6"/>
          <w:sz w:val="24"/>
          <w:highlight w:val="none"/>
        </w:rPr>
        <w:t>）通过银行等金融机构向安置的每位残疾人，按月支付了不低于单位所在区县适用的经省级人民政府批准的月最低工资标准的工资；</w:t>
      </w:r>
    </w:p>
    <w:p>
      <w:pPr>
        <w:spacing w:line="480" w:lineRule="exact"/>
        <w:ind w:firstLine="504" w:firstLineChars="200"/>
        <w:rPr>
          <w:rFonts w:ascii="宋体"/>
          <w:spacing w:val="6"/>
          <w:sz w:val="24"/>
          <w:highlight w:val="none"/>
        </w:rPr>
      </w:pPr>
      <w:r>
        <w:rPr>
          <w:rFonts w:hint="eastAsia" w:ascii="宋体" w:hAnsi="宋体"/>
          <w:spacing w:val="6"/>
          <w:sz w:val="24"/>
          <w:highlight w:val="none"/>
        </w:rPr>
        <w:t>（</w:t>
      </w:r>
      <w:r>
        <w:rPr>
          <w:rFonts w:ascii="宋体" w:hAnsi="宋体"/>
          <w:spacing w:val="6"/>
          <w:sz w:val="24"/>
          <w:highlight w:val="none"/>
        </w:rPr>
        <w:t>5</w:t>
      </w:r>
      <w:r>
        <w:rPr>
          <w:rFonts w:hint="eastAsia" w:ascii="宋体" w:hAnsi="宋体"/>
          <w:spacing w:val="6"/>
          <w:sz w:val="24"/>
          <w:highlight w:val="none"/>
        </w:rPr>
        <w:t>）提供本单位制造的货物、承担的工程或者服务（以下简称产品），或者提供其他残疾人福利性单位制造的货物（不包括使用非残疾人福利性单位注册商标的货物）。</w:t>
      </w:r>
    </w:p>
    <w:p>
      <w:pPr>
        <w:spacing w:line="480" w:lineRule="exact"/>
        <w:ind w:firstLine="504" w:firstLineChars="200"/>
        <w:rPr>
          <w:rFonts w:ascii="宋体"/>
          <w:spacing w:val="6"/>
          <w:sz w:val="24"/>
          <w:highlight w:val="none"/>
        </w:rPr>
      </w:pPr>
      <w:r>
        <w:rPr>
          <w:rFonts w:hint="eastAsia" w:ascii="宋体" w:hAnsi="宋体"/>
          <w:spacing w:val="6"/>
          <w:sz w:val="24"/>
          <w:highlight w:val="none"/>
        </w:rPr>
        <w:t>前款所称残疾人是指法定劳动年龄内，持有《中华人民共和国残疾人证》或者《中华人民共和国残疾军人证（</w:t>
      </w:r>
      <w:r>
        <w:rPr>
          <w:rFonts w:ascii="宋体" w:hAnsi="宋体"/>
          <w:spacing w:val="6"/>
          <w:sz w:val="24"/>
          <w:highlight w:val="none"/>
        </w:rPr>
        <w:t>1</w:t>
      </w:r>
      <w:r>
        <w:rPr>
          <w:rFonts w:hint="eastAsia" w:ascii="宋体" w:hAnsi="宋体"/>
          <w:spacing w:val="6"/>
          <w:sz w:val="24"/>
          <w:highlight w:val="none"/>
        </w:rPr>
        <w:t>至</w:t>
      </w:r>
      <w:r>
        <w:rPr>
          <w:rFonts w:ascii="宋体" w:hAnsi="宋体"/>
          <w:spacing w:val="6"/>
          <w:sz w:val="24"/>
          <w:highlight w:val="none"/>
        </w:rPr>
        <w:t>8</w:t>
      </w:r>
      <w:r>
        <w:rPr>
          <w:rFonts w:hint="eastAsia" w:ascii="宋体" w:hAnsi="宋体"/>
          <w:spacing w:val="6"/>
          <w:sz w:val="24"/>
          <w:highlight w:val="none"/>
        </w:rPr>
        <w:t>级）》的自然人，包括具有劳动条件和劳动意愿的精神残疾人。在职职工人数是指与残疾人福利性单位建立劳动关系并依法签订劳动合同或者服务协议的雇员人数。</w:t>
      </w:r>
    </w:p>
    <w:p>
      <w:pPr>
        <w:spacing w:line="480" w:lineRule="exact"/>
        <w:ind w:firstLine="630" w:firstLineChars="250"/>
        <w:rPr>
          <w:rFonts w:ascii="宋体"/>
          <w:color w:val="0D0D0D"/>
          <w:spacing w:val="6"/>
          <w:sz w:val="24"/>
          <w:highlight w:val="none"/>
        </w:rPr>
      </w:pPr>
      <w:r>
        <w:rPr>
          <w:rFonts w:ascii="宋体" w:hAnsi="宋体"/>
          <w:spacing w:val="6"/>
          <w:sz w:val="24"/>
          <w:highlight w:val="none"/>
        </w:rPr>
        <w:t>2</w:t>
      </w:r>
      <w:r>
        <w:rPr>
          <w:rFonts w:hint="eastAsia" w:ascii="宋体" w:hAnsi="宋体"/>
          <w:spacing w:val="6"/>
          <w:sz w:val="24"/>
          <w:highlight w:val="none"/>
        </w:rPr>
        <w:t>、根据《财政部</w:t>
      </w:r>
      <w:r>
        <w:rPr>
          <w:rFonts w:ascii="宋体" w:hAnsi="宋体"/>
          <w:spacing w:val="6"/>
          <w:sz w:val="24"/>
          <w:highlight w:val="none"/>
        </w:rPr>
        <w:t xml:space="preserve"> </w:t>
      </w:r>
      <w:r>
        <w:rPr>
          <w:rFonts w:hint="eastAsia" w:ascii="宋体" w:hAnsi="宋体"/>
          <w:spacing w:val="6"/>
          <w:sz w:val="24"/>
          <w:highlight w:val="none"/>
        </w:rPr>
        <w:t>民政部</w:t>
      </w:r>
      <w:r>
        <w:rPr>
          <w:rFonts w:ascii="宋体" w:hAnsi="宋体"/>
          <w:spacing w:val="6"/>
          <w:sz w:val="24"/>
          <w:highlight w:val="none"/>
        </w:rPr>
        <w:t xml:space="preserve"> </w:t>
      </w:r>
      <w:r>
        <w:rPr>
          <w:rFonts w:hint="eastAsia" w:ascii="宋体" w:hAnsi="宋体"/>
          <w:spacing w:val="6"/>
          <w:sz w:val="24"/>
          <w:highlight w:val="none"/>
        </w:rPr>
        <w:t>中国残疾人联合会关于促进残疾人就业政府采购政策的通知》（财库</w:t>
      </w:r>
      <w:r>
        <w:rPr>
          <w:rFonts w:hint="eastAsia" w:ascii="宋体" w:hAnsi="宋体"/>
          <w:sz w:val="24"/>
          <w:highlight w:val="none"/>
        </w:rPr>
        <w:t>〔</w:t>
      </w:r>
      <w:r>
        <w:rPr>
          <w:rFonts w:ascii="宋体" w:hAnsi="宋体"/>
          <w:sz w:val="24"/>
          <w:highlight w:val="none"/>
        </w:rPr>
        <w:t>2018</w:t>
      </w:r>
      <w:r>
        <w:rPr>
          <w:rFonts w:hint="eastAsia" w:ascii="宋体" w:hAnsi="宋体"/>
          <w:sz w:val="24"/>
          <w:highlight w:val="none"/>
        </w:rPr>
        <w:t>〕</w:t>
      </w:r>
      <w:r>
        <w:rPr>
          <w:rFonts w:ascii="宋体" w:hAnsi="宋体"/>
          <w:sz w:val="24"/>
          <w:highlight w:val="none"/>
        </w:rPr>
        <w:t xml:space="preserve"> 141</w:t>
      </w:r>
      <w:r>
        <w:rPr>
          <w:rFonts w:hint="eastAsia" w:ascii="宋体" w:hAnsi="宋体"/>
          <w:spacing w:val="6"/>
          <w:sz w:val="24"/>
          <w:highlight w:val="none"/>
        </w:rPr>
        <w:t>号）第二条的规定：供应商提供的《残疾人福利性单位声明函》与事实不符的，依照《政府采购法》第七十七条第一款的规定追究法律责任。</w:t>
      </w:r>
    </w:p>
    <w:p>
      <w:pPr>
        <w:spacing w:line="360" w:lineRule="auto"/>
        <w:jc w:val="center"/>
        <w:outlineLvl w:val="0"/>
        <w:rPr>
          <w:rFonts w:ascii="黑体" w:hAnsi="Arial" w:eastAsia="黑体"/>
          <w:sz w:val="30"/>
          <w:szCs w:val="30"/>
          <w:highlight w:val="none"/>
          <w:lang w:val="zh-CN"/>
        </w:rPr>
      </w:pPr>
      <w:bookmarkStart w:id="205" w:name="_GoBack"/>
      <w:bookmarkEnd w:id="205"/>
      <w:r>
        <w:rPr>
          <w:rFonts w:ascii="宋体"/>
          <w:highlight w:val="none"/>
        </w:rPr>
        <w:br w:type="page"/>
      </w:r>
      <w:r>
        <w:rPr>
          <w:rFonts w:hint="eastAsia" w:ascii="宋体" w:hAnsi="宋体"/>
          <w:b/>
          <w:sz w:val="28"/>
          <w:highlight w:val="none"/>
        </w:rPr>
        <w:t>格式</w:t>
      </w:r>
      <w:r>
        <w:rPr>
          <w:rFonts w:ascii="宋体" w:hAnsi="宋体"/>
          <w:b/>
          <w:sz w:val="28"/>
          <w:highlight w:val="none"/>
        </w:rPr>
        <w:t xml:space="preserve">8  </w:t>
      </w:r>
      <w:r>
        <w:rPr>
          <w:rFonts w:hint="eastAsia" w:ascii="黑体" w:hAnsi="Arial" w:eastAsia="黑体"/>
          <w:sz w:val="30"/>
          <w:szCs w:val="30"/>
          <w:highlight w:val="none"/>
          <w:lang w:val="zh-CN"/>
        </w:rPr>
        <w:t>投标人同类项目实施情况一览表</w:t>
      </w:r>
    </w:p>
    <w:p>
      <w:pPr>
        <w:autoSpaceDE w:val="0"/>
        <w:autoSpaceDN w:val="0"/>
        <w:jc w:val="center"/>
        <w:rPr>
          <w:rFonts w:ascii="宋体" w:hAnsi="Arial"/>
          <w:sz w:val="28"/>
          <w:highlight w:val="none"/>
          <w:lang w:val="zh-CN"/>
        </w:rPr>
      </w:pPr>
    </w:p>
    <w:p>
      <w:pPr>
        <w:autoSpaceDE w:val="0"/>
        <w:autoSpaceDN w:val="0"/>
        <w:spacing w:after="240"/>
        <w:rPr>
          <w:rFonts w:ascii="宋体" w:cs="宋体"/>
          <w:highlight w:val="none"/>
          <w:u w:val="single"/>
        </w:rPr>
      </w:pPr>
      <w:r>
        <w:rPr>
          <w:rFonts w:hint="eastAsia" w:ascii="宋体" w:hAnsi="宋体" w:cs="宋体"/>
          <w:sz w:val="24"/>
          <w:highlight w:val="none"/>
          <w:lang w:val="zh-CN"/>
        </w:rPr>
        <w:t>项目名称：</w:t>
      </w:r>
      <w:r>
        <w:rPr>
          <w:rFonts w:ascii="宋体" w:hAnsi="宋体" w:cs="宋体"/>
          <w:sz w:val="24"/>
          <w:highlight w:val="none"/>
          <w:u w:val="single"/>
          <w:lang w:val="zh-CN"/>
        </w:rPr>
        <w:t xml:space="preserve">                           </w:t>
      </w:r>
      <w:r>
        <w:rPr>
          <w:rFonts w:ascii="宋体" w:hAnsi="宋体" w:cs="宋体"/>
          <w:sz w:val="24"/>
          <w:highlight w:val="none"/>
          <w:lang w:val="zh-CN"/>
        </w:rPr>
        <w:t xml:space="preserve"> </w:t>
      </w:r>
    </w:p>
    <w:tbl>
      <w:tblPr>
        <w:tblStyle w:val="49"/>
        <w:tblW w:w="98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9"/>
        <w:gridCol w:w="1971"/>
        <w:gridCol w:w="815"/>
        <w:gridCol w:w="874"/>
        <w:gridCol w:w="1269"/>
        <w:gridCol w:w="1049"/>
        <w:gridCol w:w="1063"/>
        <w:gridCol w:w="1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1" w:hRule="atLeast"/>
          <w:jc w:val="center"/>
        </w:trPr>
        <w:tc>
          <w:tcPr>
            <w:tcW w:w="1269" w:type="dxa"/>
            <w:vMerge w:val="restart"/>
            <w:vAlign w:val="center"/>
          </w:tcPr>
          <w:p>
            <w:pPr>
              <w:autoSpaceDE w:val="0"/>
              <w:autoSpaceDN w:val="0"/>
              <w:snapToGrid w:val="0"/>
              <w:jc w:val="center"/>
              <w:rPr>
                <w:rFonts w:ascii="宋体" w:cs="宋体"/>
                <w:sz w:val="24"/>
                <w:highlight w:val="none"/>
              </w:rPr>
            </w:pPr>
            <w:r>
              <w:rPr>
                <w:rFonts w:hint="eastAsia" w:ascii="宋体" w:hAnsi="宋体" w:cs="宋体"/>
                <w:sz w:val="24"/>
                <w:highlight w:val="none"/>
              </w:rPr>
              <w:t>招标采购单位名称</w:t>
            </w:r>
          </w:p>
        </w:tc>
        <w:tc>
          <w:tcPr>
            <w:tcW w:w="1971" w:type="dxa"/>
            <w:vMerge w:val="restart"/>
            <w:vAlign w:val="center"/>
          </w:tcPr>
          <w:p>
            <w:pPr>
              <w:autoSpaceDE w:val="0"/>
              <w:autoSpaceDN w:val="0"/>
              <w:snapToGrid w:val="0"/>
              <w:jc w:val="center"/>
              <w:rPr>
                <w:rFonts w:ascii="宋体" w:cs="宋体"/>
                <w:sz w:val="24"/>
                <w:highlight w:val="none"/>
              </w:rPr>
            </w:pPr>
            <w:r>
              <w:rPr>
                <w:rFonts w:hint="eastAsia" w:ascii="宋体" w:hAnsi="宋体" w:cs="宋体"/>
                <w:sz w:val="24"/>
                <w:highlight w:val="none"/>
              </w:rPr>
              <w:t>项目名称</w:t>
            </w:r>
          </w:p>
        </w:tc>
        <w:tc>
          <w:tcPr>
            <w:tcW w:w="815" w:type="dxa"/>
            <w:vMerge w:val="restart"/>
            <w:vAlign w:val="center"/>
          </w:tcPr>
          <w:p>
            <w:pPr>
              <w:autoSpaceDE w:val="0"/>
              <w:autoSpaceDN w:val="0"/>
              <w:snapToGrid w:val="0"/>
              <w:jc w:val="center"/>
              <w:rPr>
                <w:rFonts w:ascii="宋体" w:cs="宋体"/>
                <w:sz w:val="24"/>
                <w:highlight w:val="none"/>
              </w:rPr>
            </w:pPr>
            <w:r>
              <w:rPr>
                <w:rFonts w:hint="eastAsia" w:ascii="宋体" w:hAnsi="宋体" w:cs="宋体"/>
                <w:sz w:val="24"/>
                <w:highlight w:val="none"/>
              </w:rPr>
              <w:t>采购数量</w:t>
            </w:r>
          </w:p>
        </w:tc>
        <w:tc>
          <w:tcPr>
            <w:tcW w:w="874" w:type="dxa"/>
            <w:vMerge w:val="restart"/>
            <w:vAlign w:val="center"/>
          </w:tcPr>
          <w:p>
            <w:pPr>
              <w:autoSpaceDE w:val="0"/>
              <w:autoSpaceDN w:val="0"/>
              <w:snapToGrid w:val="0"/>
              <w:jc w:val="center"/>
              <w:rPr>
                <w:rFonts w:ascii="宋体" w:cs="宋体"/>
                <w:sz w:val="24"/>
                <w:highlight w:val="none"/>
              </w:rPr>
            </w:pPr>
            <w:r>
              <w:rPr>
                <w:rFonts w:hint="eastAsia" w:ascii="宋体" w:hAnsi="宋体" w:cs="宋体"/>
                <w:sz w:val="24"/>
                <w:highlight w:val="none"/>
              </w:rPr>
              <w:t>单价</w:t>
            </w:r>
          </w:p>
        </w:tc>
        <w:tc>
          <w:tcPr>
            <w:tcW w:w="1269" w:type="dxa"/>
            <w:vMerge w:val="restart"/>
            <w:vAlign w:val="center"/>
          </w:tcPr>
          <w:p>
            <w:pPr>
              <w:autoSpaceDE w:val="0"/>
              <w:autoSpaceDN w:val="0"/>
              <w:snapToGrid w:val="0"/>
              <w:jc w:val="center"/>
              <w:rPr>
                <w:rFonts w:ascii="宋体" w:cs="宋体"/>
                <w:sz w:val="24"/>
                <w:highlight w:val="none"/>
              </w:rPr>
            </w:pPr>
            <w:r>
              <w:rPr>
                <w:rFonts w:hint="eastAsia" w:ascii="宋体" w:hAnsi="宋体" w:cs="宋体"/>
                <w:sz w:val="24"/>
                <w:highlight w:val="none"/>
              </w:rPr>
              <w:t>合同</w:t>
            </w:r>
          </w:p>
          <w:p>
            <w:pPr>
              <w:autoSpaceDE w:val="0"/>
              <w:autoSpaceDN w:val="0"/>
              <w:snapToGrid w:val="0"/>
              <w:jc w:val="center"/>
              <w:rPr>
                <w:rFonts w:ascii="宋体" w:cs="宋体"/>
                <w:sz w:val="24"/>
                <w:highlight w:val="none"/>
              </w:rPr>
            </w:pPr>
            <w:r>
              <w:rPr>
                <w:rFonts w:hint="eastAsia" w:ascii="宋体" w:hAnsi="宋体" w:cs="宋体"/>
                <w:sz w:val="24"/>
                <w:highlight w:val="none"/>
              </w:rPr>
              <w:t>金额</w:t>
            </w:r>
          </w:p>
          <w:p>
            <w:pPr>
              <w:autoSpaceDE w:val="0"/>
              <w:autoSpaceDN w:val="0"/>
              <w:snapToGrid w:val="0"/>
              <w:jc w:val="center"/>
              <w:rPr>
                <w:rFonts w:ascii="宋体" w:cs="宋体"/>
                <w:sz w:val="24"/>
                <w:highlight w:val="none"/>
              </w:rPr>
            </w:pPr>
            <w:r>
              <w:rPr>
                <w:rFonts w:hint="eastAsia" w:ascii="宋体" w:hAnsi="宋体" w:cs="宋体"/>
                <w:sz w:val="24"/>
                <w:highlight w:val="none"/>
              </w:rPr>
              <w:t>（万元）</w:t>
            </w:r>
          </w:p>
        </w:tc>
        <w:tc>
          <w:tcPr>
            <w:tcW w:w="2112" w:type="dxa"/>
            <w:gridSpan w:val="2"/>
          </w:tcPr>
          <w:p>
            <w:pPr>
              <w:autoSpaceDE w:val="0"/>
              <w:autoSpaceDN w:val="0"/>
              <w:snapToGrid w:val="0"/>
              <w:jc w:val="center"/>
              <w:rPr>
                <w:rFonts w:ascii="宋体" w:cs="宋体"/>
                <w:sz w:val="24"/>
                <w:highlight w:val="none"/>
              </w:rPr>
            </w:pPr>
            <w:r>
              <w:rPr>
                <w:rFonts w:hint="eastAsia" w:ascii="宋体" w:hAnsi="宋体" w:cs="宋体"/>
                <w:sz w:val="24"/>
                <w:highlight w:val="none"/>
              </w:rPr>
              <w:t>附件页码</w:t>
            </w:r>
          </w:p>
        </w:tc>
        <w:tc>
          <w:tcPr>
            <w:tcW w:w="1550" w:type="dxa"/>
            <w:vMerge w:val="restart"/>
            <w:vAlign w:val="center"/>
          </w:tcPr>
          <w:p>
            <w:pPr>
              <w:autoSpaceDE w:val="0"/>
              <w:autoSpaceDN w:val="0"/>
              <w:snapToGrid w:val="0"/>
              <w:jc w:val="center"/>
              <w:rPr>
                <w:rFonts w:ascii="宋体" w:cs="宋体"/>
                <w:sz w:val="24"/>
                <w:highlight w:val="none"/>
              </w:rPr>
            </w:pPr>
            <w:r>
              <w:rPr>
                <w:rFonts w:hint="eastAsia" w:ascii="宋体" w:hAnsi="宋体" w:cs="宋体"/>
                <w:sz w:val="24"/>
                <w:highlight w:val="none"/>
              </w:rPr>
              <w:t>招标采购单位联系人及电话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jc w:val="center"/>
        </w:trPr>
        <w:tc>
          <w:tcPr>
            <w:tcW w:w="1269" w:type="dxa"/>
            <w:vMerge w:val="continue"/>
          </w:tcPr>
          <w:p>
            <w:pPr>
              <w:autoSpaceDE w:val="0"/>
              <w:autoSpaceDN w:val="0"/>
              <w:snapToGrid w:val="0"/>
              <w:rPr>
                <w:rFonts w:ascii="宋体" w:cs="宋体"/>
                <w:highlight w:val="none"/>
              </w:rPr>
            </w:pPr>
          </w:p>
        </w:tc>
        <w:tc>
          <w:tcPr>
            <w:tcW w:w="1971" w:type="dxa"/>
            <w:vMerge w:val="continue"/>
          </w:tcPr>
          <w:p>
            <w:pPr>
              <w:autoSpaceDE w:val="0"/>
              <w:autoSpaceDN w:val="0"/>
              <w:snapToGrid w:val="0"/>
              <w:rPr>
                <w:rFonts w:ascii="宋体" w:cs="宋体"/>
                <w:highlight w:val="none"/>
              </w:rPr>
            </w:pPr>
          </w:p>
        </w:tc>
        <w:tc>
          <w:tcPr>
            <w:tcW w:w="815" w:type="dxa"/>
            <w:vMerge w:val="continue"/>
          </w:tcPr>
          <w:p>
            <w:pPr>
              <w:autoSpaceDE w:val="0"/>
              <w:autoSpaceDN w:val="0"/>
              <w:snapToGrid w:val="0"/>
              <w:rPr>
                <w:rFonts w:ascii="宋体" w:cs="宋体"/>
                <w:highlight w:val="none"/>
              </w:rPr>
            </w:pPr>
          </w:p>
        </w:tc>
        <w:tc>
          <w:tcPr>
            <w:tcW w:w="874" w:type="dxa"/>
            <w:vMerge w:val="continue"/>
          </w:tcPr>
          <w:p>
            <w:pPr>
              <w:autoSpaceDE w:val="0"/>
              <w:autoSpaceDN w:val="0"/>
              <w:snapToGrid w:val="0"/>
              <w:rPr>
                <w:rFonts w:ascii="宋体" w:cs="宋体"/>
                <w:highlight w:val="none"/>
              </w:rPr>
            </w:pPr>
          </w:p>
        </w:tc>
        <w:tc>
          <w:tcPr>
            <w:tcW w:w="1269" w:type="dxa"/>
            <w:vMerge w:val="continue"/>
          </w:tcPr>
          <w:p>
            <w:pPr>
              <w:autoSpaceDE w:val="0"/>
              <w:autoSpaceDN w:val="0"/>
              <w:snapToGrid w:val="0"/>
              <w:rPr>
                <w:rFonts w:ascii="宋体" w:cs="宋体"/>
                <w:highlight w:val="none"/>
              </w:rPr>
            </w:pPr>
          </w:p>
        </w:tc>
        <w:tc>
          <w:tcPr>
            <w:tcW w:w="1049" w:type="dxa"/>
            <w:vAlign w:val="center"/>
          </w:tcPr>
          <w:p>
            <w:pPr>
              <w:autoSpaceDE w:val="0"/>
              <w:autoSpaceDN w:val="0"/>
              <w:snapToGrid w:val="0"/>
              <w:jc w:val="center"/>
              <w:rPr>
                <w:rFonts w:ascii="宋体" w:cs="宋体"/>
                <w:highlight w:val="none"/>
              </w:rPr>
            </w:pPr>
            <w:r>
              <w:rPr>
                <w:rFonts w:hint="eastAsia" w:ascii="宋体" w:hAnsi="宋体" w:cs="宋体"/>
                <w:highlight w:val="none"/>
              </w:rPr>
              <w:t>合同</w:t>
            </w:r>
          </w:p>
        </w:tc>
        <w:tc>
          <w:tcPr>
            <w:tcW w:w="1063" w:type="dxa"/>
            <w:vAlign w:val="center"/>
          </w:tcPr>
          <w:p>
            <w:pPr>
              <w:autoSpaceDE w:val="0"/>
              <w:autoSpaceDN w:val="0"/>
              <w:snapToGrid w:val="0"/>
              <w:jc w:val="center"/>
              <w:rPr>
                <w:rFonts w:ascii="宋体" w:cs="宋体"/>
                <w:highlight w:val="none"/>
              </w:rPr>
            </w:pPr>
            <w:r>
              <w:rPr>
                <w:rFonts w:hint="eastAsia" w:ascii="宋体" w:hAnsi="宋体" w:cs="宋体"/>
                <w:highlight w:val="none"/>
              </w:rPr>
              <w:t>服务验收报告</w:t>
            </w:r>
          </w:p>
        </w:tc>
        <w:tc>
          <w:tcPr>
            <w:tcW w:w="1550" w:type="dxa"/>
            <w:vMerge w:val="continue"/>
          </w:tcPr>
          <w:p>
            <w:pPr>
              <w:autoSpaceDE w:val="0"/>
              <w:autoSpaceDN w:val="0"/>
              <w:snapToGrid w:val="0"/>
              <w:rPr>
                <w:rFonts w:asci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269" w:type="dxa"/>
          </w:tcPr>
          <w:p>
            <w:pPr>
              <w:autoSpaceDE w:val="0"/>
              <w:autoSpaceDN w:val="0"/>
              <w:snapToGrid w:val="0"/>
              <w:rPr>
                <w:rFonts w:ascii="宋体" w:cs="宋体"/>
                <w:highlight w:val="none"/>
              </w:rPr>
            </w:pPr>
          </w:p>
        </w:tc>
        <w:tc>
          <w:tcPr>
            <w:tcW w:w="1971" w:type="dxa"/>
          </w:tcPr>
          <w:p>
            <w:pPr>
              <w:autoSpaceDE w:val="0"/>
              <w:autoSpaceDN w:val="0"/>
              <w:snapToGrid w:val="0"/>
              <w:rPr>
                <w:rFonts w:ascii="宋体" w:cs="宋体"/>
                <w:highlight w:val="none"/>
              </w:rPr>
            </w:pPr>
          </w:p>
        </w:tc>
        <w:tc>
          <w:tcPr>
            <w:tcW w:w="815" w:type="dxa"/>
          </w:tcPr>
          <w:p>
            <w:pPr>
              <w:autoSpaceDE w:val="0"/>
              <w:autoSpaceDN w:val="0"/>
              <w:snapToGrid w:val="0"/>
              <w:rPr>
                <w:rFonts w:ascii="宋体" w:cs="宋体"/>
                <w:highlight w:val="none"/>
              </w:rPr>
            </w:pPr>
          </w:p>
        </w:tc>
        <w:tc>
          <w:tcPr>
            <w:tcW w:w="874" w:type="dxa"/>
          </w:tcPr>
          <w:p>
            <w:pPr>
              <w:autoSpaceDE w:val="0"/>
              <w:autoSpaceDN w:val="0"/>
              <w:snapToGrid w:val="0"/>
              <w:rPr>
                <w:rFonts w:ascii="宋体" w:cs="宋体"/>
                <w:highlight w:val="none"/>
              </w:rPr>
            </w:pPr>
          </w:p>
        </w:tc>
        <w:tc>
          <w:tcPr>
            <w:tcW w:w="1269" w:type="dxa"/>
          </w:tcPr>
          <w:p>
            <w:pPr>
              <w:autoSpaceDE w:val="0"/>
              <w:autoSpaceDN w:val="0"/>
              <w:snapToGrid w:val="0"/>
              <w:rPr>
                <w:rFonts w:ascii="宋体" w:cs="宋体"/>
                <w:highlight w:val="none"/>
              </w:rPr>
            </w:pPr>
          </w:p>
        </w:tc>
        <w:tc>
          <w:tcPr>
            <w:tcW w:w="1049" w:type="dxa"/>
          </w:tcPr>
          <w:p>
            <w:pPr>
              <w:autoSpaceDE w:val="0"/>
              <w:autoSpaceDN w:val="0"/>
              <w:snapToGrid w:val="0"/>
              <w:rPr>
                <w:rFonts w:ascii="宋体" w:cs="宋体"/>
                <w:highlight w:val="none"/>
              </w:rPr>
            </w:pPr>
          </w:p>
        </w:tc>
        <w:tc>
          <w:tcPr>
            <w:tcW w:w="1063" w:type="dxa"/>
          </w:tcPr>
          <w:p>
            <w:pPr>
              <w:autoSpaceDE w:val="0"/>
              <w:autoSpaceDN w:val="0"/>
              <w:snapToGrid w:val="0"/>
              <w:rPr>
                <w:rFonts w:ascii="宋体" w:cs="宋体"/>
                <w:highlight w:val="none"/>
              </w:rPr>
            </w:pPr>
          </w:p>
        </w:tc>
        <w:tc>
          <w:tcPr>
            <w:tcW w:w="1550" w:type="dxa"/>
          </w:tcPr>
          <w:p>
            <w:pPr>
              <w:autoSpaceDE w:val="0"/>
              <w:autoSpaceDN w:val="0"/>
              <w:snapToGrid w:val="0"/>
              <w:rPr>
                <w:rFonts w:asci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jc w:val="center"/>
        </w:trPr>
        <w:tc>
          <w:tcPr>
            <w:tcW w:w="1269" w:type="dxa"/>
          </w:tcPr>
          <w:p>
            <w:pPr>
              <w:autoSpaceDE w:val="0"/>
              <w:autoSpaceDN w:val="0"/>
              <w:snapToGrid w:val="0"/>
              <w:rPr>
                <w:rFonts w:ascii="宋体" w:cs="宋体"/>
                <w:highlight w:val="none"/>
              </w:rPr>
            </w:pPr>
          </w:p>
        </w:tc>
        <w:tc>
          <w:tcPr>
            <w:tcW w:w="1971" w:type="dxa"/>
          </w:tcPr>
          <w:p>
            <w:pPr>
              <w:autoSpaceDE w:val="0"/>
              <w:autoSpaceDN w:val="0"/>
              <w:snapToGrid w:val="0"/>
              <w:rPr>
                <w:rFonts w:ascii="宋体" w:cs="宋体"/>
                <w:highlight w:val="none"/>
              </w:rPr>
            </w:pPr>
          </w:p>
        </w:tc>
        <w:tc>
          <w:tcPr>
            <w:tcW w:w="815" w:type="dxa"/>
          </w:tcPr>
          <w:p>
            <w:pPr>
              <w:autoSpaceDE w:val="0"/>
              <w:autoSpaceDN w:val="0"/>
              <w:snapToGrid w:val="0"/>
              <w:rPr>
                <w:rFonts w:ascii="宋体" w:cs="宋体"/>
                <w:highlight w:val="none"/>
              </w:rPr>
            </w:pPr>
          </w:p>
        </w:tc>
        <w:tc>
          <w:tcPr>
            <w:tcW w:w="874" w:type="dxa"/>
          </w:tcPr>
          <w:p>
            <w:pPr>
              <w:autoSpaceDE w:val="0"/>
              <w:autoSpaceDN w:val="0"/>
              <w:snapToGrid w:val="0"/>
              <w:rPr>
                <w:rFonts w:ascii="宋体" w:cs="宋体"/>
                <w:highlight w:val="none"/>
              </w:rPr>
            </w:pPr>
          </w:p>
        </w:tc>
        <w:tc>
          <w:tcPr>
            <w:tcW w:w="1269" w:type="dxa"/>
          </w:tcPr>
          <w:p>
            <w:pPr>
              <w:autoSpaceDE w:val="0"/>
              <w:autoSpaceDN w:val="0"/>
              <w:snapToGrid w:val="0"/>
              <w:rPr>
                <w:rFonts w:ascii="宋体" w:cs="宋体"/>
                <w:highlight w:val="none"/>
              </w:rPr>
            </w:pPr>
          </w:p>
        </w:tc>
        <w:tc>
          <w:tcPr>
            <w:tcW w:w="1049" w:type="dxa"/>
          </w:tcPr>
          <w:p>
            <w:pPr>
              <w:autoSpaceDE w:val="0"/>
              <w:autoSpaceDN w:val="0"/>
              <w:snapToGrid w:val="0"/>
              <w:rPr>
                <w:rFonts w:ascii="宋体" w:cs="宋体"/>
                <w:highlight w:val="none"/>
              </w:rPr>
            </w:pPr>
          </w:p>
        </w:tc>
        <w:tc>
          <w:tcPr>
            <w:tcW w:w="1063" w:type="dxa"/>
          </w:tcPr>
          <w:p>
            <w:pPr>
              <w:autoSpaceDE w:val="0"/>
              <w:autoSpaceDN w:val="0"/>
              <w:snapToGrid w:val="0"/>
              <w:rPr>
                <w:rFonts w:ascii="宋体" w:cs="宋体"/>
                <w:highlight w:val="none"/>
              </w:rPr>
            </w:pPr>
          </w:p>
        </w:tc>
        <w:tc>
          <w:tcPr>
            <w:tcW w:w="1550" w:type="dxa"/>
          </w:tcPr>
          <w:p>
            <w:pPr>
              <w:autoSpaceDE w:val="0"/>
              <w:autoSpaceDN w:val="0"/>
              <w:snapToGrid w:val="0"/>
              <w:rPr>
                <w:rFonts w:asci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jc w:val="center"/>
        </w:trPr>
        <w:tc>
          <w:tcPr>
            <w:tcW w:w="1269" w:type="dxa"/>
          </w:tcPr>
          <w:p>
            <w:pPr>
              <w:autoSpaceDE w:val="0"/>
              <w:autoSpaceDN w:val="0"/>
              <w:snapToGrid w:val="0"/>
              <w:rPr>
                <w:rFonts w:ascii="宋体" w:cs="宋体"/>
                <w:highlight w:val="none"/>
              </w:rPr>
            </w:pPr>
          </w:p>
        </w:tc>
        <w:tc>
          <w:tcPr>
            <w:tcW w:w="1971" w:type="dxa"/>
          </w:tcPr>
          <w:p>
            <w:pPr>
              <w:autoSpaceDE w:val="0"/>
              <w:autoSpaceDN w:val="0"/>
              <w:snapToGrid w:val="0"/>
              <w:rPr>
                <w:rFonts w:ascii="宋体" w:cs="宋体"/>
                <w:highlight w:val="none"/>
              </w:rPr>
            </w:pPr>
          </w:p>
        </w:tc>
        <w:tc>
          <w:tcPr>
            <w:tcW w:w="815" w:type="dxa"/>
          </w:tcPr>
          <w:p>
            <w:pPr>
              <w:autoSpaceDE w:val="0"/>
              <w:autoSpaceDN w:val="0"/>
              <w:snapToGrid w:val="0"/>
              <w:rPr>
                <w:rFonts w:ascii="宋体" w:cs="宋体"/>
                <w:highlight w:val="none"/>
              </w:rPr>
            </w:pPr>
          </w:p>
        </w:tc>
        <w:tc>
          <w:tcPr>
            <w:tcW w:w="874" w:type="dxa"/>
          </w:tcPr>
          <w:p>
            <w:pPr>
              <w:autoSpaceDE w:val="0"/>
              <w:autoSpaceDN w:val="0"/>
              <w:snapToGrid w:val="0"/>
              <w:rPr>
                <w:rFonts w:ascii="宋体" w:cs="宋体"/>
                <w:highlight w:val="none"/>
              </w:rPr>
            </w:pPr>
          </w:p>
        </w:tc>
        <w:tc>
          <w:tcPr>
            <w:tcW w:w="1269" w:type="dxa"/>
          </w:tcPr>
          <w:p>
            <w:pPr>
              <w:autoSpaceDE w:val="0"/>
              <w:autoSpaceDN w:val="0"/>
              <w:snapToGrid w:val="0"/>
              <w:rPr>
                <w:rFonts w:ascii="宋体" w:cs="宋体"/>
                <w:highlight w:val="none"/>
              </w:rPr>
            </w:pPr>
          </w:p>
        </w:tc>
        <w:tc>
          <w:tcPr>
            <w:tcW w:w="1049" w:type="dxa"/>
          </w:tcPr>
          <w:p>
            <w:pPr>
              <w:autoSpaceDE w:val="0"/>
              <w:autoSpaceDN w:val="0"/>
              <w:snapToGrid w:val="0"/>
              <w:rPr>
                <w:rFonts w:ascii="宋体" w:cs="宋体"/>
                <w:highlight w:val="none"/>
              </w:rPr>
            </w:pPr>
          </w:p>
        </w:tc>
        <w:tc>
          <w:tcPr>
            <w:tcW w:w="1063" w:type="dxa"/>
          </w:tcPr>
          <w:p>
            <w:pPr>
              <w:autoSpaceDE w:val="0"/>
              <w:autoSpaceDN w:val="0"/>
              <w:snapToGrid w:val="0"/>
              <w:rPr>
                <w:rFonts w:ascii="宋体" w:cs="宋体"/>
                <w:highlight w:val="none"/>
              </w:rPr>
            </w:pPr>
          </w:p>
        </w:tc>
        <w:tc>
          <w:tcPr>
            <w:tcW w:w="1550" w:type="dxa"/>
          </w:tcPr>
          <w:p>
            <w:pPr>
              <w:autoSpaceDE w:val="0"/>
              <w:autoSpaceDN w:val="0"/>
              <w:snapToGrid w:val="0"/>
              <w:rPr>
                <w:rFonts w:asci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jc w:val="center"/>
        </w:trPr>
        <w:tc>
          <w:tcPr>
            <w:tcW w:w="1269" w:type="dxa"/>
          </w:tcPr>
          <w:p>
            <w:pPr>
              <w:autoSpaceDE w:val="0"/>
              <w:autoSpaceDN w:val="0"/>
              <w:snapToGrid w:val="0"/>
              <w:rPr>
                <w:rFonts w:ascii="宋体" w:cs="宋体"/>
                <w:highlight w:val="none"/>
              </w:rPr>
            </w:pPr>
          </w:p>
        </w:tc>
        <w:tc>
          <w:tcPr>
            <w:tcW w:w="1971" w:type="dxa"/>
          </w:tcPr>
          <w:p>
            <w:pPr>
              <w:autoSpaceDE w:val="0"/>
              <w:autoSpaceDN w:val="0"/>
              <w:snapToGrid w:val="0"/>
              <w:rPr>
                <w:rFonts w:ascii="宋体" w:cs="宋体"/>
                <w:highlight w:val="none"/>
              </w:rPr>
            </w:pPr>
          </w:p>
        </w:tc>
        <w:tc>
          <w:tcPr>
            <w:tcW w:w="815" w:type="dxa"/>
          </w:tcPr>
          <w:p>
            <w:pPr>
              <w:autoSpaceDE w:val="0"/>
              <w:autoSpaceDN w:val="0"/>
              <w:snapToGrid w:val="0"/>
              <w:rPr>
                <w:rFonts w:ascii="宋体" w:cs="宋体"/>
                <w:highlight w:val="none"/>
              </w:rPr>
            </w:pPr>
          </w:p>
        </w:tc>
        <w:tc>
          <w:tcPr>
            <w:tcW w:w="874" w:type="dxa"/>
          </w:tcPr>
          <w:p>
            <w:pPr>
              <w:autoSpaceDE w:val="0"/>
              <w:autoSpaceDN w:val="0"/>
              <w:snapToGrid w:val="0"/>
              <w:rPr>
                <w:rFonts w:ascii="宋体" w:cs="宋体"/>
                <w:highlight w:val="none"/>
              </w:rPr>
            </w:pPr>
          </w:p>
        </w:tc>
        <w:tc>
          <w:tcPr>
            <w:tcW w:w="1269" w:type="dxa"/>
          </w:tcPr>
          <w:p>
            <w:pPr>
              <w:autoSpaceDE w:val="0"/>
              <w:autoSpaceDN w:val="0"/>
              <w:snapToGrid w:val="0"/>
              <w:rPr>
                <w:rFonts w:ascii="宋体" w:cs="宋体"/>
                <w:highlight w:val="none"/>
              </w:rPr>
            </w:pPr>
          </w:p>
        </w:tc>
        <w:tc>
          <w:tcPr>
            <w:tcW w:w="1049" w:type="dxa"/>
          </w:tcPr>
          <w:p>
            <w:pPr>
              <w:autoSpaceDE w:val="0"/>
              <w:autoSpaceDN w:val="0"/>
              <w:snapToGrid w:val="0"/>
              <w:rPr>
                <w:rFonts w:ascii="宋体" w:cs="宋体"/>
                <w:highlight w:val="none"/>
              </w:rPr>
            </w:pPr>
          </w:p>
        </w:tc>
        <w:tc>
          <w:tcPr>
            <w:tcW w:w="1063" w:type="dxa"/>
          </w:tcPr>
          <w:p>
            <w:pPr>
              <w:autoSpaceDE w:val="0"/>
              <w:autoSpaceDN w:val="0"/>
              <w:snapToGrid w:val="0"/>
              <w:rPr>
                <w:rFonts w:ascii="宋体" w:cs="宋体"/>
                <w:highlight w:val="none"/>
              </w:rPr>
            </w:pPr>
          </w:p>
        </w:tc>
        <w:tc>
          <w:tcPr>
            <w:tcW w:w="1550" w:type="dxa"/>
          </w:tcPr>
          <w:p>
            <w:pPr>
              <w:autoSpaceDE w:val="0"/>
              <w:autoSpaceDN w:val="0"/>
              <w:snapToGrid w:val="0"/>
              <w:rPr>
                <w:rFonts w:asci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jc w:val="center"/>
        </w:trPr>
        <w:tc>
          <w:tcPr>
            <w:tcW w:w="1269" w:type="dxa"/>
          </w:tcPr>
          <w:p>
            <w:pPr>
              <w:autoSpaceDE w:val="0"/>
              <w:autoSpaceDN w:val="0"/>
              <w:snapToGrid w:val="0"/>
              <w:rPr>
                <w:rFonts w:ascii="宋体" w:cs="宋体"/>
                <w:highlight w:val="none"/>
              </w:rPr>
            </w:pPr>
          </w:p>
        </w:tc>
        <w:tc>
          <w:tcPr>
            <w:tcW w:w="1971" w:type="dxa"/>
          </w:tcPr>
          <w:p>
            <w:pPr>
              <w:autoSpaceDE w:val="0"/>
              <w:autoSpaceDN w:val="0"/>
              <w:snapToGrid w:val="0"/>
              <w:rPr>
                <w:rFonts w:ascii="宋体" w:cs="宋体"/>
                <w:highlight w:val="none"/>
              </w:rPr>
            </w:pPr>
          </w:p>
        </w:tc>
        <w:tc>
          <w:tcPr>
            <w:tcW w:w="815" w:type="dxa"/>
          </w:tcPr>
          <w:p>
            <w:pPr>
              <w:autoSpaceDE w:val="0"/>
              <w:autoSpaceDN w:val="0"/>
              <w:snapToGrid w:val="0"/>
              <w:rPr>
                <w:rFonts w:ascii="宋体" w:cs="宋体"/>
                <w:highlight w:val="none"/>
              </w:rPr>
            </w:pPr>
          </w:p>
        </w:tc>
        <w:tc>
          <w:tcPr>
            <w:tcW w:w="874" w:type="dxa"/>
          </w:tcPr>
          <w:p>
            <w:pPr>
              <w:autoSpaceDE w:val="0"/>
              <w:autoSpaceDN w:val="0"/>
              <w:snapToGrid w:val="0"/>
              <w:rPr>
                <w:rFonts w:ascii="宋体" w:cs="宋体"/>
                <w:highlight w:val="none"/>
              </w:rPr>
            </w:pPr>
          </w:p>
        </w:tc>
        <w:tc>
          <w:tcPr>
            <w:tcW w:w="1269" w:type="dxa"/>
          </w:tcPr>
          <w:p>
            <w:pPr>
              <w:autoSpaceDE w:val="0"/>
              <w:autoSpaceDN w:val="0"/>
              <w:snapToGrid w:val="0"/>
              <w:rPr>
                <w:rFonts w:ascii="宋体" w:cs="宋体"/>
                <w:highlight w:val="none"/>
              </w:rPr>
            </w:pPr>
          </w:p>
        </w:tc>
        <w:tc>
          <w:tcPr>
            <w:tcW w:w="1049" w:type="dxa"/>
          </w:tcPr>
          <w:p>
            <w:pPr>
              <w:autoSpaceDE w:val="0"/>
              <w:autoSpaceDN w:val="0"/>
              <w:snapToGrid w:val="0"/>
              <w:rPr>
                <w:rFonts w:ascii="宋体" w:cs="宋体"/>
                <w:highlight w:val="none"/>
              </w:rPr>
            </w:pPr>
          </w:p>
        </w:tc>
        <w:tc>
          <w:tcPr>
            <w:tcW w:w="1063" w:type="dxa"/>
          </w:tcPr>
          <w:p>
            <w:pPr>
              <w:autoSpaceDE w:val="0"/>
              <w:autoSpaceDN w:val="0"/>
              <w:snapToGrid w:val="0"/>
              <w:rPr>
                <w:rFonts w:ascii="宋体" w:cs="宋体"/>
                <w:highlight w:val="none"/>
              </w:rPr>
            </w:pPr>
          </w:p>
        </w:tc>
        <w:tc>
          <w:tcPr>
            <w:tcW w:w="1550" w:type="dxa"/>
          </w:tcPr>
          <w:p>
            <w:pPr>
              <w:autoSpaceDE w:val="0"/>
              <w:autoSpaceDN w:val="0"/>
              <w:snapToGrid w:val="0"/>
              <w:rPr>
                <w:rFonts w:asci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jc w:val="center"/>
        </w:trPr>
        <w:tc>
          <w:tcPr>
            <w:tcW w:w="1269" w:type="dxa"/>
          </w:tcPr>
          <w:p>
            <w:pPr>
              <w:autoSpaceDE w:val="0"/>
              <w:autoSpaceDN w:val="0"/>
              <w:snapToGrid w:val="0"/>
              <w:rPr>
                <w:rFonts w:ascii="宋体" w:cs="宋体"/>
                <w:highlight w:val="none"/>
              </w:rPr>
            </w:pPr>
          </w:p>
        </w:tc>
        <w:tc>
          <w:tcPr>
            <w:tcW w:w="1971" w:type="dxa"/>
          </w:tcPr>
          <w:p>
            <w:pPr>
              <w:autoSpaceDE w:val="0"/>
              <w:autoSpaceDN w:val="0"/>
              <w:snapToGrid w:val="0"/>
              <w:rPr>
                <w:rFonts w:ascii="宋体" w:cs="宋体"/>
                <w:highlight w:val="none"/>
              </w:rPr>
            </w:pPr>
          </w:p>
        </w:tc>
        <w:tc>
          <w:tcPr>
            <w:tcW w:w="815" w:type="dxa"/>
          </w:tcPr>
          <w:p>
            <w:pPr>
              <w:autoSpaceDE w:val="0"/>
              <w:autoSpaceDN w:val="0"/>
              <w:snapToGrid w:val="0"/>
              <w:rPr>
                <w:rFonts w:ascii="宋体" w:cs="宋体"/>
                <w:highlight w:val="none"/>
              </w:rPr>
            </w:pPr>
          </w:p>
        </w:tc>
        <w:tc>
          <w:tcPr>
            <w:tcW w:w="874" w:type="dxa"/>
          </w:tcPr>
          <w:p>
            <w:pPr>
              <w:autoSpaceDE w:val="0"/>
              <w:autoSpaceDN w:val="0"/>
              <w:snapToGrid w:val="0"/>
              <w:rPr>
                <w:rFonts w:ascii="宋体" w:cs="宋体"/>
                <w:highlight w:val="none"/>
              </w:rPr>
            </w:pPr>
          </w:p>
        </w:tc>
        <w:tc>
          <w:tcPr>
            <w:tcW w:w="1269" w:type="dxa"/>
          </w:tcPr>
          <w:p>
            <w:pPr>
              <w:autoSpaceDE w:val="0"/>
              <w:autoSpaceDN w:val="0"/>
              <w:snapToGrid w:val="0"/>
              <w:rPr>
                <w:rFonts w:ascii="宋体" w:cs="宋体"/>
                <w:highlight w:val="none"/>
              </w:rPr>
            </w:pPr>
          </w:p>
        </w:tc>
        <w:tc>
          <w:tcPr>
            <w:tcW w:w="1049" w:type="dxa"/>
          </w:tcPr>
          <w:p>
            <w:pPr>
              <w:autoSpaceDE w:val="0"/>
              <w:autoSpaceDN w:val="0"/>
              <w:snapToGrid w:val="0"/>
              <w:rPr>
                <w:rFonts w:ascii="宋体" w:cs="宋体"/>
                <w:highlight w:val="none"/>
              </w:rPr>
            </w:pPr>
          </w:p>
        </w:tc>
        <w:tc>
          <w:tcPr>
            <w:tcW w:w="1063" w:type="dxa"/>
          </w:tcPr>
          <w:p>
            <w:pPr>
              <w:autoSpaceDE w:val="0"/>
              <w:autoSpaceDN w:val="0"/>
              <w:snapToGrid w:val="0"/>
              <w:rPr>
                <w:rFonts w:ascii="宋体" w:cs="宋体"/>
                <w:highlight w:val="none"/>
              </w:rPr>
            </w:pPr>
          </w:p>
        </w:tc>
        <w:tc>
          <w:tcPr>
            <w:tcW w:w="1550" w:type="dxa"/>
          </w:tcPr>
          <w:p>
            <w:pPr>
              <w:autoSpaceDE w:val="0"/>
              <w:autoSpaceDN w:val="0"/>
              <w:snapToGrid w:val="0"/>
              <w:rPr>
                <w:rFonts w:asci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jc w:val="center"/>
        </w:trPr>
        <w:tc>
          <w:tcPr>
            <w:tcW w:w="1269" w:type="dxa"/>
          </w:tcPr>
          <w:p>
            <w:pPr>
              <w:autoSpaceDE w:val="0"/>
              <w:autoSpaceDN w:val="0"/>
              <w:snapToGrid w:val="0"/>
              <w:rPr>
                <w:rFonts w:ascii="宋体" w:cs="宋体"/>
                <w:highlight w:val="none"/>
              </w:rPr>
            </w:pPr>
          </w:p>
        </w:tc>
        <w:tc>
          <w:tcPr>
            <w:tcW w:w="1971" w:type="dxa"/>
          </w:tcPr>
          <w:p>
            <w:pPr>
              <w:autoSpaceDE w:val="0"/>
              <w:autoSpaceDN w:val="0"/>
              <w:snapToGrid w:val="0"/>
              <w:rPr>
                <w:rFonts w:ascii="宋体" w:cs="宋体"/>
                <w:highlight w:val="none"/>
              </w:rPr>
            </w:pPr>
          </w:p>
        </w:tc>
        <w:tc>
          <w:tcPr>
            <w:tcW w:w="815" w:type="dxa"/>
          </w:tcPr>
          <w:p>
            <w:pPr>
              <w:autoSpaceDE w:val="0"/>
              <w:autoSpaceDN w:val="0"/>
              <w:snapToGrid w:val="0"/>
              <w:rPr>
                <w:rFonts w:ascii="宋体" w:cs="宋体"/>
                <w:highlight w:val="none"/>
              </w:rPr>
            </w:pPr>
          </w:p>
        </w:tc>
        <w:tc>
          <w:tcPr>
            <w:tcW w:w="874" w:type="dxa"/>
          </w:tcPr>
          <w:p>
            <w:pPr>
              <w:autoSpaceDE w:val="0"/>
              <w:autoSpaceDN w:val="0"/>
              <w:snapToGrid w:val="0"/>
              <w:rPr>
                <w:rFonts w:ascii="宋体" w:cs="宋体"/>
                <w:highlight w:val="none"/>
              </w:rPr>
            </w:pPr>
          </w:p>
        </w:tc>
        <w:tc>
          <w:tcPr>
            <w:tcW w:w="1269" w:type="dxa"/>
          </w:tcPr>
          <w:p>
            <w:pPr>
              <w:autoSpaceDE w:val="0"/>
              <w:autoSpaceDN w:val="0"/>
              <w:snapToGrid w:val="0"/>
              <w:rPr>
                <w:rFonts w:ascii="宋体" w:cs="宋体"/>
                <w:highlight w:val="none"/>
              </w:rPr>
            </w:pPr>
          </w:p>
        </w:tc>
        <w:tc>
          <w:tcPr>
            <w:tcW w:w="1049" w:type="dxa"/>
          </w:tcPr>
          <w:p>
            <w:pPr>
              <w:autoSpaceDE w:val="0"/>
              <w:autoSpaceDN w:val="0"/>
              <w:snapToGrid w:val="0"/>
              <w:rPr>
                <w:rFonts w:ascii="宋体" w:cs="宋体"/>
                <w:highlight w:val="none"/>
              </w:rPr>
            </w:pPr>
          </w:p>
        </w:tc>
        <w:tc>
          <w:tcPr>
            <w:tcW w:w="1063" w:type="dxa"/>
          </w:tcPr>
          <w:p>
            <w:pPr>
              <w:autoSpaceDE w:val="0"/>
              <w:autoSpaceDN w:val="0"/>
              <w:snapToGrid w:val="0"/>
              <w:rPr>
                <w:rFonts w:ascii="宋体" w:cs="宋体"/>
                <w:highlight w:val="none"/>
              </w:rPr>
            </w:pPr>
          </w:p>
        </w:tc>
        <w:tc>
          <w:tcPr>
            <w:tcW w:w="1550" w:type="dxa"/>
          </w:tcPr>
          <w:p>
            <w:pPr>
              <w:autoSpaceDE w:val="0"/>
              <w:autoSpaceDN w:val="0"/>
              <w:snapToGrid w:val="0"/>
              <w:rPr>
                <w:rFonts w:asci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6" w:hRule="atLeast"/>
          <w:jc w:val="center"/>
        </w:trPr>
        <w:tc>
          <w:tcPr>
            <w:tcW w:w="1269" w:type="dxa"/>
          </w:tcPr>
          <w:p>
            <w:pPr>
              <w:autoSpaceDE w:val="0"/>
              <w:autoSpaceDN w:val="0"/>
              <w:snapToGrid w:val="0"/>
              <w:rPr>
                <w:rFonts w:ascii="宋体" w:cs="宋体"/>
                <w:highlight w:val="none"/>
              </w:rPr>
            </w:pPr>
          </w:p>
        </w:tc>
        <w:tc>
          <w:tcPr>
            <w:tcW w:w="1971" w:type="dxa"/>
          </w:tcPr>
          <w:p>
            <w:pPr>
              <w:autoSpaceDE w:val="0"/>
              <w:autoSpaceDN w:val="0"/>
              <w:snapToGrid w:val="0"/>
              <w:rPr>
                <w:rFonts w:ascii="宋体" w:cs="宋体"/>
                <w:highlight w:val="none"/>
              </w:rPr>
            </w:pPr>
          </w:p>
        </w:tc>
        <w:tc>
          <w:tcPr>
            <w:tcW w:w="815" w:type="dxa"/>
          </w:tcPr>
          <w:p>
            <w:pPr>
              <w:autoSpaceDE w:val="0"/>
              <w:autoSpaceDN w:val="0"/>
              <w:snapToGrid w:val="0"/>
              <w:rPr>
                <w:rFonts w:ascii="宋体" w:cs="宋体"/>
                <w:highlight w:val="none"/>
              </w:rPr>
            </w:pPr>
          </w:p>
        </w:tc>
        <w:tc>
          <w:tcPr>
            <w:tcW w:w="874" w:type="dxa"/>
          </w:tcPr>
          <w:p>
            <w:pPr>
              <w:autoSpaceDE w:val="0"/>
              <w:autoSpaceDN w:val="0"/>
              <w:snapToGrid w:val="0"/>
              <w:rPr>
                <w:rFonts w:ascii="宋体" w:cs="宋体"/>
                <w:highlight w:val="none"/>
              </w:rPr>
            </w:pPr>
          </w:p>
        </w:tc>
        <w:tc>
          <w:tcPr>
            <w:tcW w:w="1269" w:type="dxa"/>
          </w:tcPr>
          <w:p>
            <w:pPr>
              <w:autoSpaceDE w:val="0"/>
              <w:autoSpaceDN w:val="0"/>
              <w:snapToGrid w:val="0"/>
              <w:rPr>
                <w:rFonts w:ascii="宋体" w:cs="宋体"/>
                <w:highlight w:val="none"/>
              </w:rPr>
            </w:pPr>
          </w:p>
        </w:tc>
        <w:tc>
          <w:tcPr>
            <w:tcW w:w="1049" w:type="dxa"/>
          </w:tcPr>
          <w:p>
            <w:pPr>
              <w:autoSpaceDE w:val="0"/>
              <w:autoSpaceDN w:val="0"/>
              <w:snapToGrid w:val="0"/>
              <w:rPr>
                <w:rFonts w:ascii="宋体" w:cs="宋体"/>
                <w:highlight w:val="none"/>
              </w:rPr>
            </w:pPr>
          </w:p>
        </w:tc>
        <w:tc>
          <w:tcPr>
            <w:tcW w:w="1063" w:type="dxa"/>
          </w:tcPr>
          <w:p>
            <w:pPr>
              <w:autoSpaceDE w:val="0"/>
              <w:autoSpaceDN w:val="0"/>
              <w:snapToGrid w:val="0"/>
              <w:rPr>
                <w:rFonts w:ascii="宋体" w:cs="宋体"/>
                <w:highlight w:val="none"/>
              </w:rPr>
            </w:pPr>
          </w:p>
        </w:tc>
        <w:tc>
          <w:tcPr>
            <w:tcW w:w="1550" w:type="dxa"/>
          </w:tcPr>
          <w:p>
            <w:pPr>
              <w:autoSpaceDE w:val="0"/>
              <w:autoSpaceDN w:val="0"/>
              <w:snapToGrid w:val="0"/>
              <w:rPr>
                <w:rFonts w:ascii="宋体" w:cs="宋体"/>
                <w:highlight w:val="none"/>
              </w:rPr>
            </w:pPr>
          </w:p>
        </w:tc>
      </w:tr>
    </w:tbl>
    <w:p>
      <w:pPr>
        <w:pStyle w:val="96"/>
        <w:snapToGrid w:val="0"/>
        <w:spacing w:before="240" w:line="240" w:lineRule="auto"/>
        <w:ind w:firstLine="0" w:firstLineChars="0"/>
        <w:rPr>
          <w:highlight w:val="none"/>
        </w:rPr>
      </w:pPr>
      <w:r>
        <w:rPr>
          <w:rFonts w:hint="eastAsia"/>
          <w:highlight w:val="none"/>
        </w:rPr>
        <w:t>投标人提供虚假资料的，评标委员会可认定为虚假投标。请各投标人谨慎填写。</w:t>
      </w:r>
    </w:p>
    <w:p>
      <w:pPr>
        <w:autoSpaceDE w:val="0"/>
        <w:autoSpaceDN w:val="0"/>
        <w:spacing w:line="360" w:lineRule="auto"/>
        <w:rPr>
          <w:rFonts w:ascii="??_GB2312" w:hAnsi="仿宋" w:eastAsia="Times New Roman"/>
          <w:sz w:val="24"/>
          <w:highlight w:val="none"/>
          <w:lang w:val="zh-CN"/>
        </w:rPr>
      </w:pPr>
    </w:p>
    <w:p>
      <w:pPr>
        <w:pStyle w:val="96"/>
        <w:snapToGrid w:val="0"/>
        <w:spacing w:before="240" w:line="240" w:lineRule="auto"/>
        <w:ind w:firstLine="0" w:firstLineChars="0"/>
        <w:rPr>
          <w:highlight w:val="none"/>
          <w:lang w:val="zh-CN"/>
        </w:rPr>
      </w:pPr>
      <w:r>
        <w:rPr>
          <w:rFonts w:hint="eastAsia"/>
          <w:highlight w:val="none"/>
          <w:lang w:val="zh-CN"/>
        </w:rPr>
        <w:t>投标人名称（公章）：</w:t>
      </w:r>
    </w:p>
    <w:p>
      <w:pPr>
        <w:pStyle w:val="96"/>
        <w:snapToGrid w:val="0"/>
        <w:spacing w:before="240" w:line="240" w:lineRule="auto"/>
        <w:ind w:firstLine="0" w:firstLineChars="0"/>
        <w:rPr>
          <w:highlight w:val="none"/>
          <w:lang w:val="zh-CN"/>
        </w:rPr>
      </w:pPr>
      <w:r>
        <w:rPr>
          <w:rFonts w:hint="eastAsia"/>
          <w:highlight w:val="none"/>
          <w:lang w:val="zh-CN"/>
        </w:rPr>
        <w:t>法定代表人或其授权代表（签字或盖章）：</w:t>
      </w:r>
      <w:r>
        <w:rPr>
          <w:highlight w:val="none"/>
          <w:lang w:val="zh-CN"/>
        </w:rPr>
        <w:t xml:space="preserve"> </w:t>
      </w:r>
    </w:p>
    <w:p>
      <w:pPr>
        <w:pStyle w:val="96"/>
        <w:snapToGrid w:val="0"/>
        <w:spacing w:before="240" w:line="240" w:lineRule="auto"/>
        <w:ind w:firstLine="0" w:firstLineChars="0"/>
        <w:rPr>
          <w:highlight w:val="none"/>
          <w:lang w:val="zh-CN"/>
        </w:rPr>
      </w:pPr>
      <w:r>
        <w:rPr>
          <w:rFonts w:hint="eastAsia"/>
          <w:highlight w:val="none"/>
          <w:lang w:val="zh-CN"/>
        </w:rPr>
        <w:t>日期：</w:t>
      </w:r>
      <w:r>
        <w:rPr>
          <w:highlight w:val="none"/>
          <w:lang w:val="zh-CN"/>
        </w:rPr>
        <w:t xml:space="preserve">      </w:t>
      </w:r>
      <w:r>
        <w:rPr>
          <w:rFonts w:hint="eastAsia"/>
          <w:highlight w:val="none"/>
          <w:lang w:val="zh-CN"/>
        </w:rPr>
        <w:t>年</w:t>
      </w:r>
      <w:r>
        <w:rPr>
          <w:highlight w:val="none"/>
          <w:lang w:val="zh-CN"/>
        </w:rPr>
        <w:t xml:space="preserve">      </w:t>
      </w:r>
      <w:r>
        <w:rPr>
          <w:rFonts w:hint="eastAsia"/>
          <w:highlight w:val="none"/>
          <w:lang w:val="zh-CN"/>
        </w:rPr>
        <w:t>月</w:t>
      </w:r>
      <w:r>
        <w:rPr>
          <w:highlight w:val="none"/>
          <w:lang w:val="zh-CN"/>
        </w:rPr>
        <w:t xml:space="preserve">   </w:t>
      </w:r>
      <w:r>
        <w:rPr>
          <w:rFonts w:hint="eastAsia"/>
          <w:highlight w:val="none"/>
          <w:lang w:val="zh-CN"/>
        </w:rPr>
        <w:t>日</w:t>
      </w:r>
    </w:p>
    <w:p>
      <w:pPr>
        <w:pStyle w:val="20"/>
        <w:spacing w:line="480" w:lineRule="exact"/>
        <w:ind w:left="0" w:leftChars="0" w:firstLine="0" w:firstLineChars="0"/>
        <w:rPr>
          <w:rFonts w:ascii="宋体"/>
          <w:highlight w:val="none"/>
        </w:rPr>
      </w:pPr>
      <w:r>
        <w:rPr>
          <w:rFonts w:ascii="宋体"/>
          <w:highlight w:val="none"/>
        </w:rPr>
        <w:br w:type="page"/>
      </w:r>
    </w:p>
    <w:p>
      <w:pPr>
        <w:pStyle w:val="20"/>
        <w:spacing w:line="480" w:lineRule="exact"/>
        <w:ind w:left="0" w:leftChars="0" w:firstLine="0" w:firstLineChars="0"/>
        <w:jc w:val="center"/>
        <w:rPr>
          <w:rFonts w:ascii="宋体"/>
          <w:sz w:val="21"/>
          <w:highlight w:val="none"/>
        </w:rPr>
      </w:pPr>
      <w:r>
        <w:rPr>
          <w:rFonts w:hint="eastAsia" w:ascii="宋体" w:hAnsi="宋体"/>
          <w:highlight w:val="none"/>
        </w:rPr>
        <w:t>附件九：</w:t>
      </w:r>
      <w:r>
        <w:rPr>
          <w:rFonts w:hint="eastAsia" w:ascii="宋体" w:hAnsi="宋体"/>
          <w:b/>
          <w:sz w:val="32"/>
          <w:szCs w:val="32"/>
          <w:highlight w:val="none"/>
        </w:rPr>
        <w:t>封面格式：</w:t>
      </w:r>
    </w:p>
    <w:p>
      <w:pPr>
        <w:pStyle w:val="20"/>
        <w:spacing w:line="480" w:lineRule="exact"/>
        <w:ind w:left="0" w:leftChars="0" w:firstLine="0" w:firstLineChars="0"/>
        <w:rPr>
          <w:rFonts w:ascii="宋体"/>
          <w:highlight w:val="none"/>
        </w:rPr>
      </w:pPr>
    </w:p>
    <w:p>
      <w:pPr>
        <w:pStyle w:val="20"/>
        <w:spacing w:line="480" w:lineRule="exact"/>
        <w:ind w:left="1747" w:firstLine="470"/>
        <w:rPr>
          <w:rFonts w:ascii="宋体"/>
          <w:highlight w:val="none"/>
        </w:rPr>
        <w:sectPr>
          <w:type w:val="continuous"/>
          <w:pgSz w:w="11907" w:h="16840"/>
          <w:pgMar w:top="1304" w:right="1418" w:bottom="1157" w:left="1418" w:header="851" w:footer="851" w:gutter="0"/>
          <w:cols w:space="720" w:num="1"/>
          <w:docGrid w:type="lines" w:linePitch="290" w:charSpace="-3931"/>
        </w:sectPr>
      </w:pPr>
    </w:p>
    <w:tbl>
      <w:tblPr>
        <w:tblStyle w:val="49"/>
        <w:tblW w:w="90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85"/>
        <w:gridCol w:w="4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0" w:hRule="atLeast"/>
        </w:trPr>
        <w:tc>
          <w:tcPr>
            <w:tcW w:w="4285" w:type="dxa"/>
          </w:tcPr>
          <w:p>
            <w:pPr>
              <w:pStyle w:val="20"/>
              <w:spacing w:line="480" w:lineRule="exact"/>
              <w:ind w:left="1747" w:firstLine="470"/>
              <w:jc w:val="left"/>
              <w:rPr>
                <w:rFonts w:ascii="宋体"/>
                <w:kern w:val="2"/>
                <w:szCs w:val="24"/>
                <w:highlight w:val="none"/>
              </w:rPr>
            </w:pPr>
          </w:p>
          <w:p>
            <w:pPr>
              <w:pStyle w:val="20"/>
              <w:spacing w:line="480" w:lineRule="exact"/>
              <w:ind w:left="0" w:leftChars="0" w:firstLine="0" w:firstLineChars="0"/>
              <w:jc w:val="center"/>
              <w:rPr>
                <w:rFonts w:ascii="宋体"/>
                <w:b/>
                <w:kern w:val="2"/>
                <w:sz w:val="32"/>
                <w:szCs w:val="32"/>
                <w:highlight w:val="none"/>
              </w:rPr>
            </w:pPr>
            <w:r>
              <w:rPr>
                <w:rFonts w:hint="eastAsia" w:ascii="宋体" w:hAnsi="宋体"/>
                <w:b/>
                <w:kern w:val="2"/>
                <w:sz w:val="32"/>
                <w:szCs w:val="32"/>
                <w:highlight w:val="none"/>
              </w:rPr>
              <w:t>投标文件</w:t>
            </w:r>
          </w:p>
          <w:p>
            <w:pPr>
              <w:pStyle w:val="20"/>
              <w:spacing w:line="480" w:lineRule="exact"/>
              <w:ind w:left="0" w:leftChars="0" w:firstLine="0" w:firstLineChars="0"/>
              <w:jc w:val="center"/>
              <w:rPr>
                <w:rFonts w:ascii="宋体"/>
                <w:b/>
                <w:kern w:val="2"/>
                <w:sz w:val="32"/>
                <w:szCs w:val="32"/>
                <w:highlight w:val="none"/>
              </w:rPr>
            </w:pPr>
            <w:r>
              <w:rPr>
                <w:rFonts w:hint="eastAsia" w:ascii="宋体" w:hAnsi="宋体"/>
                <w:b/>
                <w:kern w:val="2"/>
                <w:sz w:val="32"/>
                <w:szCs w:val="32"/>
                <w:highlight w:val="none"/>
              </w:rPr>
              <w:t>（正本）</w:t>
            </w:r>
          </w:p>
          <w:p>
            <w:pPr>
              <w:pStyle w:val="20"/>
              <w:spacing w:line="480" w:lineRule="exact"/>
              <w:ind w:left="1747" w:firstLine="353"/>
              <w:jc w:val="left"/>
              <w:rPr>
                <w:rFonts w:ascii="宋体"/>
                <w:kern w:val="2"/>
                <w:sz w:val="18"/>
                <w:szCs w:val="24"/>
                <w:highlight w:val="none"/>
              </w:rPr>
            </w:pPr>
          </w:p>
          <w:p>
            <w:pPr>
              <w:pStyle w:val="20"/>
              <w:spacing w:line="480" w:lineRule="exact"/>
              <w:ind w:left="0" w:leftChars="0" w:firstLine="0" w:firstLineChars="0"/>
              <w:jc w:val="left"/>
              <w:rPr>
                <w:rFonts w:ascii="宋体"/>
                <w:kern w:val="2"/>
                <w:szCs w:val="24"/>
                <w:highlight w:val="none"/>
              </w:rPr>
            </w:pPr>
            <w:r>
              <w:rPr>
                <w:rFonts w:hint="eastAsia" w:ascii="宋体" w:hAnsi="宋体"/>
                <w:kern w:val="2"/>
                <w:szCs w:val="24"/>
                <w:highlight w:val="none"/>
              </w:rPr>
              <w:t>招标编号：</w:t>
            </w:r>
          </w:p>
          <w:p>
            <w:pPr>
              <w:pStyle w:val="20"/>
              <w:spacing w:line="480" w:lineRule="exact"/>
              <w:ind w:left="0" w:leftChars="0" w:firstLine="0" w:firstLineChars="0"/>
              <w:jc w:val="left"/>
              <w:rPr>
                <w:rFonts w:ascii="宋体" w:hAnsi="宋体"/>
                <w:kern w:val="2"/>
                <w:szCs w:val="24"/>
                <w:highlight w:val="none"/>
              </w:rPr>
            </w:pPr>
            <w:r>
              <w:rPr>
                <w:rFonts w:hint="eastAsia" w:ascii="宋体" w:hAnsi="宋体"/>
                <w:kern w:val="2"/>
                <w:szCs w:val="24"/>
                <w:highlight w:val="none"/>
              </w:rPr>
              <w:t>项目名称：</w:t>
            </w:r>
          </w:p>
          <w:p>
            <w:pPr>
              <w:pStyle w:val="20"/>
              <w:spacing w:line="480" w:lineRule="exact"/>
              <w:ind w:left="0" w:leftChars="0" w:firstLine="0" w:firstLineChars="0"/>
              <w:jc w:val="left"/>
              <w:rPr>
                <w:rFonts w:ascii="宋体"/>
                <w:kern w:val="2"/>
                <w:szCs w:val="24"/>
                <w:highlight w:val="none"/>
              </w:rPr>
            </w:pPr>
            <w:r>
              <w:rPr>
                <w:rFonts w:hint="eastAsia" w:ascii="宋体" w:hAnsi="宋体"/>
                <w:kern w:val="2"/>
                <w:szCs w:val="24"/>
                <w:highlight w:val="none"/>
              </w:rPr>
              <w:t>投标人名称（公章）：</w:t>
            </w:r>
          </w:p>
          <w:p>
            <w:pPr>
              <w:pStyle w:val="20"/>
              <w:spacing w:line="480" w:lineRule="exact"/>
              <w:ind w:left="0" w:leftChars="0" w:firstLine="0" w:firstLineChars="0"/>
              <w:jc w:val="left"/>
              <w:rPr>
                <w:rFonts w:ascii="宋体"/>
                <w:kern w:val="2"/>
                <w:szCs w:val="24"/>
                <w:highlight w:val="none"/>
              </w:rPr>
            </w:pPr>
            <w:r>
              <w:rPr>
                <w:rFonts w:hint="eastAsia" w:ascii="宋体" w:hAnsi="宋体"/>
                <w:kern w:val="2"/>
                <w:szCs w:val="24"/>
                <w:highlight w:val="none"/>
              </w:rPr>
              <w:t>地址：</w:t>
            </w:r>
          </w:p>
          <w:p>
            <w:pPr>
              <w:pStyle w:val="20"/>
              <w:spacing w:line="480" w:lineRule="exact"/>
              <w:ind w:left="0" w:leftChars="0" w:firstLine="0" w:firstLineChars="0"/>
              <w:jc w:val="left"/>
              <w:rPr>
                <w:rFonts w:ascii="宋体"/>
                <w:kern w:val="2"/>
                <w:szCs w:val="24"/>
                <w:highlight w:val="none"/>
              </w:rPr>
            </w:pPr>
            <w:r>
              <w:rPr>
                <w:rFonts w:hint="eastAsia" w:ascii="宋体" w:hAnsi="宋体"/>
                <w:kern w:val="2"/>
                <w:szCs w:val="24"/>
                <w:highlight w:val="none"/>
              </w:rPr>
              <w:t>邮编：</w:t>
            </w:r>
          </w:p>
          <w:p>
            <w:pPr>
              <w:pStyle w:val="20"/>
              <w:spacing w:line="480" w:lineRule="exact"/>
              <w:ind w:left="0" w:leftChars="0" w:firstLine="0" w:firstLineChars="0"/>
              <w:jc w:val="left"/>
              <w:rPr>
                <w:rFonts w:ascii="宋体"/>
                <w:kern w:val="2"/>
                <w:szCs w:val="24"/>
                <w:highlight w:val="none"/>
              </w:rPr>
            </w:pPr>
            <w:r>
              <w:rPr>
                <w:rFonts w:hint="eastAsia" w:ascii="宋体" w:hAnsi="宋体"/>
                <w:kern w:val="2"/>
                <w:szCs w:val="24"/>
                <w:highlight w:val="none"/>
              </w:rPr>
              <w:t>电话：</w:t>
            </w:r>
          </w:p>
          <w:p>
            <w:pPr>
              <w:pStyle w:val="20"/>
              <w:spacing w:line="480" w:lineRule="exact"/>
              <w:ind w:left="0" w:leftChars="0" w:firstLine="0" w:firstLineChars="0"/>
              <w:jc w:val="left"/>
              <w:rPr>
                <w:rFonts w:ascii="宋体"/>
                <w:kern w:val="2"/>
                <w:szCs w:val="24"/>
                <w:highlight w:val="none"/>
              </w:rPr>
            </w:pPr>
            <w:r>
              <w:rPr>
                <w:rFonts w:hint="eastAsia" w:ascii="宋体" w:hAnsi="宋体"/>
                <w:kern w:val="2"/>
                <w:szCs w:val="24"/>
                <w:highlight w:val="none"/>
              </w:rPr>
              <w:t>传真：</w:t>
            </w:r>
          </w:p>
        </w:tc>
        <w:tc>
          <w:tcPr>
            <w:tcW w:w="4775" w:type="dxa"/>
          </w:tcPr>
          <w:p>
            <w:pPr>
              <w:pStyle w:val="20"/>
              <w:spacing w:line="480" w:lineRule="exact"/>
              <w:ind w:left="1747" w:firstLine="470"/>
              <w:jc w:val="left"/>
              <w:rPr>
                <w:rFonts w:ascii="宋体"/>
                <w:kern w:val="2"/>
                <w:szCs w:val="24"/>
                <w:highlight w:val="none"/>
              </w:rPr>
            </w:pPr>
          </w:p>
          <w:p>
            <w:pPr>
              <w:pStyle w:val="20"/>
              <w:spacing w:line="480" w:lineRule="exact"/>
              <w:ind w:left="0" w:leftChars="0" w:firstLine="0" w:firstLineChars="0"/>
              <w:jc w:val="center"/>
              <w:rPr>
                <w:rFonts w:ascii="宋体"/>
                <w:b/>
                <w:kern w:val="2"/>
                <w:sz w:val="32"/>
                <w:szCs w:val="32"/>
                <w:highlight w:val="none"/>
              </w:rPr>
            </w:pPr>
            <w:r>
              <w:rPr>
                <w:rFonts w:hint="eastAsia" w:ascii="宋体" w:hAnsi="宋体"/>
                <w:b/>
                <w:kern w:val="2"/>
                <w:sz w:val="32"/>
                <w:szCs w:val="32"/>
                <w:highlight w:val="none"/>
              </w:rPr>
              <w:t>投标文件</w:t>
            </w:r>
          </w:p>
          <w:p>
            <w:pPr>
              <w:pStyle w:val="20"/>
              <w:spacing w:line="480" w:lineRule="exact"/>
              <w:ind w:left="0" w:leftChars="0" w:firstLine="0" w:firstLineChars="0"/>
              <w:jc w:val="center"/>
              <w:rPr>
                <w:rFonts w:ascii="宋体"/>
                <w:b/>
                <w:kern w:val="2"/>
                <w:sz w:val="32"/>
                <w:szCs w:val="32"/>
                <w:highlight w:val="none"/>
              </w:rPr>
            </w:pPr>
            <w:r>
              <w:rPr>
                <w:rFonts w:hint="eastAsia" w:ascii="宋体" w:hAnsi="宋体"/>
                <w:b/>
                <w:kern w:val="2"/>
                <w:sz w:val="32"/>
                <w:szCs w:val="32"/>
                <w:highlight w:val="none"/>
              </w:rPr>
              <w:t>（副本）</w:t>
            </w:r>
          </w:p>
          <w:p>
            <w:pPr>
              <w:pStyle w:val="20"/>
              <w:spacing w:line="480" w:lineRule="exact"/>
              <w:ind w:left="1747" w:firstLine="353"/>
              <w:jc w:val="left"/>
              <w:rPr>
                <w:rFonts w:ascii="宋体"/>
                <w:kern w:val="2"/>
                <w:sz w:val="18"/>
                <w:szCs w:val="24"/>
                <w:highlight w:val="none"/>
              </w:rPr>
            </w:pPr>
          </w:p>
          <w:p>
            <w:pPr>
              <w:pStyle w:val="20"/>
              <w:spacing w:line="480" w:lineRule="exact"/>
              <w:ind w:left="0" w:leftChars="0" w:firstLine="0" w:firstLineChars="0"/>
              <w:jc w:val="left"/>
              <w:rPr>
                <w:rFonts w:ascii="宋体"/>
                <w:kern w:val="2"/>
                <w:szCs w:val="24"/>
                <w:highlight w:val="none"/>
              </w:rPr>
            </w:pPr>
            <w:r>
              <w:rPr>
                <w:rFonts w:hint="eastAsia" w:ascii="宋体" w:hAnsi="宋体"/>
                <w:kern w:val="2"/>
                <w:szCs w:val="24"/>
                <w:highlight w:val="none"/>
              </w:rPr>
              <w:t>招标编号：</w:t>
            </w:r>
          </w:p>
          <w:p>
            <w:pPr>
              <w:pStyle w:val="20"/>
              <w:spacing w:line="480" w:lineRule="exact"/>
              <w:ind w:left="0" w:leftChars="0" w:firstLine="0" w:firstLineChars="0"/>
              <w:jc w:val="left"/>
              <w:rPr>
                <w:rFonts w:ascii="宋体" w:hAnsi="宋体"/>
                <w:kern w:val="2"/>
                <w:szCs w:val="24"/>
                <w:highlight w:val="none"/>
              </w:rPr>
            </w:pPr>
            <w:r>
              <w:rPr>
                <w:rFonts w:hint="eastAsia" w:ascii="宋体" w:hAnsi="宋体"/>
                <w:kern w:val="2"/>
                <w:szCs w:val="24"/>
                <w:highlight w:val="none"/>
              </w:rPr>
              <w:t>项目名称：</w:t>
            </w:r>
          </w:p>
          <w:p>
            <w:pPr>
              <w:pStyle w:val="20"/>
              <w:spacing w:line="480" w:lineRule="exact"/>
              <w:ind w:left="0" w:leftChars="0" w:firstLine="0" w:firstLineChars="0"/>
              <w:jc w:val="left"/>
              <w:rPr>
                <w:rFonts w:ascii="宋体"/>
                <w:kern w:val="2"/>
                <w:szCs w:val="24"/>
                <w:highlight w:val="none"/>
              </w:rPr>
            </w:pPr>
            <w:r>
              <w:rPr>
                <w:rFonts w:hint="eastAsia" w:ascii="宋体" w:hAnsi="宋体"/>
                <w:kern w:val="2"/>
                <w:szCs w:val="24"/>
                <w:highlight w:val="none"/>
              </w:rPr>
              <w:t>投标人名称（公章）：</w:t>
            </w:r>
          </w:p>
          <w:p>
            <w:pPr>
              <w:pStyle w:val="20"/>
              <w:spacing w:line="480" w:lineRule="exact"/>
              <w:ind w:left="0" w:leftChars="0" w:firstLine="0" w:firstLineChars="0"/>
              <w:jc w:val="left"/>
              <w:rPr>
                <w:rFonts w:ascii="宋体"/>
                <w:kern w:val="2"/>
                <w:szCs w:val="24"/>
                <w:highlight w:val="none"/>
              </w:rPr>
            </w:pPr>
            <w:r>
              <w:rPr>
                <w:rFonts w:hint="eastAsia" w:ascii="宋体" w:hAnsi="宋体"/>
                <w:kern w:val="2"/>
                <w:szCs w:val="24"/>
                <w:highlight w:val="none"/>
              </w:rPr>
              <w:t>地址：</w:t>
            </w:r>
          </w:p>
          <w:p>
            <w:pPr>
              <w:pStyle w:val="20"/>
              <w:spacing w:line="480" w:lineRule="exact"/>
              <w:ind w:left="0" w:leftChars="0" w:firstLine="0" w:firstLineChars="0"/>
              <w:jc w:val="left"/>
              <w:rPr>
                <w:rFonts w:ascii="宋体"/>
                <w:kern w:val="2"/>
                <w:szCs w:val="24"/>
                <w:highlight w:val="none"/>
              </w:rPr>
            </w:pPr>
            <w:r>
              <w:rPr>
                <w:rFonts w:hint="eastAsia" w:ascii="宋体" w:hAnsi="宋体"/>
                <w:kern w:val="2"/>
                <w:szCs w:val="24"/>
                <w:highlight w:val="none"/>
              </w:rPr>
              <w:t>邮编：</w:t>
            </w:r>
          </w:p>
          <w:p>
            <w:pPr>
              <w:pStyle w:val="20"/>
              <w:spacing w:line="480" w:lineRule="exact"/>
              <w:ind w:left="0" w:leftChars="0" w:firstLine="0" w:firstLineChars="0"/>
              <w:jc w:val="left"/>
              <w:rPr>
                <w:rFonts w:ascii="宋体"/>
                <w:kern w:val="2"/>
                <w:szCs w:val="24"/>
                <w:highlight w:val="none"/>
              </w:rPr>
            </w:pPr>
            <w:r>
              <w:rPr>
                <w:rFonts w:hint="eastAsia" w:ascii="宋体" w:hAnsi="宋体"/>
                <w:kern w:val="2"/>
                <w:szCs w:val="24"/>
                <w:highlight w:val="none"/>
              </w:rPr>
              <w:t>电话：</w:t>
            </w:r>
          </w:p>
          <w:p>
            <w:pPr>
              <w:pStyle w:val="20"/>
              <w:spacing w:line="480" w:lineRule="exact"/>
              <w:ind w:left="0" w:leftChars="0" w:firstLine="0" w:firstLineChars="0"/>
              <w:jc w:val="left"/>
              <w:rPr>
                <w:rFonts w:ascii="宋体"/>
                <w:kern w:val="2"/>
                <w:szCs w:val="24"/>
                <w:highlight w:val="none"/>
              </w:rPr>
            </w:pPr>
            <w:r>
              <w:rPr>
                <w:rFonts w:hint="eastAsia" w:ascii="宋体" w:hAnsi="宋体"/>
                <w:kern w:val="2"/>
                <w:szCs w:val="24"/>
                <w:highlight w:val="none"/>
              </w:rPr>
              <w:t>传真：</w:t>
            </w:r>
          </w:p>
        </w:tc>
      </w:tr>
    </w:tbl>
    <w:p>
      <w:pPr>
        <w:pStyle w:val="20"/>
        <w:spacing w:line="480" w:lineRule="exact"/>
        <w:ind w:left="1747" w:firstLine="470"/>
        <w:rPr>
          <w:rFonts w:ascii="宋体"/>
          <w:highlight w:val="none"/>
        </w:rPr>
      </w:pPr>
    </w:p>
    <w:tbl>
      <w:tblPr>
        <w:tblStyle w:val="49"/>
        <w:tblW w:w="91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0" w:hRule="atLeast"/>
        </w:trPr>
        <w:tc>
          <w:tcPr>
            <w:tcW w:w="9100" w:type="dxa"/>
          </w:tcPr>
          <w:p>
            <w:pPr>
              <w:pStyle w:val="20"/>
              <w:spacing w:line="480" w:lineRule="exact"/>
              <w:ind w:left="1747" w:firstLine="590"/>
              <w:jc w:val="center"/>
              <w:rPr>
                <w:rFonts w:ascii="宋体"/>
                <w:b/>
                <w:kern w:val="2"/>
                <w:sz w:val="30"/>
                <w:szCs w:val="24"/>
                <w:highlight w:val="none"/>
              </w:rPr>
            </w:pPr>
          </w:p>
          <w:p>
            <w:pPr>
              <w:pStyle w:val="20"/>
              <w:spacing w:line="480" w:lineRule="exact"/>
              <w:ind w:left="0" w:leftChars="0" w:firstLine="0" w:firstLineChars="0"/>
              <w:jc w:val="center"/>
              <w:rPr>
                <w:rFonts w:ascii="宋体"/>
                <w:kern w:val="2"/>
                <w:sz w:val="30"/>
                <w:szCs w:val="24"/>
                <w:highlight w:val="none"/>
              </w:rPr>
            </w:pPr>
            <w:r>
              <w:rPr>
                <w:rFonts w:hint="eastAsia" w:ascii="宋体" w:hAnsi="宋体"/>
                <w:b/>
                <w:kern w:val="2"/>
                <w:sz w:val="32"/>
                <w:szCs w:val="32"/>
                <w:highlight w:val="none"/>
              </w:rPr>
              <w:t>开标一览表</w:t>
            </w:r>
          </w:p>
          <w:p>
            <w:pPr>
              <w:pStyle w:val="20"/>
              <w:spacing w:line="480" w:lineRule="exact"/>
              <w:ind w:left="1747" w:firstLine="470"/>
              <w:rPr>
                <w:rFonts w:ascii="宋体"/>
                <w:kern w:val="2"/>
                <w:szCs w:val="24"/>
                <w:highlight w:val="none"/>
              </w:rPr>
            </w:pPr>
          </w:p>
          <w:p>
            <w:pPr>
              <w:pStyle w:val="20"/>
              <w:spacing w:line="480" w:lineRule="exact"/>
              <w:ind w:left="0" w:leftChars="0" w:firstLine="0" w:firstLineChars="0"/>
              <w:jc w:val="left"/>
              <w:rPr>
                <w:rFonts w:ascii="宋体" w:hAnsi="宋体"/>
                <w:kern w:val="2"/>
                <w:szCs w:val="24"/>
                <w:highlight w:val="none"/>
              </w:rPr>
            </w:pPr>
            <w:r>
              <w:rPr>
                <w:rFonts w:hint="eastAsia" w:ascii="宋体" w:hAnsi="宋体"/>
                <w:kern w:val="2"/>
                <w:szCs w:val="24"/>
                <w:highlight w:val="none"/>
              </w:rPr>
              <w:t>招标编号：</w:t>
            </w:r>
          </w:p>
          <w:p>
            <w:pPr>
              <w:pStyle w:val="20"/>
              <w:spacing w:line="480" w:lineRule="exact"/>
              <w:ind w:left="0" w:leftChars="0" w:firstLine="0" w:firstLineChars="0"/>
              <w:jc w:val="left"/>
              <w:rPr>
                <w:rFonts w:ascii="宋体" w:hAnsi="宋体"/>
                <w:kern w:val="2"/>
                <w:szCs w:val="24"/>
                <w:highlight w:val="none"/>
              </w:rPr>
            </w:pPr>
            <w:r>
              <w:rPr>
                <w:rFonts w:hint="eastAsia" w:ascii="宋体" w:hAnsi="宋体"/>
                <w:kern w:val="2"/>
                <w:szCs w:val="24"/>
                <w:highlight w:val="none"/>
              </w:rPr>
              <w:t>项目名称：</w:t>
            </w:r>
          </w:p>
          <w:p>
            <w:pPr>
              <w:pStyle w:val="20"/>
              <w:spacing w:line="480" w:lineRule="exact"/>
              <w:ind w:left="0" w:leftChars="0" w:firstLine="0" w:firstLineChars="0"/>
              <w:jc w:val="left"/>
              <w:rPr>
                <w:rFonts w:ascii="宋体"/>
                <w:kern w:val="2"/>
                <w:szCs w:val="24"/>
                <w:highlight w:val="none"/>
              </w:rPr>
            </w:pPr>
            <w:r>
              <w:rPr>
                <w:rFonts w:hint="eastAsia" w:ascii="宋体" w:hAnsi="宋体"/>
                <w:kern w:val="2"/>
                <w:szCs w:val="24"/>
                <w:highlight w:val="none"/>
              </w:rPr>
              <w:t>投标人名称（公章）：</w:t>
            </w:r>
          </w:p>
        </w:tc>
      </w:tr>
    </w:tbl>
    <w:p>
      <w:pPr>
        <w:pStyle w:val="20"/>
        <w:spacing w:line="480" w:lineRule="exact"/>
        <w:ind w:left="1747" w:firstLine="470"/>
        <w:rPr>
          <w:rFonts w:ascii="宋体"/>
          <w:highlight w:val="none"/>
        </w:rPr>
      </w:pPr>
    </w:p>
    <w:p>
      <w:pPr>
        <w:pStyle w:val="20"/>
        <w:spacing w:line="480" w:lineRule="exact"/>
        <w:ind w:left="0" w:leftChars="0" w:firstLine="3861" w:firstLineChars="1202"/>
        <w:rPr>
          <w:rFonts w:ascii="宋体"/>
          <w:b/>
          <w:sz w:val="32"/>
          <w:szCs w:val="32"/>
          <w:highlight w:val="none"/>
        </w:rPr>
      </w:pPr>
      <w:r>
        <w:rPr>
          <w:rFonts w:hint="eastAsia" w:ascii="宋体" w:hAnsi="宋体"/>
          <w:b/>
          <w:sz w:val="32"/>
          <w:szCs w:val="32"/>
          <w:highlight w:val="none"/>
        </w:rPr>
        <w:t>封口格式：</w:t>
      </w:r>
    </w:p>
    <w:tbl>
      <w:tblPr>
        <w:tblStyle w:val="49"/>
        <w:tblW w:w="91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9" w:hRule="atLeast"/>
        </w:trPr>
        <w:tc>
          <w:tcPr>
            <w:tcW w:w="9180" w:type="dxa"/>
            <w:vAlign w:val="center"/>
          </w:tcPr>
          <w:p>
            <w:pPr>
              <w:pStyle w:val="20"/>
              <w:spacing w:line="480" w:lineRule="exact"/>
              <w:ind w:left="0" w:leftChars="0" w:firstLine="0" w:firstLineChars="0"/>
              <w:rPr>
                <w:rFonts w:ascii="宋体"/>
                <w:kern w:val="2"/>
                <w:szCs w:val="24"/>
                <w:highlight w:val="none"/>
              </w:rPr>
            </w:pPr>
            <w:r>
              <w:rPr>
                <w:rFonts w:hint="eastAsia" w:ascii="宋体" w:hAnsi="宋体"/>
                <w:kern w:val="2"/>
                <w:szCs w:val="24"/>
                <w:highlight w:val="none"/>
              </w:rPr>
              <w:t>………………………于年月日时之前不准启封（公章）………………………</w:t>
            </w:r>
          </w:p>
        </w:tc>
      </w:tr>
    </w:tbl>
    <w:p>
      <w:pPr>
        <w:pStyle w:val="20"/>
        <w:spacing w:line="480" w:lineRule="exact"/>
        <w:ind w:left="0" w:leftChars="0" w:firstLine="0" w:firstLineChars="0"/>
        <w:rPr>
          <w:rFonts w:ascii="宋体"/>
          <w:highlight w:val="none"/>
        </w:rPr>
      </w:pPr>
    </w:p>
    <w:sectPr>
      <w:type w:val="continuous"/>
      <w:pgSz w:w="11907" w:h="16840"/>
      <w:pgMar w:top="1304" w:right="1418" w:bottom="1157" w:left="1418" w:header="851" w:footer="851" w:gutter="0"/>
      <w:cols w:space="720" w:num="1"/>
      <w:titlePg/>
      <w:docGrid w:type="lines" w:linePitch="290" w:charSpace="-393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Arial Narrow">
    <w:altName w:val="Arial"/>
    <w:panose1 w:val="020B0606020202030204"/>
    <w:charset w:val="00"/>
    <w:family w:val="swiss"/>
    <w:pitch w:val="default"/>
    <w:sig w:usb0="00000000" w:usb1="00000000" w:usb2="00000000" w:usb3="00000000" w:csb0="0000009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10" w:usb3="00000000" w:csb0="00040000" w:csb1="00000000"/>
  </w:font>
  <w:font w:name="Angsana New">
    <w:panose1 w:val="02020603050405020304"/>
    <w:charset w:val="DE"/>
    <w:family w:val="roman"/>
    <w:pitch w:val="default"/>
    <w:sig w:usb0="81000003" w:usb1="00000000" w:usb2="00000000" w:usb3="00000000" w:csb0="00010001" w:csb1="00000000"/>
  </w:font>
  <w:font w:name="Helvetica">
    <w:altName w:val="Arial"/>
    <w:panose1 w:val="020B0604020202020204"/>
    <w:charset w:val="00"/>
    <w:family w:val="swiss"/>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华文中宋">
    <w:altName w:val="宋体"/>
    <w:panose1 w:val="02010600040101010101"/>
    <w:charset w:val="86"/>
    <w:family w:val="auto"/>
    <w:pitch w:val="default"/>
    <w:sig w:usb0="00000000" w:usb1="00000000" w:usb2="00000010" w:usb3="00000000" w:csb0="0004009F" w:csb1="00000000"/>
  </w:font>
  <w:font w:name="楷体">
    <w:panose1 w:val="02010609060101010101"/>
    <w:charset w:val="86"/>
    <w:family w:val="modern"/>
    <w:pitch w:val="default"/>
    <w:sig w:usb0="800002BF" w:usb1="38CF7CFA" w:usb2="00000016" w:usb3="00000000" w:csb0="00040001" w:csb1="00000000"/>
  </w:font>
  <w:font w:name="??_GB2312">
    <w:altName w:val="Times New Roman"/>
    <w:panose1 w:val="00000000000000000000"/>
    <w:charset w:val="00"/>
    <w:family w:val="auto"/>
    <w:pitch w:val="default"/>
    <w:sig w:usb0="00000000" w:usb1="00000000" w:usb2="00000000" w:usb3="00000000" w:csb0="0000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r>
      <w:pict>
        <v:shape id="_x0000_s3074" o:spid="_x0000_s3074" o:spt="202" type="#_x0000_t202" style="position:absolute;left:0pt;margin-top:0pt;height:144pt;width:144pt;mso-position-horizontal:center;mso-position-horizontal-relative:margin;mso-wrap-style:none;z-index:1024;mso-width-relative:page;mso-height-relative:page;" filled="f" stroked="f" coordsize="21600,21600">
          <v:path/>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38</w:t>
                </w:r>
                <w:r>
                  <w:rPr>
                    <w:rFonts w:hint="eastAsia"/>
                    <w:sz w:val="18"/>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r>
      <w:pict>
        <v:shape id="_x0000_s3073" o:spid="_x0000_s3073" o:spt="202" type="#_x0000_t202" style="position:absolute;left:0pt;margin-top:0pt;height:144pt;width:144pt;mso-position-horizontal:center;mso-position-horizontal-relative:margin;mso-wrap-style:none;z-index:1024;mso-width-relative:page;mso-height-relative:page;" filled="f" stroked="f" coordsize="21600,21600">
          <v:path/>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single" w:color="auto" w:sz="4" w:space="1"/>
      </w:pBdr>
      <w:jc w:val="left"/>
    </w:pPr>
    <w:r>
      <w:pict>
        <v:shape id="_x0000_i1026" o:spt="75" type="#_x0000_t75" style="height:10.75pt;width:10.75pt;" filled="f" o:preferrelative="t" stroked="f" coordsize="21600,21600">
          <v:path/>
          <v:fill on="f" focussize="0,0"/>
          <v:stroke on="f" joinstyle="miter"/>
          <v:imagedata r:id="rId1" o:title=""/>
          <o:lock v:ext="edit" aspectratio="t"/>
          <w10:wrap type="none"/>
          <w10:anchorlock/>
        </v:shape>
      </w:pict>
    </w:r>
    <w:r>
      <w:rPr>
        <w:rFonts w:hint="eastAsia"/>
        <w:i/>
        <w:iCs/>
      </w:rPr>
      <w:t>鲁成招标</w:t>
    </w:r>
    <w:r>
      <w:rPr>
        <w:i/>
        <w:iCs/>
      </w:rPr>
      <w:t xml:space="preserve">                                                                                 </w:t>
    </w:r>
    <w:r>
      <w:rPr>
        <w:rFonts w:hint="eastAsia"/>
        <w:i/>
        <w:iCs/>
      </w:rPr>
      <w:t>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55DBD1"/>
    <w:multiLevelType w:val="singleLevel"/>
    <w:tmpl w:val="8455DBD1"/>
    <w:lvl w:ilvl="0" w:tentative="0">
      <w:start w:val="1"/>
      <w:numFmt w:val="decimal"/>
      <w:lvlText w:val="%1)"/>
      <w:lvlJc w:val="left"/>
      <w:pPr>
        <w:ind w:left="425" w:hanging="425"/>
      </w:pPr>
      <w:rPr>
        <w:rFonts w:hint="default"/>
      </w:rPr>
    </w:lvl>
  </w:abstractNum>
  <w:abstractNum w:abstractNumId="1">
    <w:nsid w:val="90F2378D"/>
    <w:multiLevelType w:val="singleLevel"/>
    <w:tmpl w:val="90F2378D"/>
    <w:lvl w:ilvl="0" w:tentative="0">
      <w:start w:val="1"/>
      <w:numFmt w:val="decimal"/>
      <w:lvlText w:val="%1)"/>
      <w:lvlJc w:val="left"/>
      <w:pPr>
        <w:ind w:left="425" w:hanging="425"/>
      </w:pPr>
      <w:rPr>
        <w:rFonts w:hint="default"/>
      </w:rPr>
    </w:lvl>
  </w:abstractNum>
  <w:abstractNum w:abstractNumId="2">
    <w:nsid w:val="A0DFB8A3"/>
    <w:multiLevelType w:val="singleLevel"/>
    <w:tmpl w:val="A0DFB8A3"/>
    <w:lvl w:ilvl="0" w:tentative="0">
      <w:start w:val="1"/>
      <w:numFmt w:val="decimal"/>
      <w:lvlText w:val="%1)"/>
      <w:lvlJc w:val="left"/>
      <w:pPr>
        <w:ind w:left="425" w:hanging="425"/>
      </w:pPr>
      <w:rPr>
        <w:rFonts w:hint="default"/>
      </w:rPr>
    </w:lvl>
  </w:abstractNum>
  <w:abstractNum w:abstractNumId="3">
    <w:nsid w:val="A3B4469C"/>
    <w:multiLevelType w:val="singleLevel"/>
    <w:tmpl w:val="A3B4469C"/>
    <w:lvl w:ilvl="0" w:tentative="0">
      <w:start w:val="1"/>
      <w:numFmt w:val="decimal"/>
      <w:lvlText w:val="%1)"/>
      <w:lvlJc w:val="left"/>
      <w:pPr>
        <w:ind w:left="425" w:hanging="425"/>
      </w:pPr>
      <w:rPr>
        <w:rFonts w:hint="default"/>
      </w:rPr>
    </w:lvl>
  </w:abstractNum>
  <w:abstractNum w:abstractNumId="4">
    <w:nsid w:val="A8D9ABE6"/>
    <w:multiLevelType w:val="singleLevel"/>
    <w:tmpl w:val="A8D9ABE6"/>
    <w:lvl w:ilvl="0" w:tentative="0">
      <w:start w:val="1"/>
      <w:numFmt w:val="decimal"/>
      <w:lvlText w:val="%1)"/>
      <w:lvlJc w:val="left"/>
      <w:pPr>
        <w:ind w:left="425" w:hanging="425"/>
      </w:pPr>
      <w:rPr>
        <w:rFonts w:hint="default"/>
      </w:rPr>
    </w:lvl>
  </w:abstractNum>
  <w:abstractNum w:abstractNumId="5">
    <w:nsid w:val="C4667808"/>
    <w:multiLevelType w:val="singleLevel"/>
    <w:tmpl w:val="C4667808"/>
    <w:lvl w:ilvl="0" w:tentative="0">
      <w:start w:val="1"/>
      <w:numFmt w:val="decimal"/>
      <w:lvlText w:val="%1)"/>
      <w:lvlJc w:val="left"/>
      <w:pPr>
        <w:ind w:left="425" w:hanging="425"/>
      </w:pPr>
      <w:rPr>
        <w:rFonts w:hint="default"/>
      </w:rPr>
    </w:lvl>
  </w:abstractNum>
  <w:abstractNum w:abstractNumId="6">
    <w:nsid w:val="D8B72150"/>
    <w:multiLevelType w:val="singleLevel"/>
    <w:tmpl w:val="D8B72150"/>
    <w:lvl w:ilvl="0" w:tentative="0">
      <w:start w:val="1"/>
      <w:numFmt w:val="decimal"/>
      <w:lvlText w:val="%1)"/>
      <w:lvlJc w:val="left"/>
      <w:pPr>
        <w:ind w:left="425" w:hanging="425"/>
      </w:pPr>
      <w:rPr>
        <w:rFonts w:hint="default"/>
      </w:rPr>
    </w:lvl>
  </w:abstractNum>
  <w:abstractNum w:abstractNumId="7">
    <w:nsid w:val="DA6633FE"/>
    <w:multiLevelType w:val="singleLevel"/>
    <w:tmpl w:val="DA6633FE"/>
    <w:lvl w:ilvl="0" w:tentative="0">
      <w:start w:val="1"/>
      <w:numFmt w:val="decimal"/>
      <w:lvlText w:val="%1)"/>
      <w:lvlJc w:val="left"/>
      <w:pPr>
        <w:ind w:left="425" w:hanging="425"/>
      </w:pPr>
      <w:rPr>
        <w:rFonts w:hint="default"/>
      </w:rPr>
    </w:lvl>
  </w:abstractNum>
  <w:abstractNum w:abstractNumId="8">
    <w:nsid w:val="DB756460"/>
    <w:multiLevelType w:val="singleLevel"/>
    <w:tmpl w:val="DB756460"/>
    <w:lvl w:ilvl="0" w:tentative="0">
      <w:start w:val="1"/>
      <w:numFmt w:val="decimal"/>
      <w:lvlText w:val="%1)"/>
      <w:lvlJc w:val="left"/>
      <w:pPr>
        <w:ind w:left="425" w:hanging="425"/>
      </w:pPr>
      <w:rPr>
        <w:rFonts w:hint="default"/>
      </w:rPr>
    </w:lvl>
  </w:abstractNum>
  <w:abstractNum w:abstractNumId="9">
    <w:nsid w:val="DEFFF874"/>
    <w:multiLevelType w:val="singleLevel"/>
    <w:tmpl w:val="DEFFF874"/>
    <w:lvl w:ilvl="0" w:tentative="0">
      <w:start w:val="1"/>
      <w:numFmt w:val="decimal"/>
      <w:lvlText w:val="%1)"/>
      <w:lvlJc w:val="left"/>
      <w:pPr>
        <w:ind w:left="425" w:hanging="425"/>
      </w:pPr>
      <w:rPr>
        <w:rFonts w:hint="default"/>
      </w:rPr>
    </w:lvl>
  </w:abstractNum>
  <w:abstractNum w:abstractNumId="10">
    <w:nsid w:val="E32690DC"/>
    <w:multiLevelType w:val="singleLevel"/>
    <w:tmpl w:val="E32690DC"/>
    <w:lvl w:ilvl="0" w:tentative="0">
      <w:start w:val="2"/>
      <w:numFmt w:val="chineseCounting"/>
      <w:suff w:val="nothing"/>
      <w:lvlText w:val="%1、"/>
      <w:lvlJc w:val="left"/>
      <w:rPr>
        <w:rFonts w:hint="eastAsia"/>
      </w:rPr>
    </w:lvl>
  </w:abstractNum>
  <w:abstractNum w:abstractNumId="11">
    <w:nsid w:val="E68953C9"/>
    <w:multiLevelType w:val="singleLevel"/>
    <w:tmpl w:val="E68953C9"/>
    <w:lvl w:ilvl="0" w:tentative="0">
      <w:start w:val="1"/>
      <w:numFmt w:val="decimal"/>
      <w:lvlText w:val="%1)"/>
      <w:lvlJc w:val="left"/>
      <w:pPr>
        <w:ind w:left="425" w:hanging="425"/>
      </w:pPr>
      <w:rPr>
        <w:rFonts w:hint="default"/>
      </w:rPr>
    </w:lvl>
  </w:abstractNum>
  <w:abstractNum w:abstractNumId="12">
    <w:nsid w:val="EC5535B5"/>
    <w:multiLevelType w:val="singleLevel"/>
    <w:tmpl w:val="EC5535B5"/>
    <w:lvl w:ilvl="0" w:tentative="0">
      <w:start w:val="9"/>
      <w:numFmt w:val="decimal"/>
      <w:lvlText w:val="%1."/>
      <w:lvlJc w:val="left"/>
      <w:pPr>
        <w:tabs>
          <w:tab w:val="left" w:pos="312"/>
        </w:tabs>
      </w:pPr>
    </w:lvl>
  </w:abstractNum>
  <w:abstractNum w:abstractNumId="13">
    <w:nsid w:val="EC8B4383"/>
    <w:multiLevelType w:val="singleLevel"/>
    <w:tmpl w:val="EC8B4383"/>
    <w:lvl w:ilvl="0" w:tentative="0">
      <w:start w:val="1"/>
      <w:numFmt w:val="decimal"/>
      <w:lvlText w:val="%1)"/>
      <w:lvlJc w:val="left"/>
      <w:pPr>
        <w:ind w:left="425" w:hanging="425"/>
      </w:pPr>
      <w:rPr>
        <w:rFonts w:hint="default"/>
      </w:rPr>
    </w:lvl>
  </w:abstractNum>
  <w:abstractNum w:abstractNumId="14">
    <w:nsid w:val="EF7CD0AB"/>
    <w:multiLevelType w:val="singleLevel"/>
    <w:tmpl w:val="EF7CD0AB"/>
    <w:lvl w:ilvl="0" w:tentative="0">
      <w:start w:val="1"/>
      <w:numFmt w:val="decimal"/>
      <w:lvlText w:val="%1)"/>
      <w:lvlJc w:val="left"/>
      <w:pPr>
        <w:ind w:left="425" w:hanging="425"/>
      </w:pPr>
      <w:rPr>
        <w:rFonts w:hint="default"/>
      </w:rPr>
    </w:lvl>
  </w:abstractNum>
  <w:abstractNum w:abstractNumId="15">
    <w:nsid w:val="00000023"/>
    <w:multiLevelType w:val="multilevel"/>
    <w:tmpl w:val="00000023"/>
    <w:lvl w:ilvl="0" w:tentative="0">
      <w:start w:val="1"/>
      <w:numFmt w:val="decimal"/>
      <w:lvlText w:val="%1)"/>
      <w:lvlJc w:val="left"/>
      <w:pPr>
        <w:tabs>
          <w:tab w:val="left" w:pos="1498"/>
        </w:tabs>
        <w:ind w:left="1498" w:hanging="360"/>
      </w:pPr>
      <w:rPr>
        <w:rFonts w:hint="eastAsia" w:cs="Times New Roman"/>
        <w:color w:val="auto"/>
      </w:rPr>
    </w:lvl>
    <w:lvl w:ilvl="1" w:tentative="0">
      <w:start w:val="1"/>
      <w:numFmt w:val="upperLetter"/>
      <w:lvlText w:val="%2、"/>
      <w:lvlJc w:val="left"/>
      <w:pPr>
        <w:tabs>
          <w:tab w:val="left" w:pos="1963"/>
        </w:tabs>
        <w:ind w:left="1963" w:hanging="405"/>
      </w:pPr>
      <w:rPr>
        <w:rFonts w:hint="default" w:cs="Times New Roman"/>
      </w:rPr>
    </w:lvl>
    <w:lvl w:ilvl="2" w:tentative="0">
      <w:start w:val="1"/>
      <w:numFmt w:val="lowerRoman"/>
      <w:lvlText w:val="%3."/>
      <w:lvlJc w:val="right"/>
      <w:pPr>
        <w:tabs>
          <w:tab w:val="left" w:pos="2398"/>
        </w:tabs>
        <w:ind w:left="2398" w:hanging="420"/>
      </w:pPr>
      <w:rPr>
        <w:rFonts w:cs="Times New Roman"/>
      </w:rPr>
    </w:lvl>
    <w:lvl w:ilvl="3" w:tentative="0">
      <w:start w:val="1"/>
      <w:numFmt w:val="decimal"/>
      <w:lvlText w:val="%4."/>
      <w:lvlJc w:val="left"/>
      <w:pPr>
        <w:tabs>
          <w:tab w:val="left" w:pos="2818"/>
        </w:tabs>
        <w:ind w:left="2818" w:hanging="420"/>
      </w:pPr>
      <w:rPr>
        <w:rFonts w:cs="Times New Roman"/>
      </w:rPr>
    </w:lvl>
    <w:lvl w:ilvl="4" w:tentative="0">
      <w:start w:val="1"/>
      <w:numFmt w:val="lowerLetter"/>
      <w:lvlText w:val="%5)"/>
      <w:lvlJc w:val="left"/>
      <w:pPr>
        <w:tabs>
          <w:tab w:val="left" w:pos="3238"/>
        </w:tabs>
        <w:ind w:left="3238" w:hanging="420"/>
      </w:pPr>
      <w:rPr>
        <w:rFonts w:cs="Times New Roman"/>
      </w:rPr>
    </w:lvl>
    <w:lvl w:ilvl="5" w:tentative="0">
      <w:start w:val="1"/>
      <w:numFmt w:val="lowerRoman"/>
      <w:lvlText w:val="%6."/>
      <w:lvlJc w:val="right"/>
      <w:pPr>
        <w:tabs>
          <w:tab w:val="left" w:pos="3658"/>
        </w:tabs>
        <w:ind w:left="3658" w:hanging="420"/>
      </w:pPr>
      <w:rPr>
        <w:rFonts w:cs="Times New Roman"/>
      </w:rPr>
    </w:lvl>
    <w:lvl w:ilvl="6" w:tentative="0">
      <w:start w:val="1"/>
      <w:numFmt w:val="decimal"/>
      <w:lvlText w:val="%7."/>
      <w:lvlJc w:val="left"/>
      <w:pPr>
        <w:tabs>
          <w:tab w:val="left" w:pos="4078"/>
        </w:tabs>
        <w:ind w:left="4078" w:hanging="420"/>
      </w:pPr>
      <w:rPr>
        <w:rFonts w:cs="Times New Roman"/>
      </w:rPr>
    </w:lvl>
    <w:lvl w:ilvl="7" w:tentative="0">
      <w:start w:val="1"/>
      <w:numFmt w:val="lowerLetter"/>
      <w:lvlText w:val="%8)"/>
      <w:lvlJc w:val="left"/>
      <w:pPr>
        <w:tabs>
          <w:tab w:val="left" w:pos="4498"/>
        </w:tabs>
        <w:ind w:left="4498" w:hanging="420"/>
      </w:pPr>
      <w:rPr>
        <w:rFonts w:cs="Times New Roman"/>
      </w:rPr>
    </w:lvl>
    <w:lvl w:ilvl="8" w:tentative="0">
      <w:start w:val="1"/>
      <w:numFmt w:val="lowerRoman"/>
      <w:lvlText w:val="%9."/>
      <w:lvlJc w:val="right"/>
      <w:pPr>
        <w:tabs>
          <w:tab w:val="left" w:pos="4918"/>
        </w:tabs>
        <w:ind w:left="4918" w:hanging="420"/>
      </w:pPr>
      <w:rPr>
        <w:rFonts w:cs="Times New Roman"/>
      </w:rPr>
    </w:lvl>
  </w:abstractNum>
  <w:abstractNum w:abstractNumId="16">
    <w:nsid w:val="00000024"/>
    <w:multiLevelType w:val="multilevel"/>
    <w:tmpl w:val="00000024"/>
    <w:lvl w:ilvl="0" w:tentative="0">
      <w:start w:val="36"/>
      <w:numFmt w:val="decimal"/>
      <w:lvlText w:val="%1."/>
      <w:lvlJc w:val="left"/>
      <w:pPr>
        <w:tabs>
          <w:tab w:val="left" w:pos="1170"/>
        </w:tabs>
        <w:ind w:left="1170" w:hanging="600"/>
      </w:pPr>
      <w:rPr>
        <w:rFonts w:hint="default" w:cs="Times New Roman"/>
      </w:rPr>
    </w:lvl>
    <w:lvl w:ilvl="1" w:tentative="0">
      <w:start w:val="1"/>
      <w:numFmt w:val="lowerLetter"/>
      <w:lvlText w:val="%2)"/>
      <w:lvlJc w:val="left"/>
      <w:pPr>
        <w:tabs>
          <w:tab w:val="left" w:pos="1410"/>
        </w:tabs>
        <w:ind w:left="1410" w:hanging="420"/>
      </w:pPr>
      <w:rPr>
        <w:rFonts w:cs="Times New Roman"/>
      </w:rPr>
    </w:lvl>
    <w:lvl w:ilvl="2" w:tentative="0">
      <w:start w:val="1"/>
      <w:numFmt w:val="lowerRoman"/>
      <w:lvlText w:val="%3."/>
      <w:lvlJc w:val="right"/>
      <w:pPr>
        <w:tabs>
          <w:tab w:val="left" w:pos="1830"/>
        </w:tabs>
        <w:ind w:left="1830" w:hanging="420"/>
      </w:pPr>
      <w:rPr>
        <w:rFonts w:cs="Times New Roman"/>
      </w:rPr>
    </w:lvl>
    <w:lvl w:ilvl="3" w:tentative="0">
      <w:start w:val="1"/>
      <w:numFmt w:val="decimal"/>
      <w:lvlText w:val="%4."/>
      <w:lvlJc w:val="left"/>
      <w:pPr>
        <w:tabs>
          <w:tab w:val="left" w:pos="2250"/>
        </w:tabs>
        <w:ind w:left="2250" w:hanging="420"/>
      </w:pPr>
      <w:rPr>
        <w:rFonts w:cs="Times New Roman"/>
      </w:rPr>
    </w:lvl>
    <w:lvl w:ilvl="4" w:tentative="0">
      <w:start w:val="1"/>
      <w:numFmt w:val="lowerLetter"/>
      <w:lvlText w:val="%5)"/>
      <w:lvlJc w:val="left"/>
      <w:pPr>
        <w:tabs>
          <w:tab w:val="left" w:pos="2670"/>
        </w:tabs>
        <w:ind w:left="2670" w:hanging="420"/>
      </w:pPr>
      <w:rPr>
        <w:rFonts w:cs="Times New Roman"/>
      </w:rPr>
    </w:lvl>
    <w:lvl w:ilvl="5" w:tentative="0">
      <w:start w:val="1"/>
      <w:numFmt w:val="lowerRoman"/>
      <w:lvlText w:val="%6."/>
      <w:lvlJc w:val="right"/>
      <w:pPr>
        <w:tabs>
          <w:tab w:val="left" w:pos="3090"/>
        </w:tabs>
        <w:ind w:left="3090" w:hanging="420"/>
      </w:pPr>
      <w:rPr>
        <w:rFonts w:cs="Times New Roman"/>
      </w:rPr>
    </w:lvl>
    <w:lvl w:ilvl="6" w:tentative="0">
      <w:start w:val="1"/>
      <w:numFmt w:val="decimal"/>
      <w:lvlText w:val="%7."/>
      <w:lvlJc w:val="left"/>
      <w:pPr>
        <w:tabs>
          <w:tab w:val="left" w:pos="3510"/>
        </w:tabs>
        <w:ind w:left="3510" w:hanging="420"/>
      </w:pPr>
      <w:rPr>
        <w:rFonts w:cs="Times New Roman"/>
      </w:rPr>
    </w:lvl>
    <w:lvl w:ilvl="7" w:tentative="0">
      <w:start w:val="1"/>
      <w:numFmt w:val="lowerLetter"/>
      <w:lvlText w:val="%8)"/>
      <w:lvlJc w:val="left"/>
      <w:pPr>
        <w:tabs>
          <w:tab w:val="left" w:pos="3930"/>
        </w:tabs>
        <w:ind w:left="3930" w:hanging="420"/>
      </w:pPr>
      <w:rPr>
        <w:rFonts w:cs="Times New Roman"/>
      </w:rPr>
    </w:lvl>
    <w:lvl w:ilvl="8" w:tentative="0">
      <w:start w:val="1"/>
      <w:numFmt w:val="lowerRoman"/>
      <w:lvlText w:val="%9."/>
      <w:lvlJc w:val="right"/>
      <w:pPr>
        <w:tabs>
          <w:tab w:val="left" w:pos="4350"/>
        </w:tabs>
        <w:ind w:left="4350" w:hanging="420"/>
      </w:pPr>
      <w:rPr>
        <w:rFonts w:cs="Times New Roman"/>
      </w:rPr>
    </w:lvl>
  </w:abstractNum>
  <w:abstractNum w:abstractNumId="17">
    <w:nsid w:val="07CD0118"/>
    <w:multiLevelType w:val="singleLevel"/>
    <w:tmpl w:val="07CD0118"/>
    <w:lvl w:ilvl="0" w:tentative="0">
      <w:start w:val="1"/>
      <w:numFmt w:val="decimal"/>
      <w:suff w:val="nothing"/>
      <w:lvlText w:val="%1、"/>
      <w:lvlJc w:val="left"/>
    </w:lvl>
  </w:abstractNum>
  <w:abstractNum w:abstractNumId="18">
    <w:nsid w:val="0B6A1BD9"/>
    <w:multiLevelType w:val="singleLevel"/>
    <w:tmpl w:val="0B6A1BD9"/>
    <w:lvl w:ilvl="0" w:tentative="0">
      <w:start w:val="1"/>
      <w:numFmt w:val="decimal"/>
      <w:lvlText w:val="%1)"/>
      <w:lvlJc w:val="left"/>
      <w:pPr>
        <w:ind w:left="425" w:hanging="425"/>
      </w:pPr>
      <w:rPr>
        <w:rFonts w:hint="default"/>
      </w:rPr>
    </w:lvl>
  </w:abstractNum>
  <w:abstractNum w:abstractNumId="19">
    <w:nsid w:val="0F28D1EE"/>
    <w:multiLevelType w:val="singleLevel"/>
    <w:tmpl w:val="0F28D1EE"/>
    <w:lvl w:ilvl="0" w:tentative="0">
      <w:start w:val="1"/>
      <w:numFmt w:val="decimal"/>
      <w:lvlText w:val="%1)"/>
      <w:lvlJc w:val="left"/>
      <w:pPr>
        <w:ind w:left="425" w:hanging="425"/>
      </w:pPr>
      <w:rPr>
        <w:rFonts w:hint="default"/>
      </w:rPr>
    </w:lvl>
  </w:abstractNum>
  <w:abstractNum w:abstractNumId="20">
    <w:nsid w:val="0F6B37F4"/>
    <w:multiLevelType w:val="singleLevel"/>
    <w:tmpl w:val="0F6B37F4"/>
    <w:lvl w:ilvl="0" w:tentative="0">
      <w:start w:val="1"/>
      <w:numFmt w:val="decimal"/>
      <w:lvlText w:val="%1)"/>
      <w:lvlJc w:val="left"/>
      <w:pPr>
        <w:ind w:left="425" w:hanging="425"/>
      </w:pPr>
      <w:rPr>
        <w:rFonts w:hint="default"/>
      </w:rPr>
    </w:lvl>
  </w:abstractNum>
  <w:abstractNum w:abstractNumId="21">
    <w:nsid w:val="11472CB7"/>
    <w:multiLevelType w:val="singleLevel"/>
    <w:tmpl w:val="11472CB7"/>
    <w:lvl w:ilvl="0" w:tentative="0">
      <w:start w:val="1"/>
      <w:numFmt w:val="decimal"/>
      <w:lvlText w:val="%1)"/>
      <w:lvlJc w:val="left"/>
      <w:pPr>
        <w:ind w:left="425" w:hanging="425"/>
      </w:pPr>
      <w:rPr>
        <w:rFonts w:hint="default"/>
      </w:rPr>
    </w:lvl>
  </w:abstractNum>
  <w:abstractNum w:abstractNumId="22">
    <w:nsid w:val="1CFDD142"/>
    <w:multiLevelType w:val="singleLevel"/>
    <w:tmpl w:val="1CFDD142"/>
    <w:lvl w:ilvl="0" w:tentative="0">
      <w:start w:val="1"/>
      <w:numFmt w:val="decimal"/>
      <w:lvlText w:val="%1)"/>
      <w:lvlJc w:val="left"/>
      <w:pPr>
        <w:ind w:left="425" w:hanging="425"/>
      </w:pPr>
      <w:rPr>
        <w:rFonts w:hint="default"/>
      </w:rPr>
    </w:lvl>
  </w:abstractNum>
  <w:abstractNum w:abstractNumId="23">
    <w:nsid w:val="21031508"/>
    <w:multiLevelType w:val="singleLevel"/>
    <w:tmpl w:val="21031508"/>
    <w:lvl w:ilvl="0" w:tentative="0">
      <w:start w:val="1"/>
      <w:numFmt w:val="decimal"/>
      <w:lvlText w:val="%1)"/>
      <w:lvlJc w:val="left"/>
      <w:pPr>
        <w:ind w:left="425" w:hanging="425"/>
      </w:pPr>
      <w:rPr>
        <w:rFonts w:hint="default"/>
      </w:rPr>
    </w:lvl>
  </w:abstractNum>
  <w:abstractNum w:abstractNumId="24">
    <w:nsid w:val="35CB65CD"/>
    <w:multiLevelType w:val="singleLevel"/>
    <w:tmpl w:val="35CB65CD"/>
    <w:lvl w:ilvl="0" w:tentative="0">
      <w:start w:val="1"/>
      <w:numFmt w:val="decimal"/>
      <w:lvlText w:val="%1)"/>
      <w:lvlJc w:val="left"/>
      <w:pPr>
        <w:ind w:left="425" w:hanging="425"/>
      </w:pPr>
      <w:rPr>
        <w:rFonts w:hint="default"/>
      </w:rPr>
    </w:lvl>
  </w:abstractNum>
  <w:abstractNum w:abstractNumId="25">
    <w:nsid w:val="46E457ED"/>
    <w:multiLevelType w:val="singleLevel"/>
    <w:tmpl w:val="46E457ED"/>
    <w:lvl w:ilvl="0" w:tentative="0">
      <w:start w:val="1"/>
      <w:numFmt w:val="decimal"/>
      <w:lvlText w:val="%1)"/>
      <w:lvlJc w:val="left"/>
      <w:pPr>
        <w:ind w:left="425" w:hanging="425"/>
      </w:pPr>
      <w:rPr>
        <w:rFonts w:hint="default"/>
      </w:rPr>
    </w:lvl>
  </w:abstractNum>
  <w:abstractNum w:abstractNumId="26">
    <w:nsid w:val="4FD050FE"/>
    <w:multiLevelType w:val="singleLevel"/>
    <w:tmpl w:val="4FD050FE"/>
    <w:lvl w:ilvl="0" w:tentative="0">
      <w:start w:val="1"/>
      <w:numFmt w:val="decimal"/>
      <w:lvlText w:val="%1)"/>
      <w:lvlJc w:val="left"/>
      <w:pPr>
        <w:ind w:left="425" w:hanging="425"/>
      </w:pPr>
      <w:rPr>
        <w:rFonts w:hint="default"/>
      </w:rPr>
    </w:lvl>
  </w:abstractNum>
  <w:abstractNum w:abstractNumId="27">
    <w:nsid w:val="5AE0118E"/>
    <w:multiLevelType w:val="singleLevel"/>
    <w:tmpl w:val="5AE0118E"/>
    <w:lvl w:ilvl="0" w:tentative="0">
      <w:start w:val="5"/>
      <w:numFmt w:val="decimal"/>
      <w:suff w:val="nothing"/>
      <w:lvlText w:val="%1、"/>
      <w:lvlJc w:val="left"/>
      <w:rPr>
        <w:rFonts w:cs="Times New Roman"/>
      </w:rPr>
    </w:lvl>
  </w:abstractNum>
  <w:abstractNum w:abstractNumId="28">
    <w:nsid w:val="5B2C6A6F"/>
    <w:multiLevelType w:val="multilevel"/>
    <w:tmpl w:val="5B2C6A6F"/>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9">
    <w:nsid w:val="649623A8"/>
    <w:multiLevelType w:val="singleLevel"/>
    <w:tmpl w:val="649623A8"/>
    <w:lvl w:ilvl="0" w:tentative="0">
      <w:start w:val="1"/>
      <w:numFmt w:val="decimal"/>
      <w:suff w:val="nothing"/>
      <w:lvlText w:val="%1、"/>
      <w:lvlJc w:val="left"/>
    </w:lvl>
  </w:abstractNum>
  <w:abstractNum w:abstractNumId="30">
    <w:nsid w:val="6A0E5B1A"/>
    <w:multiLevelType w:val="multilevel"/>
    <w:tmpl w:val="6A0E5B1A"/>
    <w:lvl w:ilvl="0" w:tentative="0">
      <w:start w:val="7"/>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1">
    <w:nsid w:val="7E6122DE"/>
    <w:multiLevelType w:val="multilevel"/>
    <w:tmpl w:val="7E6122DE"/>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12"/>
  </w:num>
  <w:num w:numId="2">
    <w:abstractNumId w:val="15"/>
  </w:num>
  <w:num w:numId="3">
    <w:abstractNumId w:val="27"/>
  </w:num>
  <w:num w:numId="4">
    <w:abstractNumId w:val="16"/>
  </w:num>
  <w:num w:numId="5">
    <w:abstractNumId w:val="10"/>
  </w:num>
  <w:num w:numId="6">
    <w:abstractNumId w:val="17"/>
  </w:num>
  <w:num w:numId="7">
    <w:abstractNumId w:val="8"/>
  </w:num>
  <w:num w:numId="8">
    <w:abstractNumId w:val="11"/>
  </w:num>
  <w:num w:numId="9">
    <w:abstractNumId w:val="19"/>
  </w:num>
  <w:num w:numId="10">
    <w:abstractNumId w:val="18"/>
  </w:num>
  <w:num w:numId="11">
    <w:abstractNumId w:val="22"/>
  </w:num>
  <w:num w:numId="12">
    <w:abstractNumId w:val="21"/>
  </w:num>
  <w:num w:numId="13">
    <w:abstractNumId w:val="1"/>
  </w:num>
  <w:num w:numId="14">
    <w:abstractNumId w:val="14"/>
  </w:num>
  <w:num w:numId="15">
    <w:abstractNumId w:val="26"/>
  </w:num>
  <w:num w:numId="16">
    <w:abstractNumId w:val="3"/>
  </w:num>
  <w:num w:numId="17">
    <w:abstractNumId w:val="0"/>
  </w:num>
  <w:num w:numId="18">
    <w:abstractNumId w:val="9"/>
  </w:num>
  <w:num w:numId="19">
    <w:abstractNumId w:val="5"/>
  </w:num>
  <w:num w:numId="20">
    <w:abstractNumId w:val="4"/>
  </w:num>
  <w:num w:numId="21">
    <w:abstractNumId w:val="2"/>
  </w:num>
  <w:num w:numId="22">
    <w:abstractNumId w:val="7"/>
  </w:num>
  <w:num w:numId="23">
    <w:abstractNumId w:val="25"/>
  </w:num>
  <w:num w:numId="24">
    <w:abstractNumId w:val="29"/>
  </w:num>
  <w:num w:numId="25">
    <w:abstractNumId w:val="13"/>
  </w:num>
  <w:num w:numId="26">
    <w:abstractNumId w:val="6"/>
  </w:num>
  <w:num w:numId="27">
    <w:abstractNumId w:val="30"/>
  </w:num>
  <w:num w:numId="28">
    <w:abstractNumId w:val="20"/>
  </w:num>
  <w:num w:numId="29">
    <w:abstractNumId w:val="23"/>
  </w:num>
  <w:num w:numId="30">
    <w:abstractNumId w:val="24"/>
  </w:num>
  <w:num w:numId="31">
    <w:abstractNumId w:val="28"/>
  </w:num>
  <w:num w:numId="3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50"/>
  <w:drawingGridHorizontalSpacing w:val="191"/>
  <w:drawingGridVerticalSpacing w:val="145"/>
  <w:displayHorizontalDrawingGridEvery w:val="1"/>
  <w:displayVerticalDrawingGridEvery w:val="1"/>
  <w:noPunctuationKerning w:val="1"/>
  <w:characterSpacingControl w:val="compressPunctuation"/>
  <w:noLineBreaksAfter w:lang="zh-CN" w:val="([{·‘“〈《「『【〔〖﹝＄（．［｛￡￥"/>
  <w:noLineBreaksBefore w:lang="zh-CN" w:val="!),.:;?]}¨·ˇˉ―‖’”…∶、。〃々〉》」』】〕〗﹜﹞！＂％＇），．：；？］｀｜｝～￠"/>
  <w:doNotValidateAgainstSchema/>
  <w:doNotDemarcateInvalidXml/>
  <w:hdrShapeDefaults>
    <o:shapelayout v:ext="edit">
      <o:idmap v:ext="edit" data="3"/>
    </o:shapelayout>
  </w:hdrShapeDefaults>
  <w:compat>
    <w:spaceForUL/>
    <w:balanceSingleByteDoubleByteWidth/>
    <w:doNotLeaveBackslashAlone/>
    <w:doNotExpandShiftReturn/>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DocEmbSo288D9210IDS19" w:val="x?S???x???ile:///C:\Users\Administrator\Desktop\2??x???:\Users\Administrator\Desktop\~WRD2365.tmp2??x???2??x???2??'0????????????????????????¡§????????????????????????????????¡§?????????????????????"/>
    <w:docVar w:name="DocEmbSo331944DFIDS19" w:val="C:\Users\Administrator\Desktop\???????????????????¡ì?????????????????????????¡ì????????????????????????????????¡ì?????????????????????????¡ì?????????????????????????????????¡§??????????????0812????????????????????¡ì?????????1??.d"/>
    <w:docVar w:name="DocEmbSo337647F9IDS19" w:val="???X??? ??????$?? ??????????????????????¨¬????????????????????????????¨¬??????????????????u????????????????????¡ì?????????????????????????????¡ì????????????????d?????????????????????¨¬????????????????????????????¨¬?????????????$%??}????????????????????¡ì???????????J??CM?Y??????????F?€€?????????????????????¡ì???????????}%??"/>
  </w:docVars>
  <w:rsids>
    <w:rsidRoot w:val="00172A27"/>
    <w:rsid w:val="0000478B"/>
    <w:rsid w:val="00044A03"/>
    <w:rsid w:val="000626DD"/>
    <w:rsid w:val="000904F1"/>
    <w:rsid w:val="000C678F"/>
    <w:rsid w:val="000E2449"/>
    <w:rsid w:val="00131905"/>
    <w:rsid w:val="00162C5D"/>
    <w:rsid w:val="00172A27"/>
    <w:rsid w:val="00182A74"/>
    <w:rsid w:val="001914BD"/>
    <w:rsid w:val="00194DBA"/>
    <w:rsid w:val="00195DA1"/>
    <w:rsid w:val="00205145"/>
    <w:rsid w:val="00243E3D"/>
    <w:rsid w:val="00246731"/>
    <w:rsid w:val="00276B8B"/>
    <w:rsid w:val="002C1BB4"/>
    <w:rsid w:val="002D5FC0"/>
    <w:rsid w:val="002F4ECD"/>
    <w:rsid w:val="002F5066"/>
    <w:rsid w:val="00302DBF"/>
    <w:rsid w:val="00305EEA"/>
    <w:rsid w:val="00323006"/>
    <w:rsid w:val="00356D4F"/>
    <w:rsid w:val="00370188"/>
    <w:rsid w:val="00386985"/>
    <w:rsid w:val="003C419A"/>
    <w:rsid w:val="003D1EDA"/>
    <w:rsid w:val="003F33E7"/>
    <w:rsid w:val="00423430"/>
    <w:rsid w:val="00432143"/>
    <w:rsid w:val="0046019C"/>
    <w:rsid w:val="00465637"/>
    <w:rsid w:val="00471882"/>
    <w:rsid w:val="004772C0"/>
    <w:rsid w:val="004D1A53"/>
    <w:rsid w:val="00517D33"/>
    <w:rsid w:val="00527409"/>
    <w:rsid w:val="0053706A"/>
    <w:rsid w:val="00566766"/>
    <w:rsid w:val="005735D4"/>
    <w:rsid w:val="00575932"/>
    <w:rsid w:val="00576D88"/>
    <w:rsid w:val="005B2561"/>
    <w:rsid w:val="005D2392"/>
    <w:rsid w:val="006519FF"/>
    <w:rsid w:val="006769D2"/>
    <w:rsid w:val="0067730B"/>
    <w:rsid w:val="0069381A"/>
    <w:rsid w:val="006B69AC"/>
    <w:rsid w:val="006C069F"/>
    <w:rsid w:val="006E1D66"/>
    <w:rsid w:val="00761902"/>
    <w:rsid w:val="00774762"/>
    <w:rsid w:val="007838AB"/>
    <w:rsid w:val="0082141B"/>
    <w:rsid w:val="008F5DC5"/>
    <w:rsid w:val="00920411"/>
    <w:rsid w:val="00991453"/>
    <w:rsid w:val="00995536"/>
    <w:rsid w:val="009A405D"/>
    <w:rsid w:val="009B1504"/>
    <w:rsid w:val="009D2573"/>
    <w:rsid w:val="009D5D9A"/>
    <w:rsid w:val="009F1C91"/>
    <w:rsid w:val="00A35668"/>
    <w:rsid w:val="00A457A3"/>
    <w:rsid w:val="00A45B84"/>
    <w:rsid w:val="00A478A0"/>
    <w:rsid w:val="00A540D0"/>
    <w:rsid w:val="00A75CA1"/>
    <w:rsid w:val="00AA49DB"/>
    <w:rsid w:val="00AD5758"/>
    <w:rsid w:val="00AF6B68"/>
    <w:rsid w:val="00B0178F"/>
    <w:rsid w:val="00B03677"/>
    <w:rsid w:val="00B14739"/>
    <w:rsid w:val="00B3167C"/>
    <w:rsid w:val="00BF1996"/>
    <w:rsid w:val="00BF5D8C"/>
    <w:rsid w:val="00C22CF4"/>
    <w:rsid w:val="00C30279"/>
    <w:rsid w:val="00C37280"/>
    <w:rsid w:val="00C42EEE"/>
    <w:rsid w:val="00CE6A2C"/>
    <w:rsid w:val="00CF633E"/>
    <w:rsid w:val="00D0384D"/>
    <w:rsid w:val="00D20821"/>
    <w:rsid w:val="00D2184F"/>
    <w:rsid w:val="00D262AB"/>
    <w:rsid w:val="00D76286"/>
    <w:rsid w:val="00D90AF6"/>
    <w:rsid w:val="00DB598B"/>
    <w:rsid w:val="00DD5723"/>
    <w:rsid w:val="00DE31F6"/>
    <w:rsid w:val="00E17C0E"/>
    <w:rsid w:val="00E352B5"/>
    <w:rsid w:val="00E5162D"/>
    <w:rsid w:val="00E6261D"/>
    <w:rsid w:val="00E849CB"/>
    <w:rsid w:val="00EA13C3"/>
    <w:rsid w:val="00EB7236"/>
    <w:rsid w:val="00F5673C"/>
    <w:rsid w:val="00FC0E0C"/>
    <w:rsid w:val="00FD1F62"/>
    <w:rsid w:val="00FD3231"/>
    <w:rsid w:val="00FD5088"/>
    <w:rsid w:val="012347B7"/>
    <w:rsid w:val="01267FBC"/>
    <w:rsid w:val="01367B2E"/>
    <w:rsid w:val="013B7FED"/>
    <w:rsid w:val="01477457"/>
    <w:rsid w:val="01483AE6"/>
    <w:rsid w:val="016018AA"/>
    <w:rsid w:val="016171C3"/>
    <w:rsid w:val="0175408A"/>
    <w:rsid w:val="0178463B"/>
    <w:rsid w:val="01833406"/>
    <w:rsid w:val="018B4463"/>
    <w:rsid w:val="018B6312"/>
    <w:rsid w:val="019D0F86"/>
    <w:rsid w:val="019F1051"/>
    <w:rsid w:val="01B0280C"/>
    <w:rsid w:val="01F92DB9"/>
    <w:rsid w:val="02177898"/>
    <w:rsid w:val="02227C57"/>
    <w:rsid w:val="022C7141"/>
    <w:rsid w:val="02347B0F"/>
    <w:rsid w:val="023A5D18"/>
    <w:rsid w:val="023D5D3A"/>
    <w:rsid w:val="027236E2"/>
    <w:rsid w:val="02A254D3"/>
    <w:rsid w:val="02B053ED"/>
    <w:rsid w:val="02B16F47"/>
    <w:rsid w:val="02C248BF"/>
    <w:rsid w:val="02D35B8B"/>
    <w:rsid w:val="02D601CF"/>
    <w:rsid w:val="02DC73A5"/>
    <w:rsid w:val="02E45A48"/>
    <w:rsid w:val="02EE0490"/>
    <w:rsid w:val="02F42AF4"/>
    <w:rsid w:val="02FA6999"/>
    <w:rsid w:val="03190F6E"/>
    <w:rsid w:val="03261ED3"/>
    <w:rsid w:val="03522D6F"/>
    <w:rsid w:val="036E457D"/>
    <w:rsid w:val="03741D26"/>
    <w:rsid w:val="037B55A1"/>
    <w:rsid w:val="037E752F"/>
    <w:rsid w:val="03B865B7"/>
    <w:rsid w:val="03D9691B"/>
    <w:rsid w:val="03E35D9F"/>
    <w:rsid w:val="03F0148C"/>
    <w:rsid w:val="04052A76"/>
    <w:rsid w:val="040E3633"/>
    <w:rsid w:val="041626B7"/>
    <w:rsid w:val="042D27C9"/>
    <w:rsid w:val="044010E0"/>
    <w:rsid w:val="046E0BCD"/>
    <w:rsid w:val="048F2EAC"/>
    <w:rsid w:val="04A813F0"/>
    <w:rsid w:val="04BD332D"/>
    <w:rsid w:val="04C60BF6"/>
    <w:rsid w:val="04C64C86"/>
    <w:rsid w:val="04D04155"/>
    <w:rsid w:val="04D46BF9"/>
    <w:rsid w:val="04D83675"/>
    <w:rsid w:val="04F856AF"/>
    <w:rsid w:val="050837CA"/>
    <w:rsid w:val="0526784C"/>
    <w:rsid w:val="052E7492"/>
    <w:rsid w:val="055838CE"/>
    <w:rsid w:val="055D0DAD"/>
    <w:rsid w:val="05617CA7"/>
    <w:rsid w:val="05755832"/>
    <w:rsid w:val="05817010"/>
    <w:rsid w:val="05834B6F"/>
    <w:rsid w:val="05C6569E"/>
    <w:rsid w:val="05D03DF4"/>
    <w:rsid w:val="05E04535"/>
    <w:rsid w:val="05E35544"/>
    <w:rsid w:val="05F0753E"/>
    <w:rsid w:val="060D342D"/>
    <w:rsid w:val="060F5DD5"/>
    <w:rsid w:val="06250628"/>
    <w:rsid w:val="064B02D7"/>
    <w:rsid w:val="064C4C30"/>
    <w:rsid w:val="06542070"/>
    <w:rsid w:val="06562376"/>
    <w:rsid w:val="066F3069"/>
    <w:rsid w:val="06893342"/>
    <w:rsid w:val="069444F0"/>
    <w:rsid w:val="06AB0347"/>
    <w:rsid w:val="06B35D6A"/>
    <w:rsid w:val="06C26570"/>
    <w:rsid w:val="06D23153"/>
    <w:rsid w:val="06D80483"/>
    <w:rsid w:val="06FD7E11"/>
    <w:rsid w:val="07011658"/>
    <w:rsid w:val="07255034"/>
    <w:rsid w:val="072E64EA"/>
    <w:rsid w:val="074D6753"/>
    <w:rsid w:val="075258A9"/>
    <w:rsid w:val="075713E8"/>
    <w:rsid w:val="076C384E"/>
    <w:rsid w:val="077924D4"/>
    <w:rsid w:val="078475F2"/>
    <w:rsid w:val="078B0666"/>
    <w:rsid w:val="07963322"/>
    <w:rsid w:val="07BD01C3"/>
    <w:rsid w:val="07BD0F68"/>
    <w:rsid w:val="07BD4DD1"/>
    <w:rsid w:val="08010237"/>
    <w:rsid w:val="08071830"/>
    <w:rsid w:val="080776C4"/>
    <w:rsid w:val="080B3E19"/>
    <w:rsid w:val="08121A78"/>
    <w:rsid w:val="081F4806"/>
    <w:rsid w:val="0829532F"/>
    <w:rsid w:val="08397BFF"/>
    <w:rsid w:val="08490850"/>
    <w:rsid w:val="085415DF"/>
    <w:rsid w:val="087C3B7A"/>
    <w:rsid w:val="087E432D"/>
    <w:rsid w:val="08873EAB"/>
    <w:rsid w:val="089116C8"/>
    <w:rsid w:val="08BA02CC"/>
    <w:rsid w:val="08CE65E6"/>
    <w:rsid w:val="08D614C7"/>
    <w:rsid w:val="0908208A"/>
    <w:rsid w:val="095B245E"/>
    <w:rsid w:val="09646610"/>
    <w:rsid w:val="09654F95"/>
    <w:rsid w:val="09782E97"/>
    <w:rsid w:val="098A0D6C"/>
    <w:rsid w:val="09955B90"/>
    <w:rsid w:val="0996643B"/>
    <w:rsid w:val="09A1593F"/>
    <w:rsid w:val="09A3603A"/>
    <w:rsid w:val="09CA79E9"/>
    <w:rsid w:val="09E9599C"/>
    <w:rsid w:val="09F55CE3"/>
    <w:rsid w:val="0A014875"/>
    <w:rsid w:val="0A0F1EA6"/>
    <w:rsid w:val="0A0F6BF1"/>
    <w:rsid w:val="0A1A3BD9"/>
    <w:rsid w:val="0A405D2D"/>
    <w:rsid w:val="0A5A6458"/>
    <w:rsid w:val="0A6C0ACF"/>
    <w:rsid w:val="0A6F663E"/>
    <w:rsid w:val="0A7C58C9"/>
    <w:rsid w:val="0A8054FA"/>
    <w:rsid w:val="0A844C62"/>
    <w:rsid w:val="0AC241A3"/>
    <w:rsid w:val="0AC63BD6"/>
    <w:rsid w:val="0AD00FE0"/>
    <w:rsid w:val="0AE21508"/>
    <w:rsid w:val="0AE73FAC"/>
    <w:rsid w:val="0AE77507"/>
    <w:rsid w:val="0AEF47FB"/>
    <w:rsid w:val="0AF9564E"/>
    <w:rsid w:val="0B07100B"/>
    <w:rsid w:val="0B1B6B69"/>
    <w:rsid w:val="0B790DB1"/>
    <w:rsid w:val="0B8D10E4"/>
    <w:rsid w:val="0B981026"/>
    <w:rsid w:val="0BBC755F"/>
    <w:rsid w:val="0C3E6AC4"/>
    <w:rsid w:val="0C3F09BC"/>
    <w:rsid w:val="0C4D1511"/>
    <w:rsid w:val="0C620D79"/>
    <w:rsid w:val="0C6B59DB"/>
    <w:rsid w:val="0C993171"/>
    <w:rsid w:val="0C9A2D16"/>
    <w:rsid w:val="0CA61420"/>
    <w:rsid w:val="0CAB22B6"/>
    <w:rsid w:val="0CAC6AE8"/>
    <w:rsid w:val="0CC37BE2"/>
    <w:rsid w:val="0CC64DD0"/>
    <w:rsid w:val="0CE95F5F"/>
    <w:rsid w:val="0CF4329D"/>
    <w:rsid w:val="0D086F79"/>
    <w:rsid w:val="0D0B7061"/>
    <w:rsid w:val="0D2A2B39"/>
    <w:rsid w:val="0D3E6C92"/>
    <w:rsid w:val="0D4E351D"/>
    <w:rsid w:val="0D507D0D"/>
    <w:rsid w:val="0D5A688D"/>
    <w:rsid w:val="0D6774D6"/>
    <w:rsid w:val="0D853DE8"/>
    <w:rsid w:val="0D8D2290"/>
    <w:rsid w:val="0D9945DA"/>
    <w:rsid w:val="0D99769E"/>
    <w:rsid w:val="0DCE62FF"/>
    <w:rsid w:val="0DD80D8A"/>
    <w:rsid w:val="0DE02318"/>
    <w:rsid w:val="0E007950"/>
    <w:rsid w:val="0E090B33"/>
    <w:rsid w:val="0E150C48"/>
    <w:rsid w:val="0E172A1B"/>
    <w:rsid w:val="0E1967C1"/>
    <w:rsid w:val="0E2F42D1"/>
    <w:rsid w:val="0E3B2EEC"/>
    <w:rsid w:val="0E4D3146"/>
    <w:rsid w:val="0E6F5851"/>
    <w:rsid w:val="0E770F0B"/>
    <w:rsid w:val="0E772D56"/>
    <w:rsid w:val="0EAF3CFB"/>
    <w:rsid w:val="0ECB11B5"/>
    <w:rsid w:val="0ED22571"/>
    <w:rsid w:val="0ED7443F"/>
    <w:rsid w:val="0ED974C9"/>
    <w:rsid w:val="0EDB0F07"/>
    <w:rsid w:val="0EEE03B8"/>
    <w:rsid w:val="0EF512E5"/>
    <w:rsid w:val="0F167C07"/>
    <w:rsid w:val="0F2A62A0"/>
    <w:rsid w:val="0F501C07"/>
    <w:rsid w:val="0F507736"/>
    <w:rsid w:val="0F692D5A"/>
    <w:rsid w:val="0F7449C0"/>
    <w:rsid w:val="0F8628E6"/>
    <w:rsid w:val="0F9C2A4D"/>
    <w:rsid w:val="0FA82E1F"/>
    <w:rsid w:val="0FA96252"/>
    <w:rsid w:val="0FB03457"/>
    <w:rsid w:val="0FBC441C"/>
    <w:rsid w:val="0FC95D8D"/>
    <w:rsid w:val="0FE576A4"/>
    <w:rsid w:val="0FEA2AA1"/>
    <w:rsid w:val="104352A2"/>
    <w:rsid w:val="104F28D6"/>
    <w:rsid w:val="1052003D"/>
    <w:rsid w:val="10632D51"/>
    <w:rsid w:val="10840EB5"/>
    <w:rsid w:val="10847FCD"/>
    <w:rsid w:val="1086577E"/>
    <w:rsid w:val="10980533"/>
    <w:rsid w:val="10A34487"/>
    <w:rsid w:val="10B72F5D"/>
    <w:rsid w:val="10BC57A4"/>
    <w:rsid w:val="10BD3919"/>
    <w:rsid w:val="10C1206B"/>
    <w:rsid w:val="10C95AA0"/>
    <w:rsid w:val="10CF6159"/>
    <w:rsid w:val="10F75CBD"/>
    <w:rsid w:val="10FE5ED8"/>
    <w:rsid w:val="110045A1"/>
    <w:rsid w:val="110E4253"/>
    <w:rsid w:val="11421803"/>
    <w:rsid w:val="11442249"/>
    <w:rsid w:val="114D3221"/>
    <w:rsid w:val="117D1A08"/>
    <w:rsid w:val="11AF39F6"/>
    <w:rsid w:val="11E95CE2"/>
    <w:rsid w:val="11E96D3A"/>
    <w:rsid w:val="11EA4504"/>
    <w:rsid w:val="120129C4"/>
    <w:rsid w:val="120301D5"/>
    <w:rsid w:val="124219E9"/>
    <w:rsid w:val="12496D2B"/>
    <w:rsid w:val="12510410"/>
    <w:rsid w:val="125D168B"/>
    <w:rsid w:val="126B3ACC"/>
    <w:rsid w:val="127B5B8A"/>
    <w:rsid w:val="12815604"/>
    <w:rsid w:val="12861902"/>
    <w:rsid w:val="128B4771"/>
    <w:rsid w:val="1297465C"/>
    <w:rsid w:val="129E3A93"/>
    <w:rsid w:val="12E37BC0"/>
    <w:rsid w:val="12F234F4"/>
    <w:rsid w:val="12F31760"/>
    <w:rsid w:val="12F75240"/>
    <w:rsid w:val="13111C23"/>
    <w:rsid w:val="13153B92"/>
    <w:rsid w:val="132F60FE"/>
    <w:rsid w:val="13410E38"/>
    <w:rsid w:val="136658C4"/>
    <w:rsid w:val="136B4814"/>
    <w:rsid w:val="13734AB8"/>
    <w:rsid w:val="1377104B"/>
    <w:rsid w:val="137E50DC"/>
    <w:rsid w:val="138F504A"/>
    <w:rsid w:val="139103F2"/>
    <w:rsid w:val="13963CB0"/>
    <w:rsid w:val="13A64BAD"/>
    <w:rsid w:val="13B449C3"/>
    <w:rsid w:val="13BA0ACF"/>
    <w:rsid w:val="13CE3C39"/>
    <w:rsid w:val="13D705AF"/>
    <w:rsid w:val="13F906A1"/>
    <w:rsid w:val="140C65BF"/>
    <w:rsid w:val="14272C54"/>
    <w:rsid w:val="143945FD"/>
    <w:rsid w:val="14497C26"/>
    <w:rsid w:val="144C1E1B"/>
    <w:rsid w:val="145B5728"/>
    <w:rsid w:val="14744D84"/>
    <w:rsid w:val="1476244A"/>
    <w:rsid w:val="147D31D6"/>
    <w:rsid w:val="1487005D"/>
    <w:rsid w:val="14970036"/>
    <w:rsid w:val="14A251C4"/>
    <w:rsid w:val="14AB5BA1"/>
    <w:rsid w:val="14D51C51"/>
    <w:rsid w:val="14DD57E6"/>
    <w:rsid w:val="14E37F8F"/>
    <w:rsid w:val="15031F47"/>
    <w:rsid w:val="15046A51"/>
    <w:rsid w:val="15431BD8"/>
    <w:rsid w:val="1544535D"/>
    <w:rsid w:val="155C65D2"/>
    <w:rsid w:val="156231BF"/>
    <w:rsid w:val="15772110"/>
    <w:rsid w:val="157D04F6"/>
    <w:rsid w:val="158762D8"/>
    <w:rsid w:val="158A61CC"/>
    <w:rsid w:val="15AA5AE6"/>
    <w:rsid w:val="15B863E2"/>
    <w:rsid w:val="15C17AA5"/>
    <w:rsid w:val="15C336BD"/>
    <w:rsid w:val="15D86AE1"/>
    <w:rsid w:val="15E11A76"/>
    <w:rsid w:val="15EC15CC"/>
    <w:rsid w:val="16053F66"/>
    <w:rsid w:val="16060B72"/>
    <w:rsid w:val="160A6351"/>
    <w:rsid w:val="160E6831"/>
    <w:rsid w:val="161367AB"/>
    <w:rsid w:val="16165FE6"/>
    <w:rsid w:val="161F1F07"/>
    <w:rsid w:val="164875A5"/>
    <w:rsid w:val="16634357"/>
    <w:rsid w:val="167D4F4F"/>
    <w:rsid w:val="16993D4F"/>
    <w:rsid w:val="16BF72A7"/>
    <w:rsid w:val="16DF10FC"/>
    <w:rsid w:val="16ED1D96"/>
    <w:rsid w:val="1702105F"/>
    <w:rsid w:val="170A75B6"/>
    <w:rsid w:val="1714786D"/>
    <w:rsid w:val="17172E9F"/>
    <w:rsid w:val="1721333A"/>
    <w:rsid w:val="17507554"/>
    <w:rsid w:val="175F1414"/>
    <w:rsid w:val="17682F23"/>
    <w:rsid w:val="178017C5"/>
    <w:rsid w:val="17862DA8"/>
    <w:rsid w:val="178C35AF"/>
    <w:rsid w:val="17B02FF0"/>
    <w:rsid w:val="17B113C3"/>
    <w:rsid w:val="17B331B6"/>
    <w:rsid w:val="17CB4092"/>
    <w:rsid w:val="17D016D3"/>
    <w:rsid w:val="17D63E38"/>
    <w:rsid w:val="17F41C17"/>
    <w:rsid w:val="1803064D"/>
    <w:rsid w:val="18047FD8"/>
    <w:rsid w:val="180E66C1"/>
    <w:rsid w:val="18236CCC"/>
    <w:rsid w:val="18274AC7"/>
    <w:rsid w:val="18294C2A"/>
    <w:rsid w:val="183752E1"/>
    <w:rsid w:val="18433E74"/>
    <w:rsid w:val="185264A3"/>
    <w:rsid w:val="18616FBC"/>
    <w:rsid w:val="187A0FF6"/>
    <w:rsid w:val="18831711"/>
    <w:rsid w:val="188651D5"/>
    <w:rsid w:val="189F70A8"/>
    <w:rsid w:val="18C37E50"/>
    <w:rsid w:val="18CB405A"/>
    <w:rsid w:val="18EB1198"/>
    <w:rsid w:val="18EB3D30"/>
    <w:rsid w:val="18EF7421"/>
    <w:rsid w:val="18FE2E17"/>
    <w:rsid w:val="19142D5E"/>
    <w:rsid w:val="19194C0B"/>
    <w:rsid w:val="191C17C0"/>
    <w:rsid w:val="193A692A"/>
    <w:rsid w:val="194B5E15"/>
    <w:rsid w:val="194C631E"/>
    <w:rsid w:val="195F6EF9"/>
    <w:rsid w:val="196A0B47"/>
    <w:rsid w:val="198056E5"/>
    <w:rsid w:val="198236EE"/>
    <w:rsid w:val="19862474"/>
    <w:rsid w:val="198854CF"/>
    <w:rsid w:val="198E5062"/>
    <w:rsid w:val="19BA593C"/>
    <w:rsid w:val="19C76609"/>
    <w:rsid w:val="19CB2001"/>
    <w:rsid w:val="19DA4BAF"/>
    <w:rsid w:val="19F75513"/>
    <w:rsid w:val="1A233813"/>
    <w:rsid w:val="1A6B7E1C"/>
    <w:rsid w:val="1AA8346A"/>
    <w:rsid w:val="1AAD7C8B"/>
    <w:rsid w:val="1AB07BA3"/>
    <w:rsid w:val="1ADA7273"/>
    <w:rsid w:val="1ADE7EC1"/>
    <w:rsid w:val="1AE16342"/>
    <w:rsid w:val="1AE63CDE"/>
    <w:rsid w:val="1AF47D69"/>
    <w:rsid w:val="1B0765B6"/>
    <w:rsid w:val="1B3D67C6"/>
    <w:rsid w:val="1B3E5015"/>
    <w:rsid w:val="1B440C4F"/>
    <w:rsid w:val="1B650452"/>
    <w:rsid w:val="1B6B0C3C"/>
    <w:rsid w:val="1B6E0CCB"/>
    <w:rsid w:val="1B7319FB"/>
    <w:rsid w:val="1B7F3A95"/>
    <w:rsid w:val="1B835053"/>
    <w:rsid w:val="1B9C3B8A"/>
    <w:rsid w:val="1BBC1D6E"/>
    <w:rsid w:val="1BCE25D1"/>
    <w:rsid w:val="1BE94888"/>
    <w:rsid w:val="1C676D69"/>
    <w:rsid w:val="1C6B1C30"/>
    <w:rsid w:val="1C960BD9"/>
    <w:rsid w:val="1CDA24D0"/>
    <w:rsid w:val="1CEA0481"/>
    <w:rsid w:val="1CEF4CDC"/>
    <w:rsid w:val="1CF80043"/>
    <w:rsid w:val="1CF84FA8"/>
    <w:rsid w:val="1D0B688C"/>
    <w:rsid w:val="1D2A03E0"/>
    <w:rsid w:val="1D4072F6"/>
    <w:rsid w:val="1D7442DF"/>
    <w:rsid w:val="1D7C7E64"/>
    <w:rsid w:val="1D897F94"/>
    <w:rsid w:val="1D904EA6"/>
    <w:rsid w:val="1D9C3BA7"/>
    <w:rsid w:val="1DA03982"/>
    <w:rsid w:val="1DA6482E"/>
    <w:rsid w:val="1DC72E00"/>
    <w:rsid w:val="1DCC1FD2"/>
    <w:rsid w:val="1DCD5344"/>
    <w:rsid w:val="1DD84FE2"/>
    <w:rsid w:val="1DD9314E"/>
    <w:rsid w:val="1DE514B9"/>
    <w:rsid w:val="1E10357E"/>
    <w:rsid w:val="1E1B3F90"/>
    <w:rsid w:val="1E711D3D"/>
    <w:rsid w:val="1E7A7A7D"/>
    <w:rsid w:val="1EC36841"/>
    <w:rsid w:val="1EC91419"/>
    <w:rsid w:val="1ED46122"/>
    <w:rsid w:val="1EDA73E1"/>
    <w:rsid w:val="1EE7441B"/>
    <w:rsid w:val="1F083EC3"/>
    <w:rsid w:val="1F091532"/>
    <w:rsid w:val="1F363982"/>
    <w:rsid w:val="1F39229F"/>
    <w:rsid w:val="1F574973"/>
    <w:rsid w:val="1F9E611E"/>
    <w:rsid w:val="1FB10B7E"/>
    <w:rsid w:val="1FB57903"/>
    <w:rsid w:val="1FC2047B"/>
    <w:rsid w:val="1FF33CDA"/>
    <w:rsid w:val="1FFB5863"/>
    <w:rsid w:val="1FFC257E"/>
    <w:rsid w:val="20093F38"/>
    <w:rsid w:val="20153B98"/>
    <w:rsid w:val="205D5DD0"/>
    <w:rsid w:val="20AE149D"/>
    <w:rsid w:val="20B45D5E"/>
    <w:rsid w:val="20B7137B"/>
    <w:rsid w:val="20DB381D"/>
    <w:rsid w:val="20E51521"/>
    <w:rsid w:val="20E62554"/>
    <w:rsid w:val="214E32E4"/>
    <w:rsid w:val="21577A83"/>
    <w:rsid w:val="215D4DDE"/>
    <w:rsid w:val="21610A7A"/>
    <w:rsid w:val="216B37D0"/>
    <w:rsid w:val="217976A3"/>
    <w:rsid w:val="21B827F2"/>
    <w:rsid w:val="21C46CEC"/>
    <w:rsid w:val="21C5415A"/>
    <w:rsid w:val="21D234BA"/>
    <w:rsid w:val="21D40159"/>
    <w:rsid w:val="21E978A8"/>
    <w:rsid w:val="221832B0"/>
    <w:rsid w:val="22495289"/>
    <w:rsid w:val="224A3975"/>
    <w:rsid w:val="2262123C"/>
    <w:rsid w:val="22652F4C"/>
    <w:rsid w:val="22712127"/>
    <w:rsid w:val="2282753B"/>
    <w:rsid w:val="228E5FD0"/>
    <w:rsid w:val="229C224B"/>
    <w:rsid w:val="229F7773"/>
    <w:rsid w:val="22AF1342"/>
    <w:rsid w:val="22CC59AF"/>
    <w:rsid w:val="22CD0B61"/>
    <w:rsid w:val="22D17F2B"/>
    <w:rsid w:val="22EA0F92"/>
    <w:rsid w:val="231E6A95"/>
    <w:rsid w:val="231F0708"/>
    <w:rsid w:val="231F3121"/>
    <w:rsid w:val="23247FCD"/>
    <w:rsid w:val="23442187"/>
    <w:rsid w:val="234E6121"/>
    <w:rsid w:val="23A25530"/>
    <w:rsid w:val="23CD38EE"/>
    <w:rsid w:val="23DD4EC5"/>
    <w:rsid w:val="23DE5801"/>
    <w:rsid w:val="23EF24BF"/>
    <w:rsid w:val="240A3D34"/>
    <w:rsid w:val="241234A7"/>
    <w:rsid w:val="241F0CB3"/>
    <w:rsid w:val="244D4391"/>
    <w:rsid w:val="24710A0A"/>
    <w:rsid w:val="247A3095"/>
    <w:rsid w:val="2487513F"/>
    <w:rsid w:val="24937AF5"/>
    <w:rsid w:val="24942F10"/>
    <w:rsid w:val="24B60F3A"/>
    <w:rsid w:val="24C15E8D"/>
    <w:rsid w:val="24D875D1"/>
    <w:rsid w:val="24EB025D"/>
    <w:rsid w:val="25024A59"/>
    <w:rsid w:val="250D78DC"/>
    <w:rsid w:val="25103F6B"/>
    <w:rsid w:val="252C2BB4"/>
    <w:rsid w:val="255D7BED"/>
    <w:rsid w:val="25696BEC"/>
    <w:rsid w:val="257379EA"/>
    <w:rsid w:val="259D7AF5"/>
    <w:rsid w:val="25BD613A"/>
    <w:rsid w:val="25CA1020"/>
    <w:rsid w:val="25E30E41"/>
    <w:rsid w:val="25EE1A8D"/>
    <w:rsid w:val="25F83CB3"/>
    <w:rsid w:val="25FD5076"/>
    <w:rsid w:val="260362D3"/>
    <w:rsid w:val="260531C3"/>
    <w:rsid w:val="260D5DE2"/>
    <w:rsid w:val="26136C30"/>
    <w:rsid w:val="26187716"/>
    <w:rsid w:val="26614252"/>
    <w:rsid w:val="26750E3C"/>
    <w:rsid w:val="267968DD"/>
    <w:rsid w:val="2681167F"/>
    <w:rsid w:val="26A230F1"/>
    <w:rsid w:val="26BC1220"/>
    <w:rsid w:val="26C9354E"/>
    <w:rsid w:val="26E36D28"/>
    <w:rsid w:val="270F7F7E"/>
    <w:rsid w:val="271410E3"/>
    <w:rsid w:val="271D10B1"/>
    <w:rsid w:val="27266254"/>
    <w:rsid w:val="273E5A64"/>
    <w:rsid w:val="273F795A"/>
    <w:rsid w:val="274330A7"/>
    <w:rsid w:val="274C1A4C"/>
    <w:rsid w:val="274E0D59"/>
    <w:rsid w:val="27522728"/>
    <w:rsid w:val="27591A0D"/>
    <w:rsid w:val="275A793D"/>
    <w:rsid w:val="27647129"/>
    <w:rsid w:val="279573FC"/>
    <w:rsid w:val="279B6F30"/>
    <w:rsid w:val="27C50EE8"/>
    <w:rsid w:val="27C83924"/>
    <w:rsid w:val="27D17719"/>
    <w:rsid w:val="27D22A70"/>
    <w:rsid w:val="27DA0AFE"/>
    <w:rsid w:val="27DA67B5"/>
    <w:rsid w:val="27DD3D8A"/>
    <w:rsid w:val="27E25F95"/>
    <w:rsid w:val="27F14FB6"/>
    <w:rsid w:val="27F70BA9"/>
    <w:rsid w:val="27FC08D7"/>
    <w:rsid w:val="28011091"/>
    <w:rsid w:val="280C219C"/>
    <w:rsid w:val="280E5E45"/>
    <w:rsid w:val="280F1C18"/>
    <w:rsid w:val="281B4F97"/>
    <w:rsid w:val="281C6476"/>
    <w:rsid w:val="28376F70"/>
    <w:rsid w:val="28400D6D"/>
    <w:rsid w:val="28655342"/>
    <w:rsid w:val="289A2570"/>
    <w:rsid w:val="28AA32D9"/>
    <w:rsid w:val="28B6003D"/>
    <w:rsid w:val="28BE47BE"/>
    <w:rsid w:val="28E307C0"/>
    <w:rsid w:val="28FB727A"/>
    <w:rsid w:val="29111004"/>
    <w:rsid w:val="2916585E"/>
    <w:rsid w:val="29302A01"/>
    <w:rsid w:val="29927EE9"/>
    <w:rsid w:val="29B53A4E"/>
    <w:rsid w:val="29B67DDC"/>
    <w:rsid w:val="29BC7983"/>
    <w:rsid w:val="29C0639D"/>
    <w:rsid w:val="29CE7F54"/>
    <w:rsid w:val="29DE079C"/>
    <w:rsid w:val="29F678ED"/>
    <w:rsid w:val="2A0503EE"/>
    <w:rsid w:val="2A213403"/>
    <w:rsid w:val="2A37334A"/>
    <w:rsid w:val="2A425F8A"/>
    <w:rsid w:val="2A6A01CF"/>
    <w:rsid w:val="2A763C3F"/>
    <w:rsid w:val="2A9161AE"/>
    <w:rsid w:val="2AA208EC"/>
    <w:rsid w:val="2AC6783D"/>
    <w:rsid w:val="2ADC4EDF"/>
    <w:rsid w:val="2AEC2DEC"/>
    <w:rsid w:val="2AFE0462"/>
    <w:rsid w:val="2B0351AB"/>
    <w:rsid w:val="2B3F1BCC"/>
    <w:rsid w:val="2BC0015D"/>
    <w:rsid w:val="2BC33263"/>
    <w:rsid w:val="2BC55D1D"/>
    <w:rsid w:val="2BD346BF"/>
    <w:rsid w:val="2BF0645F"/>
    <w:rsid w:val="2C103E0B"/>
    <w:rsid w:val="2C1D0A52"/>
    <w:rsid w:val="2C406641"/>
    <w:rsid w:val="2C6C41B6"/>
    <w:rsid w:val="2C70101E"/>
    <w:rsid w:val="2C8D48A3"/>
    <w:rsid w:val="2C8E2D71"/>
    <w:rsid w:val="2C906D72"/>
    <w:rsid w:val="2CB32C76"/>
    <w:rsid w:val="2CB4229C"/>
    <w:rsid w:val="2CB92B18"/>
    <w:rsid w:val="2CF12D9F"/>
    <w:rsid w:val="2CF7361C"/>
    <w:rsid w:val="2CFA7496"/>
    <w:rsid w:val="2CFF6EF7"/>
    <w:rsid w:val="2D2C151F"/>
    <w:rsid w:val="2D2C1CEC"/>
    <w:rsid w:val="2D302CE5"/>
    <w:rsid w:val="2D3629D1"/>
    <w:rsid w:val="2D4D04D3"/>
    <w:rsid w:val="2D65674B"/>
    <w:rsid w:val="2D760C43"/>
    <w:rsid w:val="2D7A3452"/>
    <w:rsid w:val="2DA47447"/>
    <w:rsid w:val="2DA53DE6"/>
    <w:rsid w:val="2DBE1E56"/>
    <w:rsid w:val="2DC376DD"/>
    <w:rsid w:val="2E067D83"/>
    <w:rsid w:val="2E162CEE"/>
    <w:rsid w:val="2E1A221B"/>
    <w:rsid w:val="2E274498"/>
    <w:rsid w:val="2E2D3233"/>
    <w:rsid w:val="2E3A551C"/>
    <w:rsid w:val="2E3C63D7"/>
    <w:rsid w:val="2E4C5E50"/>
    <w:rsid w:val="2E692E9D"/>
    <w:rsid w:val="2E8E0891"/>
    <w:rsid w:val="2E9830A2"/>
    <w:rsid w:val="2EA760C8"/>
    <w:rsid w:val="2EBF18B7"/>
    <w:rsid w:val="2ED66A2F"/>
    <w:rsid w:val="2EF14075"/>
    <w:rsid w:val="2F3D1885"/>
    <w:rsid w:val="2F4F2FBB"/>
    <w:rsid w:val="2F6616FB"/>
    <w:rsid w:val="2F6C68D2"/>
    <w:rsid w:val="2F70132B"/>
    <w:rsid w:val="2F7D7574"/>
    <w:rsid w:val="2F9B417A"/>
    <w:rsid w:val="2FAF0639"/>
    <w:rsid w:val="2FC26088"/>
    <w:rsid w:val="2FE71F7E"/>
    <w:rsid w:val="2FED4A2A"/>
    <w:rsid w:val="2FF93510"/>
    <w:rsid w:val="301C20C2"/>
    <w:rsid w:val="30245948"/>
    <w:rsid w:val="302F78CB"/>
    <w:rsid w:val="304609FF"/>
    <w:rsid w:val="304D4243"/>
    <w:rsid w:val="30721654"/>
    <w:rsid w:val="30745A30"/>
    <w:rsid w:val="30C55BD7"/>
    <w:rsid w:val="30C673C6"/>
    <w:rsid w:val="30DF0B95"/>
    <w:rsid w:val="30E3098B"/>
    <w:rsid w:val="30EA0C9B"/>
    <w:rsid w:val="30F04A33"/>
    <w:rsid w:val="30FA0D3D"/>
    <w:rsid w:val="31147393"/>
    <w:rsid w:val="3122396B"/>
    <w:rsid w:val="31241474"/>
    <w:rsid w:val="31285C96"/>
    <w:rsid w:val="312E4C4B"/>
    <w:rsid w:val="31312938"/>
    <w:rsid w:val="313E0E7B"/>
    <w:rsid w:val="31560D46"/>
    <w:rsid w:val="31630E8C"/>
    <w:rsid w:val="316E1F56"/>
    <w:rsid w:val="319D4E65"/>
    <w:rsid w:val="31A91D7F"/>
    <w:rsid w:val="31AC3F86"/>
    <w:rsid w:val="31B07155"/>
    <w:rsid w:val="31BA5FB3"/>
    <w:rsid w:val="31BF2F46"/>
    <w:rsid w:val="31C04C8B"/>
    <w:rsid w:val="31C05C5C"/>
    <w:rsid w:val="31C427BB"/>
    <w:rsid w:val="31E74757"/>
    <w:rsid w:val="31F41846"/>
    <w:rsid w:val="320C1B00"/>
    <w:rsid w:val="322940DE"/>
    <w:rsid w:val="323C4A94"/>
    <w:rsid w:val="32412B20"/>
    <w:rsid w:val="324827C7"/>
    <w:rsid w:val="324F2948"/>
    <w:rsid w:val="324F7F9E"/>
    <w:rsid w:val="32581AE0"/>
    <w:rsid w:val="32631746"/>
    <w:rsid w:val="32820D11"/>
    <w:rsid w:val="32A45645"/>
    <w:rsid w:val="32B91B04"/>
    <w:rsid w:val="32D91938"/>
    <w:rsid w:val="33100032"/>
    <w:rsid w:val="33177552"/>
    <w:rsid w:val="3324428B"/>
    <w:rsid w:val="334D4B72"/>
    <w:rsid w:val="33537E87"/>
    <w:rsid w:val="33562A7C"/>
    <w:rsid w:val="335E5632"/>
    <w:rsid w:val="33626D58"/>
    <w:rsid w:val="33667F60"/>
    <w:rsid w:val="33701250"/>
    <w:rsid w:val="338259C2"/>
    <w:rsid w:val="33876BF0"/>
    <w:rsid w:val="339252AF"/>
    <w:rsid w:val="339B6B78"/>
    <w:rsid w:val="33A857F5"/>
    <w:rsid w:val="33B61575"/>
    <w:rsid w:val="33EF1D0C"/>
    <w:rsid w:val="33FC4F94"/>
    <w:rsid w:val="340E375E"/>
    <w:rsid w:val="341C223F"/>
    <w:rsid w:val="34225AF4"/>
    <w:rsid w:val="3425062E"/>
    <w:rsid w:val="342930CE"/>
    <w:rsid w:val="34301B5F"/>
    <w:rsid w:val="34316BE5"/>
    <w:rsid w:val="3442592A"/>
    <w:rsid w:val="34431263"/>
    <w:rsid w:val="34506B4F"/>
    <w:rsid w:val="345E5704"/>
    <w:rsid w:val="34776A27"/>
    <w:rsid w:val="34823126"/>
    <w:rsid w:val="34986296"/>
    <w:rsid w:val="34CB09E3"/>
    <w:rsid w:val="34D57484"/>
    <w:rsid w:val="34D60E8A"/>
    <w:rsid w:val="34EF1945"/>
    <w:rsid w:val="35016370"/>
    <w:rsid w:val="350A6DBB"/>
    <w:rsid w:val="35401164"/>
    <w:rsid w:val="35443611"/>
    <w:rsid w:val="35695C04"/>
    <w:rsid w:val="357F7A06"/>
    <w:rsid w:val="35873F02"/>
    <w:rsid w:val="358E5E0A"/>
    <w:rsid w:val="35D27572"/>
    <w:rsid w:val="35D73AC3"/>
    <w:rsid w:val="36112DD8"/>
    <w:rsid w:val="36240901"/>
    <w:rsid w:val="362A08E9"/>
    <w:rsid w:val="3640342D"/>
    <w:rsid w:val="369D76FA"/>
    <w:rsid w:val="36A16820"/>
    <w:rsid w:val="36A77B65"/>
    <w:rsid w:val="36AB4C46"/>
    <w:rsid w:val="36B00264"/>
    <w:rsid w:val="36CA22C9"/>
    <w:rsid w:val="36CD27DD"/>
    <w:rsid w:val="36F43CD9"/>
    <w:rsid w:val="36F50FF0"/>
    <w:rsid w:val="370E6157"/>
    <w:rsid w:val="37285211"/>
    <w:rsid w:val="373E147E"/>
    <w:rsid w:val="37440291"/>
    <w:rsid w:val="37616FF2"/>
    <w:rsid w:val="376F4B60"/>
    <w:rsid w:val="37774365"/>
    <w:rsid w:val="379E19F4"/>
    <w:rsid w:val="37A503C1"/>
    <w:rsid w:val="37AB2367"/>
    <w:rsid w:val="37AB3C35"/>
    <w:rsid w:val="37AE1114"/>
    <w:rsid w:val="37DE3958"/>
    <w:rsid w:val="38107A88"/>
    <w:rsid w:val="381941D9"/>
    <w:rsid w:val="381C4496"/>
    <w:rsid w:val="38230347"/>
    <w:rsid w:val="38245841"/>
    <w:rsid w:val="382F21F6"/>
    <w:rsid w:val="3838592B"/>
    <w:rsid w:val="385873D9"/>
    <w:rsid w:val="386D69C1"/>
    <w:rsid w:val="387A4994"/>
    <w:rsid w:val="388A1154"/>
    <w:rsid w:val="389978B1"/>
    <w:rsid w:val="38AB7213"/>
    <w:rsid w:val="38BB74B3"/>
    <w:rsid w:val="38C026D8"/>
    <w:rsid w:val="38C212FE"/>
    <w:rsid w:val="38CC444E"/>
    <w:rsid w:val="38F106D1"/>
    <w:rsid w:val="38F20527"/>
    <w:rsid w:val="38FD4BDC"/>
    <w:rsid w:val="390E2E0B"/>
    <w:rsid w:val="391C30A1"/>
    <w:rsid w:val="3959196E"/>
    <w:rsid w:val="3960729B"/>
    <w:rsid w:val="39764C13"/>
    <w:rsid w:val="397D18BF"/>
    <w:rsid w:val="397D5852"/>
    <w:rsid w:val="398205C3"/>
    <w:rsid w:val="399105D0"/>
    <w:rsid w:val="39955A42"/>
    <w:rsid w:val="39B62462"/>
    <w:rsid w:val="39BE0852"/>
    <w:rsid w:val="39D92EFE"/>
    <w:rsid w:val="39DE4367"/>
    <w:rsid w:val="39E264FC"/>
    <w:rsid w:val="39E56F1A"/>
    <w:rsid w:val="39E72493"/>
    <w:rsid w:val="39EA15D2"/>
    <w:rsid w:val="39EC4F48"/>
    <w:rsid w:val="39F31009"/>
    <w:rsid w:val="3A1B1537"/>
    <w:rsid w:val="3A20028E"/>
    <w:rsid w:val="3A283C67"/>
    <w:rsid w:val="3A3A68A8"/>
    <w:rsid w:val="3A41272A"/>
    <w:rsid w:val="3A4D1BD1"/>
    <w:rsid w:val="3A551997"/>
    <w:rsid w:val="3A5B0712"/>
    <w:rsid w:val="3A6A3CA7"/>
    <w:rsid w:val="3A732F0A"/>
    <w:rsid w:val="3A7F32C6"/>
    <w:rsid w:val="3A992D40"/>
    <w:rsid w:val="3AA008D0"/>
    <w:rsid w:val="3AAD3EFA"/>
    <w:rsid w:val="3AAD5053"/>
    <w:rsid w:val="3AB72BEB"/>
    <w:rsid w:val="3AE47094"/>
    <w:rsid w:val="3AE954D2"/>
    <w:rsid w:val="3B2C5CE6"/>
    <w:rsid w:val="3B5B6B36"/>
    <w:rsid w:val="3B6B0742"/>
    <w:rsid w:val="3B713E35"/>
    <w:rsid w:val="3B843773"/>
    <w:rsid w:val="3BB872AC"/>
    <w:rsid w:val="3BE81CC8"/>
    <w:rsid w:val="3BEB250F"/>
    <w:rsid w:val="3C0122B4"/>
    <w:rsid w:val="3C087D51"/>
    <w:rsid w:val="3C0B47C3"/>
    <w:rsid w:val="3C0F2E5C"/>
    <w:rsid w:val="3C232E49"/>
    <w:rsid w:val="3C5A1F12"/>
    <w:rsid w:val="3C662EDF"/>
    <w:rsid w:val="3C873654"/>
    <w:rsid w:val="3C9A241A"/>
    <w:rsid w:val="3CA72903"/>
    <w:rsid w:val="3CAE4F60"/>
    <w:rsid w:val="3CC10947"/>
    <w:rsid w:val="3CC940A7"/>
    <w:rsid w:val="3CC9647F"/>
    <w:rsid w:val="3CDC2B0A"/>
    <w:rsid w:val="3CE14229"/>
    <w:rsid w:val="3CFC13E0"/>
    <w:rsid w:val="3D092504"/>
    <w:rsid w:val="3D1D3010"/>
    <w:rsid w:val="3D20669A"/>
    <w:rsid w:val="3D212D9D"/>
    <w:rsid w:val="3D3246B3"/>
    <w:rsid w:val="3D5F4271"/>
    <w:rsid w:val="3D700D52"/>
    <w:rsid w:val="3D770A1E"/>
    <w:rsid w:val="3DAD3632"/>
    <w:rsid w:val="3DB01E78"/>
    <w:rsid w:val="3DDE73FA"/>
    <w:rsid w:val="3DE9435F"/>
    <w:rsid w:val="3E053264"/>
    <w:rsid w:val="3E083B2C"/>
    <w:rsid w:val="3E0C40FA"/>
    <w:rsid w:val="3E47031D"/>
    <w:rsid w:val="3E481A2D"/>
    <w:rsid w:val="3E490253"/>
    <w:rsid w:val="3E4B0C50"/>
    <w:rsid w:val="3E802B14"/>
    <w:rsid w:val="3EA4318E"/>
    <w:rsid w:val="3EB021FA"/>
    <w:rsid w:val="3EE651EF"/>
    <w:rsid w:val="3F000F93"/>
    <w:rsid w:val="3F042F23"/>
    <w:rsid w:val="3F40400F"/>
    <w:rsid w:val="3F6B3B01"/>
    <w:rsid w:val="3F9A7607"/>
    <w:rsid w:val="3F9D1772"/>
    <w:rsid w:val="3FAB63AE"/>
    <w:rsid w:val="400B3D58"/>
    <w:rsid w:val="402166A4"/>
    <w:rsid w:val="4039779C"/>
    <w:rsid w:val="403F4AD6"/>
    <w:rsid w:val="4055421F"/>
    <w:rsid w:val="405D685D"/>
    <w:rsid w:val="407F379A"/>
    <w:rsid w:val="4098721B"/>
    <w:rsid w:val="40A30CB7"/>
    <w:rsid w:val="410D50E4"/>
    <w:rsid w:val="41335E35"/>
    <w:rsid w:val="41625ED3"/>
    <w:rsid w:val="416A5C1B"/>
    <w:rsid w:val="417144B1"/>
    <w:rsid w:val="4189511A"/>
    <w:rsid w:val="41940565"/>
    <w:rsid w:val="41A03E55"/>
    <w:rsid w:val="41CB13D4"/>
    <w:rsid w:val="41D47FBA"/>
    <w:rsid w:val="42042B32"/>
    <w:rsid w:val="4211574A"/>
    <w:rsid w:val="4216392F"/>
    <w:rsid w:val="421D7007"/>
    <w:rsid w:val="42264F86"/>
    <w:rsid w:val="425A401B"/>
    <w:rsid w:val="425B0051"/>
    <w:rsid w:val="426E18B4"/>
    <w:rsid w:val="427B75A2"/>
    <w:rsid w:val="42881A27"/>
    <w:rsid w:val="42953CD7"/>
    <w:rsid w:val="429B3F8F"/>
    <w:rsid w:val="42CE6B71"/>
    <w:rsid w:val="42DB7DEF"/>
    <w:rsid w:val="42DF0DF6"/>
    <w:rsid w:val="42E34D2A"/>
    <w:rsid w:val="42EA5C2A"/>
    <w:rsid w:val="42EB1A6F"/>
    <w:rsid w:val="42EB44C6"/>
    <w:rsid w:val="42EB4B8D"/>
    <w:rsid w:val="42F4186C"/>
    <w:rsid w:val="42F805B7"/>
    <w:rsid w:val="43017D07"/>
    <w:rsid w:val="4328593E"/>
    <w:rsid w:val="4346230B"/>
    <w:rsid w:val="43470790"/>
    <w:rsid w:val="43686F28"/>
    <w:rsid w:val="43746231"/>
    <w:rsid w:val="43793D50"/>
    <w:rsid w:val="43C6296C"/>
    <w:rsid w:val="43C91B45"/>
    <w:rsid w:val="43C96C82"/>
    <w:rsid w:val="43F244DD"/>
    <w:rsid w:val="43F67CAD"/>
    <w:rsid w:val="44197675"/>
    <w:rsid w:val="442134A5"/>
    <w:rsid w:val="443F4550"/>
    <w:rsid w:val="44502944"/>
    <w:rsid w:val="446B0DA7"/>
    <w:rsid w:val="44896E05"/>
    <w:rsid w:val="448F23C8"/>
    <w:rsid w:val="449263B1"/>
    <w:rsid w:val="44A252E3"/>
    <w:rsid w:val="44CE05B1"/>
    <w:rsid w:val="44EC5492"/>
    <w:rsid w:val="44FE1790"/>
    <w:rsid w:val="45143E62"/>
    <w:rsid w:val="451963D2"/>
    <w:rsid w:val="451A4C4E"/>
    <w:rsid w:val="45472394"/>
    <w:rsid w:val="457B07D4"/>
    <w:rsid w:val="4584601C"/>
    <w:rsid w:val="45A17614"/>
    <w:rsid w:val="45A77792"/>
    <w:rsid w:val="45AC2C16"/>
    <w:rsid w:val="45B8521A"/>
    <w:rsid w:val="45C922E6"/>
    <w:rsid w:val="45CF386F"/>
    <w:rsid w:val="46056421"/>
    <w:rsid w:val="460C04D4"/>
    <w:rsid w:val="46113C23"/>
    <w:rsid w:val="46544454"/>
    <w:rsid w:val="465A02C0"/>
    <w:rsid w:val="466331AA"/>
    <w:rsid w:val="466A1851"/>
    <w:rsid w:val="46885EC5"/>
    <w:rsid w:val="46951251"/>
    <w:rsid w:val="46A0248D"/>
    <w:rsid w:val="46A176A3"/>
    <w:rsid w:val="46B27462"/>
    <w:rsid w:val="46BC31AA"/>
    <w:rsid w:val="46C93A01"/>
    <w:rsid w:val="46D404E0"/>
    <w:rsid w:val="46EA0B8E"/>
    <w:rsid w:val="46F31900"/>
    <w:rsid w:val="46F5741D"/>
    <w:rsid w:val="470019E5"/>
    <w:rsid w:val="471E5360"/>
    <w:rsid w:val="472B3E49"/>
    <w:rsid w:val="473105C2"/>
    <w:rsid w:val="47636BC0"/>
    <w:rsid w:val="4767390C"/>
    <w:rsid w:val="476B423D"/>
    <w:rsid w:val="476C60EE"/>
    <w:rsid w:val="476F4169"/>
    <w:rsid w:val="476F45D2"/>
    <w:rsid w:val="4778041E"/>
    <w:rsid w:val="47890CE4"/>
    <w:rsid w:val="47BB12D0"/>
    <w:rsid w:val="47F77B0F"/>
    <w:rsid w:val="48071BA2"/>
    <w:rsid w:val="48111F72"/>
    <w:rsid w:val="483D2593"/>
    <w:rsid w:val="48676FF8"/>
    <w:rsid w:val="48842DA4"/>
    <w:rsid w:val="488525DC"/>
    <w:rsid w:val="488C3A69"/>
    <w:rsid w:val="488C7D67"/>
    <w:rsid w:val="48997517"/>
    <w:rsid w:val="48A02163"/>
    <w:rsid w:val="48A67A6B"/>
    <w:rsid w:val="48DB33FE"/>
    <w:rsid w:val="49130C1C"/>
    <w:rsid w:val="49230E35"/>
    <w:rsid w:val="492A0B4A"/>
    <w:rsid w:val="492D7083"/>
    <w:rsid w:val="493F3170"/>
    <w:rsid w:val="49486A0E"/>
    <w:rsid w:val="49495705"/>
    <w:rsid w:val="494B6EB7"/>
    <w:rsid w:val="495513EB"/>
    <w:rsid w:val="497A03CE"/>
    <w:rsid w:val="49B74CC7"/>
    <w:rsid w:val="49C93046"/>
    <w:rsid w:val="49CB6EC3"/>
    <w:rsid w:val="49D2508E"/>
    <w:rsid w:val="4A086368"/>
    <w:rsid w:val="4A09291C"/>
    <w:rsid w:val="4A44122C"/>
    <w:rsid w:val="4A4B6037"/>
    <w:rsid w:val="4A5D1A04"/>
    <w:rsid w:val="4A641C09"/>
    <w:rsid w:val="4A6A5A0E"/>
    <w:rsid w:val="4A724ECC"/>
    <w:rsid w:val="4A802880"/>
    <w:rsid w:val="4A987EF3"/>
    <w:rsid w:val="4A995123"/>
    <w:rsid w:val="4A9A633F"/>
    <w:rsid w:val="4AA0090F"/>
    <w:rsid w:val="4AB57F33"/>
    <w:rsid w:val="4ACF1833"/>
    <w:rsid w:val="4AD551D0"/>
    <w:rsid w:val="4AFD678E"/>
    <w:rsid w:val="4B052AF1"/>
    <w:rsid w:val="4B434C80"/>
    <w:rsid w:val="4B64732E"/>
    <w:rsid w:val="4B831C66"/>
    <w:rsid w:val="4B8D15C7"/>
    <w:rsid w:val="4B8E09DB"/>
    <w:rsid w:val="4BA24E4F"/>
    <w:rsid w:val="4BB73E18"/>
    <w:rsid w:val="4BB8514A"/>
    <w:rsid w:val="4BD56841"/>
    <w:rsid w:val="4BE139FD"/>
    <w:rsid w:val="4BE50026"/>
    <w:rsid w:val="4BEE2D4D"/>
    <w:rsid w:val="4BF519A8"/>
    <w:rsid w:val="4BF94E3C"/>
    <w:rsid w:val="4BFE59A0"/>
    <w:rsid w:val="4C3342E0"/>
    <w:rsid w:val="4C451933"/>
    <w:rsid w:val="4C522EDB"/>
    <w:rsid w:val="4C6E2B8E"/>
    <w:rsid w:val="4C7C3B09"/>
    <w:rsid w:val="4C8205AE"/>
    <w:rsid w:val="4C9E7FD4"/>
    <w:rsid w:val="4CC159EE"/>
    <w:rsid w:val="4CE84C22"/>
    <w:rsid w:val="4CEE3602"/>
    <w:rsid w:val="4CEE55F9"/>
    <w:rsid w:val="4CF21B51"/>
    <w:rsid w:val="4D071B5B"/>
    <w:rsid w:val="4D0B1077"/>
    <w:rsid w:val="4D2224BC"/>
    <w:rsid w:val="4D2757CE"/>
    <w:rsid w:val="4D34309E"/>
    <w:rsid w:val="4D3867E9"/>
    <w:rsid w:val="4D3B2402"/>
    <w:rsid w:val="4D4A5484"/>
    <w:rsid w:val="4D552535"/>
    <w:rsid w:val="4D73653A"/>
    <w:rsid w:val="4D7F63E0"/>
    <w:rsid w:val="4D816CE7"/>
    <w:rsid w:val="4D8D072A"/>
    <w:rsid w:val="4D8D7B77"/>
    <w:rsid w:val="4D8E0557"/>
    <w:rsid w:val="4D9715DC"/>
    <w:rsid w:val="4D9F307A"/>
    <w:rsid w:val="4DB025C4"/>
    <w:rsid w:val="4DB925D0"/>
    <w:rsid w:val="4DE76A72"/>
    <w:rsid w:val="4DFC6F40"/>
    <w:rsid w:val="4E0323E8"/>
    <w:rsid w:val="4E346CAD"/>
    <w:rsid w:val="4E37492E"/>
    <w:rsid w:val="4E4F5A01"/>
    <w:rsid w:val="4E580033"/>
    <w:rsid w:val="4E616A5C"/>
    <w:rsid w:val="4E693B74"/>
    <w:rsid w:val="4E6A4C09"/>
    <w:rsid w:val="4E6E3E0B"/>
    <w:rsid w:val="4E7C7399"/>
    <w:rsid w:val="4E977205"/>
    <w:rsid w:val="4EB827B3"/>
    <w:rsid w:val="4ED3637B"/>
    <w:rsid w:val="4EE20D35"/>
    <w:rsid w:val="4EF8689A"/>
    <w:rsid w:val="4F06340E"/>
    <w:rsid w:val="4F0C05E8"/>
    <w:rsid w:val="4F333B3B"/>
    <w:rsid w:val="4F622289"/>
    <w:rsid w:val="4F712C49"/>
    <w:rsid w:val="4F731E97"/>
    <w:rsid w:val="4F7B27D9"/>
    <w:rsid w:val="4F87770B"/>
    <w:rsid w:val="4F90601D"/>
    <w:rsid w:val="4FC56263"/>
    <w:rsid w:val="4FD330DE"/>
    <w:rsid w:val="4FD82EBA"/>
    <w:rsid w:val="4FE0355B"/>
    <w:rsid w:val="4FE03B09"/>
    <w:rsid w:val="4FEA1DA8"/>
    <w:rsid w:val="4FEE437C"/>
    <w:rsid w:val="5005319C"/>
    <w:rsid w:val="500F018A"/>
    <w:rsid w:val="500F0855"/>
    <w:rsid w:val="502D6368"/>
    <w:rsid w:val="503D0E74"/>
    <w:rsid w:val="504815B1"/>
    <w:rsid w:val="504E5BD3"/>
    <w:rsid w:val="505C1EA2"/>
    <w:rsid w:val="508729FC"/>
    <w:rsid w:val="508B6AC9"/>
    <w:rsid w:val="50A57F20"/>
    <w:rsid w:val="50B62894"/>
    <w:rsid w:val="50B630A1"/>
    <w:rsid w:val="50B6395E"/>
    <w:rsid w:val="50B8297E"/>
    <w:rsid w:val="50BA3090"/>
    <w:rsid w:val="50DA59F5"/>
    <w:rsid w:val="50E25EDC"/>
    <w:rsid w:val="510A7B76"/>
    <w:rsid w:val="51221EB8"/>
    <w:rsid w:val="512A162D"/>
    <w:rsid w:val="514F6C05"/>
    <w:rsid w:val="515A6CD7"/>
    <w:rsid w:val="516E725E"/>
    <w:rsid w:val="517109FA"/>
    <w:rsid w:val="51781C23"/>
    <w:rsid w:val="519C32A5"/>
    <w:rsid w:val="51B404DB"/>
    <w:rsid w:val="51CC0E85"/>
    <w:rsid w:val="51F67C2A"/>
    <w:rsid w:val="52030077"/>
    <w:rsid w:val="52200C03"/>
    <w:rsid w:val="52302068"/>
    <w:rsid w:val="52362800"/>
    <w:rsid w:val="525A6558"/>
    <w:rsid w:val="525E02D9"/>
    <w:rsid w:val="52626214"/>
    <w:rsid w:val="5271161E"/>
    <w:rsid w:val="52931EA1"/>
    <w:rsid w:val="52937669"/>
    <w:rsid w:val="529C78AE"/>
    <w:rsid w:val="52A33D9C"/>
    <w:rsid w:val="52A50F59"/>
    <w:rsid w:val="52A8295F"/>
    <w:rsid w:val="52B61BC0"/>
    <w:rsid w:val="52BA5D97"/>
    <w:rsid w:val="52D640F7"/>
    <w:rsid w:val="52DD11F2"/>
    <w:rsid w:val="52F45961"/>
    <w:rsid w:val="53420DCD"/>
    <w:rsid w:val="53715C89"/>
    <w:rsid w:val="53844150"/>
    <w:rsid w:val="538E3101"/>
    <w:rsid w:val="53955515"/>
    <w:rsid w:val="53B0479A"/>
    <w:rsid w:val="53C85EEB"/>
    <w:rsid w:val="53D86CEE"/>
    <w:rsid w:val="53F83D51"/>
    <w:rsid w:val="542B3576"/>
    <w:rsid w:val="542E33A9"/>
    <w:rsid w:val="54370630"/>
    <w:rsid w:val="543A749F"/>
    <w:rsid w:val="543E0450"/>
    <w:rsid w:val="543F7DF3"/>
    <w:rsid w:val="5468040B"/>
    <w:rsid w:val="546D7420"/>
    <w:rsid w:val="547804C3"/>
    <w:rsid w:val="547F7402"/>
    <w:rsid w:val="54967F9A"/>
    <w:rsid w:val="549B378E"/>
    <w:rsid w:val="549C1223"/>
    <w:rsid w:val="54A7060D"/>
    <w:rsid w:val="54CB0AD8"/>
    <w:rsid w:val="54FB6F2A"/>
    <w:rsid w:val="55063AA0"/>
    <w:rsid w:val="552B3541"/>
    <w:rsid w:val="553A6E72"/>
    <w:rsid w:val="555C44A6"/>
    <w:rsid w:val="557A3593"/>
    <w:rsid w:val="557F05FE"/>
    <w:rsid w:val="55986395"/>
    <w:rsid w:val="55B01C76"/>
    <w:rsid w:val="55BB3B99"/>
    <w:rsid w:val="55C0767F"/>
    <w:rsid w:val="55D56AB5"/>
    <w:rsid w:val="55DE6836"/>
    <w:rsid w:val="55F112D3"/>
    <w:rsid w:val="565E25B5"/>
    <w:rsid w:val="5660004C"/>
    <w:rsid w:val="566912B5"/>
    <w:rsid w:val="56703ABB"/>
    <w:rsid w:val="5679751E"/>
    <w:rsid w:val="568E3E40"/>
    <w:rsid w:val="569F078A"/>
    <w:rsid w:val="56C204B1"/>
    <w:rsid w:val="56DC07B3"/>
    <w:rsid w:val="56E124D0"/>
    <w:rsid w:val="56E70EE9"/>
    <w:rsid w:val="56F11C95"/>
    <w:rsid w:val="56F65FA4"/>
    <w:rsid w:val="5712294D"/>
    <w:rsid w:val="57245E6C"/>
    <w:rsid w:val="57345A19"/>
    <w:rsid w:val="574A48FC"/>
    <w:rsid w:val="57516D3B"/>
    <w:rsid w:val="575B5170"/>
    <w:rsid w:val="576B13D9"/>
    <w:rsid w:val="57716D4D"/>
    <w:rsid w:val="577F3A42"/>
    <w:rsid w:val="57957FA2"/>
    <w:rsid w:val="57A074AD"/>
    <w:rsid w:val="57AE0036"/>
    <w:rsid w:val="57CC2E79"/>
    <w:rsid w:val="57D54F13"/>
    <w:rsid w:val="57D868C5"/>
    <w:rsid w:val="580B6363"/>
    <w:rsid w:val="581500E7"/>
    <w:rsid w:val="581570D7"/>
    <w:rsid w:val="582C3328"/>
    <w:rsid w:val="58483122"/>
    <w:rsid w:val="58584D43"/>
    <w:rsid w:val="58585757"/>
    <w:rsid w:val="585F4ABD"/>
    <w:rsid w:val="586A54E0"/>
    <w:rsid w:val="586E7AAE"/>
    <w:rsid w:val="58763C80"/>
    <w:rsid w:val="58AD2A41"/>
    <w:rsid w:val="58C571DD"/>
    <w:rsid w:val="58CA22FD"/>
    <w:rsid w:val="58CB571C"/>
    <w:rsid w:val="591A0FF8"/>
    <w:rsid w:val="594413B6"/>
    <w:rsid w:val="5945092A"/>
    <w:rsid w:val="595D44CA"/>
    <w:rsid w:val="5965407F"/>
    <w:rsid w:val="59691876"/>
    <w:rsid w:val="59730464"/>
    <w:rsid w:val="598D2DC2"/>
    <w:rsid w:val="598E798D"/>
    <w:rsid w:val="5A0B0F42"/>
    <w:rsid w:val="5A3A5D6A"/>
    <w:rsid w:val="5A405D38"/>
    <w:rsid w:val="5A423CC1"/>
    <w:rsid w:val="5A4F77F7"/>
    <w:rsid w:val="5A540A75"/>
    <w:rsid w:val="5A5F3C5F"/>
    <w:rsid w:val="5A6B4B3B"/>
    <w:rsid w:val="5A74777A"/>
    <w:rsid w:val="5AA306AC"/>
    <w:rsid w:val="5ADF3265"/>
    <w:rsid w:val="5AF43670"/>
    <w:rsid w:val="5B0E6006"/>
    <w:rsid w:val="5B1B278B"/>
    <w:rsid w:val="5B356B4F"/>
    <w:rsid w:val="5B45668A"/>
    <w:rsid w:val="5B483D9D"/>
    <w:rsid w:val="5B4B4861"/>
    <w:rsid w:val="5B4F4307"/>
    <w:rsid w:val="5B514E4B"/>
    <w:rsid w:val="5B550F93"/>
    <w:rsid w:val="5B743EDD"/>
    <w:rsid w:val="5B910EA8"/>
    <w:rsid w:val="5BA302A1"/>
    <w:rsid w:val="5BAE772A"/>
    <w:rsid w:val="5BAF03D2"/>
    <w:rsid w:val="5BC373A6"/>
    <w:rsid w:val="5BD137D6"/>
    <w:rsid w:val="5BDF75DB"/>
    <w:rsid w:val="5BE145D4"/>
    <w:rsid w:val="5BE565AF"/>
    <w:rsid w:val="5BF52022"/>
    <w:rsid w:val="5C027076"/>
    <w:rsid w:val="5C2F5441"/>
    <w:rsid w:val="5C306CA5"/>
    <w:rsid w:val="5C3830AD"/>
    <w:rsid w:val="5C4252F8"/>
    <w:rsid w:val="5C67046F"/>
    <w:rsid w:val="5CA049EF"/>
    <w:rsid w:val="5CA13735"/>
    <w:rsid w:val="5CAD02F5"/>
    <w:rsid w:val="5CC542C1"/>
    <w:rsid w:val="5CF30491"/>
    <w:rsid w:val="5CFA684E"/>
    <w:rsid w:val="5D2E1346"/>
    <w:rsid w:val="5D435AE7"/>
    <w:rsid w:val="5D4A1997"/>
    <w:rsid w:val="5D5C65F9"/>
    <w:rsid w:val="5D632C47"/>
    <w:rsid w:val="5D74299B"/>
    <w:rsid w:val="5DA50DB0"/>
    <w:rsid w:val="5DC26F7E"/>
    <w:rsid w:val="5DFE6F1D"/>
    <w:rsid w:val="5E14778D"/>
    <w:rsid w:val="5E230525"/>
    <w:rsid w:val="5E2324B5"/>
    <w:rsid w:val="5E265D92"/>
    <w:rsid w:val="5E2E01FA"/>
    <w:rsid w:val="5E316D7C"/>
    <w:rsid w:val="5E3A7444"/>
    <w:rsid w:val="5E446E9C"/>
    <w:rsid w:val="5E4C71CC"/>
    <w:rsid w:val="5E4E0212"/>
    <w:rsid w:val="5E65721B"/>
    <w:rsid w:val="5E6E38AD"/>
    <w:rsid w:val="5E8B02E6"/>
    <w:rsid w:val="5EA47F79"/>
    <w:rsid w:val="5EA7756C"/>
    <w:rsid w:val="5EAC7C32"/>
    <w:rsid w:val="5EBC35F3"/>
    <w:rsid w:val="5ECA7640"/>
    <w:rsid w:val="5EFD5FFE"/>
    <w:rsid w:val="5F173A2B"/>
    <w:rsid w:val="5F243B32"/>
    <w:rsid w:val="5F25704F"/>
    <w:rsid w:val="5F2D64C4"/>
    <w:rsid w:val="5F302A42"/>
    <w:rsid w:val="5F676A86"/>
    <w:rsid w:val="5F792A0A"/>
    <w:rsid w:val="5F816F30"/>
    <w:rsid w:val="5F95270F"/>
    <w:rsid w:val="5FE553A1"/>
    <w:rsid w:val="600D1887"/>
    <w:rsid w:val="601F39AC"/>
    <w:rsid w:val="60456E5A"/>
    <w:rsid w:val="606611F8"/>
    <w:rsid w:val="606A0927"/>
    <w:rsid w:val="60750A5B"/>
    <w:rsid w:val="607522E4"/>
    <w:rsid w:val="607934F6"/>
    <w:rsid w:val="607A0CA4"/>
    <w:rsid w:val="607C032F"/>
    <w:rsid w:val="607F0D85"/>
    <w:rsid w:val="608A400B"/>
    <w:rsid w:val="608D6203"/>
    <w:rsid w:val="608E2BC6"/>
    <w:rsid w:val="60A7237F"/>
    <w:rsid w:val="60A91285"/>
    <w:rsid w:val="60D914F9"/>
    <w:rsid w:val="60DC420F"/>
    <w:rsid w:val="60EA42BB"/>
    <w:rsid w:val="610B17B3"/>
    <w:rsid w:val="6148513F"/>
    <w:rsid w:val="614900DA"/>
    <w:rsid w:val="614958AE"/>
    <w:rsid w:val="614B2C99"/>
    <w:rsid w:val="61517704"/>
    <w:rsid w:val="616E69F3"/>
    <w:rsid w:val="61A00D01"/>
    <w:rsid w:val="61A57406"/>
    <w:rsid w:val="61CB0398"/>
    <w:rsid w:val="61E77F11"/>
    <w:rsid w:val="61EC2C51"/>
    <w:rsid w:val="62073131"/>
    <w:rsid w:val="620B5412"/>
    <w:rsid w:val="621D1177"/>
    <w:rsid w:val="621D2C7D"/>
    <w:rsid w:val="62304F98"/>
    <w:rsid w:val="624F14BF"/>
    <w:rsid w:val="62622680"/>
    <w:rsid w:val="62651F9B"/>
    <w:rsid w:val="62785189"/>
    <w:rsid w:val="627C2E83"/>
    <w:rsid w:val="628561B1"/>
    <w:rsid w:val="62936A2E"/>
    <w:rsid w:val="62B23C0C"/>
    <w:rsid w:val="62B90F27"/>
    <w:rsid w:val="62DF451C"/>
    <w:rsid w:val="62E479F1"/>
    <w:rsid w:val="62E75E06"/>
    <w:rsid w:val="630F53DD"/>
    <w:rsid w:val="632743B5"/>
    <w:rsid w:val="6337726C"/>
    <w:rsid w:val="634216B9"/>
    <w:rsid w:val="63544525"/>
    <w:rsid w:val="636A08A2"/>
    <w:rsid w:val="636B2783"/>
    <w:rsid w:val="63777684"/>
    <w:rsid w:val="63880C2C"/>
    <w:rsid w:val="639022D0"/>
    <w:rsid w:val="63917EF3"/>
    <w:rsid w:val="639904AE"/>
    <w:rsid w:val="63DA603A"/>
    <w:rsid w:val="63E83945"/>
    <w:rsid w:val="63F46C6B"/>
    <w:rsid w:val="640335EA"/>
    <w:rsid w:val="642F23C5"/>
    <w:rsid w:val="64427CA3"/>
    <w:rsid w:val="64836005"/>
    <w:rsid w:val="649A0EAA"/>
    <w:rsid w:val="649E03FE"/>
    <w:rsid w:val="64A40894"/>
    <w:rsid w:val="64A47D9C"/>
    <w:rsid w:val="64BE53A3"/>
    <w:rsid w:val="64CC5E85"/>
    <w:rsid w:val="64CE1606"/>
    <w:rsid w:val="64D1763C"/>
    <w:rsid w:val="64ED4DEA"/>
    <w:rsid w:val="64F3490E"/>
    <w:rsid w:val="64F475D0"/>
    <w:rsid w:val="64FB09DF"/>
    <w:rsid w:val="650A4E00"/>
    <w:rsid w:val="65123550"/>
    <w:rsid w:val="6517300B"/>
    <w:rsid w:val="65267D7D"/>
    <w:rsid w:val="654C0271"/>
    <w:rsid w:val="654D1FDF"/>
    <w:rsid w:val="657140B6"/>
    <w:rsid w:val="65743936"/>
    <w:rsid w:val="657630EF"/>
    <w:rsid w:val="6582032C"/>
    <w:rsid w:val="65AC593A"/>
    <w:rsid w:val="65B0610E"/>
    <w:rsid w:val="65C36A89"/>
    <w:rsid w:val="65D7004F"/>
    <w:rsid w:val="65EE54D2"/>
    <w:rsid w:val="65F1000E"/>
    <w:rsid w:val="65F261EA"/>
    <w:rsid w:val="660B002C"/>
    <w:rsid w:val="66200283"/>
    <w:rsid w:val="663F542A"/>
    <w:rsid w:val="664C0DCF"/>
    <w:rsid w:val="66724724"/>
    <w:rsid w:val="66BB5299"/>
    <w:rsid w:val="66C8550E"/>
    <w:rsid w:val="66E35836"/>
    <w:rsid w:val="66FA4194"/>
    <w:rsid w:val="670747EC"/>
    <w:rsid w:val="67151307"/>
    <w:rsid w:val="67301B6F"/>
    <w:rsid w:val="67493059"/>
    <w:rsid w:val="675672BB"/>
    <w:rsid w:val="675D6959"/>
    <w:rsid w:val="678A77BE"/>
    <w:rsid w:val="67A14CCC"/>
    <w:rsid w:val="67B0630D"/>
    <w:rsid w:val="67C83087"/>
    <w:rsid w:val="67F00122"/>
    <w:rsid w:val="67F37CEC"/>
    <w:rsid w:val="680F66F8"/>
    <w:rsid w:val="6816723B"/>
    <w:rsid w:val="6827226A"/>
    <w:rsid w:val="682C2940"/>
    <w:rsid w:val="683E75F2"/>
    <w:rsid w:val="68543939"/>
    <w:rsid w:val="6865718C"/>
    <w:rsid w:val="68680574"/>
    <w:rsid w:val="686B07B1"/>
    <w:rsid w:val="6873650C"/>
    <w:rsid w:val="689602F4"/>
    <w:rsid w:val="690C66BC"/>
    <w:rsid w:val="69110FDA"/>
    <w:rsid w:val="692846B8"/>
    <w:rsid w:val="693076D3"/>
    <w:rsid w:val="695A6274"/>
    <w:rsid w:val="69663D9B"/>
    <w:rsid w:val="698F17E8"/>
    <w:rsid w:val="699A1E01"/>
    <w:rsid w:val="69A52777"/>
    <w:rsid w:val="69B56A40"/>
    <w:rsid w:val="69BA0C35"/>
    <w:rsid w:val="69CA4BCF"/>
    <w:rsid w:val="69F14805"/>
    <w:rsid w:val="6A020F97"/>
    <w:rsid w:val="6A227444"/>
    <w:rsid w:val="6A3D1A13"/>
    <w:rsid w:val="6A4673F3"/>
    <w:rsid w:val="6A472C58"/>
    <w:rsid w:val="6A557ED4"/>
    <w:rsid w:val="6A57639F"/>
    <w:rsid w:val="6A682165"/>
    <w:rsid w:val="6A8126CC"/>
    <w:rsid w:val="6A9E1986"/>
    <w:rsid w:val="6AA46897"/>
    <w:rsid w:val="6AAA3E5D"/>
    <w:rsid w:val="6AAA418C"/>
    <w:rsid w:val="6AAA7890"/>
    <w:rsid w:val="6AB170B9"/>
    <w:rsid w:val="6AD505F2"/>
    <w:rsid w:val="6B0D2E6C"/>
    <w:rsid w:val="6B152D8D"/>
    <w:rsid w:val="6B1E47C4"/>
    <w:rsid w:val="6B385F86"/>
    <w:rsid w:val="6B3C1ADE"/>
    <w:rsid w:val="6B442E5D"/>
    <w:rsid w:val="6B600994"/>
    <w:rsid w:val="6B611003"/>
    <w:rsid w:val="6B6E6074"/>
    <w:rsid w:val="6B9337AD"/>
    <w:rsid w:val="6B9D5759"/>
    <w:rsid w:val="6BBE7F33"/>
    <w:rsid w:val="6BBF2471"/>
    <w:rsid w:val="6BC3620B"/>
    <w:rsid w:val="6BF41357"/>
    <w:rsid w:val="6C465105"/>
    <w:rsid w:val="6C4B5BE2"/>
    <w:rsid w:val="6C61108B"/>
    <w:rsid w:val="6C6A7B7C"/>
    <w:rsid w:val="6C6B76E4"/>
    <w:rsid w:val="6C6C4836"/>
    <w:rsid w:val="6C9963D6"/>
    <w:rsid w:val="6CD30E22"/>
    <w:rsid w:val="6CE31E95"/>
    <w:rsid w:val="6CFA02EB"/>
    <w:rsid w:val="6D0A2DFE"/>
    <w:rsid w:val="6D146220"/>
    <w:rsid w:val="6D2D541D"/>
    <w:rsid w:val="6D3839A0"/>
    <w:rsid w:val="6D4B0D49"/>
    <w:rsid w:val="6D57750F"/>
    <w:rsid w:val="6D5E591E"/>
    <w:rsid w:val="6D6340C5"/>
    <w:rsid w:val="6D6D4857"/>
    <w:rsid w:val="6D8952C4"/>
    <w:rsid w:val="6D9466CD"/>
    <w:rsid w:val="6D9A2ED9"/>
    <w:rsid w:val="6DAC05E0"/>
    <w:rsid w:val="6DAF0687"/>
    <w:rsid w:val="6DC3749A"/>
    <w:rsid w:val="6DD06048"/>
    <w:rsid w:val="6DE32D68"/>
    <w:rsid w:val="6DE42F2A"/>
    <w:rsid w:val="6DE62102"/>
    <w:rsid w:val="6DF403D5"/>
    <w:rsid w:val="6DF52370"/>
    <w:rsid w:val="6E054ED2"/>
    <w:rsid w:val="6E094194"/>
    <w:rsid w:val="6E3B7F3D"/>
    <w:rsid w:val="6E3F24E3"/>
    <w:rsid w:val="6E446567"/>
    <w:rsid w:val="6E674D77"/>
    <w:rsid w:val="6E70561A"/>
    <w:rsid w:val="6E935534"/>
    <w:rsid w:val="6E9B3CBB"/>
    <w:rsid w:val="6EBB33FE"/>
    <w:rsid w:val="6ED00398"/>
    <w:rsid w:val="6ED23C2E"/>
    <w:rsid w:val="6EE07773"/>
    <w:rsid w:val="6EF675F4"/>
    <w:rsid w:val="6F205AE1"/>
    <w:rsid w:val="6F224A9A"/>
    <w:rsid w:val="6F2D2520"/>
    <w:rsid w:val="6F43582A"/>
    <w:rsid w:val="6F4E6A62"/>
    <w:rsid w:val="6F51727C"/>
    <w:rsid w:val="6F891938"/>
    <w:rsid w:val="6FD35B04"/>
    <w:rsid w:val="6FDE5BAB"/>
    <w:rsid w:val="6FF036DD"/>
    <w:rsid w:val="7001053D"/>
    <w:rsid w:val="703F56BE"/>
    <w:rsid w:val="70417F03"/>
    <w:rsid w:val="70461870"/>
    <w:rsid w:val="70574C0E"/>
    <w:rsid w:val="7066163C"/>
    <w:rsid w:val="70677AA3"/>
    <w:rsid w:val="7075449A"/>
    <w:rsid w:val="70957F22"/>
    <w:rsid w:val="70B910CE"/>
    <w:rsid w:val="70CA434A"/>
    <w:rsid w:val="70D464A7"/>
    <w:rsid w:val="70D727DD"/>
    <w:rsid w:val="70EF0410"/>
    <w:rsid w:val="70F62BCC"/>
    <w:rsid w:val="70FF136C"/>
    <w:rsid w:val="710010D9"/>
    <w:rsid w:val="71013CFA"/>
    <w:rsid w:val="711112DF"/>
    <w:rsid w:val="711F132C"/>
    <w:rsid w:val="716A1FBB"/>
    <w:rsid w:val="716E32F1"/>
    <w:rsid w:val="71902876"/>
    <w:rsid w:val="71910A05"/>
    <w:rsid w:val="71B80D70"/>
    <w:rsid w:val="71BF767B"/>
    <w:rsid w:val="71CE63D4"/>
    <w:rsid w:val="71E03E7D"/>
    <w:rsid w:val="71E12F48"/>
    <w:rsid w:val="71E44647"/>
    <w:rsid w:val="71F71906"/>
    <w:rsid w:val="721132C1"/>
    <w:rsid w:val="722A607A"/>
    <w:rsid w:val="72793549"/>
    <w:rsid w:val="729749D4"/>
    <w:rsid w:val="72A47EB6"/>
    <w:rsid w:val="72AE0C4A"/>
    <w:rsid w:val="72B375A2"/>
    <w:rsid w:val="72C0586E"/>
    <w:rsid w:val="72F8181C"/>
    <w:rsid w:val="72FE0D2A"/>
    <w:rsid w:val="730A0482"/>
    <w:rsid w:val="73163B23"/>
    <w:rsid w:val="73171C1D"/>
    <w:rsid w:val="731B3260"/>
    <w:rsid w:val="7334225F"/>
    <w:rsid w:val="734D438E"/>
    <w:rsid w:val="734E4B79"/>
    <w:rsid w:val="735C2A7D"/>
    <w:rsid w:val="735C7677"/>
    <w:rsid w:val="736F5EC2"/>
    <w:rsid w:val="737C5956"/>
    <w:rsid w:val="73AD02F2"/>
    <w:rsid w:val="73B10B9E"/>
    <w:rsid w:val="73C51173"/>
    <w:rsid w:val="73E349D9"/>
    <w:rsid w:val="73F36DD0"/>
    <w:rsid w:val="73FA0C14"/>
    <w:rsid w:val="73FB2A0A"/>
    <w:rsid w:val="73FD2A87"/>
    <w:rsid w:val="74105E85"/>
    <w:rsid w:val="74280B5A"/>
    <w:rsid w:val="742F5403"/>
    <w:rsid w:val="743E01B2"/>
    <w:rsid w:val="74492D05"/>
    <w:rsid w:val="745768E1"/>
    <w:rsid w:val="74611604"/>
    <w:rsid w:val="74616FA7"/>
    <w:rsid w:val="747606A0"/>
    <w:rsid w:val="747B74C6"/>
    <w:rsid w:val="74A93E82"/>
    <w:rsid w:val="74B81BC8"/>
    <w:rsid w:val="74BF628F"/>
    <w:rsid w:val="74C7513B"/>
    <w:rsid w:val="74CF24EA"/>
    <w:rsid w:val="74DF64DD"/>
    <w:rsid w:val="74FC1E12"/>
    <w:rsid w:val="750114E0"/>
    <w:rsid w:val="75017DB1"/>
    <w:rsid w:val="751A6AA1"/>
    <w:rsid w:val="751B5142"/>
    <w:rsid w:val="753A2E76"/>
    <w:rsid w:val="75437EB4"/>
    <w:rsid w:val="75611536"/>
    <w:rsid w:val="75727319"/>
    <w:rsid w:val="757C338F"/>
    <w:rsid w:val="75906F35"/>
    <w:rsid w:val="75C40043"/>
    <w:rsid w:val="75C9473F"/>
    <w:rsid w:val="75DB58CF"/>
    <w:rsid w:val="75E7472C"/>
    <w:rsid w:val="75EA05F4"/>
    <w:rsid w:val="75EE0A32"/>
    <w:rsid w:val="75F61D4B"/>
    <w:rsid w:val="75FE2171"/>
    <w:rsid w:val="760714CE"/>
    <w:rsid w:val="760947E4"/>
    <w:rsid w:val="76290E42"/>
    <w:rsid w:val="763C49A2"/>
    <w:rsid w:val="76496042"/>
    <w:rsid w:val="764B4E40"/>
    <w:rsid w:val="768A4630"/>
    <w:rsid w:val="76913910"/>
    <w:rsid w:val="7692221F"/>
    <w:rsid w:val="76944F51"/>
    <w:rsid w:val="76976122"/>
    <w:rsid w:val="769B4F81"/>
    <w:rsid w:val="76A50F7A"/>
    <w:rsid w:val="76B64AD8"/>
    <w:rsid w:val="76E621C3"/>
    <w:rsid w:val="76F94B98"/>
    <w:rsid w:val="773311A3"/>
    <w:rsid w:val="77417882"/>
    <w:rsid w:val="77616036"/>
    <w:rsid w:val="7780233D"/>
    <w:rsid w:val="778E761C"/>
    <w:rsid w:val="77916499"/>
    <w:rsid w:val="77A96C0F"/>
    <w:rsid w:val="77AB3782"/>
    <w:rsid w:val="77C16D8A"/>
    <w:rsid w:val="77D53B7E"/>
    <w:rsid w:val="77D9675D"/>
    <w:rsid w:val="77E0692E"/>
    <w:rsid w:val="77F07BA5"/>
    <w:rsid w:val="78080864"/>
    <w:rsid w:val="78276BEA"/>
    <w:rsid w:val="783A2BBF"/>
    <w:rsid w:val="78840773"/>
    <w:rsid w:val="788A5245"/>
    <w:rsid w:val="78990D40"/>
    <w:rsid w:val="78BD7CCE"/>
    <w:rsid w:val="78C01776"/>
    <w:rsid w:val="78C0654C"/>
    <w:rsid w:val="78C748FE"/>
    <w:rsid w:val="78D17314"/>
    <w:rsid w:val="78D808F3"/>
    <w:rsid w:val="78E45C45"/>
    <w:rsid w:val="78E63BF6"/>
    <w:rsid w:val="78F61FAE"/>
    <w:rsid w:val="791B1828"/>
    <w:rsid w:val="792A6FFF"/>
    <w:rsid w:val="792E634E"/>
    <w:rsid w:val="79362295"/>
    <w:rsid w:val="79417098"/>
    <w:rsid w:val="7946391D"/>
    <w:rsid w:val="796524E7"/>
    <w:rsid w:val="79717EC3"/>
    <w:rsid w:val="79760722"/>
    <w:rsid w:val="79A15A0C"/>
    <w:rsid w:val="79A32C7B"/>
    <w:rsid w:val="79A81FAE"/>
    <w:rsid w:val="79AC0891"/>
    <w:rsid w:val="79AC45E0"/>
    <w:rsid w:val="79D336E1"/>
    <w:rsid w:val="79E456F3"/>
    <w:rsid w:val="79E97912"/>
    <w:rsid w:val="79FB0742"/>
    <w:rsid w:val="7A0213AE"/>
    <w:rsid w:val="7A0B0004"/>
    <w:rsid w:val="7A172839"/>
    <w:rsid w:val="7A306A90"/>
    <w:rsid w:val="7A346593"/>
    <w:rsid w:val="7A354A57"/>
    <w:rsid w:val="7A861E03"/>
    <w:rsid w:val="7A8F26A7"/>
    <w:rsid w:val="7A925C99"/>
    <w:rsid w:val="7A9861A1"/>
    <w:rsid w:val="7A9961D7"/>
    <w:rsid w:val="7A9C34D6"/>
    <w:rsid w:val="7AAC76B9"/>
    <w:rsid w:val="7ABF51CD"/>
    <w:rsid w:val="7B0D2F9A"/>
    <w:rsid w:val="7B264856"/>
    <w:rsid w:val="7B3B125D"/>
    <w:rsid w:val="7B3F013E"/>
    <w:rsid w:val="7B43183F"/>
    <w:rsid w:val="7B590B76"/>
    <w:rsid w:val="7B6139F0"/>
    <w:rsid w:val="7B692624"/>
    <w:rsid w:val="7B873792"/>
    <w:rsid w:val="7B877386"/>
    <w:rsid w:val="7BB14D15"/>
    <w:rsid w:val="7BB15E62"/>
    <w:rsid w:val="7BD701FC"/>
    <w:rsid w:val="7BD9713D"/>
    <w:rsid w:val="7BFB2649"/>
    <w:rsid w:val="7C02600A"/>
    <w:rsid w:val="7C0A4B17"/>
    <w:rsid w:val="7C153412"/>
    <w:rsid w:val="7C195509"/>
    <w:rsid w:val="7C382FC8"/>
    <w:rsid w:val="7C400E30"/>
    <w:rsid w:val="7C8860C7"/>
    <w:rsid w:val="7CBB4466"/>
    <w:rsid w:val="7D2A2F5A"/>
    <w:rsid w:val="7D3F16EC"/>
    <w:rsid w:val="7D534451"/>
    <w:rsid w:val="7D5C74DE"/>
    <w:rsid w:val="7D5E31AA"/>
    <w:rsid w:val="7D611DF2"/>
    <w:rsid w:val="7D7C35F3"/>
    <w:rsid w:val="7D8B55FE"/>
    <w:rsid w:val="7D8D4931"/>
    <w:rsid w:val="7DB727FB"/>
    <w:rsid w:val="7DC3440A"/>
    <w:rsid w:val="7DDA027D"/>
    <w:rsid w:val="7DE201AC"/>
    <w:rsid w:val="7DE5401E"/>
    <w:rsid w:val="7DF72A15"/>
    <w:rsid w:val="7DFB48D3"/>
    <w:rsid w:val="7E0702D8"/>
    <w:rsid w:val="7E105DE6"/>
    <w:rsid w:val="7E1A1248"/>
    <w:rsid w:val="7E312E27"/>
    <w:rsid w:val="7E611873"/>
    <w:rsid w:val="7E83663A"/>
    <w:rsid w:val="7E846634"/>
    <w:rsid w:val="7E883BEF"/>
    <w:rsid w:val="7E8C022C"/>
    <w:rsid w:val="7EA5742C"/>
    <w:rsid w:val="7EB31AB8"/>
    <w:rsid w:val="7EB96119"/>
    <w:rsid w:val="7EBB77C0"/>
    <w:rsid w:val="7EBC71FA"/>
    <w:rsid w:val="7EEE218F"/>
    <w:rsid w:val="7EEE6B7F"/>
    <w:rsid w:val="7EF4144E"/>
    <w:rsid w:val="7EF7261F"/>
    <w:rsid w:val="7F084B9C"/>
    <w:rsid w:val="7F3A7824"/>
    <w:rsid w:val="7F4360B6"/>
    <w:rsid w:val="7F4D7148"/>
    <w:rsid w:val="7F577569"/>
    <w:rsid w:val="7F627193"/>
    <w:rsid w:val="7F6F4377"/>
    <w:rsid w:val="7F78526F"/>
    <w:rsid w:val="7FBC7702"/>
    <w:rsid w:val="7FC64347"/>
    <w:rsid w:val="7FDC6B6B"/>
    <w:rsid w:val="7FE6263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sdException w:qFormat="1" w:unhideWhenUsed="0" w:uiPriority="99" w:semiHidden="0" w:name="line number"/>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qFormat="1" w:unhideWhenUsed="0" w:uiPriority="99" w:semiHidden="0" w:name="List"/>
    <w:lsdException w:uiPriority="99" w:name="List Bullet" w:locked="1"/>
    <w:lsdException w:uiPriority="99" w:name="List Number" w:locked="1"/>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qFormat="1" w:unhideWhenUsed="0" w:uiPriority="99" w:semiHidden="0" w:name="Signature"/>
    <w:lsdException w:qFormat="1" w:uiPriority="1" w:name="Default Paragraph Font"/>
    <w:lsdException w:qFormat="1" w:unhideWhenUsed="0" w:uiPriority="99" w:semiHidden="0" w:name="Body Text"/>
    <w:lsdException w:qFormat="1" w:unhideWhenUsed="0" w:uiPriority="99"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20" w:semiHidden="0" w:name="Emphasis" w:locked="1"/>
    <w:lsdException w:qFormat="1" w:unhideWhenUsed="0" w:uiPriority="99" w:semiHidden="0"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qFormat="1" w:unhideWhenUsed="0" w:uiPriority="99" w:semiHidden="0" w:name="HTML Address"/>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qFormat="1" w:unhideWhenUsed="0" w:uiPriority="99" w:semiHidden="0" w:name="HTML Typewriter"/>
    <w:lsdException w:uiPriority="99" w:name="HTML Variable" w:locked="1"/>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8"/>
    <w:qFormat/>
    <w:uiPriority w:val="99"/>
    <w:pPr>
      <w:keepNext/>
      <w:keepLines/>
      <w:spacing w:line="578" w:lineRule="auto"/>
      <w:outlineLvl w:val="0"/>
    </w:pPr>
    <w:rPr>
      <w:b/>
      <w:kern w:val="44"/>
      <w:sz w:val="44"/>
      <w:szCs w:val="20"/>
    </w:rPr>
  </w:style>
  <w:style w:type="paragraph" w:styleId="3">
    <w:name w:val="heading 2"/>
    <w:basedOn w:val="1"/>
    <w:next w:val="1"/>
    <w:link w:val="59"/>
    <w:qFormat/>
    <w:uiPriority w:val="99"/>
    <w:pPr>
      <w:keepNext/>
      <w:keepLines/>
      <w:spacing w:line="416" w:lineRule="auto"/>
      <w:outlineLvl w:val="1"/>
    </w:pPr>
    <w:rPr>
      <w:rFonts w:ascii="Cambria" w:hAnsi="Cambria"/>
      <w:b/>
      <w:kern w:val="0"/>
      <w:sz w:val="32"/>
      <w:szCs w:val="20"/>
    </w:rPr>
  </w:style>
  <w:style w:type="paragraph" w:styleId="4">
    <w:name w:val="heading 3"/>
    <w:basedOn w:val="1"/>
    <w:next w:val="1"/>
    <w:link w:val="60"/>
    <w:qFormat/>
    <w:uiPriority w:val="99"/>
    <w:pPr>
      <w:keepNext/>
      <w:keepLines/>
      <w:spacing w:line="416" w:lineRule="auto"/>
      <w:outlineLvl w:val="2"/>
    </w:pPr>
    <w:rPr>
      <w:b/>
      <w:kern w:val="0"/>
      <w:sz w:val="32"/>
      <w:szCs w:val="20"/>
    </w:rPr>
  </w:style>
  <w:style w:type="paragraph" w:styleId="5">
    <w:name w:val="heading 4"/>
    <w:basedOn w:val="1"/>
    <w:next w:val="1"/>
    <w:link w:val="61"/>
    <w:qFormat/>
    <w:uiPriority w:val="99"/>
    <w:pPr>
      <w:keepNext/>
      <w:keepLines/>
      <w:spacing w:line="376" w:lineRule="auto"/>
      <w:outlineLvl w:val="3"/>
    </w:pPr>
    <w:rPr>
      <w:rFonts w:ascii="Cambria" w:hAnsi="Cambria"/>
      <w:b/>
      <w:kern w:val="0"/>
      <w:sz w:val="28"/>
      <w:szCs w:val="20"/>
    </w:rPr>
  </w:style>
  <w:style w:type="paragraph" w:styleId="6">
    <w:name w:val="heading 5"/>
    <w:basedOn w:val="1"/>
    <w:next w:val="1"/>
    <w:link w:val="62"/>
    <w:qFormat/>
    <w:uiPriority w:val="99"/>
    <w:pPr>
      <w:keepNext/>
      <w:keepLines/>
      <w:spacing w:line="376" w:lineRule="auto"/>
      <w:outlineLvl w:val="4"/>
    </w:pPr>
    <w:rPr>
      <w:b/>
      <w:kern w:val="0"/>
      <w:sz w:val="28"/>
      <w:szCs w:val="20"/>
    </w:rPr>
  </w:style>
  <w:style w:type="paragraph" w:styleId="7">
    <w:name w:val="heading 6"/>
    <w:basedOn w:val="1"/>
    <w:next w:val="1"/>
    <w:link w:val="63"/>
    <w:qFormat/>
    <w:uiPriority w:val="99"/>
    <w:pPr>
      <w:keepNext/>
      <w:keepLines/>
      <w:spacing w:line="320" w:lineRule="auto"/>
      <w:outlineLvl w:val="5"/>
    </w:pPr>
    <w:rPr>
      <w:rFonts w:ascii="Cambria" w:hAnsi="Cambria"/>
      <w:b/>
      <w:kern w:val="0"/>
      <w:sz w:val="24"/>
      <w:szCs w:val="20"/>
    </w:rPr>
  </w:style>
  <w:style w:type="paragraph" w:styleId="8">
    <w:name w:val="heading 7"/>
    <w:basedOn w:val="1"/>
    <w:next w:val="1"/>
    <w:link w:val="64"/>
    <w:qFormat/>
    <w:uiPriority w:val="99"/>
    <w:pPr>
      <w:keepNext/>
      <w:keepLines/>
      <w:spacing w:beforeAutospacing="1" w:afterAutospacing="1" w:line="360" w:lineRule="auto"/>
      <w:ind w:left="1296" w:hanging="1296"/>
      <w:outlineLvl w:val="6"/>
    </w:pPr>
    <w:rPr>
      <w:b/>
      <w:kern w:val="0"/>
      <w:sz w:val="24"/>
      <w:szCs w:val="20"/>
    </w:rPr>
  </w:style>
  <w:style w:type="paragraph" w:styleId="9">
    <w:name w:val="heading 8"/>
    <w:basedOn w:val="1"/>
    <w:next w:val="10"/>
    <w:link w:val="65"/>
    <w:qFormat/>
    <w:uiPriority w:val="99"/>
    <w:pPr>
      <w:keepNext/>
      <w:keepLines/>
      <w:spacing w:beforeAutospacing="1" w:afterAutospacing="1" w:line="360" w:lineRule="auto"/>
      <w:ind w:left="1440" w:hanging="1440"/>
      <w:outlineLvl w:val="7"/>
    </w:pPr>
    <w:rPr>
      <w:rFonts w:ascii="Cambria" w:hAnsi="Cambria"/>
      <w:kern w:val="0"/>
      <w:sz w:val="24"/>
      <w:szCs w:val="20"/>
    </w:rPr>
  </w:style>
  <w:style w:type="paragraph" w:styleId="11">
    <w:name w:val="heading 9"/>
    <w:basedOn w:val="1"/>
    <w:next w:val="10"/>
    <w:link w:val="66"/>
    <w:qFormat/>
    <w:uiPriority w:val="99"/>
    <w:pPr>
      <w:keepNext/>
      <w:keepLines/>
      <w:spacing w:beforeAutospacing="1" w:afterAutospacing="1" w:line="360" w:lineRule="auto"/>
      <w:ind w:left="1584" w:hanging="1584"/>
      <w:outlineLvl w:val="8"/>
    </w:pPr>
    <w:rPr>
      <w:rFonts w:ascii="Cambria" w:hAnsi="Cambria"/>
      <w:kern w:val="0"/>
      <w:szCs w:val="20"/>
    </w:rPr>
  </w:style>
  <w:style w:type="character" w:default="1" w:styleId="51">
    <w:name w:val="Default Paragraph Font"/>
    <w:semiHidden/>
    <w:unhideWhenUsed/>
    <w:qFormat/>
    <w:uiPriority w:val="1"/>
  </w:style>
  <w:style w:type="table" w:default="1" w:styleId="49">
    <w:name w:val="Normal Table"/>
    <w:semiHidden/>
    <w:unhideWhenUsed/>
    <w:qFormat/>
    <w:uiPriority w:val="99"/>
    <w:tblPr>
      <w:tblLayout w:type="fixed"/>
      <w:tblCellMar>
        <w:top w:w="0" w:type="dxa"/>
        <w:left w:w="108" w:type="dxa"/>
        <w:bottom w:w="0" w:type="dxa"/>
        <w:right w:w="108" w:type="dxa"/>
      </w:tblCellMar>
    </w:tblPr>
  </w:style>
  <w:style w:type="paragraph" w:customStyle="1" w:styleId="10">
    <w:name w:val="正文首行缩进两字"/>
    <w:link w:val="118"/>
    <w:qFormat/>
    <w:uiPriority w:val="99"/>
    <w:pPr>
      <w:spacing w:afterLines="50" w:line="300" w:lineRule="auto"/>
      <w:ind w:firstLine="480" w:firstLineChars="200"/>
    </w:pPr>
    <w:rPr>
      <w:rFonts w:ascii="Times New Roman" w:hAnsi="Times New Roman" w:eastAsia="宋体" w:cs="Times New Roman"/>
      <w:color w:val="000000"/>
      <w:sz w:val="22"/>
      <w:szCs w:val="22"/>
      <w:lang w:val="en-US" w:eastAsia="zh-CN" w:bidi="ar-SA"/>
    </w:rPr>
  </w:style>
  <w:style w:type="paragraph" w:styleId="12">
    <w:name w:val="List 3"/>
    <w:basedOn w:val="1"/>
    <w:qFormat/>
    <w:uiPriority w:val="99"/>
    <w:pPr>
      <w:ind w:left="100" w:leftChars="400" w:hanging="200" w:hangingChars="200"/>
    </w:pPr>
  </w:style>
  <w:style w:type="paragraph" w:styleId="13">
    <w:name w:val="toc 7"/>
    <w:basedOn w:val="1"/>
    <w:next w:val="1"/>
    <w:qFormat/>
    <w:uiPriority w:val="99"/>
    <w:pPr>
      <w:ind w:left="2520" w:leftChars="1200"/>
    </w:pPr>
  </w:style>
  <w:style w:type="paragraph" w:styleId="14">
    <w:name w:val="Normal Indent"/>
    <w:basedOn w:val="1"/>
    <w:qFormat/>
    <w:uiPriority w:val="99"/>
    <w:pPr>
      <w:ind w:firstLine="420" w:firstLineChars="200"/>
    </w:pPr>
  </w:style>
  <w:style w:type="paragraph" w:styleId="15">
    <w:name w:val="caption"/>
    <w:basedOn w:val="1"/>
    <w:next w:val="1"/>
    <w:qFormat/>
    <w:uiPriority w:val="99"/>
    <w:rPr>
      <w:rFonts w:ascii="Arial" w:hAnsi="Arial" w:eastAsia="黑体" w:cs="Arial"/>
      <w:sz w:val="20"/>
      <w:szCs w:val="20"/>
    </w:rPr>
  </w:style>
  <w:style w:type="paragraph" w:styleId="16">
    <w:name w:val="Document Map"/>
    <w:basedOn w:val="1"/>
    <w:link w:val="69"/>
    <w:qFormat/>
    <w:uiPriority w:val="99"/>
    <w:pPr>
      <w:shd w:val="clear" w:color="auto" w:fill="000080"/>
    </w:pPr>
    <w:rPr>
      <w:kern w:val="0"/>
      <w:sz w:val="2"/>
      <w:szCs w:val="20"/>
    </w:rPr>
  </w:style>
  <w:style w:type="paragraph" w:styleId="17">
    <w:name w:val="annotation text"/>
    <w:basedOn w:val="1"/>
    <w:link w:val="67"/>
    <w:semiHidden/>
    <w:qFormat/>
    <w:uiPriority w:val="99"/>
    <w:pPr>
      <w:jc w:val="left"/>
    </w:pPr>
    <w:rPr>
      <w:kern w:val="0"/>
      <w:sz w:val="24"/>
      <w:szCs w:val="20"/>
    </w:rPr>
  </w:style>
  <w:style w:type="paragraph" w:styleId="18">
    <w:name w:val="Body Text 3"/>
    <w:basedOn w:val="1"/>
    <w:link w:val="70"/>
    <w:qFormat/>
    <w:uiPriority w:val="99"/>
    <w:rPr>
      <w:kern w:val="0"/>
      <w:sz w:val="16"/>
      <w:szCs w:val="20"/>
    </w:rPr>
  </w:style>
  <w:style w:type="paragraph" w:styleId="19">
    <w:name w:val="Body Text"/>
    <w:basedOn w:val="1"/>
    <w:link w:val="71"/>
    <w:qFormat/>
    <w:uiPriority w:val="99"/>
    <w:rPr>
      <w:sz w:val="24"/>
      <w:szCs w:val="20"/>
    </w:rPr>
  </w:style>
  <w:style w:type="paragraph" w:styleId="20">
    <w:name w:val="Body Text Indent"/>
    <w:basedOn w:val="1"/>
    <w:link w:val="72"/>
    <w:qFormat/>
    <w:uiPriority w:val="99"/>
    <w:pPr>
      <w:spacing w:line="500" w:lineRule="exact"/>
      <w:ind w:left="1588" w:leftChars="832" w:firstLine="433" w:firstLineChars="196"/>
    </w:pPr>
    <w:rPr>
      <w:kern w:val="0"/>
      <w:sz w:val="24"/>
      <w:szCs w:val="20"/>
    </w:rPr>
  </w:style>
  <w:style w:type="paragraph" w:styleId="21">
    <w:name w:val="List 2"/>
    <w:basedOn w:val="1"/>
    <w:qFormat/>
    <w:uiPriority w:val="99"/>
    <w:pPr>
      <w:ind w:left="100" w:leftChars="200" w:hanging="200" w:hangingChars="200"/>
    </w:pPr>
  </w:style>
  <w:style w:type="paragraph" w:styleId="22">
    <w:name w:val="List Continue"/>
    <w:basedOn w:val="1"/>
    <w:qFormat/>
    <w:uiPriority w:val="99"/>
    <w:pPr>
      <w:ind w:left="420" w:leftChars="200"/>
    </w:pPr>
  </w:style>
  <w:style w:type="paragraph" w:styleId="23">
    <w:name w:val="HTML Address"/>
    <w:basedOn w:val="1"/>
    <w:link w:val="73"/>
    <w:qFormat/>
    <w:uiPriority w:val="99"/>
    <w:pPr>
      <w:widowControl/>
      <w:jc w:val="left"/>
    </w:pPr>
    <w:rPr>
      <w:i/>
      <w:kern w:val="0"/>
      <w:sz w:val="24"/>
      <w:szCs w:val="20"/>
    </w:rPr>
  </w:style>
  <w:style w:type="paragraph" w:styleId="24">
    <w:name w:val="toc 5"/>
    <w:basedOn w:val="1"/>
    <w:next w:val="1"/>
    <w:qFormat/>
    <w:uiPriority w:val="99"/>
    <w:pPr>
      <w:ind w:left="1680" w:leftChars="800"/>
    </w:pPr>
  </w:style>
  <w:style w:type="paragraph" w:styleId="25">
    <w:name w:val="toc 3"/>
    <w:basedOn w:val="1"/>
    <w:next w:val="1"/>
    <w:qFormat/>
    <w:uiPriority w:val="99"/>
    <w:pPr>
      <w:ind w:left="840" w:leftChars="400"/>
    </w:pPr>
  </w:style>
  <w:style w:type="paragraph" w:styleId="26">
    <w:name w:val="Plain Text"/>
    <w:basedOn w:val="1"/>
    <w:link w:val="74"/>
    <w:qFormat/>
    <w:uiPriority w:val="99"/>
    <w:rPr>
      <w:rFonts w:ascii="宋体" w:hAnsi="Courier New"/>
      <w:szCs w:val="20"/>
    </w:rPr>
  </w:style>
  <w:style w:type="paragraph" w:styleId="27">
    <w:name w:val="toc 8"/>
    <w:basedOn w:val="1"/>
    <w:next w:val="1"/>
    <w:qFormat/>
    <w:uiPriority w:val="99"/>
    <w:pPr>
      <w:ind w:left="2940" w:leftChars="1400"/>
    </w:pPr>
  </w:style>
  <w:style w:type="paragraph" w:styleId="28">
    <w:name w:val="Date"/>
    <w:basedOn w:val="1"/>
    <w:next w:val="1"/>
    <w:link w:val="75"/>
    <w:qFormat/>
    <w:uiPriority w:val="99"/>
    <w:pPr>
      <w:ind w:left="100" w:leftChars="2500"/>
    </w:pPr>
    <w:rPr>
      <w:kern w:val="0"/>
      <w:sz w:val="24"/>
      <w:szCs w:val="20"/>
    </w:rPr>
  </w:style>
  <w:style w:type="paragraph" w:styleId="29">
    <w:name w:val="Body Text Indent 2"/>
    <w:basedOn w:val="1"/>
    <w:link w:val="76"/>
    <w:qFormat/>
    <w:uiPriority w:val="99"/>
    <w:pPr>
      <w:spacing w:line="500" w:lineRule="exact"/>
      <w:ind w:firstLine="442" w:firstLineChars="200"/>
    </w:pPr>
    <w:rPr>
      <w:kern w:val="0"/>
      <w:sz w:val="24"/>
      <w:szCs w:val="20"/>
    </w:rPr>
  </w:style>
  <w:style w:type="paragraph" w:styleId="30">
    <w:name w:val="Balloon Text"/>
    <w:basedOn w:val="1"/>
    <w:link w:val="77"/>
    <w:qFormat/>
    <w:uiPriority w:val="99"/>
    <w:rPr>
      <w:kern w:val="0"/>
      <w:sz w:val="2"/>
      <w:szCs w:val="20"/>
    </w:rPr>
  </w:style>
  <w:style w:type="paragraph" w:styleId="31">
    <w:name w:val="footer"/>
    <w:basedOn w:val="1"/>
    <w:link w:val="78"/>
    <w:qFormat/>
    <w:uiPriority w:val="99"/>
    <w:pPr>
      <w:tabs>
        <w:tab w:val="center" w:pos="4153"/>
        <w:tab w:val="right" w:pos="8306"/>
      </w:tabs>
      <w:snapToGrid w:val="0"/>
      <w:jc w:val="left"/>
    </w:pPr>
    <w:rPr>
      <w:sz w:val="18"/>
      <w:szCs w:val="20"/>
    </w:rPr>
  </w:style>
  <w:style w:type="paragraph" w:styleId="32">
    <w:name w:val="header"/>
    <w:basedOn w:val="1"/>
    <w:link w:val="79"/>
    <w:qFormat/>
    <w:uiPriority w:val="99"/>
    <w:pPr>
      <w:pBdr>
        <w:bottom w:val="single" w:color="auto" w:sz="6" w:space="1"/>
      </w:pBdr>
      <w:tabs>
        <w:tab w:val="center" w:pos="4153"/>
        <w:tab w:val="right" w:pos="8306"/>
      </w:tabs>
      <w:snapToGrid w:val="0"/>
      <w:jc w:val="center"/>
    </w:pPr>
    <w:rPr>
      <w:sz w:val="18"/>
      <w:szCs w:val="20"/>
    </w:rPr>
  </w:style>
  <w:style w:type="paragraph" w:styleId="33">
    <w:name w:val="Signature"/>
    <w:basedOn w:val="1"/>
    <w:link w:val="80"/>
    <w:qFormat/>
    <w:uiPriority w:val="99"/>
    <w:pPr>
      <w:ind w:left="100" w:leftChars="2100"/>
    </w:pPr>
    <w:rPr>
      <w:kern w:val="0"/>
      <w:sz w:val="24"/>
      <w:szCs w:val="20"/>
    </w:rPr>
  </w:style>
  <w:style w:type="paragraph" w:styleId="34">
    <w:name w:val="toc 1"/>
    <w:basedOn w:val="1"/>
    <w:next w:val="1"/>
    <w:qFormat/>
    <w:uiPriority w:val="99"/>
  </w:style>
  <w:style w:type="paragraph" w:styleId="35">
    <w:name w:val="List Continue 4"/>
    <w:basedOn w:val="1"/>
    <w:qFormat/>
    <w:uiPriority w:val="99"/>
    <w:pPr>
      <w:ind w:left="1680" w:leftChars="800"/>
    </w:pPr>
  </w:style>
  <w:style w:type="paragraph" w:styleId="36">
    <w:name w:val="toc 4"/>
    <w:basedOn w:val="1"/>
    <w:next w:val="1"/>
    <w:qFormat/>
    <w:uiPriority w:val="99"/>
    <w:pPr>
      <w:ind w:left="1260" w:leftChars="600"/>
    </w:pPr>
  </w:style>
  <w:style w:type="paragraph" w:styleId="37">
    <w:name w:val="List"/>
    <w:basedOn w:val="1"/>
    <w:qFormat/>
    <w:uiPriority w:val="99"/>
    <w:pPr>
      <w:ind w:left="200" w:hanging="200" w:hangingChars="200"/>
    </w:pPr>
  </w:style>
  <w:style w:type="paragraph" w:styleId="38">
    <w:name w:val="toc 6"/>
    <w:basedOn w:val="1"/>
    <w:next w:val="1"/>
    <w:qFormat/>
    <w:uiPriority w:val="99"/>
    <w:pPr>
      <w:ind w:left="2100" w:leftChars="1000"/>
    </w:pPr>
  </w:style>
  <w:style w:type="paragraph" w:styleId="39">
    <w:name w:val="List 5"/>
    <w:basedOn w:val="1"/>
    <w:qFormat/>
    <w:uiPriority w:val="99"/>
    <w:pPr>
      <w:ind w:left="100" w:leftChars="800" w:hanging="200" w:hangingChars="200"/>
    </w:pPr>
  </w:style>
  <w:style w:type="paragraph" w:styleId="40">
    <w:name w:val="Body Text Indent 3"/>
    <w:basedOn w:val="1"/>
    <w:link w:val="81"/>
    <w:qFormat/>
    <w:uiPriority w:val="99"/>
    <w:pPr>
      <w:tabs>
        <w:tab w:val="left" w:pos="1134"/>
        <w:tab w:val="left" w:pos="5481"/>
        <w:tab w:val="left" w:pos="5859"/>
      </w:tabs>
      <w:spacing w:line="500" w:lineRule="exact"/>
      <w:ind w:firstLine="8275" w:firstLineChars="1200"/>
    </w:pPr>
    <w:rPr>
      <w:kern w:val="0"/>
      <w:sz w:val="16"/>
      <w:szCs w:val="20"/>
    </w:rPr>
  </w:style>
  <w:style w:type="paragraph" w:styleId="41">
    <w:name w:val="toc 2"/>
    <w:basedOn w:val="1"/>
    <w:next w:val="1"/>
    <w:qFormat/>
    <w:uiPriority w:val="99"/>
    <w:pPr>
      <w:ind w:left="420" w:leftChars="200"/>
    </w:pPr>
  </w:style>
  <w:style w:type="paragraph" w:styleId="42">
    <w:name w:val="toc 9"/>
    <w:basedOn w:val="1"/>
    <w:next w:val="1"/>
    <w:qFormat/>
    <w:uiPriority w:val="99"/>
    <w:pPr>
      <w:ind w:left="3360" w:leftChars="1600"/>
    </w:pPr>
  </w:style>
  <w:style w:type="paragraph" w:styleId="43">
    <w:name w:val="Body Text 2"/>
    <w:basedOn w:val="1"/>
    <w:link w:val="82"/>
    <w:qFormat/>
    <w:uiPriority w:val="99"/>
    <w:rPr>
      <w:kern w:val="0"/>
      <w:sz w:val="24"/>
      <w:szCs w:val="20"/>
    </w:rPr>
  </w:style>
  <w:style w:type="paragraph" w:styleId="44">
    <w:name w:val="List 4"/>
    <w:basedOn w:val="1"/>
    <w:qFormat/>
    <w:uiPriority w:val="99"/>
    <w:pPr>
      <w:ind w:left="100" w:leftChars="600" w:hanging="200" w:hangingChars="200"/>
    </w:pPr>
  </w:style>
  <w:style w:type="paragraph" w:styleId="45">
    <w:name w:val="List Continue 2"/>
    <w:basedOn w:val="1"/>
    <w:qFormat/>
    <w:uiPriority w:val="99"/>
    <w:pPr>
      <w:ind w:left="840" w:leftChars="400"/>
    </w:pPr>
  </w:style>
  <w:style w:type="paragraph" w:styleId="46">
    <w:name w:val="Normal (Web)"/>
    <w:basedOn w:val="1"/>
    <w:qFormat/>
    <w:uiPriority w:val="99"/>
    <w:pPr>
      <w:widowControl/>
      <w:spacing w:beforeAutospacing="1" w:afterAutospacing="1"/>
      <w:jc w:val="left"/>
    </w:pPr>
    <w:rPr>
      <w:rFonts w:ascii="宋体" w:hAnsi="宋体" w:cs="宋体"/>
      <w:kern w:val="0"/>
      <w:sz w:val="24"/>
    </w:rPr>
  </w:style>
  <w:style w:type="paragraph" w:styleId="47">
    <w:name w:val="List Continue 3"/>
    <w:basedOn w:val="1"/>
    <w:qFormat/>
    <w:uiPriority w:val="99"/>
    <w:pPr>
      <w:ind w:left="1260" w:leftChars="600"/>
    </w:pPr>
  </w:style>
  <w:style w:type="paragraph" w:styleId="48">
    <w:name w:val="annotation subject"/>
    <w:basedOn w:val="17"/>
    <w:next w:val="17"/>
    <w:link w:val="68"/>
    <w:qFormat/>
    <w:uiPriority w:val="99"/>
    <w:rPr>
      <w:b/>
    </w:rPr>
  </w:style>
  <w:style w:type="table" w:styleId="50">
    <w:name w:val="Table Grid"/>
    <w:basedOn w:val="49"/>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52">
    <w:name w:val="Strong"/>
    <w:qFormat/>
    <w:uiPriority w:val="99"/>
    <w:rPr>
      <w:rFonts w:cs="Times New Roman"/>
      <w:b/>
    </w:rPr>
  </w:style>
  <w:style w:type="character" w:styleId="53">
    <w:name w:val="page number"/>
    <w:qFormat/>
    <w:uiPriority w:val="99"/>
    <w:rPr>
      <w:rFonts w:cs="Times New Roman"/>
    </w:rPr>
  </w:style>
  <w:style w:type="character" w:styleId="54">
    <w:name w:val="line number"/>
    <w:qFormat/>
    <w:uiPriority w:val="99"/>
    <w:rPr>
      <w:rFonts w:cs="Times New Roman"/>
    </w:rPr>
  </w:style>
  <w:style w:type="character" w:styleId="55">
    <w:name w:val="HTML Typewriter"/>
    <w:qFormat/>
    <w:uiPriority w:val="99"/>
    <w:rPr>
      <w:rFonts w:ascii="黑体" w:hAnsi="Courier New" w:eastAsia="黑体" w:cs="Times New Roman"/>
      <w:sz w:val="14"/>
    </w:rPr>
  </w:style>
  <w:style w:type="character" w:styleId="56">
    <w:name w:val="Hyperlink"/>
    <w:qFormat/>
    <w:uiPriority w:val="99"/>
    <w:rPr>
      <w:rFonts w:cs="Times New Roman"/>
      <w:color w:val="0000FF"/>
      <w:u w:val="single"/>
    </w:rPr>
  </w:style>
  <w:style w:type="character" w:styleId="57">
    <w:name w:val="annotation reference"/>
    <w:qFormat/>
    <w:uiPriority w:val="99"/>
    <w:rPr>
      <w:rFonts w:cs="Times New Roman"/>
      <w:sz w:val="21"/>
    </w:rPr>
  </w:style>
  <w:style w:type="character" w:customStyle="1" w:styleId="58">
    <w:name w:val="标题 1 Char"/>
    <w:link w:val="2"/>
    <w:qFormat/>
    <w:locked/>
    <w:uiPriority w:val="99"/>
    <w:rPr>
      <w:rFonts w:eastAsia="宋体" w:cs="Times New Roman"/>
      <w:b/>
      <w:kern w:val="44"/>
      <w:sz w:val="44"/>
      <w:lang w:val="en-US" w:eastAsia="zh-CN"/>
    </w:rPr>
  </w:style>
  <w:style w:type="character" w:customStyle="1" w:styleId="59">
    <w:name w:val="标题 2 Char"/>
    <w:link w:val="3"/>
    <w:qFormat/>
    <w:locked/>
    <w:uiPriority w:val="99"/>
    <w:rPr>
      <w:rFonts w:ascii="Cambria" w:hAnsi="Cambria" w:eastAsia="宋体" w:cs="Times New Roman"/>
      <w:b/>
      <w:sz w:val="32"/>
    </w:rPr>
  </w:style>
  <w:style w:type="character" w:customStyle="1" w:styleId="60">
    <w:name w:val="标题 3 Char"/>
    <w:link w:val="4"/>
    <w:qFormat/>
    <w:locked/>
    <w:uiPriority w:val="99"/>
    <w:rPr>
      <w:rFonts w:cs="Times New Roman"/>
      <w:b/>
      <w:sz w:val="32"/>
    </w:rPr>
  </w:style>
  <w:style w:type="character" w:customStyle="1" w:styleId="61">
    <w:name w:val="标题 4 Char"/>
    <w:link w:val="5"/>
    <w:qFormat/>
    <w:locked/>
    <w:uiPriority w:val="99"/>
    <w:rPr>
      <w:rFonts w:ascii="Cambria" w:hAnsi="Cambria" w:eastAsia="宋体" w:cs="Times New Roman"/>
      <w:b/>
      <w:sz w:val="28"/>
    </w:rPr>
  </w:style>
  <w:style w:type="character" w:customStyle="1" w:styleId="62">
    <w:name w:val="标题 5 Char"/>
    <w:link w:val="6"/>
    <w:qFormat/>
    <w:locked/>
    <w:uiPriority w:val="99"/>
    <w:rPr>
      <w:rFonts w:cs="Times New Roman"/>
      <w:b/>
      <w:sz w:val="28"/>
    </w:rPr>
  </w:style>
  <w:style w:type="character" w:customStyle="1" w:styleId="63">
    <w:name w:val="标题 6 Char"/>
    <w:link w:val="7"/>
    <w:qFormat/>
    <w:locked/>
    <w:uiPriority w:val="99"/>
    <w:rPr>
      <w:rFonts w:ascii="Cambria" w:hAnsi="Cambria" w:eastAsia="宋体" w:cs="Times New Roman"/>
      <w:b/>
      <w:sz w:val="24"/>
    </w:rPr>
  </w:style>
  <w:style w:type="character" w:customStyle="1" w:styleId="64">
    <w:name w:val="标题 7 Char"/>
    <w:link w:val="8"/>
    <w:qFormat/>
    <w:locked/>
    <w:uiPriority w:val="99"/>
    <w:rPr>
      <w:rFonts w:cs="Times New Roman"/>
      <w:b/>
      <w:sz w:val="24"/>
    </w:rPr>
  </w:style>
  <w:style w:type="character" w:customStyle="1" w:styleId="65">
    <w:name w:val="标题 8 Char"/>
    <w:link w:val="9"/>
    <w:qFormat/>
    <w:locked/>
    <w:uiPriority w:val="99"/>
    <w:rPr>
      <w:rFonts w:ascii="Cambria" w:hAnsi="Cambria" w:eastAsia="宋体" w:cs="Times New Roman"/>
      <w:sz w:val="24"/>
    </w:rPr>
  </w:style>
  <w:style w:type="character" w:customStyle="1" w:styleId="66">
    <w:name w:val="标题 9 Char"/>
    <w:link w:val="11"/>
    <w:qFormat/>
    <w:locked/>
    <w:uiPriority w:val="99"/>
    <w:rPr>
      <w:rFonts w:ascii="Cambria" w:hAnsi="Cambria" w:eastAsia="宋体" w:cs="Times New Roman"/>
      <w:sz w:val="21"/>
    </w:rPr>
  </w:style>
  <w:style w:type="character" w:customStyle="1" w:styleId="67">
    <w:name w:val="批注文字 Char"/>
    <w:link w:val="17"/>
    <w:qFormat/>
    <w:locked/>
    <w:uiPriority w:val="99"/>
    <w:rPr>
      <w:rFonts w:cs="Times New Roman"/>
      <w:sz w:val="24"/>
    </w:rPr>
  </w:style>
  <w:style w:type="character" w:customStyle="1" w:styleId="68">
    <w:name w:val="批注主题 Char"/>
    <w:link w:val="48"/>
    <w:qFormat/>
    <w:locked/>
    <w:uiPriority w:val="99"/>
    <w:rPr>
      <w:rFonts w:cs="Times New Roman"/>
      <w:b/>
      <w:sz w:val="24"/>
    </w:rPr>
  </w:style>
  <w:style w:type="character" w:customStyle="1" w:styleId="69">
    <w:name w:val="文档结构图 Char"/>
    <w:link w:val="16"/>
    <w:qFormat/>
    <w:locked/>
    <w:uiPriority w:val="99"/>
    <w:rPr>
      <w:rFonts w:cs="Times New Roman"/>
      <w:sz w:val="2"/>
    </w:rPr>
  </w:style>
  <w:style w:type="character" w:customStyle="1" w:styleId="70">
    <w:name w:val="正文文本 3 Char"/>
    <w:link w:val="18"/>
    <w:qFormat/>
    <w:locked/>
    <w:uiPriority w:val="99"/>
    <w:rPr>
      <w:rFonts w:cs="Times New Roman"/>
      <w:sz w:val="16"/>
    </w:rPr>
  </w:style>
  <w:style w:type="character" w:customStyle="1" w:styleId="71">
    <w:name w:val="正文文本 Char"/>
    <w:link w:val="19"/>
    <w:qFormat/>
    <w:locked/>
    <w:uiPriority w:val="99"/>
    <w:rPr>
      <w:rFonts w:eastAsia="宋体" w:cs="Times New Roman"/>
      <w:kern w:val="2"/>
      <w:sz w:val="24"/>
      <w:lang w:val="en-US" w:eastAsia="zh-CN"/>
    </w:rPr>
  </w:style>
  <w:style w:type="character" w:customStyle="1" w:styleId="72">
    <w:name w:val="正文文本缩进 Char"/>
    <w:link w:val="20"/>
    <w:qFormat/>
    <w:locked/>
    <w:uiPriority w:val="99"/>
    <w:rPr>
      <w:rFonts w:cs="Times New Roman"/>
      <w:sz w:val="24"/>
    </w:rPr>
  </w:style>
  <w:style w:type="character" w:customStyle="1" w:styleId="73">
    <w:name w:val="HTML 地址 Char"/>
    <w:link w:val="23"/>
    <w:qFormat/>
    <w:locked/>
    <w:uiPriority w:val="99"/>
    <w:rPr>
      <w:rFonts w:cs="Times New Roman"/>
      <w:i/>
      <w:sz w:val="24"/>
    </w:rPr>
  </w:style>
  <w:style w:type="character" w:customStyle="1" w:styleId="74">
    <w:name w:val="纯文本 Char"/>
    <w:link w:val="26"/>
    <w:qFormat/>
    <w:locked/>
    <w:uiPriority w:val="99"/>
    <w:rPr>
      <w:rFonts w:ascii="宋体" w:hAnsi="Courier New" w:eastAsia="宋体" w:cs="Times New Roman"/>
      <w:kern w:val="2"/>
      <w:sz w:val="21"/>
      <w:lang w:val="en-US" w:eastAsia="zh-CN"/>
    </w:rPr>
  </w:style>
  <w:style w:type="character" w:customStyle="1" w:styleId="75">
    <w:name w:val="日期 Char"/>
    <w:link w:val="28"/>
    <w:qFormat/>
    <w:locked/>
    <w:uiPriority w:val="99"/>
    <w:rPr>
      <w:rFonts w:cs="Times New Roman"/>
      <w:sz w:val="24"/>
    </w:rPr>
  </w:style>
  <w:style w:type="character" w:customStyle="1" w:styleId="76">
    <w:name w:val="正文文本缩进 2 Char"/>
    <w:link w:val="29"/>
    <w:qFormat/>
    <w:locked/>
    <w:uiPriority w:val="99"/>
    <w:rPr>
      <w:rFonts w:cs="Times New Roman"/>
      <w:sz w:val="24"/>
    </w:rPr>
  </w:style>
  <w:style w:type="character" w:customStyle="1" w:styleId="77">
    <w:name w:val="批注框文本 Char"/>
    <w:link w:val="30"/>
    <w:qFormat/>
    <w:locked/>
    <w:uiPriority w:val="99"/>
    <w:rPr>
      <w:rFonts w:cs="Times New Roman"/>
      <w:sz w:val="2"/>
    </w:rPr>
  </w:style>
  <w:style w:type="character" w:customStyle="1" w:styleId="78">
    <w:name w:val="页脚 Char"/>
    <w:link w:val="31"/>
    <w:qFormat/>
    <w:locked/>
    <w:uiPriority w:val="99"/>
    <w:rPr>
      <w:rFonts w:eastAsia="宋体" w:cs="Times New Roman"/>
      <w:kern w:val="2"/>
      <w:sz w:val="18"/>
      <w:lang w:val="en-US" w:eastAsia="zh-CN"/>
    </w:rPr>
  </w:style>
  <w:style w:type="character" w:customStyle="1" w:styleId="79">
    <w:name w:val="页眉 Char"/>
    <w:link w:val="32"/>
    <w:qFormat/>
    <w:locked/>
    <w:uiPriority w:val="99"/>
    <w:rPr>
      <w:rFonts w:eastAsia="宋体" w:cs="Times New Roman"/>
      <w:kern w:val="2"/>
      <w:sz w:val="18"/>
      <w:lang w:val="en-US" w:eastAsia="zh-CN"/>
    </w:rPr>
  </w:style>
  <w:style w:type="character" w:customStyle="1" w:styleId="80">
    <w:name w:val="签名 Char"/>
    <w:link w:val="33"/>
    <w:qFormat/>
    <w:locked/>
    <w:uiPriority w:val="99"/>
    <w:rPr>
      <w:rFonts w:cs="Times New Roman"/>
      <w:sz w:val="24"/>
    </w:rPr>
  </w:style>
  <w:style w:type="character" w:customStyle="1" w:styleId="81">
    <w:name w:val="正文文本缩进 3 Char"/>
    <w:link w:val="40"/>
    <w:qFormat/>
    <w:locked/>
    <w:uiPriority w:val="99"/>
    <w:rPr>
      <w:rFonts w:cs="Times New Roman"/>
      <w:sz w:val="16"/>
    </w:rPr>
  </w:style>
  <w:style w:type="character" w:customStyle="1" w:styleId="82">
    <w:name w:val="正文文本 2 Char"/>
    <w:link w:val="43"/>
    <w:qFormat/>
    <w:locked/>
    <w:uiPriority w:val="99"/>
    <w:rPr>
      <w:rFonts w:cs="Times New Roman"/>
      <w:sz w:val="24"/>
    </w:rPr>
  </w:style>
  <w:style w:type="paragraph" w:customStyle="1" w:styleId="83">
    <w:name w:val="Char Char 字元 字元 字元 Char Char Char Char"/>
    <w:basedOn w:val="1"/>
    <w:qFormat/>
    <w:uiPriority w:val="99"/>
    <w:pPr>
      <w:adjustRightInd w:val="0"/>
      <w:spacing w:line="360" w:lineRule="auto"/>
    </w:pPr>
  </w:style>
  <w:style w:type="paragraph" w:customStyle="1" w:styleId="84">
    <w:name w:val="PP 行"/>
    <w:basedOn w:val="33"/>
    <w:qFormat/>
    <w:uiPriority w:val="99"/>
  </w:style>
  <w:style w:type="paragraph" w:customStyle="1" w:styleId="85">
    <w:name w:val="Char Char Char Char Char Char Char Char Char Char Char Char Char Char Char"/>
    <w:basedOn w:val="1"/>
    <w:qFormat/>
    <w:uiPriority w:val="99"/>
    <w:pPr>
      <w:widowControl/>
      <w:spacing w:line="400" w:lineRule="exact"/>
      <w:jc w:val="center"/>
    </w:pPr>
    <w:rPr>
      <w:rFonts w:ascii="Verdana" w:hAnsi="Verdana"/>
      <w:kern w:val="0"/>
      <w:szCs w:val="20"/>
      <w:lang w:eastAsia="en-US"/>
    </w:rPr>
  </w:style>
  <w:style w:type="paragraph" w:customStyle="1" w:styleId="86">
    <w:name w:val="正文（小标题）"/>
    <w:basedOn w:val="1"/>
    <w:next w:val="1"/>
    <w:qFormat/>
    <w:uiPriority w:val="99"/>
    <w:pPr>
      <w:spacing w:line="360" w:lineRule="auto"/>
    </w:pPr>
    <w:rPr>
      <w:rFonts w:ascii="黑体" w:eastAsia="黑体"/>
      <w:color w:val="0000FF"/>
      <w:sz w:val="24"/>
      <w:szCs w:val="20"/>
    </w:rPr>
  </w:style>
  <w:style w:type="paragraph" w:customStyle="1" w:styleId="87">
    <w:name w:val="Char Char1 Char Char Char Char Char Char"/>
    <w:basedOn w:val="1"/>
    <w:qFormat/>
    <w:uiPriority w:val="99"/>
    <w:pPr>
      <w:widowControl/>
      <w:adjustRightInd w:val="0"/>
      <w:snapToGrid w:val="0"/>
      <w:spacing w:beforeLines="25" w:afterLines="25" w:line="240" w:lineRule="exact"/>
      <w:ind w:firstLine="560" w:firstLineChars="192"/>
      <w:jc w:val="left"/>
    </w:pPr>
    <w:rPr>
      <w:rFonts w:ascii="宋体" w:hAnsi="宋体"/>
      <w:kern w:val="0"/>
      <w:sz w:val="28"/>
      <w:szCs w:val="28"/>
      <w:lang w:eastAsia="en-US"/>
    </w:rPr>
  </w:style>
  <w:style w:type="paragraph" w:customStyle="1" w:styleId="88">
    <w:name w:val="样式3"/>
    <w:basedOn w:val="1"/>
    <w:qFormat/>
    <w:uiPriority w:val="99"/>
    <w:pPr>
      <w:widowControl/>
      <w:spacing w:line="480" w:lineRule="exact"/>
      <w:jc w:val="center"/>
    </w:pPr>
    <w:rPr>
      <w:rFonts w:ascii="Arial" w:hAnsi="Arial" w:eastAsia="黑体"/>
      <w:spacing w:val="6"/>
      <w:kern w:val="0"/>
      <w:sz w:val="32"/>
      <w:szCs w:val="20"/>
    </w:rPr>
  </w:style>
  <w:style w:type="paragraph" w:customStyle="1" w:styleId="89">
    <w:name w:val="AbsatzTableFormat"/>
    <w:basedOn w:val="1"/>
    <w:qFormat/>
    <w:uiPriority w:val="99"/>
    <w:pPr>
      <w:widowControl/>
      <w:ind w:left="-82" w:leftChars="-39" w:right="-108"/>
    </w:pPr>
    <w:rPr>
      <w:rFonts w:ascii="Arial Narrow" w:hAnsi="Arial Narrow"/>
      <w:bCs/>
      <w:kern w:val="0"/>
      <w:sz w:val="22"/>
      <w:szCs w:val="21"/>
    </w:rPr>
  </w:style>
  <w:style w:type="paragraph" w:customStyle="1" w:styleId="90">
    <w:name w:val="标准正文"/>
    <w:basedOn w:val="20"/>
    <w:qFormat/>
    <w:uiPriority w:val="99"/>
    <w:pPr>
      <w:spacing w:line="360" w:lineRule="auto"/>
      <w:ind w:left="0" w:leftChars="0" w:firstLine="482" w:firstLineChars="0"/>
    </w:pPr>
    <w:rPr>
      <w:rFonts w:ascii="Arial" w:hAnsi="Arial"/>
    </w:rPr>
  </w:style>
  <w:style w:type="paragraph" w:customStyle="1" w:styleId="91">
    <w:name w:val="pa-0"/>
    <w:basedOn w:val="1"/>
    <w:qFormat/>
    <w:uiPriority w:val="99"/>
    <w:pPr>
      <w:widowControl/>
      <w:spacing w:beforeAutospacing="1" w:afterAutospacing="1"/>
      <w:jc w:val="left"/>
    </w:pPr>
    <w:rPr>
      <w:rFonts w:ascii="宋体" w:hAnsi="宋体" w:cs="宋体"/>
      <w:kern w:val="0"/>
      <w:sz w:val="24"/>
    </w:rPr>
  </w:style>
  <w:style w:type="paragraph" w:customStyle="1" w:styleId="92">
    <w:name w:val="Char"/>
    <w:basedOn w:val="16"/>
    <w:qFormat/>
    <w:uiPriority w:val="99"/>
    <w:pPr>
      <w:widowControl/>
    </w:pPr>
    <w:rPr>
      <w:rFonts w:ascii="Tahoma" w:hAnsi="Tahoma"/>
      <w:sz w:val="24"/>
    </w:rPr>
  </w:style>
  <w:style w:type="paragraph" w:customStyle="1" w:styleId="93">
    <w:name w:val="列出段落1"/>
    <w:basedOn w:val="1"/>
    <w:qFormat/>
    <w:uiPriority w:val="99"/>
    <w:pPr>
      <w:ind w:firstLine="420" w:firstLineChars="200"/>
    </w:pPr>
  </w:style>
  <w:style w:type="paragraph" w:customStyle="1" w:styleId="94">
    <w:name w:val="默认段落字体 Para Char Char Char Char Char Char Char Char Char Char Char Char Char"/>
    <w:basedOn w:val="16"/>
    <w:qFormat/>
    <w:uiPriority w:val="99"/>
    <w:rPr>
      <w:rFonts w:ascii="Tahoma" w:hAnsi="Tahoma"/>
      <w:sz w:val="24"/>
    </w:rPr>
  </w:style>
  <w:style w:type="paragraph" w:customStyle="1" w:styleId="95">
    <w:name w:val="样式29"/>
    <w:basedOn w:val="96"/>
    <w:qFormat/>
    <w:uiPriority w:val="99"/>
    <w:rPr>
      <w:rFonts w:eastAsia="楷体_GB2312"/>
    </w:rPr>
  </w:style>
  <w:style w:type="paragraph" w:customStyle="1" w:styleId="96">
    <w:name w:val="样式9 Char"/>
    <w:basedOn w:val="1"/>
    <w:link w:val="122"/>
    <w:qFormat/>
    <w:uiPriority w:val="99"/>
    <w:pPr>
      <w:widowControl/>
      <w:spacing w:line="440" w:lineRule="exact"/>
      <w:ind w:firstLine="200" w:firstLineChars="200"/>
      <w:jc w:val="left"/>
    </w:pPr>
    <w:rPr>
      <w:spacing w:val="6"/>
      <w:sz w:val="24"/>
      <w:szCs w:val="20"/>
    </w:rPr>
  </w:style>
  <w:style w:type="paragraph" w:customStyle="1" w:styleId="97">
    <w:name w:val="正文（黑体）"/>
    <w:basedOn w:val="1"/>
    <w:next w:val="1"/>
    <w:link w:val="119"/>
    <w:qFormat/>
    <w:uiPriority w:val="99"/>
    <w:pPr>
      <w:spacing w:line="360" w:lineRule="auto"/>
      <w:ind w:firstLine="480" w:firstLineChars="200"/>
    </w:pPr>
    <w:rPr>
      <w:rFonts w:ascii="黑体" w:eastAsia="黑体"/>
      <w:color w:val="000080"/>
      <w:sz w:val="24"/>
      <w:szCs w:val="20"/>
    </w:rPr>
  </w:style>
  <w:style w:type="paragraph" w:customStyle="1" w:styleId="98">
    <w:name w:val="Char Char Char"/>
    <w:basedOn w:val="1"/>
    <w:qFormat/>
    <w:uiPriority w:val="99"/>
    <w:pPr>
      <w:tabs>
        <w:tab w:val="left" w:pos="432"/>
      </w:tabs>
      <w:spacing w:beforeLines="50" w:afterLines="50"/>
      <w:ind w:left="432" w:hanging="432"/>
      <w:jc w:val="center"/>
    </w:pPr>
    <w:rPr>
      <w:sz w:val="24"/>
    </w:rPr>
  </w:style>
  <w:style w:type="paragraph" w:customStyle="1" w:styleId="99">
    <w:name w:val="列出段落111"/>
    <w:basedOn w:val="1"/>
    <w:qFormat/>
    <w:uiPriority w:val="99"/>
    <w:pPr>
      <w:ind w:firstLine="420" w:firstLineChars="200"/>
    </w:pPr>
  </w:style>
  <w:style w:type="paragraph" w:customStyle="1" w:styleId="100">
    <w:name w:val="Indent"/>
    <w:basedOn w:val="1"/>
    <w:qFormat/>
    <w:uiPriority w:val="99"/>
    <w:pPr>
      <w:widowControl/>
      <w:ind w:left="900"/>
      <w:jc w:val="left"/>
    </w:pPr>
    <w:rPr>
      <w:rFonts w:ascii="Arial" w:hAnsi="Arial" w:cs="Arial"/>
      <w:kern w:val="0"/>
      <w:sz w:val="24"/>
      <w:szCs w:val="20"/>
      <w:lang w:eastAsia="en-US"/>
    </w:rPr>
  </w:style>
  <w:style w:type="paragraph" w:customStyle="1" w:styleId="101">
    <w:name w:val="Char Char 字元 字元 字元 Char Char Char Char1"/>
    <w:basedOn w:val="1"/>
    <w:qFormat/>
    <w:uiPriority w:val="99"/>
    <w:pPr>
      <w:adjustRightInd w:val="0"/>
      <w:spacing w:line="360" w:lineRule="auto"/>
    </w:pPr>
    <w:rPr>
      <w:rFonts w:cs="Angsana New"/>
      <w:szCs w:val="20"/>
    </w:rPr>
  </w:style>
  <w:style w:type="paragraph" w:customStyle="1" w:styleId="102">
    <w:name w:val="Char1"/>
    <w:basedOn w:val="16"/>
    <w:qFormat/>
    <w:uiPriority w:val="99"/>
    <w:pPr>
      <w:widowControl/>
    </w:pPr>
    <w:rPr>
      <w:rFonts w:ascii="Tahoma" w:hAnsi="Tahoma"/>
      <w:sz w:val="24"/>
    </w:rPr>
  </w:style>
  <w:style w:type="paragraph" w:customStyle="1" w:styleId="103">
    <w:name w:val="列出段落2"/>
    <w:basedOn w:val="1"/>
    <w:qFormat/>
    <w:uiPriority w:val="99"/>
    <w:pPr>
      <w:ind w:firstLine="420" w:firstLineChars="200"/>
    </w:pPr>
    <w:rPr>
      <w:rFonts w:ascii="Calibri" w:hAnsi="Calibri"/>
      <w:szCs w:val="22"/>
    </w:rPr>
  </w:style>
  <w:style w:type="paragraph" w:customStyle="1" w:styleId="104">
    <w:name w:val="段"/>
    <w:qFormat/>
    <w:uiPriority w:val="99"/>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05">
    <w:name w:val="Default"/>
    <w:qFormat/>
    <w:uiPriority w:val="99"/>
    <w:pPr>
      <w:widowControl w:val="0"/>
      <w:autoSpaceDE w:val="0"/>
      <w:autoSpaceDN w:val="0"/>
      <w:adjustRightInd w:val="0"/>
    </w:pPr>
    <w:rPr>
      <w:rFonts w:ascii="Helvetica" w:hAnsi="Helvetica" w:eastAsia="宋体" w:cs="Helvetica"/>
      <w:color w:val="000000"/>
      <w:sz w:val="24"/>
      <w:szCs w:val="24"/>
      <w:lang w:val="en-US" w:eastAsia="zh-CN" w:bidi="ar-SA"/>
    </w:rPr>
  </w:style>
  <w:style w:type="paragraph" w:customStyle="1" w:styleId="106">
    <w:name w:val="简单回函地址"/>
    <w:basedOn w:val="1"/>
    <w:qFormat/>
    <w:uiPriority w:val="99"/>
  </w:style>
  <w:style w:type="paragraph" w:customStyle="1" w:styleId="107">
    <w:name w:val="List Paragraph1"/>
    <w:basedOn w:val="1"/>
    <w:qFormat/>
    <w:uiPriority w:val="99"/>
    <w:pPr>
      <w:ind w:firstLine="420" w:firstLineChars="200"/>
    </w:pPr>
    <w:rPr>
      <w:szCs w:val="21"/>
    </w:rPr>
  </w:style>
  <w:style w:type="paragraph" w:customStyle="1" w:styleId="108">
    <w:name w:val="正文（编号）"/>
    <w:basedOn w:val="109"/>
    <w:link w:val="120"/>
    <w:qFormat/>
    <w:uiPriority w:val="99"/>
    <w:pPr>
      <w:tabs>
        <w:tab w:val="left" w:pos="780"/>
      </w:tabs>
      <w:ind w:left="600" w:firstLine="0" w:firstLineChars="0"/>
    </w:pPr>
  </w:style>
  <w:style w:type="paragraph" w:customStyle="1" w:styleId="109">
    <w:name w:val="正文（缩进）"/>
    <w:basedOn w:val="1"/>
    <w:link w:val="117"/>
    <w:qFormat/>
    <w:uiPriority w:val="99"/>
    <w:pPr>
      <w:spacing w:line="360" w:lineRule="auto"/>
      <w:ind w:firstLine="480" w:firstLineChars="200"/>
    </w:pPr>
    <w:rPr>
      <w:sz w:val="24"/>
      <w:szCs w:val="20"/>
    </w:rPr>
  </w:style>
  <w:style w:type="paragraph" w:customStyle="1" w:styleId="110">
    <w:name w:val="列出段落11"/>
    <w:basedOn w:val="1"/>
    <w:qFormat/>
    <w:uiPriority w:val="99"/>
    <w:pPr>
      <w:ind w:firstLine="420" w:firstLineChars="200"/>
    </w:pPr>
    <w:rPr>
      <w:rFonts w:ascii="Calibri" w:hAnsi="Calibri"/>
      <w:szCs w:val="20"/>
    </w:rPr>
  </w:style>
  <w:style w:type="paragraph" w:customStyle="1" w:styleId="111">
    <w:name w:val="Normal_3"/>
    <w:qFormat/>
    <w:uiPriority w:val="99"/>
    <w:pPr>
      <w:jc w:val="both"/>
    </w:pPr>
    <w:rPr>
      <w:rFonts w:ascii="Times New Roman" w:hAnsi="Times New Roman" w:eastAsia="宋体" w:cs="Times New Roman"/>
      <w:sz w:val="22"/>
      <w:szCs w:val="22"/>
      <w:lang w:val="ru-RU" w:eastAsia="en-US" w:bidi="ar-SA"/>
    </w:rPr>
  </w:style>
  <w:style w:type="paragraph" w:customStyle="1" w:styleId="112">
    <w:name w:val="Char Char Char Char Char Char Char"/>
    <w:basedOn w:val="1"/>
    <w:qFormat/>
    <w:uiPriority w:val="99"/>
    <w:pPr>
      <w:widowControl/>
      <w:snapToGrid w:val="0"/>
      <w:spacing w:line="360" w:lineRule="auto"/>
      <w:jc w:val="left"/>
    </w:pPr>
    <w:rPr>
      <w:kern w:val="0"/>
      <w:sz w:val="24"/>
      <w:szCs w:val="20"/>
      <w:lang w:eastAsia="en-US"/>
    </w:rPr>
  </w:style>
  <w:style w:type="paragraph" w:customStyle="1" w:styleId="113">
    <w:name w:val="Char1 Char Char Char Char Char Char"/>
    <w:basedOn w:val="1"/>
    <w:qFormat/>
    <w:uiPriority w:val="99"/>
    <w:rPr>
      <w:rFonts w:ascii="Tahoma" w:hAnsi="Tahoma"/>
      <w:sz w:val="24"/>
      <w:szCs w:val="20"/>
    </w:rPr>
  </w:style>
  <w:style w:type="paragraph" w:customStyle="1" w:styleId="114">
    <w:name w:val="正文（标记）"/>
    <w:basedOn w:val="1"/>
    <w:link w:val="121"/>
    <w:qFormat/>
    <w:uiPriority w:val="99"/>
    <w:pPr>
      <w:tabs>
        <w:tab w:val="left" w:pos="1080"/>
        <w:tab w:val="left" w:pos="1140"/>
      </w:tabs>
      <w:ind w:left="1498" w:hanging="360"/>
    </w:pPr>
    <w:rPr>
      <w:sz w:val="24"/>
      <w:szCs w:val="20"/>
    </w:rPr>
  </w:style>
  <w:style w:type="character" w:customStyle="1" w:styleId="115">
    <w:name w:val="Anrede1IhrZeichen"/>
    <w:qFormat/>
    <w:uiPriority w:val="99"/>
    <w:rPr>
      <w:rFonts w:ascii="Arial" w:hAnsi="Arial"/>
      <w:sz w:val="20"/>
    </w:rPr>
  </w:style>
  <w:style w:type="character" w:customStyle="1" w:styleId="116">
    <w:name w:val="标题 3 Char Char"/>
    <w:qFormat/>
    <w:uiPriority w:val="99"/>
    <w:rPr>
      <w:rFonts w:ascii="宋体" w:eastAsia="宋体"/>
    </w:rPr>
  </w:style>
  <w:style w:type="character" w:customStyle="1" w:styleId="117">
    <w:name w:val="正文（缩进） Char Char"/>
    <w:link w:val="109"/>
    <w:qFormat/>
    <w:locked/>
    <w:uiPriority w:val="99"/>
    <w:rPr>
      <w:rFonts w:eastAsia="宋体"/>
      <w:kern w:val="2"/>
      <w:sz w:val="24"/>
      <w:lang w:val="en-US" w:eastAsia="zh-CN"/>
    </w:rPr>
  </w:style>
  <w:style w:type="character" w:customStyle="1" w:styleId="118">
    <w:name w:val="正文首行缩进两字 Char Char"/>
    <w:link w:val="10"/>
    <w:qFormat/>
    <w:locked/>
    <w:uiPriority w:val="99"/>
    <w:rPr>
      <w:color w:val="000000"/>
      <w:sz w:val="22"/>
      <w:lang w:val="en-US" w:eastAsia="zh-CN"/>
    </w:rPr>
  </w:style>
  <w:style w:type="character" w:customStyle="1" w:styleId="119">
    <w:name w:val="正文（黑体） Char Char"/>
    <w:link w:val="97"/>
    <w:qFormat/>
    <w:locked/>
    <w:uiPriority w:val="99"/>
    <w:rPr>
      <w:rFonts w:ascii="黑体" w:eastAsia="黑体"/>
      <w:color w:val="000080"/>
      <w:kern w:val="2"/>
      <w:sz w:val="24"/>
      <w:lang w:val="en-US" w:eastAsia="zh-CN"/>
    </w:rPr>
  </w:style>
  <w:style w:type="character" w:customStyle="1" w:styleId="120">
    <w:name w:val="正文（编号） Char Char"/>
    <w:link w:val="108"/>
    <w:qFormat/>
    <w:locked/>
    <w:uiPriority w:val="99"/>
    <w:rPr>
      <w:kern w:val="2"/>
      <w:sz w:val="24"/>
    </w:rPr>
  </w:style>
  <w:style w:type="character" w:customStyle="1" w:styleId="121">
    <w:name w:val="正文（标记） Char Char"/>
    <w:link w:val="114"/>
    <w:qFormat/>
    <w:locked/>
    <w:uiPriority w:val="99"/>
    <w:rPr>
      <w:kern w:val="2"/>
      <w:sz w:val="24"/>
    </w:rPr>
  </w:style>
  <w:style w:type="character" w:customStyle="1" w:styleId="122">
    <w:name w:val="样式9 Char Char Char"/>
    <w:link w:val="96"/>
    <w:qFormat/>
    <w:locked/>
    <w:uiPriority w:val="99"/>
    <w:rPr>
      <w:rFonts w:eastAsia="宋体"/>
      <w:spacing w:val="6"/>
      <w:kern w:val="2"/>
      <w:sz w:val="24"/>
      <w:lang w:val="en-US" w:eastAsia="zh-CN"/>
    </w:rPr>
  </w:style>
  <w:style w:type="character" w:customStyle="1" w:styleId="123">
    <w:name w:val="正文文本 Char1"/>
    <w:qFormat/>
    <w:uiPriority w:val="99"/>
    <w:rPr>
      <w:rFonts w:eastAsia="宋体"/>
      <w:kern w:val="2"/>
      <w:sz w:val="24"/>
      <w:lang w:val="en-US" w:eastAsia="zh-CN"/>
    </w:rPr>
  </w:style>
  <w:style w:type="character" w:customStyle="1" w:styleId="124">
    <w:name w:val="ca-02"/>
    <w:qFormat/>
    <w:uiPriority w:val="99"/>
  </w:style>
  <w:style w:type="character" w:customStyle="1" w:styleId="125">
    <w:name w:val="apple-converted-space"/>
    <w:qFormat/>
    <w:uiPriority w:val="99"/>
  </w:style>
  <w:style w:type="paragraph" w:customStyle="1" w:styleId="126">
    <w:name w:val="List Paragraph2"/>
    <w:basedOn w:val="1"/>
    <w:qFormat/>
    <w:uiPriority w:val="99"/>
    <w:pPr>
      <w:ind w:firstLine="420" w:firstLineChars="200"/>
    </w:pPr>
  </w:style>
  <w:style w:type="paragraph" w:customStyle="1" w:styleId="127">
    <w:name w:val="List Paragraph3"/>
    <w:basedOn w:val="1"/>
    <w:qFormat/>
    <w:uiPriority w:val="99"/>
    <w:pPr>
      <w:ind w:firstLine="420" w:firstLineChars="200"/>
    </w:pPr>
  </w:style>
  <w:style w:type="character" w:customStyle="1" w:styleId="128">
    <w:name w:val="样式 仿宋"/>
    <w:qFormat/>
    <w:uiPriority w:val="99"/>
    <w:rPr>
      <w:rFonts w:ascii="仿宋" w:hAnsi="仿宋" w:eastAsia="仿宋"/>
      <w:kern w:val="1"/>
    </w:rPr>
  </w:style>
  <w:style w:type="character" w:customStyle="1" w:styleId="129">
    <w:name w:val="font41"/>
    <w:qFormat/>
    <w:uiPriority w:val="0"/>
    <w:rPr>
      <w:rFonts w:hint="default" w:ascii="Arial Unicode MS" w:hAnsi="Arial Unicode MS" w:eastAsia="Arial Unicode MS" w:cs="Arial Unicode MS"/>
      <w:color w:val="000000"/>
      <w:sz w:val="20"/>
      <w:szCs w:val="20"/>
      <w:u w:val="none"/>
    </w:rPr>
  </w:style>
  <w:style w:type="paragraph" w:customStyle="1" w:styleId="130">
    <w:name w:val="列出段落3"/>
    <w:basedOn w:val="1"/>
    <w:next w:val="1"/>
    <w:qFormat/>
    <w:uiPriority w:val="34"/>
    <w:pPr>
      <w:ind w:firstLine="420" w:firstLineChars="200"/>
    </w:pPr>
  </w:style>
  <w:style w:type="paragraph" w:customStyle="1" w:styleId="131">
    <w:name w:val="_Style 2"/>
    <w:basedOn w:val="1"/>
    <w:qFormat/>
    <w:uiPriority w:val="34"/>
    <w:pPr>
      <w:ind w:firstLine="420" w:firstLineChars="200"/>
    </w:pPr>
  </w:style>
  <w:style w:type="paragraph" w:customStyle="1" w:styleId="132">
    <w:name w:val="列出段落31"/>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3074"/>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DJGS.COM</Company>
  <Pages>1</Pages>
  <Words>5317</Words>
  <Characters>30311</Characters>
  <Lines>252</Lines>
  <Paragraphs>71</Paragraphs>
  <TotalTime>11</TotalTime>
  <ScaleCrop>false</ScaleCrop>
  <LinksUpToDate>false</LinksUpToDate>
  <CharactersWithSpaces>35557</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2017-04-18T09:07:00Z</dcterms:created>
  <dc:creator>USER</dc:creator>
  <cp:lastModifiedBy>Administrator</cp:lastModifiedBy>
  <cp:lastPrinted>2019-08-30T06:51:00Z</cp:lastPrinted>
  <dcterms:modified xsi:type="dcterms:W3CDTF">2019-10-09T06:03:53Z</dcterms:modified>
  <dc:title>招标文件目录</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