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hint="eastAsia" w:eastAsia="黑体"/>
          <w:sz w:val="52"/>
          <w:highlight w:val="none"/>
          <w:lang w:val="en-US" w:eastAsia="zh-CN"/>
        </w:rPr>
      </w:pPr>
      <w:r>
        <w:rPr>
          <w:rFonts w:eastAsia="黑体"/>
          <w:sz w:val="52"/>
          <w:highlight w:val="none"/>
        </w:rPr>
        <w:pict>
          <v:shape id="_x0000_i1025" o:spt="75" alt="图片1" type="#_x0000_t75" style="height:34.5pt;width:87.75pt;" filled="f" o:preferrelative="t" stroked="f" coordsize="21600,21600">
            <v:path/>
            <v:fill on="f" focussize="0,0"/>
            <v:stroke on="f" joinstyle="miter"/>
            <v:imagedata r:id="rId10" o:title=""/>
            <o:lock v:ext="edit" aspectratio="t"/>
            <w10:wrap type="none"/>
            <w10:anchorlock/>
          </v:shape>
        </w:pict>
      </w:r>
    </w:p>
    <w:p>
      <w:pPr>
        <w:pStyle w:val="40"/>
        <w:spacing w:line="240" w:lineRule="auto"/>
        <w:ind w:firstLine="0" w:firstLineChars="0"/>
        <w:jc w:val="center"/>
        <w:rPr>
          <w:sz w:val="52"/>
          <w:highlight w:val="none"/>
        </w:rPr>
      </w:pPr>
    </w:p>
    <w:p>
      <w:pPr>
        <w:pStyle w:val="40"/>
        <w:spacing w:line="240" w:lineRule="auto"/>
        <w:ind w:firstLine="0" w:firstLineChars="0"/>
        <w:jc w:val="center"/>
        <w:rPr>
          <w:sz w:val="52"/>
          <w:highlight w:val="none"/>
        </w:rPr>
      </w:pPr>
      <w:r>
        <w:rPr>
          <w:sz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249" w:firstLineChars="700"/>
        <w:textAlignment w:val="auto"/>
        <w:outlineLvl w:val="9"/>
        <w:rPr>
          <w:rFonts w:ascii="宋体" w:hAnsi="宋体"/>
          <w:b/>
          <w:sz w:val="32"/>
          <w:szCs w:val="24"/>
          <w:highlight w:val="none"/>
        </w:rPr>
      </w:pPr>
      <w:r>
        <w:rPr>
          <w:rFonts w:hint="eastAsia" w:ascii="宋体" w:hAnsi="宋体"/>
          <w:b/>
          <w:sz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eastAsia="华文中宋"/>
          <w:b/>
          <w:sz w:val="56"/>
          <w:szCs w:val="28"/>
          <w:highlight w:val="none"/>
        </w:rPr>
      </w:pPr>
      <w:r>
        <w:rPr>
          <w:rFonts w:hint="eastAsia" w:ascii="宋体" w:hAnsi="宋体"/>
          <w:b/>
          <w:sz w:val="40"/>
          <w:szCs w:val="32"/>
          <w:highlight w:val="none"/>
        </w:rPr>
        <w:t>山东大学第二医院合理用药系统采购项目</w:t>
      </w:r>
    </w:p>
    <w:p>
      <w:pPr>
        <w:tabs>
          <w:tab w:val="left" w:pos="1134"/>
          <w:tab w:val="left" w:pos="5481"/>
          <w:tab w:val="left" w:pos="5859"/>
        </w:tabs>
        <w:jc w:val="both"/>
        <w:rPr>
          <w:rFonts w:eastAsia="华文中宋"/>
          <w:b/>
          <w:sz w:val="52"/>
          <w:highlight w:val="none"/>
        </w:rPr>
      </w:pP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both"/>
        <w:rPr>
          <w:rFonts w:eastAsia="华文中宋"/>
          <w:b/>
          <w:sz w:val="52"/>
          <w:highlight w:val="none"/>
        </w:rPr>
      </w:pPr>
    </w:p>
    <w:p>
      <w:pPr>
        <w:pStyle w:val="19"/>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招标编号：0676-196008ZB018034</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招标内容：合理用药系统</w:t>
      </w:r>
    </w:p>
    <w:p>
      <w:pPr>
        <w:tabs>
          <w:tab w:val="left" w:pos="1134"/>
          <w:tab w:val="left" w:pos="5481"/>
          <w:tab w:val="left" w:pos="5859"/>
        </w:tabs>
        <w:jc w:val="center"/>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lang w:eastAsia="zh-CN"/>
        </w:rPr>
        <w:t>〇</w:t>
      </w:r>
      <w:r>
        <w:rPr>
          <w:rFonts w:hint="eastAsia" w:ascii="宋体" w:hAnsi="宋体"/>
          <w:b/>
          <w:sz w:val="32"/>
          <w:szCs w:val="32"/>
          <w:highlight w:val="none"/>
        </w:rPr>
        <w:t>一九年</w:t>
      </w:r>
      <w:r>
        <w:rPr>
          <w:rFonts w:hint="eastAsia" w:ascii="宋体" w:hAnsi="宋体"/>
          <w:b/>
          <w:sz w:val="32"/>
          <w:szCs w:val="32"/>
          <w:highlight w:val="none"/>
          <w:lang w:val="en-US" w:eastAsia="zh-CN"/>
        </w:rPr>
        <w:t>十</w:t>
      </w:r>
      <w:r>
        <w:rPr>
          <w:rFonts w:hint="eastAsia" w:ascii="宋体" w:hAnsi="宋体"/>
          <w:b/>
          <w:sz w:val="32"/>
          <w:szCs w:val="32"/>
          <w:highlight w:val="none"/>
        </w:rPr>
        <w:t>月</w:t>
      </w:r>
    </w:p>
    <w:p>
      <w:pPr>
        <w:pStyle w:val="19"/>
        <w:spacing w:line="360" w:lineRule="auto"/>
        <w:jc w:val="center"/>
        <w:rPr>
          <w:rFonts w:ascii="宋体"/>
          <w:sz w:val="30"/>
          <w:szCs w:val="30"/>
          <w:highlight w:val="none"/>
        </w:rPr>
        <w:sectPr>
          <w:headerReference r:id="rId4" w:type="first"/>
          <w:footerReference r:id="rId6" w:type="first"/>
          <w:headerReference r:id="rId3" w:type="default"/>
          <w:footerReference r:id="rId5" w:type="default"/>
          <w:type w:val="continuous"/>
          <w:pgSz w:w="11906" w:h="16838"/>
          <w:pgMar w:top="1440" w:right="1800" w:bottom="1440" w:left="1800" w:header="851" w:footer="992" w:gutter="0"/>
          <w:pgBorders>
            <w:top w:val="none" w:sz="0" w:space="0"/>
            <w:left w:val="none" w:sz="0" w:space="0"/>
            <w:bottom w:val="none" w:sz="0" w:space="0"/>
            <w:right w:val="none" w:sz="0" w:space="0"/>
          </w:pgBorders>
          <w:pgNumType w:fmt="decimal" w:start="0"/>
          <w:cols w:space="0" w:num="1"/>
          <w:titlePg/>
          <w:rtlGutter w:val="0"/>
          <w:docGrid w:type="lines" w:linePitch="312" w:charSpace="0"/>
        </w:sectPr>
      </w:pPr>
    </w:p>
    <w:p>
      <w:pPr>
        <w:pStyle w:val="19"/>
        <w:spacing w:line="360" w:lineRule="auto"/>
        <w:jc w:val="center"/>
        <w:rPr>
          <w:rFonts w:ascii="宋体"/>
          <w:sz w:val="30"/>
          <w:szCs w:val="30"/>
          <w:highlight w:val="none"/>
        </w:rPr>
      </w:pPr>
    </w:p>
    <w:p>
      <w:pPr>
        <w:pStyle w:val="19"/>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rFonts w:hint="eastAsia"/>
          <w:sz w:val="24"/>
          <w:szCs w:val="22"/>
          <w:highlight w:val="none"/>
          <w:lang w:val="en-US" w:eastAsia="zh-CN"/>
        </w:rPr>
        <w:t>2</w:t>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9</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10</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27</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28</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rFonts w:hint="eastAsia" w:eastAsia="宋体"/>
          <w:sz w:val="24"/>
          <w:szCs w:val="22"/>
          <w:highlight w:val="none"/>
          <w:lang w:val="en-US" w:eastAsia="zh-CN"/>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rFonts w:hint="eastAsia"/>
          <w:sz w:val="24"/>
          <w:szCs w:val="22"/>
          <w:highlight w:val="none"/>
          <w:lang w:val="en-US" w:eastAsia="zh-CN"/>
        </w:rPr>
        <w:t>4</w:t>
      </w:r>
      <w:r>
        <w:rPr>
          <w:sz w:val="24"/>
          <w:szCs w:val="22"/>
          <w:highlight w:val="none"/>
        </w:rPr>
        <w:fldChar w:fldCharType="end"/>
      </w:r>
      <w:r>
        <w:rPr>
          <w:rFonts w:hint="eastAsia"/>
          <w:sz w:val="24"/>
          <w:szCs w:val="22"/>
          <w:highlight w:val="none"/>
          <w:lang w:val="en-US" w:eastAsia="zh-CN"/>
        </w:rPr>
        <w:t>2</w:t>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45</w:t>
      </w:r>
      <w:r>
        <w:rPr>
          <w:sz w:val="24"/>
          <w:szCs w:val="22"/>
          <w:highlight w:val="none"/>
        </w:rPr>
        <w:fldChar w:fldCharType="end"/>
      </w:r>
      <w:r>
        <w:rPr>
          <w:sz w:val="24"/>
          <w:szCs w:val="22"/>
          <w:highlight w:val="none"/>
        </w:rPr>
        <w:fldChar w:fldCharType="end"/>
      </w:r>
    </w:p>
    <w:p>
      <w:pPr>
        <w:pStyle w:val="34"/>
        <w:tabs>
          <w:tab w:val="right" w:leader="dot" w:pos="9276"/>
        </w:tabs>
        <w:rPr>
          <w:szCs w:val="20"/>
          <w:highlight w:val="none"/>
        </w:rPr>
      </w:pPr>
    </w:p>
    <w:p>
      <w:pPr>
        <w:pStyle w:val="19"/>
        <w:spacing w:line="360" w:lineRule="auto"/>
        <w:jc w:val="center"/>
        <w:rPr>
          <w:rFonts w:ascii="宋体"/>
          <w:bCs/>
          <w:highlight w:val="none"/>
        </w:rPr>
      </w:pPr>
      <w:r>
        <w:rPr>
          <w:rFonts w:ascii="宋体"/>
          <w:bCs/>
          <w:highlight w:val="none"/>
        </w:rPr>
        <w:fldChar w:fldCharType="end"/>
      </w:r>
    </w:p>
    <w:p>
      <w:pPr>
        <w:pStyle w:val="19"/>
        <w:spacing w:line="360" w:lineRule="auto"/>
        <w:jc w:val="center"/>
        <w:rPr>
          <w:rFonts w:ascii="宋体"/>
          <w:b/>
          <w:sz w:val="36"/>
          <w:highlight w:val="none"/>
        </w:rPr>
      </w:pPr>
      <w:r>
        <w:rPr>
          <w:rFonts w:ascii="宋体"/>
          <w:bCs/>
          <w:highlight w:val="none"/>
        </w:rPr>
        <w:br w:type="page"/>
      </w:r>
    </w:p>
    <w:p>
      <w:pPr>
        <w:pStyle w:val="20"/>
        <w:tabs>
          <w:tab w:val="left" w:pos="0"/>
        </w:tabs>
        <w:spacing w:line="440" w:lineRule="exact"/>
        <w:ind w:left="0" w:leftChars="0" w:firstLine="0" w:firstLineChars="0"/>
        <w:jc w:val="center"/>
        <w:outlineLvl w:val="0"/>
        <w:rPr>
          <w:rFonts w:hint="eastAsia" w:ascii="宋体" w:hAnsi="宋体"/>
          <w:b/>
          <w:sz w:val="36"/>
          <w:highlight w:val="none"/>
        </w:rPr>
      </w:pPr>
      <w:bookmarkStart w:id="0" w:name="_Toc15243"/>
      <w:r>
        <w:rPr>
          <w:rFonts w:hint="eastAsia" w:ascii="宋体" w:hAnsi="宋体"/>
          <w:b/>
          <w:sz w:val="36"/>
          <w:highlight w:val="none"/>
        </w:rPr>
        <w:t>第一部分</w:t>
      </w:r>
      <w:r>
        <w:rPr>
          <w:rFonts w:hint="eastAsia" w:ascii="宋体" w:hAnsi="宋体"/>
          <w:b/>
          <w:sz w:val="36"/>
          <w:highlight w:val="none"/>
          <w:lang w:val="en-US" w:eastAsia="zh-CN"/>
        </w:rPr>
        <w:t xml:space="preserve">   </w:t>
      </w:r>
      <w:r>
        <w:rPr>
          <w:rFonts w:hint="eastAsia" w:ascii="宋体" w:hAnsi="宋体"/>
          <w:b/>
          <w:sz w:val="36"/>
          <w:highlight w:val="none"/>
        </w:rPr>
        <w:t>招标公告</w:t>
      </w:r>
    </w:p>
    <w:p>
      <w:pPr>
        <w:pStyle w:val="20"/>
        <w:tabs>
          <w:tab w:val="left" w:pos="0"/>
        </w:tabs>
        <w:spacing w:line="440" w:lineRule="exact"/>
        <w:ind w:left="0" w:leftChars="0" w:firstLine="0" w:firstLineChars="0"/>
        <w:jc w:val="center"/>
        <w:outlineLvl w:val="0"/>
        <w:rPr>
          <w:rFonts w:hint="eastAsia" w:ascii="宋体" w:hAnsi="宋体"/>
          <w:b/>
          <w:sz w:val="36"/>
          <w:highlight w:val="none"/>
        </w:rPr>
      </w:pPr>
    </w:p>
    <w:p>
      <w:pPr>
        <w:pStyle w:val="20"/>
        <w:tabs>
          <w:tab w:val="left" w:pos="0"/>
        </w:tabs>
        <w:spacing w:line="440" w:lineRule="exact"/>
        <w:ind w:left="0" w:leftChars="0" w:firstLine="0" w:firstLineChars="0"/>
        <w:jc w:val="center"/>
        <w:outlineLvl w:val="0"/>
        <w:rPr>
          <w:rFonts w:hint="eastAsia" w:ascii="宋体" w:hAnsi="宋体"/>
          <w:b/>
          <w:color w:val="000000"/>
          <w:sz w:val="30"/>
          <w:szCs w:val="30"/>
          <w:highlight w:val="none"/>
        </w:rPr>
      </w:pPr>
      <w:r>
        <w:rPr>
          <w:rFonts w:hint="eastAsia" w:ascii="宋体" w:hAnsi="宋体"/>
          <w:b/>
          <w:color w:val="000000"/>
          <w:sz w:val="30"/>
          <w:szCs w:val="30"/>
          <w:highlight w:val="none"/>
        </w:rPr>
        <w:t>山东大学第二医院合理用药系统</w:t>
      </w:r>
      <w:r>
        <w:rPr>
          <w:rFonts w:hint="eastAsia" w:ascii="宋体" w:hAnsi="宋体"/>
          <w:b/>
          <w:color w:val="000000"/>
          <w:sz w:val="30"/>
          <w:szCs w:val="30"/>
          <w:highlight w:val="none"/>
          <w:lang w:eastAsia="zh-CN"/>
        </w:rPr>
        <w:t>采购项目</w:t>
      </w:r>
      <w:r>
        <w:rPr>
          <w:rFonts w:hint="eastAsia" w:ascii="宋体" w:hAnsi="宋体"/>
          <w:b/>
          <w:color w:val="000000"/>
          <w:sz w:val="30"/>
          <w:szCs w:val="30"/>
          <w:highlight w:val="none"/>
        </w:rPr>
        <w:t>招标公告</w:t>
      </w:r>
    </w:p>
    <w:p>
      <w:pPr>
        <w:pStyle w:val="20"/>
        <w:tabs>
          <w:tab w:val="left" w:pos="0"/>
        </w:tabs>
        <w:spacing w:line="440" w:lineRule="exact"/>
        <w:ind w:left="0" w:leftChars="0" w:firstLine="0" w:firstLineChars="0"/>
        <w:jc w:val="center"/>
        <w:outlineLvl w:val="0"/>
        <w:rPr>
          <w:rFonts w:hint="eastAsia" w:ascii="宋体" w:hAnsi="宋体"/>
          <w:b/>
          <w:color w:val="000000"/>
          <w:sz w:val="30"/>
          <w:szCs w:val="30"/>
          <w:highlight w:val="none"/>
        </w:rPr>
      </w:pP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1</w:t>
      </w:r>
      <w:r>
        <w:rPr>
          <w:rFonts w:hint="eastAsia" w:ascii="宋体" w:hAnsi="宋体" w:cs="宋体"/>
          <w:b/>
          <w:sz w:val="24"/>
          <w:highlight w:val="none"/>
        </w:rPr>
        <w:t>、</w:t>
      </w:r>
      <w:r>
        <w:rPr>
          <w:rFonts w:hint="eastAsia" w:ascii="宋体" w:hAnsi="宋体" w:cs="宋体"/>
          <w:b/>
          <w:sz w:val="24"/>
          <w:highlight w:val="none"/>
          <w:lang w:eastAsia="zh-CN"/>
        </w:rPr>
        <w:t>采购人</w:t>
      </w:r>
      <w:r>
        <w:rPr>
          <w:rFonts w:hint="eastAsia" w:ascii="宋体" w:hAnsi="宋体" w:cs="宋体"/>
          <w:b/>
          <w:sz w:val="24"/>
          <w:highlight w:val="none"/>
        </w:rPr>
        <w:t>名称：</w:t>
      </w:r>
      <w:r>
        <w:rPr>
          <w:rFonts w:hint="eastAsia" w:ascii="宋体" w:hAnsi="宋体" w:cs="宋体"/>
          <w:sz w:val="24"/>
          <w:highlight w:val="none"/>
        </w:rPr>
        <w:t>山东大学第二医院</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地址：济南市天桥区北园路</w:t>
      </w:r>
      <w:r>
        <w:rPr>
          <w:rFonts w:ascii="宋体" w:hAnsi="宋体" w:cs="宋体"/>
          <w:sz w:val="24"/>
          <w:highlight w:val="none"/>
        </w:rPr>
        <w:t>247</w:t>
      </w:r>
      <w:r>
        <w:rPr>
          <w:rFonts w:hint="eastAsia" w:ascii="宋体" w:hAnsi="宋体" w:cs="宋体"/>
          <w:sz w:val="24"/>
          <w:highlight w:val="none"/>
        </w:rPr>
        <w:t>号</w:t>
      </w:r>
    </w:p>
    <w:p>
      <w:pPr>
        <w:keepNext w:val="0"/>
        <w:keepLines w:val="0"/>
        <w:pageBreakBefore w:val="0"/>
        <w:kinsoku/>
        <w:wordWrap/>
        <w:overflowPunct/>
        <w:topLinePunct w:val="0"/>
        <w:autoSpaceDE/>
        <w:bidi w:val="0"/>
        <w:adjustRightInd w:val="0"/>
        <w:snapToGrid w:val="0"/>
        <w:spacing w:line="360" w:lineRule="auto"/>
        <w:ind w:firstLine="420" w:firstLineChars="175"/>
        <w:rPr>
          <w:rFonts w:ascii="宋体" w:cs="宋体"/>
          <w:sz w:val="24"/>
          <w:highlight w:val="none"/>
        </w:rPr>
      </w:pPr>
      <w:r>
        <w:rPr>
          <w:rFonts w:hint="eastAsia" w:ascii="宋体" w:hAnsi="宋体" w:cs="宋体"/>
          <w:sz w:val="24"/>
          <w:highlight w:val="none"/>
        </w:rPr>
        <w:t>联系方式：</w:t>
      </w:r>
      <w:r>
        <w:rPr>
          <w:rFonts w:ascii="宋体" w:hAnsi="宋体" w:cs="宋体"/>
          <w:sz w:val="24"/>
          <w:highlight w:val="none"/>
        </w:rPr>
        <w:t>0531-85875076</w:t>
      </w:r>
    </w:p>
    <w:p>
      <w:pPr>
        <w:pStyle w:val="132"/>
        <w:keepNext w:val="0"/>
        <w:keepLines w:val="0"/>
        <w:pageBreakBefore w:val="0"/>
        <w:kinsoku/>
        <w:wordWrap/>
        <w:overflowPunct/>
        <w:topLinePunct w:val="0"/>
        <w:autoSpaceDE/>
        <w:bidi w:val="0"/>
        <w:adjustRightInd w:val="0"/>
        <w:snapToGrid w:val="0"/>
        <w:spacing w:line="360" w:lineRule="auto"/>
        <w:ind w:firstLine="0" w:firstLineChars="0"/>
        <w:rPr>
          <w:rFonts w:ascii="宋体" w:cs="宋体"/>
          <w:sz w:val="24"/>
          <w:highlight w:val="none"/>
        </w:rPr>
      </w:pPr>
      <w:r>
        <w:rPr>
          <w:rFonts w:ascii="宋体" w:hAnsi="宋体" w:cs="宋体"/>
          <w:b/>
          <w:sz w:val="24"/>
          <w:highlight w:val="none"/>
        </w:rPr>
        <w:t>2</w:t>
      </w:r>
      <w:r>
        <w:rPr>
          <w:rFonts w:hint="eastAsia" w:ascii="宋体" w:hAnsi="宋体" w:cs="宋体"/>
          <w:b/>
          <w:sz w:val="24"/>
          <w:highlight w:val="none"/>
        </w:rPr>
        <w:t>、</w:t>
      </w:r>
      <w:r>
        <w:rPr>
          <w:rFonts w:hint="eastAsia" w:ascii="宋体" w:hAnsi="宋体" w:cs="宋体"/>
          <w:b/>
          <w:sz w:val="24"/>
          <w:highlight w:val="none"/>
          <w:lang w:eastAsia="zh-CN"/>
        </w:rPr>
        <w:t>采购代理</w:t>
      </w:r>
      <w:r>
        <w:rPr>
          <w:rFonts w:hint="eastAsia" w:ascii="宋体" w:hAnsi="宋体" w:cs="宋体"/>
          <w:b/>
          <w:sz w:val="24"/>
          <w:highlight w:val="none"/>
        </w:rPr>
        <w:t>机构名称：</w:t>
      </w:r>
      <w:r>
        <w:rPr>
          <w:rFonts w:hint="eastAsia" w:ascii="宋体" w:hAnsi="宋体" w:cs="宋体"/>
          <w:sz w:val="24"/>
          <w:highlight w:val="none"/>
        </w:rPr>
        <w:t>山东省鲁成招标有限公司</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ascii="宋体" w:cs="宋体"/>
          <w:sz w:val="24"/>
          <w:highlight w:val="none"/>
        </w:rPr>
      </w:pPr>
      <w:r>
        <w:rPr>
          <w:rFonts w:hint="eastAsia" w:ascii="宋体" w:hAnsi="宋体" w:cs="宋体"/>
          <w:sz w:val="24"/>
          <w:highlight w:val="none"/>
        </w:rPr>
        <w:t>地址：济南市经十路</w:t>
      </w:r>
      <w:r>
        <w:rPr>
          <w:rFonts w:ascii="宋体" w:hAnsi="宋体" w:cs="宋体"/>
          <w:sz w:val="24"/>
          <w:highlight w:val="none"/>
        </w:rPr>
        <w:t>10567</w:t>
      </w:r>
      <w:r>
        <w:rPr>
          <w:rFonts w:hint="eastAsia" w:ascii="宋体" w:hAnsi="宋体" w:cs="宋体"/>
          <w:sz w:val="24"/>
          <w:highlight w:val="none"/>
        </w:rPr>
        <w:t>号成城大厦</w:t>
      </w:r>
      <w:r>
        <w:rPr>
          <w:rFonts w:ascii="宋体" w:hAnsi="宋体" w:cs="宋体"/>
          <w:sz w:val="24"/>
          <w:highlight w:val="none"/>
        </w:rPr>
        <w:t>A</w:t>
      </w:r>
      <w:r>
        <w:rPr>
          <w:rFonts w:hint="eastAsia" w:ascii="宋体" w:hAnsi="宋体" w:cs="宋体"/>
          <w:sz w:val="24"/>
          <w:highlight w:val="none"/>
        </w:rPr>
        <w:t>座</w:t>
      </w:r>
    </w:p>
    <w:p>
      <w:pPr>
        <w:pStyle w:val="132"/>
        <w:keepNext w:val="0"/>
        <w:keepLines w:val="0"/>
        <w:pageBreakBefore w:val="0"/>
        <w:kinsoku/>
        <w:wordWrap/>
        <w:overflowPunct/>
        <w:topLinePunct w:val="0"/>
        <w:autoSpaceDE/>
        <w:bidi w:val="0"/>
        <w:adjustRightInd w:val="0"/>
        <w:snapToGrid w:val="0"/>
        <w:spacing w:line="360" w:lineRule="auto"/>
        <w:ind w:left="390" w:firstLine="0" w:firstLineChars="0"/>
        <w:rPr>
          <w:rFonts w:ascii="宋体" w:hAnsi="宋体" w:cs="宋体"/>
          <w:sz w:val="24"/>
          <w:highlight w:val="none"/>
        </w:rPr>
      </w:pPr>
      <w:r>
        <w:rPr>
          <w:rFonts w:hint="eastAsia" w:ascii="宋体" w:hAnsi="宋体" w:cs="宋体"/>
          <w:sz w:val="24"/>
          <w:highlight w:val="none"/>
        </w:rPr>
        <w:t>联系方式：0531-83191865</w:t>
      </w:r>
      <w:r>
        <w:rPr>
          <w:rFonts w:hint="eastAsia" w:ascii="宋体" w:hAnsi="宋体" w:cs="宋体"/>
          <w:sz w:val="24"/>
          <w:highlight w:val="none"/>
          <w:lang w:val="en-US" w:eastAsia="zh-CN"/>
        </w:rPr>
        <w:t>/83191895</w:t>
      </w:r>
    </w:p>
    <w:p>
      <w:pPr>
        <w:keepNext w:val="0"/>
        <w:keepLines w:val="0"/>
        <w:pageBreakBefore w:val="0"/>
        <w:kinsoku/>
        <w:wordWrap/>
        <w:overflowPunct/>
        <w:topLinePunct w:val="0"/>
        <w:autoSpaceDE/>
        <w:bidi w:val="0"/>
        <w:adjustRightInd w:val="0"/>
        <w:snapToGrid w:val="0"/>
        <w:spacing w:line="360" w:lineRule="auto"/>
        <w:rPr>
          <w:rFonts w:ascii="宋体" w:cs="宋体"/>
          <w:sz w:val="24"/>
          <w:highlight w:val="none"/>
        </w:rPr>
      </w:pPr>
      <w:r>
        <w:rPr>
          <w:rFonts w:ascii="宋体" w:hAnsi="宋体" w:cs="宋体"/>
          <w:b/>
          <w:sz w:val="24"/>
          <w:highlight w:val="none"/>
        </w:rPr>
        <w:t>3</w:t>
      </w:r>
      <w:r>
        <w:rPr>
          <w:rFonts w:hint="eastAsia" w:ascii="宋体" w:hAnsi="宋体" w:cs="宋体"/>
          <w:b/>
          <w:sz w:val="24"/>
          <w:highlight w:val="none"/>
        </w:rPr>
        <w:t>、项目名称：</w:t>
      </w:r>
      <w:r>
        <w:rPr>
          <w:rFonts w:hint="eastAsia" w:ascii="宋体" w:hAnsi="宋体" w:cs="宋体"/>
          <w:sz w:val="24"/>
          <w:highlight w:val="none"/>
        </w:rPr>
        <w:t>山东大学第二医院合理用药系统采购项目</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sz w:val="24"/>
          <w:highlight w:val="none"/>
          <w:lang w:val="en-US" w:eastAsia="zh-CN"/>
        </w:rPr>
      </w:pPr>
      <w:r>
        <w:rPr>
          <w:rFonts w:ascii="宋体" w:hAnsi="宋体" w:cs="宋体"/>
          <w:b/>
          <w:sz w:val="24"/>
          <w:highlight w:val="none"/>
        </w:rPr>
        <w:t>4</w:t>
      </w:r>
      <w:r>
        <w:rPr>
          <w:rFonts w:hint="eastAsia" w:ascii="宋体" w:hAnsi="宋体" w:cs="宋体"/>
          <w:b/>
          <w:sz w:val="24"/>
          <w:highlight w:val="none"/>
        </w:rPr>
        <w:t>、招标编号：</w:t>
      </w:r>
      <w:r>
        <w:rPr>
          <w:rFonts w:hint="eastAsia" w:ascii="宋体" w:hAnsi="宋体" w:cs="宋体"/>
          <w:sz w:val="24"/>
          <w:highlight w:val="none"/>
          <w:lang w:eastAsia="zh-CN"/>
        </w:rPr>
        <w:t>0676-196008ZB0180</w:t>
      </w:r>
      <w:r>
        <w:rPr>
          <w:rFonts w:hint="eastAsia" w:ascii="宋体" w:hAnsi="宋体" w:cs="宋体"/>
          <w:sz w:val="24"/>
          <w:highlight w:val="none"/>
          <w:lang w:val="en-US" w:eastAsia="zh-CN"/>
        </w:rPr>
        <w:t>34</w:t>
      </w:r>
    </w:p>
    <w:p>
      <w:pPr>
        <w:keepNext w:val="0"/>
        <w:keepLines w:val="0"/>
        <w:pageBreakBefore w:val="0"/>
        <w:kinsoku/>
        <w:wordWrap/>
        <w:overflowPunct/>
        <w:topLinePunct w:val="0"/>
        <w:autoSpaceDE/>
        <w:bidi w:val="0"/>
        <w:adjustRightInd w:val="0"/>
        <w:snapToGrid w:val="0"/>
        <w:spacing w:line="360" w:lineRule="auto"/>
        <w:rPr>
          <w:rFonts w:ascii="宋体" w:cs="宋体"/>
          <w:sz w:val="24"/>
          <w:highlight w:val="none"/>
        </w:rPr>
      </w:pPr>
      <w:r>
        <w:rPr>
          <w:rFonts w:ascii="宋体" w:hAnsi="宋体" w:cs="宋体"/>
          <w:b/>
          <w:sz w:val="24"/>
          <w:highlight w:val="none"/>
        </w:rPr>
        <w:t>5</w:t>
      </w:r>
      <w:r>
        <w:rPr>
          <w:rFonts w:hint="eastAsia" w:ascii="宋体" w:hAnsi="宋体" w:cs="宋体"/>
          <w:b/>
          <w:sz w:val="24"/>
          <w:highlight w:val="none"/>
        </w:rPr>
        <w:t>、</w:t>
      </w:r>
      <w:r>
        <w:rPr>
          <w:rFonts w:hint="eastAsia" w:ascii="宋体" w:hAnsi="宋体" w:cs="宋体"/>
          <w:b/>
          <w:sz w:val="24"/>
          <w:highlight w:val="none"/>
          <w:lang w:eastAsia="zh-CN"/>
        </w:rPr>
        <w:t>采购项目分包情况</w:t>
      </w:r>
      <w:r>
        <w:rPr>
          <w:rFonts w:hint="eastAsia" w:ascii="宋体" w:hAnsi="宋体" w:cs="宋体"/>
          <w:b/>
          <w:sz w:val="24"/>
          <w:highlight w:val="none"/>
        </w:rPr>
        <w:t>：</w:t>
      </w:r>
      <w:r>
        <w:rPr>
          <w:rFonts w:hint="eastAsia" w:ascii="宋体" w:hAnsi="宋体" w:cs="宋体"/>
          <w:sz w:val="24"/>
          <w:highlight w:val="none"/>
        </w:rPr>
        <w:t>本次招标为山东大学第二医院合理用药系统采购项目，具体技术要求详见招标文件，共分</w:t>
      </w:r>
      <w:r>
        <w:rPr>
          <w:rFonts w:hint="eastAsia" w:ascii="宋体" w:hAnsi="宋体" w:cs="宋体"/>
          <w:sz w:val="24"/>
          <w:highlight w:val="none"/>
          <w:lang w:val="en-US" w:eastAsia="zh-CN"/>
        </w:rPr>
        <w:t>1</w:t>
      </w:r>
      <w:r>
        <w:rPr>
          <w:rFonts w:hint="eastAsia" w:ascii="宋体" w:hAnsi="宋体" w:cs="宋体"/>
          <w:sz w:val="24"/>
          <w:highlight w:val="none"/>
        </w:rPr>
        <w:t>个包，分包情况如下：</w:t>
      </w:r>
    </w:p>
    <w:tbl>
      <w:tblPr>
        <w:tblStyle w:val="49"/>
        <w:tblW w:w="9060" w:type="dxa"/>
        <w:jc w:val="center"/>
        <w:tblInd w:w="97" w:type="dxa"/>
        <w:tblLayout w:type="fixed"/>
        <w:tblCellMar>
          <w:top w:w="0" w:type="dxa"/>
          <w:left w:w="15" w:type="dxa"/>
          <w:bottom w:w="0" w:type="dxa"/>
          <w:right w:w="15" w:type="dxa"/>
        </w:tblCellMar>
      </w:tblPr>
      <w:tblGrid>
        <w:gridCol w:w="2818"/>
        <w:gridCol w:w="2849"/>
        <w:gridCol w:w="3393"/>
      </w:tblGrid>
      <w:tr>
        <w:tblPrEx>
          <w:tblLayout w:type="fixed"/>
          <w:tblCellMar>
            <w:top w:w="0" w:type="dxa"/>
            <w:left w:w="15" w:type="dxa"/>
            <w:bottom w:w="0" w:type="dxa"/>
            <w:right w:w="15" w:type="dxa"/>
          </w:tblCellMar>
        </w:tblPrEx>
        <w:trPr>
          <w:trHeight w:val="724" w:hRule="atLeast"/>
          <w:jc w:val="center"/>
        </w:trPr>
        <w:tc>
          <w:tcPr>
            <w:tcW w:w="28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eastAsia="宋体"/>
                <w:color w:val="000000"/>
                <w:sz w:val="24"/>
                <w:highlight w:val="none"/>
                <w:lang w:eastAsia="zh-CN"/>
              </w:rPr>
            </w:pPr>
            <w:r>
              <w:rPr>
                <w:rFonts w:hint="eastAsia" w:ascii="宋体" w:hAnsi="宋体"/>
                <w:color w:val="000000"/>
                <w:sz w:val="24"/>
                <w:highlight w:val="none"/>
                <w:lang w:eastAsia="zh-CN"/>
              </w:rPr>
              <w:t>招标内容</w:t>
            </w:r>
          </w:p>
        </w:tc>
        <w:tc>
          <w:tcPr>
            <w:tcW w:w="28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color w:val="000000"/>
                <w:sz w:val="24"/>
                <w:highlight w:val="none"/>
              </w:rPr>
            </w:pPr>
            <w:r>
              <w:rPr>
                <w:rFonts w:hint="eastAsia" w:ascii="宋体" w:hAnsi="宋体"/>
                <w:color w:val="000000"/>
                <w:sz w:val="24"/>
                <w:highlight w:val="none"/>
              </w:rPr>
              <w:t>预算金额（万元）</w:t>
            </w:r>
          </w:p>
        </w:tc>
        <w:tc>
          <w:tcPr>
            <w:tcW w:w="33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r>
      <w:tr>
        <w:tblPrEx>
          <w:tblLayout w:type="fixed"/>
          <w:tblCellMar>
            <w:top w:w="0" w:type="dxa"/>
            <w:left w:w="15" w:type="dxa"/>
            <w:bottom w:w="0" w:type="dxa"/>
            <w:right w:w="15" w:type="dxa"/>
          </w:tblCellMar>
        </w:tblPrEx>
        <w:trPr>
          <w:trHeight w:val="715" w:hRule="atLeast"/>
          <w:jc w:val="center"/>
        </w:trPr>
        <w:tc>
          <w:tcPr>
            <w:tcW w:w="28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eastAsia" w:ascii="宋体" w:eastAsia="宋体"/>
                <w:color w:val="000000"/>
                <w:sz w:val="24"/>
                <w:highlight w:val="none"/>
                <w:lang w:val="en-US" w:eastAsia="zh-CN"/>
              </w:rPr>
            </w:pPr>
            <w:r>
              <w:rPr>
                <w:rFonts w:hint="eastAsia" w:ascii="宋体" w:hAnsi="宋体" w:cs="宋体"/>
                <w:sz w:val="24"/>
                <w:highlight w:val="none"/>
              </w:rPr>
              <w:t>合理用药系统</w:t>
            </w:r>
          </w:p>
        </w:tc>
        <w:tc>
          <w:tcPr>
            <w:tcW w:w="28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hint="default" w:ascii="宋体" w:eastAsia="宋体" w:cs="宋体"/>
                <w:color w:val="000000"/>
                <w:kern w:val="0"/>
                <w:sz w:val="24"/>
                <w:highlight w:val="none"/>
                <w:lang w:val="en-US" w:eastAsia="zh-CN"/>
              </w:rPr>
            </w:pPr>
            <w:r>
              <w:rPr>
                <w:rFonts w:hint="eastAsia" w:ascii="宋体" w:cs="宋体"/>
                <w:color w:val="000000"/>
                <w:kern w:val="0"/>
                <w:sz w:val="24"/>
                <w:highlight w:val="none"/>
                <w:lang w:val="en-US" w:eastAsia="zh-CN"/>
              </w:rPr>
              <w:t>200</w:t>
            </w:r>
          </w:p>
        </w:tc>
        <w:tc>
          <w:tcPr>
            <w:tcW w:w="33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val="0"/>
              <w:bidi w:val="0"/>
              <w:adjustRightInd w:val="0"/>
              <w:snapToGrid w:val="0"/>
              <w:spacing w:line="360" w:lineRule="auto"/>
              <w:jc w:val="center"/>
              <w:textAlignment w:val="center"/>
              <w:rPr>
                <w:rFonts w:ascii="宋体" w:hAnsi="宋体"/>
                <w:color w:val="000000"/>
                <w:sz w:val="24"/>
                <w:highlight w:val="none"/>
              </w:rPr>
            </w:pPr>
            <w:r>
              <w:rPr>
                <w:rFonts w:hint="eastAsia" w:ascii="宋体" w:hAnsi="宋体"/>
                <w:color w:val="000000"/>
                <w:sz w:val="24"/>
                <w:highlight w:val="none"/>
              </w:rPr>
              <w:t>详见招标文件</w:t>
            </w:r>
          </w:p>
        </w:tc>
      </w:tr>
    </w:tbl>
    <w:p>
      <w:pPr>
        <w:keepNext w:val="0"/>
        <w:keepLines w:val="0"/>
        <w:pageBreakBefore w:val="0"/>
        <w:shd w:val="solid" w:color="FFFFFF" w:fill="auto"/>
        <w:kinsoku/>
        <w:wordWrap/>
        <w:overflowPunct/>
        <w:topLinePunct w:val="0"/>
        <w:autoSpaceDE/>
        <w:autoSpaceDN w:val="0"/>
        <w:bidi w:val="0"/>
        <w:adjustRightInd w:val="0"/>
        <w:snapToGrid w:val="0"/>
        <w:spacing w:line="360" w:lineRule="auto"/>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keepNext w:val="0"/>
        <w:keepLines w:val="0"/>
        <w:pageBreakBefore w:val="0"/>
        <w:kinsoku/>
        <w:wordWrap/>
        <w:overflowPunct/>
        <w:topLinePunct w:val="0"/>
        <w:autoSpaceDE/>
        <w:bidi w:val="0"/>
        <w:adjustRightInd w:val="0"/>
        <w:snapToGrid w:val="0"/>
        <w:spacing w:line="360" w:lineRule="auto"/>
        <w:rPr>
          <w:rFonts w:hint="eastAsia" w:ascii="宋体" w:hAnsi="宋体" w:cs="宋体"/>
          <w:b/>
          <w:sz w:val="24"/>
          <w:highlight w:val="none"/>
        </w:rPr>
      </w:pPr>
      <w:r>
        <w:rPr>
          <w:rFonts w:hint="eastAsia" w:ascii="宋体" w:hAnsi="宋体" w:cs="宋体"/>
          <w:b/>
          <w:sz w:val="24"/>
          <w:highlight w:val="none"/>
          <w:lang w:val="en-US" w:eastAsia="zh-CN"/>
        </w:rPr>
        <w:t>6</w:t>
      </w:r>
      <w:r>
        <w:rPr>
          <w:rFonts w:hint="eastAsia" w:ascii="宋体" w:hAnsi="宋体" w:cs="宋体"/>
          <w:b/>
          <w:sz w:val="24"/>
          <w:highlight w:val="none"/>
        </w:rPr>
        <w:t>、投标人资格要求</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.1</w:t>
      </w:r>
      <w:r>
        <w:rPr>
          <w:rFonts w:hint="eastAsia" w:ascii="宋体" w:hAnsi="宋体"/>
          <w:color w:val="000000"/>
          <w:sz w:val="24"/>
          <w:highlight w:val="none"/>
        </w:rPr>
        <w:t>符合《中华人民共和国政府采购法》第二十二条规定的软件供应商；</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s="宋体"/>
          <w:sz w:val="24"/>
          <w:highlight w:val="none"/>
        </w:rPr>
      </w:pPr>
      <w:r>
        <w:rPr>
          <w:rFonts w:hint="eastAsia" w:ascii="宋体" w:hAnsi="宋体" w:eastAsia="宋体" w:cs="宋体"/>
          <w:sz w:val="24"/>
          <w:highlight w:val="none"/>
          <w:lang w:val="en-US" w:eastAsia="zh-CN"/>
        </w:rPr>
        <w:t>6.</w:t>
      </w:r>
      <w:r>
        <w:rPr>
          <w:rFonts w:hint="eastAsia" w:ascii="宋体" w:hAnsi="宋体" w:cs="宋体"/>
          <w:sz w:val="24"/>
          <w:highlight w:val="none"/>
          <w:lang w:val="en-US" w:eastAsia="zh-CN"/>
        </w:rPr>
        <w:t>2</w:t>
      </w:r>
      <w:r>
        <w:rPr>
          <w:rFonts w:hint="eastAsia" w:ascii="宋体" w:hAnsi="宋体" w:eastAsia="宋体" w:cs="宋体"/>
          <w:sz w:val="24"/>
          <w:highlight w:val="none"/>
        </w:rPr>
        <w:t>必须为未列入“信用中国”、“中国政府采购网”失信被执行人、重大税收违法</w:t>
      </w:r>
      <w:r>
        <w:rPr>
          <w:rFonts w:hint="eastAsia" w:ascii="宋体" w:hAnsi="宋体" w:cs="宋体"/>
          <w:sz w:val="24"/>
          <w:highlight w:val="none"/>
        </w:rPr>
        <w:t>案件当事人名单、政府采购严重违法失信名单的企业；</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3</w:t>
      </w:r>
      <w:r>
        <w:rPr>
          <w:rFonts w:hint="eastAsia" w:ascii="宋体" w:hAnsi="宋体"/>
          <w:color w:val="000000"/>
          <w:sz w:val="24"/>
          <w:highlight w:val="none"/>
        </w:rPr>
        <w:t>单位负责人为同一人或者存在直接控股、管理关系的不同投标人，不得参加同一合同项下的采购活动；</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lang w:val="en-US" w:eastAsia="zh-CN"/>
        </w:rPr>
        <w:t>6</w:t>
      </w:r>
      <w:r>
        <w:rPr>
          <w:rFonts w:ascii="宋体" w:hAnsi="宋体"/>
          <w:color w:val="000000"/>
          <w:sz w:val="24"/>
          <w:highlight w:val="none"/>
        </w:rPr>
        <w:t>.</w:t>
      </w:r>
      <w:r>
        <w:rPr>
          <w:rFonts w:hint="eastAsia" w:ascii="宋体" w:hAnsi="宋体"/>
          <w:color w:val="000000"/>
          <w:sz w:val="24"/>
          <w:highlight w:val="none"/>
          <w:lang w:val="en-US" w:eastAsia="zh-CN"/>
        </w:rPr>
        <w:t>4</w:t>
      </w:r>
      <w:r>
        <w:rPr>
          <w:rFonts w:hint="eastAsia" w:ascii="宋体" w:hAnsi="宋体"/>
          <w:color w:val="000000"/>
          <w:sz w:val="24"/>
          <w:highlight w:val="none"/>
        </w:rPr>
        <w:t>本次采购不接受联合体报价；</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Tahoma"/>
          <w:color w:val="393939"/>
          <w:sz w:val="24"/>
          <w:highlight w:val="none"/>
          <w:shd w:val="clear" w:color="auto" w:fill="FFFFFF"/>
        </w:rPr>
      </w:pPr>
      <w:r>
        <w:rPr>
          <w:rFonts w:hint="eastAsia" w:ascii="宋体" w:hAnsi="宋体"/>
          <w:color w:val="000000"/>
          <w:sz w:val="24"/>
          <w:highlight w:val="none"/>
          <w:lang w:val="en-US" w:eastAsia="zh-CN"/>
        </w:rPr>
        <w:t>6.5</w:t>
      </w:r>
      <w:r>
        <w:rPr>
          <w:rFonts w:hint="eastAsia" w:ascii="宋体" w:hAnsi="宋体"/>
          <w:color w:val="000000"/>
          <w:sz w:val="24"/>
          <w:highlight w:val="none"/>
        </w:rPr>
        <w:t>未尽事宜，遵照国家相关规定执行。</w:t>
      </w:r>
      <w:r>
        <w:rPr>
          <w:rFonts w:ascii="宋体" w:hAnsi="宋体"/>
          <w:color w:val="000000"/>
          <w:sz w:val="24"/>
          <w:highlight w:val="none"/>
        </w:rPr>
        <w:t xml:space="preserve"> </w:t>
      </w:r>
    </w:p>
    <w:p>
      <w:pPr>
        <w:keepNext w:val="0"/>
        <w:keepLines w:val="0"/>
        <w:pageBreakBefore w:val="0"/>
        <w:kinsoku/>
        <w:wordWrap/>
        <w:overflowPunct/>
        <w:topLinePunct w:val="0"/>
        <w:autoSpaceDE/>
        <w:bidi w:val="0"/>
        <w:adjustRightInd w:val="0"/>
        <w:snapToGrid w:val="0"/>
        <w:spacing w:line="360" w:lineRule="auto"/>
        <w:rPr>
          <w:rFonts w:ascii="Tahoma"/>
          <w:b/>
          <w:color w:val="393939"/>
          <w:sz w:val="24"/>
          <w:highlight w:val="none"/>
          <w:shd w:val="clear" w:color="auto" w:fill="FFFFFF"/>
        </w:rPr>
      </w:pPr>
      <w:r>
        <w:rPr>
          <w:rFonts w:hint="eastAsia" w:ascii="Tahoma"/>
          <w:b/>
          <w:color w:val="393939"/>
          <w:sz w:val="24"/>
          <w:highlight w:val="none"/>
          <w:shd w:val="clear" w:color="auto" w:fill="FFFFFF"/>
          <w:lang w:val="en-US" w:eastAsia="zh-CN"/>
        </w:rPr>
        <w:t>7、</w:t>
      </w:r>
      <w:r>
        <w:rPr>
          <w:rFonts w:hint="eastAsia" w:ascii="宋体" w:hAnsi="宋体" w:cs="宋体"/>
          <w:b/>
          <w:sz w:val="24"/>
          <w:highlight w:val="none"/>
        </w:rPr>
        <w:t>获取招标文件的时间期限、地点、方式及招标文件售价：</w:t>
      </w:r>
    </w:p>
    <w:p>
      <w:pPr>
        <w:keepNext w:val="0"/>
        <w:keepLines w:val="0"/>
        <w:pageBreakBefore w:val="0"/>
        <w:kinsoku/>
        <w:wordWrap/>
        <w:overflowPunct/>
        <w:topLinePunct w:val="0"/>
        <w:autoSpaceDE/>
        <w:autoSpaceDN w:val="0"/>
        <w:bidi w:val="0"/>
        <w:adjustRightInd w:val="0"/>
        <w:snapToGrid w:val="0"/>
        <w:spacing w:line="360" w:lineRule="auto"/>
        <w:ind w:left="0" w:leftChars="-95" w:hanging="199" w:hangingChars="83"/>
        <w:jc w:val="left"/>
        <w:textAlignment w:val="center"/>
        <w:rPr>
          <w:rFonts w:hint="eastAsia" w:ascii="宋体" w:hAnsi="宋体"/>
          <w:color w:val="000000"/>
          <w:sz w:val="24"/>
          <w:highlight w:val="none"/>
        </w:rPr>
      </w:pPr>
      <w:r>
        <w:rPr>
          <w:rFonts w:ascii="Tahoma"/>
          <w:color w:val="393939"/>
          <w:sz w:val="24"/>
          <w:highlight w:val="none"/>
          <w:shd w:val="clear" w:color="auto" w:fill="FFFFFF"/>
        </w:rPr>
        <w:t xml:space="preserve"> </w:t>
      </w:r>
      <w:r>
        <w:rPr>
          <w:rFonts w:hint="eastAsia" w:ascii="Tahoma"/>
          <w:color w:val="393939"/>
          <w:sz w:val="24"/>
          <w:highlight w:val="none"/>
          <w:shd w:val="clear" w:color="auto" w:fill="FFFFFF"/>
          <w:lang w:val="en-US" w:eastAsia="zh-CN"/>
        </w:rPr>
        <w:t xml:space="preserve"> </w:t>
      </w:r>
      <w:r>
        <w:rPr>
          <w:rFonts w:hint="eastAsia" w:ascii="宋体" w:hAnsi="宋体" w:cs="宋体"/>
          <w:bCs/>
          <w:kern w:val="0"/>
          <w:sz w:val="24"/>
          <w:highlight w:val="none"/>
          <w:lang w:val="en-US" w:eastAsia="zh-CN"/>
        </w:rPr>
        <w:t xml:space="preserve">   7.1</w:t>
      </w:r>
      <w:r>
        <w:rPr>
          <w:rFonts w:hint="eastAsia" w:ascii="宋体" w:hAnsi="宋体"/>
          <w:sz w:val="24"/>
          <w:highlight w:val="none"/>
        </w:rPr>
        <w:t>凡有意参加投标者，请于</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10</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9</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10</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15</w:t>
      </w:r>
      <w:r>
        <w:rPr>
          <w:rFonts w:hint="eastAsia" w:ascii="宋体" w:hAnsi="宋体" w:cs="宋体"/>
          <w:b/>
          <w:bCs/>
          <w:sz w:val="24"/>
          <w:highlight w:val="none"/>
          <w:shd w:val="clear" w:color="auto" w:fill="FFFFFF"/>
        </w:rPr>
        <w:t>日</w:t>
      </w:r>
      <w:r>
        <w:rPr>
          <w:rFonts w:hint="eastAsia" w:ascii="宋体" w:hAnsi="宋体"/>
          <w:sz w:val="24"/>
          <w:highlight w:val="none"/>
        </w:rPr>
        <w:t>（不含节假日），每日上午</w:t>
      </w:r>
      <w:r>
        <w:rPr>
          <w:rFonts w:ascii="宋体" w:hAnsi="宋体"/>
          <w:sz w:val="24"/>
          <w:highlight w:val="none"/>
        </w:rPr>
        <w:t>9:00</w:t>
      </w:r>
      <w:r>
        <w:rPr>
          <w:rFonts w:hint="eastAsia" w:ascii="宋体" w:hAnsi="宋体"/>
          <w:sz w:val="24"/>
          <w:highlight w:val="none"/>
        </w:rPr>
        <w:t>时至</w:t>
      </w:r>
      <w:r>
        <w:rPr>
          <w:rFonts w:ascii="宋体" w:hAnsi="宋体"/>
          <w:sz w:val="24"/>
          <w:highlight w:val="none"/>
        </w:rPr>
        <w:t>11:30</w:t>
      </w:r>
      <w:r>
        <w:rPr>
          <w:rFonts w:hint="eastAsia" w:ascii="宋体" w:hAnsi="宋体"/>
          <w:sz w:val="24"/>
          <w:highlight w:val="none"/>
        </w:rPr>
        <w:t>时，下午</w:t>
      </w:r>
      <w:r>
        <w:rPr>
          <w:rFonts w:ascii="宋体" w:hAnsi="宋体"/>
          <w:sz w:val="24"/>
          <w:highlight w:val="none"/>
        </w:rPr>
        <w:t>13:30</w:t>
      </w:r>
      <w:r>
        <w:rPr>
          <w:rFonts w:hint="eastAsia" w:ascii="宋体" w:hAnsi="宋体"/>
          <w:sz w:val="24"/>
          <w:highlight w:val="none"/>
        </w:rPr>
        <w:t>时至</w:t>
      </w:r>
      <w:r>
        <w:rPr>
          <w:rFonts w:ascii="宋体" w:hAnsi="宋体"/>
          <w:sz w:val="24"/>
          <w:highlight w:val="none"/>
        </w:rPr>
        <w:t>16:30</w:t>
      </w:r>
      <w:r>
        <w:rPr>
          <w:rFonts w:hint="eastAsia" w:ascii="宋体" w:hAnsi="宋体"/>
          <w:sz w:val="24"/>
          <w:highlight w:val="none"/>
        </w:rPr>
        <w:t>时（北京时间，下同），持下列资料到山东省鲁成招标有限公司</w:t>
      </w:r>
      <w:r>
        <w:rPr>
          <w:rFonts w:hint="eastAsia" w:ascii="宋体" w:hAnsi="宋体"/>
          <w:sz w:val="24"/>
          <w:highlight w:val="none"/>
          <w:lang w:val="en-US" w:eastAsia="zh-CN"/>
        </w:rPr>
        <w:t>2407</w:t>
      </w:r>
      <w:r>
        <w:rPr>
          <w:rFonts w:hint="eastAsia" w:ascii="宋体" w:hAnsi="宋体"/>
          <w:sz w:val="24"/>
          <w:highlight w:val="none"/>
        </w:rPr>
        <w:t>室（济南市经十路</w:t>
      </w:r>
      <w:r>
        <w:rPr>
          <w:rFonts w:ascii="宋体" w:hAnsi="宋体"/>
          <w:sz w:val="24"/>
          <w:highlight w:val="none"/>
        </w:rPr>
        <w:t>10567</w:t>
      </w:r>
      <w:r>
        <w:rPr>
          <w:rFonts w:hint="eastAsia" w:ascii="宋体" w:hAnsi="宋体"/>
          <w:sz w:val="24"/>
          <w:highlight w:val="none"/>
        </w:rPr>
        <w:t>号成城大厦</w:t>
      </w:r>
      <w:r>
        <w:rPr>
          <w:rFonts w:ascii="宋体" w:hAnsi="宋体"/>
          <w:sz w:val="24"/>
          <w:highlight w:val="none"/>
        </w:rPr>
        <w:t>A</w:t>
      </w:r>
      <w:r>
        <w:rPr>
          <w:rFonts w:hint="eastAsia" w:ascii="宋体" w:hAnsi="宋体"/>
          <w:sz w:val="24"/>
          <w:highlight w:val="none"/>
        </w:rPr>
        <w:t>座）报名并购买招标文件（报名审核不代表资格审查的最终通过或合格）：</w:t>
      </w:r>
      <w:r>
        <w:rPr>
          <w:rFonts w:hint="eastAsia" w:ascii="宋体" w:hAnsi="宋体"/>
          <w:sz w:val="24"/>
          <w:highlight w:val="none"/>
          <w:lang w:eastAsia="zh-CN"/>
        </w:rPr>
        <w:t>（</w:t>
      </w:r>
      <w:r>
        <w:rPr>
          <w:rFonts w:hint="eastAsia" w:ascii="宋体" w:hAnsi="宋体"/>
          <w:sz w:val="24"/>
          <w:highlight w:val="none"/>
          <w:lang w:val="en-US" w:eastAsia="zh-CN"/>
        </w:rPr>
        <w:t>1</w:t>
      </w:r>
      <w:r>
        <w:rPr>
          <w:rFonts w:hint="eastAsia" w:ascii="宋体" w:hAnsi="宋体"/>
          <w:sz w:val="24"/>
          <w:highlight w:val="none"/>
          <w:lang w:eastAsia="zh-CN"/>
        </w:rPr>
        <w:t>）</w:t>
      </w:r>
      <w:r>
        <w:rPr>
          <w:rFonts w:hint="eastAsia" w:ascii="宋体" w:hAnsi="宋体"/>
          <w:color w:val="000000"/>
          <w:sz w:val="24"/>
          <w:highlight w:val="none"/>
        </w:rPr>
        <w:t>法定代表人证书或法人授权委托书</w:t>
      </w:r>
      <w:r>
        <w:rPr>
          <w:rFonts w:ascii="宋体" w:hAnsi="宋体"/>
          <w:color w:val="000000"/>
          <w:sz w:val="24"/>
          <w:highlight w:val="none"/>
        </w:rPr>
        <w:t>(</w:t>
      </w:r>
      <w:r>
        <w:rPr>
          <w:rFonts w:hint="eastAsia" w:ascii="宋体" w:hAnsi="宋体"/>
          <w:color w:val="000000"/>
          <w:sz w:val="24"/>
          <w:highlight w:val="none"/>
        </w:rPr>
        <w:t>原件</w:t>
      </w:r>
      <w:r>
        <w:rPr>
          <w:rFonts w:ascii="宋体" w:hAnsi="宋体"/>
          <w:color w:val="000000"/>
          <w:sz w:val="24"/>
          <w:highlight w:val="none"/>
        </w:rPr>
        <w:t>)</w:t>
      </w:r>
      <w:r>
        <w:rPr>
          <w:rFonts w:hint="eastAsia" w:ascii="宋体" w:hAnsi="宋体"/>
          <w:color w:val="000000"/>
          <w:sz w:val="24"/>
          <w:highlight w:val="none"/>
        </w:rPr>
        <w:t>、法定代表人或授权代表身份证；</w:t>
      </w:r>
      <w:r>
        <w:rPr>
          <w:rFonts w:hint="eastAsia" w:ascii="宋体"/>
          <w:color w:val="000000"/>
          <w:sz w:val="24"/>
          <w:highlight w:val="none"/>
          <w:lang w:eastAsia="zh-CN"/>
        </w:rPr>
        <w:t>（</w:t>
      </w:r>
      <w:r>
        <w:rPr>
          <w:rFonts w:hint="eastAsia" w:ascii="宋体"/>
          <w:color w:val="000000"/>
          <w:sz w:val="24"/>
          <w:highlight w:val="none"/>
          <w:lang w:val="en-US" w:eastAsia="zh-CN"/>
        </w:rPr>
        <w:t>2</w:t>
      </w:r>
      <w:r>
        <w:rPr>
          <w:rFonts w:hint="eastAsia" w:ascii="宋体"/>
          <w:color w:val="000000"/>
          <w:sz w:val="24"/>
          <w:highlight w:val="none"/>
          <w:lang w:eastAsia="zh-CN"/>
        </w:rPr>
        <w:t>）</w:t>
      </w:r>
      <w:r>
        <w:rPr>
          <w:rFonts w:hint="eastAsia" w:ascii="宋体" w:hAnsi="宋体"/>
          <w:color w:val="000000"/>
          <w:sz w:val="24"/>
          <w:highlight w:val="none"/>
        </w:rPr>
        <w:t>企业法人《营业执照》副本；</w:t>
      </w:r>
      <w:r>
        <w:rPr>
          <w:rFonts w:hint="eastAsia" w:ascii="宋体"/>
          <w:color w:val="000000"/>
          <w:sz w:val="24"/>
          <w:highlight w:val="none"/>
          <w:lang w:eastAsia="zh-CN"/>
        </w:rPr>
        <w:t>（</w:t>
      </w:r>
      <w:r>
        <w:rPr>
          <w:rFonts w:hint="eastAsia" w:ascii="宋体"/>
          <w:color w:val="000000"/>
          <w:sz w:val="24"/>
          <w:highlight w:val="none"/>
          <w:lang w:val="en-US" w:eastAsia="zh-CN"/>
        </w:rPr>
        <w:t>3</w:t>
      </w:r>
      <w:r>
        <w:rPr>
          <w:rFonts w:hint="eastAsia" w:ascii="宋体"/>
          <w:color w:val="000000"/>
          <w:sz w:val="24"/>
          <w:highlight w:val="none"/>
          <w:lang w:eastAsia="zh-CN"/>
        </w:rPr>
        <w:t>）</w:t>
      </w:r>
      <w:r>
        <w:rPr>
          <w:rFonts w:hint="eastAsia" w:ascii="宋体" w:hAnsi="宋体"/>
          <w:color w:val="000000"/>
          <w:sz w:val="24"/>
          <w:highlight w:val="none"/>
          <w:lang w:val="en-US" w:eastAsia="zh-CN"/>
        </w:rPr>
        <w:t>2018</w:t>
      </w:r>
      <w:r>
        <w:rPr>
          <w:rFonts w:hint="eastAsia" w:ascii="宋体" w:hAnsi="宋体"/>
          <w:color w:val="000000"/>
          <w:sz w:val="24"/>
          <w:highlight w:val="none"/>
        </w:rPr>
        <w:t>年</w:t>
      </w:r>
      <w:r>
        <w:rPr>
          <w:rFonts w:hint="eastAsia" w:ascii="宋体" w:hAnsi="宋体"/>
          <w:color w:val="000000"/>
          <w:sz w:val="24"/>
          <w:highlight w:val="none"/>
          <w:lang w:eastAsia="zh-CN"/>
        </w:rPr>
        <w:t>度</w:t>
      </w:r>
      <w:r>
        <w:rPr>
          <w:rFonts w:hint="eastAsia" w:ascii="宋体" w:hAnsi="宋体"/>
          <w:color w:val="000000"/>
          <w:sz w:val="24"/>
          <w:highlight w:val="none"/>
        </w:rPr>
        <w:t>财务状况（包含资产负债表、利润表）；</w:t>
      </w:r>
      <w:r>
        <w:rPr>
          <w:rFonts w:hint="eastAsia" w:ascii="宋体"/>
          <w:color w:val="000000"/>
          <w:sz w:val="24"/>
          <w:highlight w:val="none"/>
          <w:lang w:eastAsia="zh-CN"/>
        </w:rPr>
        <w:t>（</w:t>
      </w:r>
      <w:r>
        <w:rPr>
          <w:rFonts w:hint="eastAsia" w:ascii="宋体"/>
          <w:color w:val="000000"/>
          <w:sz w:val="24"/>
          <w:highlight w:val="none"/>
          <w:lang w:val="en-US" w:eastAsia="zh-CN"/>
        </w:rPr>
        <w:t>4</w:t>
      </w:r>
      <w:r>
        <w:rPr>
          <w:rFonts w:hint="eastAsia" w:ascii="宋体"/>
          <w:color w:val="000000"/>
          <w:sz w:val="24"/>
          <w:highlight w:val="none"/>
          <w:lang w:eastAsia="zh-CN"/>
        </w:rPr>
        <w:t>）</w:t>
      </w:r>
      <w:r>
        <w:rPr>
          <w:rFonts w:hint="eastAsia" w:ascii="宋体" w:hAnsi="宋体"/>
          <w:color w:val="000000"/>
          <w:sz w:val="24"/>
          <w:highlight w:val="none"/>
        </w:rPr>
        <w:t>近三个月依法缴纳税收和社会保障资金缴纳相关证明资料；</w:t>
      </w:r>
      <w:r>
        <w:rPr>
          <w:rFonts w:hint="eastAsia" w:ascii="宋体"/>
          <w:color w:val="000000"/>
          <w:sz w:val="24"/>
          <w:highlight w:val="none"/>
          <w:lang w:eastAsia="zh-CN"/>
        </w:rPr>
        <w:t>（</w:t>
      </w:r>
      <w:r>
        <w:rPr>
          <w:rFonts w:hint="eastAsia" w:ascii="宋体"/>
          <w:color w:val="000000"/>
          <w:sz w:val="24"/>
          <w:highlight w:val="none"/>
          <w:lang w:val="en-US" w:eastAsia="zh-CN"/>
        </w:rPr>
        <w:t>5</w:t>
      </w:r>
      <w:r>
        <w:rPr>
          <w:rFonts w:hint="eastAsia" w:ascii="宋体"/>
          <w:color w:val="000000"/>
          <w:sz w:val="24"/>
          <w:highlight w:val="none"/>
          <w:lang w:eastAsia="zh-CN"/>
        </w:rPr>
        <w:t>）</w:t>
      </w:r>
      <w:r>
        <w:rPr>
          <w:rFonts w:hint="eastAsia" w:ascii="宋体" w:hAnsi="宋体"/>
          <w:color w:val="000000"/>
          <w:sz w:val="24"/>
          <w:highlight w:val="none"/>
        </w:rPr>
        <w:t>参加政府采购活动前三年内，在经营活动中没有重大违法记录相关证明资料；</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sz w:val="24"/>
          <w:highlight w:val="none"/>
        </w:rPr>
      </w:pPr>
      <w:r>
        <w:rPr>
          <w:rFonts w:hint="eastAsia" w:ascii="宋体"/>
          <w:sz w:val="24"/>
          <w:highlight w:val="none"/>
        </w:rPr>
        <w:t>根据财库〔</w:t>
      </w:r>
      <w:r>
        <w:rPr>
          <w:rFonts w:ascii="宋体"/>
          <w:sz w:val="24"/>
          <w:highlight w:val="none"/>
        </w:rPr>
        <w:t>2016</w:t>
      </w:r>
      <w:r>
        <w:rPr>
          <w:rFonts w:hint="eastAsia" w:ascii="宋体"/>
          <w:sz w:val="24"/>
          <w:highlight w:val="none"/>
        </w:rPr>
        <w:t>〕</w:t>
      </w:r>
      <w:r>
        <w:rPr>
          <w:rFonts w:ascii="宋体"/>
          <w:sz w:val="24"/>
          <w:highlight w:val="none"/>
        </w:rPr>
        <w:t>125</w:t>
      </w:r>
      <w:r>
        <w:rPr>
          <w:rFonts w:hint="eastAsia" w:ascii="宋体"/>
          <w:sz w:val="24"/>
          <w:highlight w:val="none"/>
        </w:rPr>
        <w:t>号文的规定，采购代理机构应当通过“信用中国”网站</w:t>
      </w:r>
      <w:r>
        <w:rPr>
          <w:rFonts w:ascii="宋体"/>
          <w:sz w:val="24"/>
          <w:highlight w:val="none"/>
        </w:rPr>
        <w:t>(www.creditchina.gov.cn)</w:t>
      </w:r>
      <w:r>
        <w:rPr>
          <w:rFonts w:hint="eastAsia" w:ascii="宋体"/>
          <w:sz w:val="24"/>
          <w:highlight w:val="none"/>
        </w:rPr>
        <w:t>、中国政府采购网</w:t>
      </w:r>
      <w:r>
        <w:rPr>
          <w:rFonts w:ascii="宋体"/>
          <w:sz w:val="24"/>
          <w:highlight w:val="none"/>
        </w:rPr>
        <w:t>(www.ccgp.gov.cn)</w:t>
      </w:r>
      <w:r>
        <w:rPr>
          <w:rFonts w:hint="eastAsia" w:ascii="宋体"/>
          <w:sz w:val="24"/>
          <w:highlight w:val="none"/>
        </w:rPr>
        <w:t>等渠道查询供应商主体信用记录，对列入失信被执行人、重大税收违法案件当事人名单、政府采购严重违法失信行为记录名单及其他不符合《中华人民共和国政府采购法》第二十二条规定条件的供应商，应当拒绝其参与政府采购活动。</w:t>
      </w:r>
    </w:p>
    <w:p>
      <w:pPr>
        <w:keepNext w:val="0"/>
        <w:keepLines w:val="0"/>
        <w:pageBreakBefore w:val="0"/>
        <w:kinsoku/>
        <w:wordWrap/>
        <w:overflowPunct/>
        <w:topLinePunct w:val="0"/>
        <w:autoSpaceDE/>
        <w:bidi w:val="0"/>
        <w:adjustRightInd w:val="0"/>
        <w:snapToGrid w:val="0"/>
        <w:spacing w:line="360" w:lineRule="auto"/>
        <w:ind w:firstLine="482" w:firstLineChars="200"/>
        <w:rPr>
          <w:rFonts w:ascii="宋体"/>
          <w:b/>
          <w:sz w:val="24"/>
          <w:highlight w:val="none"/>
        </w:rPr>
      </w:pPr>
      <w:r>
        <w:rPr>
          <w:rFonts w:hint="eastAsia" w:ascii="宋体" w:hAnsi="宋体"/>
          <w:b/>
          <w:sz w:val="24"/>
          <w:highlight w:val="none"/>
        </w:rPr>
        <w:t>上述资料需加盖公章复印件</w:t>
      </w:r>
      <w:r>
        <w:rPr>
          <w:rFonts w:ascii="宋体" w:hAnsi="宋体"/>
          <w:b/>
          <w:sz w:val="24"/>
          <w:highlight w:val="none"/>
        </w:rPr>
        <w:t>1</w:t>
      </w:r>
      <w:r>
        <w:rPr>
          <w:rFonts w:hint="eastAsia" w:ascii="宋体" w:hAnsi="宋体"/>
          <w:b/>
          <w:sz w:val="24"/>
          <w:highlight w:val="none"/>
        </w:rPr>
        <w:t>套，简单装订。</w:t>
      </w:r>
    </w:p>
    <w:p>
      <w:pPr>
        <w:keepNext w:val="0"/>
        <w:keepLines w:val="0"/>
        <w:pageBreakBefore w:val="0"/>
        <w:kinsoku/>
        <w:wordWrap/>
        <w:overflowPunct/>
        <w:topLinePunct w:val="0"/>
        <w:autoSpaceDE/>
        <w:autoSpaceDN w:val="0"/>
        <w:bidi w:val="0"/>
        <w:adjustRightInd w:val="0"/>
        <w:snapToGrid w:val="0"/>
        <w:spacing w:line="360" w:lineRule="auto"/>
        <w:ind w:firstLine="480"/>
        <w:jc w:val="left"/>
        <w:textAlignment w:val="center"/>
        <w:rPr>
          <w:rFonts w:hint="eastAsia" w:ascii="宋体" w:hAnsi="宋体"/>
          <w:color w:val="000000"/>
          <w:sz w:val="24"/>
          <w:highlight w:val="none"/>
        </w:rPr>
      </w:pPr>
      <w:r>
        <w:rPr>
          <w:rFonts w:hint="eastAsia" w:ascii="宋体" w:hAnsi="宋体" w:cs="宋体"/>
          <w:bCs/>
          <w:kern w:val="0"/>
          <w:sz w:val="24"/>
          <w:highlight w:val="none"/>
          <w:lang w:val="en-US" w:eastAsia="zh-CN"/>
        </w:rPr>
        <w:t>7</w:t>
      </w:r>
      <w:r>
        <w:rPr>
          <w:rFonts w:ascii="宋体" w:hAnsi="宋体" w:cs="宋体"/>
          <w:bCs/>
          <w:kern w:val="0"/>
          <w:sz w:val="24"/>
          <w:highlight w:val="none"/>
        </w:rPr>
        <w:t>.2</w:t>
      </w:r>
      <w:r>
        <w:rPr>
          <w:rFonts w:hint="eastAsia" w:ascii="宋体" w:hAnsi="宋体" w:cs="宋体"/>
          <w:sz w:val="24"/>
          <w:highlight w:val="none"/>
        </w:rPr>
        <w:t>招标文件</w:t>
      </w:r>
      <w:r>
        <w:rPr>
          <w:rFonts w:hint="eastAsia" w:ascii="宋体" w:hAnsi="宋体" w:cs="宋体"/>
          <w:bCs/>
          <w:kern w:val="0"/>
          <w:sz w:val="24"/>
          <w:highlight w:val="none"/>
        </w:rPr>
        <w:t>工本费：</w:t>
      </w:r>
      <w:r>
        <w:rPr>
          <w:rFonts w:ascii="宋体" w:hAnsi="宋体" w:cs="宋体"/>
          <w:bCs/>
          <w:kern w:val="0"/>
          <w:sz w:val="24"/>
          <w:highlight w:val="none"/>
        </w:rPr>
        <w:t>300</w:t>
      </w:r>
      <w:r>
        <w:rPr>
          <w:rFonts w:hint="eastAsia" w:ascii="宋体" w:hAnsi="宋体" w:cs="宋体"/>
          <w:bCs/>
          <w:kern w:val="0"/>
          <w:sz w:val="24"/>
          <w:highlight w:val="none"/>
        </w:rPr>
        <w:t>元</w:t>
      </w:r>
      <w:r>
        <w:rPr>
          <w:rFonts w:ascii="宋体" w:hAnsi="宋体" w:cs="宋体"/>
          <w:bCs/>
          <w:kern w:val="0"/>
          <w:sz w:val="24"/>
          <w:highlight w:val="none"/>
        </w:rPr>
        <w:t>/</w:t>
      </w:r>
      <w:r>
        <w:rPr>
          <w:rFonts w:hint="eastAsia" w:ascii="宋体" w:hAnsi="宋体" w:cs="宋体"/>
          <w:bCs/>
          <w:kern w:val="0"/>
          <w:sz w:val="24"/>
          <w:highlight w:val="none"/>
        </w:rPr>
        <w:t>本，</w:t>
      </w:r>
      <w:r>
        <w:rPr>
          <w:rFonts w:hint="eastAsia" w:ascii="宋体" w:hAnsi="宋体" w:cs="宋体"/>
          <w:sz w:val="24"/>
          <w:highlight w:val="none"/>
        </w:rPr>
        <w:t>招标文件</w:t>
      </w:r>
      <w:r>
        <w:rPr>
          <w:rFonts w:hint="eastAsia" w:ascii="宋体" w:hAnsi="宋体" w:cs="宋体"/>
          <w:bCs/>
          <w:kern w:val="0"/>
          <w:sz w:val="24"/>
          <w:highlight w:val="none"/>
        </w:rPr>
        <w:t>售后不退。</w:t>
      </w:r>
      <w:r>
        <w:rPr>
          <w:rFonts w:hint="eastAsia" w:ascii="宋体" w:hAnsi="宋体"/>
          <w:color w:val="000000"/>
          <w:sz w:val="24"/>
          <w:highlight w:val="none"/>
        </w:rPr>
        <w:t>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keepNext w:val="0"/>
        <w:keepLines w:val="0"/>
        <w:pageBreakBefore w:val="0"/>
        <w:kinsoku/>
        <w:wordWrap/>
        <w:overflowPunct/>
        <w:topLinePunct w:val="0"/>
        <w:autoSpaceDE/>
        <w:bidi w:val="0"/>
        <w:adjustRightInd w:val="0"/>
        <w:snapToGrid w:val="0"/>
        <w:spacing w:line="360" w:lineRule="auto"/>
        <w:rPr>
          <w:rFonts w:hint="eastAsia" w:ascii="宋体" w:hAnsi="宋体"/>
          <w:color w:val="000000"/>
          <w:sz w:val="24"/>
          <w:highlight w:val="none"/>
        </w:rPr>
      </w:pPr>
      <w:r>
        <w:rPr>
          <w:rFonts w:hint="eastAsia" w:ascii="宋体" w:hAnsi="宋体" w:cs="宋体"/>
          <w:b/>
          <w:sz w:val="24"/>
          <w:highlight w:val="none"/>
          <w:lang w:val="en-US" w:eastAsia="zh-CN"/>
        </w:rPr>
        <w:t>8</w:t>
      </w:r>
      <w:r>
        <w:rPr>
          <w:rFonts w:hint="eastAsia" w:ascii="宋体" w:hAnsi="宋体" w:cs="宋体"/>
          <w:b/>
          <w:sz w:val="24"/>
          <w:highlight w:val="none"/>
        </w:rPr>
        <w:t>、公告期限：</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9</w:t>
      </w:r>
      <w:r>
        <w:rPr>
          <w:rFonts w:hint="eastAsia" w:ascii="宋体" w:hAnsi="宋体"/>
          <w:sz w:val="24"/>
          <w:highlight w:val="none"/>
        </w:rPr>
        <w:t>日至</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15</w:t>
      </w:r>
      <w:r>
        <w:rPr>
          <w:rFonts w:hint="eastAsia" w:ascii="宋体" w:hAnsi="宋体"/>
          <w:sz w:val="24"/>
          <w:highlight w:val="none"/>
        </w:rPr>
        <w:t>日（不含节假日）</w:t>
      </w:r>
    </w:p>
    <w:p>
      <w:pPr>
        <w:keepNext w:val="0"/>
        <w:keepLines w:val="0"/>
        <w:pageBreakBefore w:val="0"/>
        <w:kinsoku/>
        <w:wordWrap/>
        <w:overflowPunct/>
        <w:topLinePunct w:val="0"/>
        <w:autoSpaceDE/>
        <w:bidi w:val="0"/>
        <w:adjustRightInd w:val="0"/>
        <w:snapToGrid w:val="0"/>
        <w:spacing w:line="360" w:lineRule="auto"/>
        <w:rPr>
          <w:rFonts w:ascii="宋体" w:cs="宋体"/>
          <w:b/>
          <w:sz w:val="24"/>
          <w:highlight w:val="none"/>
        </w:rPr>
      </w:pPr>
      <w:r>
        <w:rPr>
          <w:rFonts w:hint="eastAsia" w:ascii="宋体" w:hAnsi="宋体" w:cs="宋体"/>
          <w:b/>
          <w:sz w:val="24"/>
          <w:highlight w:val="none"/>
          <w:lang w:val="en-US" w:eastAsia="zh-CN"/>
        </w:rPr>
        <w:t>9</w:t>
      </w:r>
      <w:r>
        <w:rPr>
          <w:rFonts w:hint="eastAsia" w:ascii="宋体" w:hAnsi="宋体" w:cs="宋体"/>
          <w:b/>
          <w:sz w:val="24"/>
          <w:highlight w:val="none"/>
        </w:rPr>
        <w:t>、投标文件递交截止时间及</w:t>
      </w:r>
      <w:r>
        <w:rPr>
          <w:rFonts w:hint="eastAsia" w:ascii="宋体" w:hAnsi="宋体" w:cs="宋体"/>
          <w:b/>
          <w:sz w:val="24"/>
          <w:highlight w:val="none"/>
          <w:lang w:eastAsia="zh-CN"/>
        </w:rPr>
        <w:t>开标</w:t>
      </w:r>
      <w:r>
        <w:rPr>
          <w:rFonts w:hint="eastAsia" w:ascii="宋体" w:hAnsi="宋体" w:cs="宋体"/>
          <w:b/>
          <w:sz w:val="24"/>
          <w:highlight w:val="none"/>
        </w:rPr>
        <w:t>时间：</w:t>
      </w:r>
    </w:p>
    <w:p>
      <w:pPr>
        <w:keepNext w:val="0"/>
        <w:keepLines w:val="0"/>
        <w:pageBreakBefore w:val="0"/>
        <w:kinsoku/>
        <w:wordWrap/>
        <w:overflowPunct/>
        <w:topLinePunct w:val="0"/>
        <w:autoSpaceDE/>
        <w:bidi w:val="0"/>
        <w:adjustRightInd w:val="0"/>
        <w:snapToGrid w:val="0"/>
        <w:spacing w:line="360" w:lineRule="auto"/>
        <w:ind w:firstLine="480" w:firstLineChars="200"/>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.1</w:t>
      </w:r>
      <w:r>
        <w:rPr>
          <w:rFonts w:hint="eastAsia" w:ascii="宋体" w:hAnsi="宋体" w:cs="宋体"/>
          <w:kern w:val="0"/>
          <w:sz w:val="24"/>
          <w:highlight w:val="none"/>
        </w:rPr>
        <w:t>投标文件递交截止时间及开标时间：</w:t>
      </w:r>
      <w:r>
        <w:rPr>
          <w:rFonts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11</w:t>
      </w:r>
      <w:r>
        <w:rPr>
          <w:rFonts w:hint="eastAsia" w:ascii="宋体" w:hAnsi="宋体"/>
          <w:sz w:val="24"/>
          <w:highlight w:val="none"/>
        </w:rPr>
        <w:t>月</w:t>
      </w:r>
      <w:r>
        <w:rPr>
          <w:rFonts w:hint="eastAsia" w:ascii="宋体" w:hAnsi="宋体"/>
          <w:sz w:val="24"/>
          <w:highlight w:val="none"/>
          <w:lang w:val="en-US" w:eastAsia="zh-CN"/>
        </w:rPr>
        <w:t>1</w:t>
      </w:r>
      <w:r>
        <w:rPr>
          <w:rFonts w:hint="eastAsia" w:ascii="宋体" w:hAnsi="宋体"/>
          <w:sz w:val="24"/>
          <w:highlight w:val="none"/>
        </w:rPr>
        <w:t>日</w:t>
      </w:r>
      <w:r>
        <w:rPr>
          <w:rFonts w:ascii="宋体" w:hAnsi="宋体"/>
          <w:sz w:val="24"/>
          <w:highlight w:val="none"/>
        </w:rPr>
        <w:t>9:00</w:t>
      </w:r>
      <w:r>
        <w:rPr>
          <w:rFonts w:hint="eastAsia" w:ascii="宋体" w:hAnsi="宋体"/>
          <w:sz w:val="24"/>
          <w:highlight w:val="none"/>
        </w:rPr>
        <w:t>时（北京时间）；</w:t>
      </w:r>
    </w:p>
    <w:p>
      <w:pPr>
        <w:keepNext w:val="0"/>
        <w:keepLines w:val="0"/>
        <w:pageBreakBefore w:val="0"/>
        <w:kinsoku/>
        <w:wordWrap/>
        <w:overflowPunct/>
        <w:topLinePunct w:val="0"/>
        <w:autoSpaceDE/>
        <w:bidi w:val="0"/>
        <w:adjustRightInd w:val="0"/>
        <w:snapToGrid w:val="0"/>
        <w:spacing w:line="360" w:lineRule="auto"/>
        <w:rPr>
          <w:rFonts w:ascii="宋体" w:cs="宋体"/>
          <w:kern w:val="0"/>
          <w:sz w:val="24"/>
          <w:highlight w:val="none"/>
        </w:rPr>
      </w:pPr>
      <w:r>
        <w:rPr>
          <w:rFonts w:hint="eastAsia" w:ascii="宋体" w:hAnsi="宋体" w:cs="宋体"/>
          <w:kern w:val="0"/>
          <w:sz w:val="24"/>
          <w:highlight w:val="none"/>
          <w:lang w:val="en-US" w:eastAsia="zh-CN"/>
        </w:rPr>
        <w:t xml:space="preserve">       </w:t>
      </w:r>
      <w:r>
        <w:rPr>
          <w:rFonts w:hint="eastAsia" w:ascii="宋体" w:hAnsi="宋体" w:cs="宋体"/>
          <w:kern w:val="0"/>
          <w:sz w:val="24"/>
          <w:highlight w:val="none"/>
        </w:rPr>
        <w:t>投标文件递交地点及开标地点：</w:t>
      </w:r>
      <w:bookmarkStart w:id="1" w:name="OLE_LINK1"/>
      <w:bookmarkStart w:id="2" w:name="OLE_LINK2"/>
      <w:r>
        <w:rPr>
          <w:rFonts w:hint="eastAsia" w:ascii="宋体" w:hAnsi="宋体"/>
          <w:color w:val="000000"/>
          <w:sz w:val="24"/>
          <w:highlight w:val="none"/>
        </w:rPr>
        <w:t>山东大学第二医院办公楼</w:t>
      </w:r>
      <w:r>
        <w:rPr>
          <w:rFonts w:hint="eastAsia" w:ascii="宋体" w:hAnsi="宋体"/>
          <w:color w:val="000000"/>
          <w:sz w:val="24"/>
          <w:highlight w:val="none"/>
          <w:lang w:eastAsia="zh-CN"/>
        </w:rPr>
        <w:t>五</w:t>
      </w:r>
      <w:r>
        <w:rPr>
          <w:rFonts w:hint="eastAsia" w:ascii="宋体" w:hAnsi="宋体"/>
          <w:color w:val="000000"/>
          <w:sz w:val="24"/>
          <w:highlight w:val="none"/>
        </w:rPr>
        <w:t>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bookmarkEnd w:id="1"/>
      <w:bookmarkEnd w:id="2"/>
      <w:r>
        <w:rPr>
          <w:rFonts w:hint="eastAsia" w:ascii="宋体" w:hAnsi="宋体"/>
          <w:color w:val="000000"/>
          <w:sz w:val="24"/>
          <w:highlight w:val="none"/>
          <w:lang w:eastAsia="zh-CN"/>
        </w:rPr>
        <w:t>（如需变更另行通知）</w:t>
      </w:r>
      <w:r>
        <w:rPr>
          <w:rFonts w:hint="eastAsia" w:ascii="宋体" w:hAnsi="宋体"/>
          <w:color w:val="000000"/>
          <w:sz w:val="24"/>
          <w:highlight w:val="none"/>
        </w:rPr>
        <w:t>；</w:t>
      </w:r>
    </w:p>
    <w:p>
      <w:pPr>
        <w:keepNext w:val="0"/>
        <w:keepLines w:val="0"/>
        <w:pageBreakBefore w:val="0"/>
        <w:widowControl/>
        <w:kinsoku/>
        <w:wordWrap/>
        <w:overflowPunct/>
        <w:topLinePunct w:val="0"/>
        <w:autoSpaceDE/>
        <w:bidi w:val="0"/>
        <w:adjustRightInd w:val="0"/>
        <w:snapToGrid w:val="0"/>
        <w:spacing w:line="360" w:lineRule="auto"/>
        <w:ind w:firstLine="480" w:firstLineChars="200"/>
        <w:jc w:val="left"/>
        <w:rPr>
          <w:rFonts w:ascii="宋体" w:cs="宋体"/>
          <w:kern w:val="0"/>
          <w:sz w:val="24"/>
          <w:highlight w:val="none"/>
        </w:rPr>
      </w:pPr>
      <w:r>
        <w:rPr>
          <w:rFonts w:hint="eastAsia" w:ascii="宋体" w:hAnsi="宋体" w:cs="宋体"/>
          <w:kern w:val="0"/>
          <w:sz w:val="24"/>
          <w:highlight w:val="none"/>
          <w:lang w:val="en-US" w:eastAsia="zh-CN"/>
        </w:rPr>
        <w:t>9</w:t>
      </w:r>
      <w:r>
        <w:rPr>
          <w:rFonts w:ascii="宋体" w:hAnsi="宋体" w:cs="宋体"/>
          <w:kern w:val="0"/>
          <w:sz w:val="24"/>
          <w:highlight w:val="none"/>
        </w:rPr>
        <w:t>.2</w:t>
      </w:r>
      <w:r>
        <w:rPr>
          <w:rFonts w:hint="eastAsia" w:ascii="宋体" w:hAnsi="宋体" w:cs="宋体"/>
          <w:kern w:val="0"/>
          <w:sz w:val="24"/>
          <w:highlight w:val="none"/>
        </w:rPr>
        <w:t>逾期送达的或者未送达指定地点的投标文件，</w:t>
      </w:r>
      <w:r>
        <w:rPr>
          <w:rFonts w:hint="eastAsia" w:ascii="宋体" w:hAnsi="宋体" w:cs="宋体"/>
          <w:kern w:val="0"/>
          <w:sz w:val="24"/>
          <w:highlight w:val="none"/>
          <w:lang w:eastAsia="zh-CN"/>
        </w:rPr>
        <w:t>采购人</w:t>
      </w:r>
      <w:r>
        <w:rPr>
          <w:rFonts w:hint="eastAsia" w:ascii="宋体" w:hAnsi="宋体" w:cs="宋体"/>
          <w:kern w:val="0"/>
          <w:sz w:val="24"/>
          <w:highlight w:val="none"/>
        </w:rPr>
        <w:t>不予受理。</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kern w:val="0"/>
          <w:sz w:val="18"/>
          <w:szCs w:val="18"/>
          <w:highlight w:val="none"/>
        </w:rPr>
      </w:pPr>
      <w:r>
        <w:rPr>
          <w:rFonts w:ascii="宋体" w:hAnsi="宋体" w:cs="宋体"/>
          <w:b/>
          <w:sz w:val="24"/>
          <w:highlight w:val="none"/>
        </w:rPr>
        <w:t>1</w:t>
      </w:r>
      <w:r>
        <w:rPr>
          <w:rFonts w:hint="eastAsia" w:ascii="宋体" w:hAnsi="宋体" w:cs="宋体"/>
          <w:b/>
          <w:sz w:val="24"/>
          <w:highlight w:val="none"/>
          <w:lang w:val="en-US" w:eastAsia="zh-CN"/>
        </w:rPr>
        <w:t>0</w:t>
      </w:r>
      <w:r>
        <w:rPr>
          <w:rFonts w:hint="eastAsia" w:ascii="宋体" w:hAnsi="宋体" w:cs="宋体"/>
          <w:b/>
          <w:sz w:val="24"/>
          <w:highlight w:val="none"/>
        </w:rPr>
        <w:t>、</w:t>
      </w:r>
      <w:r>
        <w:rPr>
          <w:rFonts w:hint="eastAsia" w:ascii="宋体" w:hAnsi="宋体" w:cs="宋体"/>
          <w:b/>
          <w:bCs/>
          <w:kern w:val="0"/>
          <w:sz w:val="24"/>
          <w:highlight w:val="none"/>
        </w:rPr>
        <w:t>发布公告的媒介</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hint="eastAsia" w:ascii="宋体" w:hAnsi="宋体" w:cs="宋体"/>
          <w:kern w:val="0"/>
          <w:sz w:val="24"/>
          <w:highlight w:val="none"/>
        </w:rPr>
      </w:pPr>
      <w:r>
        <w:rPr>
          <w:rFonts w:hint="eastAsia" w:ascii="宋体" w:hAnsi="宋体" w:cs="宋体"/>
          <w:kern w:val="0"/>
          <w:sz w:val="24"/>
          <w:highlight w:val="none"/>
        </w:rPr>
        <w:t>本次招标公告在中国政府采购网、中国招标投标公共服务平台、山东大学第二医院官方网站同时发布。</w:t>
      </w:r>
    </w:p>
    <w:p>
      <w:pPr>
        <w:keepNext w:val="0"/>
        <w:keepLines w:val="0"/>
        <w:pageBreakBefore w:val="0"/>
        <w:widowControl/>
        <w:kinsoku/>
        <w:wordWrap/>
        <w:overflowPunct/>
        <w:topLinePunct w:val="0"/>
        <w:autoSpaceDE/>
        <w:bidi w:val="0"/>
        <w:adjustRightInd w:val="0"/>
        <w:snapToGrid w:val="0"/>
        <w:spacing w:line="360" w:lineRule="auto"/>
        <w:jc w:val="left"/>
        <w:rPr>
          <w:rFonts w:ascii="宋体" w:hAnsi="宋体" w:cs="宋体"/>
          <w:b/>
          <w:bCs/>
          <w:kern w:val="0"/>
          <w:sz w:val="24"/>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1</w:t>
      </w:r>
      <w:r>
        <w:rPr>
          <w:rFonts w:hint="eastAsia" w:ascii="宋体" w:hAnsi="宋体" w:cs="宋体"/>
          <w:b/>
          <w:bCs/>
          <w:kern w:val="0"/>
          <w:sz w:val="24"/>
          <w:highlight w:val="none"/>
        </w:rPr>
        <w:t>、采购项目需要落实的政府采购政策：</w:t>
      </w:r>
    </w:p>
    <w:p>
      <w:pPr>
        <w:keepNext w:val="0"/>
        <w:keepLines w:val="0"/>
        <w:pageBreakBefore w:val="0"/>
        <w:widowControl/>
        <w:kinsoku/>
        <w:wordWrap/>
        <w:overflowPunct/>
        <w:topLinePunct w:val="0"/>
        <w:autoSpaceDE/>
        <w:bidi w:val="0"/>
        <w:adjustRightInd w:val="0"/>
        <w:snapToGrid w:val="0"/>
        <w:spacing w:line="360" w:lineRule="auto"/>
        <w:ind w:firstLine="410"/>
        <w:jc w:val="left"/>
        <w:rPr>
          <w:rFonts w:ascii="宋体" w:hAnsi="宋体" w:cs="宋体"/>
          <w:kern w:val="0"/>
          <w:sz w:val="24"/>
          <w:highlight w:val="none"/>
        </w:rPr>
      </w:pPr>
      <w:r>
        <w:rPr>
          <w:rFonts w:hint="eastAsia" w:ascii="宋体" w:hAnsi="宋体" w:cs="宋体"/>
          <w:kern w:val="0"/>
          <w:sz w:val="24"/>
          <w:highlight w:val="none"/>
        </w:rPr>
        <w:t xml:space="preserve"> 本采购项目需落实节能产品、环境标志产品、中小型企业、监狱企业及残疾人福利性单位的优惠政策和办法，具体要求详见招标文件。</w:t>
      </w:r>
    </w:p>
    <w:p>
      <w:pPr>
        <w:keepNext w:val="0"/>
        <w:keepLines w:val="0"/>
        <w:pageBreakBefore w:val="0"/>
        <w:widowControl/>
        <w:kinsoku/>
        <w:wordWrap/>
        <w:overflowPunct/>
        <w:topLinePunct w:val="0"/>
        <w:autoSpaceDE/>
        <w:bidi w:val="0"/>
        <w:adjustRightInd w:val="0"/>
        <w:snapToGrid w:val="0"/>
        <w:spacing w:line="360" w:lineRule="auto"/>
        <w:jc w:val="left"/>
        <w:rPr>
          <w:rFonts w:ascii="宋体" w:cs="宋体"/>
          <w:kern w:val="0"/>
          <w:sz w:val="18"/>
          <w:szCs w:val="18"/>
          <w:highlight w:val="none"/>
        </w:rPr>
      </w:pPr>
      <w:r>
        <w:rPr>
          <w:rFonts w:ascii="宋体" w:hAnsi="宋体" w:cs="宋体"/>
          <w:b/>
          <w:bCs/>
          <w:kern w:val="0"/>
          <w:sz w:val="24"/>
          <w:highlight w:val="none"/>
        </w:rPr>
        <w:t>1</w:t>
      </w:r>
      <w:r>
        <w:rPr>
          <w:rFonts w:hint="eastAsia" w:ascii="宋体" w:hAnsi="宋体" w:cs="宋体"/>
          <w:b/>
          <w:bCs/>
          <w:kern w:val="0"/>
          <w:sz w:val="24"/>
          <w:highlight w:val="none"/>
          <w:lang w:val="en-US" w:eastAsia="zh-CN"/>
        </w:rPr>
        <w:t>2</w:t>
      </w:r>
      <w:r>
        <w:rPr>
          <w:rFonts w:hint="eastAsia" w:ascii="宋体" w:hAnsi="宋体" w:cs="宋体"/>
          <w:b/>
          <w:bCs/>
          <w:kern w:val="0"/>
          <w:sz w:val="24"/>
          <w:highlight w:val="none"/>
        </w:rPr>
        <w:t>、联系方式</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招标人：山东大学第二医院</w:t>
      </w:r>
      <w:r>
        <w:rPr>
          <w:rFonts w:ascii="宋体" w:hAnsi="宋体"/>
          <w:color w:val="000000"/>
          <w:sz w:val="24"/>
          <w:highlight w:val="none"/>
        </w:rPr>
        <w:t xml:space="preserve">              </w:t>
      </w:r>
      <w:r>
        <w:rPr>
          <w:rFonts w:hint="eastAsia" w:ascii="宋体" w:hAnsi="宋体"/>
          <w:color w:val="000000"/>
          <w:sz w:val="24"/>
          <w:highlight w:val="none"/>
        </w:rPr>
        <w:t>招标代理：山东省鲁成招标有限公司</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址：济南市天桥区北园路</w:t>
      </w:r>
      <w:r>
        <w:rPr>
          <w:rFonts w:ascii="宋体" w:hAnsi="宋体"/>
          <w:color w:val="000000"/>
          <w:sz w:val="24"/>
          <w:highlight w:val="none"/>
        </w:rPr>
        <w:t>247</w:t>
      </w:r>
      <w:r>
        <w:rPr>
          <w:rFonts w:hint="eastAsia" w:ascii="宋体" w:hAnsi="宋体"/>
          <w:color w:val="000000"/>
          <w:sz w:val="24"/>
          <w:highlight w:val="none"/>
        </w:rPr>
        <w:t>号</w:t>
      </w:r>
      <w:r>
        <w:rPr>
          <w:rFonts w:ascii="宋体" w:hAnsi="宋体"/>
          <w:color w:val="000000"/>
          <w:sz w:val="24"/>
          <w:highlight w:val="none"/>
        </w:rPr>
        <w:t xml:space="preserve">        </w:t>
      </w: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 xml:space="preserve">0531-85875076                  </w:t>
      </w:r>
      <w:r>
        <w:rPr>
          <w:rFonts w:hint="eastAsia" w:ascii="宋体" w:hAnsi="宋体"/>
          <w:color w:val="000000"/>
          <w:sz w:val="24"/>
          <w:highlight w:val="none"/>
        </w:rPr>
        <w:t>邮</w:t>
      </w:r>
      <w:r>
        <w:rPr>
          <w:rFonts w:ascii="宋体" w:hAnsi="宋体"/>
          <w:color w:val="000000"/>
          <w:sz w:val="24"/>
          <w:highlight w:val="none"/>
        </w:rPr>
        <w:t xml:space="preserve"> </w:t>
      </w:r>
      <w:r>
        <w:rPr>
          <w:rFonts w:hint="eastAsia" w:ascii="宋体" w:hAnsi="宋体"/>
          <w:color w:val="000000"/>
          <w:sz w:val="24"/>
          <w:highlight w:val="none"/>
        </w:rPr>
        <w:t>编：</w:t>
      </w:r>
      <w:r>
        <w:rPr>
          <w:rFonts w:ascii="宋体" w:hAnsi="宋体"/>
          <w:color w:val="000000"/>
          <w:sz w:val="24"/>
          <w:highlight w:val="none"/>
        </w:rPr>
        <w:t>250014</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联系人：褚桐、李文华</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hint="default" w:ascii="宋体"/>
          <w:color w:val="000000"/>
          <w:sz w:val="24"/>
          <w:highlight w:val="none"/>
          <w:lang w:val="en-US"/>
        </w:rPr>
      </w:pPr>
      <w:r>
        <w:rPr>
          <w:rFonts w:ascii="宋体" w:hAnsi="宋体"/>
          <w:color w:val="000000"/>
          <w:sz w:val="24"/>
          <w:highlight w:val="none"/>
        </w:rPr>
        <w:t xml:space="preserve">                                     </w:t>
      </w:r>
      <w:r>
        <w:rPr>
          <w:rFonts w:hint="eastAsia" w:ascii="宋体" w:hAnsi="宋体"/>
          <w:color w:val="000000"/>
          <w:sz w:val="24"/>
          <w:highlight w:val="none"/>
          <w:lang w:val="en-US" w:eastAsia="zh-CN"/>
        </w:rPr>
        <w:t xml:space="preserve"> </w:t>
      </w: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0531-83191865/</w:t>
      </w:r>
      <w:r>
        <w:rPr>
          <w:rFonts w:hint="eastAsia" w:ascii="宋体" w:hAnsi="宋体"/>
          <w:color w:val="000000"/>
          <w:sz w:val="24"/>
          <w:highlight w:val="none"/>
          <w:lang w:val="en-US" w:eastAsia="zh-CN"/>
        </w:rPr>
        <w:t>83191895</w:t>
      </w:r>
    </w:p>
    <w:p>
      <w:pPr>
        <w:keepNext w:val="0"/>
        <w:keepLines w:val="0"/>
        <w:pageBreakBefore w:val="0"/>
        <w:kinsoku/>
        <w:wordWrap/>
        <w:overflowPunct/>
        <w:topLinePunct w:val="0"/>
        <w:autoSpaceDE/>
        <w:autoSpaceDN w:val="0"/>
        <w:bidi w:val="0"/>
        <w:adjustRightInd w:val="0"/>
        <w:snapToGrid w:val="0"/>
        <w:spacing w:line="360" w:lineRule="auto"/>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传</w:t>
      </w:r>
      <w:r>
        <w:rPr>
          <w:rFonts w:ascii="宋体" w:hAnsi="宋体"/>
          <w:color w:val="000000"/>
          <w:sz w:val="24"/>
          <w:highlight w:val="none"/>
        </w:rPr>
        <w:t xml:space="preserve"> </w:t>
      </w:r>
      <w:r>
        <w:rPr>
          <w:rFonts w:hint="eastAsia" w:ascii="宋体" w:hAnsi="宋体"/>
          <w:color w:val="000000"/>
          <w:sz w:val="24"/>
          <w:highlight w:val="none"/>
        </w:rPr>
        <w:t>真：</w:t>
      </w:r>
      <w:r>
        <w:rPr>
          <w:rFonts w:ascii="宋体" w:hAnsi="宋体"/>
          <w:color w:val="000000"/>
          <w:sz w:val="24"/>
          <w:highlight w:val="none"/>
        </w:rPr>
        <w:t>0531-83191895</w:t>
      </w:r>
    </w:p>
    <w:p>
      <w:pPr>
        <w:pStyle w:val="20"/>
        <w:tabs>
          <w:tab w:val="left" w:pos="0"/>
        </w:tabs>
        <w:spacing w:line="480" w:lineRule="exact"/>
        <w:ind w:left="0" w:leftChars="0" w:firstLine="0" w:firstLineChars="0"/>
        <w:jc w:val="center"/>
        <w:outlineLvl w:val="0"/>
        <w:rPr>
          <w:rFonts w:ascii="宋体" w:cs="宋体"/>
          <w:highlight w:val="none"/>
        </w:rPr>
      </w:pPr>
      <w:r>
        <w:rPr>
          <w:rFonts w:ascii="宋体" w:hAnsi="宋体"/>
          <w:color w:val="000000"/>
          <w:sz w:val="24"/>
          <w:highlight w:val="none"/>
        </w:rPr>
        <w:t xml:space="preserve">                        </w:t>
      </w:r>
      <w:r>
        <w:rPr>
          <w:rFonts w:hint="eastAsia" w:ascii="宋体" w:hAnsi="宋体"/>
          <w:color w:val="000000"/>
          <w:sz w:val="24"/>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ascii="宋体" w:hAnsi="宋体"/>
          <w:color w:val="000000"/>
          <w:sz w:val="24"/>
          <w:highlight w:val="none"/>
        </w:rPr>
        <w:t>lczb08@126.com</w:t>
      </w:r>
      <w:r>
        <w:rPr>
          <w:rFonts w:ascii="宋体" w:hAnsi="宋体"/>
          <w:color w:val="000000"/>
          <w:sz w:val="24"/>
          <w:highlight w:val="none"/>
        </w:rPr>
        <w:fldChar w:fldCharType="end"/>
      </w:r>
      <w:r>
        <w:rPr>
          <w:rFonts w:ascii="宋体"/>
          <w:b/>
          <w:sz w:val="36"/>
          <w:highlight w:val="none"/>
        </w:rPr>
        <w:br w:type="page"/>
      </w:r>
      <w:r>
        <w:rPr>
          <w:rFonts w:hint="eastAsia" w:ascii="宋体" w:hAnsi="宋体"/>
          <w:b/>
          <w:sz w:val="36"/>
          <w:highlight w:val="none"/>
        </w:rPr>
        <w:t>第二部分投标人须知</w:t>
      </w:r>
      <w:bookmarkEnd w:id="0"/>
    </w:p>
    <w:p>
      <w:pPr>
        <w:pStyle w:val="88"/>
        <w:spacing w:before="240"/>
        <w:outlineLvl w:val="1"/>
        <w:rPr>
          <w:highlight w:val="none"/>
        </w:rPr>
      </w:pPr>
      <w:bookmarkStart w:id="3" w:name="_Toc243041162"/>
      <w:bookmarkStart w:id="4" w:name="_Toc1284"/>
      <w:r>
        <w:rPr>
          <w:rFonts w:hint="eastAsia"/>
          <w:highlight w:val="none"/>
        </w:rPr>
        <w:t>投标人须知前附表</w:t>
      </w:r>
      <w:bookmarkEnd w:id="3"/>
      <w:bookmarkEnd w:id="4"/>
    </w:p>
    <w:tbl>
      <w:tblPr>
        <w:tblStyle w:val="49"/>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432"/>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序号</w:t>
            </w:r>
          </w:p>
        </w:tc>
        <w:tc>
          <w:tcPr>
            <w:tcW w:w="2432" w:type="dxa"/>
            <w:vAlign w:val="center"/>
          </w:tcPr>
          <w:p>
            <w:pPr>
              <w:pStyle w:val="20"/>
              <w:tabs>
                <w:tab w:val="left" w:pos="0"/>
                <w:tab w:val="left" w:pos="955"/>
              </w:tabs>
              <w:snapToGrid w:val="0"/>
              <w:spacing w:line="360" w:lineRule="auto"/>
              <w:ind w:left="0" w:leftChars="0" w:firstLine="0" w:firstLineChars="0"/>
              <w:rPr>
                <w:rFonts w:ascii="宋体" w:cs="宋体"/>
                <w:highlight w:val="none"/>
              </w:rPr>
            </w:pPr>
            <w:r>
              <w:rPr>
                <w:rFonts w:ascii="宋体" w:hAnsi="宋体" w:cs="宋体"/>
                <w:highlight w:val="none"/>
              </w:rPr>
              <w:t xml:space="preserve">    </w:t>
            </w:r>
            <w:r>
              <w:rPr>
                <w:rFonts w:hint="eastAsia" w:ascii="宋体" w:hAnsi="宋体" w:cs="宋体"/>
                <w:highlight w:val="none"/>
              </w:rPr>
              <w:t>项</w:t>
            </w:r>
            <w:r>
              <w:rPr>
                <w:rFonts w:ascii="宋体" w:hAnsi="宋体" w:cs="宋体"/>
                <w:highlight w:val="none"/>
              </w:rPr>
              <w:t xml:space="preserve">    </w:t>
            </w:r>
            <w:r>
              <w:rPr>
                <w:rFonts w:hint="eastAsia" w:ascii="宋体" w:hAnsi="宋体" w:cs="宋体"/>
                <w:highlight w:val="none"/>
              </w:rPr>
              <w:t>目</w:t>
            </w:r>
          </w:p>
        </w:tc>
        <w:tc>
          <w:tcPr>
            <w:tcW w:w="6569" w:type="dxa"/>
            <w:vAlign w:val="center"/>
          </w:tcPr>
          <w:p>
            <w:pPr>
              <w:pStyle w:val="20"/>
              <w:tabs>
                <w:tab w:val="left" w:pos="0"/>
                <w:tab w:val="left" w:pos="955"/>
              </w:tabs>
              <w:snapToGrid w:val="0"/>
              <w:spacing w:line="360" w:lineRule="auto"/>
              <w:ind w:left="0" w:leftChars="0" w:firstLine="960" w:firstLineChars="400"/>
              <w:rPr>
                <w:rFonts w:ascii="宋体" w:cs="宋体"/>
                <w:highlight w:val="none"/>
              </w:rPr>
            </w:pPr>
            <w:r>
              <w:rPr>
                <w:rFonts w:ascii="宋体" w:hAnsi="宋体" w:cs="宋体"/>
                <w:highlight w:val="none"/>
              </w:rPr>
              <w:t xml:space="preserve">            </w:t>
            </w:r>
            <w:r>
              <w:rPr>
                <w:rFonts w:hint="eastAsia" w:ascii="宋体" w:hAnsi="宋体" w:cs="宋体"/>
                <w:highlight w:val="none"/>
              </w:rPr>
              <w:t>内</w:t>
            </w:r>
            <w:r>
              <w:rPr>
                <w:rFonts w:ascii="宋体" w:hAnsi="宋体" w:cs="宋体"/>
                <w:highlight w:val="none"/>
              </w:rPr>
              <w:t xml:space="preserve">       </w:t>
            </w:r>
            <w:r>
              <w:rPr>
                <w:rFonts w:hint="eastAsia" w:ascii="宋体" w:hAnsi="宋体" w:cs="宋体"/>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招标人</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招标人：山东大学第二医院</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址：济南市天桥区北园路</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p>
          <w:p>
            <w:pPr>
              <w:pStyle w:val="111"/>
              <w:snapToGrid w:val="0"/>
              <w:spacing w:line="360" w:lineRule="auto"/>
              <w:jc w:val="left"/>
              <w:rPr>
                <w:rFonts w:ascii="宋体" w:cs="宋体"/>
                <w:highlight w:val="none"/>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招标代理机构</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名</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称：山东省鲁成招标有限公司</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址：济南市经十东路</w:t>
            </w:r>
            <w:r>
              <w:rPr>
                <w:rFonts w:ascii="宋体" w:hAnsi="宋体" w:cs="宋体"/>
                <w:color w:val="000000"/>
                <w:spacing w:val="7"/>
                <w:sz w:val="24"/>
                <w:highlight w:val="none"/>
                <w:lang w:eastAsia="zh-CN"/>
              </w:rPr>
              <w:t>10567</w:t>
            </w:r>
            <w:r>
              <w:rPr>
                <w:rFonts w:hint="eastAsia" w:ascii="宋体" w:hAnsi="宋体" w:cs="宋体"/>
                <w:color w:val="000000"/>
                <w:spacing w:val="7"/>
                <w:sz w:val="24"/>
                <w:highlight w:val="none"/>
                <w:lang w:eastAsia="zh-CN"/>
              </w:rPr>
              <w:t>号成城大厦</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联系人：褚桐、李文华</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0531-83191865</w:t>
            </w:r>
            <w:r>
              <w:rPr>
                <w:rFonts w:hint="eastAsia" w:ascii="宋体" w:hAnsi="宋体" w:cs="宋体"/>
                <w:color w:val="000000"/>
                <w:spacing w:val="7"/>
                <w:sz w:val="24"/>
                <w:highlight w:val="none"/>
                <w:lang w:eastAsia="zh-CN"/>
              </w:rPr>
              <w:t>、</w:t>
            </w:r>
            <w:r>
              <w:rPr>
                <w:rFonts w:ascii="宋体" w:hAnsi="宋体" w:cs="宋体"/>
                <w:color w:val="000000"/>
                <w:spacing w:val="7"/>
                <w:sz w:val="24"/>
                <w:highlight w:val="none"/>
                <w:lang w:val="en-US" w:eastAsia="zh-CN"/>
              </w:rPr>
              <w:t>83191895</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邮箱：</w:t>
            </w:r>
            <w:r>
              <w:rPr>
                <w:rFonts w:ascii="宋体" w:hAnsi="宋体" w:cs="宋体"/>
                <w:color w:val="000000"/>
                <w:spacing w:val="7"/>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项目编号</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项目名称：山东大学第二医院合理用药系统采购项目</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项目编号：0676-196008ZB018034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4</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招标范围</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本项目为山东大学第二医院合理用药系统采购项目</w:t>
            </w:r>
            <w:r>
              <w:rPr>
                <w:rFonts w:hint="eastAsia" w:ascii="宋体" w:hAnsi="宋体" w:cs="宋体"/>
                <w:color w:val="000000"/>
                <w:spacing w:val="7"/>
                <w:sz w:val="24"/>
                <w:highlight w:val="none"/>
                <w:lang w:val="en-US" w:eastAsia="zh-CN"/>
              </w:rPr>
              <w:t>，</w:t>
            </w:r>
            <w:r>
              <w:rPr>
                <w:rFonts w:hint="eastAsia" w:ascii="宋体" w:hAnsi="宋体" w:cs="宋体"/>
                <w:color w:val="000000"/>
                <w:spacing w:val="7"/>
                <w:sz w:val="24"/>
                <w:highlight w:val="none"/>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5</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项目预算</w:t>
            </w:r>
          </w:p>
        </w:tc>
        <w:tc>
          <w:tcPr>
            <w:tcW w:w="6569"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预算金额</w:t>
            </w:r>
            <w:r>
              <w:rPr>
                <w:rFonts w:hint="eastAsia" w:ascii="宋体" w:hAnsi="宋体" w:cs="宋体"/>
                <w:color w:val="000000"/>
                <w:spacing w:val="7"/>
                <w:sz w:val="24"/>
                <w:highlight w:val="none"/>
                <w:lang w:val="en-US" w:eastAsia="zh-CN"/>
              </w:rPr>
              <w:t>：200</w:t>
            </w:r>
            <w:r>
              <w:rPr>
                <w:rFonts w:hint="eastAsia" w:ascii="宋体" w:hAnsi="宋体" w:cs="宋体"/>
                <w:color w:val="000000"/>
                <w:spacing w:val="7"/>
                <w:sz w:val="24"/>
                <w:highlight w:val="none"/>
                <w:lang w:eastAsia="zh-CN"/>
              </w:rPr>
              <w:t>万元</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6</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投标人资格要求</w:t>
            </w:r>
          </w:p>
        </w:tc>
        <w:tc>
          <w:tcPr>
            <w:tcW w:w="6569"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1、</w:t>
            </w:r>
            <w:r>
              <w:rPr>
                <w:rFonts w:hint="eastAsia" w:ascii="宋体" w:hAnsi="宋体" w:cs="宋体"/>
                <w:color w:val="000000"/>
                <w:spacing w:val="7"/>
                <w:sz w:val="24"/>
                <w:highlight w:val="none"/>
                <w:lang w:eastAsia="zh-CN"/>
              </w:rPr>
              <w:t>符合《中华人民共和国政府采购法》第二十二条规定的软件供应商；</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2、</w:t>
            </w:r>
            <w:r>
              <w:rPr>
                <w:rFonts w:hint="eastAsia" w:ascii="宋体" w:hAnsi="宋体" w:cs="宋体"/>
                <w:color w:val="000000"/>
                <w:spacing w:val="7"/>
                <w:sz w:val="24"/>
                <w:highlight w:val="none"/>
                <w:lang w:eastAsia="zh-CN"/>
              </w:rPr>
              <w:t>必须为未列入“信用中国”、“中国政府采购网”失信被执行人、重大税收违法案件当事人名单、政府采购严重违法失信名单的企业；</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val="en-US" w:eastAsia="zh-CN"/>
              </w:rPr>
              <w:t>3、</w:t>
            </w:r>
            <w:r>
              <w:rPr>
                <w:rFonts w:hint="eastAsia" w:ascii="宋体" w:hAnsi="宋体" w:cs="宋体"/>
                <w:color w:val="000000"/>
                <w:spacing w:val="7"/>
                <w:sz w:val="24"/>
                <w:highlight w:val="none"/>
                <w:lang w:eastAsia="zh-CN"/>
              </w:rPr>
              <w:t>单位负责人为同一人或者存在直接控股、管理关系的不同投标人，不得参加同一合同项下的采购活动；</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val="en-US" w:eastAsia="zh-CN"/>
              </w:rPr>
              <w:t>4、</w:t>
            </w:r>
            <w:r>
              <w:rPr>
                <w:rFonts w:hint="eastAsia" w:ascii="宋体" w:hAnsi="宋体" w:cs="宋体"/>
                <w:color w:val="000000"/>
                <w:spacing w:val="7"/>
                <w:sz w:val="24"/>
                <w:highlight w:val="none"/>
                <w:lang w:eastAsia="zh-CN"/>
              </w:rPr>
              <w:t>本次采购不接受联合体报价；</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val="en-US" w:eastAsia="zh-CN"/>
              </w:rPr>
              <w:t>5、</w:t>
            </w:r>
            <w:r>
              <w:rPr>
                <w:rFonts w:hint="eastAsia" w:ascii="宋体" w:hAnsi="宋体" w:cs="宋体"/>
                <w:color w:val="000000"/>
                <w:spacing w:val="7"/>
                <w:sz w:val="24"/>
                <w:highlight w:val="none"/>
                <w:lang w:eastAsia="zh-CN"/>
              </w:rPr>
              <w:t>未尽事宜，遵照国家相关规定执行。</w:t>
            </w:r>
            <w:r>
              <w:rPr>
                <w:rFonts w:ascii="宋体" w:hAnsi="宋体" w:cs="宋体"/>
                <w:color w:val="000000"/>
                <w:spacing w:val="7"/>
                <w:sz w:val="24"/>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7</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资格审查方式</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8</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付款方式</w:t>
            </w:r>
          </w:p>
        </w:tc>
        <w:tc>
          <w:tcPr>
            <w:tcW w:w="6569" w:type="dxa"/>
            <w:vAlign w:val="center"/>
          </w:tcPr>
          <w:p>
            <w:pPr>
              <w:spacing w:line="360" w:lineRule="auto"/>
              <w:rPr>
                <w:rFonts w:ascii="宋体" w:cs="宋体"/>
                <w:color w:val="000000"/>
                <w:spacing w:val="7"/>
                <w:sz w:val="24"/>
                <w:highlight w:val="none"/>
                <w:lang w:val="en-US" w:eastAsia="zh-CN"/>
              </w:rPr>
            </w:pPr>
            <w:r>
              <w:rPr>
                <w:rFonts w:hint="eastAsia" w:ascii="宋体" w:hAnsi="宋体" w:cs="宋体"/>
                <w:bCs/>
                <w:color w:val="auto"/>
                <w:kern w:val="0"/>
                <w:sz w:val="24"/>
                <w:highlight w:val="none"/>
              </w:rPr>
              <w:t>合同签订且由甲方信息中心确认乙方技术人员入场后，支付合同总金额1</w:t>
            </w:r>
            <w:r>
              <w:rPr>
                <w:rFonts w:ascii="宋体" w:hAnsi="宋体" w:cs="宋体"/>
                <w:bCs/>
                <w:color w:val="auto"/>
                <w:kern w:val="0"/>
                <w:sz w:val="24"/>
                <w:highlight w:val="none"/>
              </w:rPr>
              <w:t>5</w:t>
            </w:r>
            <w:r>
              <w:rPr>
                <w:rFonts w:hint="eastAsia" w:ascii="宋体" w:hAnsi="宋体" w:cs="宋体"/>
                <w:bCs/>
                <w:color w:val="auto"/>
                <w:kern w:val="0"/>
                <w:sz w:val="24"/>
                <w:highlight w:val="none"/>
              </w:rPr>
              <w:t>%，同时乙方须提供同等金额的履约保证函；整体系统部署完成能够正常使用且由甲方信息中心验收通过，且办理入库手续后，支付合同总金额7</w:t>
            </w:r>
            <w:r>
              <w:rPr>
                <w:rFonts w:ascii="宋体" w:hAnsi="宋体" w:cs="宋体"/>
                <w:bCs/>
                <w:color w:val="auto"/>
                <w:kern w:val="0"/>
                <w:sz w:val="24"/>
                <w:highlight w:val="none"/>
              </w:rPr>
              <w:t>5</w:t>
            </w:r>
            <w:r>
              <w:rPr>
                <w:rFonts w:hint="eastAsia" w:ascii="宋体" w:hAnsi="宋体" w:cs="宋体"/>
                <w:bCs/>
                <w:color w:val="auto"/>
                <w:kern w:val="0"/>
                <w:sz w:val="24"/>
                <w:highlight w:val="none"/>
              </w:rPr>
              <w:t>%，同时解除履约保证函；乙方履行完成一年免费维保期后，支付合同余款10%。以上付款节点乙方均需提供正规发票。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9</w:t>
            </w:r>
          </w:p>
        </w:tc>
        <w:tc>
          <w:tcPr>
            <w:tcW w:w="2432" w:type="dxa"/>
            <w:vAlign w:val="center"/>
          </w:tcPr>
          <w:p>
            <w:pPr>
              <w:spacing w:line="360" w:lineRule="auto"/>
              <w:jc w:val="center"/>
              <w:rPr>
                <w:rFonts w:hint="eastAsia" w:ascii="宋体" w:hAnsi="宋体" w:cs="宋体"/>
                <w:bCs/>
                <w:color w:val="auto"/>
                <w:kern w:val="0"/>
                <w:sz w:val="24"/>
                <w:highlight w:val="none"/>
                <w:lang w:eastAsia="zh-CN"/>
              </w:rPr>
            </w:pPr>
            <w:r>
              <w:rPr>
                <w:rFonts w:hint="eastAsia" w:ascii="宋体" w:hAnsi="宋体"/>
                <w:bCs/>
                <w:sz w:val="24"/>
                <w:highlight w:val="none"/>
              </w:rPr>
              <w:t>交付期</w:t>
            </w:r>
          </w:p>
        </w:tc>
        <w:tc>
          <w:tcPr>
            <w:tcW w:w="6569" w:type="dxa"/>
            <w:vAlign w:val="center"/>
          </w:tcPr>
          <w:p>
            <w:pPr>
              <w:spacing w:line="360" w:lineRule="auto"/>
              <w:rPr>
                <w:rFonts w:hint="default" w:ascii="宋体" w:hAnsi="宋体" w:cs="宋体"/>
                <w:bCs/>
                <w:color w:val="auto"/>
                <w:kern w:val="0"/>
                <w:sz w:val="24"/>
                <w:highlight w:val="none"/>
                <w:lang w:val="en-US" w:eastAsia="zh-CN"/>
              </w:rPr>
            </w:pPr>
            <w:r>
              <w:rPr>
                <w:rFonts w:hint="eastAsia" w:ascii="宋体" w:hAnsi="宋体" w:cs="宋体"/>
                <w:bCs/>
                <w:color w:val="auto"/>
                <w:kern w:val="0"/>
                <w:sz w:val="24"/>
                <w:highlight w:val="none"/>
              </w:rPr>
              <w:t>从签订合同厂家入场到验收完成，期限为三个月</w:t>
            </w:r>
            <w:r>
              <w:rPr>
                <w:rFonts w:hint="eastAsia" w:ascii="宋体" w:hAnsi="宋体" w:cs="宋体"/>
                <w:bCs/>
                <w:color w:val="auto"/>
                <w:kern w:val="0"/>
                <w:sz w:val="24"/>
                <w:highlight w:val="none"/>
                <w:lang w:eastAsia="zh-CN"/>
              </w:rPr>
              <w:t>。</w:t>
            </w:r>
            <w:r>
              <w:rPr>
                <w:rFonts w:hint="eastAsia" w:ascii="宋体" w:hAnsi="宋体" w:cs="宋体"/>
                <w:bCs/>
                <w:color w:val="auto"/>
                <w:kern w:val="0"/>
                <w:sz w:val="24"/>
                <w:highlight w:val="none"/>
                <w:lang w:val="en-US" w:eastAsia="zh-CN"/>
              </w:rPr>
              <w:t>可竞报。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hAnsi="宋体" w:eastAsia="宋体" w:cs="宋体"/>
                <w:highlight w:val="none"/>
                <w:lang w:val="en-US" w:eastAsia="zh-CN"/>
              </w:rPr>
            </w:pPr>
            <w:r>
              <w:rPr>
                <w:rFonts w:hint="eastAsia" w:ascii="宋体" w:hAnsi="宋体" w:cs="宋体"/>
                <w:highlight w:val="none"/>
                <w:lang w:val="en-US" w:eastAsia="zh-CN"/>
              </w:rPr>
              <w:t>10</w:t>
            </w:r>
          </w:p>
        </w:tc>
        <w:tc>
          <w:tcPr>
            <w:tcW w:w="2432" w:type="dxa"/>
            <w:vAlign w:val="center"/>
          </w:tcPr>
          <w:p>
            <w:pPr>
              <w:spacing w:line="360" w:lineRule="auto"/>
              <w:jc w:val="center"/>
              <w:rPr>
                <w:rFonts w:hint="eastAsia" w:ascii="宋体" w:hAnsi="宋体" w:cs="宋体"/>
                <w:bCs/>
                <w:color w:val="auto"/>
                <w:kern w:val="0"/>
                <w:sz w:val="24"/>
                <w:highlight w:val="none"/>
                <w:lang w:eastAsia="zh-CN"/>
              </w:rPr>
            </w:pPr>
            <w:r>
              <w:rPr>
                <w:rFonts w:hint="eastAsia" w:ascii="宋体" w:hAnsi="宋体" w:cs="宋体"/>
                <w:bCs/>
                <w:color w:val="auto"/>
                <w:kern w:val="0"/>
                <w:sz w:val="24"/>
                <w:highlight w:val="none"/>
                <w:lang w:eastAsia="zh-CN"/>
              </w:rPr>
              <w:t>质保期</w:t>
            </w:r>
          </w:p>
        </w:tc>
        <w:tc>
          <w:tcPr>
            <w:tcW w:w="6569" w:type="dxa"/>
            <w:vAlign w:val="center"/>
          </w:tcPr>
          <w:p>
            <w:pPr>
              <w:spacing w:line="360" w:lineRule="auto"/>
              <w:rPr>
                <w:rFonts w:hint="eastAsia" w:ascii="宋体" w:hAnsi="宋体" w:cs="宋体"/>
                <w:bCs/>
                <w:color w:val="auto"/>
                <w:kern w:val="0"/>
                <w:sz w:val="24"/>
                <w:highlight w:val="none"/>
                <w:lang w:eastAsia="zh-CN"/>
              </w:rPr>
            </w:pPr>
            <w:r>
              <w:rPr>
                <w:rFonts w:hint="eastAsia" w:ascii="宋体" w:hAnsi="宋体" w:cs="宋体"/>
                <w:bCs/>
                <w:color w:val="auto"/>
                <w:kern w:val="0"/>
                <w:sz w:val="24"/>
                <w:highlight w:val="none"/>
                <w:lang w:eastAsia="zh-CN"/>
              </w:rPr>
              <w:t>质保期</w:t>
            </w:r>
            <w:r>
              <w:rPr>
                <w:rFonts w:hint="eastAsia" w:ascii="宋体" w:hAnsi="宋体" w:cs="宋体"/>
                <w:bCs/>
                <w:color w:val="auto"/>
                <w:kern w:val="0"/>
                <w:sz w:val="24"/>
                <w:highlight w:val="none"/>
                <w:lang w:val="en-US" w:eastAsia="zh-CN"/>
              </w:rPr>
              <w:t>不低于</w:t>
            </w:r>
            <w:r>
              <w:rPr>
                <w:rFonts w:hint="eastAsia" w:ascii="宋体" w:hAnsi="宋体" w:cs="宋体"/>
                <w:bCs/>
                <w:color w:val="auto"/>
                <w:kern w:val="0"/>
                <w:sz w:val="24"/>
                <w:highlight w:val="none"/>
              </w:rPr>
              <w:t>1年</w:t>
            </w:r>
            <w:r>
              <w:rPr>
                <w:rFonts w:hint="eastAsia" w:ascii="宋体" w:hAnsi="宋体" w:cs="宋体"/>
                <w:bCs/>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val="en-US" w:eastAsia="zh-CN"/>
              </w:rPr>
            </w:pPr>
            <w:r>
              <w:rPr>
                <w:rFonts w:hint="eastAsia" w:ascii="宋体" w:hAnsi="宋体" w:cs="宋体"/>
                <w:highlight w:val="none"/>
                <w:lang w:val="en-US" w:eastAsia="zh-CN"/>
              </w:rPr>
              <w:t>11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投标文件共</w:t>
            </w:r>
            <w:r>
              <w:rPr>
                <w:rFonts w:hint="eastAsia" w:ascii="宋体" w:hAnsi="宋体" w:cs="宋体"/>
                <w:color w:val="000000"/>
                <w:spacing w:val="7"/>
                <w:sz w:val="24"/>
                <w:highlight w:val="none"/>
                <w:lang w:val="en-US" w:eastAsia="zh-CN"/>
              </w:rPr>
              <w:t>5</w:t>
            </w:r>
            <w:r>
              <w:rPr>
                <w:rFonts w:hint="eastAsia" w:ascii="宋体" w:hAnsi="宋体" w:cs="宋体"/>
                <w:color w:val="000000"/>
                <w:spacing w:val="7"/>
                <w:sz w:val="24"/>
                <w:highlight w:val="none"/>
                <w:lang w:eastAsia="zh-CN"/>
              </w:rPr>
              <w:t>份，正本</w:t>
            </w:r>
            <w:r>
              <w:rPr>
                <w:rFonts w:ascii="宋体" w:hAnsi="宋体" w:cs="宋体"/>
                <w:color w:val="000000"/>
                <w:spacing w:val="7"/>
                <w:sz w:val="24"/>
                <w:highlight w:val="none"/>
                <w:lang w:eastAsia="zh-CN"/>
              </w:rPr>
              <w:t>1</w:t>
            </w:r>
            <w:r>
              <w:rPr>
                <w:rFonts w:hint="eastAsia" w:ascii="宋体" w:hAnsi="宋体" w:cs="宋体"/>
                <w:color w:val="000000"/>
                <w:spacing w:val="7"/>
                <w:sz w:val="24"/>
                <w:highlight w:val="none"/>
                <w:lang w:eastAsia="zh-CN"/>
              </w:rPr>
              <w:t>份，副本</w:t>
            </w:r>
            <w:r>
              <w:rPr>
                <w:rFonts w:hint="eastAsia" w:ascii="宋体" w:hAnsi="宋体" w:cs="宋体"/>
                <w:color w:val="000000"/>
                <w:spacing w:val="7"/>
                <w:sz w:val="24"/>
                <w:highlight w:val="none"/>
                <w:lang w:val="en-US" w:eastAsia="zh-CN"/>
              </w:rPr>
              <w:t>4</w:t>
            </w:r>
            <w:r>
              <w:rPr>
                <w:rFonts w:hint="eastAsia" w:ascii="宋体" w:hAnsi="宋体" w:cs="宋体"/>
                <w:color w:val="000000"/>
                <w:spacing w:val="7"/>
                <w:sz w:val="24"/>
                <w:highlight w:val="none"/>
                <w:lang w:eastAsia="zh-CN"/>
              </w:rPr>
              <w:t>份；电子文档</w:t>
            </w:r>
            <w:r>
              <w:rPr>
                <w:rFonts w:hint="eastAsia" w:ascii="宋体" w:hAnsi="宋体" w:cs="宋体"/>
                <w:color w:val="auto"/>
                <w:spacing w:val="7"/>
                <w:sz w:val="24"/>
                <w:highlight w:val="none"/>
                <w:lang w:eastAsia="zh-CN"/>
              </w:rPr>
              <w:t>（</w:t>
            </w:r>
            <w:r>
              <w:rPr>
                <w:rFonts w:hint="eastAsia" w:ascii="宋体" w:hAnsi="宋体" w:cs="宋体"/>
                <w:b/>
                <w:color w:val="auto"/>
                <w:spacing w:val="7"/>
                <w:sz w:val="24"/>
                <w:highlight w:val="none"/>
                <w:lang w:val="en-US" w:eastAsia="zh-CN"/>
              </w:rPr>
              <w:t>U</w:t>
            </w:r>
            <w:r>
              <w:rPr>
                <w:rFonts w:hint="eastAsia" w:ascii="宋体" w:hAnsi="宋体" w:cs="宋体"/>
                <w:b/>
                <w:color w:val="auto"/>
                <w:spacing w:val="7"/>
                <w:sz w:val="24"/>
                <w:highlight w:val="none"/>
                <w:lang w:eastAsia="zh-CN"/>
              </w:rPr>
              <w:t>盘</w:t>
            </w:r>
            <w:r>
              <w:rPr>
                <w:rFonts w:hint="eastAsia" w:ascii="宋体" w:hAnsi="宋体" w:cs="宋体"/>
                <w:color w:val="auto"/>
                <w:spacing w:val="7"/>
                <w:sz w:val="24"/>
                <w:highlight w:val="none"/>
                <w:lang w:eastAsia="zh-CN"/>
              </w:rPr>
              <w:t>）</w:t>
            </w:r>
            <w:r>
              <w:rPr>
                <w:rFonts w:hint="eastAsia" w:ascii="宋体" w:hAnsi="宋体" w:cs="宋体"/>
                <w:color w:val="000000"/>
                <w:spacing w:val="7"/>
                <w:sz w:val="24"/>
                <w:highlight w:val="none"/>
                <w:lang w:eastAsia="zh-CN"/>
              </w:rPr>
              <w:t>投标文件一份，采用</w:t>
            </w:r>
            <w:r>
              <w:rPr>
                <w:rFonts w:ascii="宋体" w:hAnsi="宋体" w:cs="宋体"/>
                <w:color w:val="000000"/>
                <w:spacing w:val="7"/>
                <w:sz w:val="24"/>
                <w:highlight w:val="none"/>
                <w:lang w:val="en-US" w:eastAsia="zh-CN"/>
              </w:rPr>
              <w:t>PDF</w:t>
            </w:r>
            <w:r>
              <w:rPr>
                <w:rFonts w:hint="eastAsia" w:ascii="宋体" w:hAnsi="宋体" w:cs="宋体"/>
                <w:color w:val="000000"/>
                <w:spacing w:val="7"/>
                <w:sz w:val="24"/>
                <w:highlight w:val="none"/>
                <w:lang w:eastAsia="zh-CN"/>
              </w:rPr>
              <w:t>中文版，与纸质投标文件一致。</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b/>
                <w:bCs/>
                <w:color w:val="000000"/>
                <w:spacing w:val="7"/>
                <w:sz w:val="24"/>
                <w:highlight w:val="none"/>
                <w:lang w:eastAsia="zh-CN"/>
              </w:rPr>
              <w:t>（装订方式：每册采用胶装方式装订，装订应牢固、不易拆散和换页，不得采用活页装订，投标文件每册不超过4.5厘米，如超过请分册。为节约成本，投标文件封皮请勿使用硬版纸）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开标一览表</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密封和标记</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4</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highlight w:val="none"/>
              </w:rPr>
              <w:t>截止时间</w:t>
            </w:r>
          </w:p>
        </w:tc>
        <w:tc>
          <w:tcPr>
            <w:tcW w:w="6569" w:type="dxa"/>
            <w:vAlign w:val="center"/>
          </w:tcPr>
          <w:p>
            <w:pPr>
              <w:snapToGrid w:val="0"/>
              <w:spacing w:line="360" w:lineRule="auto"/>
              <w:ind w:right="113"/>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15</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5</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投标人要求澄清</w:t>
            </w:r>
          </w:p>
          <w:p>
            <w:pPr>
              <w:snapToGrid w:val="0"/>
              <w:spacing w:line="360" w:lineRule="auto"/>
              <w:jc w:val="center"/>
              <w:rPr>
                <w:rFonts w:ascii="宋体"/>
                <w:sz w:val="24"/>
                <w:highlight w:val="none"/>
              </w:rPr>
            </w:pPr>
            <w:r>
              <w:rPr>
                <w:rFonts w:hint="eastAsia" w:ascii="宋体" w:hAnsi="宋体"/>
                <w:sz w:val="24"/>
                <w:highlight w:val="none"/>
              </w:rPr>
              <w:t>招标文件的截止时间</w:t>
            </w:r>
          </w:p>
        </w:tc>
        <w:tc>
          <w:tcPr>
            <w:tcW w:w="6569" w:type="dxa"/>
            <w:vAlign w:val="center"/>
          </w:tcPr>
          <w:p>
            <w:pPr>
              <w:snapToGrid w:val="0"/>
              <w:spacing w:line="360" w:lineRule="auto"/>
              <w:rPr>
                <w:rFonts w:ascii="宋体"/>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16</w:t>
            </w:r>
            <w:r>
              <w:rPr>
                <w:rFonts w:hint="eastAsia" w:ascii="宋体" w:hAnsi="宋体"/>
                <w:sz w:val="24"/>
                <w:highlight w:val="none"/>
              </w:rPr>
              <w:t>日</w:t>
            </w:r>
            <w:r>
              <w:rPr>
                <w:rFonts w:ascii="宋体" w:hAnsi="宋体"/>
                <w:sz w:val="24"/>
                <w:highlight w:val="none"/>
              </w:rPr>
              <w:t>1</w:t>
            </w:r>
            <w:r>
              <w:rPr>
                <w:rFonts w:hint="eastAsia" w:ascii="宋体" w:hAnsi="宋体"/>
                <w:sz w:val="24"/>
                <w:highlight w:val="none"/>
                <w:lang w:val="en-US" w:eastAsia="zh-CN"/>
              </w:rPr>
              <w:t>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6</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招标人书面澄清的时间</w:t>
            </w:r>
          </w:p>
        </w:tc>
        <w:tc>
          <w:tcPr>
            <w:tcW w:w="6569" w:type="dxa"/>
            <w:vAlign w:val="center"/>
          </w:tcPr>
          <w:p>
            <w:pPr>
              <w:snapToGrid w:val="0"/>
              <w:spacing w:line="360" w:lineRule="auto"/>
              <w:rPr>
                <w:rFonts w:ascii="宋体" w:cs="宋体"/>
                <w:color w:val="000000"/>
                <w:spacing w:val="7"/>
                <w:sz w:val="24"/>
                <w:highlight w:val="none"/>
              </w:rPr>
            </w:pPr>
            <w:r>
              <w:rPr>
                <w:rFonts w:ascii="宋体" w:hAnsi="宋体"/>
                <w:sz w:val="24"/>
                <w:highlight w:val="none"/>
              </w:rPr>
              <w:t>2</w:t>
            </w:r>
            <w:r>
              <w:rPr>
                <w:rFonts w:hint="eastAsia" w:ascii="宋体" w:hAnsi="宋体"/>
                <w:sz w:val="24"/>
                <w:highlight w:val="none"/>
              </w:rPr>
              <w:t>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10</w:t>
            </w:r>
            <w:r>
              <w:rPr>
                <w:rFonts w:hint="eastAsia" w:ascii="宋体" w:hAnsi="宋体"/>
                <w:sz w:val="24"/>
                <w:highlight w:val="none"/>
              </w:rPr>
              <w:t>月</w:t>
            </w:r>
            <w:r>
              <w:rPr>
                <w:rFonts w:hint="eastAsia" w:ascii="宋体" w:hAnsi="宋体"/>
                <w:sz w:val="24"/>
                <w:highlight w:val="none"/>
                <w:lang w:val="en-US" w:eastAsia="zh-CN"/>
              </w:rPr>
              <w:t>16</w:t>
            </w:r>
            <w:r>
              <w:rPr>
                <w:rFonts w:hint="eastAsia" w:ascii="宋体" w:hAnsi="宋体"/>
                <w:sz w:val="24"/>
                <w:highlight w:val="none"/>
              </w:rPr>
              <w:t>日1</w:t>
            </w:r>
            <w:r>
              <w:rPr>
                <w:rFonts w:hint="eastAsia" w:ascii="宋体" w:hAnsi="宋体"/>
                <w:sz w:val="24"/>
                <w:highlight w:val="none"/>
                <w:lang w:val="en-US" w:eastAsia="zh-CN"/>
              </w:rPr>
              <w:t>7</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7</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投标有效期</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90</w:t>
            </w:r>
            <w:r>
              <w:rPr>
                <w:rFonts w:hint="eastAsia" w:ascii="宋体" w:hAnsi="宋体" w:cs="宋体"/>
                <w:color w:val="000000"/>
                <w:spacing w:val="7"/>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8</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投标保证金交纳</w:t>
            </w:r>
          </w:p>
        </w:tc>
        <w:tc>
          <w:tcPr>
            <w:tcW w:w="6569" w:type="dxa"/>
            <w:vAlign w:val="center"/>
          </w:tcPr>
          <w:p>
            <w:pPr>
              <w:pStyle w:val="111"/>
              <w:numPr>
                <w:ilvl w:val="0"/>
                <w:numId w:val="0"/>
              </w:numPr>
              <w:snapToGrid w:val="0"/>
              <w:spacing w:line="360" w:lineRule="auto"/>
              <w:jc w:val="left"/>
              <w:rPr>
                <w:rFonts w:hint="eastAsia" w:ascii="宋体" w:hAnsi="宋体" w:cs="宋体"/>
                <w:b/>
                <w:bCs/>
                <w:color w:val="000000"/>
                <w:spacing w:val="7"/>
                <w:sz w:val="24"/>
                <w:highlight w:val="none"/>
                <w:lang w:val="en-US" w:eastAsia="zh-CN"/>
              </w:rPr>
            </w:pPr>
            <w:r>
              <w:rPr>
                <w:rFonts w:hint="eastAsia" w:ascii="宋体" w:hAnsi="宋体" w:cs="宋体"/>
                <w:color w:val="000000"/>
                <w:spacing w:val="7"/>
                <w:sz w:val="24"/>
                <w:highlight w:val="none"/>
                <w:lang w:val="en-US" w:eastAsia="zh-CN"/>
              </w:rPr>
              <w:t>1、</w:t>
            </w:r>
            <w:r>
              <w:rPr>
                <w:rFonts w:hint="eastAsia" w:ascii="宋体" w:hAnsi="宋体" w:cs="宋体"/>
                <w:color w:val="000000"/>
                <w:spacing w:val="7"/>
                <w:sz w:val="24"/>
                <w:highlight w:val="none"/>
                <w:lang w:eastAsia="zh-CN"/>
              </w:rPr>
              <w:t>投标保证金的金额：</w:t>
            </w:r>
            <w:r>
              <w:rPr>
                <w:rFonts w:hint="eastAsia" w:ascii="宋体" w:hAnsi="宋体" w:cs="宋体"/>
                <w:b/>
                <w:bCs/>
                <w:color w:val="000000"/>
                <w:spacing w:val="7"/>
                <w:sz w:val="24"/>
                <w:highlight w:val="none"/>
                <w:lang w:val="en-US" w:eastAsia="zh-CN"/>
              </w:rPr>
              <w:t>30000元；大写：叁万</w:t>
            </w:r>
            <w:r>
              <w:rPr>
                <w:rFonts w:hint="eastAsia" w:ascii="宋体" w:hAnsi="宋体" w:eastAsia="宋体" w:cs="宋体"/>
                <w:b/>
                <w:bCs/>
                <w:color w:val="000000"/>
                <w:spacing w:val="7"/>
                <w:sz w:val="24"/>
                <w:highlight w:val="none"/>
                <w:lang w:val="en-US" w:eastAsia="zh-CN"/>
              </w:rPr>
              <w:t>元</w:t>
            </w:r>
            <w:r>
              <w:rPr>
                <w:rFonts w:hint="eastAsia" w:ascii="宋体" w:hAnsi="宋体" w:cs="宋体"/>
                <w:b/>
                <w:bCs/>
                <w:color w:val="000000"/>
                <w:spacing w:val="7"/>
                <w:sz w:val="24"/>
                <w:highlight w:val="none"/>
                <w:lang w:val="en-US" w:eastAsia="zh-CN"/>
              </w:rPr>
              <w:t>整。</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、递交方式：电汇（电汇时需备注：招标八部</w:t>
            </w:r>
            <w:r>
              <w:rPr>
                <w:rFonts w:hint="eastAsia" w:ascii="宋体" w:hAnsi="宋体" w:cs="宋体"/>
                <w:color w:val="000000"/>
                <w:spacing w:val="7"/>
                <w:sz w:val="24"/>
                <w:highlight w:val="none"/>
                <w:lang w:val="en-US" w:eastAsia="zh-CN"/>
              </w:rPr>
              <w:t>-用药系统</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3</w:t>
            </w:r>
            <w:r>
              <w:rPr>
                <w:rFonts w:hint="eastAsia" w:ascii="宋体" w:hAnsi="宋体" w:cs="宋体"/>
                <w:color w:val="000000"/>
                <w:spacing w:val="7"/>
                <w:sz w:val="24"/>
                <w:highlight w:val="none"/>
                <w:lang w:eastAsia="zh-CN"/>
              </w:rPr>
              <w:t>、投标保证金汇入银行及账号：</w:t>
            </w:r>
          </w:p>
          <w:p>
            <w:pPr>
              <w:pStyle w:val="111"/>
              <w:snapToGrid w:val="0"/>
              <w:spacing w:line="360" w:lineRule="auto"/>
              <w:jc w:val="left"/>
              <w:rPr>
                <w:rFonts w:ascii="宋体" w:cs="宋体"/>
                <w:color w:val="000000"/>
                <w:spacing w:val="7"/>
                <w:sz w:val="24"/>
                <w:highlight w:val="none"/>
                <w:lang w:eastAsia="zh-CN"/>
              </w:rPr>
            </w:pPr>
            <w:r>
              <w:rPr>
                <w:rFonts w:ascii="宋体" w:cs="宋体"/>
                <w:color w:val="000000"/>
                <w:spacing w:val="7"/>
                <w:sz w:val="24"/>
                <w:highlight w:val="none"/>
                <w:lang w:eastAsia="zh-CN"/>
              </w:rPr>
              <w:t> </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开户名称：山东省鲁成招标有限公司</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开户银行：中国农业银行济南分行</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银行账号：</w:t>
            </w:r>
            <w:r>
              <w:rPr>
                <w:rFonts w:ascii="宋体" w:hAnsi="宋体" w:cs="宋体"/>
                <w:color w:val="000000"/>
                <w:spacing w:val="7"/>
                <w:sz w:val="24"/>
                <w:highlight w:val="none"/>
                <w:lang w:eastAsia="zh-CN"/>
              </w:rPr>
              <w:t>15110101040001136</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（行号：</w:t>
            </w:r>
            <w:r>
              <w:rPr>
                <w:rFonts w:ascii="宋体" w:hAnsi="宋体" w:cs="宋体"/>
                <w:color w:val="000000"/>
                <w:spacing w:val="7"/>
                <w:sz w:val="24"/>
                <w:highlight w:val="none"/>
                <w:lang w:eastAsia="zh-CN"/>
              </w:rPr>
              <w:t>103451011106</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投标保证金应当在</w:t>
            </w:r>
            <w:r>
              <w:rPr>
                <w:rFonts w:hint="eastAsia" w:ascii="宋体" w:hAnsi="宋体" w:cs="宋体"/>
                <w:b/>
                <w:bCs/>
                <w:highlight w:val="none"/>
                <w:lang w:eastAsia="zh-CN"/>
              </w:rPr>
              <w:t>2019年</w:t>
            </w:r>
            <w:r>
              <w:rPr>
                <w:rFonts w:hint="eastAsia" w:ascii="宋体" w:hAnsi="宋体" w:cs="宋体"/>
                <w:b/>
                <w:bCs/>
                <w:highlight w:val="none"/>
                <w:lang w:val="en-US" w:eastAsia="zh-CN"/>
              </w:rPr>
              <w:t>11</w:t>
            </w:r>
            <w:r>
              <w:rPr>
                <w:rFonts w:hint="eastAsia" w:ascii="宋体" w:hAnsi="宋体" w:cs="宋体"/>
                <w:b/>
                <w:bCs/>
                <w:highlight w:val="none"/>
                <w:lang w:eastAsia="zh-CN"/>
              </w:rPr>
              <w:t>月</w:t>
            </w:r>
            <w:r>
              <w:rPr>
                <w:rFonts w:hint="eastAsia" w:ascii="宋体" w:hAnsi="宋体" w:cs="宋体"/>
                <w:b/>
                <w:bCs/>
                <w:highlight w:val="none"/>
                <w:lang w:val="en-US" w:eastAsia="zh-CN"/>
              </w:rPr>
              <w:t>1</w:t>
            </w:r>
            <w:r>
              <w:rPr>
                <w:rFonts w:hint="eastAsia" w:ascii="宋体" w:hAnsi="宋体" w:cs="宋体"/>
                <w:b/>
                <w:bCs/>
                <w:highlight w:val="none"/>
                <w:lang w:eastAsia="zh-CN"/>
              </w:rPr>
              <w:t>日</w:t>
            </w:r>
            <w:r>
              <w:rPr>
                <w:rFonts w:hint="eastAsia" w:ascii="宋体" w:hAnsi="宋体" w:cs="宋体"/>
                <w:b/>
                <w:bCs/>
                <w:highlight w:val="none"/>
                <w:lang w:val="en-US" w:eastAsia="zh-CN"/>
              </w:rPr>
              <w:t>9</w:t>
            </w:r>
            <w:r>
              <w:rPr>
                <w:rFonts w:hint="eastAsia" w:ascii="宋体" w:hAnsi="宋体" w:cs="宋体"/>
                <w:b/>
                <w:bCs/>
                <w:highlight w:val="none"/>
                <w:lang w:eastAsia="zh-CN"/>
              </w:rPr>
              <w:t>:00</w:t>
            </w:r>
            <w:r>
              <w:rPr>
                <w:rFonts w:hint="eastAsia" w:ascii="宋体" w:hAnsi="宋体" w:cs="宋体"/>
                <w:color w:val="000000"/>
                <w:spacing w:val="7"/>
                <w:sz w:val="24"/>
                <w:highlight w:val="none"/>
                <w:lang w:eastAsia="zh-CN"/>
              </w:rPr>
              <w:t>之前到达上述帐户，逾期不予受理。并将开户许可证及投标保证金电汇凭证扫描版发送邮件至</w:t>
            </w:r>
            <w:r>
              <w:rPr>
                <w:rFonts w:hint="eastAsia" w:ascii="宋体" w:hAnsi="宋体" w:cs="宋体"/>
                <w:color w:val="000000"/>
                <w:spacing w:val="7"/>
                <w:sz w:val="24"/>
                <w:highlight w:val="none"/>
                <w:lang w:val="en-US" w:eastAsia="zh-CN"/>
              </w:rPr>
              <w:t>lczb08@126.com</w:t>
            </w:r>
            <w:r>
              <w:rPr>
                <w:rFonts w:hint="eastAsia" w:ascii="宋体" w:hAnsi="宋体" w:cs="宋体"/>
                <w:color w:val="000000"/>
                <w:spacing w:val="7"/>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1</w:t>
            </w:r>
            <w:r>
              <w:rPr>
                <w:rFonts w:hint="eastAsia" w:ascii="宋体" w:hAnsi="宋体" w:cs="宋体"/>
                <w:highlight w:val="none"/>
                <w:lang w:val="en-US" w:eastAsia="zh-CN"/>
              </w:rPr>
              <w:t>9</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投标文件递交时间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11</w:t>
            </w:r>
            <w:r>
              <w:rPr>
                <w:rFonts w:hint="eastAsia" w:ascii="宋体" w:hAnsi="宋体" w:cs="宋体"/>
                <w:b/>
                <w:bCs/>
                <w:highlight w:val="none"/>
              </w:rPr>
              <w:t>月</w:t>
            </w:r>
            <w:r>
              <w:rPr>
                <w:rFonts w:hint="eastAsia" w:ascii="宋体" w:hAnsi="宋体" w:cs="宋体"/>
                <w:b/>
                <w:bCs/>
                <w:highlight w:val="none"/>
                <w:lang w:val="en-US" w:eastAsia="zh-CN"/>
              </w:rPr>
              <w:t>1</w:t>
            </w:r>
            <w:r>
              <w:rPr>
                <w:rFonts w:hint="eastAsia" w:ascii="宋体" w:hAnsi="宋体" w:cs="宋体"/>
                <w:b/>
                <w:bCs/>
                <w:highlight w:val="none"/>
              </w:rPr>
              <w:t>日</w:t>
            </w:r>
            <w:r>
              <w:rPr>
                <w:rFonts w:hint="eastAsia" w:ascii="宋体" w:hAnsi="宋体" w:cs="宋体"/>
                <w:b/>
                <w:bCs/>
                <w:highlight w:val="none"/>
                <w:lang w:val="en-US" w:eastAsia="zh-CN"/>
              </w:rPr>
              <w:t>08</w:t>
            </w:r>
            <w:r>
              <w:rPr>
                <w:rFonts w:hint="eastAsia" w:ascii="宋体" w:hAnsi="宋体" w:cs="宋体"/>
                <w:b/>
                <w:bCs/>
                <w:highlight w:val="none"/>
              </w:rPr>
              <w:t>：00至</w:t>
            </w:r>
            <w:r>
              <w:rPr>
                <w:rFonts w:hint="eastAsia" w:ascii="宋体" w:hAnsi="宋体" w:cs="宋体"/>
                <w:b/>
                <w:bCs/>
                <w:highlight w:val="none"/>
                <w:lang w:val="en-US" w:eastAsia="zh-CN"/>
              </w:rPr>
              <w:t>09</w:t>
            </w:r>
            <w:r>
              <w:rPr>
                <w:rFonts w:hint="eastAsia" w:ascii="宋体" w:hAnsi="宋体" w:cs="宋体"/>
                <w:b/>
                <w:bCs/>
                <w:highlight w:val="none"/>
              </w:rPr>
              <w:t>:00（超时不收）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val="en-US" w:eastAsia="zh-CN"/>
              </w:rPr>
            </w:pPr>
            <w:r>
              <w:rPr>
                <w:rFonts w:hint="eastAsia" w:ascii="宋体" w:hAnsi="宋体" w:cs="宋体"/>
                <w:highlight w:val="none"/>
                <w:lang w:val="en-US" w:eastAsia="zh-CN"/>
              </w:rPr>
              <w:t>20</w:t>
            </w:r>
          </w:p>
        </w:tc>
        <w:tc>
          <w:tcPr>
            <w:tcW w:w="2432"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投标文件递交的</w:t>
            </w:r>
          </w:p>
          <w:p>
            <w:pPr>
              <w:pStyle w:val="111"/>
              <w:snapToGrid w:val="0"/>
              <w:spacing w:line="360" w:lineRule="auto"/>
              <w:ind w:firstLine="508" w:firstLineChars="200"/>
              <w:rPr>
                <w:rFonts w:ascii="宋体" w:cs="宋体"/>
                <w:highlight w:val="none"/>
                <w:lang w:eastAsia="zh-CN"/>
              </w:rPr>
            </w:pPr>
            <w:r>
              <w:rPr>
                <w:rFonts w:hint="eastAsia" w:ascii="宋体" w:hAnsi="宋体" w:cs="宋体"/>
                <w:color w:val="000000"/>
                <w:spacing w:val="7"/>
                <w:sz w:val="24"/>
                <w:highlight w:val="none"/>
                <w:lang w:eastAsia="zh-CN"/>
              </w:rPr>
              <w:t>截止时间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11</w:t>
            </w:r>
            <w:r>
              <w:rPr>
                <w:rFonts w:hint="eastAsia" w:ascii="宋体" w:hAnsi="宋体" w:cs="宋体"/>
                <w:b/>
                <w:bCs/>
                <w:highlight w:val="none"/>
              </w:rPr>
              <w:t>月</w:t>
            </w:r>
            <w:r>
              <w:rPr>
                <w:rFonts w:hint="eastAsia" w:ascii="宋体" w:hAnsi="宋体" w:cs="宋体"/>
                <w:b/>
                <w:bCs/>
                <w:highlight w:val="none"/>
                <w:lang w:val="en-US" w:eastAsia="zh-CN"/>
              </w:rPr>
              <w:t>1日09：00</w:t>
            </w:r>
            <w:r>
              <w:rPr>
                <w:rFonts w:hint="eastAsia" w:ascii="宋体" w:hAnsi="宋体" w:cs="宋体"/>
                <w:b/>
                <w:bCs/>
                <w:highlight w:val="none"/>
              </w:rPr>
              <w:t>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val="en-US" w:eastAsia="zh-CN"/>
              </w:rPr>
            </w:pPr>
            <w:r>
              <w:rPr>
                <w:rFonts w:hint="eastAsia" w:ascii="宋体" w:hAnsi="宋体" w:cs="宋体"/>
                <w:highlight w:val="none"/>
                <w:lang w:val="en-US" w:eastAsia="zh-CN"/>
              </w:rPr>
              <w:t>21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递交投标文件地点</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山东大学第二医院办公楼五楼会议室（济南市天桥区北园大街</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r>
              <w:rPr>
                <w:rFonts w:hint="eastAsia" w:ascii="宋体" w:cs="宋体"/>
                <w:spacing w:val="6"/>
                <w:sz w:val="24"/>
                <w:highlight w:val="none"/>
                <w:lang w:eastAsia="zh-CN"/>
              </w:rPr>
              <w:t>（如有变动临时通知）</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val="en-US" w:eastAsia="zh-CN"/>
              </w:rPr>
            </w:pPr>
            <w:r>
              <w:rPr>
                <w:rFonts w:hint="eastAsia" w:ascii="宋体" w:hAnsi="宋体" w:cs="宋体"/>
                <w:highlight w:val="none"/>
                <w:lang w:val="en-US" w:eastAsia="zh-CN"/>
              </w:rPr>
              <w:t>22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评审方法</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hint="eastAsia" w:ascii="宋体" w:eastAsia="宋体" w:cs="宋体"/>
                <w:highlight w:val="none"/>
                <w:lang w:eastAsia="zh-CN"/>
              </w:rPr>
            </w:pPr>
            <w:r>
              <w:rPr>
                <w:rFonts w:ascii="宋体" w:hAnsi="宋体" w:cs="宋体"/>
                <w:highlight w:val="none"/>
              </w:rPr>
              <w:t>2</w:t>
            </w:r>
            <w:r>
              <w:rPr>
                <w:rFonts w:hint="eastAsia" w:ascii="宋体" w:hAnsi="宋体" w:cs="宋体"/>
                <w:highlight w:val="none"/>
                <w:lang w:val="en-US" w:eastAsia="zh-CN"/>
              </w:rPr>
              <w:t>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投标费用</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中标服务费：按国家计委计价格</w:t>
            </w:r>
            <w:r>
              <w:rPr>
                <w:rFonts w:ascii="宋体" w:hAnsi="宋体" w:cs="宋体"/>
                <w:color w:val="000000"/>
                <w:spacing w:val="7"/>
                <w:sz w:val="24"/>
                <w:highlight w:val="none"/>
                <w:lang w:eastAsia="zh-CN"/>
              </w:rPr>
              <w:t>[2002]1980</w:t>
            </w:r>
            <w:r>
              <w:rPr>
                <w:rFonts w:hint="eastAsia" w:ascii="宋体" w:hAnsi="宋体" w:cs="宋体"/>
                <w:color w:val="000000"/>
                <w:spacing w:val="7"/>
                <w:sz w:val="24"/>
                <w:highlight w:val="none"/>
                <w:lang w:eastAsia="zh-CN"/>
              </w:rPr>
              <w:t>号文收费标准下浮</w:t>
            </w:r>
            <w:r>
              <w:rPr>
                <w:rFonts w:ascii="宋体" w:hAnsi="宋体" w:cs="宋体"/>
                <w:color w:val="000000"/>
                <w:spacing w:val="7"/>
                <w:sz w:val="24"/>
                <w:highlight w:val="none"/>
                <w:lang w:val="en-US" w:eastAsia="zh-CN"/>
              </w:rPr>
              <w:t>30%</w:t>
            </w:r>
            <w:r>
              <w:rPr>
                <w:rFonts w:hint="eastAsia" w:ascii="宋体" w:hAnsi="宋体" w:cs="宋体"/>
                <w:color w:val="000000"/>
                <w:spacing w:val="7"/>
                <w:sz w:val="24"/>
                <w:highlight w:val="none"/>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5" w:name="_Toc12225"/>
      <w:bookmarkStart w:id="6" w:name="_Toc10957"/>
      <w:bookmarkStart w:id="7" w:name="_Toc16191"/>
      <w:r>
        <w:rPr>
          <w:rFonts w:hint="eastAsia" w:ascii="宋体" w:hAnsi="宋体"/>
          <w:b/>
          <w:sz w:val="28"/>
          <w:highlight w:val="none"/>
        </w:rPr>
        <w:t>一、说明</w:t>
      </w:r>
      <w:bookmarkEnd w:id="5"/>
      <w:bookmarkEnd w:id="6"/>
      <w:bookmarkEnd w:id="7"/>
    </w:p>
    <w:p>
      <w:pPr>
        <w:pStyle w:val="12"/>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2"/>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2"/>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2"/>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8" w:name="_Toc7693"/>
      <w:bookmarkStart w:id="9" w:name="_Toc32185"/>
      <w:bookmarkStart w:id="10" w:name="_Toc6481"/>
      <w:r>
        <w:rPr>
          <w:rFonts w:ascii="宋体" w:hAnsi="宋体"/>
          <w:b/>
          <w:sz w:val="24"/>
          <w:highlight w:val="none"/>
        </w:rPr>
        <w:t xml:space="preserve">3.  </w:t>
      </w:r>
      <w:r>
        <w:rPr>
          <w:rFonts w:hint="eastAsia" w:ascii="宋体" w:hAnsi="宋体"/>
          <w:b/>
          <w:sz w:val="24"/>
          <w:highlight w:val="none"/>
        </w:rPr>
        <w:t>合格投标人</w:t>
      </w:r>
      <w:bookmarkEnd w:id="8"/>
      <w:bookmarkEnd w:id="9"/>
      <w:bookmarkEnd w:id="10"/>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w:t>
      </w:r>
    </w:p>
    <w:p>
      <w:pPr>
        <w:pStyle w:val="12"/>
        <w:tabs>
          <w:tab w:val="left" w:pos="1146"/>
        </w:tabs>
        <w:spacing w:line="480" w:lineRule="exact"/>
        <w:ind w:left="197" w:leftChars="94" w:firstLine="360" w:firstLineChars="150"/>
        <w:rPr>
          <w:rFonts w:hint="eastAsia"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2"/>
        <w:tabs>
          <w:tab w:val="left" w:pos="1146"/>
        </w:tabs>
        <w:spacing w:line="480" w:lineRule="exact"/>
        <w:ind w:left="197" w:leftChars="94" w:firstLine="360" w:firstLineChars="150"/>
        <w:rPr>
          <w:rFonts w:hint="eastAsia" w:ascii="宋体"/>
          <w:sz w:val="24"/>
          <w:highlight w:val="none"/>
        </w:rPr>
      </w:pPr>
      <w:r>
        <w:rPr>
          <w:rFonts w:ascii="宋体"/>
          <w:sz w:val="24"/>
          <w:highlight w:val="none"/>
        </w:rPr>
        <w:t>3.1.7</w:t>
      </w:r>
      <w:r>
        <w:rPr>
          <w:rFonts w:hint="eastAsia" w:ascii="宋体" w:hAnsi="宋体" w:cs="宋体"/>
          <w:sz w:val="24"/>
          <w:highlight w:val="none"/>
        </w:rPr>
        <w:t>单位负责人为同一人或者存在直接控股、管理关系的不同投标人，不得参加同一合同项下的采购活动；</w:t>
      </w:r>
    </w:p>
    <w:p>
      <w:pPr>
        <w:pStyle w:val="12"/>
        <w:tabs>
          <w:tab w:val="left" w:pos="1146"/>
        </w:tabs>
        <w:spacing w:line="480" w:lineRule="exact"/>
        <w:ind w:left="197" w:leftChars="94" w:firstLine="360" w:firstLineChars="150"/>
        <w:rPr>
          <w:rFonts w:ascii="宋体"/>
          <w:sz w:val="24"/>
          <w:highlight w:val="none"/>
        </w:rPr>
      </w:pPr>
      <w:r>
        <w:rPr>
          <w:rFonts w:ascii="宋体"/>
          <w:color w:val="000000"/>
          <w:sz w:val="24"/>
          <w:highlight w:val="none"/>
        </w:rPr>
        <w:t>3.1.8</w:t>
      </w:r>
      <w:r>
        <w:rPr>
          <w:rFonts w:hint="eastAsia" w:ascii="宋体"/>
          <w:sz w:val="24"/>
          <w:highlight w:val="none"/>
        </w:rPr>
        <w:t>法律、行政法规规定的其他条件。</w:t>
      </w:r>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 xml:space="preserve">3.6 </w:t>
      </w:r>
      <w:r>
        <w:rPr>
          <w:rFonts w:hint="eastAsia" w:ascii="宋体" w:hAnsi="宋体"/>
          <w:bCs/>
          <w:sz w:val="24"/>
          <w:highlight w:val="none"/>
        </w:rPr>
        <w:t>本次招标不接受联合体投标；</w:t>
      </w:r>
    </w:p>
    <w:p>
      <w:pPr>
        <w:pStyle w:val="21"/>
        <w:tabs>
          <w:tab w:val="left" w:pos="1146"/>
        </w:tabs>
        <w:spacing w:line="480" w:lineRule="exact"/>
        <w:ind w:left="1144" w:leftChars="272" w:hanging="573" w:hangingChars="238"/>
        <w:outlineLvl w:val="0"/>
        <w:rPr>
          <w:rFonts w:ascii="宋体"/>
          <w:b/>
          <w:sz w:val="24"/>
          <w:highlight w:val="none"/>
        </w:rPr>
      </w:pPr>
      <w:bookmarkStart w:id="11" w:name="_Toc28524"/>
      <w:bookmarkStart w:id="12" w:name="_Toc9430"/>
      <w:bookmarkStart w:id="13" w:name="_Toc10338"/>
      <w:r>
        <w:rPr>
          <w:rFonts w:ascii="宋体" w:hAnsi="宋体"/>
          <w:b/>
          <w:sz w:val="24"/>
          <w:highlight w:val="none"/>
        </w:rPr>
        <w:t xml:space="preserve">4  </w:t>
      </w:r>
      <w:r>
        <w:rPr>
          <w:rFonts w:hint="eastAsia" w:ascii="宋体" w:hAnsi="宋体"/>
          <w:b/>
          <w:sz w:val="24"/>
          <w:highlight w:val="none"/>
        </w:rPr>
        <w:t>货物定义</w:t>
      </w:r>
      <w:bookmarkEnd w:id="11"/>
      <w:bookmarkEnd w:id="12"/>
      <w:bookmarkEnd w:id="13"/>
    </w:p>
    <w:p>
      <w:pPr>
        <w:pStyle w:val="21"/>
        <w:tabs>
          <w:tab w:val="left" w:pos="1146"/>
        </w:tabs>
        <w:spacing w:line="480" w:lineRule="exact"/>
        <w:ind w:left="128" w:leftChars="61" w:firstLine="480" w:firstLineChars="200"/>
        <w:outlineLvl w:val="0"/>
        <w:rPr>
          <w:rFonts w:ascii="宋体"/>
          <w:sz w:val="24"/>
          <w:highlight w:val="none"/>
        </w:rPr>
      </w:pPr>
      <w:bookmarkStart w:id="14" w:name="_Toc1705"/>
      <w:bookmarkStart w:id="15" w:name="_Toc979"/>
      <w:bookmarkStart w:id="16" w:name="_Toc13517"/>
      <w:r>
        <w:rPr>
          <w:rFonts w:ascii="宋体" w:hAnsi="宋体"/>
          <w:sz w:val="24"/>
          <w:highlight w:val="none"/>
        </w:rPr>
        <w:t xml:space="preserve">4.1 </w:t>
      </w:r>
      <w:r>
        <w:rPr>
          <w:rFonts w:hint="eastAsia" w:ascii="宋体" w:hAnsi="宋体"/>
          <w:sz w:val="24"/>
          <w:highlight w:val="none"/>
        </w:rPr>
        <w:t>“招标货物”指本招标文件中所述产品及相关服务。</w:t>
      </w:r>
      <w:bookmarkEnd w:id="14"/>
      <w:bookmarkEnd w:id="15"/>
      <w:bookmarkEnd w:id="16"/>
    </w:p>
    <w:p>
      <w:pPr>
        <w:pStyle w:val="21"/>
        <w:tabs>
          <w:tab w:val="left" w:pos="1146"/>
        </w:tabs>
        <w:spacing w:line="480" w:lineRule="exact"/>
        <w:ind w:left="128" w:leftChars="61" w:firstLine="480" w:firstLineChars="200"/>
        <w:outlineLvl w:val="0"/>
        <w:rPr>
          <w:rFonts w:ascii="宋体"/>
          <w:sz w:val="24"/>
          <w:highlight w:val="none"/>
        </w:rPr>
      </w:pPr>
      <w:bookmarkStart w:id="17" w:name="_Toc15995"/>
      <w:bookmarkStart w:id="18" w:name="_Toc13825"/>
      <w:bookmarkStart w:id="19" w:name="_Toc17993"/>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7"/>
      <w:bookmarkEnd w:id="18"/>
      <w:bookmarkEnd w:id="19"/>
    </w:p>
    <w:p>
      <w:pPr>
        <w:pStyle w:val="21"/>
        <w:tabs>
          <w:tab w:val="left" w:pos="955"/>
        </w:tabs>
        <w:spacing w:line="480" w:lineRule="exact"/>
        <w:ind w:left="571" w:leftChars="272" w:firstLine="2" w:firstLineChars="0"/>
        <w:outlineLvl w:val="0"/>
        <w:rPr>
          <w:rFonts w:ascii="宋体"/>
          <w:b/>
          <w:sz w:val="24"/>
          <w:highlight w:val="none"/>
        </w:rPr>
      </w:pPr>
      <w:bookmarkStart w:id="20" w:name="_Toc30324"/>
      <w:bookmarkStart w:id="21" w:name="_Toc6605"/>
      <w:bookmarkStart w:id="22" w:name="_Toc32728"/>
      <w:r>
        <w:rPr>
          <w:rFonts w:ascii="宋体" w:hAnsi="宋体"/>
          <w:b/>
          <w:sz w:val="24"/>
          <w:highlight w:val="none"/>
        </w:rPr>
        <w:t xml:space="preserve">5.  </w:t>
      </w:r>
      <w:r>
        <w:rPr>
          <w:rFonts w:hint="eastAsia" w:ascii="宋体" w:hAnsi="宋体"/>
          <w:b/>
          <w:sz w:val="24"/>
          <w:highlight w:val="none"/>
        </w:rPr>
        <w:t>投标费用</w:t>
      </w:r>
      <w:bookmarkEnd w:id="20"/>
      <w:bookmarkEnd w:id="21"/>
      <w:bookmarkEnd w:id="22"/>
    </w:p>
    <w:p>
      <w:pPr>
        <w:pStyle w:val="21"/>
        <w:spacing w:line="480" w:lineRule="exact"/>
        <w:ind w:left="48" w:leftChars="23" w:firstLine="480" w:firstLineChars="200"/>
        <w:outlineLvl w:val="0"/>
        <w:rPr>
          <w:rFonts w:ascii="宋体"/>
          <w:sz w:val="24"/>
          <w:highlight w:val="none"/>
        </w:rPr>
      </w:pPr>
      <w:bookmarkStart w:id="23" w:name="_Toc7414"/>
      <w:bookmarkStart w:id="24" w:name="_Toc8916"/>
      <w:bookmarkStart w:id="25" w:name="_Toc17097"/>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3"/>
      <w:bookmarkEnd w:id="24"/>
      <w:bookmarkEnd w:id="25"/>
    </w:p>
    <w:p>
      <w:pPr>
        <w:pStyle w:val="21"/>
        <w:spacing w:line="480" w:lineRule="exact"/>
        <w:ind w:left="48" w:leftChars="23" w:firstLine="480" w:firstLineChars="200"/>
        <w:outlineLvl w:val="0"/>
        <w:rPr>
          <w:rFonts w:ascii="宋体"/>
          <w:sz w:val="24"/>
          <w:highlight w:val="none"/>
        </w:rPr>
      </w:pPr>
      <w:bookmarkStart w:id="26"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6"/>
    </w:p>
    <w:p>
      <w:pPr>
        <w:pStyle w:val="21"/>
        <w:spacing w:line="480" w:lineRule="exact"/>
        <w:ind w:left="0" w:leftChars="0" w:firstLine="0" w:firstLineChars="0"/>
        <w:outlineLvl w:val="1"/>
        <w:rPr>
          <w:rFonts w:ascii="宋体"/>
          <w:b/>
          <w:sz w:val="28"/>
          <w:highlight w:val="none"/>
        </w:rPr>
      </w:pPr>
      <w:bookmarkStart w:id="27" w:name="_Toc7019"/>
      <w:bookmarkStart w:id="28" w:name="_Toc22107"/>
      <w:bookmarkStart w:id="29" w:name="_Toc8225"/>
      <w:r>
        <w:rPr>
          <w:rFonts w:hint="eastAsia" w:ascii="宋体" w:hAnsi="宋体"/>
          <w:b/>
          <w:sz w:val="28"/>
          <w:highlight w:val="none"/>
        </w:rPr>
        <w:t>二、招标文件</w:t>
      </w:r>
      <w:bookmarkEnd w:id="27"/>
      <w:bookmarkEnd w:id="28"/>
      <w:bookmarkEnd w:id="29"/>
    </w:p>
    <w:p>
      <w:pPr>
        <w:pStyle w:val="21"/>
        <w:spacing w:line="480" w:lineRule="exact"/>
        <w:ind w:left="569" w:leftChars="271" w:firstLine="2" w:firstLineChars="1"/>
        <w:outlineLvl w:val="0"/>
        <w:rPr>
          <w:rFonts w:ascii="宋体"/>
          <w:b/>
          <w:sz w:val="24"/>
          <w:highlight w:val="none"/>
        </w:rPr>
      </w:pPr>
      <w:bookmarkStart w:id="30" w:name="_Toc8798"/>
      <w:bookmarkStart w:id="31" w:name="_Toc31893"/>
      <w:bookmarkStart w:id="32" w:name="_Toc29387"/>
      <w:r>
        <w:rPr>
          <w:rFonts w:ascii="宋体" w:hAnsi="宋体"/>
          <w:b/>
          <w:sz w:val="24"/>
          <w:highlight w:val="none"/>
        </w:rPr>
        <w:t xml:space="preserve">6.  </w:t>
      </w:r>
      <w:r>
        <w:rPr>
          <w:rFonts w:hint="eastAsia" w:ascii="宋体" w:hAnsi="宋体"/>
          <w:b/>
          <w:sz w:val="24"/>
          <w:highlight w:val="none"/>
        </w:rPr>
        <w:t>招标文件构成</w:t>
      </w:r>
      <w:bookmarkEnd w:id="30"/>
      <w:bookmarkEnd w:id="31"/>
      <w:bookmarkEnd w:id="32"/>
    </w:p>
    <w:p>
      <w:pPr>
        <w:pStyle w:val="21"/>
        <w:spacing w:line="480" w:lineRule="exact"/>
        <w:ind w:left="197" w:leftChars="94" w:firstLine="360" w:firstLineChars="150"/>
        <w:outlineLvl w:val="0"/>
        <w:rPr>
          <w:rFonts w:ascii="宋体"/>
          <w:sz w:val="24"/>
          <w:highlight w:val="none"/>
        </w:rPr>
      </w:pPr>
      <w:bookmarkStart w:id="33" w:name="_Toc22244"/>
      <w:bookmarkStart w:id="34" w:name="_Toc27616"/>
      <w:bookmarkStart w:id="35" w:name="_Toc29308"/>
      <w:r>
        <w:rPr>
          <w:rFonts w:hint="eastAsia" w:ascii="宋体" w:hAnsi="宋体"/>
          <w:sz w:val="24"/>
          <w:highlight w:val="none"/>
        </w:rPr>
        <w:t>本招标文件共分五部分，内容如下：</w:t>
      </w:r>
      <w:bookmarkEnd w:id="33"/>
      <w:bookmarkEnd w:id="34"/>
      <w:bookmarkEnd w:id="35"/>
    </w:p>
    <w:p>
      <w:pPr>
        <w:pStyle w:val="21"/>
        <w:spacing w:line="480" w:lineRule="exact"/>
        <w:ind w:left="199" w:leftChars="95" w:firstLine="840" w:firstLineChars="350"/>
        <w:outlineLvl w:val="0"/>
        <w:rPr>
          <w:rFonts w:ascii="宋体"/>
          <w:sz w:val="24"/>
          <w:highlight w:val="none"/>
        </w:rPr>
      </w:pPr>
      <w:bookmarkStart w:id="36" w:name="_Toc22328"/>
      <w:bookmarkStart w:id="37" w:name="_Toc24847"/>
      <w:bookmarkStart w:id="38" w:name="_Toc22769"/>
      <w:r>
        <w:rPr>
          <w:rFonts w:hint="eastAsia" w:ascii="宋体" w:hAnsi="宋体"/>
          <w:sz w:val="24"/>
          <w:highlight w:val="none"/>
        </w:rPr>
        <w:t>第一部分招标公告</w:t>
      </w:r>
      <w:bookmarkEnd w:id="36"/>
      <w:bookmarkEnd w:id="37"/>
      <w:bookmarkEnd w:id="38"/>
    </w:p>
    <w:p>
      <w:pPr>
        <w:pStyle w:val="21"/>
        <w:spacing w:line="480" w:lineRule="exact"/>
        <w:ind w:left="199" w:leftChars="95" w:firstLine="840" w:firstLineChars="350"/>
        <w:outlineLvl w:val="0"/>
        <w:rPr>
          <w:rFonts w:ascii="宋体"/>
          <w:sz w:val="24"/>
          <w:highlight w:val="none"/>
        </w:rPr>
      </w:pPr>
      <w:bookmarkStart w:id="39" w:name="_Toc30737"/>
      <w:bookmarkStart w:id="40" w:name="_Toc21707"/>
      <w:bookmarkStart w:id="41" w:name="_Toc3662"/>
      <w:r>
        <w:rPr>
          <w:rFonts w:hint="eastAsia" w:ascii="宋体" w:hAnsi="宋体"/>
          <w:sz w:val="24"/>
          <w:highlight w:val="none"/>
        </w:rPr>
        <w:t>第二部分投标人须知</w:t>
      </w:r>
      <w:bookmarkEnd w:id="39"/>
      <w:bookmarkEnd w:id="40"/>
      <w:bookmarkEnd w:id="41"/>
    </w:p>
    <w:p>
      <w:pPr>
        <w:pStyle w:val="21"/>
        <w:spacing w:line="480" w:lineRule="exact"/>
        <w:ind w:left="199" w:leftChars="95" w:firstLine="840" w:firstLineChars="350"/>
        <w:outlineLvl w:val="0"/>
        <w:rPr>
          <w:rFonts w:ascii="宋体"/>
          <w:sz w:val="24"/>
          <w:highlight w:val="none"/>
        </w:rPr>
      </w:pPr>
      <w:bookmarkStart w:id="42" w:name="_Toc5592"/>
      <w:bookmarkStart w:id="43" w:name="_Toc6061"/>
      <w:bookmarkStart w:id="44" w:name="_Toc25164"/>
      <w:r>
        <w:rPr>
          <w:rFonts w:hint="eastAsia" w:ascii="宋体" w:hAnsi="宋体"/>
          <w:sz w:val="24"/>
          <w:highlight w:val="none"/>
        </w:rPr>
        <w:t>第三部分招标要求</w:t>
      </w:r>
      <w:bookmarkEnd w:id="42"/>
      <w:bookmarkEnd w:id="43"/>
      <w:bookmarkEnd w:id="44"/>
    </w:p>
    <w:p>
      <w:pPr>
        <w:pStyle w:val="21"/>
        <w:spacing w:line="480" w:lineRule="exact"/>
        <w:ind w:left="199" w:leftChars="95" w:firstLine="840" w:firstLineChars="350"/>
        <w:outlineLvl w:val="0"/>
        <w:rPr>
          <w:rFonts w:ascii="宋体"/>
          <w:sz w:val="24"/>
          <w:highlight w:val="none"/>
        </w:rPr>
      </w:pPr>
      <w:bookmarkStart w:id="45" w:name="_Toc26235"/>
      <w:bookmarkStart w:id="46" w:name="_Toc27874"/>
      <w:bookmarkStart w:id="47" w:name="_Toc8921"/>
      <w:r>
        <w:rPr>
          <w:rFonts w:hint="eastAsia" w:ascii="宋体" w:hAnsi="宋体"/>
          <w:sz w:val="24"/>
          <w:highlight w:val="none"/>
        </w:rPr>
        <w:t>第四部分合同条款及格式</w:t>
      </w:r>
      <w:bookmarkEnd w:id="45"/>
      <w:bookmarkEnd w:id="46"/>
      <w:bookmarkEnd w:id="47"/>
    </w:p>
    <w:p>
      <w:pPr>
        <w:pStyle w:val="21"/>
        <w:spacing w:line="480" w:lineRule="exact"/>
        <w:ind w:left="199" w:leftChars="95" w:firstLine="840" w:firstLineChars="350"/>
        <w:outlineLvl w:val="0"/>
        <w:rPr>
          <w:rFonts w:ascii="宋体"/>
          <w:sz w:val="24"/>
          <w:highlight w:val="none"/>
        </w:rPr>
      </w:pPr>
      <w:bookmarkStart w:id="48" w:name="_Toc24995"/>
      <w:bookmarkStart w:id="49" w:name="_Toc23721"/>
      <w:bookmarkStart w:id="50" w:name="_Toc1085"/>
      <w:r>
        <w:rPr>
          <w:rFonts w:hint="eastAsia" w:ascii="宋体" w:hAnsi="宋体"/>
          <w:sz w:val="24"/>
          <w:highlight w:val="none"/>
        </w:rPr>
        <w:t>第五部分附件</w:t>
      </w:r>
      <w:bookmarkEnd w:id="48"/>
      <w:bookmarkEnd w:id="49"/>
      <w:bookmarkEnd w:id="50"/>
    </w:p>
    <w:p>
      <w:pPr>
        <w:pStyle w:val="21"/>
        <w:spacing w:line="480" w:lineRule="exact"/>
        <w:ind w:left="197" w:leftChars="94" w:firstLine="376" w:firstLineChars="156"/>
        <w:outlineLvl w:val="0"/>
        <w:rPr>
          <w:rFonts w:ascii="宋体"/>
          <w:b/>
          <w:sz w:val="24"/>
          <w:highlight w:val="none"/>
        </w:rPr>
      </w:pPr>
      <w:bookmarkStart w:id="51" w:name="_Toc31858"/>
      <w:bookmarkStart w:id="52" w:name="_Toc27057"/>
      <w:bookmarkStart w:id="53" w:name="_Toc4919"/>
      <w:r>
        <w:rPr>
          <w:rFonts w:ascii="宋体" w:hAnsi="宋体"/>
          <w:b/>
          <w:sz w:val="24"/>
          <w:highlight w:val="none"/>
        </w:rPr>
        <w:t xml:space="preserve">7.  </w:t>
      </w:r>
      <w:r>
        <w:rPr>
          <w:rFonts w:hint="eastAsia" w:ascii="宋体" w:hAnsi="宋体"/>
          <w:b/>
          <w:sz w:val="24"/>
          <w:highlight w:val="none"/>
        </w:rPr>
        <w:t>招标文件澄清和修改</w:t>
      </w:r>
      <w:bookmarkEnd w:id="51"/>
      <w:bookmarkEnd w:id="52"/>
      <w:bookmarkEnd w:id="53"/>
    </w:p>
    <w:p>
      <w:pPr>
        <w:pStyle w:val="21"/>
        <w:spacing w:line="480" w:lineRule="exact"/>
        <w:ind w:left="286" w:leftChars="136" w:firstLine="480" w:firstLineChars="200"/>
        <w:outlineLvl w:val="0"/>
        <w:rPr>
          <w:rFonts w:ascii="宋体"/>
          <w:sz w:val="24"/>
          <w:highlight w:val="none"/>
        </w:rPr>
      </w:pPr>
      <w:bookmarkStart w:id="54" w:name="_Toc14329"/>
      <w:bookmarkStart w:id="55" w:name="_Toc15456"/>
      <w:bookmarkStart w:id="56" w:name="_Toc32322"/>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4"/>
      <w:bookmarkEnd w:id="55"/>
      <w:bookmarkEnd w:id="56"/>
    </w:p>
    <w:p>
      <w:pPr>
        <w:pStyle w:val="21"/>
        <w:spacing w:line="480" w:lineRule="exact"/>
        <w:ind w:left="286" w:leftChars="136" w:firstLine="480" w:firstLineChars="200"/>
        <w:outlineLvl w:val="0"/>
        <w:rPr>
          <w:rFonts w:ascii="宋体"/>
          <w:sz w:val="24"/>
          <w:highlight w:val="none"/>
        </w:rPr>
      </w:pPr>
      <w:bookmarkStart w:id="57" w:name="_Toc7023"/>
      <w:bookmarkStart w:id="58" w:name="_Toc2503"/>
      <w:bookmarkStart w:id="59" w:name="_Toc3003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7"/>
      <w:bookmarkEnd w:id="58"/>
      <w:bookmarkEnd w:id="59"/>
    </w:p>
    <w:p>
      <w:pPr>
        <w:pStyle w:val="21"/>
        <w:spacing w:line="480" w:lineRule="exact"/>
        <w:ind w:left="286" w:leftChars="136" w:firstLine="480" w:firstLineChars="200"/>
        <w:outlineLvl w:val="0"/>
        <w:rPr>
          <w:rFonts w:ascii="宋体"/>
          <w:sz w:val="24"/>
          <w:highlight w:val="none"/>
        </w:rPr>
      </w:pPr>
      <w:bookmarkStart w:id="60" w:name="_Toc27548"/>
      <w:bookmarkStart w:id="61" w:name="_Toc6239"/>
      <w:bookmarkStart w:id="62" w:name="_Toc23881"/>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60"/>
      <w:bookmarkEnd w:id="61"/>
      <w:bookmarkEnd w:id="62"/>
    </w:p>
    <w:p>
      <w:pPr>
        <w:pStyle w:val="21"/>
        <w:spacing w:line="480" w:lineRule="exact"/>
        <w:ind w:left="286" w:leftChars="136" w:firstLine="480" w:firstLineChars="200"/>
        <w:outlineLvl w:val="0"/>
        <w:rPr>
          <w:rFonts w:hint="eastAsia" w:ascii="宋体" w:hAnsi="宋体"/>
          <w:sz w:val="24"/>
          <w:highlight w:val="none"/>
        </w:rPr>
      </w:pPr>
      <w:bookmarkStart w:id="63" w:name="_Toc17449"/>
      <w:bookmarkStart w:id="64" w:name="_Toc17859"/>
      <w:bookmarkStart w:id="65" w:name="_Toc6905"/>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3"/>
      <w:bookmarkEnd w:id="64"/>
      <w:bookmarkEnd w:id="65"/>
    </w:p>
    <w:p>
      <w:pPr>
        <w:pStyle w:val="12"/>
        <w:tabs>
          <w:tab w:val="left" w:pos="1146"/>
        </w:tabs>
        <w:spacing w:line="480" w:lineRule="exact"/>
        <w:ind w:left="197" w:leftChars="94" w:firstLine="360" w:firstLineChars="150"/>
        <w:rPr>
          <w:rFonts w:ascii="宋体"/>
          <w:bCs/>
          <w:color w:val="000000"/>
          <w:sz w:val="24"/>
          <w:highlight w:val="none"/>
        </w:rPr>
      </w:pPr>
      <w:r>
        <w:rPr>
          <w:rFonts w:hint="eastAsia" w:ascii="宋体"/>
          <w:bCs/>
          <w:color w:val="000000"/>
          <w:sz w:val="24"/>
          <w:highlight w:val="none"/>
        </w:rPr>
        <w:t>7.5因登记有误或其它意外情形，导致所发出的通知延迟送达或无法到投标人，采购代理不因此承担任何责任，有关的招标活动可以继续效地进行。</w:t>
      </w:r>
    </w:p>
    <w:p>
      <w:pPr>
        <w:pStyle w:val="21"/>
        <w:spacing w:line="480" w:lineRule="exact"/>
        <w:ind w:left="286" w:leftChars="136" w:firstLine="480" w:firstLineChars="200"/>
        <w:outlineLvl w:val="0"/>
        <w:rPr>
          <w:rFonts w:hint="eastAsia" w:ascii="宋体" w:hAnsi="宋体"/>
          <w:sz w:val="24"/>
          <w:highlight w:val="none"/>
        </w:rPr>
      </w:pPr>
    </w:p>
    <w:p>
      <w:pPr>
        <w:pStyle w:val="21"/>
        <w:spacing w:line="480" w:lineRule="exact"/>
        <w:ind w:left="0" w:leftChars="0" w:firstLine="0" w:firstLineChars="0"/>
        <w:outlineLvl w:val="1"/>
        <w:rPr>
          <w:rFonts w:ascii="宋体"/>
          <w:b/>
          <w:sz w:val="28"/>
          <w:highlight w:val="none"/>
        </w:rPr>
      </w:pPr>
      <w:bookmarkStart w:id="66" w:name="_Toc13670"/>
      <w:bookmarkStart w:id="67" w:name="_Toc20316"/>
      <w:bookmarkStart w:id="68" w:name="_Toc21443"/>
      <w:r>
        <w:rPr>
          <w:rFonts w:hint="eastAsia" w:ascii="宋体" w:hAnsi="宋体"/>
          <w:b/>
          <w:sz w:val="28"/>
          <w:highlight w:val="none"/>
        </w:rPr>
        <w:t>三、投标文件编制</w:t>
      </w:r>
      <w:bookmarkEnd w:id="66"/>
      <w:bookmarkEnd w:id="67"/>
      <w:bookmarkEnd w:id="68"/>
    </w:p>
    <w:p>
      <w:pPr>
        <w:pStyle w:val="19"/>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19"/>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19"/>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19"/>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19"/>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2"/>
        <w:spacing w:line="480" w:lineRule="exact"/>
        <w:ind w:left="197" w:leftChars="94" w:firstLine="720" w:firstLineChars="300"/>
        <w:rPr>
          <w:rFonts w:asci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9"/>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2"/>
        <w:spacing w:line="480" w:lineRule="exact"/>
        <w:ind w:left="197" w:leftChars="94" w:firstLine="360" w:firstLineChars="150"/>
        <w:rPr>
          <w:rFonts w:ascii="宋体" w:cs="宋体"/>
          <w:kern w:val="0"/>
          <w:sz w:val="24"/>
          <w:highlight w:val="none"/>
        </w:rPr>
      </w:pPr>
      <w:r>
        <w:rPr>
          <w:rFonts w:ascii="宋体" w:hAnsi="宋体"/>
          <w:sz w:val="24"/>
          <w:highlight w:val="none"/>
        </w:rPr>
        <w:t>3</w:t>
      </w:r>
      <w:r>
        <w:rPr>
          <w:rFonts w:hint="eastAsia" w:ascii="宋体" w:hAnsi="宋体"/>
          <w:sz w:val="24"/>
          <w:highlight w:val="none"/>
        </w:rPr>
        <w:t>）近三年无不良信誉证明，“信用中国”网站（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w:t>
      </w:r>
      <w:r>
        <w:rPr>
          <w:rFonts w:hint="eastAsia" w:ascii="宋体" w:hAnsi="宋体"/>
          <w:sz w:val="24"/>
          <w:highlight w:val="none"/>
          <w:lang w:eastAsia="zh-CN"/>
        </w:rPr>
        <w:t>八</w:t>
      </w:r>
      <w:r>
        <w:rPr>
          <w:rFonts w:hint="eastAsia" w:ascii="宋体" w:hAnsi="宋体"/>
          <w:sz w:val="24"/>
          <w:highlight w:val="none"/>
        </w:rPr>
        <w:t>的格式</w:t>
      </w:r>
      <w:r>
        <w:rPr>
          <w:rFonts w:ascii="宋体" w:hAnsi="宋体"/>
          <w:sz w:val="24"/>
          <w:highlight w:val="none"/>
        </w:rPr>
        <w:t>1</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cs="宋体"/>
          <w:kern w:val="0"/>
          <w:sz w:val="24"/>
          <w:highlight w:val="none"/>
        </w:rPr>
        <w:t>4</w:t>
      </w:r>
      <w:r>
        <w:rPr>
          <w:rFonts w:hint="eastAsia" w:ascii="宋体" w:hAnsi="宋体" w:cs="宋体"/>
          <w:kern w:val="0"/>
          <w:sz w:val="24"/>
          <w:highlight w:val="none"/>
        </w:rPr>
        <w:t>）</w:t>
      </w:r>
      <w:r>
        <w:rPr>
          <w:rFonts w:ascii="宋体" w:hAnsi="宋体"/>
          <w:sz w:val="24"/>
          <w:highlight w:val="none"/>
        </w:rPr>
        <w:t>201</w:t>
      </w:r>
      <w:r>
        <w:rPr>
          <w:rFonts w:hint="eastAsia" w:ascii="宋体" w:hAnsi="宋体"/>
          <w:sz w:val="24"/>
          <w:highlight w:val="none"/>
          <w:lang w:val="en-US" w:eastAsia="zh-CN"/>
        </w:rPr>
        <w:t>8</w:t>
      </w:r>
      <w:r>
        <w:rPr>
          <w:rFonts w:hint="eastAsia" w:ascii="宋体" w:hAnsi="宋体"/>
          <w:sz w:val="24"/>
          <w:highlight w:val="none"/>
        </w:rPr>
        <w:t>年</w:t>
      </w:r>
      <w:r>
        <w:rPr>
          <w:rFonts w:hint="eastAsia" w:ascii="宋体" w:hAnsi="宋体"/>
          <w:sz w:val="24"/>
          <w:highlight w:val="none"/>
          <w:lang w:eastAsia="zh-CN"/>
        </w:rPr>
        <w:t>度</w:t>
      </w:r>
      <w:r>
        <w:rPr>
          <w:rFonts w:hint="eastAsia" w:ascii="宋体" w:hAnsi="宋体"/>
          <w:sz w:val="24"/>
          <w:highlight w:val="none"/>
        </w:rPr>
        <w:t>财务状况报告（附件</w:t>
      </w:r>
      <w:r>
        <w:rPr>
          <w:rFonts w:hint="eastAsia" w:ascii="宋体" w:hAnsi="宋体"/>
          <w:sz w:val="24"/>
          <w:highlight w:val="none"/>
          <w:lang w:eastAsia="zh-CN"/>
        </w:rPr>
        <w:t>八</w:t>
      </w:r>
      <w:r>
        <w:rPr>
          <w:rFonts w:hint="eastAsia" w:ascii="宋体" w:hAnsi="宋体"/>
          <w:sz w:val="24"/>
          <w:highlight w:val="none"/>
        </w:rPr>
        <w:t>的格式</w:t>
      </w:r>
      <w:r>
        <w:rPr>
          <w:rFonts w:ascii="宋体" w:hAnsi="宋体"/>
          <w:sz w:val="24"/>
          <w:highlight w:val="none"/>
        </w:rPr>
        <w:t>2</w:t>
      </w:r>
      <w:r>
        <w:rPr>
          <w:rFonts w:hint="eastAsia" w:ascii="宋体" w:hAnsi="宋体"/>
          <w:sz w:val="24"/>
          <w:highlight w:val="none"/>
        </w:rPr>
        <w:t>）及依法缴纳税收和社会保障资金的相关材料，（附件</w:t>
      </w:r>
      <w:r>
        <w:rPr>
          <w:rFonts w:hint="eastAsia" w:ascii="宋体" w:hAnsi="宋体"/>
          <w:sz w:val="24"/>
          <w:highlight w:val="none"/>
          <w:lang w:eastAsia="zh-CN"/>
        </w:rPr>
        <w:t>八</w:t>
      </w:r>
      <w:r>
        <w:rPr>
          <w:rFonts w:hint="eastAsia" w:ascii="宋体" w:hAnsi="宋体"/>
          <w:sz w:val="24"/>
          <w:highlight w:val="none"/>
        </w:rPr>
        <w:t>的格式</w:t>
      </w:r>
      <w:r>
        <w:rPr>
          <w:rFonts w:ascii="宋体" w:hAnsi="宋体"/>
          <w:sz w:val="24"/>
          <w:highlight w:val="none"/>
        </w:rPr>
        <w:t>3</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hint="eastAsia" w:ascii="宋体" w:hAnsi="宋体"/>
          <w:sz w:val="24"/>
          <w:highlight w:val="none"/>
        </w:rPr>
      </w:pPr>
      <w:r>
        <w:rPr>
          <w:rFonts w:ascii="宋体" w:hAnsi="宋体"/>
          <w:sz w:val="24"/>
          <w:highlight w:val="none"/>
        </w:rPr>
        <w:t>5</w:t>
      </w:r>
      <w:r>
        <w:rPr>
          <w:rFonts w:hint="eastAsia" w:ascii="宋体" w:hAnsi="宋体"/>
          <w:sz w:val="24"/>
          <w:highlight w:val="none"/>
        </w:rPr>
        <w:t>）具备履行合同所必需的设备和专业技术能力的证明材料（附件</w:t>
      </w:r>
      <w:r>
        <w:rPr>
          <w:rFonts w:hint="eastAsia" w:ascii="宋体" w:hAnsi="宋体"/>
          <w:sz w:val="24"/>
          <w:highlight w:val="none"/>
          <w:lang w:eastAsia="zh-CN"/>
        </w:rPr>
        <w:t>八</w:t>
      </w:r>
      <w:r>
        <w:rPr>
          <w:rFonts w:hint="eastAsia" w:ascii="宋体" w:hAnsi="宋体"/>
          <w:sz w:val="24"/>
          <w:highlight w:val="none"/>
        </w:rPr>
        <w:t>的格式</w:t>
      </w:r>
      <w:r>
        <w:rPr>
          <w:rFonts w:ascii="宋体" w:hAnsi="宋体"/>
          <w:sz w:val="24"/>
          <w:highlight w:val="none"/>
        </w:rPr>
        <w:t>4</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6</w:t>
      </w:r>
      <w:r>
        <w:rPr>
          <w:rFonts w:hint="eastAsia" w:ascii="宋体" w:hAnsi="宋体"/>
          <w:sz w:val="24"/>
          <w:highlight w:val="none"/>
        </w:rPr>
        <w:t>）投标人为小型和微型企业的，须提供企业所在地的县级以上中小企业主管部门出具的证明文件、《小微企业声明函》（附件</w:t>
      </w:r>
      <w:r>
        <w:rPr>
          <w:rFonts w:hint="eastAsia" w:ascii="宋体" w:hAnsi="宋体"/>
          <w:sz w:val="24"/>
          <w:highlight w:val="none"/>
          <w:lang w:eastAsia="zh-CN"/>
        </w:rPr>
        <w:t>八</w:t>
      </w:r>
      <w:r>
        <w:rPr>
          <w:rFonts w:hint="eastAsia" w:ascii="宋体" w:hAnsi="宋体"/>
          <w:sz w:val="24"/>
          <w:highlight w:val="none"/>
        </w:rPr>
        <w:t>的格式</w:t>
      </w:r>
      <w:r>
        <w:rPr>
          <w:rFonts w:ascii="宋体" w:hAnsi="宋体"/>
          <w:sz w:val="24"/>
          <w:highlight w:val="none"/>
        </w:rPr>
        <w:t>5</w:t>
      </w:r>
      <w:r>
        <w:rPr>
          <w:rFonts w:hint="eastAsia" w:ascii="宋体" w:hAnsi="宋体"/>
          <w:sz w:val="24"/>
          <w:highlight w:val="none"/>
        </w:rPr>
        <w:t>）、《从业人员声明函》（附件</w:t>
      </w:r>
      <w:r>
        <w:rPr>
          <w:rFonts w:hint="eastAsia" w:ascii="宋体" w:hAnsi="宋体"/>
          <w:sz w:val="24"/>
          <w:highlight w:val="none"/>
          <w:lang w:eastAsia="zh-CN"/>
        </w:rPr>
        <w:t>八</w:t>
      </w:r>
      <w:r>
        <w:rPr>
          <w:rFonts w:hint="eastAsia" w:ascii="宋体" w:hAnsi="宋体"/>
          <w:sz w:val="24"/>
          <w:highlight w:val="none"/>
        </w:rPr>
        <w:t>的格式</w:t>
      </w:r>
      <w:r>
        <w:rPr>
          <w:rFonts w:ascii="宋体" w:hAnsi="宋体"/>
          <w:sz w:val="24"/>
          <w:highlight w:val="none"/>
        </w:rPr>
        <w:t>6</w:t>
      </w:r>
      <w:r>
        <w:rPr>
          <w:rFonts w:hint="eastAsia" w:ascii="宋体" w:hAnsi="宋体"/>
          <w:sz w:val="24"/>
          <w:highlight w:val="none"/>
        </w:rPr>
        <w:t>）原件及复印件（如果有）；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）投标人为监狱企业的，须提供省级以上监狱管理局、戒毒管理局（含新疆生产建设兵团）出具的属于监狱企业的证明文件原件（如果有）</w:t>
      </w:r>
      <w:r>
        <w:rPr>
          <w:rFonts w:hint="eastAsia" w:ascii="宋体" w:hAnsi="宋体"/>
          <w:sz w:val="24"/>
          <w:highlight w:val="none"/>
          <w:lang w:eastAsia="zh-CN"/>
        </w:rPr>
        <w:t>；</w:t>
      </w:r>
    </w:p>
    <w:p>
      <w:pPr>
        <w:pStyle w:val="12"/>
        <w:spacing w:line="480" w:lineRule="exact"/>
        <w:ind w:left="197" w:leftChars="94" w:firstLine="360" w:firstLineChars="150"/>
        <w:rPr>
          <w:rFonts w:hint="eastAsia" w:ascii="宋体" w:hAnsi="宋体"/>
          <w:sz w:val="24"/>
          <w:highlight w:val="none"/>
        </w:rPr>
      </w:pPr>
      <w:r>
        <w:rPr>
          <w:rFonts w:ascii="宋体" w:hAnsi="宋体"/>
          <w:sz w:val="24"/>
          <w:highlight w:val="none"/>
        </w:rPr>
        <w:t>8</w:t>
      </w:r>
      <w:r>
        <w:rPr>
          <w:rFonts w:hint="eastAsia" w:ascii="宋体" w:hAnsi="宋体"/>
          <w:sz w:val="24"/>
          <w:highlight w:val="none"/>
        </w:rPr>
        <w:t>）节能或环保产品证明（如果有）；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9</w:t>
      </w:r>
      <w:r>
        <w:rPr>
          <w:rFonts w:hint="eastAsia" w:ascii="宋体" w:hAnsi="宋体"/>
          <w:sz w:val="24"/>
          <w:highlight w:val="none"/>
        </w:rPr>
        <w:t>）投标人认为需要提交的其他文件。</w:t>
      </w:r>
    </w:p>
    <w:p>
      <w:pPr>
        <w:pStyle w:val="12"/>
        <w:spacing w:line="480" w:lineRule="exact"/>
        <w:ind w:left="197" w:leftChars="94" w:firstLine="361" w:firstLineChars="150"/>
        <w:rPr>
          <w:rFonts w:hint="eastAsia" w:ascii="宋体" w:hAns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2"/>
        <w:spacing w:line="480" w:lineRule="exact"/>
        <w:ind w:left="197" w:leftChars="94" w:firstLine="360" w:firstLineChars="150"/>
        <w:rPr>
          <w:rFonts w:ascii="宋体"/>
          <w:color w:val="000000"/>
          <w:sz w:val="24"/>
          <w:highlight w:val="none"/>
        </w:rPr>
      </w:pPr>
      <w:r>
        <w:rPr>
          <w:rFonts w:hint="eastAsia" w:ascii="宋体"/>
          <w:color w:val="000000"/>
          <w:sz w:val="24"/>
          <w:highlight w:val="none"/>
          <w:lang w:val="en-US" w:eastAsia="zh-CN"/>
        </w:rPr>
        <w:t xml:space="preserve">9.4 </w:t>
      </w:r>
      <w:r>
        <w:rPr>
          <w:rFonts w:hint="eastAsia" w:ascii="宋体"/>
          <w:color w:val="000000"/>
          <w:sz w:val="24"/>
          <w:highlight w:val="none"/>
        </w:rPr>
        <w:t>其它证明文件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1）近三年类似业绩一览表及合同复印件；</w:t>
      </w:r>
    </w:p>
    <w:p>
      <w:pPr>
        <w:pStyle w:val="12"/>
        <w:spacing w:line="480" w:lineRule="exact"/>
        <w:ind w:left="197" w:leftChars="94" w:firstLine="360" w:firstLineChars="150"/>
        <w:rPr>
          <w:rFonts w:ascii="宋体" w:hAnsi="宋体"/>
          <w:color w:val="000000"/>
          <w:sz w:val="24"/>
          <w:highlight w:val="none"/>
        </w:rPr>
      </w:pPr>
      <w:r>
        <w:rPr>
          <w:rFonts w:hint="eastAsia" w:ascii="宋体" w:hAnsi="宋体"/>
          <w:color w:val="000000"/>
          <w:sz w:val="24"/>
          <w:highlight w:val="none"/>
        </w:rPr>
        <w:t>2）相关软件自主知识产权证书复印件；</w:t>
      </w:r>
    </w:p>
    <w:p>
      <w:pPr>
        <w:pStyle w:val="12"/>
        <w:spacing w:line="480" w:lineRule="exact"/>
        <w:ind w:left="197" w:leftChars="94" w:firstLine="360" w:firstLineChars="150"/>
        <w:rPr>
          <w:rFonts w:hint="eastAsia" w:ascii="宋体" w:hAnsi="宋体"/>
          <w:b/>
          <w:sz w:val="24"/>
          <w:highlight w:val="none"/>
        </w:rPr>
      </w:pPr>
      <w:r>
        <w:rPr>
          <w:rFonts w:hint="eastAsia" w:ascii="宋体" w:hAnsi="宋体"/>
          <w:color w:val="000000"/>
          <w:sz w:val="24"/>
          <w:highlight w:val="none"/>
        </w:rPr>
        <w:t>3）投标人认为需要提交的其他文件。</w:t>
      </w:r>
    </w:p>
    <w:p>
      <w:pPr>
        <w:pStyle w:val="12"/>
        <w:tabs>
          <w:tab w:val="left" w:pos="382"/>
        </w:tabs>
        <w:spacing w:line="480" w:lineRule="exact"/>
        <w:ind w:left="197" w:leftChars="94" w:firstLine="360" w:firstLineChars="150"/>
        <w:rPr>
          <w:rFonts w:hint="eastAsia" w:ascii="宋体" w:hAnsi="宋体"/>
          <w:sz w:val="24"/>
          <w:highlight w:val="none"/>
        </w:rPr>
      </w:pPr>
      <w:r>
        <w:rPr>
          <w:rFonts w:ascii="宋体" w:hAnsi="宋体"/>
          <w:sz w:val="24"/>
          <w:highlight w:val="none"/>
        </w:rPr>
        <w:t>9.</w:t>
      </w:r>
      <w:r>
        <w:rPr>
          <w:rFonts w:hint="eastAsia" w:ascii="宋体" w:hAnsi="宋体"/>
          <w:sz w:val="24"/>
          <w:highlight w:val="none"/>
          <w:lang w:val="en-US" w:eastAsia="zh-CN"/>
        </w:rPr>
        <w:t>5</w:t>
      </w:r>
      <w:r>
        <w:rPr>
          <w:rFonts w:ascii="宋体" w:hAnsi="宋体"/>
          <w:sz w:val="24"/>
          <w:highlight w:val="none"/>
        </w:rPr>
        <w:t xml:space="preserve">  </w:t>
      </w:r>
      <w:r>
        <w:rPr>
          <w:rFonts w:hint="eastAsia" w:ascii="宋体" w:hAnsi="宋体"/>
          <w:sz w:val="24"/>
          <w:highlight w:val="none"/>
        </w:rPr>
        <w:t>技术文件</w:t>
      </w:r>
    </w:p>
    <w:p>
      <w:pPr>
        <w:pStyle w:val="12"/>
        <w:tabs>
          <w:tab w:val="left" w:pos="382"/>
        </w:tabs>
        <w:spacing w:line="480" w:lineRule="exact"/>
        <w:ind w:left="197" w:leftChars="94" w:firstLine="360" w:firstLineChars="150"/>
        <w:rPr>
          <w:rFonts w:hint="eastAsia" w:ascii="宋体" w:hAnsi="宋体"/>
          <w:color w:val="000000"/>
          <w:sz w:val="24"/>
          <w:highlight w:val="none"/>
        </w:rPr>
      </w:pPr>
      <w:r>
        <w:rPr>
          <w:rFonts w:hint="eastAsia" w:ascii="宋体" w:hAnsi="宋体"/>
          <w:color w:val="000000"/>
          <w:sz w:val="24"/>
          <w:highlight w:val="none"/>
        </w:rPr>
        <w:t>9.</w:t>
      </w:r>
      <w:r>
        <w:rPr>
          <w:rFonts w:hint="eastAsia" w:ascii="宋体" w:hAnsi="宋体"/>
          <w:color w:val="000000"/>
          <w:sz w:val="24"/>
          <w:highlight w:val="none"/>
          <w:lang w:val="en-US" w:eastAsia="zh-CN"/>
        </w:rPr>
        <w:t>5</w:t>
      </w:r>
      <w:r>
        <w:rPr>
          <w:rFonts w:hint="eastAsia" w:ascii="宋体" w:hAnsi="宋体"/>
          <w:color w:val="000000"/>
          <w:sz w:val="24"/>
          <w:highlight w:val="none"/>
        </w:rPr>
        <w:t>.1项目技术方案；</w:t>
      </w:r>
    </w:p>
    <w:p>
      <w:pPr>
        <w:pStyle w:val="12"/>
        <w:tabs>
          <w:tab w:val="left" w:pos="382"/>
        </w:tabs>
        <w:spacing w:line="480" w:lineRule="exact"/>
        <w:ind w:left="197" w:leftChars="94" w:firstLine="360" w:firstLineChars="150"/>
        <w:rPr>
          <w:rFonts w:hint="eastAsia" w:ascii="宋体" w:hAnsi="宋体"/>
          <w:color w:val="000000"/>
          <w:sz w:val="24"/>
          <w:highlight w:val="none"/>
        </w:rPr>
      </w:pPr>
      <w:r>
        <w:rPr>
          <w:rFonts w:hint="eastAsia" w:ascii="宋体" w:hAnsi="宋体"/>
          <w:color w:val="000000"/>
          <w:sz w:val="24"/>
          <w:highlight w:val="none"/>
          <w:lang w:val="en-US" w:eastAsia="zh-CN"/>
        </w:rPr>
        <w:t xml:space="preserve">9.5.2 </w:t>
      </w:r>
      <w:r>
        <w:rPr>
          <w:rFonts w:hint="eastAsia"/>
          <w:sz w:val="24"/>
          <w:szCs w:val="32"/>
          <w:highlight w:val="none"/>
        </w:rPr>
        <w:t>药品说明书查询功能</w:t>
      </w:r>
      <w:r>
        <w:rPr>
          <w:rFonts w:hint="eastAsia" w:ascii="宋体" w:hAnsi="宋体"/>
          <w:color w:val="000000"/>
          <w:sz w:val="24"/>
          <w:highlight w:val="none"/>
        </w:rPr>
        <w:t>；</w:t>
      </w:r>
    </w:p>
    <w:p>
      <w:pPr>
        <w:pStyle w:val="12"/>
        <w:tabs>
          <w:tab w:val="left" w:pos="382"/>
        </w:tabs>
        <w:spacing w:line="480" w:lineRule="exact"/>
        <w:ind w:left="197" w:leftChars="94" w:firstLine="360" w:firstLineChars="15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9.5.3 门急诊处方点评/住院医嘱点评功能</w:t>
      </w:r>
      <w:r>
        <w:rPr>
          <w:rFonts w:hint="eastAsia" w:ascii="宋体" w:hAnsi="宋体"/>
          <w:color w:val="000000"/>
          <w:sz w:val="24"/>
          <w:highlight w:val="none"/>
        </w:rPr>
        <w:t>；</w:t>
      </w:r>
    </w:p>
    <w:p>
      <w:pPr>
        <w:pStyle w:val="12"/>
        <w:tabs>
          <w:tab w:val="left" w:pos="382"/>
        </w:tabs>
        <w:spacing w:line="480" w:lineRule="exact"/>
        <w:ind w:left="197" w:leftChars="94" w:firstLine="360" w:firstLineChars="15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9.5.4 合理用药审核功能</w:t>
      </w:r>
      <w:r>
        <w:rPr>
          <w:rFonts w:hint="eastAsia" w:ascii="宋体" w:hAnsi="宋体"/>
          <w:color w:val="000000"/>
          <w:sz w:val="24"/>
          <w:highlight w:val="none"/>
        </w:rPr>
        <w:t>；</w:t>
      </w:r>
    </w:p>
    <w:p>
      <w:pPr>
        <w:pStyle w:val="12"/>
        <w:tabs>
          <w:tab w:val="left" w:pos="382"/>
        </w:tabs>
        <w:spacing w:line="480" w:lineRule="exact"/>
        <w:ind w:left="197" w:leftChars="94" w:firstLine="360" w:firstLineChars="15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9.5.5 知识库、规则库</w:t>
      </w:r>
      <w:r>
        <w:rPr>
          <w:rFonts w:hint="eastAsia" w:ascii="宋体" w:hAnsi="宋体"/>
          <w:color w:val="000000"/>
          <w:sz w:val="24"/>
          <w:highlight w:val="none"/>
        </w:rPr>
        <w:t>；</w:t>
      </w:r>
    </w:p>
    <w:p>
      <w:pPr>
        <w:pStyle w:val="12"/>
        <w:tabs>
          <w:tab w:val="left" w:pos="382"/>
        </w:tabs>
        <w:spacing w:line="480" w:lineRule="exact"/>
        <w:ind w:left="197" w:leftChars="94" w:firstLine="360" w:firstLineChars="15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9.5.6 用药教育与指导</w:t>
      </w:r>
      <w:r>
        <w:rPr>
          <w:rFonts w:hint="eastAsia" w:ascii="宋体" w:hAnsi="宋体"/>
          <w:color w:val="000000"/>
          <w:sz w:val="24"/>
          <w:highlight w:val="none"/>
        </w:rPr>
        <w:t>；</w:t>
      </w:r>
    </w:p>
    <w:p>
      <w:pPr>
        <w:pStyle w:val="12"/>
        <w:tabs>
          <w:tab w:val="left" w:pos="382"/>
        </w:tabs>
        <w:spacing w:line="480" w:lineRule="exact"/>
        <w:ind w:left="197" w:leftChars="94" w:firstLine="360" w:firstLineChars="15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9.5.7 ADR事件自动监测上报系统</w:t>
      </w:r>
      <w:r>
        <w:rPr>
          <w:rFonts w:hint="eastAsia" w:ascii="宋体" w:hAnsi="宋体"/>
          <w:color w:val="000000"/>
          <w:sz w:val="24"/>
          <w:highlight w:val="none"/>
        </w:rPr>
        <w:t>；</w:t>
      </w:r>
    </w:p>
    <w:p>
      <w:pPr>
        <w:pStyle w:val="12"/>
        <w:tabs>
          <w:tab w:val="left" w:pos="382"/>
        </w:tabs>
        <w:spacing w:line="480" w:lineRule="exact"/>
        <w:ind w:left="197" w:leftChars="94" w:firstLine="360" w:firstLineChars="150"/>
        <w:rPr>
          <w:rFonts w:hint="eastAsia" w:ascii="宋体" w:hAnsi="宋体"/>
          <w:color w:val="000000"/>
          <w:sz w:val="24"/>
          <w:highlight w:val="none"/>
        </w:rPr>
      </w:pPr>
      <w:r>
        <w:rPr>
          <w:rFonts w:hint="eastAsia" w:ascii="宋体" w:hAnsi="宋体"/>
          <w:color w:val="000000"/>
          <w:sz w:val="24"/>
          <w:highlight w:val="none"/>
          <w:lang w:val="en-US" w:eastAsia="zh-CN"/>
        </w:rPr>
        <w:t>9.5.8 电子药历</w:t>
      </w:r>
      <w:r>
        <w:rPr>
          <w:rFonts w:hint="eastAsia" w:ascii="宋体" w:hAnsi="宋体"/>
          <w:color w:val="000000"/>
          <w:sz w:val="24"/>
          <w:highlight w:val="none"/>
        </w:rPr>
        <w:t>；</w:t>
      </w:r>
    </w:p>
    <w:p>
      <w:pPr>
        <w:pStyle w:val="12"/>
        <w:tabs>
          <w:tab w:val="left" w:pos="382"/>
        </w:tabs>
        <w:spacing w:line="480" w:lineRule="exact"/>
        <w:ind w:left="197" w:leftChars="94" w:firstLine="360" w:firstLineChars="150"/>
        <w:rPr>
          <w:rFonts w:hint="eastAsia" w:ascii="宋体" w:hAnsi="宋体"/>
          <w:color w:val="000000"/>
          <w:sz w:val="24"/>
          <w:highlight w:val="none"/>
          <w:lang w:val="en-US" w:eastAsia="zh-CN"/>
        </w:rPr>
      </w:pPr>
      <w:r>
        <w:rPr>
          <w:rFonts w:hint="eastAsia" w:ascii="宋体" w:hAnsi="宋体"/>
          <w:color w:val="000000"/>
          <w:sz w:val="24"/>
          <w:highlight w:val="none"/>
          <w:lang w:val="en-US" w:eastAsia="zh-CN"/>
        </w:rPr>
        <w:t>9.5.9 合理用药咨询与药物治疗管理功能</w:t>
      </w:r>
      <w:r>
        <w:rPr>
          <w:rFonts w:hint="eastAsia" w:ascii="宋体" w:hAnsi="宋体"/>
          <w:color w:val="000000"/>
          <w:sz w:val="24"/>
          <w:highlight w:val="none"/>
        </w:rPr>
        <w:t>；</w:t>
      </w:r>
    </w:p>
    <w:p>
      <w:pPr>
        <w:pStyle w:val="12"/>
        <w:tabs>
          <w:tab w:val="left" w:pos="382"/>
        </w:tabs>
        <w:spacing w:line="480" w:lineRule="exact"/>
        <w:ind w:left="197" w:leftChars="94" w:firstLine="360" w:firstLineChars="150"/>
        <w:rPr>
          <w:rFonts w:hint="eastAsia" w:ascii="宋体" w:hAnsi="宋体"/>
          <w:color w:val="000000"/>
          <w:sz w:val="24"/>
          <w:highlight w:val="none"/>
        </w:rPr>
      </w:pPr>
      <w:r>
        <w:rPr>
          <w:rFonts w:hint="eastAsia" w:ascii="宋体" w:hAnsi="宋体"/>
          <w:color w:val="000000"/>
          <w:sz w:val="24"/>
          <w:highlight w:val="none"/>
          <w:lang w:val="en-US" w:eastAsia="zh-CN"/>
        </w:rPr>
        <w:t xml:space="preserve">9.5.10 </w:t>
      </w:r>
      <w:r>
        <w:rPr>
          <w:rFonts w:hint="eastAsia"/>
          <w:sz w:val="24"/>
          <w:szCs w:val="32"/>
          <w:highlight w:val="none"/>
        </w:rPr>
        <w:t>合理用药多院区审核点评中心</w:t>
      </w:r>
      <w:r>
        <w:rPr>
          <w:rFonts w:hint="eastAsia" w:ascii="宋体" w:hAnsi="宋体"/>
          <w:color w:val="000000"/>
          <w:sz w:val="24"/>
          <w:highlight w:val="none"/>
        </w:rPr>
        <w:t>；</w:t>
      </w:r>
    </w:p>
    <w:p>
      <w:pPr>
        <w:pStyle w:val="12"/>
        <w:tabs>
          <w:tab w:val="left" w:pos="382"/>
        </w:tabs>
        <w:spacing w:line="480" w:lineRule="exact"/>
        <w:ind w:left="197" w:leftChars="94" w:firstLine="360" w:firstLineChars="150"/>
        <w:rPr>
          <w:rFonts w:hint="eastAsia" w:ascii="宋体" w:hAnsi="宋体"/>
          <w:color w:val="000000"/>
          <w:sz w:val="24"/>
          <w:highlight w:val="none"/>
          <w:lang w:val="en-US" w:eastAsia="zh-CN"/>
        </w:rPr>
      </w:pPr>
      <w:r>
        <w:rPr>
          <w:rFonts w:hint="eastAsia" w:ascii="宋体" w:hAnsi="宋体"/>
          <w:color w:val="000000"/>
          <w:sz w:val="24"/>
          <w:highlight w:val="none"/>
        </w:rPr>
        <w:t>9.</w:t>
      </w:r>
      <w:r>
        <w:rPr>
          <w:rFonts w:hint="eastAsia" w:ascii="宋体" w:hAnsi="宋体"/>
          <w:color w:val="000000"/>
          <w:sz w:val="24"/>
          <w:highlight w:val="none"/>
          <w:lang w:val="en-US" w:eastAsia="zh-CN"/>
        </w:rPr>
        <w:t>5</w:t>
      </w:r>
      <w:r>
        <w:rPr>
          <w:rFonts w:hint="eastAsia" w:ascii="宋体" w:hAnsi="宋体"/>
          <w:color w:val="000000"/>
          <w:sz w:val="24"/>
          <w:highlight w:val="none"/>
        </w:rPr>
        <w:t>.</w:t>
      </w:r>
      <w:r>
        <w:rPr>
          <w:rFonts w:hint="eastAsia" w:ascii="宋体" w:hAnsi="宋体"/>
          <w:color w:val="000000"/>
          <w:sz w:val="24"/>
          <w:highlight w:val="none"/>
          <w:lang w:val="en-US" w:eastAsia="zh-CN"/>
        </w:rPr>
        <w:t xml:space="preserve">11 </w:t>
      </w:r>
      <w:r>
        <w:rPr>
          <w:rFonts w:hint="eastAsia" w:ascii="宋体" w:hAnsi="宋体" w:cs="宋体"/>
          <w:sz w:val="24"/>
          <w:highlight w:val="none"/>
        </w:rPr>
        <w:t>统计分析</w:t>
      </w:r>
      <w:r>
        <w:rPr>
          <w:rFonts w:hint="eastAsia" w:ascii="宋体" w:hAnsi="宋体"/>
          <w:color w:val="000000"/>
          <w:sz w:val="24"/>
          <w:highlight w:val="none"/>
        </w:rPr>
        <w:t>；</w:t>
      </w:r>
    </w:p>
    <w:p>
      <w:pPr>
        <w:pStyle w:val="12"/>
        <w:spacing w:line="480" w:lineRule="exact"/>
        <w:ind w:left="99" w:leftChars="47" w:firstLine="480" w:firstLineChars="200"/>
        <w:rPr>
          <w:rFonts w:ascii="宋体"/>
          <w:color w:val="000000"/>
          <w:sz w:val="24"/>
          <w:highlight w:val="none"/>
        </w:rPr>
      </w:pPr>
      <w:r>
        <w:rPr>
          <w:rFonts w:hint="eastAsia" w:ascii="宋体" w:hAnsi="宋体"/>
          <w:color w:val="000000"/>
          <w:sz w:val="24"/>
          <w:highlight w:val="none"/>
        </w:rPr>
        <w:t>9.</w:t>
      </w:r>
      <w:r>
        <w:rPr>
          <w:rFonts w:hint="eastAsia" w:ascii="宋体" w:hAnsi="宋体"/>
          <w:color w:val="000000"/>
          <w:sz w:val="24"/>
          <w:highlight w:val="none"/>
          <w:lang w:val="en-US" w:eastAsia="zh-CN"/>
        </w:rPr>
        <w:t>5</w:t>
      </w:r>
      <w:r>
        <w:rPr>
          <w:rFonts w:hint="eastAsia" w:ascii="宋体" w:hAnsi="宋体"/>
          <w:color w:val="000000"/>
          <w:sz w:val="24"/>
          <w:highlight w:val="none"/>
        </w:rPr>
        <w:t>.</w:t>
      </w:r>
      <w:r>
        <w:rPr>
          <w:rFonts w:hint="eastAsia" w:ascii="宋体" w:hAnsi="宋体"/>
          <w:color w:val="000000"/>
          <w:sz w:val="24"/>
          <w:highlight w:val="none"/>
          <w:lang w:val="en-US" w:eastAsia="zh-CN"/>
        </w:rPr>
        <w:t>12</w:t>
      </w:r>
      <w:r>
        <w:rPr>
          <w:rFonts w:hint="eastAsia" w:ascii="宋体" w:hAnsi="宋体"/>
          <w:color w:val="000000"/>
          <w:sz w:val="24"/>
          <w:highlight w:val="none"/>
        </w:rPr>
        <w:t>技术条款响应/偏离表（附件</w:t>
      </w:r>
      <w:r>
        <w:rPr>
          <w:rFonts w:hint="eastAsia" w:ascii="宋体" w:hAnsi="宋体"/>
          <w:color w:val="000000"/>
          <w:sz w:val="24"/>
          <w:highlight w:val="none"/>
          <w:lang w:eastAsia="zh-CN"/>
        </w:rPr>
        <w:t>四</w:t>
      </w:r>
      <w:r>
        <w:rPr>
          <w:rFonts w:hint="eastAsia" w:ascii="宋体" w:hAnsi="宋体"/>
          <w:color w:val="000000"/>
          <w:sz w:val="24"/>
          <w:highlight w:val="none"/>
        </w:rPr>
        <w:t>）。</w:t>
      </w:r>
    </w:p>
    <w:p>
      <w:pPr>
        <w:widowControl/>
        <w:spacing w:line="360" w:lineRule="auto"/>
        <w:ind w:firstLine="480" w:firstLineChars="20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9.5 商务文件</w:t>
      </w:r>
    </w:p>
    <w:p>
      <w:pPr>
        <w:widowControl/>
        <w:spacing w:line="360" w:lineRule="auto"/>
        <w:ind w:firstLine="480" w:firstLineChars="20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1）项目部人员配备表（附件六）</w:t>
      </w:r>
    </w:p>
    <w:p>
      <w:pPr>
        <w:widowControl/>
        <w:spacing w:line="360" w:lineRule="auto"/>
        <w:ind w:firstLine="480" w:firstLineChars="20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2）企业介绍及成功案例；</w:t>
      </w:r>
    </w:p>
    <w:p>
      <w:pPr>
        <w:widowControl/>
        <w:spacing w:line="360" w:lineRule="auto"/>
        <w:ind w:firstLine="480" w:firstLineChars="20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3）投标产品在山东省内三甲综合医院用户名单；</w:t>
      </w:r>
    </w:p>
    <w:p>
      <w:pPr>
        <w:widowControl/>
        <w:spacing w:line="360" w:lineRule="auto"/>
        <w:ind w:firstLine="480" w:firstLineChars="200"/>
        <w:jc w:val="left"/>
        <w:rPr>
          <w:rFonts w:hint="eastAsia" w:ascii="宋体" w:hAnsi="宋体" w:cs="宋体"/>
          <w:kern w:val="0"/>
          <w:sz w:val="24"/>
          <w:highlight w:val="none"/>
          <w:lang w:val="zh-CN" w:eastAsia="zh-CN"/>
        </w:rPr>
      </w:pPr>
      <w:r>
        <w:rPr>
          <w:rFonts w:hint="eastAsia" w:ascii="宋体" w:hAnsi="宋体" w:cs="宋体"/>
          <w:kern w:val="0"/>
          <w:sz w:val="24"/>
          <w:highlight w:val="none"/>
          <w:lang w:val="en-US" w:eastAsia="zh-CN"/>
        </w:rPr>
        <w:t>4）售后服务（附件七）；</w:t>
      </w:r>
    </w:p>
    <w:p>
      <w:pPr>
        <w:widowControl/>
        <w:spacing w:line="360" w:lineRule="auto"/>
        <w:ind w:firstLine="480" w:firstLineChars="200"/>
        <w:jc w:val="left"/>
        <w:rPr>
          <w:rFonts w:hint="eastAsia" w:ascii="宋体" w:hAnsi="宋体" w:cs="宋体"/>
          <w:kern w:val="0"/>
          <w:sz w:val="24"/>
          <w:highlight w:val="none"/>
          <w:lang w:val="en-US" w:eastAsia="zh-CN"/>
        </w:rPr>
      </w:pPr>
      <w:r>
        <w:rPr>
          <w:rFonts w:hint="eastAsia" w:ascii="宋体" w:hAnsi="宋体" w:cs="宋体"/>
          <w:kern w:val="0"/>
          <w:sz w:val="24"/>
          <w:highlight w:val="none"/>
          <w:lang w:val="en-US" w:eastAsia="zh-CN"/>
        </w:rPr>
        <w:t>5）商务偏离表（附件五）。</w:t>
      </w:r>
    </w:p>
    <w:p>
      <w:pPr>
        <w:pStyle w:val="12"/>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pStyle w:val="12"/>
        <w:tabs>
          <w:tab w:val="left" w:pos="382"/>
        </w:tabs>
        <w:spacing w:line="480" w:lineRule="exact"/>
        <w:ind w:left="48" w:leftChars="23" w:firstLine="480" w:firstLineChars="200"/>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w:t>
      </w:r>
      <w:r>
        <w:rPr>
          <w:rFonts w:hint="eastAsia" w:ascii="宋体" w:hAnsi="宋体"/>
          <w:bCs/>
          <w:color w:val="000000"/>
          <w:sz w:val="24"/>
          <w:highlight w:val="none"/>
        </w:rPr>
        <w:t>报价含软件开发、供应、安装调试、数据迁移费用、开发费用、缺陷处理，验收、培训、售后服务、检验及因购买软件和服务所需缴纳</w:t>
      </w:r>
      <w:r>
        <w:rPr>
          <w:rFonts w:hint="eastAsia" w:ascii="宋体" w:hAnsi="宋体"/>
          <w:bCs/>
          <w:color w:val="000000"/>
          <w:sz w:val="24"/>
          <w:highlight w:val="none"/>
          <w:lang w:eastAsia="zh-CN"/>
        </w:rPr>
        <w:t>等</w:t>
      </w:r>
      <w:r>
        <w:rPr>
          <w:rFonts w:hint="eastAsia" w:ascii="宋体" w:hAnsi="宋体"/>
          <w:bCs/>
          <w:color w:val="000000"/>
          <w:sz w:val="24"/>
          <w:highlight w:val="none"/>
        </w:rPr>
        <w:t>的所有税、费。</w:t>
      </w:r>
      <w:r>
        <w:rPr>
          <w:rFonts w:hint="eastAsia" w:ascii="宋体" w:hAnsi="宋体" w:cs="宋体"/>
          <w:kern w:val="0"/>
          <w:sz w:val="24"/>
          <w:highlight w:val="none"/>
        </w:rPr>
        <w:t>。报价应包括达到招标人使用要求的全部费用。投标人应充分考虑采购条件，不得在中标后无故增加任何费用。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69" w:name="_Toc5125"/>
      <w:bookmarkStart w:id="70" w:name="_Toc22972"/>
      <w:bookmarkStart w:id="71" w:name="_Toc16942"/>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69"/>
      <w:bookmarkEnd w:id="70"/>
      <w:bookmarkEnd w:id="71"/>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w:t>
      </w:r>
      <w:r>
        <w:rPr>
          <w:rFonts w:hint="eastAsia" w:ascii="宋体" w:hAnsi="宋体" w:cs="宋体"/>
          <w:kern w:val="0"/>
          <w:sz w:val="24"/>
          <w:highlight w:val="none"/>
          <w:lang w:val="en-US" w:eastAsia="zh-CN"/>
        </w:rPr>
        <w:t>五</w:t>
      </w:r>
      <w:r>
        <w:rPr>
          <w:rFonts w:hint="eastAsia" w:ascii="宋体" w:hAnsi="宋体" w:cs="宋体"/>
          <w:kern w:val="0"/>
          <w:sz w:val="24"/>
          <w:highlight w:val="none"/>
        </w:rPr>
        <w:t>份投标文件，一份正本和</w:t>
      </w:r>
      <w:r>
        <w:rPr>
          <w:rFonts w:hint="eastAsia" w:ascii="宋体" w:hAnsi="宋体" w:cs="宋体"/>
          <w:kern w:val="0"/>
          <w:sz w:val="24"/>
          <w:highlight w:val="none"/>
          <w:lang w:val="en-US" w:eastAsia="zh-CN"/>
        </w:rPr>
        <w:t>四</w:t>
      </w:r>
      <w:r>
        <w:rPr>
          <w:rFonts w:hint="eastAsia" w:ascii="宋体" w:hAnsi="宋体" w:cs="宋体"/>
          <w:kern w:val="0"/>
          <w:sz w:val="24"/>
          <w:highlight w:val="none"/>
        </w:rPr>
        <w:t>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2" w:name="_Toc14371"/>
      <w:bookmarkStart w:id="73" w:name="_Toc8600"/>
      <w:bookmarkStart w:id="74" w:name="_Toc28577"/>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2"/>
      <w:bookmarkEnd w:id="73"/>
      <w:bookmarkEnd w:id="74"/>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5" w:name="_Toc28358"/>
      <w:bookmarkStart w:id="76" w:name="_Toc9239"/>
      <w:bookmarkStart w:id="77" w:name="_Toc26505"/>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5"/>
      <w:bookmarkEnd w:id="76"/>
      <w:bookmarkEnd w:id="77"/>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w:t>
      </w:r>
      <w:r>
        <w:rPr>
          <w:rFonts w:hint="eastAsia" w:ascii="宋体" w:hAnsi="宋体" w:cs="宋体"/>
          <w:kern w:val="0"/>
          <w:sz w:val="24"/>
          <w:highlight w:val="none"/>
          <w:lang w:eastAsia="zh-CN"/>
        </w:rPr>
        <w:t>九</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w:t>
      </w:r>
      <w:r>
        <w:rPr>
          <w:rFonts w:hint="eastAsia" w:ascii="宋体" w:hAnsi="宋体" w:cs="宋体"/>
          <w:kern w:val="0"/>
          <w:sz w:val="24"/>
          <w:highlight w:val="none"/>
          <w:lang w:eastAsia="zh-CN"/>
        </w:rPr>
        <w:t>文件</w:t>
      </w:r>
      <w:r>
        <w:rPr>
          <w:rFonts w:hint="eastAsia" w:ascii="宋体" w:hAnsi="宋体" w:cs="宋体"/>
          <w:kern w:val="0"/>
          <w:sz w:val="24"/>
          <w:highlight w:val="none"/>
        </w:rPr>
        <w:t>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highlight w:val="none"/>
        </w:rPr>
      </w:pPr>
      <w:bookmarkStart w:id="78" w:name="_Toc9397"/>
      <w:bookmarkStart w:id="79" w:name="_Toc31899"/>
      <w:bookmarkStart w:id="80" w:name="_Toc31000"/>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8"/>
      <w:bookmarkEnd w:id="79"/>
      <w:bookmarkEnd w:id="80"/>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ascii="宋体"/>
          <w:bCs/>
          <w:highlight w:val="none"/>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1"/>
        <w:spacing w:line="480" w:lineRule="exact"/>
        <w:ind w:leftChars="0" w:hanging="100" w:firstLineChars="0"/>
        <w:outlineLvl w:val="1"/>
        <w:rPr>
          <w:rFonts w:ascii="宋体"/>
          <w:b/>
          <w:bCs/>
          <w:sz w:val="24"/>
          <w:highlight w:val="none"/>
        </w:rPr>
      </w:pPr>
      <w:bookmarkStart w:id="81" w:name="_Toc18910"/>
      <w:bookmarkStart w:id="82" w:name="_Toc1930"/>
      <w:bookmarkStart w:id="83" w:name="_Toc3684"/>
      <w:r>
        <w:rPr>
          <w:rFonts w:hint="eastAsia" w:ascii="宋体" w:hAnsi="宋体"/>
          <w:b/>
          <w:bCs/>
          <w:sz w:val="24"/>
          <w:highlight w:val="none"/>
        </w:rPr>
        <w:t>四、投标文件递交</w:t>
      </w:r>
      <w:bookmarkEnd w:id="81"/>
      <w:bookmarkEnd w:id="82"/>
      <w:bookmarkEnd w:id="83"/>
    </w:p>
    <w:p>
      <w:pPr>
        <w:pStyle w:val="19"/>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19"/>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19"/>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19"/>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19"/>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19"/>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19"/>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4" w:name="_Toc5371"/>
      <w:bookmarkStart w:id="85" w:name="_Toc13548"/>
      <w:bookmarkStart w:id="86" w:name="_Toc22790"/>
      <w:r>
        <w:rPr>
          <w:rFonts w:ascii="宋体" w:hAnsi="宋体"/>
          <w:bCs/>
          <w:sz w:val="24"/>
          <w:highlight w:val="none"/>
        </w:rPr>
        <w:t xml:space="preserve">18.  </w:t>
      </w:r>
      <w:r>
        <w:rPr>
          <w:rFonts w:hint="eastAsia" w:ascii="宋体" w:hAnsi="宋体"/>
          <w:bCs/>
          <w:sz w:val="24"/>
          <w:highlight w:val="none"/>
        </w:rPr>
        <w:t>投标文件修改与撤回</w:t>
      </w:r>
      <w:bookmarkEnd w:id="84"/>
      <w:bookmarkEnd w:id="85"/>
      <w:bookmarkEnd w:id="86"/>
    </w:p>
    <w:p>
      <w:pPr>
        <w:pStyle w:val="19"/>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19"/>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19"/>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19"/>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19"/>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7" w:name="_Toc142"/>
      <w:bookmarkStart w:id="88" w:name="_Toc29966"/>
      <w:r>
        <w:rPr>
          <w:rFonts w:hint="eastAsia" w:ascii="宋体" w:hAnsi="宋体"/>
          <w:b/>
          <w:bCs/>
          <w:sz w:val="24"/>
          <w:highlight w:val="none"/>
        </w:rPr>
        <w:t>五、开标与评标</w:t>
      </w:r>
      <w:bookmarkEnd w:id="87"/>
      <w:bookmarkEnd w:id="88"/>
    </w:p>
    <w:p>
      <w:pPr>
        <w:pStyle w:val="19"/>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19"/>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19"/>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19"/>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19"/>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r>
        <w:rPr>
          <w:rFonts w:ascii="宋体" w:hAnsi="宋体"/>
          <w:bCs/>
          <w:highlight w:val="none"/>
        </w:rPr>
        <w:t>5</w:t>
      </w:r>
      <w:r>
        <w:rPr>
          <w:rFonts w:hint="eastAsia" w:ascii="宋体" w:hAnsi="宋体"/>
          <w:bCs/>
          <w:highlight w:val="none"/>
        </w:rPr>
        <w:t>）开标会结束，投标人退场。</w:t>
      </w:r>
    </w:p>
    <w:p>
      <w:pPr>
        <w:pStyle w:val="19"/>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19"/>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9"/>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19"/>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19"/>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投标人名称或组织结构与购买招标文件时不一致的；</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评标委员会认定投标人有围标、串通投标情形，按废标处理，取消其投标资格。</w:t>
      </w:r>
    </w:p>
    <w:p>
      <w:pPr>
        <w:pStyle w:val="19"/>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19"/>
        <w:spacing w:line="480" w:lineRule="exact"/>
        <w:ind w:firstLine="480" w:firstLineChars="200"/>
        <w:rPr>
          <w:rFonts w:ascii="宋体"/>
          <w:bCs/>
          <w:highlight w:val="none"/>
        </w:rPr>
      </w:pPr>
      <w:r>
        <w:rPr>
          <w:rFonts w:hint="eastAsia" w:ascii="宋体" w:hAnsi="宋体"/>
          <w:bCs/>
          <w:highlight w:val="none"/>
        </w:rPr>
        <w:t>招标人将根据本项目的特点组建评标委员会，其成员由招标人代表及有关方面的专家</w:t>
      </w:r>
      <w:r>
        <w:rPr>
          <w:rFonts w:ascii="宋体" w:hAnsi="宋体"/>
          <w:bCs/>
          <w:highlight w:val="none"/>
        </w:rPr>
        <w:t xml:space="preserve"> 5 </w:t>
      </w:r>
      <w:r>
        <w:rPr>
          <w:rFonts w:hint="eastAsia" w:ascii="宋体" w:hAnsi="宋体"/>
          <w:bCs/>
          <w:highlight w:val="none"/>
        </w:rPr>
        <w:t>人及以上单数组成，其中技术、经济等方面的专家不少于成员总数的三分之二，评标委员会负责对投标文件进行审查、澄清、推荐中标候选人或经招标人授权直接确定中标人。</w:t>
      </w:r>
    </w:p>
    <w:p>
      <w:pPr>
        <w:pStyle w:val="21"/>
        <w:spacing w:line="480" w:lineRule="exact"/>
        <w:ind w:left="573" w:leftChars="272" w:hanging="2" w:firstLineChars="0"/>
        <w:outlineLvl w:val="0"/>
        <w:rPr>
          <w:rFonts w:ascii="宋体"/>
          <w:bCs/>
          <w:sz w:val="24"/>
          <w:highlight w:val="none"/>
        </w:rPr>
      </w:pPr>
      <w:bookmarkStart w:id="89" w:name="_Toc26178"/>
      <w:bookmarkStart w:id="90" w:name="_Toc6823"/>
      <w:bookmarkStart w:id="91" w:name="_Toc24408"/>
      <w:r>
        <w:rPr>
          <w:rFonts w:ascii="宋体" w:hAnsi="宋体"/>
          <w:bCs/>
          <w:sz w:val="24"/>
          <w:highlight w:val="none"/>
        </w:rPr>
        <w:t xml:space="preserve">21.  </w:t>
      </w:r>
      <w:r>
        <w:rPr>
          <w:rFonts w:hint="eastAsia" w:ascii="宋体" w:hAnsi="宋体"/>
          <w:bCs/>
          <w:sz w:val="24"/>
          <w:highlight w:val="none"/>
        </w:rPr>
        <w:t>评标原则</w:t>
      </w:r>
      <w:bookmarkEnd w:id="89"/>
      <w:bookmarkEnd w:id="90"/>
      <w:bookmarkEnd w:id="91"/>
    </w:p>
    <w:p>
      <w:pPr>
        <w:pStyle w:val="19"/>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19"/>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19"/>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19"/>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19"/>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19"/>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19"/>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19"/>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19"/>
        <w:numPr>
          <w:ilvl w:val="0"/>
          <w:numId w:val="1"/>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19"/>
        <w:numPr>
          <w:ilvl w:val="0"/>
          <w:numId w:val="1"/>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19"/>
        <w:numPr>
          <w:ilvl w:val="0"/>
          <w:numId w:val="1"/>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19"/>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19"/>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19"/>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19"/>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19"/>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19"/>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19"/>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19"/>
        <w:tabs>
          <w:tab w:val="left" w:pos="0"/>
        </w:tabs>
        <w:spacing w:line="480" w:lineRule="exact"/>
        <w:ind w:firstLine="720" w:firstLineChars="300"/>
        <w:rPr>
          <w:rFonts w:hint="eastAsia" w:ascii="宋体" w:hAns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19"/>
        <w:tabs>
          <w:tab w:val="left" w:pos="0"/>
        </w:tabs>
        <w:spacing w:line="480" w:lineRule="exact"/>
        <w:ind w:firstLine="720" w:firstLineChars="300"/>
        <w:rPr>
          <w:rFonts w:hint="eastAsia" w:ascii="宋体" w:hAnsi="宋体"/>
          <w:bCs/>
          <w:highlight w:val="none"/>
        </w:rPr>
      </w:pPr>
      <w:r>
        <w:rPr>
          <w:rFonts w:hint="eastAsia" w:ascii="宋体" w:hAnsi="宋体"/>
          <w:bCs/>
          <w:highlight w:val="none"/>
          <w:lang w:val="en-US" w:eastAsia="zh-CN"/>
        </w:rPr>
        <w:t>I、未全部响应招标文件规定的实质性要求（含*项）的。</w:t>
      </w:r>
    </w:p>
    <w:p>
      <w:pPr>
        <w:pStyle w:val="19"/>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19"/>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19"/>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19"/>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19"/>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19"/>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19"/>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19"/>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19"/>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19"/>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19"/>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9"/>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19"/>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19"/>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keepNext w:val="0"/>
        <w:keepLines w:val="0"/>
        <w:pageBreakBefore w:val="0"/>
        <w:widowControl w:val="0"/>
        <w:kinsoku/>
        <w:wordWrap/>
        <w:overflowPunct/>
        <w:topLinePunct w:val="0"/>
        <w:autoSpaceDE/>
        <w:autoSpaceDN/>
        <w:bidi w:val="0"/>
        <w:spacing w:line="400" w:lineRule="exact"/>
        <w:ind w:left="0" w:leftChars="0" w:firstLine="480" w:firstLineChars="200"/>
        <w:textAlignment w:val="auto"/>
        <w:outlineLvl w:val="0"/>
        <w:rPr>
          <w:rFonts w:ascii="宋体"/>
          <w:bCs/>
          <w:sz w:val="24"/>
          <w:highlight w:val="none"/>
        </w:rPr>
      </w:pPr>
      <w:bookmarkStart w:id="92" w:name="_Toc2195"/>
      <w:bookmarkStart w:id="93" w:name="_Toc31292"/>
      <w:bookmarkStart w:id="94" w:name="_Toc27597"/>
      <w:r>
        <w:rPr>
          <w:rFonts w:ascii="宋体" w:hAnsi="宋体"/>
          <w:bCs/>
          <w:sz w:val="24"/>
          <w:highlight w:val="none"/>
        </w:rPr>
        <w:t xml:space="preserve">24.  </w:t>
      </w:r>
      <w:r>
        <w:rPr>
          <w:rFonts w:hint="eastAsia" w:ascii="宋体" w:hAnsi="宋体"/>
          <w:bCs/>
          <w:sz w:val="24"/>
          <w:highlight w:val="none"/>
        </w:rPr>
        <w:t>综合评审</w:t>
      </w:r>
      <w:bookmarkEnd w:id="92"/>
      <w:bookmarkEnd w:id="93"/>
      <w:bookmarkEnd w:id="94"/>
    </w:p>
    <w:p>
      <w:pPr>
        <w:pStyle w:val="19"/>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19"/>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19"/>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19"/>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bCs/>
          <w:highlight w:val="none"/>
        </w:rPr>
      </w:pPr>
      <w:r>
        <w:rPr>
          <w:rFonts w:ascii="宋体" w:hAnsi="宋体"/>
          <w:bCs/>
          <w:highlight w:val="none"/>
        </w:rPr>
        <w:t xml:space="preserve">2) </w:t>
      </w:r>
      <w:r>
        <w:rPr>
          <w:rFonts w:hint="eastAsia" w:ascii="宋体" w:hAnsi="宋体"/>
          <w:bCs/>
          <w:highlight w:val="none"/>
        </w:rPr>
        <w:t>维保方案；</w:t>
      </w:r>
    </w:p>
    <w:p>
      <w:pPr>
        <w:pStyle w:val="19"/>
        <w:keepNext w:val="0"/>
        <w:keepLines w:val="0"/>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bCs/>
          <w:highlight w:val="none"/>
        </w:rPr>
      </w:pPr>
      <w:r>
        <w:rPr>
          <w:rFonts w:ascii="宋体" w:hAnsi="宋体"/>
          <w:bCs/>
          <w:highlight w:val="none"/>
        </w:rPr>
        <w:t xml:space="preserve">3) </w:t>
      </w:r>
      <w:r>
        <w:rPr>
          <w:rFonts w:hint="eastAsia" w:ascii="宋体" w:hAnsi="宋体"/>
          <w:bCs/>
          <w:highlight w:val="none"/>
        </w:rPr>
        <w:t>售后服务条款；</w:t>
      </w:r>
    </w:p>
    <w:p>
      <w:pPr>
        <w:pStyle w:val="19"/>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bCs/>
          <w:highlight w:val="none"/>
        </w:rPr>
      </w:pPr>
      <w:r>
        <w:rPr>
          <w:rFonts w:ascii="宋体" w:hAnsi="宋体"/>
          <w:bCs/>
          <w:highlight w:val="none"/>
        </w:rPr>
        <w:t>4)</w:t>
      </w:r>
      <w:r>
        <w:rPr>
          <w:rFonts w:hint="eastAsia" w:ascii="宋体" w:hAnsi="宋体"/>
          <w:bCs/>
          <w:highlight w:val="none"/>
        </w:rPr>
        <w:t>技术及商务有无偏离；</w:t>
      </w:r>
    </w:p>
    <w:p>
      <w:pPr>
        <w:pStyle w:val="19"/>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bCs/>
          <w:highlight w:val="none"/>
        </w:rPr>
      </w:pPr>
      <w:r>
        <w:rPr>
          <w:rFonts w:ascii="宋体" w:hAnsi="宋体"/>
          <w:bCs/>
          <w:highlight w:val="none"/>
        </w:rPr>
        <w:t xml:space="preserve">5) </w:t>
      </w:r>
      <w:r>
        <w:rPr>
          <w:rFonts w:hint="eastAsia" w:ascii="宋体" w:hAnsi="宋体"/>
          <w:bCs/>
          <w:highlight w:val="none"/>
        </w:rPr>
        <w:t>投标人资信情况和履约能力；</w:t>
      </w:r>
    </w:p>
    <w:p>
      <w:pPr>
        <w:pStyle w:val="19"/>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bCs/>
          <w:highlight w:val="none"/>
        </w:rPr>
      </w:pPr>
      <w:r>
        <w:rPr>
          <w:rFonts w:ascii="宋体" w:hAnsi="宋体"/>
          <w:bCs/>
          <w:highlight w:val="none"/>
        </w:rPr>
        <w:t xml:space="preserve">6) </w:t>
      </w:r>
      <w:r>
        <w:rPr>
          <w:rFonts w:hint="eastAsia" w:ascii="宋体" w:hAnsi="宋体"/>
          <w:bCs/>
          <w:highlight w:val="none"/>
        </w:rPr>
        <w:t>投标人的经营业绩；</w:t>
      </w:r>
    </w:p>
    <w:p>
      <w:pPr>
        <w:pStyle w:val="19"/>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bCs/>
          <w:highlight w:val="none"/>
        </w:rPr>
      </w:pPr>
      <w:r>
        <w:rPr>
          <w:rFonts w:ascii="宋体" w:hAnsi="宋体"/>
          <w:bCs/>
          <w:highlight w:val="none"/>
        </w:rPr>
        <w:t xml:space="preserve">7) </w:t>
      </w:r>
      <w:r>
        <w:rPr>
          <w:rFonts w:hint="eastAsia" w:ascii="宋体" w:hAnsi="宋体"/>
          <w:bCs/>
          <w:highlight w:val="none"/>
        </w:rPr>
        <w:t>优惠条件；</w:t>
      </w:r>
    </w:p>
    <w:p>
      <w:pPr>
        <w:pStyle w:val="19"/>
        <w:keepNext w:val="0"/>
        <w:keepLines w:val="0"/>
        <w:pageBreakBefore w:val="0"/>
        <w:widowControl w:val="0"/>
        <w:kinsoku/>
        <w:wordWrap/>
        <w:overflowPunct/>
        <w:topLinePunct w:val="0"/>
        <w:autoSpaceDE/>
        <w:autoSpaceDN/>
        <w:bidi w:val="0"/>
        <w:spacing w:line="400" w:lineRule="exact"/>
        <w:ind w:firstLine="480" w:firstLineChars="200"/>
        <w:textAlignment w:val="auto"/>
        <w:rPr>
          <w:rFonts w:ascii="宋体"/>
          <w:bCs/>
          <w:highlight w:val="none"/>
        </w:rPr>
      </w:pPr>
      <w:r>
        <w:rPr>
          <w:rFonts w:ascii="宋体" w:hAnsi="宋体"/>
          <w:bCs/>
          <w:highlight w:val="none"/>
        </w:rPr>
        <w:t xml:space="preserve">8) </w:t>
      </w:r>
      <w:r>
        <w:rPr>
          <w:rFonts w:hint="eastAsia" w:ascii="宋体" w:hAnsi="宋体"/>
          <w:bCs/>
          <w:highlight w:val="none"/>
        </w:rPr>
        <w:t>其他。</w:t>
      </w:r>
    </w:p>
    <w:p>
      <w:pPr>
        <w:pStyle w:val="19"/>
        <w:keepNext w:val="0"/>
        <w:keepLines w:val="0"/>
        <w:pageBreakBefore w:val="0"/>
        <w:widowControl w:val="0"/>
        <w:kinsoku/>
        <w:wordWrap/>
        <w:overflowPunct/>
        <w:topLinePunct w:val="0"/>
        <w:autoSpaceDE/>
        <w:autoSpaceDN/>
        <w:bidi w:val="0"/>
        <w:adjustRightInd w:val="0"/>
        <w:snapToGrid w:val="0"/>
        <w:spacing w:line="400" w:lineRule="exact"/>
        <w:ind w:right="0" w:rightChars="0" w:firstLine="480" w:firstLineChars="200"/>
        <w:jc w:val="both"/>
        <w:textAlignment w:val="auto"/>
        <w:outlineLvl w:val="9"/>
        <w:rPr>
          <w:rFonts w:hint="eastAsia" w:ascii="宋体" w:hAnsi="宋体"/>
          <w:highlight w:val="none"/>
        </w:rPr>
      </w:pPr>
      <w:r>
        <w:rPr>
          <w:rFonts w:ascii="宋体" w:hAnsi="宋体"/>
          <w:bCs/>
          <w:highlight w:val="none"/>
        </w:rPr>
        <w:t>24.3</w:t>
      </w:r>
      <w:r>
        <w:rPr>
          <w:rFonts w:hint="eastAsia" w:ascii="宋体" w:hAnsi="宋体"/>
          <w:highlight w:val="none"/>
        </w:rPr>
        <w:t>评标方法：</w:t>
      </w:r>
      <w:r>
        <w:rPr>
          <w:rFonts w:hint="eastAsia" w:ascii="宋体" w:hAnsi="宋体"/>
          <w:highlight w:val="none"/>
          <w:lang w:eastAsia="zh-CN"/>
        </w:rPr>
        <w:t>本项目采用</w:t>
      </w:r>
      <w:r>
        <w:rPr>
          <w:rFonts w:hint="eastAsia" w:ascii="宋体" w:hAnsi="宋体"/>
          <w:highlight w:val="none"/>
        </w:rPr>
        <w:t>综合评分法，评标委员会将对投标人的投标报价、项目技术方案、药品说明书查询功能</w:t>
      </w:r>
      <w:r>
        <w:rPr>
          <w:rFonts w:hint="eastAsia" w:ascii="宋体" w:hAnsi="宋体"/>
          <w:highlight w:val="none"/>
          <w:lang w:eastAsia="zh-CN"/>
        </w:rPr>
        <w:t>、</w:t>
      </w:r>
      <w:r>
        <w:rPr>
          <w:rFonts w:hint="eastAsia" w:ascii="宋体" w:hAnsi="宋体"/>
          <w:highlight w:val="none"/>
        </w:rPr>
        <w:t>门急诊处方点评/住院医嘱点评功能</w:t>
      </w:r>
      <w:r>
        <w:rPr>
          <w:rFonts w:hint="eastAsia" w:ascii="宋体" w:hAnsi="宋体"/>
          <w:highlight w:val="none"/>
          <w:lang w:eastAsia="zh-CN"/>
        </w:rPr>
        <w:t>、</w:t>
      </w:r>
      <w:r>
        <w:rPr>
          <w:rFonts w:hint="eastAsia" w:ascii="宋体" w:hAnsi="宋体"/>
          <w:highlight w:val="none"/>
        </w:rPr>
        <w:t>合理用药审核功能</w:t>
      </w:r>
      <w:r>
        <w:rPr>
          <w:rFonts w:hint="eastAsia" w:ascii="宋体" w:hAnsi="宋体"/>
          <w:highlight w:val="none"/>
          <w:lang w:eastAsia="zh-CN"/>
        </w:rPr>
        <w:t>、</w:t>
      </w:r>
      <w:r>
        <w:rPr>
          <w:rFonts w:hint="eastAsia" w:ascii="宋体" w:hAnsi="宋体"/>
          <w:highlight w:val="none"/>
        </w:rPr>
        <w:t>知识库、规则库</w:t>
      </w:r>
      <w:r>
        <w:rPr>
          <w:rFonts w:hint="eastAsia" w:ascii="宋体" w:hAnsi="宋体"/>
          <w:highlight w:val="none"/>
          <w:lang w:eastAsia="zh-CN"/>
        </w:rPr>
        <w:t>、</w:t>
      </w:r>
      <w:r>
        <w:rPr>
          <w:rFonts w:hint="eastAsia" w:ascii="宋体" w:hAnsi="宋体"/>
          <w:highlight w:val="none"/>
        </w:rPr>
        <w:t>售后服务、投标人业绩等综合评分，按得分高低推荐中标候选人。</w:t>
      </w:r>
    </w:p>
    <w:p>
      <w:pPr>
        <w:pStyle w:val="12"/>
        <w:spacing w:line="480" w:lineRule="exact"/>
        <w:ind w:left="197" w:leftChars="94" w:firstLine="482" w:firstLineChars="150"/>
        <w:jc w:val="center"/>
        <w:rPr>
          <w:rFonts w:hint="eastAsia" w:ascii="宋体" w:hAnsi="宋体"/>
          <w:b/>
          <w:bCs/>
          <w:sz w:val="32"/>
          <w:szCs w:val="32"/>
          <w:highlight w:val="none"/>
        </w:rPr>
      </w:pPr>
      <w:bookmarkStart w:id="95" w:name="_Toc482367258"/>
      <w:bookmarkStart w:id="96" w:name="_Toc326"/>
      <w:r>
        <w:rPr>
          <w:rFonts w:ascii="宋体"/>
          <w:b/>
          <w:bCs/>
          <w:sz w:val="32"/>
          <w:szCs w:val="32"/>
          <w:highlight w:val="none"/>
        </w:rPr>
        <w:br w:type="page"/>
      </w:r>
      <w:r>
        <w:rPr>
          <w:rFonts w:hint="eastAsia" w:ascii="宋体" w:hAnsi="宋体"/>
          <w:b/>
          <w:bCs/>
          <w:sz w:val="32"/>
          <w:szCs w:val="32"/>
          <w:highlight w:val="none"/>
        </w:rPr>
        <w:t>评分细则</w:t>
      </w:r>
      <w:bookmarkEnd w:id="95"/>
      <w:bookmarkEnd w:id="96"/>
    </w:p>
    <w:tbl>
      <w:tblPr>
        <w:tblStyle w:val="49"/>
        <w:tblW w:w="10462" w:type="dxa"/>
        <w:jc w:val="center"/>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1439"/>
        <w:gridCol w:w="765"/>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115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cs="宋体"/>
                <w:b/>
                <w:color w:val="000000"/>
                <w:sz w:val="21"/>
                <w:szCs w:val="21"/>
                <w:highlight w:val="none"/>
              </w:rPr>
            </w:pPr>
            <w:r>
              <w:rPr>
                <w:rFonts w:ascii="宋体" w:hAnsi="宋体"/>
                <w:bCs/>
                <w:color w:val="000000"/>
                <w:sz w:val="21"/>
                <w:szCs w:val="24"/>
                <w:highlight w:val="none"/>
              </w:rPr>
              <w:br w:type="page"/>
            </w:r>
            <w:r>
              <w:rPr>
                <w:rFonts w:ascii="宋体" w:hAnsi="宋体"/>
                <w:bCs/>
                <w:color w:val="000000"/>
                <w:sz w:val="24"/>
                <w:szCs w:val="20"/>
                <w:highlight w:val="none"/>
              </w:rPr>
              <w:br w:type="page"/>
            </w:r>
            <w:r>
              <w:rPr>
                <w:rFonts w:hint="eastAsia" w:ascii="宋体" w:hAnsi="宋体" w:cs="宋体"/>
                <w:b/>
                <w:color w:val="000000"/>
                <w:sz w:val="21"/>
                <w:szCs w:val="21"/>
                <w:highlight w:val="none"/>
              </w:rPr>
              <w:t>评分项目</w:t>
            </w:r>
          </w:p>
        </w:tc>
        <w:tc>
          <w:tcPr>
            <w:tcW w:w="14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20" w:lineRule="exact"/>
              <w:jc w:val="center"/>
              <w:rPr>
                <w:rFonts w:ascii="宋体" w:hAnsi="宋体" w:cs="宋体"/>
                <w:b/>
                <w:color w:val="000000"/>
                <w:sz w:val="21"/>
                <w:szCs w:val="21"/>
                <w:highlight w:val="none"/>
              </w:rPr>
            </w:pPr>
            <w:r>
              <w:rPr>
                <w:rFonts w:hint="eastAsia" w:ascii="宋体" w:hAnsi="宋体" w:cs="宋体"/>
                <w:b/>
                <w:color w:val="000000"/>
                <w:sz w:val="21"/>
                <w:szCs w:val="21"/>
                <w:highlight w:val="none"/>
              </w:rPr>
              <w:t>评分</w:t>
            </w:r>
          </w:p>
          <w:p>
            <w:pPr>
              <w:spacing w:line="420" w:lineRule="exact"/>
              <w:jc w:val="center"/>
              <w:rPr>
                <w:rFonts w:ascii="宋体" w:hAnsi="宋体" w:cs="宋体"/>
                <w:b/>
                <w:color w:val="000000"/>
                <w:sz w:val="21"/>
                <w:szCs w:val="21"/>
                <w:highlight w:val="none"/>
              </w:rPr>
            </w:pPr>
            <w:r>
              <w:rPr>
                <w:rFonts w:hint="eastAsia" w:ascii="宋体" w:hAnsi="宋体" w:cs="宋体"/>
                <w:b/>
                <w:color w:val="000000"/>
                <w:sz w:val="21"/>
                <w:szCs w:val="21"/>
                <w:highlight w:val="none"/>
              </w:rPr>
              <w:t>因素</w:t>
            </w:r>
          </w:p>
        </w:tc>
        <w:tc>
          <w:tcPr>
            <w:tcW w:w="76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20" w:lineRule="exact"/>
              <w:jc w:val="center"/>
              <w:rPr>
                <w:rFonts w:ascii="宋体" w:hAnsi="宋体" w:cs="宋体"/>
                <w:b/>
                <w:color w:val="000000"/>
                <w:sz w:val="21"/>
                <w:szCs w:val="21"/>
                <w:highlight w:val="none"/>
              </w:rPr>
            </w:pPr>
            <w:r>
              <w:rPr>
                <w:rFonts w:hint="eastAsia" w:ascii="宋体" w:hAnsi="宋体" w:cs="宋体"/>
                <w:b/>
                <w:color w:val="000000"/>
                <w:sz w:val="21"/>
                <w:szCs w:val="21"/>
                <w:highlight w:val="none"/>
              </w:rPr>
              <w:t>分/值</w:t>
            </w:r>
          </w:p>
        </w:tc>
        <w:tc>
          <w:tcPr>
            <w:tcW w:w="7103"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420" w:lineRule="exact"/>
              <w:jc w:val="center"/>
              <w:rPr>
                <w:rFonts w:ascii="宋体" w:hAnsi="宋体" w:cs="宋体"/>
                <w:b/>
                <w:color w:val="000000"/>
                <w:sz w:val="21"/>
                <w:szCs w:val="21"/>
                <w:highlight w:val="none"/>
              </w:rPr>
            </w:pPr>
            <w:r>
              <w:rPr>
                <w:rFonts w:hint="eastAsia" w:ascii="宋体" w:hAnsi="宋体" w:cs="宋体"/>
                <w:b/>
                <w:color w:val="000000"/>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报价部分（30分）</w:t>
            </w:r>
          </w:p>
        </w:tc>
        <w:tc>
          <w:tcPr>
            <w:tcW w:w="143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报价</w:t>
            </w:r>
          </w:p>
        </w:tc>
        <w:tc>
          <w:tcPr>
            <w:tcW w:w="7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30</w:t>
            </w:r>
          </w:p>
        </w:tc>
        <w:tc>
          <w:tcPr>
            <w:tcW w:w="710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价格分应当采用低价优先法计算，即满足招标文件要求且投标价格最低的投标报价为评标基准价，其价格分为满分。其他投标人的价格分统一按照下列公式计算：投标报价得分=（评标基准值/投标报价）×30%×100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55" w:type="dxa"/>
            <w:vMerge w:val="restart"/>
            <w:tcBorders>
              <w:top w:val="single" w:color="auto" w:sz="4" w:space="0"/>
              <w:left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技术部分（6</w:t>
            </w:r>
            <w:r>
              <w:rPr>
                <w:rFonts w:ascii="宋体" w:hAnsi="宋体" w:cs="宋体"/>
                <w:color w:val="000000"/>
                <w:szCs w:val="21"/>
                <w:highlight w:val="none"/>
              </w:rPr>
              <w:t>2</w:t>
            </w:r>
            <w:r>
              <w:rPr>
                <w:rFonts w:hint="eastAsia" w:ascii="宋体" w:hAnsi="宋体" w:cs="宋体"/>
                <w:color w:val="000000"/>
                <w:szCs w:val="21"/>
                <w:highlight w:val="none"/>
              </w:rPr>
              <w:t>分）</w:t>
            </w:r>
          </w:p>
        </w:tc>
        <w:tc>
          <w:tcPr>
            <w:tcW w:w="143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cs="宋体"/>
                <w:color w:val="000000"/>
                <w:szCs w:val="21"/>
                <w:highlight w:val="none"/>
                <w:lang w:val="en-US" w:eastAsia="zh-CN"/>
              </w:rPr>
            </w:pPr>
            <w:r>
              <w:rPr>
                <w:rFonts w:hint="eastAsia" w:ascii="宋体" w:hAnsi="宋体" w:cs="宋体"/>
                <w:color w:val="000000"/>
                <w:szCs w:val="21"/>
                <w:highlight w:val="none"/>
              </w:rPr>
              <w:t>项目</w:t>
            </w:r>
            <w:r>
              <w:rPr>
                <w:rFonts w:hint="eastAsia" w:ascii="宋体" w:hAnsi="宋体" w:cs="宋体"/>
                <w:color w:val="000000"/>
                <w:szCs w:val="21"/>
                <w:highlight w:val="none"/>
                <w:lang w:val="en-US" w:eastAsia="zh-CN"/>
              </w:rPr>
              <w:t>总体</w:t>
            </w:r>
          </w:p>
          <w:p>
            <w:pPr>
              <w:spacing w:line="420" w:lineRule="exact"/>
              <w:jc w:val="center"/>
              <w:rPr>
                <w:rFonts w:hint="eastAsia" w:ascii="宋体" w:hAnsi="宋体" w:eastAsia="宋体" w:cs="宋体"/>
                <w:color w:val="000000"/>
                <w:szCs w:val="21"/>
                <w:highlight w:val="none"/>
                <w:lang w:val="en-US" w:eastAsia="zh-CN"/>
              </w:rPr>
            </w:pPr>
            <w:bookmarkStart w:id="202" w:name="_GoBack"/>
            <w:bookmarkEnd w:id="202"/>
            <w:r>
              <w:rPr>
                <w:rFonts w:hint="eastAsia" w:ascii="宋体" w:hAnsi="宋体" w:cs="宋体"/>
                <w:color w:val="000000"/>
                <w:szCs w:val="21"/>
                <w:highlight w:val="none"/>
                <w:lang w:val="en-US" w:eastAsia="zh-CN"/>
              </w:rPr>
              <w:t>要求</w:t>
            </w:r>
          </w:p>
        </w:tc>
        <w:tc>
          <w:tcPr>
            <w:tcW w:w="7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8</w:t>
            </w:r>
          </w:p>
        </w:tc>
        <w:tc>
          <w:tcPr>
            <w:tcW w:w="710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所投方案与招标要求标▲项负偏离的每一项扣</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分；扣完为止，本项共</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1155" w:type="dxa"/>
            <w:vMerge w:val="continue"/>
            <w:tcBorders>
              <w:left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药品说明书查询功能</w:t>
            </w:r>
          </w:p>
        </w:tc>
        <w:tc>
          <w:tcPr>
            <w:tcW w:w="7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3</w:t>
            </w:r>
          </w:p>
        </w:tc>
        <w:tc>
          <w:tcPr>
            <w:tcW w:w="710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color w:val="000000"/>
                <w:szCs w:val="21"/>
                <w:highlight w:val="none"/>
              </w:rPr>
            </w:pPr>
            <w:r>
              <w:rPr>
                <w:rFonts w:hint="eastAsia" w:ascii="宋体" w:hAnsi="宋体" w:cs="宋体"/>
                <w:color w:val="000000"/>
                <w:szCs w:val="21"/>
                <w:highlight w:val="none"/>
              </w:rPr>
              <w:t>对投标文件中药品说明书查询功能进行评审，完全符合技术要求得满分</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分，符合情况较好的得</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.9分，基本符合的得</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.9分，无此项内容不得分。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atLeast"/>
          <w:jc w:val="center"/>
        </w:trPr>
        <w:tc>
          <w:tcPr>
            <w:tcW w:w="1155" w:type="dxa"/>
            <w:vMerge w:val="continue"/>
            <w:tcBorders>
              <w:left w:val="single" w:color="auto" w:sz="4" w:space="0"/>
              <w:right w:val="single" w:color="auto" w:sz="4" w:space="0"/>
            </w:tcBorders>
            <w:vAlign w:val="center"/>
          </w:tcPr>
          <w:p>
            <w:pPr>
              <w:widowControl/>
              <w:spacing w:line="420" w:lineRule="exact"/>
              <w:jc w:val="left"/>
              <w:rPr>
                <w:rFonts w:ascii="宋体" w:hAnsi="宋体" w:cs="宋体"/>
                <w:color w:val="000000"/>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门急诊处方点评/住院医嘱点评功能</w:t>
            </w:r>
          </w:p>
        </w:tc>
        <w:tc>
          <w:tcPr>
            <w:tcW w:w="7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ascii="宋体" w:hAnsi="宋体" w:cs="宋体"/>
                <w:color w:val="000000"/>
                <w:szCs w:val="21"/>
                <w:highlight w:val="none"/>
              </w:rPr>
              <w:t>8</w:t>
            </w:r>
          </w:p>
        </w:tc>
        <w:tc>
          <w:tcPr>
            <w:tcW w:w="7103" w:type="dxa"/>
            <w:tcBorders>
              <w:top w:val="single" w:color="auto" w:sz="4" w:space="0"/>
              <w:left w:val="single" w:color="auto" w:sz="4" w:space="0"/>
              <w:bottom w:val="single" w:color="auto" w:sz="4" w:space="0"/>
              <w:right w:val="single" w:color="auto" w:sz="4" w:space="0"/>
            </w:tcBorders>
          </w:tcPr>
          <w:p>
            <w:pPr>
              <w:widowControl/>
              <w:spacing w:line="420" w:lineRule="exact"/>
              <w:rPr>
                <w:rFonts w:ascii="宋体" w:hAnsi="宋体" w:cs="宋体"/>
                <w:color w:val="000000"/>
                <w:szCs w:val="21"/>
                <w:highlight w:val="none"/>
              </w:rPr>
            </w:pPr>
            <w:r>
              <w:rPr>
                <w:rFonts w:hint="eastAsia" w:ascii="宋体" w:hAnsi="宋体" w:cs="宋体"/>
                <w:color w:val="000000"/>
                <w:szCs w:val="21"/>
                <w:highlight w:val="none"/>
              </w:rPr>
              <w:t>对投标文件提供的门急诊处方点评/住院医嘱点评功能进行评审，包括：门急诊处方自动点评、门急诊处方人工点评、住院医嘱自动点评、住院医嘱人工点评等4个部分，对提供的方案是否符合技术要求、是否全面、具体、合理、可行进行评价，每部分满分2分，完全符合得2分，符合情况较好的得1-1.9分，基本符合的得0</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-0.9分。此项满分得</w:t>
            </w:r>
            <w:r>
              <w:rPr>
                <w:rFonts w:ascii="宋体" w:hAnsi="宋体" w:cs="宋体"/>
                <w:color w:val="000000"/>
                <w:szCs w:val="21"/>
                <w:highlight w:val="none"/>
              </w:rPr>
              <w:t>8</w:t>
            </w:r>
            <w:r>
              <w:rPr>
                <w:rFonts w:hint="eastAsia" w:ascii="宋体" w:hAnsi="宋体" w:cs="宋体"/>
                <w:color w:val="000000"/>
                <w:szCs w:val="21"/>
                <w:highlight w:val="none"/>
              </w:rPr>
              <w:t>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jc w:val="center"/>
        </w:trPr>
        <w:tc>
          <w:tcPr>
            <w:tcW w:w="1155" w:type="dxa"/>
            <w:vMerge w:val="continue"/>
            <w:tcBorders>
              <w:left w:val="single" w:color="auto" w:sz="4" w:space="0"/>
              <w:right w:val="single" w:color="auto" w:sz="4" w:space="0"/>
            </w:tcBorders>
            <w:vAlign w:val="center"/>
          </w:tcPr>
          <w:p>
            <w:pPr>
              <w:widowControl/>
              <w:spacing w:line="420" w:lineRule="exact"/>
              <w:jc w:val="left"/>
              <w:rPr>
                <w:rFonts w:ascii="宋体" w:hAnsi="宋体" w:cs="宋体"/>
                <w:color w:val="000000"/>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highlight w:val="none"/>
              </w:rPr>
              <w:t xml:space="preserve"> </w:t>
            </w:r>
            <w:r>
              <w:rPr>
                <w:rFonts w:hint="eastAsia"/>
                <w:highlight w:val="none"/>
              </w:rPr>
              <w:t>合理用药</w:t>
            </w:r>
            <w:r>
              <w:rPr>
                <w:highlight w:val="none"/>
              </w:rPr>
              <w:t>审核功能</w:t>
            </w:r>
          </w:p>
        </w:tc>
        <w:tc>
          <w:tcPr>
            <w:tcW w:w="7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ascii="宋体" w:hAnsi="宋体" w:cs="宋体"/>
                <w:color w:val="000000"/>
                <w:szCs w:val="21"/>
                <w:highlight w:val="none"/>
              </w:rPr>
              <w:t>15</w:t>
            </w:r>
          </w:p>
        </w:tc>
        <w:tc>
          <w:tcPr>
            <w:tcW w:w="7103" w:type="dxa"/>
            <w:tcBorders>
              <w:top w:val="single" w:color="auto" w:sz="4" w:space="0"/>
              <w:left w:val="single" w:color="auto" w:sz="4" w:space="0"/>
              <w:bottom w:val="single" w:color="auto" w:sz="4" w:space="0"/>
              <w:right w:val="single" w:color="auto" w:sz="4" w:space="0"/>
            </w:tcBorders>
          </w:tcPr>
          <w:p>
            <w:pPr>
              <w:widowControl/>
              <w:spacing w:line="420" w:lineRule="exact"/>
              <w:rPr>
                <w:rFonts w:ascii="宋体" w:hAnsi="宋体" w:cs="宋体"/>
                <w:color w:val="000000"/>
                <w:szCs w:val="21"/>
                <w:highlight w:val="none"/>
              </w:rPr>
            </w:pPr>
            <w:r>
              <w:rPr>
                <w:rFonts w:hint="eastAsia" w:ascii="宋体" w:hAnsi="宋体" w:cs="宋体"/>
                <w:color w:val="000000"/>
                <w:szCs w:val="21"/>
                <w:highlight w:val="none"/>
              </w:rPr>
              <w:t>对投标文件中合理用药审核功能进行评审，包括：合理用药自动审核、合理用药审核中心、合理用药药房调剂审核等3个部分，对提供的合理用药审核功能是否符合招标文件要求、是否全面、合理、可行进行评价，每部分满分</w:t>
            </w:r>
            <w:r>
              <w:rPr>
                <w:rFonts w:ascii="宋体" w:hAnsi="宋体" w:cs="宋体"/>
                <w:color w:val="000000"/>
                <w:szCs w:val="21"/>
                <w:highlight w:val="none"/>
              </w:rPr>
              <w:t>5</w:t>
            </w:r>
            <w:r>
              <w:rPr>
                <w:rFonts w:hint="eastAsia" w:ascii="宋体" w:hAnsi="宋体" w:cs="宋体"/>
                <w:color w:val="000000"/>
                <w:szCs w:val="21"/>
                <w:highlight w:val="none"/>
              </w:rPr>
              <w:t>分，完全符合得</w:t>
            </w:r>
            <w:r>
              <w:rPr>
                <w:rFonts w:ascii="宋体" w:hAnsi="宋体" w:cs="宋体"/>
                <w:color w:val="000000"/>
                <w:szCs w:val="21"/>
                <w:highlight w:val="none"/>
              </w:rPr>
              <w:t>5</w:t>
            </w:r>
            <w:r>
              <w:rPr>
                <w:rFonts w:hint="eastAsia" w:ascii="宋体" w:hAnsi="宋体" w:cs="宋体"/>
                <w:color w:val="000000"/>
                <w:szCs w:val="21"/>
                <w:highlight w:val="none"/>
              </w:rPr>
              <w:t>分，符合情况较好的得</w:t>
            </w:r>
            <w:r>
              <w:rPr>
                <w:rFonts w:ascii="宋体" w:hAnsi="宋体" w:cs="宋体"/>
                <w:color w:val="000000"/>
                <w:szCs w:val="21"/>
                <w:highlight w:val="none"/>
              </w:rPr>
              <w:t>3</w:t>
            </w:r>
            <w:r>
              <w:rPr>
                <w:rFonts w:hint="eastAsia" w:ascii="宋体" w:hAnsi="宋体" w:cs="宋体"/>
                <w:color w:val="000000"/>
                <w:szCs w:val="21"/>
                <w:highlight w:val="none"/>
              </w:rPr>
              <w:t>-</w:t>
            </w:r>
            <w:r>
              <w:rPr>
                <w:rFonts w:ascii="宋体" w:hAnsi="宋体" w:cs="宋体"/>
                <w:color w:val="000000"/>
                <w:szCs w:val="21"/>
                <w:highlight w:val="none"/>
              </w:rPr>
              <w:t>4</w:t>
            </w:r>
            <w:r>
              <w:rPr>
                <w:rFonts w:hint="eastAsia" w:ascii="宋体" w:hAnsi="宋体" w:cs="宋体"/>
                <w:color w:val="000000"/>
                <w:szCs w:val="21"/>
                <w:highlight w:val="none"/>
              </w:rPr>
              <w:t>.9分，基本符合的得1-</w:t>
            </w:r>
            <w:r>
              <w:rPr>
                <w:rFonts w:ascii="宋体" w:hAnsi="宋体" w:cs="宋体"/>
                <w:color w:val="000000"/>
                <w:szCs w:val="21"/>
                <w:highlight w:val="none"/>
              </w:rPr>
              <w:t>2.</w:t>
            </w:r>
            <w:r>
              <w:rPr>
                <w:rFonts w:hint="eastAsia" w:ascii="宋体" w:hAnsi="宋体" w:cs="宋体"/>
                <w:color w:val="000000"/>
                <w:szCs w:val="21"/>
                <w:highlight w:val="none"/>
              </w:rPr>
              <w:t>9分。此项满分得</w:t>
            </w:r>
            <w:r>
              <w:rPr>
                <w:rFonts w:ascii="宋体" w:hAnsi="宋体" w:cs="宋体"/>
                <w:color w:val="000000"/>
                <w:szCs w:val="21"/>
                <w:highlight w:val="none"/>
              </w:rPr>
              <w:t>15</w:t>
            </w:r>
            <w:r>
              <w:rPr>
                <w:rFonts w:hint="eastAsia" w:ascii="宋体" w:hAnsi="宋体" w:cs="宋体"/>
                <w:color w:val="000000"/>
                <w:szCs w:val="21"/>
                <w:highlight w:val="none"/>
              </w:rPr>
              <w:t>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jc w:val="center"/>
        </w:trPr>
        <w:tc>
          <w:tcPr>
            <w:tcW w:w="1155" w:type="dxa"/>
            <w:vMerge w:val="continue"/>
            <w:tcBorders>
              <w:left w:val="single" w:color="auto" w:sz="4" w:space="0"/>
              <w:right w:val="single" w:color="auto" w:sz="4" w:space="0"/>
            </w:tcBorders>
            <w:vAlign w:val="center"/>
          </w:tcPr>
          <w:p>
            <w:pPr>
              <w:widowControl/>
              <w:spacing w:line="420" w:lineRule="exact"/>
              <w:jc w:val="left"/>
              <w:rPr>
                <w:rFonts w:ascii="宋体" w:hAnsi="宋体" w:cs="宋体"/>
                <w:color w:val="000000"/>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highlight w:val="none"/>
              </w:rPr>
              <w:t>知识库</w:t>
            </w:r>
            <w:r>
              <w:rPr>
                <w:rFonts w:hint="eastAsia"/>
                <w:highlight w:val="none"/>
              </w:rPr>
              <w:t>、</w:t>
            </w:r>
            <w:r>
              <w:rPr>
                <w:highlight w:val="none"/>
              </w:rPr>
              <w:t>规则库</w:t>
            </w:r>
          </w:p>
        </w:tc>
        <w:tc>
          <w:tcPr>
            <w:tcW w:w="7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6</w:t>
            </w:r>
          </w:p>
        </w:tc>
        <w:tc>
          <w:tcPr>
            <w:tcW w:w="7103" w:type="dxa"/>
            <w:tcBorders>
              <w:top w:val="single" w:color="auto" w:sz="4" w:space="0"/>
              <w:left w:val="single" w:color="auto" w:sz="4" w:space="0"/>
              <w:bottom w:val="single" w:color="auto" w:sz="4" w:space="0"/>
              <w:right w:val="single" w:color="auto" w:sz="4" w:space="0"/>
            </w:tcBorders>
          </w:tcPr>
          <w:p>
            <w:pPr>
              <w:widowControl/>
              <w:spacing w:line="420" w:lineRule="exact"/>
              <w:rPr>
                <w:rFonts w:ascii="宋体" w:hAnsi="宋体" w:cs="宋体"/>
                <w:color w:val="000000"/>
                <w:szCs w:val="21"/>
                <w:highlight w:val="none"/>
              </w:rPr>
            </w:pPr>
            <w:r>
              <w:rPr>
                <w:rFonts w:hint="eastAsia" w:ascii="宋体" w:hAnsi="宋体" w:cs="宋体"/>
                <w:color w:val="000000"/>
                <w:szCs w:val="21"/>
                <w:highlight w:val="none"/>
              </w:rPr>
              <w:t>对投标文件中知识库、规则库进行评审，包括：药品规则查询功能、用药规则自定义功能、管理规则（用药权限、用药控制、医院相关管理规定）自定义功能等3个部分，对提供的知识库、规则库是否符合招标文件要求、是否全面、合理、可行进行评价，每部分满分2分，完全符合得2分，符合情况较好的得1-1.9分，基本符合的得0</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-0.9分。此项满分得6分，无此项内容不得分。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155" w:type="dxa"/>
            <w:vMerge w:val="continue"/>
            <w:tcBorders>
              <w:left w:val="single" w:color="auto" w:sz="4" w:space="0"/>
              <w:right w:val="single" w:color="auto" w:sz="4" w:space="0"/>
            </w:tcBorders>
            <w:vAlign w:val="center"/>
          </w:tcPr>
          <w:p>
            <w:pPr>
              <w:widowControl/>
              <w:spacing w:line="420" w:lineRule="exact"/>
              <w:jc w:val="left"/>
              <w:rPr>
                <w:rFonts w:ascii="宋体" w:hAnsi="宋体" w:cs="宋体"/>
                <w:color w:val="000000"/>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b/>
                <w:bCs/>
                <w:highlight w:val="none"/>
              </w:rPr>
            </w:pPr>
            <w:r>
              <w:rPr>
                <w:highlight w:val="none"/>
              </w:rPr>
              <w:t xml:space="preserve"> 用药教育与指导</w:t>
            </w:r>
          </w:p>
        </w:tc>
        <w:tc>
          <w:tcPr>
            <w:tcW w:w="7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ascii="宋体" w:hAnsi="宋体" w:cs="宋体"/>
                <w:color w:val="000000"/>
                <w:szCs w:val="21"/>
                <w:highlight w:val="none"/>
              </w:rPr>
              <w:t>3</w:t>
            </w:r>
          </w:p>
        </w:tc>
        <w:tc>
          <w:tcPr>
            <w:tcW w:w="7103" w:type="dxa"/>
            <w:tcBorders>
              <w:top w:val="single" w:color="auto" w:sz="4" w:space="0"/>
              <w:left w:val="single" w:color="auto" w:sz="4" w:space="0"/>
              <w:bottom w:val="single" w:color="auto" w:sz="4" w:space="0"/>
              <w:right w:val="single" w:color="auto" w:sz="4" w:space="0"/>
            </w:tcBorders>
          </w:tcPr>
          <w:p>
            <w:pPr>
              <w:widowControl/>
              <w:spacing w:line="420" w:lineRule="exact"/>
              <w:rPr>
                <w:rFonts w:ascii="宋体" w:hAnsi="宋体" w:cs="宋体"/>
                <w:b/>
                <w:bCs/>
                <w:color w:val="000000"/>
                <w:szCs w:val="21"/>
                <w:highlight w:val="none"/>
              </w:rPr>
            </w:pPr>
            <w:r>
              <w:rPr>
                <w:rFonts w:hint="eastAsia" w:ascii="宋体" w:hAnsi="宋体" w:cs="宋体"/>
                <w:color w:val="000000"/>
                <w:szCs w:val="21"/>
                <w:highlight w:val="none"/>
              </w:rPr>
              <w:t>对投标文件中</w:t>
            </w:r>
            <w:r>
              <w:rPr>
                <w:highlight w:val="none"/>
              </w:rPr>
              <w:t>用药教育与指导</w:t>
            </w:r>
            <w:r>
              <w:rPr>
                <w:rFonts w:hint="eastAsia" w:ascii="宋体" w:hAnsi="宋体" w:cs="宋体"/>
                <w:color w:val="000000"/>
                <w:szCs w:val="21"/>
                <w:highlight w:val="none"/>
              </w:rPr>
              <w:t>进行评审，对提供的</w:t>
            </w:r>
            <w:r>
              <w:rPr>
                <w:highlight w:val="none"/>
              </w:rPr>
              <w:t>用药教育与指导</w:t>
            </w:r>
            <w:r>
              <w:rPr>
                <w:rFonts w:hint="eastAsia" w:ascii="宋体" w:hAnsi="宋体" w:cs="宋体"/>
                <w:color w:val="000000"/>
                <w:szCs w:val="21"/>
                <w:highlight w:val="none"/>
              </w:rPr>
              <w:t>是否符合招标文件要求、是否全面、合理、可行进行评价，完全符合得</w:t>
            </w:r>
            <w:r>
              <w:rPr>
                <w:rFonts w:ascii="宋体" w:hAnsi="宋体" w:cs="宋体"/>
                <w:color w:val="000000"/>
                <w:szCs w:val="21"/>
                <w:highlight w:val="none"/>
              </w:rPr>
              <w:t>3</w:t>
            </w:r>
            <w:r>
              <w:rPr>
                <w:rFonts w:hint="eastAsia" w:ascii="宋体" w:hAnsi="宋体" w:cs="宋体"/>
                <w:color w:val="000000"/>
                <w:szCs w:val="21"/>
                <w:highlight w:val="none"/>
              </w:rPr>
              <w:t>分，符合情况较好的得2-</w:t>
            </w:r>
            <w:r>
              <w:rPr>
                <w:rFonts w:ascii="宋体" w:hAnsi="宋体" w:cs="宋体"/>
                <w:color w:val="000000"/>
                <w:szCs w:val="21"/>
                <w:highlight w:val="none"/>
              </w:rPr>
              <w:t>2</w:t>
            </w:r>
            <w:r>
              <w:rPr>
                <w:rFonts w:hint="eastAsia" w:ascii="宋体" w:hAnsi="宋体" w:cs="宋体"/>
                <w:color w:val="000000"/>
                <w:szCs w:val="21"/>
                <w:highlight w:val="none"/>
              </w:rPr>
              <w:t>.9分，基本符合的得</w:t>
            </w:r>
            <w:r>
              <w:rPr>
                <w:rFonts w:ascii="宋体" w:hAnsi="宋体" w:cs="宋体"/>
                <w:color w:val="000000"/>
                <w:szCs w:val="21"/>
                <w:highlight w:val="none"/>
              </w:rPr>
              <w:t>1</w:t>
            </w:r>
            <w:r>
              <w:rPr>
                <w:rFonts w:hint="eastAsia" w:ascii="宋体" w:hAnsi="宋体" w:cs="宋体"/>
                <w:color w:val="000000"/>
                <w:szCs w:val="21"/>
                <w:highlight w:val="none"/>
              </w:rPr>
              <w:t>-</w:t>
            </w:r>
            <w:r>
              <w:rPr>
                <w:rFonts w:ascii="宋体" w:hAnsi="宋体" w:cs="宋体"/>
                <w:color w:val="000000"/>
                <w:szCs w:val="21"/>
                <w:highlight w:val="none"/>
              </w:rPr>
              <w:t>1</w:t>
            </w:r>
            <w:r>
              <w:rPr>
                <w:rFonts w:hint="eastAsia" w:ascii="宋体" w:hAnsi="宋体" w:cs="宋体"/>
                <w:color w:val="000000"/>
                <w:szCs w:val="21"/>
                <w:highlight w:val="none"/>
              </w:rPr>
              <w:t>.9分，无此项内容不得分。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155" w:type="dxa"/>
            <w:vMerge w:val="continue"/>
            <w:tcBorders>
              <w:left w:val="single" w:color="auto" w:sz="4" w:space="0"/>
              <w:right w:val="single" w:color="auto" w:sz="4" w:space="0"/>
            </w:tcBorders>
            <w:vAlign w:val="center"/>
          </w:tcPr>
          <w:p>
            <w:pPr>
              <w:widowControl/>
              <w:spacing w:line="420" w:lineRule="exact"/>
              <w:jc w:val="left"/>
              <w:rPr>
                <w:rFonts w:ascii="宋体" w:hAnsi="宋体" w:cs="宋体"/>
                <w:color w:val="000000"/>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highlight w:val="none"/>
              </w:rPr>
            </w:pPr>
            <w:r>
              <w:rPr>
                <w:rFonts w:hint="eastAsia"/>
                <w:highlight w:val="none"/>
              </w:rPr>
              <w:t>A</w:t>
            </w:r>
            <w:r>
              <w:rPr>
                <w:highlight w:val="none"/>
              </w:rPr>
              <w:t>DR事件自动监测上报系统</w:t>
            </w:r>
          </w:p>
        </w:tc>
        <w:tc>
          <w:tcPr>
            <w:tcW w:w="7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ascii="宋体" w:hAnsi="宋体" w:cs="宋体"/>
                <w:color w:val="000000"/>
                <w:szCs w:val="21"/>
                <w:highlight w:val="none"/>
              </w:rPr>
              <w:t>3</w:t>
            </w:r>
          </w:p>
        </w:tc>
        <w:tc>
          <w:tcPr>
            <w:tcW w:w="7103" w:type="dxa"/>
            <w:tcBorders>
              <w:top w:val="single" w:color="auto" w:sz="4" w:space="0"/>
              <w:left w:val="single" w:color="auto" w:sz="4" w:space="0"/>
              <w:bottom w:val="single" w:color="auto" w:sz="4" w:space="0"/>
              <w:right w:val="single" w:color="auto" w:sz="4" w:space="0"/>
            </w:tcBorders>
          </w:tcPr>
          <w:p>
            <w:pPr>
              <w:widowControl/>
              <w:spacing w:line="420" w:lineRule="exact"/>
              <w:rPr>
                <w:rFonts w:ascii="宋体" w:hAnsi="宋体" w:cs="宋体"/>
                <w:color w:val="000000"/>
                <w:szCs w:val="21"/>
                <w:highlight w:val="none"/>
              </w:rPr>
            </w:pPr>
            <w:r>
              <w:rPr>
                <w:rFonts w:hint="eastAsia" w:ascii="宋体" w:hAnsi="宋体" w:cs="宋体"/>
                <w:color w:val="000000"/>
                <w:szCs w:val="21"/>
                <w:highlight w:val="none"/>
              </w:rPr>
              <w:t>对投标文件中ADR事件自动监测上报系统能进行评审，对提供的ADR事件自动监测上报系统是否符合招标文件要求、是否全面、合理、可行进行评价，完全符合得</w:t>
            </w:r>
            <w:r>
              <w:rPr>
                <w:rFonts w:ascii="宋体" w:hAnsi="宋体" w:cs="宋体"/>
                <w:color w:val="000000"/>
                <w:szCs w:val="21"/>
                <w:highlight w:val="none"/>
              </w:rPr>
              <w:t>3</w:t>
            </w:r>
            <w:r>
              <w:rPr>
                <w:rFonts w:hint="eastAsia" w:ascii="宋体" w:hAnsi="宋体" w:cs="宋体"/>
                <w:color w:val="000000"/>
                <w:szCs w:val="21"/>
                <w:highlight w:val="none"/>
              </w:rPr>
              <w:t>分，符合情况较好的得2-</w:t>
            </w:r>
            <w:r>
              <w:rPr>
                <w:rFonts w:ascii="宋体" w:hAnsi="宋体" w:cs="宋体"/>
                <w:color w:val="000000"/>
                <w:szCs w:val="21"/>
                <w:highlight w:val="none"/>
              </w:rPr>
              <w:t>2</w:t>
            </w:r>
            <w:r>
              <w:rPr>
                <w:rFonts w:hint="eastAsia" w:ascii="宋体" w:hAnsi="宋体" w:cs="宋体"/>
                <w:color w:val="000000"/>
                <w:szCs w:val="21"/>
                <w:highlight w:val="none"/>
              </w:rPr>
              <w:t>.9分，基本符合的得1-</w:t>
            </w:r>
            <w:r>
              <w:rPr>
                <w:rFonts w:ascii="宋体" w:hAnsi="宋体" w:cs="宋体"/>
                <w:color w:val="000000"/>
                <w:szCs w:val="21"/>
                <w:highlight w:val="none"/>
              </w:rPr>
              <w:t>1</w:t>
            </w:r>
            <w:r>
              <w:rPr>
                <w:rFonts w:hint="eastAsia" w:ascii="宋体" w:hAnsi="宋体" w:cs="宋体"/>
                <w:color w:val="000000"/>
                <w:szCs w:val="21"/>
                <w:highlight w:val="none"/>
              </w:rPr>
              <w:t>.9分，无此项内容不得分。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1155" w:type="dxa"/>
            <w:vMerge w:val="continue"/>
            <w:tcBorders>
              <w:left w:val="single" w:color="auto" w:sz="4" w:space="0"/>
              <w:right w:val="single" w:color="auto" w:sz="4" w:space="0"/>
            </w:tcBorders>
            <w:vAlign w:val="center"/>
          </w:tcPr>
          <w:p>
            <w:pPr>
              <w:widowControl/>
              <w:spacing w:line="420" w:lineRule="exact"/>
              <w:jc w:val="left"/>
              <w:rPr>
                <w:rFonts w:ascii="宋体" w:hAnsi="宋体" w:cs="宋体"/>
                <w:color w:val="000000"/>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highlight w:val="none"/>
              </w:rPr>
            </w:pPr>
            <w:r>
              <w:rPr>
                <w:highlight w:val="none"/>
              </w:rPr>
              <w:t>电子药历</w:t>
            </w:r>
          </w:p>
        </w:tc>
        <w:tc>
          <w:tcPr>
            <w:tcW w:w="7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4</w:t>
            </w:r>
          </w:p>
        </w:tc>
        <w:tc>
          <w:tcPr>
            <w:tcW w:w="7103" w:type="dxa"/>
            <w:tcBorders>
              <w:top w:val="single" w:color="auto" w:sz="4" w:space="0"/>
              <w:left w:val="single" w:color="auto" w:sz="4" w:space="0"/>
              <w:bottom w:val="single" w:color="auto" w:sz="4" w:space="0"/>
              <w:right w:val="single" w:color="auto" w:sz="4" w:space="0"/>
            </w:tcBorders>
          </w:tcPr>
          <w:p>
            <w:pPr>
              <w:widowControl/>
              <w:spacing w:line="420" w:lineRule="exact"/>
              <w:rPr>
                <w:rFonts w:ascii="宋体" w:hAnsi="宋体" w:cs="宋体"/>
                <w:color w:val="000000"/>
                <w:szCs w:val="21"/>
                <w:highlight w:val="none"/>
              </w:rPr>
            </w:pPr>
            <w:r>
              <w:rPr>
                <w:rFonts w:hint="eastAsia" w:ascii="宋体" w:hAnsi="宋体" w:cs="宋体"/>
                <w:color w:val="000000"/>
                <w:szCs w:val="21"/>
                <w:highlight w:val="none"/>
              </w:rPr>
              <w:t>对投标文件中电子药历进行评审，对提供的电子药历是否符合招标文件要求、是否全面、合理、可行进行评价，完全符合得</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分，符合情况较好的得</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3.9</w:t>
            </w:r>
            <w:r>
              <w:rPr>
                <w:rFonts w:hint="eastAsia" w:ascii="宋体" w:hAnsi="宋体" w:cs="宋体"/>
                <w:color w:val="000000"/>
                <w:szCs w:val="21"/>
                <w:highlight w:val="none"/>
              </w:rPr>
              <w:t>分，基本符合的得</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1.9</w:t>
            </w:r>
            <w:r>
              <w:rPr>
                <w:rFonts w:hint="eastAsia" w:ascii="宋体" w:hAnsi="宋体" w:cs="宋体"/>
                <w:color w:val="000000"/>
                <w:szCs w:val="21"/>
                <w:highlight w:val="none"/>
              </w:rPr>
              <w:t>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0" w:hRule="atLeast"/>
          <w:jc w:val="center"/>
        </w:trPr>
        <w:tc>
          <w:tcPr>
            <w:tcW w:w="1155" w:type="dxa"/>
            <w:vMerge w:val="continue"/>
            <w:tcBorders>
              <w:left w:val="single" w:color="auto" w:sz="4" w:space="0"/>
              <w:right w:val="single" w:color="auto" w:sz="4" w:space="0"/>
            </w:tcBorders>
            <w:vAlign w:val="center"/>
          </w:tcPr>
          <w:p>
            <w:pPr>
              <w:widowControl/>
              <w:spacing w:line="420" w:lineRule="exact"/>
              <w:jc w:val="left"/>
              <w:rPr>
                <w:rFonts w:ascii="宋体" w:hAnsi="宋体" w:cs="宋体"/>
                <w:color w:val="000000"/>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highlight w:val="none"/>
              </w:rPr>
            </w:pPr>
            <w:r>
              <w:rPr>
                <w:highlight w:val="none"/>
              </w:rPr>
              <w:t>合理用药咨询与药物治疗管理</w:t>
            </w:r>
            <w:r>
              <w:rPr>
                <w:rFonts w:hint="eastAsia"/>
                <w:highlight w:val="none"/>
              </w:rPr>
              <w:t>功能</w:t>
            </w:r>
          </w:p>
        </w:tc>
        <w:tc>
          <w:tcPr>
            <w:tcW w:w="7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4</w:t>
            </w:r>
          </w:p>
        </w:tc>
        <w:tc>
          <w:tcPr>
            <w:tcW w:w="7103" w:type="dxa"/>
            <w:tcBorders>
              <w:top w:val="single" w:color="auto" w:sz="4" w:space="0"/>
              <w:left w:val="single" w:color="auto" w:sz="4" w:space="0"/>
              <w:bottom w:val="single" w:color="auto" w:sz="4" w:space="0"/>
              <w:right w:val="single" w:color="auto" w:sz="4" w:space="0"/>
            </w:tcBorders>
          </w:tcPr>
          <w:p>
            <w:pPr>
              <w:widowControl/>
              <w:spacing w:line="420" w:lineRule="exact"/>
              <w:rPr>
                <w:rFonts w:ascii="宋体" w:hAnsi="宋体" w:cs="宋体"/>
                <w:color w:val="000000"/>
                <w:szCs w:val="21"/>
                <w:highlight w:val="none"/>
              </w:rPr>
            </w:pPr>
            <w:r>
              <w:rPr>
                <w:rFonts w:hint="eastAsia" w:ascii="宋体" w:hAnsi="宋体" w:cs="宋体"/>
                <w:color w:val="000000"/>
                <w:szCs w:val="21"/>
                <w:highlight w:val="none"/>
              </w:rPr>
              <w:t>对投标文件中用药咨询</w:t>
            </w:r>
            <w:r>
              <w:rPr>
                <w:highlight w:val="none"/>
              </w:rPr>
              <w:t>与药物治疗管理</w:t>
            </w:r>
            <w:r>
              <w:rPr>
                <w:rFonts w:hint="eastAsia" w:ascii="宋体" w:hAnsi="宋体" w:cs="宋体"/>
                <w:color w:val="000000"/>
                <w:szCs w:val="21"/>
                <w:highlight w:val="none"/>
              </w:rPr>
              <w:t>功能进行评审，对提供的用药咨询功能是否符合招标文件要求、是否全面、合理、可行进行评价，完完全符合得</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分，符合情况较好的得</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3.9</w:t>
            </w:r>
            <w:r>
              <w:rPr>
                <w:rFonts w:hint="eastAsia" w:ascii="宋体" w:hAnsi="宋体" w:cs="宋体"/>
                <w:color w:val="000000"/>
                <w:szCs w:val="21"/>
                <w:highlight w:val="none"/>
              </w:rPr>
              <w:t>分，基本符合的得</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1.9</w:t>
            </w:r>
            <w:r>
              <w:rPr>
                <w:rFonts w:hint="eastAsia" w:ascii="宋体" w:hAnsi="宋体" w:cs="宋体"/>
                <w:color w:val="000000"/>
                <w:szCs w:val="21"/>
                <w:highlight w:val="none"/>
              </w:rPr>
              <w:t>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jc w:val="center"/>
        </w:trPr>
        <w:tc>
          <w:tcPr>
            <w:tcW w:w="1155" w:type="dxa"/>
            <w:vMerge w:val="continue"/>
            <w:tcBorders>
              <w:left w:val="single" w:color="auto" w:sz="4" w:space="0"/>
              <w:right w:val="single" w:color="auto" w:sz="4" w:space="0"/>
            </w:tcBorders>
            <w:vAlign w:val="center"/>
          </w:tcPr>
          <w:p>
            <w:pPr>
              <w:widowControl/>
              <w:spacing w:line="420" w:lineRule="exact"/>
              <w:jc w:val="left"/>
              <w:rPr>
                <w:rFonts w:ascii="宋体" w:hAnsi="宋体" w:cs="宋体"/>
                <w:color w:val="000000"/>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highlight w:val="none"/>
              </w:rPr>
              <w:t>合理用药多院区</w:t>
            </w:r>
            <w:r>
              <w:rPr>
                <w:highlight w:val="none"/>
              </w:rPr>
              <w:t>审核点评中心</w:t>
            </w:r>
          </w:p>
        </w:tc>
        <w:tc>
          <w:tcPr>
            <w:tcW w:w="7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4</w:t>
            </w:r>
          </w:p>
        </w:tc>
        <w:tc>
          <w:tcPr>
            <w:tcW w:w="710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rPr>
                <w:rFonts w:ascii="宋体" w:hAnsi="宋体" w:cs="宋体"/>
                <w:color w:val="000000"/>
                <w:szCs w:val="21"/>
                <w:highlight w:val="none"/>
              </w:rPr>
            </w:pPr>
            <w:r>
              <w:rPr>
                <w:rFonts w:hint="eastAsia" w:ascii="宋体" w:hAnsi="宋体" w:cs="宋体"/>
                <w:color w:val="000000"/>
                <w:szCs w:val="21"/>
                <w:highlight w:val="none"/>
              </w:rPr>
              <w:t>对投标文件中</w:t>
            </w:r>
            <w:r>
              <w:rPr>
                <w:rFonts w:hint="eastAsia"/>
                <w:highlight w:val="none"/>
              </w:rPr>
              <w:t>合理用药多院区</w:t>
            </w:r>
            <w:r>
              <w:rPr>
                <w:highlight w:val="none"/>
              </w:rPr>
              <w:t>审核点评中心</w:t>
            </w:r>
            <w:r>
              <w:rPr>
                <w:rFonts w:hint="eastAsia" w:ascii="宋体" w:hAnsi="宋体" w:cs="宋体"/>
                <w:color w:val="000000"/>
                <w:szCs w:val="21"/>
                <w:highlight w:val="none"/>
              </w:rPr>
              <w:t>进行评审，对提供的</w:t>
            </w:r>
            <w:r>
              <w:rPr>
                <w:rFonts w:hint="eastAsia"/>
                <w:highlight w:val="none"/>
              </w:rPr>
              <w:t>合理用药多院区</w:t>
            </w:r>
            <w:r>
              <w:rPr>
                <w:highlight w:val="none"/>
              </w:rPr>
              <w:t>审核点评中心</w:t>
            </w:r>
            <w:r>
              <w:rPr>
                <w:rFonts w:hint="eastAsia" w:ascii="宋体" w:hAnsi="宋体" w:cs="宋体"/>
                <w:color w:val="000000"/>
                <w:szCs w:val="21"/>
                <w:highlight w:val="none"/>
              </w:rPr>
              <w:t>是否符合招标文件要求、是否全面、合理、可行进行评价，完全符合得</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分，符合情况较好的得</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3.9</w:t>
            </w:r>
            <w:r>
              <w:rPr>
                <w:rFonts w:hint="eastAsia" w:ascii="宋体" w:hAnsi="宋体" w:cs="宋体"/>
                <w:color w:val="000000"/>
                <w:szCs w:val="21"/>
                <w:highlight w:val="none"/>
              </w:rPr>
              <w:t>分，基本符合的得</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1.9</w:t>
            </w:r>
            <w:r>
              <w:rPr>
                <w:rFonts w:hint="eastAsia" w:ascii="宋体" w:hAnsi="宋体" w:cs="宋体"/>
                <w:color w:val="000000"/>
                <w:szCs w:val="21"/>
                <w:highlight w:val="none"/>
              </w:rPr>
              <w:t>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155" w:type="dxa"/>
            <w:vMerge w:val="continue"/>
            <w:tcBorders>
              <w:left w:val="single" w:color="auto" w:sz="4" w:space="0"/>
              <w:bottom w:val="single" w:color="auto" w:sz="4" w:space="0"/>
              <w:right w:val="single" w:color="auto" w:sz="4" w:space="0"/>
            </w:tcBorders>
            <w:vAlign w:val="center"/>
          </w:tcPr>
          <w:p>
            <w:pPr>
              <w:widowControl/>
              <w:spacing w:line="420" w:lineRule="exact"/>
              <w:jc w:val="left"/>
              <w:rPr>
                <w:rFonts w:ascii="宋体" w:hAnsi="宋体" w:cs="宋体"/>
                <w:color w:val="000000"/>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highlight w:val="none"/>
              </w:rPr>
            </w:pPr>
            <w:r>
              <w:rPr>
                <w:highlight w:val="none"/>
              </w:rPr>
              <w:t>统计分析</w:t>
            </w:r>
          </w:p>
        </w:tc>
        <w:tc>
          <w:tcPr>
            <w:tcW w:w="7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val="en-US" w:eastAsia="zh-CN"/>
              </w:rPr>
              <w:t>4</w:t>
            </w:r>
          </w:p>
        </w:tc>
        <w:tc>
          <w:tcPr>
            <w:tcW w:w="7103" w:type="dxa"/>
            <w:tcBorders>
              <w:top w:val="single" w:color="auto" w:sz="4" w:space="0"/>
              <w:left w:val="single" w:color="auto" w:sz="4" w:space="0"/>
              <w:bottom w:val="single" w:color="auto" w:sz="4" w:space="0"/>
              <w:right w:val="single" w:color="auto" w:sz="4" w:space="0"/>
            </w:tcBorders>
            <w:vAlign w:val="center"/>
          </w:tcPr>
          <w:p>
            <w:pPr>
              <w:widowControl/>
              <w:spacing w:line="420" w:lineRule="exact"/>
              <w:rPr>
                <w:rFonts w:ascii="宋体" w:hAnsi="宋体" w:cs="宋体"/>
                <w:color w:val="000000"/>
                <w:szCs w:val="21"/>
                <w:highlight w:val="none"/>
              </w:rPr>
            </w:pPr>
            <w:r>
              <w:rPr>
                <w:rFonts w:hint="eastAsia" w:ascii="宋体" w:hAnsi="宋体" w:cs="宋体"/>
                <w:color w:val="000000"/>
                <w:szCs w:val="21"/>
                <w:highlight w:val="none"/>
              </w:rPr>
              <w:t>对投标文件中不同数据分析、不同维度统计报表进行评审，完全符合得</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分，符合情况较好的得</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3.9</w:t>
            </w:r>
            <w:r>
              <w:rPr>
                <w:rFonts w:hint="eastAsia" w:ascii="宋体" w:hAnsi="宋体" w:cs="宋体"/>
                <w:color w:val="000000"/>
                <w:szCs w:val="21"/>
                <w:highlight w:val="none"/>
              </w:rPr>
              <w:t>分，基本符合的得</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1.9</w:t>
            </w:r>
            <w:r>
              <w:rPr>
                <w:rFonts w:hint="eastAsia" w:ascii="宋体" w:hAnsi="宋体" w:cs="宋体"/>
                <w:color w:val="000000"/>
                <w:szCs w:val="21"/>
                <w:highlight w:val="none"/>
              </w:rPr>
              <w:t>分，无此项内容不得分。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商务部分（</w:t>
            </w:r>
            <w:r>
              <w:rPr>
                <w:rFonts w:ascii="宋体" w:hAnsi="宋体" w:cs="宋体"/>
                <w:color w:val="000000"/>
                <w:szCs w:val="21"/>
                <w:highlight w:val="none"/>
              </w:rPr>
              <w:t>6</w:t>
            </w:r>
            <w:r>
              <w:rPr>
                <w:rFonts w:hint="eastAsia" w:ascii="宋体" w:hAnsi="宋体" w:cs="宋体"/>
                <w:color w:val="000000"/>
                <w:szCs w:val="21"/>
                <w:highlight w:val="none"/>
              </w:rPr>
              <w:t>分）</w:t>
            </w:r>
          </w:p>
        </w:tc>
        <w:tc>
          <w:tcPr>
            <w:tcW w:w="143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业绩</w:t>
            </w:r>
          </w:p>
        </w:tc>
        <w:tc>
          <w:tcPr>
            <w:tcW w:w="7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ascii="宋体" w:hAnsi="宋体" w:cs="宋体"/>
                <w:color w:val="000000"/>
                <w:szCs w:val="21"/>
                <w:highlight w:val="none"/>
              </w:rPr>
              <w:t>6</w:t>
            </w:r>
          </w:p>
        </w:tc>
        <w:tc>
          <w:tcPr>
            <w:tcW w:w="7103" w:type="dxa"/>
            <w:tcBorders>
              <w:top w:val="single" w:color="auto" w:sz="4" w:space="0"/>
              <w:left w:val="single" w:color="auto" w:sz="4" w:space="0"/>
              <w:bottom w:val="single" w:color="auto" w:sz="4" w:space="0"/>
              <w:right w:val="single" w:color="auto" w:sz="4" w:space="0"/>
            </w:tcBorders>
          </w:tcPr>
          <w:p>
            <w:pPr>
              <w:widowControl/>
              <w:spacing w:line="420" w:lineRule="exact"/>
              <w:rPr>
                <w:rFonts w:ascii="宋体" w:hAnsi="宋体" w:cs="宋体"/>
                <w:color w:val="000000"/>
                <w:szCs w:val="21"/>
                <w:highlight w:val="none"/>
              </w:rPr>
            </w:pPr>
            <w:r>
              <w:rPr>
                <w:rFonts w:hint="eastAsia" w:ascii="宋体" w:hAnsi="宋体" w:cs="宋体"/>
                <w:color w:val="000000"/>
                <w:szCs w:val="21"/>
                <w:highlight w:val="none"/>
              </w:rPr>
              <w:t>近三年具有所投软件的业绩（必须含验收报告），每一个业绩得</w:t>
            </w:r>
            <w:r>
              <w:rPr>
                <w:rFonts w:ascii="宋体" w:hAnsi="宋体" w:cs="宋体"/>
                <w:color w:val="000000"/>
                <w:szCs w:val="21"/>
                <w:highlight w:val="none"/>
              </w:rPr>
              <w:t>0.5</w:t>
            </w:r>
            <w:r>
              <w:rPr>
                <w:rFonts w:hint="eastAsia" w:ascii="宋体" w:hAnsi="宋体" w:cs="宋体"/>
                <w:color w:val="000000"/>
                <w:szCs w:val="21"/>
                <w:highlight w:val="none"/>
              </w:rPr>
              <w:t>分，最高得</w:t>
            </w:r>
            <w:r>
              <w:rPr>
                <w:rFonts w:ascii="宋体" w:hAnsi="宋体" w:cs="宋体"/>
                <w:color w:val="000000"/>
                <w:szCs w:val="21"/>
                <w:highlight w:val="none"/>
              </w:rPr>
              <w:t>6</w:t>
            </w:r>
            <w:r>
              <w:rPr>
                <w:rFonts w:hint="eastAsia" w:ascii="宋体" w:hAnsi="宋体" w:cs="宋体"/>
                <w:color w:val="000000"/>
                <w:szCs w:val="21"/>
                <w:highlight w:val="none"/>
              </w:rPr>
              <w:t>分。</w:t>
            </w:r>
          </w:p>
          <w:p>
            <w:pPr>
              <w:widowControl/>
              <w:spacing w:line="420" w:lineRule="exact"/>
              <w:rPr>
                <w:rFonts w:ascii="宋体" w:hAnsi="宋体" w:cs="宋体"/>
                <w:color w:val="000000"/>
                <w:szCs w:val="21"/>
                <w:highlight w:val="none"/>
              </w:rPr>
            </w:pPr>
            <w:r>
              <w:rPr>
                <w:rFonts w:hint="eastAsia" w:ascii="宋体" w:hAnsi="宋体" w:cs="宋体"/>
                <w:color w:val="000000"/>
                <w:szCs w:val="21"/>
                <w:highlight w:val="none"/>
              </w:rPr>
              <w:t>在投标文件中提供合同复印件并加盖投标人公章，合同复印件至少包括合同首页、建设内容以及签署页。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15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服务部分（</w:t>
            </w:r>
            <w:r>
              <w:rPr>
                <w:rFonts w:ascii="宋体" w:hAnsi="宋体" w:cs="宋体"/>
                <w:color w:val="000000"/>
                <w:szCs w:val="21"/>
                <w:highlight w:val="none"/>
              </w:rPr>
              <w:t>2</w:t>
            </w:r>
            <w:r>
              <w:rPr>
                <w:rFonts w:hint="eastAsia" w:ascii="宋体" w:hAnsi="宋体" w:cs="宋体"/>
                <w:color w:val="000000"/>
                <w:szCs w:val="21"/>
                <w:highlight w:val="none"/>
              </w:rPr>
              <w:t>分）</w:t>
            </w:r>
          </w:p>
        </w:tc>
        <w:tc>
          <w:tcPr>
            <w:tcW w:w="1439"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hint="eastAsia" w:ascii="宋体" w:hAnsi="宋体" w:cs="宋体"/>
                <w:color w:val="000000"/>
                <w:szCs w:val="21"/>
                <w:highlight w:val="none"/>
              </w:rPr>
              <w:t>优惠条款</w:t>
            </w:r>
          </w:p>
        </w:tc>
        <w:tc>
          <w:tcPr>
            <w:tcW w:w="7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cs="宋体"/>
                <w:color w:val="000000"/>
                <w:szCs w:val="21"/>
                <w:highlight w:val="none"/>
              </w:rPr>
            </w:pPr>
            <w:r>
              <w:rPr>
                <w:rFonts w:ascii="宋体" w:hAnsi="宋体" w:cs="宋体"/>
                <w:color w:val="000000"/>
                <w:szCs w:val="21"/>
                <w:highlight w:val="none"/>
              </w:rPr>
              <w:t>2</w:t>
            </w:r>
          </w:p>
        </w:tc>
        <w:tc>
          <w:tcPr>
            <w:tcW w:w="7103"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cs="宋体"/>
                <w:color w:val="000000"/>
                <w:szCs w:val="21"/>
                <w:highlight w:val="none"/>
              </w:rPr>
            </w:pPr>
            <w:r>
              <w:rPr>
                <w:rFonts w:hint="eastAsia" w:ascii="宋体" w:hAnsi="宋体" w:cs="宋体"/>
                <w:color w:val="000000"/>
                <w:szCs w:val="21"/>
                <w:highlight w:val="none"/>
              </w:rPr>
              <w:t>每增加一年质保加1分，最高得2分。</w:t>
            </w:r>
          </w:p>
        </w:tc>
      </w:tr>
    </w:tbl>
    <w:p>
      <w:pPr>
        <w:pStyle w:val="19"/>
        <w:spacing w:line="360" w:lineRule="exact"/>
        <w:rPr>
          <w:rFonts w:ascii="宋体"/>
          <w:b/>
          <w:bCs/>
          <w:color w:val="000000"/>
          <w:sz w:val="21"/>
          <w:szCs w:val="21"/>
          <w:highlight w:val="none"/>
        </w:rPr>
      </w:pPr>
      <w:r>
        <w:rPr>
          <w:rFonts w:hint="eastAsia" w:ascii="宋体" w:hAnsi="宋体"/>
          <w:b/>
          <w:bCs/>
          <w:color w:val="000000"/>
          <w:sz w:val="21"/>
          <w:szCs w:val="21"/>
          <w:highlight w:val="none"/>
        </w:rPr>
        <w:t>说明：（</w:t>
      </w:r>
      <w:r>
        <w:rPr>
          <w:rFonts w:ascii="宋体" w:hAnsi="宋体"/>
          <w:b/>
          <w:bCs/>
          <w:color w:val="000000"/>
          <w:sz w:val="21"/>
          <w:szCs w:val="21"/>
          <w:highlight w:val="none"/>
        </w:rPr>
        <w:t>1</w:t>
      </w:r>
      <w:r>
        <w:rPr>
          <w:rFonts w:hint="eastAsia" w:ascii="宋体" w:hAnsi="宋体"/>
          <w:b/>
          <w:bCs/>
          <w:color w:val="000000"/>
          <w:sz w:val="21"/>
          <w:szCs w:val="21"/>
          <w:highlight w:val="none"/>
        </w:rPr>
        <w:t>）本评标办法涉及到的业绩合同需在投标文件中附合同复印件并加盖投标人公章，合同复印件至少包括合同首页、建设内容以及签署页，作为加分的依据，若无不得分。</w:t>
      </w:r>
    </w:p>
    <w:p>
      <w:pPr>
        <w:pStyle w:val="19"/>
        <w:spacing w:line="360" w:lineRule="exact"/>
        <w:ind w:firstLine="517" w:firstLineChars="245"/>
        <w:rPr>
          <w:rFonts w:ascii="宋体" w:hAnsi="宋体"/>
          <w:b/>
          <w:bCs/>
          <w:color w:val="000000"/>
          <w:sz w:val="21"/>
          <w:szCs w:val="21"/>
          <w:highlight w:val="none"/>
        </w:rPr>
      </w:pPr>
      <w:r>
        <w:rPr>
          <w:rFonts w:hint="eastAsia" w:ascii="宋体" w:hAnsi="宋体"/>
          <w:b/>
          <w:bCs/>
          <w:color w:val="000000"/>
          <w:sz w:val="21"/>
          <w:szCs w:val="21"/>
          <w:highlight w:val="none"/>
        </w:rPr>
        <w:t>（</w:t>
      </w:r>
      <w:r>
        <w:rPr>
          <w:rFonts w:ascii="宋体" w:hAnsi="宋体"/>
          <w:b/>
          <w:bCs/>
          <w:color w:val="000000"/>
          <w:sz w:val="21"/>
          <w:szCs w:val="21"/>
          <w:highlight w:val="none"/>
        </w:rPr>
        <w:t>2</w:t>
      </w:r>
      <w:r>
        <w:rPr>
          <w:rFonts w:hint="eastAsia" w:ascii="宋体" w:hAnsi="宋体"/>
          <w:b/>
          <w:bCs/>
          <w:color w:val="000000"/>
          <w:sz w:val="21"/>
          <w:szCs w:val="21"/>
          <w:highlight w:val="none"/>
        </w:rPr>
        <w:t>）近三年是指自开标日向前推三年精确到日。</w:t>
      </w:r>
    </w:p>
    <w:p>
      <w:pPr>
        <w:pStyle w:val="19"/>
        <w:spacing w:line="360" w:lineRule="exact"/>
        <w:ind w:firstLine="517" w:firstLineChars="245"/>
        <w:rPr>
          <w:rFonts w:ascii="宋体" w:hAnsi="宋体"/>
          <w:b/>
          <w:bCs/>
          <w:color w:val="000000"/>
          <w:sz w:val="21"/>
          <w:szCs w:val="21"/>
          <w:highlight w:val="none"/>
        </w:rPr>
      </w:pPr>
      <w:r>
        <w:rPr>
          <w:rFonts w:hint="eastAsia" w:ascii="宋体" w:hAnsi="宋体"/>
          <w:b/>
          <w:bCs/>
          <w:color w:val="000000"/>
          <w:sz w:val="21"/>
          <w:szCs w:val="21"/>
          <w:highlight w:val="none"/>
        </w:rPr>
        <w:t>（3）当评标最终得分相同时，以报价低者优先；当评标最终得分和报价均相同时，以技术部分得分高者优先。</w:t>
      </w:r>
    </w:p>
    <w:p>
      <w:pPr>
        <w:pStyle w:val="12"/>
        <w:spacing w:line="480" w:lineRule="exact"/>
        <w:ind w:left="197" w:leftChars="94" w:firstLine="482" w:firstLineChars="150"/>
        <w:jc w:val="center"/>
        <w:rPr>
          <w:rFonts w:hint="eastAsia" w:ascii="宋体" w:hAnsi="宋体"/>
          <w:b/>
          <w:bCs/>
          <w:sz w:val="32"/>
          <w:szCs w:val="32"/>
          <w:highlight w:val="none"/>
        </w:rPr>
      </w:pPr>
    </w:p>
    <w:p>
      <w:pPr>
        <w:pStyle w:val="12"/>
        <w:spacing w:line="480" w:lineRule="exact"/>
        <w:ind w:left="197" w:leftChars="94" w:firstLine="482" w:firstLineChars="150"/>
        <w:jc w:val="center"/>
        <w:rPr>
          <w:rFonts w:hint="eastAsia" w:ascii="宋体" w:hAnsi="宋体"/>
          <w:b/>
          <w:bCs/>
          <w:sz w:val="32"/>
          <w:szCs w:val="32"/>
          <w:highlight w:val="none"/>
        </w:rPr>
      </w:pPr>
    </w:p>
    <w:p>
      <w:pPr>
        <w:pStyle w:val="19"/>
        <w:spacing w:line="360" w:lineRule="auto"/>
        <w:rPr>
          <w:rFonts w:ascii="宋体"/>
          <w:bCs/>
          <w:highlight w:val="none"/>
        </w:rPr>
      </w:pPr>
      <w:r>
        <w:rPr>
          <w:rFonts w:ascii="宋体" w:hAnsi="宋体"/>
          <w:bCs/>
          <w:highlight w:val="none"/>
        </w:rPr>
        <w:br w:type="page"/>
      </w:r>
      <w:r>
        <w:rPr>
          <w:rFonts w:ascii="宋体" w:hAnsi="宋体"/>
          <w:bCs/>
          <w:highlight w:val="none"/>
        </w:rPr>
        <w:t>24.4</w:t>
      </w:r>
      <w:r>
        <w:rPr>
          <w:rFonts w:hint="eastAsia" w:ascii="宋体" w:hAnsi="宋体"/>
          <w:bCs/>
          <w:highlight w:val="none"/>
        </w:rPr>
        <w:t>评标办法说明：支持小微企业发展、节能环保的鼓励优惠政策：</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19"/>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hint="eastAsia" w:ascii="宋体" w:hAnsi="宋体"/>
          <w:bCs/>
          <w:highlight w:val="none"/>
          <w:lang w:eastAsia="zh-CN"/>
        </w:rPr>
        <w:t>最新一期</w:t>
      </w:r>
      <w:r>
        <w:rPr>
          <w:rFonts w:hint="eastAsia" w:ascii="宋体" w:hAnsi="宋体"/>
          <w:bCs/>
          <w:highlight w:val="none"/>
        </w:rPr>
        <w:t>）、加盖公章的节能产品政府采购清单官方网站截图及产品目录（财政部、国家发改委</w:t>
      </w:r>
      <w:r>
        <w:rPr>
          <w:rFonts w:hint="eastAsia" w:ascii="宋体" w:hAnsi="宋体"/>
          <w:bCs/>
          <w:highlight w:val="none"/>
          <w:lang w:eastAsia="zh-CN"/>
        </w:rPr>
        <w:t>最新一期</w:t>
      </w:r>
      <w:r>
        <w:rPr>
          <w:rFonts w:hint="eastAsia" w:ascii="宋体" w:hAnsi="宋体"/>
          <w:bCs/>
          <w:highlight w:val="none"/>
        </w:rPr>
        <w:t>）），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19"/>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投标人如属小微企业，产品价格需扣除的，须按照工信部联企业</w:t>
      </w:r>
      <w:r>
        <w:rPr>
          <w:rFonts w:ascii="宋体" w:hAnsi="宋体"/>
          <w:bCs/>
          <w:highlight w:val="none"/>
        </w:rPr>
        <w:t>[2011]300</w:t>
      </w:r>
      <w:r>
        <w:rPr>
          <w:rFonts w:hint="eastAsia" w:ascii="宋体" w:hAnsi="宋体"/>
          <w:bCs/>
          <w:highlight w:val="none"/>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19"/>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19"/>
        <w:numPr>
          <w:ilvl w:val="0"/>
          <w:numId w:val="2"/>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19"/>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19"/>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19"/>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19"/>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19"/>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19"/>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19"/>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19"/>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2"/>
        <w:spacing w:line="360" w:lineRule="auto"/>
        <w:ind w:left="571" w:leftChars="272" w:firstLine="0" w:firstLineChars="0"/>
        <w:outlineLvl w:val="0"/>
        <w:rPr>
          <w:rFonts w:ascii="宋体"/>
          <w:bCs/>
          <w:sz w:val="24"/>
          <w:highlight w:val="none"/>
        </w:rPr>
      </w:pPr>
      <w:bookmarkStart w:id="97" w:name="_Toc30962"/>
      <w:bookmarkStart w:id="98" w:name="_Toc29202"/>
      <w:bookmarkStart w:id="99" w:name="_Toc10857"/>
      <w:r>
        <w:rPr>
          <w:rFonts w:ascii="宋体" w:hAnsi="宋体"/>
          <w:bCs/>
          <w:sz w:val="24"/>
          <w:highlight w:val="none"/>
        </w:rPr>
        <w:t xml:space="preserve">27.  </w:t>
      </w:r>
      <w:r>
        <w:rPr>
          <w:rFonts w:hint="eastAsia" w:ascii="宋体" w:hAnsi="宋体"/>
          <w:bCs/>
          <w:sz w:val="24"/>
          <w:highlight w:val="none"/>
        </w:rPr>
        <w:t>投标人瑕疵滞后的处理</w:t>
      </w:r>
      <w:bookmarkEnd w:id="97"/>
      <w:bookmarkEnd w:id="98"/>
      <w:bookmarkEnd w:id="99"/>
    </w:p>
    <w:p>
      <w:pPr>
        <w:pStyle w:val="19"/>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9"/>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highlight w:val="none"/>
        </w:rPr>
      </w:pPr>
      <w:bookmarkStart w:id="100" w:name="_Toc7870"/>
      <w:bookmarkStart w:id="101" w:name="_Toc28609"/>
      <w:r>
        <w:rPr>
          <w:rFonts w:hint="eastAsia" w:ascii="宋体" w:hAnsi="宋体"/>
          <w:b/>
          <w:bCs/>
          <w:sz w:val="24"/>
          <w:highlight w:val="none"/>
        </w:rPr>
        <w:t>六、合同签订</w:t>
      </w:r>
      <w:bookmarkEnd w:id="100"/>
      <w:bookmarkEnd w:id="101"/>
    </w:p>
    <w:p>
      <w:pPr>
        <w:pStyle w:val="19"/>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19"/>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19"/>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19"/>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19"/>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19"/>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19"/>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19"/>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19"/>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spacing w:line="360" w:lineRule="auto"/>
        <w:ind w:leftChars="0" w:hanging="100" w:firstLineChars="0"/>
        <w:outlineLvl w:val="1"/>
        <w:rPr>
          <w:rFonts w:ascii="宋体"/>
          <w:b/>
          <w:bCs/>
          <w:sz w:val="24"/>
          <w:highlight w:val="none"/>
        </w:rPr>
      </w:pPr>
      <w:bookmarkStart w:id="102" w:name="_Toc13878"/>
      <w:bookmarkStart w:id="103" w:name="_Toc30952"/>
      <w:bookmarkStart w:id="104" w:name="_Toc3157"/>
      <w:r>
        <w:rPr>
          <w:rFonts w:hint="eastAsia" w:ascii="宋体" w:hAnsi="宋体"/>
          <w:b/>
          <w:bCs/>
          <w:sz w:val="24"/>
          <w:highlight w:val="none"/>
        </w:rPr>
        <w:t>七、处罚、质疑</w:t>
      </w:r>
      <w:bookmarkEnd w:id="102"/>
      <w:bookmarkEnd w:id="103"/>
      <w:bookmarkEnd w:id="104"/>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19"/>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19"/>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19"/>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19"/>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19"/>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highlight w:val="none"/>
        </w:rPr>
      </w:pPr>
      <w:bookmarkStart w:id="105" w:name="_Toc26147"/>
      <w:bookmarkStart w:id="106" w:name="_Toc1537"/>
      <w:bookmarkStart w:id="107" w:name="_Toc1876"/>
      <w:r>
        <w:rPr>
          <w:rFonts w:hint="eastAsia" w:ascii="宋体" w:hAnsi="宋体"/>
          <w:b/>
          <w:bCs/>
          <w:sz w:val="24"/>
          <w:highlight w:val="none"/>
        </w:rPr>
        <w:t>八、保密</w:t>
      </w:r>
      <w:bookmarkEnd w:id="105"/>
      <w:bookmarkEnd w:id="106"/>
      <w:bookmarkEnd w:id="107"/>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19"/>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highlight w:val="none"/>
        </w:rPr>
      </w:pPr>
      <w:bookmarkStart w:id="108" w:name="_Toc14534"/>
      <w:bookmarkStart w:id="109" w:name="_Toc11927"/>
      <w:bookmarkStart w:id="110" w:name="_Toc28213"/>
      <w:r>
        <w:rPr>
          <w:rFonts w:hint="eastAsia" w:ascii="宋体" w:hAnsi="宋体"/>
          <w:b/>
          <w:bCs/>
          <w:sz w:val="24"/>
          <w:highlight w:val="none"/>
        </w:rPr>
        <w:t>九、专利权</w:t>
      </w:r>
      <w:bookmarkEnd w:id="108"/>
      <w:bookmarkEnd w:id="109"/>
      <w:bookmarkEnd w:id="110"/>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19"/>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highlight w:val="none"/>
        </w:rPr>
      </w:pPr>
      <w:bookmarkStart w:id="111" w:name="_Toc1386"/>
      <w:bookmarkStart w:id="112" w:name="_Toc5288"/>
      <w:bookmarkStart w:id="113" w:name="_Toc9163"/>
      <w:r>
        <w:rPr>
          <w:rFonts w:hint="eastAsia" w:ascii="宋体" w:hAnsi="宋体"/>
          <w:b/>
          <w:bCs/>
          <w:sz w:val="24"/>
          <w:highlight w:val="none"/>
        </w:rPr>
        <w:t>十、解释权</w:t>
      </w:r>
      <w:bookmarkEnd w:id="111"/>
      <w:bookmarkEnd w:id="112"/>
      <w:bookmarkEnd w:id="113"/>
    </w:p>
    <w:p>
      <w:pPr>
        <w:pStyle w:val="19"/>
        <w:spacing w:line="360" w:lineRule="auto"/>
        <w:ind w:firstLine="480" w:firstLineChars="200"/>
        <w:rPr>
          <w:rFonts w:hint="eastAsia" w:ascii="宋体" w:hAnsi="宋体"/>
          <w:bCs/>
          <w:highlight w:val="none"/>
        </w:rPr>
      </w:pPr>
      <w:r>
        <w:rPr>
          <w:rFonts w:hint="eastAsia" w:ascii="宋体" w:hAnsi="宋体"/>
          <w:bCs/>
          <w:highlight w:val="none"/>
        </w:rPr>
        <w:t>35.  解释权</w:t>
      </w:r>
    </w:p>
    <w:p>
      <w:pPr>
        <w:pStyle w:val="19"/>
        <w:spacing w:line="360" w:lineRule="auto"/>
        <w:ind w:firstLine="480" w:firstLineChars="200"/>
        <w:rPr>
          <w:rFonts w:hint="eastAsia"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highlight w:val="none"/>
        </w:rPr>
      </w:pPr>
      <w:bookmarkStart w:id="114" w:name="_Toc8805"/>
      <w:bookmarkStart w:id="115" w:name="_Toc27088"/>
      <w:bookmarkStart w:id="116" w:name="_Toc1488"/>
      <w:r>
        <w:rPr>
          <w:rFonts w:hint="eastAsia" w:ascii="宋体" w:hAnsi="宋体"/>
          <w:b/>
          <w:bCs/>
          <w:sz w:val="24"/>
          <w:highlight w:val="none"/>
        </w:rPr>
        <w:t>十一、其他</w:t>
      </w:r>
      <w:bookmarkEnd w:id="114"/>
      <w:bookmarkEnd w:id="115"/>
      <w:bookmarkEnd w:id="116"/>
    </w:p>
    <w:p>
      <w:pPr>
        <w:pStyle w:val="21"/>
        <w:numPr>
          <w:ilvl w:val="0"/>
          <w:numId w:val="3"/>
        </w:numPr>
        <w:snapToGrid w:val="0"/>
        <w:spacing w:line="360" w:lineRule="auto"/>
        <w:ind w:leftChars="0" w:firstLineChars="0"/>
        <w:outlineLvl w:val="0"/>
        <w:rPr>
          <w:rFonts w:ascii="宋体"/>
          <w:bCs/>
          <w:sz w:val="24"/>
          <w:highlight w:val="none"/>
        </w:rPr>
      </w:pPr>
      <w:bookmarkStart w:id="117" w:name="_Toc19127"/>
      <w:bookmarkStart w:id="118" w:name="_Toc17247"/>
      <w:bookmarkStart w:id="119" w:name="_Toc30190"/>
      <w:r>
        <w:rPr>
          <w:rFonts w:hint="eastAsia" w:ascii="宋体" w:hAnsi="宋体"/>
          <w:bCs/>
          <w:sz w:val="24"/>
          <w:highlight w:val="none"/>
        </w:rPr>
        <w:t>其他</w:t>
      </w:r>
      <w:bookmarkEnd w:id="117"/>
      <w:bookmarkEnd w:id="118"/>
      <w:bookmarkEnd w:id="119"/>
    </w:p>
    <w:p>
      <w:pPr>
        <w:pStyle w:val="21"/>
        <w:snapToGrid w:val="0"/>
        <w:spacing w:line="360" w:lineRule="auto"/>
        <w:ind w:left="570" w:leftChars="0" w:firstLine="0" w:firstLineChars="0"/>
        <w:outlineLvl w:val="0"/>
        <w:rPr>
          <w:rFonts w:ascii="宋体"/>
          <w:bCs/>
          <w:sz w:val="24"/>
          <w:highlight w:val="none"/>
        </w:rPr>
      </w:pPr>
      <w:bookmarkStart w:id="120" w:name="_Toc12623"/>
      <w:bookmarkStart w:id="121" w:name="_Toc4557"/>
      <w:bookmarkStart w:id="122" w:name="_Toc7890"/>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20"/>
      <w:bookmarkEnd w:id="121"/>
      <w:bookmarkEnd w:id="122"/>
    </w:p>
    <w:p>
      <w:pPr>
        <w:pStyle w:val="21"/>
        <w:snapToGrid w:val="0"/>
        <w:spacing w:line="360" w:lineRule="auto"/>
        <w:ind w:left="570" w:leftChars="0" w:firstLine="0" w:firstLineChars="0"/>
        <w:outlineLvl w:val="0"/>
        <w:rPr>
          <w:rFonts w:ascii="宋体"/>
          <w:bCs/>
          <w:sz w:val="24"/>
          <w:highlight w:val="none"/>
        </w:rPr>
      </w:pPr>
      <w:bookmarkStart w:id="123" w:name="_Toc20220"/>
      <w:bookmarkStart w:id="124" w:name="_Toc30966"/>
      <w:bookmarkStart w:id="125" w:name="_Toc9875"/>
      <w:r>
        <w:rPr>
          <w:rFonts w:ascii="宋体" w:hAnsi="宋体"/>
          <w:bCs/>
          <w:sz w:val="24"/>
          <w:highlight w:val="none"/>
        </w:rPr>
        <w:t xml:space="preserve">36.2 </w:t>
      </w:r>
      <w:r>
        <w:rPr>
          <w:rFonts w:hint="eastAsia" w:ascii="宋体" w:hAnsi="宋体"/>
          <w:bCs/>
          <w:sz w:val="24"/>
          <w:highlight w:val="none"/>
        </w:rPr>
        <w:t>招标人不保证低价中标。</w:t>
      </w:r>
      <w:bookmarkEnd w:id="123"/>
      <w:bookmarkEnd w:id="124"/>
      <w:bookmarkEnd w:id="125"/>
    </w:p>
    <w:p>
      <w:pPr>
        <w:pStyle w:val="20"/>
        <w:tabs>
          <w:tab w:val="left" w:pos="0"/>
        </w:tabs>
        <w:spacing w:line="480" w:lineRule="exact"/>
        <w:ind w:left="0" w:leftChars="0" w:firstLine="0" w:firstLineChars="0"/>
        <w:jc w:val="center"/>
        <w:rPr>
          <w:rFonts w:ascii="宋体"/>
          <w:b/>
          <w:sz w:val="36"/>
          <w:highlight w:val="none"/>
        </w:rPr>
      </w:pPr>
      <w:r>
        <w:rPr>
          <w:rFonts w:ascii="宋体"/>
          <w:bCs/>
          <w:highlight w:val="none"/>
        </w:rPr>
        <w:br w:type="page"/>
      </w:r>
      <w:bookmarkStart w:id="126" w:name="_Toc21726"/>
      <w:r>
        <w:rPr>
          <w:rFonts w:hint="eastAsia" w:ascii="宋体" w:hAnsi="宋体"/>
          <w:b/>
          <w:sz w:val="36"/>
          <w:highlight w:val="none"/>
        </w:rPr>
        <w:t>第三部分招标要求</w:t>
      </w:r>
      <w:bookmarkEnd w:id="126"/>
    </w:p>
    <w:p>
      <w:pPr>
        <w:spacing w:line="440" w:lineRule="exact"/>
        <w:rPr>
          <w:rFonts w:ascii="宋体"/>
          <w:bCs/>
          <w:highlight w:val="none"/>
        </w:rPr>
      </w:pPr>
    </w:p>
    <w:p>
      <w:pPr>
        <w:spacing w:line="360" w:lineRule="auto"/>
        <w:rPr>
          <w:b/>
          <w:szCs w:val="28"/>
          <w:highlight w:val="none"/>
        </w:rPr>
      </w:pPr>
      <w:r>
        <w:rPr>
          <w:rFonts w:hint="eastAsia"/>
          <w:b/>
          <w:bCs/>
          <w:sz w:val="28"/>
          <w:highlight w:val="none"/>
        </w:rPr>
        <w:t>一、本项目分包情况</w:t>
      </w:r>
    </w:p>
    <w:p>
      <w:pPr>
        <w:spacing w:line="360" w:lineRule="auto"/>
        <w:ind w:firstLine="240" w:firstLineChars="100"/>
        <w:rPr>
          <w:rFonts w:hint="eastAsia"/>
          <w:sz w:val="24"/>
          <w:szCs w:val="24"/>
          <w:highlight w:val="none"/>
        </w:rPr>
      </w:pPr>
      <w:r>
        <w:rPr>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本次招标为</w:t>
      </w:r>
      <w:r>
        <w:rPr>
          <w:rFonts w:hint="eastAsia"/>
          <w:sz w:val="24"/>
          <w:szCs w:val="24"/>
          <w:highlight w:val="none"/>
          <w:lang w:eastAsia="zh-CN"/>
        </w:rPr>
        <w:t>山东大学第二医院合理用药系统采购项目</w:t>
      </w:r>
      <w:r>
        <w:rPr>
          <w:rFonts w:hint="eastAsia"/>
          <w:sz w:val="24"/>
          <w:szCs w:val="24"/>
          <w:highlight w:val="none"/>
        </w:rPr>
        <w:t>。投标人必须对所报设备完全响应，不得对包内设备分解后进行响应。</w:t>
      </w:r>
    </w:p>
    <w:p>
      <w:pPr>
        <w:spacing w:line="360" w:lineRule="auto"/>
        <w:ind w:firstLine="480" w:firstLineChars="200"/>
        <w:rPr>
          <w:rFonts w:hint="default"/>
          <w:sz w:val="24"/>
          <w:szCs w:val="24"/>
          <w:highlight w:val="none"/>
          <w:lang w:val="en-US" w:eastAsia="zh-CN"/>
        </w:rPr>
      </w:pPr>
      <w:r>
        <w:rPr>
          <w:rFonts w:hint="eastAsia" w:ascii="宋体" w:hAnsi="宋体"/>
          <w:bCs/>
          <w:sz w:val="24"/>
          <w:highlight w:val="none"/>
        </w:rPr>
        <w:t>交付期</w:t>
      </w:r>
      <w:r>
        <w:rPr>
          <w:rFonts w:hint="eastAsia"/>
          <w:sz w:val="24"/>
          <w:szCs w:val="24"/>
          <w:highlight w:val="none"/>
          <w:lang w:eastAsia="zh-CN"/>
        </w:rPr>
        <w:t>：</w:t>
      </w:r>
      <w:r>
        <w:rPr>
          <w:rFonts w:hint="eastAsia"/>
          <w:sz w:val="24"/>
          <w:szCs w:val="24"/>
          <w:highlight w:val="none"/>
        </w:rPr>
        <w:t>从签订合同厂家入场到验收完成，期限为三个月</w:t>
      </w:r>
      <w:r>
        <w:rPr>
          <w:rFonts w:hint="eastAsia"/>
          <w:sz w:val="24"/>
          <w:szCs w:val="24"/>
          <w:highlight w:val="none"/>
          <w:lang w:eastAsia="zh-CN"/>
        </w:rPr>
        <w:t>。</w:t>
      </w:r>
      <w:r>
        <w:rPr>
          <w:rFonts w:hint="eastAsia"/>
          <w:sz w:val="24"/>
          <w:szCs w:val="24"/>
          <w:highlight w:val="none"/>
          <w:lang w:val="en-US" w:eastAsia="zh-CN"/>
        </w:rPr>
        <w:t>可竞报。</w:t>
      </w:r>
    </w:p>
    <w:p>
      <w:pPr>
        <w:spacing w:line="360" w:lineRule="auto"/>
        <w:ind w:firstLine="480" w:firstLineChars="200"/>
        <w:rPr>
          <w:rFonts w:hint="eastAsia"/>
          <w:sz w:val="24"/>
          <w:szCs w:val="24"/>
          <w:highlight w:val="none"/>
          <w:lang w:val="en-US" w:eastAsia="zh-CN"/>
        </w:rPr>
      </w:pPr>
      <w:r>
        <w:rPr>
          <w:rFonts w:hint="eastAsia"/>
          <w:sz w:val="24"/>
          <w:szCs w:val="24"/>
          <w:highlight w:val="none"/>
        </w:rPr>
        <w:t>质保期</w:t>
      </w:r>
      <w:r>
        <w:rPr>
          <w:rFonts w:hint="eastAsia"/>
          <w:sz w:val="24"/>
          <w:szCs w:val="24"/>
          <w:highlight w:val="none"/>
          <w:lang w:eastAsia="zh-CN"/>
        </w:rPr>
        <w:t>：</w:t>
      </w:r>
      <w:r>
        <w:rPr>
          <w:rFonts w:hint="eastAsia"/>
          <w:sz w:val="24"/>
          <w:szCs w:val="24"/>
          <w:highlight w:val="none"/>
          <w:lang w:val="en-US" w:eastAsia="zh-CN"/>
        </w:rPr>
        <w:t>不低于1年。</w:t>
      </w:r>
    </w:p>
    <w:p>
      <w:pPr>
        <w:spacing w:line="360" w:lineRule="auto"/>
        <w:rPr>
          <w:rFonts w:hint="eastAsia" w:ascii="Times New Roman" w:hAnsi="Times New Roman" w:eastAsia="宋体" w:cs="Times New Roman"/>
          <w:b/>
          <w:bCs/>
          <w:sz w:val="28"/>
          <w:highlight w:val="none"/>
        </w:rPr>
      </w:pPr>
      <w:bookmarkStart w:id="127" w:name="_Toc2031"/>
      <w:r>
        <w:rPr>
          <w:rFonts w:hint="eastAsia" w:ascii="Times New Roman" w:hAnsi="Times New Roman" w:eastAsia="宋体" w:cs="Times New Roman"/>
          <w:b/>
          <w:bCs/>
          <w:sz w:val="28"/>
          <w:highlight w:val="none"/>
          <w:lang w:eastAsia="zh-CN"/>
        </w:rPr>
        <w:t>二、</w:t>
      </w:r>
      <w:r>
        <w:rPr>
          <w:rFonts w:hint="eastAsia" w:ascii="Times New Roman" w:hAnsi="Times New Roman" w:eastAsia="宋体" w:cs="Times New Roman"/>
          <w:b/>
          <w:bCs/>
          <w:sz w:val="28"/>
          <w:highlight w:val="none"/>
        </w:rPr>
        <w:t>需求模块清单</w:t>
      </w:r>
    </w:p>
    <w:tbl>
      <w:tblPr>
        <w:tblStyle w:val="49"/>
        <w:tblW w:w="83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4609"/>
        <w:gridCol w:w="1152"/>
        <w:gridCol w:w="1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37" w:type="dxa"/>
            <w:vAlign w:val="center"/>
          </w:tcPr>
          <w:p>
            <w:pPr>
              <w:ind w:right="240"/>
              <w:jc w:val="center"/>
              <w:rPr>
                <w:rFonts w:ascii="宋体" w:hAnsi="宋体" w:cs="宋体"/>
                <w:sz w:val="24"/>
                <w:highlight w:val="none"/>
              </w:rPr>
            </w:pPr>
            <w:r>
              <w:rPr>
                <w:rFonts w:hint="eastAsia" w:ascii="宋体" w:hAnsi="宋体" w:cs="宋体"/>
                <w:sz w:val="24"/>
                <w:highlight w:val="none"/>
              </w:rPr>
              <w:t>序号</w:t>
            </w:r>
          </w:p>
        </w:tc>
        <w:tc>
          <w:tcPr>
            <w:tcW w:w="4609" w:type="dxa"/>
            <w:vAlign w:val="center"/>
          </w:tcPr>
          <w:p>
            <w:pPr>
              <w:ind w:right="240"/>
              <w:jc w:val="center"/>
              <w:rPr>
                <w:rFonts w:ascii="宋体" w:hAnsi="宋体" w:cs="宋体"/>
                <w:sz w:val="24"/>
                <w:highlight w:val="none"/>
              </w:rPr>
            </w:pPr>
            <w:r>
              <w:rPr>
                <w:rFonts w:hint="eastAsia" w:ascii="宋体" w:hAnsi="宋体" w:cs="宋体"/>
                <w:sz w:val="24"/>
                <w:highlight w:val="none"/>
              </w:rPr>
              <w:t>模块名称</w:t>
            </w:r>
          </w:p>
        </w:tc>
        <w:tc>
          <w:tcPr>
            <w:tcW w:w="1152" w:type="dxa"/>
            <w:vAlign w:val="center"/>
          </w:tcPr>
          <w:p>
            <w:pPr>
              <w:ind w:right="240"/>
              <w:jc w:val="center"/>
              <w:rPr>
                <w:rFonts w:ascii="宋体" w:hAnsi="宋体" w:cs="宋体"/>
                <w:sz w:val="24"/>
                <w:highlight w:val="none"/>
              </w:rPr>
            </w:pPr>
            <w:r>
              <w:rPr>
                <w:rFonts w:hint="eastAsia" w:ascii="宋体" w:hAnsi="宋体" w:cs="宋体"/>
                <w:sz w:val="24"/>
                <w:highlight w:val="none"/>
              </w:rPr>
              <w:t>数量</w:t>
            </w:r>
          </w:p>
        </w:tc>
        <w:tc>
          <w:tcPr>
            <w:tcW w:w="1322" w:type="dxa"/>
            <w:vAlign w:val="center"/>
          </w:tcPr>
          <w:p>
            <w:pPr>
              <w:ind w:right="240"/>
              <w:jc w:val="center"/>
              <w:rPr>
                <w:rFonts w:ascii="宋体" w:hAnsi="宋体" w:cs="宋体"/>
                <w:sz w:val="24"/>
                <w:highlight w:val="none"/>
              </w:rPr>
            </w:pPr>
            <w:r>
              <w:rPr>
                <w:rFonts w:hint="eastAsia" w:ascii="宋体"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37" w:type="dxa"/>
            <w:vAlign w:val="center"/>
          </w:tcPr>
          <w:p>
            <w:pPr>
              <w:ind w:right="240"/>
              <w:jc w:val="center"/>
              <w:rPr>
                <w:rFonts w:ascii="宋体" w:hAnsi="宋体" w:cs="宋体"/>
                <w:sz w:val="24"/>
                <w:highlight w:val="none"/>
              </w:rPr>
            </w:pPr>
            <w:r>
              <w:rPr>
                <w:rFonts w:hint="eastAsia" w:ascii="宋体" w:hAnsi="宋体" w:cs="宋体"/>
                <w:sz w:val="24"/>
                <w:highlight w:val="none"/>
              </w:rPr>
              <w:t>1</w:t>
            </w:r>
          </w:p>
        </w:tc>
        <w:tc>
          <w:tcPr>
            <w:tcW w:w="4609" w:type="dxa"/>
            <w:vAlign w:val="center"/>
          </w:tcPr>
          <w:p>
            <w:pPr>
              <w:ind w:right="240"/>
              <w:jc w:val="center"/>
              <w:rPr>
                <w:rFonts w:ascii="宋体" w:hAnsi="宋体" w:cs="宋体"/>
                <w:sz w:val="24"/>
                <w:highlight w:val="none"/>
              </w:rPr>
            </w:pPr>
            <w:r>
              <w:rPr>
                <w:rFonts w:hint="eastAsia" w:ascii="宋体" w:hAnsi="宋体" w:cs="宋体"/>
                <w:sz w:val="24"/>
                <w:highlight w:val="none"/>
              </w:rPr>
              <w:t>药品说明书查询功能</w:t>
            </w:r>
          </w:p>
        </w:tc>
        <w:tc>
          <w:tcPr>
            <w:tcW w:w="1152" w:type="dxa"/>
            <w:vAlign w:val="center"/>
          </w:tcPr>
          <w:p>
            <w:pPr>
              <w:ind w:left="240" w:right="240"/>
              <w:jc w:val="center"/>
              <w:rPr>
                <w:rFonts w:ascii="宋体" w:hAnsi="宋体" w:cs="宋体"/>
                <w:sz w:val="24"/>
                <w:highlight w:val="none"/>
              </w:rPr>
            </w:pPr>
            <w:r>
              <w:rPr>
                <w:rFonts w:hint="eastAsia" w:ascii="宋体" w:hAnsi="宋体" w:cs="宋体"/>
                <w:sz w:val="24"/>
                <w:highlight w:val="none"/>
              </w:rPr>
              <w:t>1</w:t>
            </w:r>
          </w:p>
        </w:tc>
        <w:tc>
          <w:tcPr>
            <w:tcW w:w="1322" w:type="dxa"/>
            <w:vAlign w:val="center"/>
          </w:tcPr>
          <w:p>
            <w:pPr>
              <w:ind w:left="240" w:right="240"/>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37" w:type="dxa"/>
            <w:vAlign w:val="center"/>
          </w:tcPr>
          <w:p>
            <w:pPr>
              <w:ind w:right="240"/>
              <w:jc w:val="center"/>
              <w:rPr>
                <w:rFonts w:ascii="宋体" w:hAnsi="宋体" w:cs="宋体"/>
                <w:sz w:val="24"/>
                <w:highlight w:val="none"/>
              </w:rPr>
            </w:pPr>
            <w:r>
              <w:rPr>
                <w:rFonts w:hint="eastAsia" w:ascii="宋体" w:hAnsi="宋体" w:cs="宋体"/>
                <w:sz w:val="24"/>
                <w:highlight w:val="none"/>
              </w:rPr>
              <w:t>2</w:t>
            </w:r>
          </w:p>
        </w:tc>
        <w:tc>
          <w:tcPr>
            <w:tcW w:w="4609" w:type="dxa"/>
            <w:vAlign w:val="center"/>
          </w:tcPr>
          <w:p>
            <w:pPr>
              <w:ind w:right="240"/>
              <w:jc w:val="center"/>
              <w:rPr>
                <w:rFonts w:ascii="宋体" w:hAnsi="宋体" w:cs="宋体"/>
                <w:sz w:val="24"/>
                <w:highlight w:val="none"/>
              </w:rPr>
            </w:pPr>
            <w:r>
              <w:rPr>
                <w:rFonts w:hint="eastAsia" w:ascii="宋体" w:hAnsi="宋体" w:cs="宋体"/>
                <w:sz w:val="24"/>
                <w:highlight w:val="none"/>
              </w:rPr>
              <w:t>门急诊处方点评/住院医嘱点评功能</w:t>
            </w:r>
          </w:p>
        </w:tc>
        <w:tc>
          <w:tcPr>
            <w:tcW w:w="1152" w:type="dxa"/>
            <w:vAlign w:val="center"/>
          </w:tcPr>
          <w:p>
            <w:pPr>
              <w:ind w:left="240" w:right="240"/>
              <w:jc w:val="center"/>
              <w:rPr>
                <w:rFonts w:ascii="宋体" w:hAnsi="宋体" w:cs="宋体"/>
                <w:sz w:val="24"/>
                <w:highlight w:val="none"/>
              </w:rPr>
            </w:pPr>
            <w:r>
              <w:rPr>
                <w:rFonts w:hint="eastAsia" w:ascii="宋体" w:hAnsi="宋体" w:cs="宋体"/>
                <w:sz w:val="24"/>
                <w:highlight w:val="none"/>
              </w:rPr>
              <w:t>1</w:t>
            </w:r>
          </w:p>
        </w:tc>
        <w:tc>
          <w:tcPr>
            <w:tcW w:w="1322" w:type="dxa"/>
            <w:vAlign w:val="center"/>
          </w:tcPr>
          <w:p>
            <w:pPr>
              <w:ind w:left="240" w:right="240"/>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37" w:type="dxa"/>
            <w:vAlign w:val="center"/>
          </w:tcPr>
          <w:p>
            <w:pPr>
              <w:ind w:right="240"/>
              <w:jc w:val="center"/>
              <w:rPr>
                <w:rFonts w:ascii="宋体" w:hAnsi="宋体" w:cs="宋体"/>
                <w:sz w:val="24"/>
                <w:highlight w:val="none"/>
              </w:rPr>
            </w:pPr>
            <w:r>
              <w:rPr>
                <w:rFonts w:hint="eastAsia" w:ascii="宋体" w:hAnsi="宋体" w:cs="宋体"/>
                <w:sz w:val="24"/>
                <w:highlight w:val="none"/>
              </w:rPr>
              <w:t>3</w:t>
            </w:r>
          </w:p>
        </w:tc>
        <w:tc>
          <w:tcPr>
            <w:tcW w:w="4609" w:type="dxa"/>
            <w:vAlign w:val="center"/>
          </w:tcPr>
          <w:p>
            <w:pPr>
              <w:ind w:right="240"/>
              <w:jc w:val="center"/>
              <w:rPr>
                <w:rFonts w:ascii="宋体" w:hAnsi="宋体" w:cs="宋体"/>
                <w:sz w:val="24"/>
                <w:highlight w:val="none"/>
              </w:rPr>
            </w:pPr>
            <w:r>
              <w:rPr>
                <w:rFonts w:hint="eastAsia" w:ascii="宋体" w:hAnsi="宋体" w:cs="宋体"/>
                <w:sz w:val="24"/>
                <w:highlight w:val="none"/>
              </w:rPr>
              <w:t>合理用药审核功能</w:t>
            </w:r>
          </w:p>
        </w:tc>
        <w:tc>
          <w:tcPr>
            <w:tcW w:w="1152" w:type="dxa"/>
            <w:vAlign w:val="center"/>
          </w:tcPr>
          <w:p>
            <w:pPr>
              <w:ind w:left="240" w:right="240"/>
              <w:jc w:val="center"/>
              <w:rPr>
                <w:rFonts w:ascii="宋体" w:hAnsi="宋体" w:cs="宋体"/>
                <w:sz w:val="24"/>
                <w:highlight w:val="none"/>
              </w:rPr>
            </w:pPr>
            <w:r>
              <w:rPr>
                <w:rFonts w:hint="eastAsia" w:ascii="宋体" w:hAnsi="宋体" w:cs="宋体"/>
                <w:sz w:val="24"/>
                <w:highlight w:val="none"/>
              </w:rPr>
              <w:t>1</w:t>
            </w:r>
          </w:p>
        </w:tc>
        <w:tc>
          <w:tcPr>
            <w:tcW w:w="1322" w:type="dxa"/>
            <w:vAlign w:val="center"/>
          </w:tcPr>
          <w:p>
            <w:pPr>
              <w:ind w:left="240" w:right="240"/>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37" w:type="dxa"/>
            <w:vAlign w:val="center"/>
          </w:tcPr>
          <w:p>
            <w:pPr>
              <w:ind w:right="240"/>
              <w:jc w:val="center"/>
              <w:rPr>
                <w:rFonts w:ascii="宋体" w:hAnsi="宋体" w:cs="宋体"/>
                <w:sz w:val="24"/>
                <w:highlight w:val="none"/>
              </w:rPr>
            </w:pPr>
            <w:r>
              <w:rPr>
                <w:rFonts w:hint="eastAsia" w:ascii="宋体" w:hAnsi="宋体" w:cs="宋体"/>
                <w:sz w:val="24"/>
                <w:highlight w:val="none"/>
              </w:rPr>
              <w:t>4</w:t>
            </w:r>
          </w:p>
        </w:tc>
        <w:tc>
          <w:tcPr>
            <w:tcW w:w="4609" w:type="dxa"/>
            <w:vAlign w:val="center"/>
          </w:tcPr>
          <w:p>
            <w:pPr>
              <w:ind w:right="240"/>
              <w:jc w:val="center"/>
              <w:rPr>
                <w:rFonts w:ascii="宋体" w:hAnsi="宋体" w:cs="宋体"/>
                <w:sz w:val="24"/>
                <w:highlight w:val="none"/>
              </w:rPr>
            </w:pPr>
            <w:r>
              <w:rPr>
                <w:rFonts w:hint="eastAsia" w:ascii="宋体" w:hAnsi="宋体" w:cs="宋体"/>
                <w:sz w:val="24"/>
                <w:highlight w:val="none"/>
              </w:rPr>
              <w:t>知识库、规则库</w:t>
            </w:r>
          </w:p>
        </w:tc>
        <w:tc>
          <w:tcPr>
            <w:tcW w:w="1152" w:type="dxa"/>
            <w:vAlign w:val="center"/>
          </w:tcPr>
          <w:p>
            <w:pPr>
              <w:ind w:left="240" w:right="240"/>
              <w:jc w:val="center"/>
              <w:rPr>
                <w:rFonts w:ascii="宋体" w:hAnsi="宋体" w:cs="宋体"/>
                <w:sz w:val="24"/>
                <w:highlight w:val="none"/>
              </w:rPr>
            </w:pPr>
            <w:r>
              <w:rPr>
                <w:rFonts w:hint="eastAsia" w:ascii="宋体" w:hAnsi="宋体" w:cs="宋体"/>
                <w:sz w:val="24"/>
                <w:highlight w:val="none"/>
              </w:rPr>
              <w:t>1</w:t>
            </w:r>
          </w:p>
        </w:tc>
        <w:tc>
          <w:tcPr>
            <w:tcW w:w="1322" w:type="dxa"/>
            <w:vAlign w:val="center"/>
          </w:tcPr>
          <w:p>
            <w:pPr>
              <w:ind w:left="240" w:right="240"/>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37" w:type="dxa"/>
            <w:vAlign w:val="center"/>
          </w:tcPr>
          <w:p>
            <w:pPr>
              <w:ind w:right="240"/>
              <w:jc w:val="center"/>
              <w:rPr>
                <w:rFonts w:ascii="宋体" w:hAnsi="宋体" w:cs="宋体"/>
                <w:sz w:val="24"/>
                <w:highlight w:val="none"/>
              </w:rPr>
            </w:pPr>
            <w:r>
              <w:rPr>
                <w:rFonts w:hint="eastAsia" w:ascii="宋体" w:hAnsi="宋体" w:cs="宋体"/>
                <w:sz w:val="24"/>
                <w:highlight w:val="none"/>
              </w:rPr>
              <w:t>5</w:t>
            </w:r>
          </w:p>
        </w:tc>
        <w:tc>
          <w:tcPr>
            <w:tcW w:w="4609" w:type="dxa"/>
            <w:vAlign w:val="center"/>
          </w:tcPr>
          <w:p>
            <w:pPr>
              <w:ind w:right="240"/>
              <w:jc w:val="center"/>
              <w:rPr>
                <w:rFonts w:ascii="宋体" w:hAnsi="宋体" w:cs="宋体"/>
                <w:sz w:val="24"/>
                <w:highlight w:val="none"/>
              </w:rPr>
            </w:pPr>
            <w:r>
              <w:rPr>
                <w:rFonts w:hint="eastAsia" w:ascii="宋体" w:hAnsi="宋体" w:cs="宋体"/>
                <w:sz w:val="24"/>
                <w:highlight w:val="none"/>
              </w:rPr>
              <w:t>用药教育与指导</w:t>
            </w:r>
          </w:p>
        </w:tc>
        <w:tc>
          <w:tcPr>
            <w:tcW w:w="1152" w:type="dxa"/>
            <w:vAlign w:val="center"/>
          </w:tcPr>
          <w:p>
            <w:pPr>
              <w:ind w:left="240" w:right="240"/>
              <w:jc w:val="center"/>
              <w:rPr>
                <w:rFonts w:ascii="宋体" w:hAnsi="宋体" w:cs="宋体"/>
                <w:sz w:val="24"/>
                <w:highlight w:val="none"/>
              </w:rPr>
            </w:pPr>
            <w:r>
              <w:rPr>
                <w:rFonts w:hint="eastAsia" w:ascii="宋体" w:hAnsi="宋体" w:cs="宋体"/>
                <w:sz w:val="24"/>
                <w:highlight w:val="none"/>
              </w:rPr>
              <w:t>1</w:t>
            </w:r>
          </w:p>
        </w:tc>
        <w:tc>
          <w:tcPr>
            <w:tcW w:w="1322" w:type="dxa"/>
            <w:vAlign w:val="center"/>
          </w:tcPr>
          <w:p>
            <w:pPr>
              <w:ind w:left="240" w:right="240"/>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37" w:type="dxa"/>
            <w:vAlign w:val="center"/>
          </w:tcPr>
          <w:p>
            <w:pPr>
              <w:ind w:right="240"/>
              <w:jc w:val="center"/>
              <w:rPr>
                <w:rFonts w:ascii="宋体" w:hAnsi="宋体" w:cs="宋体"/>
                <w:sz w:val="24"/>
                <w:highlight w:val="none"/>
              </w:rPr>
            </w:pPr>
            <w:r>
              <w:rPr>
                <w:rFonts w:hint="eastAsia" w:ascii="宋体" w:hAnsi="宋体" w:cs="宋体"/>
                <w:sz w:val="24"/>
                <w:highlight w:val="none"/>
              </w:rPr>
              <w:t>6</w:t>
            </w:r>
          </w:p>
        </w:tc>
        <w:tc>
          <w:tcPr>
            <w:tcW w:w="4609" w:type="dxa"/>
            <w:vAlign w:val="center"/>
          </w:tcPr>
          <w:p>
            <w:pPr>
              <w:ind w:right="240"/>
              <w:jc w:val="center"/>
              <w:rPr>
                <w:rFonts w:ascii="宋体" w:hAnsi="宋体" w:cs="宋体"/>
                <w:sz w:val="24"/>
                <w:highlight w:val="none"/>
              </w:rPr>
            </w:pPr>
            <w:r>
              <w:rPr>
                <w:rFonts w:hint="eastAsia" w:ascii="宋体" w:hAnsi="宋体" w:cs="宋体"/>
                <w:sz w:val="24"/>
                <w:highlight w:val="none"/>
              </w:rPr>
              <w:t>ADR事件自动监测上报系统</w:t>
            </w:r>
          </w:p>
        </w:tc>
        <w:tc>
          <w:tcPr>
            <w:tcW w:w="1152" w:type="dxa"/>
            <w:vAlign w:val="center"/>
          </w:tcPr>
          <w:p>
            <w:pPr>
              <w:ind w:left="240" w:right="240"/>
              <w:jc w:val="center"/>
              <w:rPr>
                <w:rFonts w:ascii="宋体" w:hAnsi="宋体" w:cs="宋体"/>
                <w:sz w:val="24"/>
                <w:highlight w:val="none"/>
              </w:rPr>
            </w:pPr>
            <w:r>
              <w:rPr>
                <w:rFonts w:hint="eastAsia" w:ascii="宋体" w:hAnsi="宋体" w:cs="宋体"/>
                <w:sz w:val="24"/>
                <w:highlight w:val="none"/>
              </w:rPr>
              <w:t>1</w:t>
            </w:r>
          </w:p>
        </w:tc>
        <w:tc>
          <w:tcPr>
            <w:tcW w:w="1322" w:type="dxa"/>
            <w:vAlign w:val="center"/>
          </w:tcPr>
          <w:p>
            <w:pPr>
              <w:ind w:left="240" w:right="240"/>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37" w:type="dxa"/>
            <w:vAlign w:val="center"/>
          </w:tcPr>
          <w:p>
            <w:pPr>
              <w:ind w:right="240"/>
              <w:jc w:val="center"/>
              <w:rPr>
                <w:rFonts w:ascii="宋体" w:hAnsi="宋体" w:cs="宋体"/>
                <w:sz w:val="24"/>
                <w:highlight w:val="none"/>
              </w:rPr>
            </w:pPr>
            <w:r>
              <w:rPr>
                <w:rFonts w:hint="eastAsia" w:ascii="宋体" w:hAnsi="宋体" w:cs="宋体"/>
                <w:sz w:val="24"/>
                <w:highlight w:val="none"/>
              </w:rPr>
              <w:t>7</w:t>
            </w:r>
          </w:p>
        </w:tc>
        <w:tc>
          <w:tcPr>
            <w:tcW w:w="4609" w:type="dxa"/>
            <w:vAlign w:val="center"/>
          </w:tcPr>
          <w:p>
            <w:pPr>
              <w:ind w:right="240"/>
              <w:jc w:val="center"/>
              <w:rPr>
                <w:rFonts w:ascii="宋体" w:hAnsi="宋体" w:cs="宋体"/>
                <w:sz w:val="24"/>
                <w:highlight w:val="none"/>
              </w:rPr>
            </w:pPr>
            <w:r>
              <w:rPr>
                <w:rFonts w:hint="eastAsia" w:ascii="宋体" w:hAnsi="宋体" w:cs="宋体"/>
                <w:sz w:val="24"/>
                <w:highlight w:val="none"/>
              </w:rPr>
              <w:t>电子药历</w:t>
            </w:r>
          </w:p>
        </w:tc>
        <w:tc>
          <w:tcPr>
            <w:tcW w:w="1152" w:type="dxa"/>
            <w:vAlign w:val="center"/>
          </w:tcPr>
          <w:p>
            <w:pPr>
              <w:ind w:left="240" w:right="240"/>
              <w:jc w:val="center"/>
              <w:rPr>
                <w:rFonts w:ascii="宋体" w:hAnsi="宋体" w:cs="宋体"/>
                <w:sz w:val="24"/>
                <w:highlight w:val="none"/>
              </w:rPr>
            </w:pPr>
            <w:r>
              <w:rPr>
                <w:rFonts w:hint="eastAsia" w:ascii="宋体" w:hAnsi="宋体" w:cs="宋体"/>
                <w:sz w:val="24"/>
                <w:highlight w:val="none"/>
              </w:rPr>
              <w:t>1</w:t>
            </w:r>
          </w:p>
        </w:tc>
        <w:tc>
          <w:tcPr>
            <w:tcW w:w="1322" w:type="dxa"/>
            <w:vAlign w:val="center"/>
          </w:tcPr>
          <w:p>
            <w:pPr>
              <w:ind w:left="240" w:right="240"/>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jc w:val="center"/>
        </w:trPr>
        <w:tc>
          <w:tcPr>
            <w:tcW w:w="1237" w:type="dxa"/>
            <w:vAlign w:val="center"/>
          </w:tcPr>
          <w:p>
            <w:pPr>
              <w:ind w:right="240"/>
              <w:jc w:val="center"/>
              <w:rPr>
                <w:rFonts w:ascii="宋体" w:hAnsi="宋体" w:cs="宋体"/>
                <w:sz w:val="24"/>
                <w:highlight w:val="none"/>
              </w:rPr>
            </w:pPr>
            <w:r>
              <w:rPr>
                <w:rFonts w:hint="eastAsia" w:ascii="宋体" w:hAnsi="宋体" w:cs="宋体"/>
                <w:sz w:val="24"/>
                <w:highlight w:val="none"/>
              </w:rPr>
              <w:t>8</w:t>
            </w:r>
          </w:p>
        </w:tc>
        <w:tc>
          <w:tcPr>
            <w:tcW w:w="4609" w:type="dxa"/>
            <w:vAlign w:val="center"/>
          </w:tcPr>
          <w:p>
            <w:pPr>
              <w:ind w:right="240"/>
              <w:jc w:val="center"/>
              <w:rPr>
                <w:rFonts w:ascii="宋体" w:hAnsi="宋体" w:cs="宋体"/>
                <w:sz w:val="24"/>
                <w:highlight w:val="none"/>
              </w:rPr>
            </w:pPr>
            <w:r>
              <w:rPr>
                <w:rFonts w:hint="eastAsia" w:ascii="宋体" w:hAnsi="宋体" w:cs="宋体"/>
                <w:sz w:val="24"/>
                <w:highlight w:val="none"/>
              </w:rPr>
              <w:t>合理用药咨询与药物治疗管理功能</w:t>
            </w:r>
          </w:p>
        </w:tc>
        <w:tc>
          <w:tcPr>
            <w:tcW w:w="1152" w:type="dxa"/>
            <w:vAlign w:val="center"/>
          </w:tcPr>
          <w:p>
            <w:pPr>
              <w:ind w:left="240" w:right="240"/>
              <w:jc w:val="center"/>
              <w:rPr>
                <w:rFonts w:ascii="宋体" w:hAnsi="宋体" w:cs="宋体"/>
                <w:sz w:val="24"/>
                <w:highlight w:val="none"/>
              </w:rPr>
            </w:pPr>
            <w:r>
              <w:rPr>
                <w:rFonts w:hint="eastAsia" w:ascii="宋体" w:hAnsi="宋体" w:cs="宋体"/>
                <w:sz w:val="24"/>
                <w:highlight w:val="none"/>
              </w:rPr>
              <w:t>1</w:t>
            </w:r>
          </w:p>
        </w:tc>
        <w:tc>
          <w:tcPr>
            <w:tcW w:w="1322" w:type="dxa"/>
            <w:vAlign w:val="center"/>
          </w:tcPr>
          <w:p>
            <w:pPr>
              <w:ind w:left="240" w:right="240"/>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237" w:type="dxa"/>
            <w:vAlign w:val="center"/>
          </w:tcPr>
          <w:p>
            <w:pPr>
              <w:ind w:right="240"/>
              <w:jc w:val="center"/>
              <w:rPr>
                <w:rFonts w:ascii="宋体" w:hAnsi="宋体" w:cs="宋体"/>
                <w:sz w:val="24"/>
                <w:highlight w:val="none"/>
              </w:rPr>
            </w:pPr>
            <w:r>
              <w:rPr>
                <w:rFonts w:hint="eastAsia" w:ascii="宋体" w:hAnsi="宋体" w:cs="宋体"/>
                <w:sz w:val="24"/>
                <w:highlight w:val="none"/>
              </w:rPr>
              <w:t>9</w:t>
            </w:r>
          </w:p>
        </w:tc>
        <w:tc>
          <w:tcPr>
            <w:tcW w:w="4609" w:type="dxa"/>
            <w:vAlign w:val="center"/>
          </w:tcPr>
          <w:p>
            <w:pPr>
              <w:ind w:right="240"/>
              <w:jc w:val="center"/>
              <w:rPr>
                <w:rFonts w:ascii="宋体" w:hAnsi="宋体" w:cs="宋体"/>
                <w:sz w:val="24"/>
                <w:highlight w:val="none"/>
              </w:rPr>
            </w:pPr>
            <w:r>
              <w:rPr>
                <w:rFonts w:hint="eastAsia" w:ascii="宋体" w:hAnsi="宋体" w:cs="宋体"/>
                <w:sz w:val="24"/>
                <w:highlight w:val="none"/>
              </w:rPr>
              <w:t>合理用药多院区审核点评中心</w:t>
            </w:r>
          </w:p>
        </w:tc>
        <w:tc>
          <w:tcPr>
            <w:tcW w:w="1152" w:type="dxa"/>
            <w:vAlign w:val="center"/>
          </w:tcPr>
          <w:p>
            <w:pPr>
              <w:ind w:left="240" w:right="240"/>
              <w:jc w:val="center"/>
              <w:rPr>
                <w:rFonts w:ascii="宋体" w:hAnsi="宋体" w:cs="宋体"/>
                <w:sz w:val="24"/>
                <w:highlight w:val="none"/>
              </w:rPr>
            </w:pPr>
            <w:r>
              <w:rPr>
                <w:rFonts w:hint="eastAsia" w:ascii="宋体" w:hAnsi="宋体" w:cs="宋体"/>
                <w:sz w:val="24"/>
                <w:highlight w:val="none"/>
              </w:rPr>
              <w:t>1</w:t>
            </w:r>
          </w:p>
        </w:tc>
        <w:tc>
          <w:tcPr>
            <w:tcW w:w="1322" w:type="dxa"/>
            <w:vAlign w:val="center"/>
          </w:tcPr>
          <w:p>
            <w:pPr>
              <w:ind w:left="240" w:right="240"/>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1237" w:type="dxa"/>
            <w:vAlign w:val="center"/>
          </w:tcPr>
          <w:p>
            <w:pPr>
              <w:ind w:right="240"/>
              <w:jc w:val="center"/>
              <w:rPr>
                <w:rFonts w:ascii="宋体" w:hAnsi="宋体" w:cs="宋体"/>
                <w:sz w:val="24"/>
                <w:highlight w:val="none"/>
              </w:rPr>
            </w:pPr>
            <w:r>
              <w:rPr>
                <w:rFonts w:hint="eastAsia" w:ascii="宋体" w:hAnsi="宋体" w:cs="宋体"/>
                <w:sz w:val="24"/>
                <w:highlight w:val="none"/>
              </w:rPr>
              <w:t>1</w:t>
            </w:r>
            <w:r>
              <w:rPr>
                <w:rFonts w:ascii="宋体" w:hAnsi="宋体" w:cs="宋体"/>
                <w:sz w:val="24"/>
                <w:highlight w:val="none"/>
              </w:rPr>
              <w:t>0</w:t>
            </w:r>
          </w:p>
        </w:tc>
        <w:tc>
          <w:tcPr>
            <w:tcW w:w="4609" w:type="dxa"/>
            <w:vAlign w:val="center"/>
          </w:tcPr>
          <w:p>
            <w:pPr>
              <w:ind w:right="240"/>
              <w:jc w:val="center"/>
              <w:rPr>
                <w:rFonts w:ascii="宋体" w:hAnsi="宋体" w:cs="宋体"/>
                <w:sz w:val="24"/>
                <w:highlight w:val="none"/>
              </w:rPr>
            </w:pPr>
            <w:r>
              <w:rPr>
                <w:rFonts w:hint="eastAsia" w:ascii="宋体" w:hAnsi="宋体" w:cs="宋体"/>
                <w:sz w:val="24"/>
                <w:highlight w:val="none"/>
              </w:rPr>
              <w:t>统计分析</w:t>
            </w:r>
          </w:p>
        </w:tc>
        <w:tc>
          <w:tcPr>
            <w:tcW w:w="1152" w:type="dxa"/>
            <w:vAlign w:val="center"/>
          </w:tcPr>
          <w:p>
            <w:pPr>
              <w:ind w:left="240" w:right="240"/>
              <w:jc w:val="center"/>
              <w:rPr>
                <w:rFonts w:ascii="宋体" w:hAnsi="宋体" w:cs="宋体"/>
                <w:sz w:val="24"/>
                <w:highlight w:val="none"/>
              </w:rPr>
            </w:pPr>
            <w:r>
              <w:rPr>
                <w:rFonts w:hint="eastAsia" w:ascii="宋体" w:hAnsi="宋体" w:cs="宋体"/>
                <w:sz w:val="24"/>
                <w:highlight w:val="none"/>
              </w:rPr>
              <w:t>1</w:t>
            </w:r>
          </w:p>
        </w:tc>
        <w:tc>
          <w:tcPr>
            <w:tcW w:w="1322" w:type="dxa"/>
            <w:vAlign w:val="center"/>
          </w:tcPr>
          <w:p>
            <w:pPr>
              <w:ind w:left="240" w:right="240"/>
              <w:jc w:val="center"/>
              <w:rPr>
                <w:rFonts w:ascii="宋体" w:hAnsi="宋体" w:cs="宋体"/>
                <w:sz w:val="24"/>
                <w:highlight w:val="none"/>
              </w:rPr>
            </w:pPr>
          </w:p>
        </w:tc>
      </w:tr>
    </w:tbl>
    <w:p>
      <w:pPr>
        <w:spacing w:line="360" w:lineRule="auto"/>
        <w:rPr>
          <w:rFonts w:hint="eastAsia" w:ascii="Times New Roman" w:hAnsi="Times New Roman" w:eastAsia="宋体" w:cs="Times New Roman"/>
          <w:b/>
          <w:bCs/>
          <w:sz w:val="28"/>
          <w:highlight w:val="none"/>
        </w:rPr>
      </w:pPr>
      <w:r>
        <w:rPr>
          <w:rFonts w:hint="eastAsia" w:ascii="Times New Roman" w:hAnsi="Times New Roman" w:eastAsia="宋体" w:cs="Times New Roman"/>
          <w:b/>
          <w:bCs/>
          <w:sz w:val="28"/>
          <w:highlight w:val="none"/>
          <w:lang w:eastAsia="zh-CN"/>
        </w:rPr>
        <w:t>三、</w:t>
      </w:r>
      <w:r>
        <w:rPr>
          <w:rFonts w:hint="eastAsia" w:ascii="Times New Roman" w:hAnsi="Times New Roman" w:eastAsia="宋体" w:cs="Times New Roman"/>
          <w:b/>
          <w:bCs/>
          <w:sz w:val="28"/>
          <w:highlight w:val="none"/>
        </w:rPr>
        <w:t>总体要求</w:t>
      </w:r>
    </w:p>
    <w:p>
      <w:pPr>
        <w:numPr>
          <w:ilvl w:val="0"/>
          <w:numId w:val="4"/>
        </w:numPr>
        <w:ind w:left="660" w:right="240"/>
        <w:rPr>
          <w:rFonts w:hint="eastAsia" w:ascii="宋体" w:hAnsi="宋体" w:eastAsia="宋体" w:cs="宋体"/>
          <w:sz w:val="24"/>
          <w:szCs w:val="24"/>
          <w:highlight w:val="none"/>
        </w:rPr>
      </w:pPr>
      <w:r>
        <w:rPr>
          <w:rFonts w:hint="eastAsia" w:ascii="宋体" w:hAnsi="宋体" w:eastAsia="宋体" w:cs="宋体"/>
          <w:sz w:val="24"/>
          <w:szCs w:val="24"/>
          <w:highlight w:val="none"/>
        </w:rPr>
        <w:t>自主知识产权要求：有医院信息管理相关软件自主知识产权（需提供《著作权登记证书》、《软件产品登记证书》并加盖投标人公章）。</w:t>
      </w:r>
    </w:p>
    <w:p>
      <w:pPr>
        <w:numPr>
          <w:ilvl w:val="0"/>
          <w:numId w:val="4"/>
        </w:numPr>
        <w:ind w:left="660" w:right="240"/>
        <w:rPr>
          <w:rFonts w:hint="eastAsia" w:ascii="宋体" w:hAnsi="宋体" w:eastAsia="宋体" w:cs="宋体"/>
          <w:sz w:val="24"/>
          <w:szCs w:val="24"/>
          <w:highlight w:val="none"/>
        </w:rPr>
      </w:pPr>
      <w:r>
        <w:rPr>
          <w:rFonts w:hint="eastAsia" w:ascii="宋体" w:hAnsi="宋体" w:eastAsia="宋体" w:cs="宋体"/>
          <w:sz w:val="24"/>
          <w:szCs w:val="24"/>
          <w:highlight w:val="none"/>
        </w:rPr>
        <w:t>系统设计科学、合理，系统使用方便。</w:t>
      </w:r>
    </w:p>
    <w:p>
      <w:pPr>
        <w:numPr>
          <w:ilvl w:val="0"/>
          <w:numId w:val="4"/>
        </w:numPr>
        <w:ind w:left="660" w:right="240"/>
        <w:rPr>
          <w:rFonts w:hint="eastAsia" w:ascii="宋体" w:hAnsi="宋体" w:eastAsia="宋体" w:cs="宋体"/>
          <w:sz w:val="24"/>
          <w:szCs w:val="24"/>
          <w:highlight w:val="none"/>
        </w:rPr>
      </w:pPr>
      <w:r>
        <w:rPr>
          <w:rFonts w:hint="eastAsia" w:ascii="宋体" w:hAnsi="宋体" w:eastAsia="宋体" w:cs="宋体"/>
          <w:sz w:val="24"/>
          <w:szCs w:val="24"/>
          <w:highlight w:val="none"/>
        </w:rPr>
        <w:t>性能要求：系统在实际应用环境中实时审查平均响应时间应小于0.6秒/处方（医嘱），处方自动点评速度需在每秒200张以上，并由信息中心验收通过。</w:t>
      </w:r>
    </w:p>
    <w:p>
      <w:pPr>
        <w:numPr>
          <w:numId w:val="0"/>
        </w:numPr>
        <w:ind w:left="240" w:leftChars="0" w:right="240" w:rightChars="0"/>
        <w:rPr>
          <w:rFonts w:hint="eastAsia" w:ascii="宋体" w:hAnsi="宋体" w:eastAsia="宋体" w:cs="宋体"/>
          <w:color w:val="auto"/>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4.</w:t>
      </w:r>
      <w:r>
        <w:rPr>
          <w:rFonts w:hint="eastAsia" w:ascii="宋体" w:hAnsi="宋体" w:eastAsia="宋体" w:cs="宋体"/>
          <w:color w:val="auto"/>
          <w:sz w:val="24"/>
          <w:szCs w:val="24"/>
          <w:highlight w:val="none"/>
        </w:rPr>
        <w:t>投标人须承诺完全开放全部知识库（说明书、规则和文献，且不限于本院现有的药品），用户依据权限可以完全自主查看、新增、修改、删除和审核，投标人须提供原厂商的承诺书并注明提供药品知识库的药品数量。</w:t>
      </w:r>
    </w:p>
    <w:p>
      <w:pPr>
        <w:numPr>
          <w:numId w:val="0"/>
        </w:numPr>
        <w:ind w:left="240" w:leftChars="0" w:right="240" w:rightChars="0"/>
        <w:rPr>
          <w:rFonts w:hint="eastAsia" w:ascii="宋体" w:hAnsi="宋体" w:eastAsia="宋体" w:cs="宋体"/>
          <w:sz w:val="24"/>
          <w:szCs w:val="24"/>
          <w:highlight w:val="none"/>
        </w:rPr>
      </w:pPr>
      <w:r>
        <w:rPr>
          <w:rFonts w:hint="eastAsia" w:ascii="宋体" w:hAnsi="宋体" w:cs="宋体"/>
          <w:sz w:val="24"/>
          <w:szCs w:val="24"/>
          <w:highlight w:val="none"/>
        </w:rPr>
        <w:t>▲</w:t>
      </w:r>
      <w:r>
        <w:rPr>
          <w:rFonts w:hint="eastAsia" w:ascii="宋体" w:hAnsi="宋体" w:cs="宋体"/>
          <w:bCs/>
          <w:kern w:val="0"/>
          <w:sz w:val="24"/>
          <w:highlight w:val="none"/>
          <w:lang w:val="en-US" w:eastAsia="zh-CN"/>
        </w:rPr>
        <w:t>5.</w:t>
      </w:r>
      <w:r>
        <w:rPr>
          <w:rFonts w:hint="eastAsia" w:ascii="宋体" w:hAnsi="宋体" w:cs="宋体"/>
          <w:bCs/>
          <w:kern w:val="0"/>
          <w:sz w:val="24"/>
          <w:highlight w:val="none"/>
        </w:rPr>
        <w:t>投标人须承诺提供合理用药系统的所有数据库表结构及表字段的解释说明或提供合理用药系统的所有源码（可签署保密协议），并由信息中心验收通过</w:t>
      </w:r>
      <w:r>
        <w:rPr>
          <w:rFonts w:hint="eastAsia" w:ascii="宋体" w:hAnsi="宋体" w:eastAsia="宋体" w:cs="宋体"/>
          <w:sz w:val="24"/>
          <w:szCs w:val="24"/>
          <w:highlight w:val="none"/>
        </w:rPr>
        <w:t>。</w:t>
      </w:r>
    </w:p>
    <w:p>
      <w:pPr>
        <w:numPr>
          <w:numId w:val="0"/>
        </w:numPr>
        <w:ind w:left="240" w:leftChars="0" w:right="240" w:rightChars="0"/>
        <w:rPr>
          <w:rFonts w:hint="eastAsia" w:ascii="宋体" w:hAnsi="宋体" w:eastAsia="宋体" w:cs="宋体"/>
          <w:sz w:val="24"/>
          <w:szCs w:val="24"/>
          <w:highlight w:val="none"/>
        </w:rPr>
      </w:pPr>
      <w:r>
        <w:rPr>
          <w:rFonts w:hint="eastAsia" w:ascii="宋体" w:hAnsi="宋体" w:cs="宋体"/>
          <w:sz w:val="24"/>
          <w:szCs w:val="24"/>
          <w:highlight w:val="none"/>
        </w:rPr>
        <w:t>▲</w:t>
      </w:r>
      <w:r>
        <w:rPr>
          <w:rFonts w:hint="eastAsia" w:ascii="宋体" w:hAnsi="宋体" w:cs="宋体"/>
          <w:bCs/>
          <w:kern w:val="0"/>
          <w:sz w:val="24"/>
          <w:highlight w:val="none"/>
          <w:lang w:val="en-US" w:eastAsia="zh-CN"/>
        </w:rPr>
        <w:t>6.</w:t>
      </w:r>
      <w:r>
        <w:rPr>
          <w:rFonts w:hint="eastAsia" w:ascii="宋体" w:hAnsi="宋体" w:cs="宋体"/>
          <w:bCs/>
          <w:kern w:val="0"/>
          <w:sz w:val="24"/>
          <w:highlight w:val="none"/>
        </w:rPr>
        <w:t>系统须分别和山东大学第二医院HIS系统、山东大学第二医院集成平台、其它山大二院指定的已有系统对接，并由信息中心验收通过</w:t>
      </w:r>
      <w:r>
        <w:rPr>
          <w:rFonts w:hint="eastAsia" w:ascii="宋体" w:hAnsi="宋体" w:eastAsia="宋体" w:cs="宋体"/>
          <w:sz w:val="24"/>
          <w:szCs w:val="24"/>
          <w:highlight w:val="none"/>
        </w:rPr>
        <w:t>。</w:t>
      </w:r>
    </w:p>
    <w:p>
      <w:pPr>
        <w:numPr>
          <w:numId w:val="0"/>
        </w:numPr>
        <w:ind w:left="240" w:leftChars="0" w:right="240" w:rightChars="0"/>
        <w:rPr>
          <w:rFonts w:hint="eastAsia" w:ascii="宋体" w:hAnsi="宋体" w:eastAsia="宋体" w:cs="宋体"/>
          <w:sz w:val="24"/>
          <w:szCs w:val="24"/>
          <w:highlight w:val="none"/>
        </w:rPr>
      </w:pPr>
      <w:r>
        <w:rPr>
          <w:rFonts w:hint="eastAsia" w:ascii="宋体" w:hAnsi="宋体" w:cs="宋体"/>
          <w:sz w:val="24"/>
          <w:szCs w:val="24"/>
          <w:highlight w:val="none"/>
        </w:rPr>
        <w:t>▲</w:t>
      </w:r>
      <w:r>
        <w:rPr>
          <w:rFonts w:hint="eastAsia" w:ascii="宋体" w:hAnsi="宋体" w:cs="宋体"/>
          <w:bCs/>
          <w:kern w:val="0"/>
          <w:sz w:val="24"/>
          <w:highlight w:val="none"/>
          <w:lang w:val="en-US" w:eastAsia="zh-CN"/>
        </w:rPr>
        <w:t>7.</w:t>
      </w:r>
      <w:r>
        <w:rPr>
          <w:rFonts w:hint="eastAsia" w:ascii="宋体" w:hAnsi="宋体" w:cs="宋体"/>
          <w:bCs/>
          <w:kern w:val="0"/>
          <w:sz w:val="24"/>
          <w:highlight w:val="none"/>
        </w:rPr>
        <w:t>部署合理用药系统所需的操作系统和数据库软件系统由投标人提供并安装，要求无版权问题</w:t>
      </w:r>
      <w:r>
        <w:rPr>
          <w:rFonts w:hint="eastAsia" w:ascii="宋体" w:hAnsi="宋体" w:eastAsia="宋体" w:cs="宋体"/>
          <w:sz w:val="24"/>
          <w:szCs w:val="24"/>
          <w:highlight w:val="none"/>
        </w:rPr>
        <w:t>。</w:t>
      </w:r>
    </w:p>
    <w:p>
      <w:pPr>
        <w:pStyle w:val="4"/>
        <w:rPr>
          <w:sz w:val="28"/>
          <w:szCs w:val="18"/>
          <w:highlight w:val="none"/>
        </w:rPr>
      </w:pPr>
      <w:r>
        <w:rPr>
          <w:rFonts w:hint="eastAsia"/>
          <w:sz w:val="28"/>
          <w:szCs w:val="18"/>
          <w:highlight w:val="none"/>
          <w:lang w:eastAsia="zh-CN"/>
        </w:rPr>
        <w:t>三、</w:t>
      </w:r>
      <w:r>
        <w:rPr>
          <w:rFonts w:hint="eastAsia"/>
          <w:sz w:val="28"/>
          <w:szCs w:val="18"/>
          <w:highlight w:val="none"/>
        </w:rPr>
        <w:t>总体技术参数</w:t>
      </w:r>
    </w:p>
    <w:p>
      <w:pPr>
        <w:pStyle w:val="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药品说明书查询功能</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1、能根据关键字、适应症关键字、药品分类查找符合查询条件的药品说明书。</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2、可查询相同药品其他厂家的药品说明书、查询相同药品其他剂型药品的说明书。</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3、可在医生站等系统中点击药品名称查询药品说明书。</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4、医院可自行维护药品说明书。</w:t>
      </w:r>
    </w:p>
    <w:p>
      <w:pPr>
        <w:pStyle w:val="5"/>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（二）</w:t>
      </w:r>
      <w:r>
        <w:rPr>
          <w:rFonts w:hint="eastAsia" w:ascii="宋体" w:hAnsi="宋体" w:eastAsia="宋体" w:cs="宋体"/>
          <w:sz w:val="24"/>
          <w:szCs w:val="24"/>
          <w:highlight w:val="none"/>
        </w:rPr>
        <w:t>门急诊处方点评/住院医嘱点评功能</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门急诊处方点评/住院医嘱点评功能需实现国家卫健委制定的《医院处方点评管理规范》的所有要求。</w:t>
      </w:r>
    </w:p>
    <w:p>
      <w:pPr>
        <w:ind w:left="240" w:right="240"/>
        <w:rPr>
          <w:rFonts w:hint="eastAsia" w:ascii="宋体" w:hAnsi="宋体" w:eastAsia="宋体" w:cs="宋体"/>
          <w:b/>
          <w:sz w:val="24"/>
          <w:szCs w:val="24"/>
          <w:highlight w:val="none"/>
        </w:rPr>
      </w:pPr>
      <w:r>
        <w:rPr>
          <w:rFonts w:hint="eastAsia" w:ascii="宋体" w:hAnsi="宋体" w:eastAsia="宋体" w:cs="宋体"/>
          <w:b/>
          <w:sz w:val="24"/>
          <w:szCs w:val="24"/>
          <w:highlight w:val="none"/>
        </w:rPr>
        <w:t>1、门急诊处方自动点评</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可每日定时自动点评当日全院门（急）诊处方。药师可查看过往处方点评内容与结果。</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可对当日患者的所有处方进行联合点评。</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可从无适应症用药、药物禁忌症/慎用症、给药途径与用法用量、用药疗程、重复给药、药物相互作用、配伍禁忌、高危用药人群（孕产妇/儿童/高龄老人/肝肾胰腺功能不全患者）用药风险、抗菌药物及特殊用药权限等方面进行审核与点评。</w:t>
      </w:r>
    </w:p>
    <w:p>
      <w:pPr>
        <w:ind w:left="240" w:right="240"/>
        <w:rPr>
          <w:rFonts w:hint="eastAsia" w:ascii="宋体" w:hAnsi="宋体" w:eastAsia="宋体" w:cs="宋体"/>
          <w:b/>
          <w:sz w:val="24"/>
          <w:szCs w:val="24"/>
          <w:highlight w:val="none"/>
        </w:rPr>
      </w:pPr>
      <w:r>
        <w:rPr>
          <w:rFonts w:hint="eastAsia" w:ascii="宋体" w:hAnsi="宋体" w:eastAsia="宋体" w:cs="宋体"/>
          <w:b/>
          <w:sz w:val="24"/>
          <w:szCs w:val="24"/>
          <w:highlight w:val="none"/>
        </w:rPr>
        <w:t>2、门急诊处方人工点评</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可根据日期、类型、身份、就诊科室、药品类别、抗菌药、药理分类、处方、患者、医生、处方合理性、门(急)诊、药品名称、发药药房等查询自动点评结果并进行人工的点评。</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具有处方点评分配功能（具体分配规则需符合我院要求）。</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可针对重点药物（如抗菌药物、中药注射剂、辅助用药、血液制品等）、重点疾病、重点科室等进行专项点评。</w:t>
      </w:r>
    </w:p>
    <w:p>
      <w:pPr>
        <w:ind w:left="240" w:right="240"/>
        <w:rPr>
          <w:rFonts w:hint="eastAsia" w:ascii="宋体" w:hAnsi="宋体" w:eastAsia="宋体" w:cs="宋体"/>
          <w:b/>
          <w:sz w:val="24"/>
          <w:szCs w:val="24"/>
          <w:highlight w:val="none"/>
        </w:rPr>
      </w:pPr>
      <w:r>
        <w:rPr>
          <w:rFonts w:hint="eastAsia" w:ascii="宋体" w:hAnsi="宋体" w:eastAsia="宋体" w:cs="宋体"/>
          <w:b/>
          <w:sz w:val="24"/>
          <w:szCs w:val="24"/>
          <w:highlight w:val="none"/>
        </w:rPr>
        <w:t>3、住院医嘱自动点评</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可每日定时自动点评当日在院、出院患者医嘱。药师可查看过往医嘱点评内容与结果。</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同一患者的不同医嘱要做到联合点评。</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可从无适应症用药、药物禁忌症/慎用症、给药途径与用法用量、用药疗程、重复给药、药物相互作用、配伍禁忌、高危用药人群（孕产妇/儿童/高龄老人/肝肾胰腺功能不全患者）用药风险、抗菌药物及特殊用药权限等内容进行审核与点评。</w:t>
      </w:r>
    </w:p>
    <w:p>
      <w:pPr>
        <w:ind w:left="240" w:right="240"/>
        <w:rPr>
          <w:rFonts w:hint="eastAsia" w:ascii="宋体" w:hAnsi="宋体" w:eastAsia="宋体" w:cs="宋体"/>
          <w:b/>
          <w:sz w:val="24"/>
          <w:szCs w:val="24"/>
          <w:highlight w:val="none"/>
        </w:rPr>
      </w:pPr>
      <w:r>
        <w:rPr>
          <w:rFonts w:hint="eastAsia" w:ascii="宋体" w:hAnsi="宋体" w:eastAsia="宋体" w:cs="宋体"/>
          <w:b/>
          <w:sz w:val="24"/>
          <w:szCs w:val="24"/>
          <w:highlight w:val="none"/>
        </w:rPr>
        <w:t>4、住院医嘱人工点评</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可按照日期、类型、身份、就诊科室、药品类别、抗菌药、药理分类、患者、医生、药品名称、手术、切口类型等条件查询自动点评结果并进行人工点评。</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具有医嘱点评分配功能（具体分配规则需符合我院要求）。</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可针对抗菌药物、中药注射剂、辅助用药、血液制品等进行专项点评。</w:t>
      </w:r>
    </w:p>
    <w:p>
      <w:pPr>
        <w:pStyle w:val="5"/>
        <w:rPr>
          <w:highlight w:val="none"/>
        </w:rPr>
      </w:pPr>
      <w:r>
        <w:rPr>
          <w:rFonts w:hint="eastAsia"/>
          <w:highlight w:val="none"/>
          <w:lang w:eastAsia="zh-CN"/>
        </w:rPr>
        <w:t>（三）</w:t>
      </w:r>
      <w:r>
        <w:rPr>
          <w:rFonts w:hint="eastAsia"/>
          <w:highlight w:val="none"/>
        </w:rPr>
        <w:t>合理用药</w:t>
      </w:r>
      <w:r>
        <w:rPr>
          <w:highlight w:val="none"/>
        </w:rPr>
        <w:t>审核功能</w:t>
      </w:r>
    </w:p>
    <w:p>
      <w:pPr>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合理用药审核功能需实现国家卫健委制定的《医疗机构处方审核规范》的所有要求。</w:t>
      </w:r>
    </w:p>
    <w:p>
      <w:pPr>
        <w:ind w:left="240" w:right="240"/>
        <w:rPr>
          <w:rFonts w:hint="eastAsia" w:ascii="宋体" w:hAnsi="宋体" w:eastAsia="宋体" w:cs="宋体"/>
          <w:b/>
          <w:sz w:val="24"/>
          <w:szCs w:val="24"/>
          <w:highlight w:val="none"/>
        </w:rPr>
      </w:pPr>
      <w:r>
        <w:rPr>
          <w:rFonts w:hint="eastAsia" w:ascii="宋体" w:hAnsi="宋体" w:eastAsia="宋体" w:cs="宋体"/>
          <w:b/>
          <w:sz w:val="24"/>
          <w:szCs w:val="24"/>
          <w:highlight w:val="none"/>
        </w:rPr>
        <w:t>1、合理用药自动审核</w:t>
      </w:r>
    </w:p>
    <w:p>
      <w:pPr>
        <w:ind w:right="240"/>
        <w:rPr>
          <w:rFonts w:hint="eastAsia" w:ascii="宋体" w:hAnsi="宋体" w:eastAsia="宋体" w:cs="宋体"/>
          <w:sz w:val="24"/>
          <w:szCs w:val="24"/>
          <w:highlight w:val="none"/>
        </w:rPr>
      </w:pPr>
      <w:r>
        <w:rPr>
          <w:rFonts w:hint="eastAsia" w:ascii="宋体" w:hAnsi="宋体" w:eastAsia="宋体" w:cs="宋体"/>
          <w:sz w:val="24"/>
          <w:szCs w:val="24"/>
          <w:highlight w:val="none"/>
        </w:rPr>
        <w:t>支持对门急诊医生站/住院医生站的用药适宜性及规范性进行实时审查，并给予医生提示，对于严重的用药问题可以直接在医生端进行拦截，若医生不做调整，则处方/医嘱无法生效，主要审查项包括：</w:t>
      </w:r>
    </w:p>
    <w:p>
      <w:pPr>
        <w:numPr>
          <w:ilvl w:val="0"/>
          <w:numId w:val="5"/>
        </w:numPr>
        <w:ind w:left="380" w:leftChars="0" w:right="240" w:firstLine="4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适应症审查：根据患者的诊断名称或ICD10编码，审查处方/医嘱中药物的适应症是否与患者的疾病情况相符；</w:t>
      </w:r>
    </w:p>
    <w:p>
      <w:pPr>
        <w:numPr>
          <w:ilvl w:val="0"/>
          <w:numId w:val="5"/>
        </w:numPr>
        <w:ind w:left="580" w:leftChars="0" w:right="240" w:hanging="16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禁忌症审查：根据患者的诊断名称或ICD10编码，审查处方/医嘱中是否存在患者禁用的药品；</w:t>
      </w:r>
    </w:p>
    <w:p>
      <w:pPr>
        <w:numPr>
          <w:ilvl w:val="0"/>
          <w:numId w:val="5"/>
        </w:numPr>
        <w:ind w:right="240"/>
        <w:rPr>
          <w:rFonts w:hint="eastAsia" w:ascii="宋体" w:hAnsi="宋体" w:eastAsia="宋体" w:cs="宋体"/>
          <w:sz w:val="24"/>
          <w:szCs w:val="24"/>
          <w:highlight w:val="none"/>
        </w:rPr>
      </w:pPr>
      <w:r>
        <w:rPr>
          <w:rFonts w:hint="eastAsia" w:ascii="宋体" w:hAnsi="宋体" w:eastAsia="宋体" w:cs="宋体"/>
          <w:sz w:val="24"/>
          <w:szCs w:val="24"/>
          <w:highlight w:val="none"/>
        </w:rPr>
        <w:t>给药途径审查：审查药品的给药途径是否在说明书推荐的范围内；</w:t>
      </w:r>
    </w:p>
    <w:p>
      <w:pPr>
        <w:numPr>
          <w:ilvl w:val="0"/>
          <w:numId w:val="5"/>
        </w:numPr>
        <w:ind w:left="580" w:leftChars="0" w:right="240" w:hanging="16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用法用量审查：根据患者年龄、性别、体重、体表面积、孕产状态、诊断、肝功能、肾功能、给药途径、合并用药（剂量、频率、给药途径）、检验指标等信息审查药品的每次剂量（包括每公斤剂量、每体表面积剂量）、日剂量、累计剂量及给药频率、给药时机是否在规定范围内； </w:t>
      </w:r>
    </w:p>
    <w:p>
      <w:pPr>
        <w:numPr>
          <w:ilvl w:val="0"/>
          <w:numId w:val="5"/>
        </w:numPr>
        <w:ind w:left="580" w:leftChars="0" w:right="240" w:hanging="16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异常剂量审查：根据年龄、诊断等信息对处方/医嘱中超过任意倍最大推荐量或低于任意倍最小推荐量等明显异常用量情况进行审查；对处方/医嘱中所用缓释片、控释片、肠溶片等每次剂量不符合合理可分剂量整数倍等异常用量情况进行审查；</w:t>
      </w:r>
    </w:p>
    <w:p>
      <w:pPr>
        <w:numPr>
          <w:ilvl w:val="0"/>
          <w:numId w:val="5"/>
        </w:numPr>
        <w:ind w:left="580" w:leftChars="0" w:right="240" w:hanging="16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按成分累计剂量审查：可对处方/医嘱中某药品成分超过推荐量等用药问题进行审查；</w:t>
      </w:r>
    </w:p>
    <w:p>
      <w:pPr>
        <w:numPr>
          <w:ilvl w:val="0"/>
          <w:numId w:val="5"/>
        </w:numPr>
        <w:ind w:left="580" w:leftChars="0" w:right="240" w:hanging="16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疗程审查：根据诊断等信息审查药品的疗程及持续时间是否在说明书规定的范围内，对于超疗程用药的处方或医嘱进行提示；住院医嘱的疗程审查可以分别对连续用药的医嘱、不连续用药或一段时间内（限一次住院范围内）的医嘱进行审查；</w:t>
      </w:r>
    </w:p>
    <w:p>
      <w:pPr>
        <w:numPr>
          <w:ilvl w:val="0"/>
          <w:numId w:val="5"/>
        </w:numPr>
        <w:ind w:left="580" w:leftChars="0" w:right="240" w:hanging="16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间隔时间审查：根据给药剂量、诊断、年龄等信息，对于住院医嘱（限一次住院范围内），审查某个药品在限定时间内是否存在该类药品或成分，可对用药间隔不适宜情况进行审查；</w:t>
      </w:r>
    </w:p>
    <w:p>
      <w:pPr>
        <w:numPr>
          <w:ilvl w:val="0"/>
          <w:numId w:val="5"/>
        </w:numPr>
        <w:ind w:left="580" w:leftChars="0" w:right="240" w:hanging="16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相互作用审查：根据患者诊断、药品或合用药品（剂量、频率、给药途径）、检验指标等信息审查同时使用或跨时段间隔使用（限一次住院范围内）处方/医嘱中是否存在有相互作用的药品，其中门急诊患者可以实现跨科室合并审查；同时支持按药品成分审查处方/医嘱中药品是否存在相互作用；</w:t>
      </w:r>
    </w:p>
    <w:p>
      <w:pPr>
        <w:numPr>
          <w:ilvl w:val="0"/>
          <w:numId w:val="5"/>
        </w:numPr>
        <w:ind w:left="580" w:leftChars="0" w:right="240" w:hanging="16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重复用药审查：根据给药途径、诊断等信息，审查处方/医嘱中是否存在有重复用药的药品，其中门急诊患者可以实现跨科室合并审查；同时支持按药品成分审查处方/医嘱中药品是否存在重复用药；</w:t>
      </w:r>
    </w:p>
    <w:p>
      <w:pPr>
        <w:numPr>
          <w:ilvl w:val="0"/>
          <w:numId w:val="5"/>
        </w:numPr>
        <w:ind w:left="580" w:leftChars="0" w:right="240" w:hanging="16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配伍审查：根据给药途径等信息，根据说明书及《459种中西药注射剂配伍变化及临床应用检索表》的规定审查处方/医嘱中同组注射剂是否存在配伍问题（包括溶媒选择、同组药品配伍、溶媒是否添加）进行审查；</w:t>
      </w:r>
    </w:p>
    <w:p>
      <w:pPr>
        <w:numPr>
          <w:ilvl w:val="0"/>
          <w:numId w:val="6"/>
        </w:numPr>
        <w:ind w:left="760" w:leftChars="0" w:right="240" w:hanging="18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溶媒用量：从浓度及溶媒体积两个维度结合给药途径等判断条件，审查同组注射剂配伍后溶媒用量是否在规定范围内；</w:t>
      </w:r>
    </w:p>
    <w:p>
      <w:pPr>
        <w:numPr>
          <w:ilvl w:val="0"/>
          <w:numId w:val="6"/>
        </w:numPr>
        <w:ind w:left="760" w:leftChars="0" w:right="240" w:hanging="18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离子浓度专项审查：若同组注射药品有一个或多个含钾、钠、钙、镁药物，审查该组注射剂的钾、钠、钙、镁离子总浓度是否在规定范围内；</w:t>
      </w:r>
    </w:p>
    <w:p>
      <w:pPr>
        <w:numPr>
          <w:ilvl w:val="0"/>
          <w:numId w:val="5"/>
        </w:numPr>
        <w:ind w:left="580" w:leftChars="0" w:right="240" w:hanging="16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特殊人群用药审查：审查处方/医嘱中是否存在儿童、老年人、特定年龄、特定性别及肝肾功能异常、检验指标异常、存在不良反应类似疾病或状态患者禁、慎用的药品；还可以根据患者妊娠状态、孕周、哺乳状态或患者诊断（ICD10），审查处方/医嘱中是否存在妊娠期、哺乳期妇女禁、慎用的药品；</w:t>
      </w:r>
    </w:p>
    <w:p>
      <w:pPr>
        <w:numPr>
          <w:ilvl w:val="0"/>
          <w:numId w:val="5"/>
        </w:numPr>
        <w:ind w:left="580" w:leftChars="0" w:right="240" w:hanging="16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过敏审查：根据患者的过敏史，审查处方/医嘱中是否存在可能引起患者过敏或交叉过敏的药品、成分、食品或某个或某类辅料的药品；</w:t>
      </w:r>
    </w:p>
    <w:p>
      <w:pPr>
        <w:numPr>
          <w:ilvl w:val="0"/>
          <w:numId w:val="5"/>
        </w:numPr>
        <w:ind w:left="580" w:leftChars="0" w:right="240" w:hanging="16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处方规范性审查：对处方的规范性进行审查，包括处方缺项；男性怀孕；用法、用量使用含糊不清字句；临床诊断缺失；单张门急诊处方超过五种等；</w:t>
      </w:r>
    </w:p>
    <w:p>
      <w:pPr>
        <w:numPr>
          <w:ilvl w:val="0"/>
          <w:numId w:val="5"/>
        </w:numPr>
        <w:ind w:right="240"/>
        <w:rPr>
          <w:rFonts w:hint="eastAsia" w:ascii="宋体" w:hAnsi="宋体" w:eastAsia="宋体" w:cs="宋体"/>
          <w:sz w:val="24"/>
          <w:szCs w:val="24"/>
          <w:highlight w:val="none"/>
        </w:rPr>
      </w:pPr>
      <w:r>
        <w:rPr>
          <w:rFonts w:hint="eastAsia" w:ascii="宋体" w:hAnsi="宋体" w:eastAsia="宋体" w:cs="宋体"/>
          <w:sz w:val="24"/>
          <w:szCs w:val="24"/>
          <w:highlight w:val="none"/>
        </w:rPr>
        <w:t>特殊药品开方提醒：在医生开具特殊药品时，提醒医生相关注意事项。</w:t>
      </w:r>
    </w:p>
    <w:p>
      <w:pPr>
        <w:numPr>
          <w:ilvl w:val="0"/>
          <w:numId w:val="5"/>
        </w:numPr>
        <w:ind w:right="240"/>
        <w:rPr>
          <w:rFonts w:hint="eastAsia" w:ascii="宋体" w:hAnsi="宋体" w:eastAsia="宋体" w:cs="宋体"/>
          <w:sz w:val="24"/>
          <w:szCs w:val="24"/>
          <w:highlight w:val="none"/>
        </w:rPr>
      </w:pPr>
      <w:r>
        <w:rPr>
          <w:rFonts w:hint="eastAsia" w:ascii="宋体" w:hAnsi="宋体" w:eastAsia="宋体" w:cs="宋体"/>
          <w:sz w:val="24"/>
          <w:szCs w:val="24"/>
          <w:highlight w:val="none"/>
        </w:rPr>
        <w:t>抗菌药物管理</w:t>
      </w:r>
    </w:p>
    <w:p>
      <w:pPr>
        <w:numPr>
          <w:ilvl w:val="0"/>
          <w:numId w:val="7"/>
        </w:numPr>
        <w:ind w:left="1140" w:leftChars="0" w:right="240" w:hanging="56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围手术期用药：对围手术期用药进行审查；</w:t>
      </w:r>
    </w:p>
    <w:p>
      <w:pPr>
        <w:numPr>
          <w:ilvl w:val="0"/>
          <w:numId w:val="7"/>
        </w:numPr>
        <w:ind w:left="1260" w:leftChars="0" w:right="240" w:hanging="68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抗菌药物越权用药：对抗菌药物使用权限进行审查；</w:t>
      </w:r>
    </w:p>
    <w:p>
      <w:pPr>
        <w:numPr>
          <w:ilvl w:val="0"/>
          <w:numId w:val="7"/>
        </w:numPr>
        <w:ind w:left="960" w:leftChars="0" w:right="240" w:hanging="38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抗菌谱相同药品合用：对两个或多个抗菌谱相同的抗菌药物重复用药进行审查；</w:t>
      </w:r>
    </w:p>
    <w:p>
      <w:pPr>
        <w:numPr>
          <w:ilvl w:val="0"/>
          <w:numId w:val="8"/>
        </w:numPr>
        <w:ind w:left="580" w:leftChars="0" w:right="240" w:hanging="16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麻精药品管理：对麻醉药品和精神类药品超多日用量（累计数量、用药天数）进行审查；</w:t>
      </w:r>
    </w:p>
    <w:p>
      <w:pPr>
        <w:numPr>
          <w:ilvl w:val="0"/>
          <w:numId w:val="5"/>
        </w:numPr>
        <w:ind w:left="580" w:leftChars="0" w:right="240" w:hanging="16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超医院规定审查：支持基于医院自定义管理标准的用药审查，管理标准可由医院用药管理人员自行录入系统知识库，并支持多条件复杂逻辑的管理标准制定，在处方/医嘱开具过程中，审查处方/医嘱中是否存在超过医院管理规定使用的药品，比如超抗菌药物权限、超科室用药等。</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支持以文字提示的形式将用药问题及修改建议反馈给医生，并支持在问题提示时通过链接查看该警示信息相关说明书及文献资料；</w:t>
      </w:r>
    </w:p>
    <w:p>
      <w:pPr>
        <w:ind w:left="240" w:right="240"/>
        <w:rPr>
          <w:rFonts w:hint="eastAsia" w:ascii="宋体" w:hAnsi="宋体" w:eastAsia="宋体" w:cs="宋体"/>
          <w:b/>
          <w:sz w:val="24"/>
          <w:szCs w:val="24"/>
          <w:highlight w:val="none"/>
        </w:rPr>
      </w:pPr>
      <w:r>
        <w:rPr>
          <w:rFonts w:hint="eastAsia" w:ascii="宋体" w:hAnsi="宋体" w:eastAsia="宋体" w:cs="宋体"/>
          <w:b/>
          <w:sz w:val="24"/>
          <w:szCs w:val="24"/>
          <w:highlight w:val="none"/>
        </w:rPr>
        <w:t>2、合理用药审核中心</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系统审核未通过的问题处方/医嘱或用户预定义的需人工干预处方/医嘱，系统可以自动同步到药师端，审核药师可查看到问题处方/医嘱及相关病人信息，并进行人工审核。</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具备人工审核的分配功能（具体分配规则需符合我院要求）。</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具备药师和医师的沟通机制。</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具备双签字功能。</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如果人工审核超时，则自动进入下一合理用药审核流程。超时时长可自定义。</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具有针对夜间急诊处方无审核药师情况下的相关解决方案。</w:t>
      </w:r>
    </w:p>
    <w:p>
      <w:pPr>
        <w:ind w:left="240" w:right="240"/>
        <w:rPr>
          <w:rFonts w:hint="eastAsia" w:ascii="宋体" w:hAnsi="宋体" w:eastAsia="宋体" w:cs="宋体"/>
          <w:b/>
          <w:sz w:val="24"/>
          <w:szCs w:val="24"/>
          <w:highlight w:val="none"/>
        </w:rPr>
      </w:pPr>
      <w:r>
        <w:rPr>
          <w:rFonts w:hint="eastAsia" w:ascii="宋体" w:hAnsi="宋体" w:eastAsia="宋体" w:cs="宋体"/>
          <w:b/>
          <w:sz w:val="24"/>
          <w:szCs w:val="24"/>
          <w:highlight w:val="none"/>
        </w:rPr>
        <w:t>3、合理用药药房调剂审核</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满足门急诊药房、病房药房、摆药中心、静配中心等药房调剂审核需求。</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发药药师可查看患者、医生、处方等相关信息。</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能够提示发药药师处方不合理问题信息和审核药师的审核意见，药师可根据情况做出继续发药或拒绝发药，必要时也可独立发起干预。</w:t>
      </w:r>
    </w:p>
    <w:p>
      <w:pPr>
        <w:ind w:left="240" w:right="240"/>
        <w:rPr>
          <w:rFonts w:hint="eastAsia" w:ascii="宋体" w:hAnsi="宋体" w:eastAsia="宋体" w:cs="宋体"/>
          <w:sz w:val="24"/>
          <w:szCs w:val="24"/>
          <w:highlight w:val="none"/>
        </w:rPr>
      </w:pPr>
      <w:r>
        <w:rPr>
          <w:rFonts w:hint="eastAsia" w:ascii="宋体" w:hAnsi="宋体" w:eastAsia="宋体" w:cs="宋体"/>
          <w:sz w:val="24"/>
          <w:szCs w:val="24"/>
          <w:highlight w:val="none"/>
        </w:rPr>
        <w:t>具有药师和相关人员的沟通机制。</w:t>
      </w:r>
    </w:p>
    <w:p>
      <w:pPr>
        <w:pStyle w:val="5"/>
        <w:rPr>
          <w:rFonts w:hint="eastAsia" w:ascii="宋体" w:hAnsi="宋体" w:eastAsia="宋体" w:cs="宋体"/>
          <w:sz w:val="24"/>
          <w:szCs w:val="24"/>
          <w:highlight w:val="none"/>
        </w:rPr>
      </w:pPr>
      <w:r>
        <w:rPr>
          <w:rFonts w:hint="eastAsia" w:ascii="宋体" w:hAnsi="宋体" w:cs="宋体"/>
          <w:sz w:val="24"/>
          <w:szCs w:val="24"/>
          <w:highlight w:val="none"/>
          <w:lang w:eastAsia="zh-CN"/>
        </w:rPr>
        <w:t>（四）</w:t>
      </w:r>
      <w:r>
        <w:rPr>
          <w:rFonts w:hint="eastAsia" w:ascii="宋体" w:hAnsi="宋体" w:eastAsia="宋体" w:cs="宋体"/>
          <w:sz w:val="24"/>
          <w:szCs w:val="24"/>
          <w:highlight w:val="none"/>
        </w:rPr>
        <w:t xml:space="preserve"> 知识库、规则库</w:t>
      </w:r>
    </w:p>
    <w:p>
      <w:pPr>
        <w:ind w:right="240"/>
        <w:rPr>
          <w:rFonts w:hint="eastAsia" w:ascii="宋体" w:hAnsi="宋体" w:eastAsia="宋体" w:cs="宋体"/>
          <w:b/>
          <w:sz w:val="24"/>
          <w:szCs w:val="24"/>
          <w:highlight w:val="none"/>
        </w:rPr>
      </w:pPr>
      <w:r>
        <w:rPr>
          <w:rFonts w:hint="eastAsia" w:ascii="宋体" w:hAnsi="宋体" w:eastAsia="宋体" w:cs="宋体"/>
          <w:b/>
          <w:sz w:val="24"/>
          <w:szCs w:val="24"/>
          <w:highlight w:val="none"/>
        </w:rPr>
        <w:t>1、药品规则查询功能</w:t>
      </w:r>
    </w:p>
    <w:p>
      <w:pPr>
        <w:ind w:right="240"/>
        <w:rPr>
          <w:rFonts w:hint="eastAsia" w:ascii="宋体" w:hAnsi="宋体" w:eastAsia="宋体" w:cs="宋体"/>
          <w:sz w:val="24"/>
          <w:szCs w:val="24"/>
          <w:highlight w:val="none"/>
        </w:rPr>
      </w:pPr>
      <w:r>
        <w:rPr>
          <w:rFonts w:hint="eastAsia" w:ascii="宋体" w:hAnsi="宋体" w:eastAsia="宋体" w:cs="宋体"/>
          <w:sz w:val="24"/>
          <w:szCs w:val="24"/>
          <w:highlight w:val="none"/>
        </w:rPr>
        <w:t>系统可方便查询用药规则和管理规则。</w:t>
      </w:r>
    </w:p>
    <w:p>
      <w:pPr>
        <w:ind w:right="240"/>
        <w:rPr>
          <w:rFonts w:hint="eastAsia" w:ascii="宋体" w:hAnsi="宋体" w:eastAsia="宋体" w:cs="宋体"/>
          <w:b/>
          <w:sz w:val="24"/>
          <w:szCs w:val="24"/>
          <w:highlight w:val="none"/>
        </w:rPr>
      </w:pPr>
      <w:r>
        <w:rPr>
          <w:rFonts w:hint="eastAsia" w:ascii="宋体" w:hAnsi="宋体" w:eastAsia="宋体" w:cs="宋体"/>
          <w:b/>
          <w:sz w:val="24"/>
          <w:szCs w:val="24"/>
          <w:highlight w:val="none"/>
        </w:rPr>
        <w:t>2、用药规则自定义功能</w:t>
      </w:r>
    </w:p>
    <w:p>
      <w:pPr>
        <w:ind w:right="240"/>
        <w:rPr>
          <w:rFonts w:hint="eastAsia" w:ascii="宋体" w:hAnsi="宋体" w:eastAsia="宋体" w:cs="宋体"/>
          <w:sz w:val="24"/>
          <w:szCs w:val="24"/>
          <w:highlight w:val="none"/>
        </w:rPr>
      </w:pPr>
      <w:r>
        <w:rPr>
          <w:rFonts w:hint="eastAsia" w:ascii="宋体" w:hAnsi="宋体" w:eastAsia="宋体" w:cs="宋体"/>
          <w:sz w:val="24"/>
          <w:szCs w:val="24"/>
          <w:highlight w:val="none"/>
        </w:rPr>
        <w:t>支持医院药师或管理人员自主的根据医院实际用药情况，编辑和新建以下规则：用法用量、重复用药、适应症、特殊人群用药、相互作用、配伍禁忌、用药浓度，其他适合医院的用药规则，用于处方/医嘱的点评与实时审核。</w:t>
      </w:r>
    </w:p>
    <w:p>
      <w:pPr>
        <w:ind w:right="240"/>
        <w:rPr>
          <w:rFonts w:hint="eastAsia" w:ascii="宋体" w:hAnsi="宋体" w:eastAsia="宋体" w:cs="宋体"/>
          <w:b/>
          <w:sz w:val="24"/>
          <w:szCs w:val="24"/>
          <w:highlight w:val="none"/>
        </w:rPr>
      </w:pPr>
      <w:r>
        <w:rPr>
          <w:rFonts w:hint="eastAsia" w:ascii="宋体" w:hAnsi="宋体" w:eastAsia="宋体" w:cs="宋体"/>
          <w:b/>
          <w:sz w:val="24"/>
          <w:szCs w:val="24"/>
          <w:highlight w:val="none"/>
        </w:rPr>
        <w:t>3、管理规则（用药权限、用药控制、医院相关管理规定）自定义功能</w:t>
      </w:r>
    </w:p>
    <w:p>
      <w:pPr>
        <w:ind w:right="240"/>
        <w:rPr>
          <w:rFonts w:hint="eastAsia" w:ascii="宋体" w:hAnsi="宋体" w:eastAsia="宋体" w:cs="宋体"/>
          <w:sz w:val="24"/>
          <w:szCs w:val="24"/>
          <w:highlight w:val="none"/>
        </w:rPr>
      </w:pPr>
      <w:r>
        <w:rPr>
          <w:rFonts w:hint="eastAsia" w:ascii="宋体" w:hAnsi="宋体" w:eastAsia="宋体" w:cs="宋体"/>
          <w:sz w:val="24"/>
          <w:szCs w:val="24"/>
          <w:highlight w:val="none"/>
        </w:rPr>
        <w:t>可以设定科室、医生、某个、某类患者针对某个药品的使用权限、警示级别及警示信息。</w:t>
      </w:r>
    </w:p>
    <w:p>
      <w:pPr>
        <w:ind w:right="240"/>
        <w:rPr>
          <w:rFonts w:hint="eastAsia" w:ascii="宋体" w:hAnsi="宋体" w:eastAsia="宋体" w:cs="宋体"/>
          <w:sz w:val="24"/>
          <w:szCs w:val="24"/>
          <w:highlight w:val="none"/>
        </w:rPr>
      </w:pPr>
      <w:r>
        <w:rPr>
          <w:rFonts w:hint="eastAsia" w:ascii="宋体" w:hAnsi="宋体" w:eastAsia="宋体" w:cs="宋体"/>
          <w:sz w:val="24"/>
          <w:szCs w:val="24"/>
          <w:highlight w:val="none"/>
        </w:rPr>
        <w:t>可以设定抗菌药物、毒、麻精药物等特殊药品的使用权限管理，当医生无相应权限时给予警示或阻断其继续开具处方/医嘱。</w:t>
      </w:r>
    </w:p>
    <w:p>
      <w:pPr>
        <w:ind w:right="240"/>
        <w:rPr>
          <w:rFonts w:hint="eastAsia" w:ascii="宋体" w:hAnsi="宋体" w:eastAsia="宋体" w:cs="宋体"/>
          <w:sz w:val="24"/>
          <w:szCs w:val="24"/>
          <w:highlight w:val="none"/>
        </w:rPr>
      </w:pPr>
      <w:r>
        <w:rPr>
          <w:rFonts w:hint="eastAsia" w:ascii="宋体" w:hAnsi="宋体" w:eastAsia="宋体" w:cs="宋体"/>
          <w:sz w:val="24"/>
          <w:szCs w:val="24"/>
          <w:highlight w:val="none"/>
        </w:rPr>
        <w:t>可以设定特定药品只能用于特定适应症，当医生开具具有此类问题的处方/医嘱时给予警示或阻断。</w:t>
      </w:r>
    </w:p>
    <w:p>
      <w:pPr>
        <w:ind w:right="240"/>
        <w:rPr>
          <w:rFonts w:hint="eastAsia" w:ascii="宋体" w:hAnsi="宋体" w:eastAsia="宋体" w:cs="宋体"/>
          <w:sz w:val="24"/>
          <w:szCs w:val="24"/>
          <w:highlight w:val="none"/>
        </w:rPr>
      </w:pPr>
      <w:r>
        <w:rPr>
          <w:rFonts w:hint="eastAsia" w:ascii="宋体" w:hAnsi="宋体" w:eastAsia="宋体" w:cs="宋体"/>
          <w:sz w:val="24"/>
          <w:szCs w:val="24"/>
          <w:highlight w:val="none"/>
        </w:rPr>
        <w:t>可以针对医院某种药品从科室/医生/患者的维度，进行月度用量设定与警示。</w:t>
      </w:r>
    </w:p>
    <w:p>
      <w:pPr>
        <w:ind w:right="240"/>
        <w:rPr>
          <w:rFonts w:hint="eastAsia" w:ascii="宋体" w:hAnsi="宋体" w:eastAsia="宋体" w:cs="宋体"/>
          <w:sz w:val="24"/>
          <w:szCs w:val="24"/>
          <w:highlight w:val="none"/>
        </w:rPr>
      </w:pPr>
      <w:r>
        <w:rPr>
          <w:rFonts w:hint="eastAsia" w:ascii="宋体" w:hAnsi="宋体" w:eastAsia="宋体" w:cs="宋体"/>
          <w:sz w:val="24"/>
          <w:szCs w:val="24"/>
          <w:highlight w:val="none"/>
        </w:rPr>
        <w:t>医院可以根据医院特殊管理情况，制定某种药物的使用规定，医生开具处方/医嘱时给予警示或拦截。</w:t>
      </w:r>
    </w:p>
    <w:p>
      <w:pPr>
        <w:ind w:right="240"/>
        <w:rPr>
          <w:rFonts w:hint="eastAsia" w:ascii="宋体" w:hAnsi="宋体" w:eastAsia="宋体" w:cs="宋体"/>
          <w:sz w:val="24"/>
          <w:szCs w:val="24"/>
          <w:highlight w:val="none"/>
        </w:rPr>
      </w:pPr>
      <w:r>
        <w:rPr>
          <w:rFonts w:hint="eastAsia" w:ascii="宋体" w:hAnsi="宋体" w:eastAsia="宋体" w:cs="宋体"/>
          <w:sz w:val="24"/>
          <w:szCs w:val="24"/>
          <w:highlight w:val="none"/>
        </w:rPr>
        <w:t>支持其它灵活可配置的自定义管理规则。</w:t>
      </w:r>
    </w:p>
    <w:p>
      <w:pPr>
        <w:ind w:right="240"/>
        <w:rPr>
          <w:rFonts w:hint="eastAsia" w:ascii="宋体" w:hAnsi="宋体" w:eastAsia="宋体" w:cs="宋体"/>
          <w:sz w:val="24"/>
          <w:szCs w:val="24"/>
          <w:highlight w:val="none"/>
        </w:rPr>
      </w:pPr>
      <w:r>
        <w:rPr>
          <w:rFonts w:hint="eastAsia" w:ascii="宋体" w:hAnsi="宋体" w:eastAsia="宋体" w:cs="宋体"/>
          <w:sz w:val="24"/>
          <w:szCs w:val="24"/>
          <w:highlight w:val="none"/>
        </w:rPr>
        <w:t>规则自定义功能需简单易用，医院药师或管理人员等非计算机专业人士可自行使用。</w:t>
      </w:r>
    </w:p>
    <w:p>
      <w:pPr>
        <w:pStyle w:val="5"/>
        <w:rPr>
          <w:rFonts w:hint="eastAsia" w:ascii="宋体" w:hAnsi="宋体" w:eastAsia="宋体" w:cs="宋体"/>
          <w:sz w:val="24"/>
          <w:szCs w:val="24"/>
          <w:highlight w:val="none"/>
        </w:rPr>
      </w:pPr>
      <w:r>
        <w:rPr>
          <w:rFonts w:hint="eastAsia" w:ascii="宋体" w:hAnsi="宋体" w:cs="宋体"/>
          <w:sz w:val="24"/>
          <w:szCs w:val="24"/>
          <w:highlight w:val="none"/>
          <w:lang w:eastAsia="zh-CN"/>
        </w:rPr>
        <w:t>（五）</w:t>
      </w:r>
      <w:r>
        <w:rPr>
          <w:rFonts w:hint="eastAsia" w:ascii="宋体" w:hAnsi="宋体" w:eastAsia="宋体" w:cs="宋体"/>
          <w:sz w:val="24"/>
          <w:szCs w:val="24"/>
          <w:highlight w:val="none"/>
        </w:rPr>
        <w:t>用药教育与指导</w:t>
      </w:r>
    </w:p>
    <w:p>
      <w:pPr>
        <w:spacing w:line="276" w:lineRule="auto"/>
        <w:ind w:right="240"/>
        <w:rPr>
          <w:rFonts w:hint="eastAsia" w:ascii="宋体" w:hAnsi="宋体" w:eastAsia="宋体" w:cs="宋体"/>
          <w:sz w:val="24"/>
          <w:szCs w:val="24"/>
          <w:highlight w:val="none"/>
        </w:rPr>
      </w:pPr>
      <w:r>
        <w:rPr>
          <w:rFonts w:hint="eastAsia" w:ascii="宋体" w:hAnsi="宋体" w:eastAsia="宋体" w:cs="宋体"/>
          <w:sz w:val="24"/>
          <w:szCs w:val="24"/>
          <w:highlight w:val="none"/>
        </w:rPr>
        <w:t>患者门诊用药指导系统支持根据患者性别、年龄、特殊人群，提供用药指导内容。患者门诊用药指导单包含患者基本信息、药品用法用量信息、药品的使用注意事项及通用型提示信息等。</w:t>
      </w:r>
    </w:p>
    <w:p>
      <w:pPr>
        <w:ind w:right="240"/>
        <w:rPr>
          <w:rFonts w:hint="eastAsia" w:ascii="宋体" w:hAnsi="宋体" w:eastAsia="宋体" w:cs="宋体"/>
          <w:sz w:val="24"/>
          <w:szCs w:val="24"/>
          <w:highlight w:val="none"/>
        </w:rPr>
      </w:pPr>
      <w:r>
        <w:rPr>
          <w:rFonts w:hint="eastAsia" w:ascii="宋体" w:hAnsi="宋体" w:eastAsia="宋体" w:cs="宋体"/>
          <w:sz w:val="24"/>
          <w:szCs w:val="24"/>
          <w:highlight w:val="none"/>
        </w:rPr>
        <w:t>支持用药指导单的打印功能。</w:t>
      </w:r>
    </w:p>
    <w:p>
      <w:pPr>
        <w:ind w:right="240"/>
        <w:rPr>
          <w:rFonts w:hint="eastAsia" w:ascii="宋体" w:hAnsi="宋体" w:eastAsia="宋体" w:cs="宋体"/>
          <w:sz w:val="24"/>
          <w:szCs w:val="24"/>
          <w:highlight w:val="none"/>
        </w:rPr>
      </w:pPr>
      <w:r>
        <w:rPr>
          <w:rFonts w:hint="eastAsia" w:ascii="宋体" w:hAnsi="宋体" w:eastAsia="宋体" w:cs="宋体"/>
          <w:sz w:val="24"/>
          <w:szCs w:val="24"/>
          <w:highlight w:val="none"/>
        </w:rPr>
        <w:t>可人工编辑用药指导内容、注意事项。</w:t>
      </w:r>
    </w:p>
    <w:p>
      <w:pPr>
        <w:ind w:right="240"/>
        <w:rPr>
          <w:rFonts w:hint="eastAsia" w:ascii="宋体" w:hAnsi="宋体" w:eastAsia="宋体" w:cs="宋体"/>
          <w:sz w:val="24"/>
          <w:szCs w:val="24"/>
          <w:highlight w:val="none"/>
        </w:rPr>
      </w:pPr>
      <w:r>
        <w:rPr>
          <w:rFonts w:hint="eastAsia" w:ascii="宋体" w:hAnsi="宋体" w:eastAsia="宋体" w:cs="宋体"/>
          <w:sz w:val="24"/>
          <w:szCs w:val="24"/>
          <w:highlight w:val="none"/>
        </w:rPr>
        <w:t>病人可通过使用手机扫描二维码等形式查看用药指导内容。</w:t>
      </w:r>
    </w:p>
    <w:p>
      <w:pPr>
        <w:pStyle w:val="5"/>
        <w:rPr>
          <w:rFonts w:hint="eastAsia" w:ascii="宋体" w:hAnsi="宋体" w:eastAsia="宋体" w:cs="宋体"/>
          <w:sz w:val="24"/>
          <w:szCs w:val="24"/>
          <w:highlight w:val="none"/>
        </w:rPr>
      </w:pPr>
      <w:r>
        <w:rPr>
          <w:rFonts w:hint="eastAsia" w:ascii="宋体" w:hAnsi="宋体" w:cs="宋体"/>
          <w:sz w:val="24"/>
          <w:szCs w:val="24"/>
          <w:highlight w:val="none"/>
          <w:lang w:eastAsia="zh-CN"/>
        </w:rPr>
        <w:t>（六）</w:t>
      </w:r>
      <w:r>
        <w:rPr>
          <w:rFonts w:hint="eastAsia" w:ascii="宋体" w:hAnsi="宋体" w:eastAsia="宋体" w:cs="宋体"/>
          <w:sz w:val="24"/>
          <w:szCs w:val="24"/>
          <w:highlight w:val="none"/>
        </w:rPr>
        <w:t>ADR事件自动监测上报系统</w:t>
      </w:r>
    </w:p>
    <w:p>
      <w:pPr>
        <w:ind w:right="240"/>
        <w:rPr>
          <w:rFonts w:hint="eastAsia" w:ascii="宋体" w:hAnsi="宋体" w:eastAsia="宋体" w:cs="宋体"/>
          <w:sz w:val="24"/>
          <w:szCs w:val="24"/>
          <w:highlight w:val="none"/>
        </w:rPr>
      </w:pPr>
      <w:r>
        <w:rPr>
          <w:rFonts w:hint="eastAsia" w:ascii="宋体" w:hAnsi="宋体" w:eastAsia="宋体" w:cs="宋体"/>
          <w:sz w:val="24"/>
          <w:szCs w:val="24"/>
          <w:highlight w:val="none"/>
        </w:rPr>
        <w:t>系统具有自动抓取相关不良反应事件并统计上报的功能。</w:t>
      </w:r>
    </w:p>
    <w:p>
      <w:pPr>
        <w:pStyle w:val="5"/>
        <w:rPr>
          <w:rFonts w:hint="eastAsia" w:ascii="宋体" w:hAnsi="宋体" w:eastAsia="宋体" w:cs="宋体"/>
          <w:sz w:val="24"/>
          <w:szCs w:val="24"/>
          <w:highlight w:val="none"/>
        </w:rPr>
      </w:pPr>
      <w:r>
        <w:rPr>
          <w:rFonts w:hint="eastAsia" w:ascii="宋体" w:hAnsi="宋体" w:cs="宋体"/>
          <w:sz w:val="24"/>
          <w:szCs w:val="24"/>
          <w:highlight w:val="none"/>
          <w:lang w:eastAsia="zh-CN"/>
        </w:rPr>
        <w:t>（七）</w:t>
      </w:r>
      <w:r>
        <w:rPr>
          <w:rFonts w:hint="eastAsia" w:ascii="宋体" w:hAnsi="宋体" w:eastAsia="宋体" w:cs="宋体"/>
          <w:sz w:val="24"/>
          <w:szCs w:val="24"/>
          <w:highlight w:val="none"/>
        </w:rPr>
        <w:t xml:space="preserve"> 电子药历</w:t>
      </w:r>
    </w:p>
    <w:p>
      <w:pPr>
        <w:rPr>
          <w:rFonts w:hint="eastAsia" w:ascii="宋体" w:hAnsi="宋体" w:eastAsia="宋体" w:cs="宋体"/>
          <w:sz w:val="24"/>
          <w:szCs w:val="24"/>
          <w:highlight w:val="none"/>
        </w:rPr>
      </w:pPr>
      <w:r>
        <w:rPr>
          <w:rFonts w:hint="eastAsia" w:ascii="宋体" w:hAnsi="宋体" w:eastAsia="宋体" w:cs="宋体"/>
          <w:sz w:val="24"/>
          <w:szCs w:val="24"/>
          <w:highlight w:val="none"/>
        </w:rPr>
        <w:t>可对医院患者创建电子药历，患者基本信息、用药数据，检验数据，检查数据，体征数据可自动获取并生成标准药历，药历要可导出word格式文件。</w:t>
      </w:r>
    </w:p>
    <w:p>
      <w:pPr>
        <w:rPr>
          <w:rFonts w:hint="eastAsia" w:ascii="宋体" w:hAnsi="宋体" w:eastAsia="宋体" w:cs="宋体"/>
          <w:bCs/>
          <w:sz w:val="24"/>
          <w:szCs w:val="24"/>
          <w:highlight w:val="none"/>
        </w:rPr>
      </w:pPr>
      <w:r>
        <w:rPr>
          <w:rFonts w:hint="eastAsia" w:ascii="宋体" w:hAnsi="宋体" w:eastAsia="宋体" w:cs="宋体"/>
          <w:bCs/>
          <w:sz w:val="24"/>
          <w:szCs w:val="24"/>
          <w:highlight w:val="none"/>
        </w:rPr>
        <w:t>药师可对患者治疗方案、用药明细、治疗效果等进行整理，并在药历中进行内容编辑。</w:t>
      </w:r>
    </w:p>
    <w:p>
      <w:pPr>
        <w:rPr>
          <w:rFonts w:hint="eastAsia" w:ascii="宋体" w:hAnsi="宋体" w:eastAsia="宋体" w:cs="宋体"/>
          <w:sz w:val="24"/>
          <w:szCs w:val="24"/>
          <w:highlight w:val="none"/>
        </w:rPr>
      </w:pPr>
      <w:r>
        <w:rPr>
          <w:rFonts w:hint="eastAsia" w:ascii="宋体" w:hAnsi="宋体" w:eastAsia="宋体" w:cs="宋体"/>
          <w:bCs/>
          <w:sz w:val="24"/>
          <w:szCs w:val="24"/>
          <w:highlight w:val="none"/>
        </w:rPr>
        <w:t>药师可以检索、查看患者的药历内容，对于自己所有权限的药历，可以进行编辑和修改。</w:t>
      </w:r>
    </w:p>
    <w:p>
      <w:pPr>
        <w:pStyle w:val="5"/>
        <w:rPr>
          <w:rFonts w:hint="eastAsia" w:ascii="宋体" w:hAnsi="宋体" w:eastAsia="宋体" w:cs="宋体"/>
          <w:sz w:val="24"/>
          <w:szCs w:val="24"/>
          <w:highlight w:val="none"/>
        </w:rPr>
      </w:pPr>
      <w:r>
        <w:rPr>
          <w:rFonts w:hint="eastAsia" w:ascii="宋体" w:hAnsi="宋体" w:cs="宋体"/>
          <w:sz w:val="24"/>
          <w:szCs w:val="24"/>
          <w:highlight w:val="none"/>
          <w:lang w:eastAsia="zh-CN"/>
        </w:rPr>
        <w:t>（八）</w:t>
      </w:r>
      <w:r>
        <w:rPr>
          <w:rFonts w:hint="eastAsia" w:ascii="宋体" w:hAnsi="宋体" w:eastAsia="宋体" w:cs="宋体"/>
          <w:sz w:val="24"/>
          <w:szCs w:val="24"/>
          <w:highlight w:val="none"/>
        </w:rPr>
        <w:t>合理用药咨询与药物治疗管理</w:t>
      </w:r>
    </w:p>
    <w:p>
      <w:pPr>
        <w:ind w:left="0" w:leftChars="0" w:right="239" w:rightChars="114" w:firstLine="0" w:firstLineChars="0"/>
        <w:rPr>
          <w:rFonts w:ascii="宋体" w:hAnsi="宋体" w:cs="宋体"/>
          <w:sz w:val="24"/>
          <w:highlight w:val="none"/>
        </w:rPr>
      </w:pPr>
      <w:r>
        <w:rPr>
          <w:rFonts w:hint="eastAsia" w:ascii="宋体" w:hAnsi="宋体" w:cs="宋体"/>
          <w:bCs/>
          <w:sz w:val="24"/>
          <w:highlight w:val="none"/>
        </w:rPr>
        <w:t>支持为患者及其家属或临床医务人员提供药品信息咨询、合理用药指导、患者用药教育等方面的服务。</w:t>
      </w:r>
    </w:p>
    <w:p>
      <w:pPr>
        <w:ind w:left="840" w:leftChars="0" w:right="239" w:rightChars="114" w:hanging="840" w:hangingChars="350"/>
        <w:rPr>
          <w:rFonts w:ascii="宋体" w:hAnsi="宋体" w:cs="宋体"/>
          <w:sz w:val="24"/>
          <w:highlight w:val="none"/>
        </w:rPr>
      </w:pPr>
      <w:r>
        <w:rPr>
          <w:rFonts w:hint="eastAsia" w:ascii="宋体" w:hAnsi="宋体" w:cs="宋体"/>
          <w:sz w:val="24"/>
          <w:highlight w:val="none"/>
        </w:rPr>
        <w:t>可实现对咨询记录的增删改查功能，可对咨询记录进行统计汇总排序功能。</w:t>
      </w:r>
    </w:p>
    <w:p>
      <w:pPr>
        <w:ind w:left="840" w:leftChars="0" w:right="239" w:rightChars="114" w:hanging="840" w:hangingChars="350"/>
        <w:rPr>
          <w:rFonts w:ascii="宋体" w:hAnsi="宋体" w:cs="宋体"/>
          <w:sz w:val="24"/>
          <w:highlight w:val="none"/>
        </w:rPr>
      </w:pPr>
      <w:r>
        <w:rPr>
          <w:rFonts w:hint="eastAsia" w:ascii="宋体" w:hAnsi="宋体" w:cs="宋体"/>
          <w:sz w:val="24"/>
          <w:highlight w:val="none"/>
        </w:rPr>
        <w:t>具备对常见咨询问题进行管理的功能。</w:t>
      </w:r>
    </w:p>
    <w:p>
      <w:pPr>
        <w:ind w:left="840" w:leftChars="0" w:right="239" w:rightChars="114" w:hanging="840" w:hangingChars="350"/>
        <w:rPr>
          <w:rFonts w:ascii="宋体" w:hAnsi="宋体" w:cs="宋体"/>
          <w:sz w:val="24"/>
          <w:highlight w:val="none"/>
        </w:rPr>
      </w:pPr>
      <w:r>
        <w:rPr>
          <w:rFonts w:hint="eastAsia" w:ascii="宋体" w:hAnsi="宋体" w:cs="宋体"/>
          <w:sz w:val="24"/>
          <w:highlight w:val="none"/>
        </w:rPr>
        <w:t>具有药物治疗管理模块。</w:t>
      </w:r>
    </w:p>
    <w:p>
      <w:pPr>
        <w:pStyle w:val="5"/>
        <w:rPr>
          <w:rFonts w:hint="eastAsia" w:ascii="宋体" w:hAnsi="宋体" w:eastAsia="宋体" w:cs="宋体"/>
          <w:sz w:val="24"/>
          <w:szCs w:val="24"/>
          <w:highlight w:val="none"/>
        </w:rPr>
      </w:pPr>
      <w:r>
        <w:rPr>
          <w:rFonts w:hint="eastAsia" w:ascii="宋体" w:hAnsi="宋体" w:cs="宋体"/>
          <w:sz w:val="24"/>
          <w:szCs w:val="24"/>
          <w:highlight w:val="none"/>
          <w:lang w:eastAsia="zh-CN"/>
        </w:rPr>
        <w:t>（九）</w:t>
      </w:r>
      <w:r>
        <w:rPr>
          <w:rFonts w:hint="eastAsia" w:ascii="宋体" w:hAnsi="宋体" w:eastAsia="宋体" w:cs="宋体"/>
          <w:sz w:val="24"/>
          <w:szCs w:val="24"/>
          <w:highlight w:val="none"/>
        </w:rPr>
        <w:t xml:space="preserve"> 合理用药多院区审核点评中心</w:t>
      </w:r>
    </w:p>
    <w:p>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能够支持山东大学第二医院总院以及善德养老院等各分院区的合理用药处方/医嘱的审核和点评需求。</w:t>
      </w:r>
    </w:p>
    <w:p>
      <w:pPr>
        <w:pStyle w:val="5"/>
        <w:rPr>
          <w:rFonts w:ascii="宋体" w:hAnsi="宋体"/>
          <w:kern w:val="0"/>
          <w:sz w:val="24"/>
          <w:szCs w:val="24"/>
          <w:highlight w:val="none"/>
        </w:rPr>
      </w:pPr>
      <w:r>
        <w:rPr>
          <w:rFonts w:hint="eastAsia" w:ascii="宋体" w:hAnsi="宋体"/>
          <w:sz w:val="24"/>
          <w:szCs w:val="24"/>
          <w:highlight w:val="none"/>
        </w:rPr>
        <w:t>（十）统计分析</w:t>
      </w:r>
    </w:p>
    <w:p>
      <w:pPr>
        <w:ind w:right="239" w:rightChars="114"/>
        <w:rPr>
          <w:rFonts w:hint="eastAsia" w:ascii="宋体" w:hAnsi="宋体"/>
          <w:sz w:val="24"/>
          <w:highlight w:val="none"/>
        </w:rPr>
      </w:pPr>
      <w:r>
        <w:rPr>
          <w:rFonts w:hint="eastAsia" w:ascii="宋体" w:hAnsi="宋体"/>
          <w:sz w:val="24"/>
          <w:highlight w:val="none"/>
        </w:rPr>
        <w:t>支持查看和导出国家要求数据上报的统计报表。</w:t>
      </w:r>
    </w:p>
    <w:p>
      <w:pPr>
        <w:ind w:right="239" w:rightChars="114"/>
        <w:rPr>
          <w:rFonts w:hint="eastAsia" w:ascii="宋体" w:hAnsi="宋体"/>
          <w:sz w:val="24"/>
          <w:highlight w:val="none"/>
        </w:rPr>
      </w:pPr>
      <w:r>
        <w:rPr>
          <w:rFonts w:hint="eastAsia" w:ascii="宋体" w:hAnsi="宋体"/>
          <w:sz w:val="24"/>
          <w:highlight w:val="none"/>
        </w:rPr>
        <w:t>可查看并导出全院处方/医嘱汇总统计、不合理处方/医嘱数据统计、药师工作量统计、不同药品类型数据统计等报表。</w:t>
      </w:r>
    </w:p>
    <w:p>
      <w:pPr>
        <w:rPr>
          <w:rFonts w:hint="eastAsia" w:ascii="宋体" w:hAnsi="宋体"/>
          <w:sz w:val="24"/>
          <w:highlight w:val="none"/>
        </w:rPr>
      </w:pPr>
      <w:r>
        <w:rPr>
          <w:rFonts w:hint="eastAsia" w:ascii="宋体" w:hAnsi="宋体"/>
          <w:sz w:val="24"/>
          <w:highlight w:val="none"/>
        </w:rPr>
        <w:t>具有对抗菌药物、国家基本药物、重点监测药品、抗肿瘤药等的用药数据的统计分析功能。</w:t>
      </w:r>
    </w:p>
    <w:p>
      <w:pPr>
        <w:spacing w:line="360" w:lineRule="auto"/>
        <w:ind w:left="105"/>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p>
    <w:p>
      <w:pPr>
        <w:spacing w:line="360" w:lineRule="auto"/>
        <w:ind w:left="105"/>
        <w:jc w:val="center"/>
        <w:rPr>
          <w:rFonts w:ascii="宋体"/>
          <w:b/>
          <w:sz w:val="36"/>
          <w:highlight w:val="none"/>
        </w:rPr>
      </w:pPr>
      <w:r>
        <w:rPr>
          <w:rFonts w:hint="eastAsia" w:ascii="宋体" w:hAnsi="宋体"/>
          <w:b/>
          <w:sz w:val="36"/>
          <w:highlight w:val="none"/>
        </w:rPr>
        <w:t>第四部分合同条款及格式</w:t>
      </w:r>
      <w:bookmarkEnd w:id="127"/>
    </w:p>
    <w:p>
      <w:pPr>
        <w:pStyle w:val="20"/>
        <w:tabs>
          <w:tab w:val="left" w:pos="0"/>
        </w:tabs>
        <w:spacing w:line="480" w:lineRule="exact"/>
        <w:ind w:left="0" w:leftChars="0" w:firstLine="0" w:firstLineChars="0"/>
        <w:jc w:val="center"/>
        <w:rPr>
          <w:rFonts w:ascii="宋体"/>
          <w:sz w:val="28"/>
          <w:szCs w:val="28"/>
          <w:highlight w:val="none"/>
        </w:rPr>
      </w:pPr>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19"/>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19"/>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19"/>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19"/>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19"/>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19"/>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19"/>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19"/>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19"/>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19"/>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19"/>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19"/>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19"/>
        <w:spacing w:line="480" w:lineRule="exact"/>
        <w:rPr>
          <w:rFonts w:ascii="宋体"/>
          <w:bCs/>
          <w:highlight w:val="none"/>
        </w:rPr>
      </w:pPr>
      <w:r>
        <w:rPr>
          <w:rFonts w:ascii="宋体" w:hAnsi="宋体"/>
          <w:bCs/>
          <w:highlight w:val="none"/>
        </w:rPr>
        <w:t>4</w:t>
      </w:r>
      <w:r>
        <w:rPr>
          <w:rFonts w:hint="eastAsia" w:ascii="宋体" w:hAnsi="宋体"/>
          <w:bCs/>
          <w:highlight w:val="none"/>
        </w:rPr>
        <w:t>、付款</w:t>
      </w:r>
    </w:p>
    <w:p>
      <w:pPr>
        <w:pStyle w:val="19"/>
        <w:spacing w:line="480" w:lineRule="exact"/>
        <w:ind w:left="1"/>
        <w:rPr>
          <w:rFonts w:ascii="宋体"/>
          <w:bCs/>
          <w:highlight w:val="none"/>
        </w:rPr>
      </w:pPr>
      <w:r>
        <w:rPr>
          <w:rFonts w:hint="eastAsia" w:ascii="宋体" w:hAnsi="宋体"/>
          <w:bCs/>
          <w:highlight w:val="none"/>
        </w:rPr>
        <w:t>付款方式：</w:t>
      </w:r>
    </w:p>
    <w:p>
      <w:pPr>
        <w:spacing w:line="360" w:lineRule="auto"/>
        <w:rPr>
          <w:rFonts w:ascii="宋体" w:hAnsi="宋体" w:cs="宋体"/>
          <w:bCs/>
          <w:color w:val="auto"/>
          <w:kern w:val="0"/>
          <w:sz w:val="24"/>
          <w:highlight w:val="none"/>
        </w:rPr>
      </w:pPr>
      <w:r>
        <w:rPr>
          <w:rFonts w:hint="eastAsia" w:ascii="宋体" w:hAnsi="宋体" w:cs="宋体"/>
          <w:bCs/>
          <w:color w:val="auto"/>
          <w:kern w:val="0"/>
          <w:sz w:val="24"/>
          <w:highlight w:val="none"/>
        </w:rPr>
        <w:t>合同签订且由甲方信息中心确认乙方技术人员入场后，支付合同总金额1</w:t>
      </w:r>
      <w:r>
        <w:rPr>
          <w:rFonts w:ascii="宋体" w:hAnsi="宋体" w:cs="宋体"/>
          <w:bCs/>
          <w:color w:val="auto"/>
          <w:kern w:val="0"/>
          <w:sz w:val="24"/>
          <w:highlight w:val="none"/>
        </w:rPr>
        <w:t>5</w:t>
      </w:r>
      <w:r>
        <w:rPr>
          <w:rFonts w:hint="eastAsia" w:ascii="宋体" w:hAnsi="宋体" w:cs="宋体"/>
          <w:bCs/>
          <w:color w:val="auto"/>
          <w:kern w:val="0"/>
          <w:sz w:val="24"/>
          <w:highlight w:val="none"/>
        </w:rPr>
        <w:t>%，同时乙方须提供同等金额的履约保证函；整体系统部署完成能够正常使用且由甲方信息中心验收通过，且办理入库手续后，支付合同总金额7</w:t>
      </w:r>
      <w:r>
        <w:rPr>
          <w:rFonts w:ascii="宋体" w:hAnsi="宋体" w:cs="宋体"/>
          <w:bCs/>
          <w:color w:val="auto"/>
          <w:kern w:val="0"/>
          <w:sz w:val="24"/>
          <w:highlight w:val="none"/>
        </w:rPr>
        <w:t>5</w:t>
      </w:r>
      <w:r>
        <w:rPr>
          <w:rFonts w:hint="eastAsia" w:ascii="宋体" w:hAnsi="宋体" w:cs="宋体"/>
          <w:bCs/>
          <w:color w:val="auto"/>
          <w:kern w:val="0"/>
          <w:sz w:val="24"/>
          <w:highlight w:val="none"/>
        </w:rPr>
        <w:t>%，同时解除履约保证函；乙方履行完成一年免费维保期后，支付合同余款10%。以上付款节点乙方均需提供正规发票。</w:t>
      </w:r>
    </w:p>
    <w:p>
      <w:pPr>
        <w:pStyle w:val="19"/>
        <w:spacing w:line="480" w:lineRule="exact"/>
        <w:ind w:left="1"/>
        <w:rPr>
          <w:rFonts w:ascii="宋体"/>
          <w:bCs/>
          <w:highlight w:val="none"/>
        </w:rPr>
      </w:pP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19"/>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19"/>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19"/>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19"/>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9"/>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19"/>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19"/>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19"/>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19"/>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19"/>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19"/>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19"/>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19"/>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19"/>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19"/>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19"/>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19"/>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19"/>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19"/>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19"/>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19"/>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19"/>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19"/>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19"/>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19"/>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19"/>
        <w:spacing w:line="480" w:lineRule="exact"/>
        <w:rPr>
          <w:rFonts w:ascii="宋体"/>
          <w:bCs/>
          <w:highlight w:val="none"/>
        </w:rPr>
      </w:pPr>
      <w:bookmarkStart w:id="128" w:name="_Toc487900361"/>
      <w:r>
        <w:rPr>
          <w:rFonts w:ascii="宋体" w:hAnsi="宋体"/>
          <w:bCs/>
          <w:highlight w:val="none"/>
        </w:rPr>
        <w:t>11</w:t>
      </w:r>
      <w:r>
        <w:rPr>
          <w:rFonts w:hint="eastAsia" w:ascii="宋体" w:hAnsi="宋体"/>
          <w:bCs/>
          <w:highlight w:val="none"/>
        </w:rPr>
        <w:t>、索赔</w:t>
      </w:r>
      <w:bookmarkEnd w:id="128"/>
    </w:p>
    <w:p>
      <w:pPr>
        <w:pStyle w:val="19"/>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19"/>
        <w:spacing w:line="480" w:lineRule="exact"/>
        <w:ind w:left="1"/>
        <w:rPr>
          <w:rFonts w:ascii="宋体"/>
          <w:bCs/>
          <w:highlight w:val="none"/>
        </w:rPr>
      </w:pPr>
      <w:bookmarkStart w:id="129"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29"/>
    </w:p>
    <w:p>
      <w:pPr>
        <w:pStyle w:val="19"/>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19"/>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19"/>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19"/>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19"/>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19"/>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19"/>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19"/>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19"/>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19"/>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19"/>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19"/>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19"/>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19"/>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19"/>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19"/>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19"/>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19"/>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19"/>
        <w:spacing w:line="480" w:lineRule="exact"/>
        <w:ind w:left="1"/>
        <w:rPr>
          <w:rFonts w:ascii="宋体"/>
          <w:bCs/>
          <w:highlight w:val="none"/>
        </w:rPr>
      </w:pPr>
      <w:bookmarkStart w:id="130"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 xml:space="preserve">17   </w:t>
      </w:r>
      <w:r>
        <w:rPr>
          <w:rFonts w:hint="eastAsia" w:ascii="宋体" w:hAnsi="宋体"/>
          <w:bCs/>
          <w:highlight w:val="none"/>
        </w:rPr>
        <w:t>税费</w:t>
      </w:r>
      <w:bookmarkEnd w:id="130"/>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1" w:name="_Toc487900369"/>
      <w:r>
        <w:rPr>
          <w:rFonts w:ascii="宋体" w:hAnsi="宋体"/>
          <w:bCs/>
          <w:highlight w:val="none"/>
        </w:rPr>
        <w:t xml:space="preserve">18   </w:t>
      </w:r>
      <w:r>
        <w:rPr>
          <w:rFonts w:hint="eastAsia" w:ascii="宋体" w:hAnsi="宋体"/>
          <w:bCs/>
          <w:highlight w:val="none"/>
        </w:rPr>
        <w:t>转让和分包</w:t>
      </w:r>
      <w:bookmarkEnd w:id="131"/>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hint="eastAsia" w:ascii="宋体" w:hAnsi="宋体"/>
          <w:bCs/>
          <w:highlight w:val="none"/>
        </w:rPr>
        <w:t>未经允许，本招标采购项目不得转让。</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2" w:name="_Toc487900371"/>
      <w:r>
        <w:rPr>
          <w:rFonts w:ascii="宋体" w:hAnsi="宋体"/>
          <w:bCs/>
          <w:highlight w:val="none"/>
        </w:rPr>
        <w:t xml:space="preserve">19   </w:t>
      </w:r>
      <w:r>
        <w:rPr>
          <w:rFonts w:hint="eastAsia" w:ascii="宋体" w:hAnsi="宋体"/>
          <w:bCs/>
          <w:highlight w:val="none"/>
        </w:rPr>
        <w:t>通知</w:t>
      </w:r>
      <w:bookmarkEnd w:id="132"/>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20</w:t>
      </w:r>
      <w:r>
        <w:rPr>
          <w:rFonts w:hint="eastAsia" w:ascii="宋体" w:hAnsi="宋体"/>
          <w:bCs/>
          <w:highlight w:val="none"/>
        </w:rPr>
        <w:t>、争议的解决</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highlight w:val="none"/>
        </w:rPr>
      </w:pPr>
      <w:r>
        <w:rPr>
          <w:rFonts w:hint="eastAsia" w:ascii="宋体" w:hAnsi="宋体"/>
          <w:bCs/>
          <w:highlight w:val="none"/>
        </w:rPr>
        <w:t>合同发生纠纷时，双方应协商解决，协商不成可以提交济南仲裁委员会仲裁。</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21</w:t>
      </w:r>
      <w:r>
        <w:rPr>
          <w:rFonts w:hint="eastAsia" w:ascii="宋体" w:hAnsi="宋体"/>
          <w:bCs/>
          <w:highlight w:val="none"/>
        </w:rPr>
        <w:t>、合同生效</w:t>
      </w:r>
    </w:p>
    <w:p>
      <w:pPr>
        <w:pStyle w:val="19"/>
        <w:keepNext w:val="0"/>
        <w:keepLines w:val="0"/>
        <w:pageBreakBefore w:val="0"/>
        <w:widowControl w:val="0"/>
        <w:kinsoku/>
        <w:wordWrap/>
        <w:overflowPunct/>
        <w:topLinePunct w:val="0"/>
        <w:autoSpaceDE/>
        <w:autoSpaceDN/>
        <w:bidi w:val="0"/>
        <w:adjustRightInd/>
        <w:snapToGrid/>
        <w:spacing w:line="420" w:lineRule="exact"/>
        <w:ind w:left="703" w:leftChars="200" w:right="0" w:rightChars="0" w:hanging="283" w:hangingChars="118"/>
        <w:jc w:val="both"/>
        <w:textAlignment w:val="auto"/>
        <w:outlineLvl w:val="9"/>
        <w:rPr>
          <w:rFonts w:ascii="宋体"/>
          <w:bCs/>
          <w:highlight w:val="none"/>
        </w:rPr>
      </w:pPr>
      <w:r>
        <w:rPr>
          <w:rFonts w:hint="eastAsia" w:ascii="宋体" w:hAnsi="宋体"/>
          <w:bCs/>
          <w:highlight w:val="none"/>
        </w:rPr>
        <w:t>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lang w:eastAsia="zh-CN"/>
        </w:rPr>
        <w:t>项目名称</w:t>
      </w:r>
      <w:r>
        <w:rPr>
          <w:rFonts w:ascii="宋体" w:hAnsi="宋体"/>
          <w:sz w:val="24"/>
          <w:highlight w:val="none"/>
        </w:rPr>
        <w:t>)</w:t>
      </w:r>
      <w:r>
        <w:rPr>
          <w:rFonts w:hint="eastAsia" w:ascii="宋体" w:hAnsi="宋体"/>
          <w:sz w:val="24"/>
          <w:highlight w:val="none"/>
        </w:rPr>
        <w:t>经（代理机构名称）以招标文件在国内以公开招标方式进行采购。经评标委员会确定（乙方）为中标</w:t>
      </w:r>
      <w:r>
        <w:rPr>
          <w:rFonts w:hint="eastAsia" w:ascii="宋体" w:hAnsi="宋体"/>
          <w:sz w:val="24"/>
          <w:highlight w:val="none"/>
          <w:lang w:eastAsia="zh-CN"/>
        </w:rPr>
        <w:t>人</w:t>
      </w:r>
      <w:r>
        <w:rPr>
          <w:rFonts w:hint="eastAsia" w:ascii="宋体" w:hAnsi="宋体"/>
          <w:sz w:val="24"/>
          <w:highlight w:val="none"/>
        </w:rPr>
        <w:t>。甲、乙双方根据《中华人民共和国合同法》、《中华人民共和国政府采购法》和其他法律、法规的规定，并按照公正、平等、自愿、诚实信用的原则，同意按照以下条款和条件，签署本合同。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3" w:name="_Toc15866"/>
      <w:bookmarkStart w:id="134" w:name="_Toc27021"/>
      <w:bookmarkStart w:id="135" w:name="_Toc15550"/>
      <w:r>
        <w:rPr>
          <w:rFonts w:hint="eastAsia" w:ascii="宋体" w:hAnsi="宋体"/>
          <w:b/>
          <w:bCs/>
          <w:sz w:val="24"/>
          <w:highlight w:val="none"/>
        </w:rPr>
        <w:t>一、本合同由合同文本和下列文件组成</w:t>
      </w:r>
      <w:bookmarkEnd w:id="133"/>
      <w:bookmarkEnd w:id="134"/>
      <w:bookmarkEnd w:id="135"/>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6" w:name="_Toc9153"/>
      <w:bookmarkStart w:id="137" w:name="_Toc16073"/>
      <w:bookmarkStart w:id="138" w:name="_Toc9903"/>
      <w:r>
        <w:rPr>
          <w:rFonts w:hint="eastAsia" w:ascii="宋体" w:hAnsi="宋体"/>
          <w:b/>
          <w:bCs/>
          <w:sz w:val="24"/>
          <w:highlight w:val="none"/>
        </w:rPr>
        <w:t>二、货物的名称、数量</w:t>
      </w:r>
      <w:bookmarkEnd w:id="136"/>
      <w:bookmarkEnd w:id="137"/>
      <w:bookmarkEnd w:id="138"/>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39" w:name="_Toc1690"/>
      <w:bookmarkStart w:id="140" w:name="_Toc14263"/>
      <w:bookmarkStart w:id="141" w:name="_Toc4618"/>
      <w:r>
        <w:rPr>
          <w:rFonts w:hint="eastAsia" w:ascii="宋体" w:hAnsi="宋体"/>
          <w:b/>
          <w:bCs/>
          <w:sz w:val="24"/>
          <w:highlight w:val="none"/>
        </w:rPr>
        <w:t>三、合同金额</w:t>
      </w:r>
      <w:bookmarkEnd w:id="139"/>
      <w:bookmarkEnd w:id="140"/>
      <w:bookmarkEnd w:id="141"/>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4"/>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382"/>
        <w:outlineLvl w:val="0"/>
        <w:rPr>
          <w:rFonts w:ascii="宋体"/>
          <w:b/>
          <w:sz w:val="24"/>
          <w:highlight w:val="none"/>
        </w:rPr>
      </w:pPr>
      <w:bookmarkStart w:id="142" w:name="_Toc19878"/>
      <w:bookmarkStart w:id="143" w:name="_Toc23604"/>
      <w:bookmarkStart w:id="144" w:name="_Toc10675"/>
      <w:r>
        <w:rPr>
          <w:rFonts w:hint="eastAsia" w:ascii="宋体" w:hAnsi="宋体"/>
          <w:b/>
          <w:bCs/>
          <w:sz w:val="24"/>
          <w:highlight w:val="none"/>
        </w:rPr>
        <w:t>四、</w:t>
      </w:r>
      <w:bookmarkEnd w:id="142"/>
      <w:bookmarkEnd w:id="143"/>
      <w:bookmarkEnd w:id="144"/>
      <w:r>
        <w:rPr>
          <w:rFonts w:hint="eastAsia" w:ascii="宋体" w:hAnsi="宋体"/>
          <w:b/>
          <w:sz w:val="24"/>
          <w:highlight w:val="none"/>
        </w:rPr>
        <w:t>付款方式：</w:t>
      </w:r>
    </w:p>
    <w:p>
      <w:pPr>
        <w:spacing w:line="360" w:lineRule="auto"/>
        <w:ind w:firstLine="480" w:firstLineChars="200"/>
        <w:rPr>
          <w:rFonts w:hint="eastAsia"/>
          <w:color w:val="auto"/>
          <w:kern w:val="2"/>
          <w:sz w:val="24"/>
          <w:szCs w:val="20"/>
          <w:highlight w:val="none"/>
          <w:lang w:val="en-US" w:eastAsia="zh-CN"/>
        </w:rPr>
      </w:pPr>
      <w:r>
        <w:rPr>
          <w:rFonts w:hint="eastAsia" w:ascii="宋体" w:hAnsi="宋体" w:cs="宋体"/>
          <w:bCs/>
          <w:color w:val="auto"/>
          <w:kern w:val="0"/>
          <w:sz w:val="24"/>
          <w:highlight w:val="none"/>
        </w:rPr>
        <w:t>合同签订且由甲方信息中心确认乙方技术人员入场后，支付合同总金额1</w:t>
      </w:r>
      <w:r>
        <w:rPr>
          <w:rFonts w:ascii="宋体" w:hAnsi="宋体" w:cs="宋体"/>
          <w:bCs/>
          <w:color w:val="auto"/>
          <w:kern w:val="0"/>
          <w:sz w:val="24"/>
          <w:highlight w:val="none"/>
        </w:rPr>
        <w:t>5</w:t>
      </w:r>
      <w:r>
        <w:rPr>
          <w:rFonts w:hint="eastAsia" w:ascii="宋体" w:hAnsi="宋体" w:cs="宋体"/>
          <w:bCs/>
          <w:color w:val="auto"/>
          <w:kern w:val="0"/>
          <w:sz w:val="24"/>
          <w:highlight w:val="none"/>
        </w:rPr>
        <w:t>%，同时乙方须提供同等金额的履约保证函；整体系统部署完成能够正常使用且由甲方信息中心验收通过，且办理入库手续后，支付合同总金额7</w:t>
      </w:r>
      <w:r>
        <w:rPr>
          <w:rFonts w:ascii="宋体" w:hAnsi="宋体" w:cs="宋体"/>
          <w:bCs/>
          <w:color w:val="auto"/>
          <w:kern w:val="0"/>
          <w:sz w:val="24"/>
          <w:highlight w:val="none"/>
        </w:rPr>
        <w:t>5</w:t>
      </w:r>
      <w:r>
        <w:rPr>
          <w:rFonts w:hint="eastAsia" w:ascii="宋体" w:hAnsi="宋体" w:cs="宋体"/>
          <w:bCs/>
          <w:color w:val="auto"/>
          <w:kern w:val="0"/>
          <w:sz w:val="24"/>
          <w:highlight w:val="none"/>
        </w:rPr>
        <w:t>%，同时解除履约保证函；乙方履行完成一年免费维保期后，支付合同余款10%。以上付款节点乙方均需提供正规发票。</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w:t>
      </w:r>
      <w:r>
        <w:rPr>
          <w:rFonts w:hint="eastAsia" w:ascii="宋体" w:hAnsi="宋体"/>
          <w:b/>
          <w:bCs/>
          <w:sz w:val="24"/>
          <w:highlight w:val="none"/>
          <w:lang w:eastAsia="zh-CN"/>
        </w:rPr>
        <w:t>付</w:t>
      </w:r>
      <w:r>
        <w:rPr>
          <w:rFonts w:hint="eastAsia" w:ascii="宋体" w:hAnsi="宋体"/>
          <w:b/>
          <w:bCs/>
          <w:sz w:val="24"/>
          <w:highlight w:val="none"/>
        </w:rPr>
        <w:t>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、交付日期：合同生效之日起</w:t>
      </w:r>
      <w:r>
        <w:rPr>
          <w:sz w:val="24"/>
          <w:highlight w:val="none"/>
          <w:u w:val="single"/>
        </w:rPr>
        <w:t xml:space="preserve">            </w:t>
      </w:r>
      <w:r>
        <w:rPr>
          <w:rFonts w:hint="eastAsia" w:ascii="宋体" w:hAnsi="宋体"/>
          <w:sz w:val="24"/>
          <w:highlight w:val="none"/>
        </w:rPr>
        <w:t>日内交付。。</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5" w:name="_Toc28907"/>
      <w:bookmarkStart w:id="146" w:name="_Toc12280"/>
      <w:bookmarkStart w:id="147" w:name="_Toc28569"/>
      <w:r>
        <w:rPr>
          <w:rFonts w:hint="eastAsia" w:ascii="宋体" w:hAnsi="宋体"/>
          <w:b/>
          <w:bCs/>
          <w:sz w:val="24"/>
          <w:highlight w:val="none"/>
        </w:rPr>
        <w:t>六、履约保证金</w:t>
      </w:r>
      <w:bookmarkEnd w:id="145"/>
      <w:bookmarkEnd w:id="146"/>
      <w:bookmarkEnd w:id="147"/>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48" w:name="_Toc24320"/>
      <w:bookmarkStart w:id="149" w:name="_Toc29637"/>
      <w:bookmarkStart w:id="150" w:name="_Toc609"/>
      <w:r>
        <w:rPr>
          <w:rFonts w:hint="eastAsia" w:ascii="宋体" w:hAnsi="宋体"/>
          <w:b/>
          <w:bCs/>
          <w:sz w:val="24"/>
          <w:highlight w:val="none"/>
        </w:rPr>
        <w:t>七、合同生效</w:t>
      </w:r>
      <w:bookmarkEnd w:id="148"/>
      <w:bookmarkEnd w:id="149"/>
      <w:bookmarkEnd w:id="150"/>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1" w:name="_Toc20385"/>
      <w:bookmarkStart w:id="152" w:name="_Toc10585"/>
      <w:bookmarkStart w:id="153" w:name="_Toc28312"/>
      <w:r>
        <w:rPr>
          <w:rFonts w:hint="eastAsia" w:ascii="宋体" w:hAnsi="宋体"/>
          <w:b/>
          <w:bCs/>
          <w:sz w:val="24"/>
          <w:highlight w:val="none"/>
        </w:rPr>
        <w:t>八、合同保存</w:t>
      </w:r>
      <w:bookmarkEnd w:id="151"/>
      <w:bookmarkEnd w:id="152"/>
      <w:bookmarkEnd w:id="153"/>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4" w:name="_Toc17788"/>
      <w:bookmarkStart w:id="155" w:name="_Toc14149"/>
      <w:bookmarkStart w:id="156" w:name="_Toc23003"/>
      <w:r>
        <w:rPr>
          <w:rFonts w:hint="eastAsia" w:ascii="宋体" w:hAnsi="宋体"/>
          <w:b/>
          <w:bCs/>
          <w:sz w:val="24"/>
          <w:highlight w:val="none"/>
        </w:rPr>
        <w:t>九、违约条款</w:t>
      </w:r>
      <w:bookmarkEnd w:id="154"/>
      <w:bookmarkEnd w:id="155"/>
      <w:bookmarkEnd w:id="156"/>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7" w:name="_Toc4944"/>
      <w:bookmarkStart w:id="158" w:name="_Toc2531"/>
      <w:bookmarkStart w:id="159" w:name="_Toc25277"/>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7"/>
      <w:bookmarkEnd w:id="158"/>
      <w:bookmarkEnd w:id="159"/>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60" w:name="_Toc4921"/>
      <w:r>
        <w:rPr>
          <w:rFonts w:hint="eastAsia" w:ascii="宋体" w:hAnsi="宋体"/>
          <w:b/>
          <w:kern w:val="0"/>
          <w:sz w:val="36"/>
          <w:szCs w:val="20"/>
          <w:highlight w:val="none"/>
        </w:rPr>
        <w:t>第五部分附件</w:t>
      </w:r>
      <w:bookmarkEnd w:id="160"/>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r>
        <w:rPr>
          <w:rFonts w:hint="eastAsia" w:ascii="宋体" w:hAnsi="宋体"/>
          <w:color w:val="000000"/>
          <w:highlight w:val="none"/>
        </w:rPr>
        <w:t>及服务</w:t>
      </w:r>
      <w:r>
        <w:rPr>
          <w:rFonts w:hint="eastAsia" w:ascii="宋体" w:hAnsi="宋体"/>
          <w:highlight w:val="none"/>
        </w:rPr>
        <w:t>。</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、我们同意按招标文件规定交纳投标保证金、中标服务费，遵守贵机构有关招标的各项规定。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ind w:firstLine="240" w:firstLineChars="100"/>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19"/>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19"/>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19"/>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19"/>
        <w:spacing w:after="145" w:afterLines="50" w:line="480" w:lineRule="exact"/>
        <w:jc w:val="center"/>
        <w:rPr>
          <w:rFonts w:ascii="宋体"/>
          <w:b/>
          <w:bCs/>
          <w:sz w:val="32"/>
          <w:szCs w:val="32"/>
          <w:highlight w:val="none"/>
        </w:rPr>
      </w:pPr>
      <w:r>
        <w:rPr>
          <w:rFonts w:hint="eastAsia" w:ascii="宋体" w:hAnsi="宋体"/>
          <w:b/>
          <w:bCs/>
          <w:sz w:val="32"/>
          <w:szCs w:val="32"/>
          <w:highlight w:val="none"/>
        </w:rPr>
        <w:t>开标一览表</w:t>
      </w:r>
    </w:p>
    <w:p>
      <w:pPr>
        <w:pStyle w:val="19"/>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820"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9"/>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w:t>
            </w:r>
            <w:r>
              <w:rPr>
                <w:rFonts w:hint="eastAsia" w:ascii="宋体" w:hAnsi="宋体"/>
                <w:bCs/>
                <w:sz w:val="24"/>
                <w:highlight w:val="none"/>
                <w:lang w:eastAsia="zh-CN"/>
              </w:rPr>
              <w:t>报</w:t>
            </w:r>
            <w:r>
              <w:rPr>
                <w:rFonts w:hint="eastAsia" w:ascii="宋体" w:hAnsi="宋体"/>
                <w:bCs/>
                <w:sz w:val="24"/>
                <w:highlight w:val="none"/>
              </w:rPr>
              <w:t>价</w:t>
            </w:r>
          </w:p>
        </w:tc>
        <w:tc>
          <w:tcPr>
            <w:tcW w:w="7121" w:type="dxa"/>
            <w:vAlign w:val="center"/>
          </w:tcPr>
          <w:p>
            <w:pPr>
              <w:spacing w:line="360" w:lineRule="auto"/>
              <w:rPr>
                <w:rFonts w:ascii="宋体" w:hAnsi="宋体" w:cs="宋体"/>
                <w:color w:val="auto"/>
                <w:szCs w:val="20"/>
                <w:highlight w:val="none"/>
              </w:rPr>
            </w:pPr>
            <w:r>
              <w:rPr>
                <w:rFonts w:ascii="宋体" w:hAnsi="宋体" w:cs="宋体"/>
                <w:color w:val="auto"/>
                <w:szCs w:val="20"/>
                <w:highlight w:val="none"/>
              </w:rPr>
              <w:t>（大写）：</w:t>
            </w:r>
          </w:p>
          <w:p>
            <w:pPr>
              <w:spacing w:line="480" w:lineRule="exact"/>
              <w:rPr>
                <w:rFonts w:hint="eastAsia" w:ascii="宋体" w:hAnsi="宋体" w:eastAsia="宋体"/>
                <w:sz w:val="24"/>
                <w:highlight w:val="none"/>
                <w:lang w:eastAsia="zh-CN"/>
              </w:rPr>
            </w:pPr>
            <w:r>
              <w:rPr>
                <w:rFonts w:ascii="宋体" w:hAnsi="宋体" w:cs="宋体"/>
                <w:color w:val="auto"/>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7121" w:type="dxa"/>
            <w:vAlign w:val="center"/>
          </w:tcPr>
          <w:p>
            <w:pPr>
              <w:spacing w:line="480" w:lineRule="exact"/>
              <w:rPr>
                <w:rFonts w:ascii="宋体"/>
                <w:bCs/>
                <w:sz w:val="24"/>
                <w:highlight w:val="none"/>
              </w:rPr>
            </w:pPr>
            <w:r>
              <w:rPr>
                <w:color w:val="000000"/>
                <w:sz w:val="24"/>
                <w:highlight w:val="none"/>
              </w:rPr>
              <w:t>合同生效之日起</w:t>
            </w:r>
            <w:r>
              <w:rPr>
                <w:color w:val="000000"/>
                <w:sz w:val="24"/>
                <w:highlight w:val="none"/>
                <w:u w:val="single"/>
              </w:rPr>
              <w:t xml:space="preserve">    </w:t>
            </w:r>
            <w:r>
              <w:rPr>
                <w:color w:val="000000"/>
                <w:sz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5" w:hRule="atLeast"/>
        </w:trPr>
        <w:tc>
          <w:tcPr>
            <w:tcW w:w="2699" w:type="dxa"/>
            <w:vAlign w:val="center"/>
          </w:tcPr>
          <w:p>
            <w:pPr>
              <w:spacing w:line="480" w:lineRule="exact"/>
              <w:jc w:val="center"/>
              <w:rPr>
                <w:rFonts w:ascii="宋体"/>
                <w:sz w:val="24"/>
                <w:highlight w:val="none"/>
              </w:rPr>
            </w:pPr>
            <w:r>
              <w:rPr>
                <w:rFonts w:hint="eastAsia" w:ascii="宋体" w:hAnsi="宋体"/>
                <w:sz w:val="24"/>
                <w:highlight w:val="none"/>
              </w:rPr>
              <w:t>质保期</w:t>
            </w:r>
          </w:p>
        </w:tc>
        <w:tc>
          <w:tcPr>
            <w:tcW w:w="7121"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1"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2699"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1"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8" w:type="first"/>
          <w:footerReference r:id="rId7" w:type="default"/>
          <w:type w:val="continuous"/>
          <w:pgSz w:w="11907" w:h="16840"/>
          <w:pgMar w:top="1304" w:right="1213" w:bottom="1157" w:left="1418" w:header="851" w:footer="851" w:gutter="0"/>
          <w:pgBorders>
            <w:top w:val="none" w:sz="0" w:space="0"/>
            <w:left w:val="none" w:sz="0" w:space="0"/>
            <w:bottom w:val="none" w:sz="0" w:space="0"/>
            <w:right w:val="none" w:sz="0" w:space="0"/>
          </w:pgBorders>
          <w:pgNumType w:fmt="decimal"/>
          <w:cols w:space="720" w:num="1"/>
          <w:titlePg/>
          <w:docGrid w:type="lines" w:linePitch="290" w:charSpace="-3931"/>
        </w:sectPr>
      </w:pPr>
    </w:p>
    <w:p>
      <w:pPr>
        <w:pStyle w:val="15"/>
        <w:spacing w:line="480" w:lineRule="exact"/>
        <w:rPr>
          <w:rFonts w:ascii="宋体" w:hAnsi="宋体" w:eastAsia="宋体"/>
          <w:highlight w:val="none"/>
        </w:rPr>
      </w:pPr>
      <w:r>
        <w:rPr>
          <w:rFonts w:hint="eastAsia" w:ascii="宋体" w:hAnsi="宋体" w:eastAsia="宋体" w:cs="Times New Roman"/>
          <w:sz w:val="24"/>
          <w:szCs w:val="24"/>
          <w:highlight w:val="none"/>
        </w:rPr>
        <w:br w:type="page"/>
      </w: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eastAsia="zh-CN"/>
        </w:rPr>
        <w:t>四</w:t>
      </w:r>
      <w:r>
        <w:rPr>
          <w:rFonts w:hint="eastAsia" w:ascii="宋体" w:hAnsi="宋体" w:eastAsia="宋体" w:cs="Times New Roman"/>
          <w:sz w:val="24"/>
          <w:szCs w:val="24"/>
          <w:highlight w:val="none"/>
        </w:rPr>
        <w:t>：</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lang w:eastAsia="zh-CN"/>
        </w:rPr>
        <w:t>项目</w:t>
      </w:r>
      <w:r>
        <w:rPr>
          <w:rFonts w:hint="eastAsia" w:ascii="宋体" w:hAnsi="宋体"/>
          <w:sz w:val="24"/>
          <w:highlight w:val="none"/>
        </w:rPr>
        <w:t>名称</w:t>
      </w:r>
      <w:r>
        <w:rPr>
          <w:rFonts w:ascii="宋体" w:hAnsi="宋体"/>
          <w:sz w:val="24"/>
          <w:highlight w:val="none"/>
        </w:rPr>
        <w:t xml:space="preserve"> :                              </w:t>
      </w:r>
      <w:r>
        <w:rPr>
          <w:rFonts w:hint="eastAsia" w:ascii="宋体" w:hAnsi="宋体"/>
          <w:sz w:val="24"/>
          <w:highlight w:val="none"/>
          <w:lang w:val="en-US" w:eastAsia="zh-CN"/>
        </w:rPr>
        <w:t xml:space="preserve">                        </w:t>
      </w:r>
      <w:r>
        <w:rPr>
          <w:rFonts w:ascii="宋体" w:hAnsi="宋体"/>
          <w:sz w:val="24"/>
          <w:highlight w:val="none"/>
        </w:rPr>
        <w:t xml:space="preserve">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5"/>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w:t>
      </w:r>
      <w:r>
        <w:rPr>
          <w:rFonts w:hint="eastAsia" w:ascii="宋体" w:hAnsi="宋体" w:eastAsia="宋体" w:cs="Times New Roman"/>
          <w:sz w:val="24"/>
          <w:szCs w:val="24"/>
          <w:highlight w:val="none"/>
          <w:lang w:eastAsia="zh-CN"/>
        </w:rPr>
        <w:t>五</w:t>
      </w:r>
      <w:r>
        <w:rPr>
          <w:rFonts w:ascii="宋体" w:hAnsi="宋体" w:eastAsia="宋体" w:cs="Times New Roman"/>
          <w:sz w:val="24"/>
          <w:szCs w:val="24"/>
          <w:highlight w:val="none"/>
        </w:rPr>
        <w:t>:</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lang w:eastAsia="zh-CN"/>
        </w:rPr>
        <w:t>项目</w:t>
      </w:r>
      <w:r>
        <w:rPr>
          <w:rFonts w:hint="eastAsia" w:ascii="宋体" w:hAnsi="宋体"/>
          <w:sz w:val="24"/>
          <w:highlight w:val="none"/>
        </w:rPr>
        <w:t>名称</w:t>
      </w:r>
      <w:r>
        <w:rPr>
          <w:rFonts w:ascii="宋体" w:hAnsi="宋体"/>
          <w:sz w:val="24"/>
          <w:highlight w:val="none"/>
        </w:rPr>
        <w:t xml:space="preserve"> :                                       </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pStyle w:val="15"/>
        <w:spacing w:line="480" w:lineRule="exact"/>
        <w:rPr>
          <w:rFonts w:hint="eastAsia" w:ascii="宋体" w:hAnsi="宋体" w:eastAsia="宋体" w:cs="Times New Roman"/>
          <w:sz w:val="24"/>
          <w:szCs w:val="24"/>
          <w:highlight w:val="none"/>
          <w:lang w:eastAsia="zh-CN"/>
        </w:rPr>
      </w:pPr>
      <w:bookmarkStart w:id="161" w:name="_Toc13424"/>
      <w:bookmarkStart w:id="162" w:name="_Toc13100"/>
      <w:bookmarkStart w:id="163" w:name="_Toc29000"/>
      <w:r>
        <w:rPr>
          <w:rFonts w:hint="eastAsia" w:ascii="宋体" w:hAnsi="宋体" w:eastAsia="宋体" w:cs="Times New Roman"/>
          <w:sz w:val="24"/>
          <w:szCs w:val="24"/>
          <w:highlight w:val="none"/>
          <w:lang w:eastAsia="zh-CN"/>
        </w:rPr>
        <w:t>附件六：</w:t>
      </w:r>
    </w:p>
    <w:p>
      <w:pPr>
        <w:pStyle w:val="2"/>
        <w:spacing w:before="0" w:after="0" w:line="580" w:lineRule="exact"/>
        <w:jc w:val="center"/>
        <w:rPr>
          <w:sz w:val="24"/>
          <w:highlight w:val="none"/>
        </w:rPr>
      </w:pPr>
      <w:r>
        <w:rPr>
          <w:rFonts w:hint="eastAsia"/>
          <w:sz w:val="28"/>
          <w:szCs w:val="28"/>
          <w:highlight w:val="none"/>
        </w:rPr>
        <w:t>项目部人员配备表</w:t>
      </w:r>
    </w:p>
    <w:p>
      <w:pPr>
        <w:spacing w:line="480" w:lineRule="exact"/>
        <w:rPr>
          <w:highlight w:val="none"/>
        </w:rPr>
      </w:pPr>
      <w:r>
        <w:rPr>
          <w:rFonts w:hint="eastAsia" w:ascii="宋体" w:hAnsi="宋体"/>
          <w:color w:val="000000"/>
          <w:sz w:val="24"/>
          <w:highlight w:val="none"/>
        </w:rPr>
        <w:t>项目名称</w:t>
      </w:r>
      <w:r>
        <w:rPr>
          <w:rFonts w:ascii="宋体" w:hAnsi="宋体"/>
          <w:color w:val="000000"/>
          <w:sz w:val="24"/>
          <w:highlight w:val="none"/>
        </w:rPr>
        <w:t xml:space="preserve"> :</w:t>
      </w:r>
    </w:p>
    <w:tbl>
      <w:tblPr>
        <w:tblStyle w:val="49"/>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42"/>
        <w:gridCol w:w="1287"/>
        <w:gridCol w:w="858"/>
        <w:gridCol w:w="912"/>
        <w:gridCol w:w="1213"/>
        <w:gridCol w:w="1504"/>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序号</w:t>
            </w:r>
          </w:p>
        </w:tc>
        <w:tc>
          <w:tcPr>
            <w:tcW w:w="1142"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姓名</w:t>
            </w:r>
          </w:p>
        </w:tc>
        <w:tc>
          <w:tcPr>
            <w:tcW w:w="1287"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岗位</w:t>
            </w:r>
          </w:p>
        </w:tc>
        <w:tc>
          <w:tcPr>
            <w:tcW w:w="858"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年龄</w:t>
            </w:r>
          </w:p>
        </w:tc>
        <w:tc>
          <w:tcPr>
            <w:tcW w:w="912"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专业</w:t>
            </w:r>
          </w:p>
        </w:tc>
        <w:tc>
          <w:tcPr>
            <w:tcW w:w="1213"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职称</w:t>
            </w:r>
          </w:p>
        </w:tc>
        <w:tc>
          <w:tcPr>
            <w:tcW w:w="1504"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岗位证书</w:t>
            </w:r>
          </w:p>
        </w:tc>
        <w:tc>
          <w:tcPr>
            <w:tcW w:w="1651"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1</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2</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3</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4</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5</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6</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7</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8</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9</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10</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720" w:type="dxa"/>
            <w:vAlign w:val="center"/>
          </w:tcPr>
          <w:p>
            <w:pPr>
              <w:widowControl/>
              <w:snapToGrid w:val="0"/>
              <w:spacing w:line="400" w:lineRule="exact"/>
              <w:jc w:val="center"/>
              <w:rPr>
                <w:rFonts w:ascii="宋体" w:hAnsi="宋体" w:cs="楷体"/>
                <w:kern w:val="0"/>
                <w:sz w:val="24"/>
                <w:highlight w:val="none"/>
              </w:rPr>
            </w:pPr>
            <w:r>
              <w:rPr>
                <w:rFonts w:hint="eastAsia" w:ascii="宋体" w:hAnsi="宋体" w:cs="楷体"/>
                <w:kern w:val="0"/>
                <w:sz w:val="24"/>
                <w:highlight w:val="none"/>
              </w:rPr>
              <w:t>……</w:t>
            </w:r>
          </w:p>
        </w:tc>
        <w:tc>
          <w:tcPr>
            <w:tcW w:w="1142" w:type="dxa"/>
            <w:vAlign w:val="center"/>
          </w:tcPr>
          <w:p>
            <w:pPr>
              <w:widowControl/>
              <w:snapToGrid w:val="0"/>
              <w:spacing w:line="400" w:lineRule="exact"/>
              <w:jc w:val="center"/>
              <w:rPr>
                <w:rFonts w:ascii="宋体" w:hAnsi="宋体" w:cs="楷体"/>
                <w:kern w:val="0"/>
                <w:sz w:val="24"/>
                <w:highlight w:val="none"/>
              </w:rPr>
            </w:pPr>
          </w:p>
        </w:tc>
        <w:tc>
          <w:tcPr>
            <w:tcW w:w="1287" w:type="dxa"/>
            <w:vAlign w:val="center"/>
          </w:tcPr>
          <w:p>
            <w:pPr>
              <w:widowControl/>
              <w:snapToGrid w:val="0"/>
              <w:spacing w:line="400" w:lineRule="exact"/>
              <w:jc w:val="center"/>
              <w:rPr>
                <w:rFonts w:ascii="宋体" w:hAnsi="宋体" w:cs="楷体"/>
                <w:kern w:val="0"/>
                <w:sz w:val="24"/>
                <w:highlight w:val="none"/>
              </w:rPr>
            </w:pPr>
          </w:p>
        </w:tc>
        <w:tc>
          <w:tcPr>
            <w:tcW w:w="858" w:type="dxa"/>
            <w:vAlign w:val="center"/>
          </w:tcPr>
          <w:p>
            <w:pPr>
              <w:widowControl/>
              <w:snapToGrid w:val="0"/>
              <w:spacing w:line="400" w:lineRule="exact"/>
              <w:jc w:val="center"/>
              <w:rPr>
                <w:rFonts w:ascii="宋体" w:hAnsi="宋体" w:cs="楷体"/>
                <w:kern w:val="0"/>
                <w:sz w:val="24"/>
                <w:highlight w:val="none"/>
              </w:rPr>
            </w:pPr>
          </w:p>
        </w:tc>
        <w:tc>
          <w:tcPr>
            <w:tcW w:w="912" w:type="dxa"/>
            <w:vAlign w:val="center"/>
          </w:tcPr>
          <w:p>
            <w:pPr>
              <w:widowControl/>
              <w:snapToGrid w:val="0"/>
              <w:spacing w:line="400" w:lineRule="exact"/>
              <w:jc w:val="center"/>
              <w:rPr>
                <w:rFonts w:ascii="宋体" w:hAnsi="宋体" w:cs="楷体"/>
                <w:kern w:val="0"/>
                <w:sz w:val="24"/>
                <w:highlight w:val="none"/>
              </w:rPr>
            </w:pPr>
          </w:p>
        </w:tc>
        <w:tc>
          <w:tcPr>
            <w:tcW w:w="1213" w:type="dxa"/>
          </w:tcPr>
          <w:p>
            <w:pPr>
              <w:widowControl/>
              <w:snapToGrid w:val="0"/>
              <w:spacing w:line="400" w:lineRule="exact"/>
              <w:jc w:val="center"/>
              <w:rPr>
                <w:rFonts w:ascii="宋体" w:hAnsi="宋体" w:cs="楷体"/>
                <w:kern w:val="0"/>
                <w:sz w:val="24"/>
                <w:highlight w:val="none"/>
              </w:rPr>
            </w:pPr>
          </w:p>
        </w:tc>
        <w:tc>
          <w:tcPr>
            <w:tcW w:w="1504" w:type="dxa"/>
            <w:vAlign w:val="center"/>
          </w:tcPr>
          <w:p>
            <w:pPr>
              <w:widowControl/>
              <w:snapToGrid w:val="0"/>
              <w:spacing w:line="400" w:lineRule="exact"/>
              <w:jc w:val="center"/>
              <w:rPr>
                <w:rFonts w:ascii="宋体" w:hAnsi="宋体" w:cs="楷体"/>
                <w:kern w:val="0"/>
                <w:sz w:val="24"/>
                <w:highlight w:val="none"/>
              </w:rPr>
            </w:pPr>
          </w:p>
        </w:tc>
        <w:tc>
          <w:tcPr>
            <w:tcW w:w="1651" w:type="dxa"/>
            <w:vAlign w:val="center"/>
          </w:tcPr>
          <w:p>
            <w:pPr>
              <w:widowControl/>
              <w:snapToGrid w:val="0"/>
              <w:spacing w:line="400" w:lineRule="exact"/>
              <w:jc w:val="center"/>
              <w:rPr>
                <w:rFonts w:ascii="宋体" w:hAnsi="宋体" w:cs="楷体"/>
                <w:kern w:val="0"/>
                <w:sz w:val="24"/>
                <w:highlight w:val="none"/>
              </w:rPr>
            </w:pPr>
          </w:p>
        </w:tc>
      </w:tr>
    </w:tbl>
    <w:p>
      <w:pPr>
        <w:pStyle w:val="96"/>
        <w:spacing w:before="240" w:line="480" w:lineRule="exact"/>
        <w:ind w:firstLine="0" w:firstLineChars="0"/>
        <w:rPr>
          <w:color w:val="000000"/>
          <w:highlight w:val="none"/>
        </w:rPr>
      </w:pPr>
      <w:r>
        <w:rPr>
          <w:rFonts w:hint="eastAsia"/>
          <w:color w:val="000000"/>
          <w:highlight w:val="none"/>
        </w:rPr>
        <w:t>投标人名称（盖章）：</w:t>
      </w:r>
    </w:p>
    <w:p>
      <w:pPr>
        <w:pStyle w:val="96"/>
        <w:spacing w:before="240" w:line="480" w:lineRule="exact"/>
        <w:ind w:firstLine="0" w:firstLineChars="0"/>
        <w:rPr>
          <w:color w:val="000000"/>
          <w:highlight w:val="none"/>
        </w:rPr>
      </w:pPr>
      <w:r>
        <w:rPr>
          <w:rFonts w:hint="eastAsia"/>
          <w:color w:val="000000"/>
          <w:highlight w:val="none"/>
        </w:rPr>
        <w:t>授权代表（签字或盖章）：</w:t>
      </w:r>
    </w:p>
    <w:p>
      <w:pPr>
        <w:pStyle w:val="15"/>
        <w:wordWrap w:val="0"/>
        <w:spacing w:before="0" w:after="0" w:line="480" w:lineRule="exact"/>
        <w:ind w:right="600"/>
        <w:jc w:val="right"/>
        <w:rPr>
          <w:rFonts w:ascii="宋体" w:hAnsi="宋体" w:eastAsia="宋体" w:cs="Times New Roman"/>
          <w:color w:val="000000"/>
          <w:sz w:val="24"/>
          <w:szCs w:val="24"/>
          <w:highlight w:val="none"/>
        </w:rPr>
      </w:pPr>
      <w:r>
        <w:rPr>
          <w:rFonts w:hint="eastAsia" w:ascii="宋体" w:hAnsi="宋体" w:eastAsia="宋体" w:cs="Times New Roman"/>
          <w:color w:val="000000"/>
          <w:sz w:val="24"/>
          <w:szCs w:val="24"/>
          <w:highlight w:val="none"/>
        </w:rPr>
        <w:t>年 月 日</w:t>
      </w:r>
    </w:p>
    <w:p>
      <w:pPr>
        <w:rPr>
          <w:rFonts w:ascii="宋体"/>
          <w:b/>
          <w:color w:val="000000"/>
          <w:sz w:val="24"/>
          <w:highlight w:val="none"/>
        </w:rPr>
      </w:pPr>
      <w:r>
        <w:rPr>
          <w:rFonts w:hint="eastAsia" w:ascii="宋体"/>
          <w:b/>
          <w:color w:val="000000"/>
          <w:sz w:val="24"/>
          <w:highlight w:val="none"/>
        </w:rPr>
        <w:t>注：本表后附相关岗位证书及项目部人员近三个月的社保证明复印件</w:t>
      </w:r>
    </w:p>
    <w:p>
      <w:pPr>
        <w:spacing w:line="480" w:lineRule="exact"/>
        <w:jc w:val="center"/>
        <w:outlineLvl w:val="0"/>
        <w:rPr>
          <w:rFonts w:ascii="宋体"/>
          <w:b/>
          <w:sz w:val="28"/>
          <w:highlight w:val="none"/>
        </w:rPr>
      </w:pPr>
      <w:r>
        <w:rPr>
          <w:rFonts w:ascii="宋体"/>
          <w:color w:val="000000"/>
          <w:sz w:val="24"/>
          <w:highlight w:val="none"/>
        </w:rPr>
        <w:br w:type="page"/>
      </w:r>
      <w:r>
        <w:rPr>
          <w:rFonts w:hint="eastAsia" w:ascii="宋体" w:hAnsi="宋体"/>
          <w:sz w:val="24"/>
          <w:highlight w:val="none"/>
        </w:rPr>
        <w:t>附件七：</w:t>
      </w:r>
      <w:r>
        <w:rPr>
          <w:rFonts w:hint="eastAsia" w:ascii="宋体" w:hAnsi="宋体"/>
          <w:b/>
          <w:sz w:val="28"/>
          <w:highlight w:val="none"/>
          <w:lang w:eastAsia="zh-CN"/>
        </w:rPr>
        <w:t>售后服务及</w:t>
      </w:r>
      <w:r>
        <w:rPr>
          <w:rFonts w:hint="eastAsia" w:ascii="宋体" w:hAnsi="宋体"/>
          <w:b/>
          <w:sz w:val="28"/>
          <w:highlight w:val="none"/>
        </w:rPr>
        <w:t>其它优惠条件</w:t>
      </w:r>
      <w:bookmarkEnd w:id="161"/>
      <w:bookmarkEnd w:id="162"/>
      <w:bookmarkEnd w:id="163"/>
    </w:p>
    <w:p>
      <w:pPr>
        <w:spacing w:line="480" w:lineRule="exact"/>
        <w:jc w:val="center"/>
        <w:outlineLvl w:val="0"/>
        <w:rPr>
          <w:rFonts w:ascii="宋体"/>
          <w:bCs/>
          <w:sz w:val="28"/>
          <w:szCs w:val="28"/>
          <w:highlight w:val="none"/>
        </w:rPr>
      </w:pPr>
      <w:bookmarkStart w:id="164" w:name="_Toc24720"/>
      <w:bookmarkStart w:id="165" w:name="_Toc13684"/>
      <w:bookmarkStart w:id="166" w:name="_Toc22463"/>
      <w:r>
        <w:rPr>
          <w:rFonts w:hint="eastAsia" w:ascii="宋体" w:hAnsi="宋体"/>
          <w:bCs/>
          <w:sz w:val="28"/>
          <w:szCs w:val="28"/>
          <w:highlight w:val="none"/>
        </w:rPr>
        <w:t>（格式自定）</w:t>
      </w:r>
      <w:bookmarkEnd w:id="164"/>
      <w:bookmarkEnd w:id="165"/>
      <w:bookmarkEnd w:id="166"/>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520" w:lineRule="exact"/>
        <w:ind w:firstLine="3360" w:firstLineChars="1400"/>
        <w:rPr>
          <w:rFonts w:ascii="宋体"/>
          <w:sz w:val="24"/>
          <w:highlight w:val="none"/>
        </w:rPr>
      </w:pPr>
      <w:bookmarkStart w:id="167" w:name="_Toc15805"/>
      <w:bookmarkStart w:id="168" w:name="_Toc14477"/>
      <w:bookmarkStart w:id="169" w:name="_Toc14611"/>
      <w:r>
        <w:rPr>
          <w:rFonts w:hint="eastAsia" w:ascii="宋体" w:hAnsi="宋体"/>
          <w:sz w:val="24"/>
          <w:highlight w:val="none"/>
        </w:rPr>
        <w:t>附件</w:t>
      </w:r>
      <w:r>
        <w:rPr>
          <w:rFonts w:hint="eastAsia" w:ascii="宋体" w:hAnsi="宋体"/>
          <w:sz w:val="24"/>
          <w:highlight w:val="none"/>
          <w:lang w:eastAsia="zh-CN"/>
        </w:rPr>
        <w:t>八</w:t>
      </w:r>
      <w:r>
        <w:rPr>
          <w:rFonts w:hint="eastAsia" w:ascii="宋体" w:hAnsi="宋体"/>
          <w:sz w:val="24"/>
          <w:highlight w:val="none"/>
        </w:rPr>
        <w:t>：</w:t>
      </w:r>
      <w:r>
        <w:rPr>
          <w:rFonts w:hint="eastAsia" w:ascii="宋体" w:hAnsi="宋体"/>
          <w:b/>
          <w:sz w:val="28"/>
          <w:highlight w:val="none"/>
        </w:rPr>
        <w:t>证明文件格式</w:t>
      </w:r>
      <w:bookmarkEnd w:id="167"/>
      <w:bookmarkEnd w:id="168"/>
      <w:bookmarkEnd w:id="169"/>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70" w:name="_Toc19508"/>
      <w:bookmarkStart w:id="171" w:name="_Toc28149"/>
      <w:bookmarkStart w:id="172" w:name="_Toc5230"/>
      <w:r>
        <w:rPr>
          <w:rFonts w:hint="eastAsia" w:ascii="宋体" w:hAnsi="宋体"/>
          <w:b/>
          <w:sz w:val="24"/>
          <w:highlight w:val="none"/>
          <w:lang w:val="en-US" w:eastAsia="zh-CN"/>
        </w:rPr>
        <w:t xml:space="preserve"> </w:t>
      </w:r>
      <w:r>
        <w:rPr>
          <w:rFonts w:hint="eastAsia" w:ascii="宋体" w:hAnsi="宋体"/>
          <w:b/>
          <w:sz w:val="24"/>
          <w:highlight w:val="none"/>
        </w:rPr>
        <w:t>格式</w:t>
      </w:r>
      <w:r>
        <w:rPr>
          <w:rFonts w:ascii="宋体" w:hAnsi="宋体"/>
          <w:b/>
          <w:sz w:val="24"/>
          <w:highlight w:val="none"/>
        </w:rPr>
        <w:t xml:space="preserve">1  </w:t>
      </w:r>
      <w:r>
        <w:rPr>
          <w:rFonts w:hint="eastAsia" w:ascii="宋体" w:hAnsi="宋体"/>
          <w:b/>
          <w:sz w:val="24"/>
          <w:highlight w:val="none"/>
        </w:rPr>
        <w:t>近三年无不良信誉证明</w:t>
      </w:r>
      <w:bookmarkEnd w:id="170"/>
      <w:bookmarkEnd w:id="171"/>
      <w:bookmarkEnd w:id="172"/>
    </w:p>
    <w:p>
      <w:pPr>
        <w:spacing w:line="480" w:lineRule="exact"/>
        <w:jc w:val="center"/>
        <w:outlineLvl w:val="0"/>
        <w:rPr>
          <w:rFonts w:ascii="宋体"/>
          <w:sz w:val="24"/>
          <w:highlight w:val="none"/>
        </w:rPr>
      </w:pPr>
      <w:bookmarkStart w:id="173" w:name="_Toc16969"/>
      <w:bookmarkStart w:id="174" w:name="_Toc29571"/>
      <w:bookmarkStart w:id="175" w:name="_Toc5579"/>
      <w:r>
        <w:rPr>
          <w:rFonts w:hint="eastAsia" w:ascii="宋体" w:hAnsi="宋体"/>
          <w:sz w:val="24"/>
          <w:highlight w:val="none"/>
        </w:rPr>
        <w:t>（需声明投标人近三年未发生重大质量安全事故；无弄虚作假和重大违法违纪行为；无医药购销领域商业贿赂方面的不良记录。）</w:t>
      </w:r>
      <w:bookmarkEnd w:id="173"/>
      <w:bookmarkEnd w:id="174"/>
      <w:bookmarkEnd w:id="175"/>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76" w:name="_Toc1781"/>
      <w:bookmarkStart w:id="177" w:name="_Toc5573"/>
      <w:bookmarkStart w:id="178" w:name="_Toc25890"/>
      <w:r>
        <w:rPr>
          <w:rFonts w:hint="eastAsia" w:ascii="宋体" w:hAnsi="宋体"/>
          <w:b/>
          <w:sz w:val="24"/>
          <w:highlight w:val="none"/>
        </w:rPr>
        <w:t>格式</w:t>
      </w:r>
      <w:r>
        <w:rPr>
          <w:rFonts w:ascii="宋体" w:hAnsi="宋体"/>
          <w:b/>
          <w:sz w:val="24"/>
          <w:highlight w:val="none"/>
        </w:rPr>
        <w:t>2  201</w:t>
      </w:r>
      <w:r>
        <w:rPr>
          <w:rFonts w:hint="eastAsia" w:ascii="宋体" w:hAnsi="宋体"/>
          <w:b/>
          <w:sz w:val="24"/>
          <w:highlight w:val="none"/>
          <w:lang w:val="en-US" w:eastAsia="zh-CN"/>
        </w:rPr>
        <w:t>8</w:t>
      </w:r>
      <w:r>
        <w:rPr>
          <w:rFonts w:hint="eastAsia" w:ascii="宋体" w:hAnsi="宋体"/>
          <w:b/>
          <w:sz w:val="24"/>
          <w:highlight w:val="none"/>
        </w:rPr>
        <w:t>年</w:t>
      </w:r>
      <w:r>
        <w:rPr>
          <w:rFonts w:hint="eastAsia" w:ascii="宋体" w:hAnsi="宋体"/>
          <w:b/>
          <w:sz w:val="24"/>
          <w:highlight w:val="none"/>
          <w:lang w:eastAsia="zh-CN"/>
        </w:rPr>
        <w:t>度</w:t>
      </w:r>
      <w:r>
        <w:rPr>
          <w:rFonts w:hint="eastAsia" w:ascii="宋体" w:hAnsi="宋体"/>
          <w:b/>
          <w:sz w:val="24"/>
          <w:highlight w:val="none"/>
        </w:rPr>
        <w:t>财务状况报告</w:t>
      </w:r>
      <w:bookmarkEnd w:id="176"/>
      <w:bookmarkEnd w:id="177"/>
      <w:bookmarkEnd w:id="178"/>
    </w:p>
    <w:p>
      <w:pPr>
        <w:spacing w:line="480" w:lineRule="exact"/>
        <w:jc w:val="center"/>
        <w:outlineLvl w:val="0"/>
        <w:rPr>
          <w:rFonts w:ascii="宋体"/>
          <w:sz w:val="24"/>
          <w:highlight w:val="none"/>
        </w:rPr>
      </w:pPr>
      <w:bookmarkStart w:id="179" w:name="_Toc24571"/>
      <w:bookmarkStart w:id="180" w:name="_Toc3211"/>
      <w:bookmarkStart w:id="181" w:name="_Toc29391"/>
      <w:r>
        <w:rPr>
          <w:rFonts w:hint="eastAsia" w:ascii="宋体" w:hAnsi="宋体"/>
          <w:sz w:val="24"/>
          <w:highlight w:val="none"/>
        </w:rPr>
        <w:t>（附财务报表（含资产负债表、现金流量表、利润表的复印件），或其基本开户银行出具的资信证明）</w:t>
      </w:r>
      <w:bookmarkEnd w:id="179"/>
      <w:bookmarkEnd w:id="180"/>
      <w:bookmarkEnd w:id="181"/>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82" w:name="_Toc13521"/>
      <w:bookmarkStart w:id="183" w:name="_Toc23883"/>
      <w:bookmarkStart w:id="184" w:name="_Toc23494"/>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182"/>
      <w:bookmarkEnd w:id="183"/>
      <w:bookmarkEnd w:id="184"/>
    </w:p>
    <w:p>
      <w:pPr>
        <w:spacing w:line="480" w:lineRule="exact"/>
        <w:jc w:val="center"/>
        <w:outlineLvl w:val="0"/>
        <w:rPr>
          <w:rFonts w:hint="eastAsia" w:ascii="宋体" w:hAnsi="宋体"/>
          <w:sz w:val="24"/>
          <w:highlight w:val="none"/>
        </w:rPr>
      </w:pPr>
      <w:bookmarkStart w:id="185" w:name="_Toc1183"/>
      <w:bookmarkStart w:id="186" w:name="_Toc16451"/>
      <w:bookmarkStart w:id="187" w:name="_Toc20732"/>
      <w:r>
        <w:rPr>
          <w:rFonts w:hint="eastAsia" w:ascii="宋体" w:hAnsi="宋体"/>
          <w:sz w:val="24"/>
          <w:highlight w:val="none"/>
        </w:rPr>
        <w:t>1、附近三个月的纳税凭证：完税凭证或免税证明或纳税申报表或银行缴税电汇凭证；</w:t>
      </w:r>
    </w:p>
    <w:p>
      <w:pPr>
        <w:spacing w:line="480" w:lineRule="exact"/>
        <w:jc w:val="both"/>
        <w:outlineLvl w:val="0"/>
        <w:rPr>
          <w:rFonts w:hint="eastAsia" w:ascii="宋体" w:hAnsi="宋体"/>
          <w:sz w:val="24"/>
          <w:highlight w:val="none"/>
        </w:rPr>
      </w:pPr>
      <w:r>
        <w:rPr>
          <w:rFonts w:hint="eastAsia" w:ascii="宋体" w:hAnsi="宋体"/>
          <w:sz w:val="24"/>
          <w:highlight w:val="none"/>
        </w:rPr>
        <w:t>2、近三个月缴纳社会保险的凭据：专用收据或社会保险缴纳清单。</w:t>
      </w:r>
    </w:p>
    <w:bookmarkEnd w:id="185"/>
    <w:bookmarkEnd w:id="186"/>
    <w:bookmarkEnd w:id="187"/>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188" w:name="_Toc3815"/>
      <w:bookmarkStart w:id="189" w:name="_Toc4"/>
      <w:bookmarkStart w:id="190" w:name="_Toc31328"/>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188"/>
      <w:bookmarkEnd w:id="189"/>
      <w:bookmarkEnd w:id="190"/>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191" w:name="_Toc11678"/>
      <w:bookmarkStart w:id="192" w:name="_Toc4460"/>
      <w:bookmarkStart w:id="193" w:name="_Toc15082"/>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191"/>
      <w:bookmarkEnd w:id="192"/>
      <w:bookmarkEnd w:id="193"/>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194" w:name="_Toc170"/>
      <w:bookmarkStart w:id="195" w:name="_Toc9435"/>
      <w:bookmarkStart w:id="196" w:name="_Toc14964"/>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194"/>
      <w:bookmarkEnd w:id="195"/>
      <w:bookmarkEnd w:id="196"/>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2"/>
        <w:spacing w:line="580" w:lineRule="exact"/>
        <w:jc w:val="center"/>
        <w:rPr>
          <w:sz w:val="28"/>
          <w:szCs w:val="28"/>
          <w:highlight w:val="none"/>
        </w:rPr>
      </w:pPr>
      <w:r>
        <w:rPr>
          <w:rFonts w:ascii="宋体"/>
          <w:highlight w:val="none"/>
        </w:rPr>
        <w:br w:type="page"/>
      </w:r>
      <w:bookmarkStart w:id="197" w:name="_Toc492372156"/>
      <w:bookmarkStart w:id="198" w:name="_Toc15306"/>
      <w:bookmarkStart w:id="199" w:name="_Toc499831025"/>
      <w:bookmarkStart w:id="200" w:name="_Toc503943637"/>
      <w:bookmarkStart w:id="201" w:name="_Toc499827580"/>
      <w:r>
        <w:rPr>
          <w:rFonts w:hint="eastAsia"/>
          <w:sz w:val="28"/>
          <w:szCs w:val="28"/>
          <w:highlight w:val="none"/>
        </w:rPr>
        <w:t>格式</w:t>
      </w:r>
      <w:r>
        <w:rPr>
          <w:sz w:val="28"/>
          <w:szCs w:val="28"/>
          <w:highlight w:val="none"/>
        </w:rPr>
        <w:t xml:space="preserve">7  </w:t>
      </w:r>
      <w:bookmarkEnd w:id="197"/>
      <w:r>
        <w:rPr>
          <w:rFonts w:hint="eastAsia"/>
          <w:sz w:val="28"/>
          <w:szCs w:val="28"/>
          <w:highlight w:val="none"/>
        </w:rPr>
        <w:t>残疾人福利性单位声明函</w:t>
      </w:r>
      <w:bookmarkEnd w:id="198"/>
      <w:bookmarkEnd w:id="199"/>
      <w:bookmarkEnd w:id="200"/>
      <w:bookmarkEnd w:id="201"/>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w:t>
      </w:r>
      <w:r>
        <w:rPr>
          <w:rFonts w:hint="eastAsia" w:ascii="宋体" w:hAnsi="宋体"/>
          <w:highlight w:val="none"/>
          <w:lang w:eastAsia="zh-CN"/>
        </w:rPr>
        <w:t>九</w:t>
      </w:r>
      <w:r>
        <w:rPr>
          <w:rFonts w:hint="eastAsia" w:ascii="宋体" w:hAnsi="宋体"/>
          <w:highlight w:val="none"/>
        </w:rPr>
        <w:t>：</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type w:val="continuous"/>
          <w:pgSz w:w="11907" w:h="16840"/>
          <w:pgMar w:top="1304" w:right="1418" w:bottom="1157" w:left="1418" w:header="851" w:footer="851" w:gutter="0"/>
          <w:pgBorders>
            <w:top w:val="none" w:sz="0" w:space="0"/>
            <w:left w:val="none" w:sz="0" w:space="0"/>
            <w:bottom w:val="none" w:sz="0" w:space="0"/>
            <w:right w:val="none" w:sz="0" w:space="0"/>
          </w:pgBorders>
          <w:pgNumType w:fmt="decimal"/>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0"/>
        <w:spacing w:line="480" w:lineRule="exact"/>
        <w:ind w:left="1747" w:firstLine="470"/>
        <w:rPr>
          <w:rFonts w:ascii="宋体"/>
          <w:highlight w:val="none"/>
        </w:rPr>
      </w:pPr>
    </w:p>
    <w:tbl>
      <w:tblPr>
        <w:tblStyle w:val="49"/>
        <w:tblW w:w="91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450" w:hRule="atLeast"/>
        </w:trPr>
        <w:tc>
          <w:tcPr>
            <w:tcW w:w="9100" w:type="dxa"/>
          </w:tcPr>
          <w:p>
            <w:pPr>
              <w:pStyle w:val="20"/>
              <w:spacing w:line="480" w:lineRule="exact"/>
              <w:ind w:left="1747" w:firstLine="590"/>
              <w:jc w:val="center"/>
              <w:rPr>
                <w:rFonts w:ascii="宋体"/>
                <w:b/>
                <w:kern w:val="2"/>
                <w:sz w:val="30"/>
                <w:szCs w:val="24"/>
                <w:highlight w:val="none"/>
              </w:rPr>
            </w:pPr>
          </w:p>
          <w:p>
            <w:pPr>
              <w:pStyle w:val="20"/>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0"/>
              <w:spacing w:line="480" w:lineRule="exact"/>
              <w:ind w:left="1747" w:firstLine="470"/>
              <w:rPr>
                <w:rFonts w:ascii="宋体"/>
                <w:kern w:val="2"/>
                <w:szCs w:val="24"/>
                <w:highlight w:val="none"/>
              </w:rPr>
            </w:pP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trPr>
        <w:tc>
          <w:tcPr>
            <w:tcW w:w="9180" w:type="dxa"/>
            <w:vAlign w:val="center"/>
          </w:tcPr>
          <w:p>
            <w:pPr>
              <w:pStyle w:val="20"/>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pgBorders>
        <w:top w:val="none" w:sz="0" w:space="0"/>
        <w:left w:val="none" w:sz="0" w:space="0"/>
        <w:bottom w:val="none" w:sz="0" w:space="0"/>
        <w:right w:val="none" w:sz="0" w:space="0"/>
      </w:pgBorders>
      <w:pgNumType w:fmt="decimal"/>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altName w:val="Times New Roman"/>
    <w:panose1 w:val="02020603050405020304"/>
    <w:charset w:val="00"/>
    <w:family w:val="roman"/>
    <w:pitch w:val="default"/>
    <w:sig w:usb0="00000000"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8" o:spid="_x0000_s409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00000018"/>
    <w:multiLevelType w:val="multilevel"/>
    <w:tmpl w:val="00000018"/>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
    <w:nsid w:val="0000001B"/>
    <w:multiLevelType w:val="multilevel"/>
    <w:tmpl w:val="0000001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0000001E"/>
    <w:multiLevelType w:val="multilevel"/>
    <w:tmpl w:val="0000001E"/>
    <w:lvl w:ilvl="0" w:tentative="0">
      <w:start w:val="1"/>
      <w:numFmt w:val="decimalEnclosedCircle"/>
      <w:lvlText w:val="%1"/>
      <w:lvlJc w:val="left"/>
      <w:pPr>
        <w:ind w:left="1260" w:hanging="4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4">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5">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6">
    <w:nsid w:val="44873755"/>
    <w:multiLevelType w:val="multilevel"/>
    <w:tmpl w:val="44873755"/>
    <w:lvl w:ilvl="0" w:tentative="0">
      <w:start w:val="1"/>
      <w:numFmt w:val="decimal"/>
      <w:lvlText w:val="%1."/>
      <w:lvlJc w:val="left"/>
      <w:pPr>
        <w:ind w:left="900" w:hanging="420"/>
      </w:pPr>
      <w:rPr>
        <w:rFonts w:cs="Times New Roman"/>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abstractNum w:abstractNumId="7">
    <w:nsid w:val="5AE0118E"/>
    <w:multiLevelType w:val="singleLevel"/>
    <w:tmpl w:val="5AE0118E"/>
    <w:lvl w:ilvl="0" w:tentative="0">
      <w:start w:val="5"/>
      <w:numFmt w:val="decimal"/>
      <w:suff w:val="nothing"/>
      <w:lvlText w:val="%1、"/>
      <w:lvlJc w:val="left"/>
      <w:rPr>
        <w:rFonts w:cs="Times New Roman"/>
      </w:rPr>
    </w:lvl>
  </w:abstractNum>
  <w:num w:numId="1">
    <w:abstractNumId w:val="4"/>
  </w:num>
  <w:num w:numId="2">
    <w:abstractNumId w:val="7"/>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50"/>
  <w:drawingGridHorizontalSpacing w:val="191"/>
  <w:drawingGridVerticalSpacing w:val="145"/>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626DD"/>
    <w:rsid w:val="000904F1"/>
    <w:rsid w:val="000C678F"/>
    <w:rsid w:val="000E2449"/>
    <w:rsid w:val="00131905"/>
    <w:rsid w:val="00162C5D"/>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70188"/>
    <w:rsid w:val="00386985"/>
    <w:rsid w:val="003B6DFF"/>
    <w:rsid w:val="003C419A"/>
    <w:rsid w:val="003D1EDA"/>
    <w:rsid w:val="003F33E7"/>
    <w:rsid w:val="00432143"/>
    <w:rsid w:val="0046019C"/>
    <w:rsid w:val="004772C0"/>
    <w:rsid w:val="004D1A53"/>
    <w:rsid w:val="00517D33"/>
    <w:rsid w:val="00527409"/>
    <w:rsid w:val="0053706A"/>
    <w:rsid w:val="00566766"/>
    <w:rsid w:val="005735D4"/>
    <w:rsid w:val="00575932"/>
    <w:rsid w:val="00576D88"/>
    <w:rsid w:val="005B2561"/>
    <w:rsid w:val="005D2392"/>
    <w:rsid w:val="006769D2"/>
    <w:rsid w:val="0067730B"/>
    <w:rsid w:val="0069381A"/>
    <w:rsid w:val="006C069F"/>
    <w:rsid w:val="006E1D66"/>
    <w:rsid w:val="00761902"/>
    <w:rsid w:val="00774762"/>
    <w:rsid w:val="007838AB"/>
    <w:rsid w:val="0082141B"/>
    <w:rsid w:val="008F5DC5"/>
    <w:rsid w:val="00920411"/>
    <w:rsid w:val="00991453"/>
    <w:rsid w:val="00995536"/>
    <w:rsid w:val="009B1504"/>
    <w:rsid w:val="009D2573"/>
    <w:rsid w:val="009D5D9A"/>
    <w:rsid w:val="009F1C91"/>
    <w:rsid w:val="00A35668"/>
    <w:rsid w:val="00A457A3"/>
    <w:rsid w:val="00A478A0"/>
    <w:rsid w:val="00A540D0"/>
    <w:rsid w:val="00A75CA1"/>
    <w:rsid w:val="00AA49DB"/>
    <w:rsid w:val="00AD5758"/>
    <w:rsid w:val="00AF6B68"/>
    <w:rsid w:val="00B0178F"/>
    <w:rsid w:val="00B03677"/>
    <w:rsid w:val="00B14739"/>
    <w:rsid w:val="00B3167C"/>
    <w:rsid w:val="00BF1996"/>
    <w:rsid w:val="00BF5D8C"/>
    <w:rsid w:val="00C22CF4"/>
    <w:rsid w:val="00C30279"/>
    <w:rsid w:val="00CE6A2C"/>
    <w:rsid w:val="00CF633E"/>
    <w:rsid w:val="00D0384D"/>
    <w:rsid w:val="00D20821"/>
    <w:rsid w:val="00D2184F"/>
    <w:rsid w:val="00D262AB"/>
    <w:rsid w:val="00D76286"/>
    <w:rsid w:val="00D90AF6"/>
    <w:rsid w:val="00DB598B"/>
    <w:rsid w:val="00DD5723"/>
    <w:rsid w:val="00DE31F6"/>
    <w:rsid w:val="00E17C0E"/>
    <w:rsid w:val="00E352B5"/>
    <w:rsid w:val="00E6261D"/>
    <w:rsid w:val="00E849CB"/>
    <w:rsid w:val="00EA13C3"/>
    <w:rsid w:val="00EB7236"/>
    <w:rsid w:val="00F5673C"/>
    <w:rsid w:val="00FC0E0C"/>
    <w:rsid w:val="00FD1F62"/>
    <w:rsid w:val="00FD3231"/>
    <w:rsid w:val="00FD5088"/>
    <w:rsid w:val="01267FBC"/>
    <w:rsid w:val="01367B2E"/>
    <w:rsid w:val="013B7FED"/>
    <w:rsid w:val="01477457"/>
    <w:rsid w:val="01483AE6"/>
    <w:rsid w:val="016018AA"/>
    <w:rsid w:val="016171C3"/>
    <w:rsid w:val="0175408A"/>
    <w:rsid w:val="0178463B"/>
    <w:rsid w:val="01833406"/>
    <w:rsid w:val="018B4463"/>
    <w:rsid w:val="018B6312"/>
    <w:rsid w:val="019D0F86"/>
    <w:rsid w:val="019F1051"/>
    <w:rsid w:val="01B0280C"/>
    <w:rsid w:val="01F92DB9"/>
    <w:rsid w:val="02177898"/>
    <w:rsid w:val="02227C57"/>
    <w:rsid w:val="022C7141"/>
    <w:rsid w:val="02347B0F"/>
    <w:rsid w:val="023A5D18"/>
    <w:rsid w:val="023D5D3A"/>
    <w:rsid w:val="027236E2"/>
    <w:rsid w:val="02A254D3"/>
    <w:rsid w:val="02B053ED"/>
    <w:rsid w:val="02B16F47"/>
    <w:rsid w:val="02C248BF"/>
    <w:rsid w:val="02D35B8B"/>
    <w:rsid w:val="02D601CF"/>
    <w:rsid w:val="02DC73A5"/>
    <w:rsid w:val="02E45A48"/>
    <w:rsid w:val="02EE0490"/>
    <w:rsid w:val="02F42AF4"/>
    <w:rsid w:val="02FA6999"/>
    <w:rsid w:val="03190F6E"/>
    <w:rsid w:val="03261ED3"/>
    <w:rsid w:val="03522D6F"/>
    <w:rsid w:val="036E457D"/>
    <w:rsid w:val="03741D26"/>
    <w:rsid w:val="037B55A1"/>
    <w:rsid w:val="037E752F"/>
    <w:rsid w:val="03B865B7"/>
    <w:rsid w:val="03D9691B"/>
    <w:rsid w:val="03E35D9F"/>
    <w:rsid w:val="03FB54CF"/>
    <w:rsid w:val="040E3633"/>
    <w:rsid w:val="042D27C9"/>
    <w:rsid w:val="046E0BCD"/>
    <w:rsid w:val="04A813F0"/>
    <w:rsid w:val="04BD332D"/>
    <w:rsid w:val="04C60BF6"/>
    <w:rsid w:val="04C64C86"/>
    <w:rsid w:val="04D04155"/>
    <w:rsid w:val="04D46BF9"/>
    <w:rsid w:val="04D83675"/>
    <w:rsid w:val="04F856AF"/>
    <w:rsid w:val="050837CA"/>
    <w:rsid w:val="0526784C"/>
    <w:rsid w:val="052E7492"/>
    <w:rsid w:val="055838CE"/>
    <w:rsid w:val="055D0DAD"/>
    <w:rsid w:val="05617CA7"/>
    <w:rsid w:val="05755832"/>
    <w:rsid w:val="05817010"/>
    <w:rsid w:val="05834B6F"/>
    <w:rsid w:val="05C279E3"/>
    <w:rsid w:val="05C6569E"/>
    <w:rsid w:val="05D03DF4"/>
    <w:rsid w:val="05E04535"/>
    <w:rsid w:val="05E35544"/>
    <w:rsid w:val="05F0753E"/>
    <w:rsid w:val="060D342D"/>
    <w:rsid w:val="060F5DD5"/>
    <w:rsid w:val="06250628"/>
    <w:rsid w:val="062A7A45"/>
    <w:rsid w:val="064B02D7"/>
    <w:rsid w:val="064C4C30"/>
    <w:rsid w:val="06542070"/>
    <w:rsid w:val="06562376"/>
    <w:rsid w:val="066F3069"/>
    <w:rsid w:val="06893342"/>
    <w:rsid w:val="069444F0"/>
    <w:rsid w:val="06AB0347"/>
    <w:rsid w:val="06B35D6A"/>
    <w:rsid w:val="06C26570"/>
    <w:rsid w:val="06D23153"/>
    <w:rsid w:val="06D80483"/>
    <w:rsid w:val="06FD7E11"/>
    <w:rsid w:val="07011658"/>
    <w:rsid w:val="07255034"/>
    <w:rsid w:val="072E64EA"/>
    <w:rsid w:val="074D6753"/>
    <w:rsid w:val="075258A9"/>
    <w:rsid w:val="075713E8"/>
    <w:rsid w:val="076C384E"/>
    <w:rsid w:val="077924D4"/>
    <w:rsid w:val="078475F2"/>
    <w:rsid w:val="078B0666"/>
    <w:rsid w:val="07963322"/>
    <w:rsid w:val="07BA1721"/>
    <w:rsid w:val="07BD01C3"/>
    <w:rsid w:val="07BD4DD1"/>
    <w:rsid w:val="07EB42FB"/>
    <w:rsid w:val="08010237"/>
    <w:rsid w:val="08071830"/>
    <w:rsid w:val="080B3E19"/>
    <w:rsid w:val="08121A78"/>
    <w:rsid w:val="081F4806"/>
    <w:rsid w:val="0829532F"/>
    <w:rsid w:val="08397BFF"/>
    <w:rsid w:val="08490850"/>
    <w:rsid w:val="085415DF"/>
    <w:rsid w:val="087C3B7A"/>
    <w:rsid w:val="087E432D"/>
    <w:rsid w:val="08873EAB"/>
    <w:rsid w:val="089116C8"/>
    <w:rsid w:val="08BA02CC"/>
    <w:rsid w:val="08CA5E5E"/>
    <w:rsid w:val="08CE65E6"/>
    <w:rsid w:val="08D614C7"/>
    <w:rsid w:val="0908208A"/>
    <w:rsid w:val="095B245E"/>
    <w:rsid w:val="09646610"/>
    <w:rsid w:val="09782E97"/>
    <w:rsid w:val="098A0D6C"/>
    <w:rsid w:val="09955B90"/>
    <w:rsid w:val="0996643B"/>
    <w:rsid w:val="09A1593F"/>
    <w:rsid w:val="09A3603A"/>
    <w:rsid w:val="09CA79E9"/>
    <w:rsid w:val="09E9599C"/>
    <w:rsid w:val="09F5510B"/>
    <w:rsid w:val="09F55CE3"/>
    <w:rsid w:val="0A014875"/>
    <w:rsid w:val="0A0F6BF1"/>
    <w:rsid w:val="0A1A3BD9"/>
    <w:rsid w:val="0A1A6CCB"/>
    <w:rsid w:val="0A405D2D"/>
    <w:rsid w:val="0A5A6458"/>
    <w:rsid w:val="0A6F663E"/>
    <w:rsid w:val="0A7C58C9"/>
    <w:rsid w:val="0A8054FA"/>
    <w:rsid w:val="0A844C62"/>
    <w:rsid w:val="0AC241A3"/>
    <w:rsid w:val="0AC63BD6"/>
    <w:rsid w:val="0AD00FE0"/>
    <w:rsid w:val="0AE21508"/>
    <w:rsid w:val="0AE73FAC"/>
    <w:rsid w:val="0AE77507"/>
    <w:rsid w:val="0AEF47FB"/>
    <w:rsid w:val="0AF9564E"/>
    <w:rsid w:val="0B07100B"/>
    <w:rsid w:val="0B1B6B69"/>
    <w:rsid w:val="0B790DB1"/>
    <w:rsid w:val="0B8D10E4"/>
    <w:rsid w:val="0B981026"/>
    <w:rsid w:val="0BBC755F"/>
    <w:rsid w:val="0C3E6AC4"/>
    <w:rsid w:val="0C3F09BC"/>
    <w:rsid w:val="0C4D1511"/>
    <w:rsid w:val="0C620D79"/>
    <w:rsid w:val="0C6B59DB"/>
    <w:rsid w:val="0C993171"/>
    <w:rsid w:val="0C9A2D16"/>
    <w:rsid w:val="0CA61420"/>
    <w:rsid w:val="0CAB22B6"/>
    <w:rsid w:val="0CAC6AE8"/>
    <w:rsid w:val="0CC37BE2"/>
    <w:rsid w:val="0CC64DD0"/>
    <w:rsid w:val="0CE95F5F"/>
    <w:rsid w:val="0CF4329D"/>
    <w:rsid w:val="0D086F79"/>
    <w:rsid w:val="0D0B7061"/>
    <w:rsid w:val="0D2A2B39"/>
    <w:rsid w:val="0D3E6C92"/>
    <w:rsid w:val="0D4E351D"/>
    <w:rsid w:val="0D507D0D"/>
    <w:rsid w:val="0D5A688D"/>
    <w:rsid w:val="0D6774D6"/>
    <w:rsid w:val="0D853DE8"/>
    <w:rsid w:val="0D8D2290"/>
    <w:rsid w:val="0D9945DA"/>
    <w:rsid w:val="0D99769E"/>
    <w:rsid w:val="0DCE62FF"/>
    <w:rsid w:val="0DD80D8A"/>
    <w:rsid w:val="0DE02318"/>
    <w:rsid w:val="0DE21A68"/>
    <w:rsid w:val="0E00203E"/>
    <w:rsid w:val="0E007950"/>
    <w:rsid w:val="0E090B33"/>
    <w:rsid w:val="0E172A1B"/>
    <w:rsid w:val="0E1967C1"/>
    <w:rsid w:val="0E2F42D1"/>
    <w:rsid w:val="0E3B2EEC"/>
    <w:rsid w:val="0E4D3146"/>
    <w:rsid w:val="0E6F5851"/>
    <w:rsid w:val="0E770F0B"/>
    <w:rsid w:val="0E772D56"/>
    <w:rsid w:val="0EAF3CFB"/>
    <w:rsid w:val="0ECB11B5"/>
    <w:rsid w:val="0ED22571"/>
    <w:rsid w:val="0ED7443F"/>
    <w:rsid w:val="0ED974C9"/>
    <w:rsid w:val="0EDB0F07"/>
    <w:rsid w:val="0EEE03B8"/>
    <w:rsid w:val="0EF512E5"/>
    <w:rsid w:val="0F167C07"/>
    <w:rsid w:val="0F2A62A0"/>
    <w:rsid w:val="0F501C07"/>
    <w:rsid w:val="0F507736"/>
    <w:rsid w:val="0F692D5A"/>
    <w:rsid w:val="0F7449C0"/>
    <w:rsid w:val="0F8628E6"/>
    <w:rsid w:val="0F9C2A4D"/>
    <w:rsid w:val="0FA82E1F"/>
    <w:rsid w:val="0FA96252"/>
    <w:rsid w:val="0FB03457"/>
    <w:rsid w:val="0FBC441C"/>
    <w:rsid w:val="0FC95D8D"/>
    <w:rsid w:val="0FE576A4"/>
    <w:rsid w:val="0FEA2AA1"/>
    <w:rsid w:val="104352A2"/>
    <w:rsid w:val="104B3404"/>
    <w:rsid w:val="104F28D6"/>
    <w:rsid w:val="1052003D"/>
    <w:rsid w:val="10632D51"/>
    <w:rsid w:val="10840EB5"/>
    <w:rsid w:val="10847FCD"/>
    <w:rsid w:val="1086577E"/>
    <w:rsid w:val="10980533"/>
    <w:rsid w:val="10A34487"/>
    <w:rsid w:val="10B72F5D"/>
    <w:rsid w:val="10BC57A4"/>
    <w:rsid w:val="10BD3919"/>
    <w:rsid w:val="10C1206B"/>
    <w:rsid w:val="10CF6159"/>
    <w:rsid w:val="10F75CBD"/>
    <w:rsid w:val="10FE5ED8"/>
    <w:rsid w:val="110045A1"/>
    <w:rsid w:val="110E4253"/>
    <w:rsid w:val="11421803"/>
    <w:rsid w:val="11442249"/>
    <w:rsid w:val="114D3221"/>
    <w:rsid w:val="11AF39F6"/>
    <w:rsid w:val="11E95CE2"/>
    <w:rsid w:val="11E96D3A"/>
    <w:rsid w:val="11EA4504"/>
    <w:rsid w:val="120129C4"/>
    <w:rsid w:val="120301D5"/>
    <w:rsid w:val="124219E9"/>
    <w:rsid w:val="125D168B"/>
    <w:rsid w:val="126B3ACC"/>
    <w:rsid w:val="127B5B8A"/>
    <w:rsid w:val="12815604"/>
    <w:rsid w:val="12861902"/>
    <w:rsid w:val="1297465C"/>
    <w:rsid w:val="129E3A93"/>
    <w:rsid w:val="12E37BC0"/>
    <w:rsid w:val="12F234F4"/>
    <w:rsid w:val="12F31760"/>
    <w:rsid w:val="12F75240"/>
    <w:rsid w:val="13153B92"/>
    <w:rsid w:val="13211702"/>
    <w:rsid w:val="132F60FE"/>
    <w:rsid w:val="1336381F"/>
    <w:rsid w:val="13410E38"/>
    <w:rsid w:val="136658C4"/>
    <w:rsid w:val="136B4814"/>
    <w:rsid w:val="1377104B"/>
    <w:rsid w:val="137E50DC"/>
    <w:rsid w:val="138F504A"/>
    <w:rsid w:val="139103F2"/>
    <w:rsid w:val="13963CB0"/>
    <w:rsid w:val="13A64BAD"/>
    <w:rsid w:val="13B449C3"/>
    <w:rsid w:val="13BA0ACF"/>
    <w:rsid w:val="13CE3C39"/>
    <w:rsid w:val="13D705AF"/>
    <w:rsid w:val="13F906A1"/>
    <w:rsid w:val="140C65BF"/>
    <w:rsid w:val="14272C54"/>
    <w:rsid w:val="143945FD"/>
    <w:rsid w:val="14497C26"/>
    <w:rsid w:val="144C1E1B"/>
    <w:rsid w:val="145B5728"/>
    <w:rsid w:val="14744D84"/>
    <w:rsid w:val="1476244A"/>
    <w:rsid w:val="147D31D6"/>
    <w:rsid w:val="1487005D"/>
    <w:rsid w:val="14970036"/>
    <w:rsid w:val="14A251C4"/>
    <w:rsid w:val="14AB5BA1"/>
    <w:rsid w:val="14D51C51"/>
    <w:rsid w:val="14DD57E6"/>
    <w:rsid w:val="14E37F8F"/>
    <w:rsid w:val="15031F47"/>
    <w:rsid w:val="15046A51"/>
    <w:rsid w:val="15431BD8"/>
    <w:rsid w:val="1544535D"/>
    <w:rsid w:val="155C65D2"/>
    <w:rsid w:val="156231BF"/>
    <w:rsid w:val="1575402B"/>
    <w:rsid w:val="15772110"/>
    <w:rsid w:val="157D04F6"/>
    <w:rsid w:val="158762D8"/>
    <w:rsid w:val="158A61CC"/>
    <w:rsid w:val="15AA5AE6"/>
    <w:rsid w:val="15B863E2"/>
    <w:rsid w:val="15C17AA5"/>
    <w:rsid w:val="15C336BD"/>
    <w:rsid w:val="15D86AE1"/>
    <w:rsid w:val="15E11A76"/>
    <w:rsid w:val="15EC15CC"/>
    <w:rsid w:val="16053F66"/>
    <w:rsid w:val="16060B72"/>
    <w:rsid w:val="160A6351"/>
    <w:rsid w:val="160E6831"/>
    <w:rsid w:val="161367AB"/>
    <w:rsid w:val="16165FE6"/>
    <w:rsid w:val="161F1F07"/>
    <w:rsid w:val="164875A5"/>
    <w:rsid w:val="16634357"/>
    <w:rsid w:val="167D4F4F"/>
    <w:rsid w:val="16993D4F"/>
    <w:rsid w:val="16BF72A7"/>
    <w:rsid w:val="16DF10FC"/>
    <w:rsid w:val="16ED1D96"/>
    <w:rsid w:val="1702105F"/>
    <w:rsid w:val="170A75B6"/>
    <w:rsid w:val="1714786D"/>
    <w:rsid w:val="17172E9F"/>
    <w:rsid w:val="1721333A"/>
    <w:rsid w:val="17507554"/>
    <w:rsid w:val="175F1414"/>
    <w:rsid w:val="17682F23"/>
    <w:rsid w:val="178017C5"/>
    <w:rsid w:val="17862DA8"/>
    <w:rsid w:val="178C35AF"/>
    <w:rsid w:val="17B02FF0"/>
    <w:rsid w:val="17B113C3"/>
    <w:rsid w:val="17B331B6"/>
    <w:rsid w:val="17CB4092"/>
    <w:rsid w:val="17D016D3"/>
    <w:rsid w:val="17D63E38"/>
    <w:rsid w:val="1803064D"/>
    <w:rsid w:val="18047FD8"/>
    <w:rsid w:val="180E66C1"/>
    <w:rsid w:val="18236CCC"/>
    <w:rsid w:val="18274AC7"/>
    <w:rsid w:val="18294C2A"/>
    <w:rsid w:val="183752E1"/>
    <w:rsid w:val="18433E74"/>
    <w:rsid w:val="185264A3"/>
    <w:rsid w:val="18616FBC"/>
    <w:rsid w:val="18684B28"/>
    <w:rsid w:val="187A0FF6"/>
    <w:rsid w:val="18831711"/>
    <w:rsid w:val="188651D5"/>
    <w:rsid w:val="189F70A8"/>
    <w:rsid w:val="18C05389"/>
    <w:rsid w:val="18C37E50"/>
    <w:rsid w:val="18CB405A"/>
    <w:rsid w:val="18E92EED"/>
    <w:rsid w:val="18EB1198"/>
    <w:rsid w:val="18EB3D30"/>
    <w:rsid w:val="18EF7421"/>
    <w:rsid w:val="18FE2E17"/>
    <w:rsid w:val="19194C0B"/>
    <w:rsid w:val="191C17C0"/>
    <w:rsid w:val="193A692A"/>
    <w:rsid w:val="194B5E15"/>
    <w:rsid w:val="194C631E"/>
    <w:rsid w:val="195F6EF9"/>
    <w:rsid w:val="196A0B47"/>
    <w:rsid w:val="198056E5"/>
    <w:rsid w:val="198236EE"/>
    <w:rsid w:val="19862474"/>
    <w:rsid w:val="198854CF"/>
    <w:rsid w:val="198E5062"/>
    <w:rsid w:val="19BA593C"/>
    <w:rsid w:val="19C76609"/>
    <w:rsid w:val="19CB2001"/>
    <w:rsid w:val="19DA4BAF"/>
    <w:rsid w:val="19F75513"/>
    <w:rsid w:val="1A233813"/>
    <w:rsid w:val="1A6B7E1C"/>
    <w:rsid w:val="1AA8346A"/>
    <w:rsid w:val="1AAD7C8B"/>
    <w:rsid w:val="1AB07BA3"/>
    <w:rsid w:val="1ADA7273"/>
    <w:rsid w:val="1ADE7EC1"/>
    <w:rsid w:val="1AE16342"/>
    <w:rsid w:val="1AE63CDE"/>
    <w:rsid w:val="1AF47D69"/>
    <w:rsid w:val="1B0765B6"/>
    <w:rsid w:val="1B3D67C6"/>
    <w:rsid w:val="1B3E5015"/>
    <w:rsid w:val="1B650452"/>
    <w:rsid w:val="1B6B0C3C"/>
    <w:rsid w:val="1B6E0CCB"/>
    <w:rsid w:val="1B7319FB"/>
    <w:rsid w:val="1B835053"/>
    <w:rsid w:val="1B9C3B8A"/>
    <w:rsid w:val="1BBC1D6E"/>
    <w:rsid w:val="1BCE25D1"/>
    <w:rsid w:val="1BE94888"/>
    <w:rsid w:val="1C676D69"/>
    <w:rsid w:val="1C6B1C30"/>
    <w:rsid w:val="1C960BD9"/>
    <w:rsid w:val="1CC5528D"/>
    <w:rsid w:val="1CDA24D0"/>
    <w:rsid w:val="1CEA0481"/>
    <w:rsid w:val="1CEF4CDC"/>
    <w:rsid w:val="1CF75509"/>
    <w:rsid w:val="1CF80043"/>
    <w:rsid w:val="1CF84FA8"/>
    <w:rsid w:val="1D2A03E0"/>
    <w:rsid w:val="1D4072F6"/>
    <w:rsid w:val="1D7442DF"/>
    <w:rsid w:val="1D7C7E64"/>
    <w:rsid w:val="1D854DD6"/>
    <w:rsid w:val="1D897F94"/>
    <w:rsid w:val="1D904EA6"/>
    <w:rsid w:val="1D9C3BA7"/>
    <w:rsid w:val="1DA03982"/>
    <w:rsid w:val="1DA6482E"/>
    <w:rsid w:val="1DCC1FD2"/>
    <w:rsid w:val="1DCD5344"/>
    <w:rsid w:val="1DD84FE2"/>
    <w:rsid w:val="1DD9314E"/>
    <w:rsid w:val="1DE514B9"/>
    <w:rsid w:val="1E10357E"/>
    <w:rsid w:val="1E1B3F90"/>
    <w:rsid w:val="1E357934"/>
    <w:rsid w:val="1E711D3D"/>
    <w:rsid w:val="1E7A7A7D"/>
    <w:rsid w:val="1EC36841"/>
    <w:rsid w:val="1EC91419"/>
    <w:rsid w:val="1ED46122"/>
    <w:rsid w:val="1EDA73E1"/>
    <w:rsid w:val="1EE7441B"/>
    <w:rsid w:val="1F083EC3"/>
    <w:rsid w:val="1F091532"/>
    <w:rsid w:val="1F363982"/>
    <w:rsid w:val="1F39229F"/>
    <w:rsid w:val="1F574973"/>
    <w:rsid w:val="1F9E611E"/>
    <w:rsid w:val="1FB10B7E"/>
    <w:rsid w:val="1FB57903"/>
    <w:rsid w:val="1FC2047B"/>
    <w:rsid w:val="1FF33CDA"/>
    <w:rsid w:val="1FFB5863"/>
    <w:rsid w:val="1FFC257E"/>
    <w:rsid w:val="20093F38"/>
    <w:rsid w:val="20153B98"/>
    <w:rsid w:val="202B206A"/>
    <w:rsid w:val="205D5DD0"/>
    <w:rsid w:val="20AE149D"/>
    <w:rsid w:val="20B45D5E"/>
    <w:rsid w:val="20B7137B"/>
    <w:rsid w:val="20CC3A5F"/>
    <w:rsid w:val="20DB381D"/>
    <w:rsid w:val="20E51521"/>
    <w:rsid w:val="20E62554"/>
    <w:rsid w:val="210A2B13"/>
    <w:rsid w:val="214E32E4"/>
    <w:rsid w:val="21577A83"/>
    <w:rsid w:val="215D4DDE"/>
    <w:rsid w:val="21610A7A"/>
    <w:rsid w:val="216B37D0"/>
    <w:rsid w:val="217976A3"/>
    <w:rsid w:val="21B827F2"/>
    <w:rsid w:val="21C46CEC"/>
    <w:rsid w:val="21C5415A"/>
    <w:rsid w:val="21D234BA"/>
    <w:rsid w:val="21D40159"/>
    <w:rsid w:val="21E978A8"/>
    <w:rsid w:val="22495289"/>
    <w:rsid w:val="224A3975"/>
    <w:rsid w:val="2262123C"/>
    <w:rsid w:val="22652F4C"/>
    <w:rsid w:val="22712127"/>
    <w:rsid w:val="2282753B"/>
    <w:rsid w:val="228E5FD0"/>
    <w:rsid w:val="229C224B"/>
    <w:rsid w:val="229F7773"/>
    <w:rsid w:val="22AF1342"/>
    <w:rsid w:val="22CC59AF"/>
    <w:rsid w:val="22CD0B61"/>
    <w:rsid w:val="22D17F2B"/>
    <w:rsid w:val="22EA0F92"/>
    <w:rsid w:val="231E6A95"/>
    <w:rsid w:val="231F0708"/>
    <w:rsid w:val="231F3121"/>
    <w:rsid w:val="23247FCD"/>
    <w:rsid w:val="23442187"/>
    <w:rsid w:val="234E6121"/>
    <w:rsid w:val="23A25530"/>
    <w:rsid w:val="23CD38EE"/>
    <w:rsid w:val="23DD4EC5"/>
    <w:rsid w:val="23DE5801"/>
    <w:rsid w:val="23EF24BF"/>
    <w:rsid w:val="240A3D34"/>
    <w:rsid w:val="241234A7"/>
    <w:rsid w:val="241F0CB3"/>
    <w:rsid w:val="244D4391"/>
    <w:rsid w:val="24710A0A"/>
    <w:rsid w:val="247A3095"/>
    <w:rsid w:val="2487513F"/>
    <w:rsid w:val="24937AF5"/>
    <w:rsid w:val="24942F10"/>
    <w:rsid w:val="24B60F3A"/>
    <w:rsid w:val="24D875D1"/>
    <w:rsid w:val="24EB025D"/>
    <w:rsid w:val="25024A59"/>
    <w:rsid w:val="250D78DC"/>
    <w:rsid w:val="25103F6B"/>
    <w:rsid w:val="252C2BB4"/>
    <w:rsid w:val="255D7BED"/>
    <w:rsid w:val="25696BEC"/>
    <w:rsid w:val="257379EA"/>
    <w:rsid w:val="259D7AF5"/>
    <w:rsid w:val="25BD613A"/>
    <w:rsid w:val="25CA1020"/>
    <w:rsid w:val="25E30E41"/>
    <w:rsid w:val="25EE1A8D"/>
    <w:rsid w:val="25FD5076"/>
    <w:rsid w:val="260362D3"/>
    <w:rsid w:val="260531C3"/>
    <w:rsid w:val="260D5DE2"/>
    <w:rsid w:val="26136C30"/>
    <w:rsid w:val="26187716"/>
    <w:rsid w:val="26614252"/>
    <w:rsid w:val="26750E3C"/>
    <w:rsid w:val="267968DD"/>
    <w:rsid w:val="2681167F"/>
    <w:rsid w:val="26A230F1"/>
    <w:rsid w:val="26BC1220"/>
    <w:rsid w:val="26C32706"/>
    <w:rsid w:val="26C9354E"/>
    <w:rsid w:val="26E36D28"/>
    <w:rsid w:val="270F7F7E"/>
    <w:rsid w:val="271410E3"/>
    <w:rsid w:val="271D10B1"/>
    <w:rsid w:val="27266254"/>
    <w:rsid w:val="273E5A64"/>
    <w:rsid w:val="273F795A"/>
    <w:rsid w:val="274330A7"/>
    <w:rsid w:val="274C1A4C"/>
    <w:rsid w:val="274E0D59"/>
    <w:rsid w:val="27522728"/>
    <w:rsid w:val="27591A0D"/>
    <w:rsid w:val="275A793D"/>
    <w:rsid w:val="27647129"/>
    <w:rsid w:val="279573FC"/>
    <w:rsid w:val="279B6F30"/>
    <w:rsid w:val="27B61832"/>
    <w:rsid w:val="27C50EE8"/>
    <w:rsid w:val="27C83924"/>
    <w:rsid w:val="27D17719"/>
    <w:rsid w:val="27D22A70"/>
    <w:rsid w:val="27DA0AFE"/>
    <w:rsid w:val="27DA67B5"/>
    <w:rsid w:val="27DD3D8A"/>
    <w:rsid w:val="27E25F95"/>
    <w:rsid w:val="27F14FB6"/>
    <w:rsid w:val="27F70BA9"/>
    <w:rsid w:val="27FC08D7"/>
    <w:rsid w:val="28011091"/>
    <w:rsid w:val="280C219C"/>
    <w:rsid w:val="280E5E45"/>
    <w:rsid w:val="280F1C18"/>
    <w:rsid w:val="281B4F97"/>
    <w:rsid w:val="281C6476"/>
    <w:rsid w:val="28376F70"/>
    <w:rsid w:val="28400D6D"/>
    <w:rsid w:val="28655342"/>
    <w:rsid w:val="289A2570"/>
    <w:rsid w:val="28AA32D9"/>
    <w:rsid w:val="28B6003D"/>
    <w:rsid w:val="28BE47BE"/>
    <w:rsid w:val="28E307C0"/>
    <w:rsid w:val="28E40E46"/>
    <w:rsid w:val="28FB727A"/>
    <w:rsid w:val="29111004"/>
    <w:rsid w:val="2916585E"/>
    <w:rsid w:val="29302A01"/>
    <w:rsid w:val="29927EE9"/>
    <w:rsid w:val="29B53A4E"/>
    <w:rsid w:val="29B67DDC"/>
    <w:rsid w:val="29BC7983"/>
    <w:rsid w:val="29C0639D"/>
    <w:rsid w:val="29CE7F54"/>
    <w:rsid w:val="29DE079C"/>
    <w:rsid w:val="29F678ED"/>
    <w:rsid w:val="2A0503EE"/>
    <w:rsid w:val="2A213403"/>
    <w:rsid w:val="2A254BAB"/>
    <w:rsid w:val="2A37334A"/>
    <w:rsid w:val="2A6A01CF"/>
    <w:rsid w:val="2A763C3F"/>
    <w:rsid w:val="2A9161AE"/>
    <w:rsid w:val="2AA208EC"/>
    <w:rsid w:val="2AC6783D"/>
    <w:rsid w:val="2ADC4EDF"/>
    <w:rsid w:val="2AEC2DEC"/>
    <w:rsid w:val="2AFE0462"/>
    <w:rsid w:val="2B0351AB"/>
    <w:rsid w:val="2B2C12EF"/>
    <w:rsid w:val="2B3F785C"/>
    <w:rsid w:val="2BC0015D"/>
    <w:rsid w:val="2BC33263"/>
    <w:rsid w:val="2BC55D1D"/>
    <w:rsid w:val="2BD346BF"/>
    <w:rsid w:val="2BF0645F"/>
    <w:rsid w:val="2C103E0B"/>
    <w:rsid w:val="2C1D0A52"/>
    <w:rsid w:val="2C406641"/>
    <w:rsid w:val="2C6C41B6"/>
    <w:rsid w:val="2C70101E"/>
    <w:rsid w:val="2C8D48A3"/>
    <w:rsid w:val="2C8E2D71"/>
    <w:rsid w:val="2C906D72"/>
    <w:rsid w:val="2CB32C76"/>
    <w:rsid w:val="2CB4229C"/>
    <w:rsid w:val="2CB92B18"/>
    <w:rsid w:val="2CF12D9F"/>
    <w:rsid w:val="2CF7361C"/>
    <w:rsid w:val="2CFA7496"/>
    <w:rsid w:val="2CFF6EF7"/>
    <w:rsid w:val="2D2C151F"/>
    <w:rsid w:val="2D2C1CEC"/>
    <w:rsid w:val="2D302CE5"/>
    <w:rsid w:val="2D3629D1"/>
    <w:rsid w:val="2D4D04D3"/>
    <w:rsid w:val="2D65674B"/>
    <w:rsid w:val="2D760C43"/>
    <w:rsid w:val="2D7A3452"/>
    <w:rsid w:val="2DA47447"/>
    <w:rsid w:val="2DA53DE6"/>
    <w:rsid w:val="2DBE1E56"/>
    <w:rsid w:val="2E067D83"/>
    <w:rsid w:val="2E162CEE"/>
    <w:rsid w:val="2E1A221B"/>
    <w:rsid w:val="2E274498"/>
    <w:rsid w:val="2E2D3233"/>
    <w:rsid w:val="2E3A551C"/>
    <w:rsid w:val="2E4C5E50"/>
    <w:rsid w:val="2E692E9D"/>
    <w:rsid w:val="2E8E0891"/>
    <w:rsid w:val="2E9830A2"/>
    <w:rsid w:val="2EA760C8"/>
    <w:rsid w:val="2EBF18B7"/>
    <w:rsid w:val="2ED66A2F"/>
    <w:rsid w:val="2EF14075"/>
    <w:rsid w:val="2F4F2FBB"/>
    <w:rsid w:val="2F6616FB"/>
    <w:rsid w:val="2F6C68D2"/>
    <w:rsid w:val="2F70132B"/>
    <w:rsid w:val="2F7D7574"/>
    <w:rsid w:val="2F9B417A"/>
    <w:rsid w:val="2FC26088"/>
    <w:rsid w:val="2FD0714F"/>
    <w:rsid w:val="2FE71F7E"/>
    <w:rsid w:val="2FED4A2A"/>
    <w:rsid w:val="2FF93510"/>
    <w:rsid w:val="301C20C2"/>
    <w:rsid w:val="30245948"/>
    <w:rsid w:val="302F78CB"/>
    <w:rsid w:val="304609FF"/>
    <w:rsid w:val="304D4243"/>
    <w:rsid w:val="30721654"/>
    <w:rsid w:val="30745A30"/>
    <w:rsid w:val="30C55BD7"/>
    <w:rsid w:val="30C673C6"/>
    <w:rsid w:val="30DF0B95"/>
    <w:rsid w:val="30EA0C9B"/>
    <w:rsid w:val="30F04A33"/>
    <w:rsid w:val="30FA0D3D"/>
    <w:rsid w:val="31147393"/>
    <w:rsid w:val="3122396B"/>
    <w:rsid w:val="31241474"/>
    <w:rsid w:val="31285C96"/>
    <w:rsid w:val="312E4C4B"/>
    <w:rsid w:val="31312938"/>
    <w:rsid w:val="313E0E7B"/>
    <w:rsid w:val="31560D46"/>
    <w:rsid w:val="31630E8C"/>
    <w:rsid w:val="316E1F56"/>
    <w:rsid w:val="319D4E65"/>
    <w:rsid w:val="31A91D7F"/>
    <w:rsid w:val="31AC3F86"/>
    <w:rsid w:val="31B07155"/>
    <w:rsid w:val="31BA5FB3"/>
    <w:rsid w:val="31BF2F46"/>
    <w:rsid w:val="31C04C8B"/>
    <w:rsid w:val="31C427BB"/>
    <w:rsid w:val="31E74757"/>
    <w:rsid w:val="31F41846"/>
    <w:rsid w:val="320C1B00"/>
    <w:rsid w:val="322940DE"/>
    <w:rsid w:val="323C4A94"/>
    <w:rsid w:val="32412B20"/>
    <w:rsid w:val="324827C7"/>
    <w:rsid w:val="324F2948"/>
    <w:rsid w:val="324F7F9E"/>
    <w:rsid w:val="32581AE0"/>
    <w:rsid w:val="32631746"/>
    <w:rsid w:val="32820D11"/>
    <w:rsid w:val="32A45645"/>
    <w:rsid w:val="32B91B04"/>
    <w:rsid w:val="32D91938"/>
    <w:rsid w:val="33100032"/>
    <w:rsid w:val="33177552"/>
    <w:rsid w:val="3324428B"/>
    <w:rsid w:val="334D4B72"/>
    <w:rsid w:val="33537E87"/>
    <w:rsid w:val="335E5632"/>
    <w:rsid w:val="33626D58"/>
    <w:rsid w:val="33667F60"/>
    <w:rsid w:val="33701250"/>
    <w:rsid w:val="338259C2"/>
    <w:rsid w:val="33876BF0"/>
    <w:rsid w:val="339252AF"/>
    <w:rsid w:val="339B6B78"/>
    <w:rsid w:val="33A857F5"/>
    <w:rsid w:val="33B61575"/>
    <w:rsid w:val="33EF1D0C"/>
    <w:rsid w:val="33FC4F94"/>
    <w:rsid w:val="340E375E"/>
    <w:rsid w:val="341C223F"/>
    <w:rsid w:val="34225AF4"/>
    <w:rsid w:val="3425062E"/>
    <w:rsid w:val="342930CE"/>
    <w:rsid w:val="34301B5F"/>
    <w:rsid w:val="34316BE5"/>
    <w:rsid w:val="3442592A"/>
    <w:rsid w:val="34431263"/>
    <w:rsid w:val="34506B4F"/>
    <w:rsid w:val="345E5704"/>
    <w:rsid w:val="34776A27"/>
    <w:rsid w:val="34986296"/>
    <w:rsid w:val="34CB09E3"/>
    <w:rsid w:val="34D57484"/>
    <w:rsid w:val="34D60E8A"/>
    <w:rsid w:val="34DC7095"/>
    <w:rsid w:val="34EF1945"/>
    <w:rsid w:val="35016370"/>
    <w:rsid w:val="350A6DBB"/>
    <w:rsid w:val="35401164"/>
    <w:rsid w:val="35443611"/>
    <w:rsid w:val="35695C04"/>
    <w:rsid w:val="357F7A06"/>
    <w:rsid w:val="35873F02"/>
    <w:rsid w:val="358E5E0A"/>
    <w:rsid w:val="35D27572"/>
    <w:rsid w:val="35D73AC3"/>
    <w:rsid w:val="36112DD8"/>
    <w:rsid w:val="36240901"/>
    <w:rsid w:val="362A08E9"/>
    <w:rsid w:val="3640342D"/>
    <w:rsid w:val="36483D5F"/>
    <w:rsid w:val="364B5001"/>
    <w:rsid w:val="369D76FA"/>
    <w:rsid w:val="36A16820"/>
    <w:rsid w:val="36A77B65"/>
    <w:rsid w:val="36AB4C46"/>
    <w:rsid w:val="36B00264"/>
    <w:rsid w:val="36CD27DD"/>
    <w:rsid w:val="36F43CD9"/>
    <w:rsid w:val="36F50FF0"/>
    <w:rsid w:val="370E6157"/>
    <w:rsid w:val="37285211"/>
    <w:rsid w:val="373E147E"/>
    <w:rsid w:val="37440291"/>
    <w:rsid w:val="37616FF2"/>
    <w:rsid w:val="37774365"/>
    <w:rsid w:val="379E19F4"/>
    <w:rsid w:val="37A503C1"/>
    <w:rsid w:val="37AB2367"/>
    <w:rsid w:val="37AE1114"/>
    <w:rsid w:val="37DE3958"/>
    <w:rsid w:val="38107A88"/>
    <w:rsid w:val="381941D9"/>
    <w:rsid w:val="381C4496"/>
    <w:rsid w:val="38230347"/>
    <w:rsid w:val="38245841"/>
    <w:rsid w:val="382F21F6"/>
    <w:rsid w:val="3838592B"/>
    <w:rsid w:val="385873D9"/>
    <w:rsid w:val="386D69C1"/>
    <w:rsid w:val="387A4994"/>
    <w:rsid w:val="388A1154"/>
    <w:rsid w:val="38907793"/>
    <w:rsid w:val="389978B1"/>
    <w:rsid w:val="38AB7213"/>
    <w:rsid w:val="38BB74B3"/>
    <w:rsid w:val="38C026D8"/>
    <w:rsid w:val="38C212FE"/>
    <w:rsid w:val="38CC444E"/>
    <w:rsid w:val="38F20527"/>
    <w:rsid w:val="38FD4BDC"/>
    <w:rsid w:val="390E2E0B"/>
    <w:rsid w:val="391C30A1"/>
    <w:rsid w:val="3959196E"/>
    <w:rsid w:val="3960729B"/>
    <w:rsid w:val="39764C13"/>
    <w:rsid w:val="397D18BF"/>
    <w:rsid w:val="397D5852"/>
    <w:rsid w:val="398205C3"/>
    <w:rsid w:val="399105D0"/>
    <w:rsid w:val="39955A42"/>
    <w:rsid w:val="39B62462"/>
    <w:rsid w:val="39BE0852"/>
    <w:rsid w:val="39D92EFE"/>
    <w:rsid w:val="39DE4367"/>
    <w:rsid w:val="39E264FC"/>
    <w:rsid w:val="39E56F1A"/>
    <w:rsid w:val="39E72493"/>
    <w:rsid w:val="39EC4F48"/>
    <w:rsid w:val="39F31009"/>
    <w:rsid w:val="3A1B1537"/>
    <w:rsid w:val="3A20028E"/>
    <w:rsid w:val="3A283C67"/>
    <w:rsid w:val="3A3A68A8"/>
    <w:rsid w:val="3A41272A"/>
    <w:rsid w:val="3A4D1BD1"/>
    <w:rsid w:val="3A551997"/>
    <w:rsid w:val="3A5B0712"/>
    <w:rsid w:val="3A6A3CA7"/>
    <w:rsid w:val="3A732F0A"/>
    <w:rsid w:val="3A7F32C6"/>
    <w:rsid w:val="3A992D40"/>
    <w:rsid w:val="3AA008D0"/>
    <w:rsid w:val="3AAD3EFA"/>
    <w:rsid w:val="3AAD5053"/>
    <w:rsid w:val="3AB72BEB"/>
    <w:rsid w:val="3AE47094"/>
    <w:rsid w:val="3B2C5CE6"/>
    <w:rsid w:val="3B5B6B36"/>
    <w:rsid w:val="3B6B0742"/>
    <w:rsid w:val="3B713E35"/>
    <w:rsid w:val="3B823D61"/>
    <w:rsid w:val="3B843773"/>
    <w:rsid w:val="3BB872AC"/>
    <w:rsid w:val="3BE81CC8"/>
    <w:rsid w:val="3C0122B4"/>
    <w:rsid w:val="3C087D51"/>
    <w:rsid w:val="3C0B47C3"/>
    <w:rsid w:val="3C0F2E5C"/>
    <w:rsid w:val="3C232E49"/>
    <w:rsid w:val="3C5A1F12"/>
    <w:rsid w:val="3C662EDF"/>
    <w:rsid w:val="3C873654"/>
    <w:rsid w:val="3C9A241A"/>
    <w:rsid w:val="3CA72903"/>
    <w:rsid w:val="3CAE4F60"/>
    <w:rsid w:val="3CC940A7"/>
    <w:rsid w:val="3CC9647F"/>
    <w:rsid w:val="3CDC2B0A"/>
    <w:rsid w:val="3CE14229"/>
    <w:rsid w:val="3CFC13E0"/>
    <w:rsid w:val="3D092504"/>
    <w:rsid w:val="3D1D3010"/>
    <w:rsid w:val="3D20669A"/>
    <w:rsid w:val="3D212D9D"/>
    <w:rsid w:val="3D3246B3"/>
    <w:rsid w:val="3D5F4271"/>
    <w:rsid w:val="3D700D52"/>
    <w:rsid w:val="3D770A1E"/>
    <w:rsid w:val="3DAD3632"/>
    <w:rsid w:val="3DB01E78"/>
    <w:rsid w:val="3DDE73FA"/>
    <w:rsid w:val="3DE9435F"/>
    <w:rsid w:val="3E053264"/>
    <w:rsid w:val="3E083B2C"/>
    <w:rsid w:val="3E0C40FA"/>
    <w:rsid w:val="3E481A2D"/>
    <w:rsid w:val="3E490253"/>
    <w:rsid w:val="3E4B0C50"/>
    <w:rsid w:val="3E802B14"/>
    <w:rsid w:val="3EA4318E"/>
    <w:rsid w:val="3EB021FA"/>
    <w:rsid w:val="3EE651EF"/>
    <w:rsid w:val="3F000F93"/>
    <w:rsid w:val="3F042F23"/>
    <w:rsid w:val="3F40400F"/>
    <w:rsid w:val="3F6B3B01"/>
    <w:rsid w:val="3F9A7607"/>
    <w:rsid w:val="3F9D1772"/>
    <w:rsid w:val="3FAB63AE"/>
    <w:rsid w:val="400B3D58"/>
    <w:rsid w:val="402166A4"/>
    <w:rsid w:val="4039779C"/>
    <w:rsid w:val="403F4AD6"/>
    <w:rsid w:val="4055421F"/>
    <w:rsid w:val="407F379A"/>
    <w:rsid w:val="4098721B"/>
    <w:rsid w:val="40A30CB7"/>
    <w:rsid w:val="410D50E4"/>
    <w:rsid w:val="41335E35"/>
    <w:rsid w:val="41625ED3"/>
    <w:rsid w:val="416A5C1B"/>
    <w:rsid w:val="417144B1"/>
    <w:rsid w:val="4189511A"/>
    <w:rsid w:val="41A03E55"/>
    <w:rsid w:val="41CB13D4"/>
    <w:rsid w:val="41D47FBA"/>
    <w:rsid w:val="42042B32"/>
    <w:rsid w:val="4211574A"/>
    <w:rsid w:val="4216392F"/>
    <w:rsid w:val="421D7007"/>
    <w:rsid w:val="42264F86"/>
    <w:rsid w:val="425A401B"/>
    <w:rsid w:val="425B0051"/>
    <w:rsid w:val="426E18B4"/>
    <w:rsid w:val="427B75A2"/>
    <w:rsid w:val="42881A27"/>
    <w:rsid w:val="42953CD7"/>
    <w:rsid w:val="429B3F8F"/>
    <w:rsid w:val="42CE6B71"/>
    <w:rsid w:val="42DB7DEF"/>
    <w:rsid w:val="42DF0DF6"/>
    <w:rsid w:val="42E34D2A"/>
    <w:rsid w:val="42EA5C2A"/>
    <w:rsid w:val="42EB1A6F"/>
    <w:rsid w:val="42EB44C6"/>
    <w:rsid w:val="42F4186C"/>
    <w:rsid w:val="42F805B7"/>
    <w:rsid w:val="43017D07"/>
    <w:rsid w:val="4328593E"/>
    <w:rsid w:val="4346230B"/>
    <w:rsid w:val="43470790"/>
    <w:rsid w:val="43746231"/>
    <w:rsid w:val="43793D50"/>
    <w:rsid w:val="43C91B45"/>
    <w:rsid w:val="43C96C82"/>
    <w:rsid w:val="43F244DD"/>
    <w:rsid w:val="43F67700"/>
    <w:rsid w:val="43F67CAD"/>
    <w:rsid w:val="44197675"/>
    <w:rsid w:val="442134A5"/>
    <w:rsid w:val="443F4550"/>
    <w:rsid w:val="44502944"/>
    <w:rsid w:val="446B0DA7"/>
    <w:rsid w:val="44896E05"/>
    <w:rsid w:val="448F23C8"/>
    <w:rsid w:val="449263B1"/>
    <w:rsid w:val="44A252E3"/>
    <w:rsid w:val="44CE05B1"/>
    <w:rsid w:val="44EC5492"/>
    <w:rsid w:val="45143E62"/>
    <w:rsid w:val="451963D2"/>
    <w:rsid w:val="451A4C4E"/>
    <w:rsid w:val="451E7E7C"/>
    <w:rsid w:val="45472394"/>
    <w:rsid w:val="457B07D4"/>
    <w:rsid w:val="4584601C"/>
    <w:rsid w:val="45A17614"/>
    <w:rsid w:val="45A77792"/>
    <w:rsid w:val="45AC2C16"/>
    <w:rsid w:val="45B8521A"/>
    <w:rsid w:val="45CF386F"/>
    <w:rsid w:val="45E86C21"/>
    <w:rsid w:val="46056421"/>
    <w:rsid w:val="460C04D4"/>
    <w:rsid w:val="46113C23"/>
    <w:rsid w:val="465A02C0"/>
    <w:rsid w:val="466331AA"/>
    <w:rsid w:val="466A1851"/>
    <w:rsid w:val="46885EC5"/>
    <w:rsid w:val="46951251"/>
    <w:rsid w:val="46A0248D"/>
    <w:rsid w:val="46A176A3"/>
    <w:rsid w:val="46B27462"/>
    <w:rsid w:val="46BB064C"/>
    <w:rsid w:val="46BC31AA"/>
    <w:rsid w:val="46BF6F41"/>
    <w:rsid w:val="46C35F55"/>
    <w:rsid w:val="46C93A01"/>
    <w:rsid w:val="46D404E0"/>
    <w:rsid w:val="46EA0B8E"/>
    <w:rsid w:val="46F31900"/>
    <w:rsid w:val="46F5741D"/>
    <w:rsid w:val="470019E5"/>
    <w:rsid w:val="471E5360"/>
    <w:rsid w:val="472B3E49"/>
    <w:rsid w:val="473105C2"/>
    <w:rsid w:val="47636BC0"/>
    <w:rsid w:val="4767390C"/>
    <w:rsid w:val="476B423D"/>
    <w:rsid w:val="476C60EE"/>
    <w:rsid w:val="476F4169"/>
    <w:rsid w:val="476F45D2"/>
    <w:rsid w:val="4778041E"/>
    <w:rsid w:val="47890CE4"/>
    <w:rsid w:val="47BB12D0"/>
    <w:rsid w:val="47F77B0F"/>
    <w:rsid w:val="48071BA2"/>
    <w:rsid w:val="48111F72"/>
    <w:rsid w:val="483D2593"/>
    <w:rsid w:val="48676FF8"/>
    <w:rsid w:val="48842DA4"/>
    <w:rsid w:val="488525DC"/>
    <w:rsid w:val="488C3A69"/>
    <w:rsid w:val="488C7D67"/>
    <w:rsid w:val="48997517"/>
    <w:rsid w:val="48A02163"/>
    <w:rsid w:val="48A67A6B"/>
    <w:rsid w:val="48DB33FE"/>
    <w:rsid w:val="49230E35"/>
    <w:rsid w:val="492A0B4A"/>
    <w:rsid w:val="492D7083"/>
    <w:rsid w:val="493F3170"/>
    <w:rsid w:val="49486A0E"/>
    <w:rsid w:val="49495705"/>
    <w:rsid w:val="494B6EB7"/>
    <w:rsid w:val="495513EB"/>
    <w:rsid w:val="497A03CE"/>
    <w:rsid w:val="49A06CBD"/>
    <w:rsid w:val="49B74CC7"/>
    <w:rsid w:val="49C93046"/>
    <w:rsid w:val="49CB6EC3"/>
    <w:rsid w:val="49D2508E"/>
    <w:rsid w:val="4A086368"/>
    <w:rsid w:val="4A09291C"/>
    <w:rsid w:val="4A44122C"/>
    <w:rsid w:val="4A5D1A04"/>
    <w:rsid w:val="4A641C09"/>
    <w:rsid w:val="4A724ECC"/>
    <w:rsid w:val="4A802880"/>
    <w:rsid w:val="4A987EF3"/>
    <w:rsid w:val="4A995123"/>
    <w:rsid w:val="4A9A633F"/>
    <w:rsid w:val="4AA0090F"/>
    <w:rsid w:val="4AB57F33"/>
    <w:rsid w:val="4ACF1833"/>
    <w:rsid w:val="4AD551D0"/>
    <w:rsid w:val="4AFD678E"/>
    <w:rsid w:val="4B052AF1"/>
    <w:rsid w:val="4B434C80"/>
    <w:rsid w:val="4B64732E"/>
    <w:rsid w:val="4B831C66"/>
    <w:rsid w:val="4B8D15C7"/>
    <w:rsid w:val="4B8E09DB"/>
    <w:rsid w:val="4BB73E18"/>
    <w:rsid w:val="4BB8514A"/>
    <w:rsid w:val="4BD56841"/>
    <w:rsid w:val="4BE139FD"/>
    <w:rsid w:val="4BE50026"/>
    <w:rsid w:val="4BF519A8"/>
    <w:rsid w:val="4BF94E3C"/>
    <w:rsid w:val="4BFE59A0"/>
    <w:rsid w:val="4C3342E0"/>
    <w:rsid w:val="4C451933"/>
    <w:rsid w:val="4C522EDB"/>
    <w:rsid w:val="4C6E2B8E"/>
    <w:rsid w:val="4C7C3B09"/>
    <w:rsid w:val="4C8205AE"/>
    <w:rsid w:val="4C9E7FD4"/>
    <w:rsid w:val="4CC159EE"/>
    <w:rsid w:val="4CE84C22"/>
    <w:rsid w:val="4CEE3602"/>
    <w:rsid w:val="4CEE55F9"/>
    <w:rsid w:val="4CF21B51"/>
    <w:rsid w:val="4D071B5B"/>
    <w:rsid w:val="4D0B1077"/>
    <w:rsid w:val="4D2224BC"/>
    <w:rsid w:val="4D2757CE"/>
    <w:rsid w:val="4D34309E"/>
    <w:rsid w:val="4D3B2402"/>
    <w:rsid w:val="4D4A5484"/>
    <w:rsid w:val="4D4D72E2"/>
    <w:rsid w:val="4D552535"/>
    <w:rsid w:val="4D73653A"/>
    <w:rsid w:val="4D7F63E0"/>
    <w:rsid w:val="4D816CE7"/>
    <w:rsid w:val="4D8D072A"/>
    <w:rsid w:val="4D8D7B77"/>
    <w:rsid w:val="4D8E0557"/>
    <w:rsid w:val="4D9715DC"/>
    <w:rsid w:val="4D9F307A"/>
    <w:rsid w:val="4DB025C4"/>
    <w:rsid w:val="4DB875F5"/>
    <w:rsid w:val="4DB925D0"/>
    <w:rsid w:val="4DE76A72"/>
    <w:rsid w:val="4DFC6F40"/>
    <w:rsid w:val="4E0323E8"/>
    <w:rsid w:val="4E346CAD"/>
    <w:rsid w:val="4E37492E"/>
    <w:rsid w:val="4E4F5A01"/>
    <w:rsid w:val="4E580033"/>
    <w:rsid w:val="4E616A5C"/>
    <w:rsid w:val="4E693B74"/>
    <w:rsid w:val="4E6A4C09"/>
    <w:rsid w:val="4E6E3E0B"/>
    <w:rsid w:val="4E7C7399"/>
    <w:rsid w:val="4E977205"/>
    <w:rsid w:val="4EB827B3"/>
    <w:rsid w:val="4ED3637B"/>
    <w:rsid w:val="4EE20D35"/>
    <w:rsid w:val="4F0C05E8"/>
    <w:rsid w:val="4F333B3B"/>
    <w:rsid w:val="4F622289"/>
    <w:rsid w:val="4F712C49"/>
    <w:rsid w:val="4F731E97"/>
    <w:rsid w:val="4F7B27D9"/>
    <w:rsid w:val="4F87770B"/>
    <w:rsid w:val="4F90601D"/>
    <w:rsid w:val="4FC56263"/>
    <w:rsid w:val="4FD330DE"/>
    <w:rsid w:val="4FD82EBA"/>
    <w:rsid w:val="4FE0355B"/>
    <w:rsid w:val="4FE03B09"/>
    <w:rsid w:val="4FEA1DA8"/>
    <w:rsid w:val="5005319C"/>
    <w:rsid w:val="500F018A"/>
    <w:rsid w:val="500F0855"/>
    <w:rsid w:val="502D6368"/>
    <w:rsid w:val="503D0E74"/>
    <w:rsid w:val="504815B1"/>
    <w:rsid w:val="504E5BD3"/>
    <w:rsid w:val="505C1EA2"/>
    <w:rsid w:val="508B6AC9"/>
    <w:rsid w:val="50A57F20"/>
    <w:rsid w:val="50B62894"/>
    <w:rsid w:val="50B630A1"/>
    <w:rsid w:val="50B6395E"/>
    <w:rsid w:val="50B80540"/>
    <w:rsid w:val="50B8297E"/>
    <w:rsid w:val="50BA3090"/>
    <w:rsid w:val="50DA59F5"/>
    <w:rsid w:val="50E25EDC"/>
    <w:rsid w:val="510A7B76"/>
    <w:rsid w:val="51221EB8"/>
    <w:rsid w:val="512A162D"/>
    <w:rsid w:val="514F6C05"/>
    <w:rsid w:val="515A6CD7"/>
    <w:rsid w:val="516E725E"/>
    <w:rsid w:val="517109FA"/>
    <w:rsid w:val="51781C23"/>
    <w:rsid w:val="519C32A5"/>
    <w:rsid w:val="51B404DB"/>
    <w:rsid w:val="51CC0E85"/>
    <w:rsid w:val="51F67C2A"/>
    <w:rsid w:val="52030077"/>
    <w:rsid w:val="52200C03"/>
    <w:rsid w:val="52302068"/>
    <w:rsid w:val="52362800"/>
    <w:rsid w:val="525E02D9"/>
    <w:rsid w:val="52626214"/>
    <w:rsid w:val="5271161E"/>
    <w:rsid w:val="52931EA1"/>
    <w:rsid w:val="529C78AE"/>
    <w:rsid w:val="52A33D9C"/>
    <w:rsid w:val="52A50F59"/>
    <w:rsid w:val="52A8295F"/>
    <w:rsid w:val="52B61BC0"/>
    <w:rsid w:val="52BA5D97"/>
    <w:rsid w:val="52D640F7"/>
    <w:rsid w:val="52DD11F2"/>
    <w:rsid w:val="52F45961"/>
    <w:rsid w:val="53420DCD"/>
    <w:rsid w:val="53715C89"/>
    <w:rsid w:val="53844150"/>
    <w:rsid w:val="538E3101"/>
    <w:rsid w:val="53955515"/>
    <w:rsid w:val="53B0479A"/>
    <w:rsid w:val="53C85EEB"/>
    <w:rsid w:val="53D86CEE"/>
    <w:rsid w:val="53F83D51"/>
    <w:rsid w:val="542B3576"/>
    <w:rsid w:val="542E33A9"/>
    <w:rsid w:val="54370630"/>
    <w:rsid w:val="543A749F"/>
    <w:rsid w:val="543E0450"/>
    <w:rsid w:val="543F7DF3"/>
    <w:rsid w:val="545C6DB7"/>
    <w:rsid w:val="5468040B"/>
    <w:rsid w:val="546D7420"/>
    <w:rsid w:val="547804C3"/>
    <w:rsid w:val="547F7402"/>
    <w:rsid w:val="54967F9A"/>
    <w:rsid w:val="549B378E"/>
    <w:rsid w:val="549C1223"/>
    <w:rsid w:val="54A7060D"/>
    <w:rsid w:val="54CB0AD8"/>
    <w:rsid w:val="54FB6F2A"/>
    <w:rsid w:val="55063AA0"/>
    <w:rsid w:val="552B3541"/>
    <w:rsid w:val="553A6E72"/>
    <w:rsid w:val="555C44A6"/>
    <w:rsid w:val="557A3593"/>
    <w:rsid w:val="557F05FE"/>
    <w:rsid w:val="55986395"/>
    <w:rsid w:val="55B01C76"/>
    <w:rsid w:val="55BB3B99"/>
    <w:rsid w:val="55D56AB5"/>
    <w:rsid w:val="55DE6836"/>
    <w:rsid w:val="55F112D3"/>
    <w:rsid w:val="562E0ECF"/>
    <w:rsid w:val="565E25B5"/>
    <w:rsid w:val="5660004C"/>
    <w:rsid w:val="566912B5"/>
    <w:rsid w:val="56703ABB"/>
    <w:rsid w:val="5679751E"/>
    <w:rsid w:val="568E3E40"/>
    <w:rsid w:val="569F078A"/>
    <w:rsid w:val="56C204B1"/>
    <w:rsid w:val="56DC07B3"/>
    <w:rsid w:val="56E124D0"/>
    <w:rsid w:val="56E70EE9"/>
    <w:rsid w:val="56F11C95"/>
    <w:rsid w:val="56F65FA4"/>
    <w:rsid w:val="5712294D"/>
    <w:rsid w:val="57245E6C"/>
    <w:rsid w:val="57345A19"/>
    <w:rsid w:val="574A48FC"/>
    <w:rsid w:val="57516D3B"/>
    <w:rsid w:val="575B5170"/>
    <w:rsid w:val="576B13D9"/>
    <w:rsid w:val="57716D4D"/>
    <w:rsid w:val="577F3A42"/>
    <w:rsid w:val="57957FA2"/>
    <w:rsid w:val="57A074AD"/>
    <w:rsid w:val="57AE0036"/>
    <w:rsid w:val="57CC2E79"/>
    <w:rsid w:val="57D54F13"/>
    <w:rsid w:val="57D868C5"/>
    <w:rsid w:val="580B6363"/>
    <w:rsid w:val="581500E7"/>
    <w:rsid w:val="581570D7"/>
    <w:rsid w:val="582C3328"/>
    <w:rsid w:val="58483122"/>
    <w:rsid w:val="58584D43"/>
    <w:rsid w:val="58585757"/>
    <w:rsid w:val="585F4ABD"/>
    <w:rsid w:val="586A54E0"/>
    <w:rsid w:val="58763C80"/>
    <w:rsid w:val="58AD2A41"/>
    <w:rsid w:val="58C571DD"/>
    <w:rsid w:val="58CA22FD"/>
    <w:rsid w:val="58CB571C"/>
    <w:rsid w:val="591A0FF8"/>
    <w:rsid w:val="594413B6"/>
    <w:rsid w:val="5945092A"/>
    <w:rsid w:val="595D44CA"/>
    <w:rsid w:val="5965407F"/>
    <w:rsid w:val="59691876"/>
    <w:rsid w:val="59730464"/>
    <w:rsid w:val="598D2DC2"/>
    <w:rsid w:val="598E798D"/>
    <w:rsid w:val="5A0B0F42"/>
    <w:rsid w:val="5A3A5D6A"/>
    <w:rsid w:val="5A405D38"/>
    <w:rsid w:val="5A423CC1"/>
    <w:rsid w:val="5A4F77F7"/>
    <w:rsid w:val="5A540A75"/>
    <w:rsid w:val="5A5F3C5F"/>
    <w:rsid w:val="5A6B4B3B"/>
    <w:rsid w:val="5A74777A"/>
    <w:rsid w:val="5A9A4B59"/>
    <w:rsid w:val="5AA306AC"/>
    <w:rsid w:val="5AF43670"/>
    <w:rsid w:val="5B0E6006"/>
    <w:rsid w:val="5B1B278B"/>
    <w:rsid w:val="5B356B4F"/>
    <w:rsid w:val="5B45668A"/>
    <w:rsid w:val="5B483D9D"/>
    <w:rsid w:val="5B4B4861"/>
    <w:rsid w:val="5B4F4307"/>
    <w:rsid w:val="5B514E4B"/>
    <w:rsid w:val="5B550F93"/>
    <w:rsid w:val="5B743EDD"/>
    <w:rsid w:val="5B910EA8"/>
    <w:rsid w:val="5BA302A1"/>
    <w:rsid w:val="5BAE772A"/>
    <w:rsid w:val="5BAF03D2"/>
    <w:rsid w:val="5BC373A6"/>
    <w:rsid w:val="5BD137D6"/>
    <w:rsid w:val="5BDF75DB"/>
    <w:rsid w:val="5BE145D4"/>
    <w:rsid w:val="5BE565AF"/>
    <w:rsid w:val="5BF52022"/>
    <w:rsid w:val="5C027076"/>
    <w:rsid w:val="5C2F5441"/>
    <w:rsid w:val="5C306CA5"/>
    <w:rsid w:val="5C3830AD"/>
    <w:rsid w:val="5C4252F8"/>
    <w:rsid w:val="5CA049EF"/>
    <w:rsid w:val="5CA13735"/>
    <w:rsid w:val="5CAD02F5"/>
    <w:rsid w:val="5CC542C1"/>
    <w:rsid w:val="5CF30491"/>
    <w:rsid w:val="5CFA684E"/>
    <w:rsid w:val="5D2E1346"/>
    <w:rsid w:val="5D435AE7"/>
    <w:rsid w:val="5D4A1997"/>
    <w:rsid w:val="5D5C65F9"/>
    <w:rsid w:val="5D632C47"/>
    <w:rsid w:val="5D74299B"/>
    <w:rsid w:val="5DA50DB0"/>
    <w:rsid w:val="5DC26F7E"/>
    <w:rsid w:val="5DFE6F1D"/>
    <w:rsid w:val="5E14778D"/>
    <w:rsid w:val="5E230525"/>
    <w:rsid w:val="5E2324B5"/>
    <w:rsid w:val="5E265D92"/>
    <w:rsid w:val="5E2E01FA"/>
    <w:rsid w:val="5E316D7C"/>
    <w:rsid w:val="5E3A7444"/>
    <w:rsid w:val="5E446E9C"/>
    <w:rsid w:val="5E4C71CC"/>
    <w:rsid w:val="5E4E0212"/>
    <w:rsid w:val="5E65721B"/>
    <w:rsid w:val="5E6E38AD"/>
    <w:rsid w:val="5E8B02E6"/>
    <w:rsid w:val="5EA47F79"/>
    <w:rsid w:val="5EA7756C"/>
    <w:rsid w:val="5EAC7C32"/>
    <w:rsid w:val="5EBC35F3"/>
    <w:rsid w:val="5ECA7640"/>
    <w:rsid w:val="5EFD5FFE"/>
    <w:rsid w:val="5F173A2B"/>
    <w:rsid w:val="5F243B32"/>
    <w:rsid w:val="5F25704F"/>
    <w:rsid w:val="5F2D64C4"/>
    <w:rsid w:val="5F302A42"/>
    <w:rsid w:val="5F676A86"/>
    <w:rsid w:val="5F792A0A"/>
    <w:rsid w:val="5F816F30"/>
    <w:rsid w:val="5F95270F"/>
    <w:rsid w:val="5FE553A1"/>
    <w:rsid w:val="600D1887"/>
    <w:rsid w:val="601F39AC"/>
    <w:rsid w:val="60456E5A"/>
    <w:rsid w:val="606611F8"/>
    <w:rsid w:val="606A0927"/>
    <w:rsid w:val="60750A5B"/>
    <w:rsid w:val="607522E4"/>
    <w:rsid w:val="607934F6"/>
    <w:rsid w:val="607A0CA4"/>
    <w:rsid w:val="607F0D85"/>
    <w:rsid w:val="608A400B"/>
    <w:rsid w:val="608D6203"/>
    <w:rsid w:val="60A7237F"/>
    <w:rsid w:val="60A91285"/>
    <w:rsid w:val="60D914F9"/>
    <w:rsid w:val="60DC420F"/>
    <w:rsid w:val="60EA42BB"/>
    <w:rsid w:val="610B17B3"/>
    <w:rsid w:val="6148513F"/>
    <w:rsid w:val="614900DA"/>
    <w:rsid w:val="614958AE"/>
    <w:rsid w:val="614B2C99"/>
    <w:rsid w:val="61517704"/>
    <w:rsid w:val="616E69F3"/>
    <w:rsid w:val="61A00D01"/>
    <w:rsid w:val="61A57406"/>
    <w:rsid w:val="61CB0398"/>
    <w:rsid w:val="61E77F11"/>
    <w:rsid w:val="61EC2C51"/>
    <w:rsid w:val="62073131"/>
    <w:rsid w:val="620B5412"/>
    <w:rsid w:val="621D1177"/>
    <w:rsid w:val="621D2C7D"/>
    <w:rsid w:val="62304F98"/>
    <w:rsid w:val="62622680"/>
    <w:rsid w:val="62651F9B"/>
    <w:rsid w:val="62785189"/>
    <w:rsid w:val="627C2E83"/>
    <w:rsid w:val="628561B1"/>
    <w:rsid w:val="62936A2E"/>
    <w:rsid w:val="62B23C0C"/>
    <w:rsid w:val="62B90F27"/>
    <w:rsid w:val="62C542DD"/>
    <w:rsid w:val="62DF451C"/>
    <w:rsid w:val="62E479F1"/>
    <w:rsid w:val="62E75E06"/>
    <w:rsid w:val="62FD314E"/>
    <w:rsid w:val="632743B5"/>
    <w:rsid w:val="6337726C"/>
    <w:rsid w:val="634216B9"/>
    <w:rsid w:val="63544525"/>
    <w:rsid w:val="636A08A2"/>
    <w:rsid w:val="636B2783"/>
    <w:rsid w:val="63777684"/>
    <w:rsid w:val="63880C2C"/>
    <w:rsid w:val="639022D0"/>
    <w:rsid w:val="63917EF3"/>
    <w:rsid w:val="639904AE"/>
    <w:rsid w:val="63B61E5C"/>
    <w:rsid w:val="63DA603A"/>
    <w:rsid w:val="63E83945"/>
    <w:rsid w:val="640335EA"/>
    <w:rsid w:val="642F23C5"/>
    <w:rsid w:val="643917B1"/>
    <w:rsid w:val="64427CA3"/>
    <w:rsid w:val="64836005"/>
    <w:rsid w:val="649A0EAA"/>
    <w:rsid w:val="649E03FE"/>
    <w:rsid w:val="64A40894"/>
    <w:rsid w:val="64A47D9C"/>
    <w:rsid w:val="64BE53A3"/>
    <w:rsid w:val="64CC5E85"/>
    <w:rsid w:val="64CE1606"/>
    <w:rsid w:val="64D1763C"/>
    <w:rsid w:val="64ED4DEA"/>
    <w:rsid w:val="64F3490E"/>
    <w:rsid w:val="64F475D0"/>
    <w:rsid w:val="64FB09DF"/>
    <w:rsid w:val="650A4E00"/>
    <w:rsid w:val="65123550"/>
    <w:rsid w:val="6517300B"/>
    <w:rsid w:val="65267D7D"/>
    <w:rsid w:val="654C0271"/>
    <w:rsid w:val="654D1FDF"/>
    <w:rsid w:val="657140B6"/>
    <w:rsid w:val="65743936"/>
    <w:rsid w:val="657630EF"/>
    <w:rsid w:val="6582032C"/>
    <w:rsid w:val="65AC593A"/>
    <w:rsid w:val="65B0610E"/>
    <w:rsid w:val="65C36A89"/>
    <w:rsid w:val="65D7004F"/>
    <w:rsid w:val="65EE54D2"/>
    <w:rsid w:val="65F1000E"/>
    <w:rsid w:val="65F261EA"/>
    <w:rsid w:val="660B002C"/>
    <w:rsid w:val="66200283"/>
    <w:rsid w:val="663F542A"/>
    <w:rsid w:val="664C0DCF"/>
    <w:rsid w:val="66724724"/>
    <w:rsid w:val="66BB5299"/>
    <w:rsid w:val="66C8550E"/>
    <w:rsid w:val="66E35836"/>
    <w:rsid w:val="66FA4194"/>
    <w:rsid w:val="670747EC"/>
    <w:rsid w:val="67301B6F"/>
    <w:rsid w:val="67493059"/>
    <w:rsid w:val="675672BB"/>
    <w:rsid w:val="675D6959"/>
    <w:rsid w:val="678A77BE"/>
    <w:rsid w:val="67A14CCC"/>
    <w:rsid w:val="67B0630D"/>
    <w:rsid w:val="67C83087"/>
    <w:rsid w:val="67F37CEC"/>
    <w:rsid w:val="680F66F8"/>
    <w:rsid w:val="6816723B"/>
    <w:rsid w:val="6827226A"/>
    <w:rsid w:val="682C2940"/>
    <w:rsid w:val="683E75F2"/>
    <w:rsid w:val="68543939"/>
    <w:rsid w:val="6865718C"/>
    <w:rsid w:val="68680574"/>
    <w:rsid w:val="686B07B1"/>
    <w:rsid w:val="689602F4"/>
    <w:rsid w:val="690C66BC"/>
    <w:rsid w:val="69110FDA"/>
    <w:rsid w:val="692846B8"/>
    <w:rsid w:val="693076D3"/>
    <w:rsid w:val="695A6274"/>
    <w:rsid w:val="69663D9B"/>
    <w:rsid w:val="698F17E8"/>
    <w:rsid w:val="699A1E01"/>
    <w:rsid w:val="69A52777"/>
    <w:rsid w:val="69B56A40"/>
    <w:rsid w:val="69CA4BCF"/>
    <w:rsid w:val="69F14805"/>
    <w:rsid w:val="6A020F97"/>
    <w:rsid w:val="6A227444"/>
    <w:rsid w:val="6A3D1A13"/>
    <w:rsid w:val="6A4673F3"/>
    <w:rsid w:val="6A472C58"/>
    <w:rsid w:val="6A557ED4"/>
    <w:rsid w:val="6A57639F"/>
    <w:rsid w:val="6A8126CC"/>
    <w:rsid w:val="6A9E1986"/>
    <w:rsid w:val="6AA46897"/>
    <w:rsid w:val="6AAA3E5D"/>
    <w:rsid w:val="6AAA418C"/>
    <w:rsid w:val="6AAA7890"/>
    <w:rsid w:val="6AB170B9"/>
    <w:rsid w:val="6AD505F2"/>
    <w:rsid w:val="6B0D2E6C"/>
    <w:rsid w:val="6B152D8D"/>
    <w:rsid w:val="6B1E47C4"/>
    <w:rsid w:val="6B385F86"/>
    <w:rsid w:val="6B3B2D8F"/>
    <w:rsid w:val="6B3C1ADE"/>
    <w:rsid w:val="6B442E5D"/>
    <w:rsid w:val="6B55220A"/>
    <w:rsid w:val="6B600994"/>
    <w:rsid w:val="6B611003"/>
    <w:rsid w:val="6B6E6074"/>
    <w:rsid w:val="6B9337AD"/>
    <w:rsid w:val="6B9D5759"/>
    <w:rsid w:val="6BBE7F33"/>
    <w:rsid w:val="6BBF2471"/>
    <w:rsid w:val="6BC3620B"/>
    <w:rsid w:val="6BDF641B"/>
    <w:rsid w:val="6C465105"/>
    <w:rsid w:val="6C4B5BE2"/>
    <w:rsid w:val="6C61108B"/>
    <w:rsid w:val="6C6A7B7C"/>
    <w:rsid w:val="6C6B76E4"/>
    <w:rsid w:val="6C6C4836"/>
    <w:rsid w:val="6C9963D6"/>
    <w:rsid w:val="6CD30E22"/>
    <w:rsid w:val="6CE31E95"/>
    <w:rsid w:val="6CFA02EB"/>
    <w:rsid w:val="6D0A2DFE"/>
    <w:rsid w:val="6D146220"/>
    <w:rsid w:val="6D2D541D"/>
    <w:rsid w:val="6D3839A0"/>
    <w:rsid w:val="6D4B0D49"/>
    <w:rsid w:val="6D57750F"/>
    <w:rsid w:val="6D5E591E"/>
    <w:rsid w:val="6D6340C5"/>
    <w:rsid w:val="6D6D4857"/>
    <w:rsid w:val="6D8952C4"/>
    <w:rsid w:val="6D9466CD"/>
    <w:rsid w:val="6D9A2ED9"/>
    <w:rsid w:val="6DAC05E0"/>
    <w:rsid w:val="6DAF0687"/>
    <w:rsid w:val="6DC3749A"/>
    <w:rsid w:val="6DD06048"/>
    <w:rsid w:val="6DE32D68"/>
    <w:rsid w:val="6DE42F2A"/>
    <w:rsid w:val="6DE62102"/>
    <w:rsid w:val="6DF403D5"/>
    <w:rsid w:val="6DF52370"/>
    <w:rsid w:val="6E054ED2"/>
    <w:rsid w:val="6E094194"/>
    <w:rsid w:val="6E3B7F3D"/>
    <w:rsid w:val="6E3F24E3"/>
    <w:rsid w:val="6E446567"/>
    <w:rsid w:val="6E674D77"/>
    <w:rsid w:val="6E70561A"/>
    <w:rsid w:val="6E935534"/>
    <w:rsid w:val="6E9B3CBB"/>
    <w:rsid w:val="6EBB33FE"/>
    <w:rsid w:val="6ED00398"/>
    <w:rsid w:val="6ED23C2E"/>
    <w:rsid w:val="6EE07773"/>
    <w:rsid w:val="6EF675F4"/>
    <w:rsid w:val="6F205AE1"/>
    <w:rsid w:val="6F224A9A"/>
    <w:rsid w:val="6F2D2520"/>
    <w:rsid w:val="6F43582A"/>
    <w:rsid w:val="6F4E6A62"/>
    <w:rsid w:val="6F51727C"/>
    <w:rsid w:val="6F891938"/>
    <w:rsid w:val="6FD35B04"/>
    <w:rsid w:val="6FDE5BAB"/>
    <w:rsid w:val="6FF036DD"/>
    <w:rsid w:val="7001053D"/>
    <w:rsid w:val="703F56BE"/>
    <w:rsid w:val="70417F03"/>
    <w:rsid w:val="70461870"/>
    <w:rsid w:val="70574C0E"/>
    <w:rsid w:val="7066163C"/>
    <w:rsid w:val="7075449A"/>
    <w:rsid w:val="70957F22"/>
    <w:rsid w:val="70B910CE"/>
    <w:rsid w:val="70CA434A"/>
    <w:rsid w:val="70D464A7"/>
    <w:rsid w:val="70D727DD"/>
    <w:rsid w:val="70EF0410"/>
    <w:rsid w:val="70F62BCC"/>
    <w:rsid w:val="70FD368F"/>
    <w:rsid w:val="70FF136C"/>
    <w:rsid w:val="710010D9"/>
    <w:rsid w:val="71013CFA"/>
    <w:rsid w:val="711112DF"/>
    <w:rsid w:val="711F132C"/>
    <w:rsid w:val="716A1FBB"/>
    <w:rsid w:val="716E32F1"/>
    <w:rsid w:val="71902876"/>
    <w:rsid w:val="71910A05"/>
    <w:rsid w:val="71A1490B"/>
    <w:rsid w:val="71B80D70"/>
    <w:rsid w:val="71BF767B"/>
    <w:rsid w:val="71CE63D4"/>
    <w:rsid w:val="71E03E7D"/>
    <w:rsid w:val="71E12F48"/>
    <w:rsid w:val="71E44647"/>
    <w:rsid w:val="71F71906"/>
    <w:rsid w:val="721132C1"/>
    <w:rsid w:val="722A607A"/>
    <w:rsid w:val="72793549"/>
    <w:rsid w:val="729749D4"/>
    <w:rsid w:val="72A47EB6"/>
    <w:rsid w:val="72AE0C4A"/>
    <w:rsid w:val="72B375A2"/>
    <w:rsid w:val="72C0586E"/>
    <w:rsid w:val="72F8181C"/>
    <w:rsid w:val="72FE0D2A"/>
    <w:rsid w:val="73163B23"/>
    <w:rsid w:val="731B3260"/>
    <w:rsid w:val="7334225F"/>
    <w:rsid w:val="734D438E"/>
    <w:rsid w:val="734E4B79"/>
    <w:rsid w:val="735C2A7D"/>
    <w:rsid w:val="735F5E61"/>
    <w:rsid w:val="736F5EC2"/>
    <w:rsid w:val="737C5956"/>
    <w:rsid w:val="73AD02F2"/>
    <w:rsid w:val="73B10B9E"/>
    <w:rsid w:val="73C51173"/>
    <w:rsid w:val="73E349D9"/>
    <w:rsid w:val="73F36DD0"/>
    <w:rsid w:val="73FA0C14"/>
    <w:rsid w:val="73FB2A0A"/>
    <w:rsid w:val="73FD2A87"/>
    <w:rsid w:val="74105E85"/>
    <w:rsid w:val="74280B5A"/>
    <w:rsid w:val="742F5403"/>
    <w:rsid w:val="743E01B2"/>
    <w:rsid w:val="74492D05"/>
    <w:rsid w:val="745768E1"/>
    <w:rsid w:val="74611604"/>
    <w:rsid w:val="74616FA7"/>
    <w:rsid w:val="747606A0"/>
    <w:rsid w:val="747B74C6"/>
    <w:rsid w:val="74A93E82"/>
    <w:rsid w:val="74BF628F"/>
    <w:rsid w:val="74C7513B"/>
    <w:rsid w:val="74CF24EA"/>
    <w:rsid w:val="74DF64DD"/>
    <w:rsid w:val="74FC1E12"/>
    <w:rsid w:val="750114E0"/>
    <w:rsid w:val="75017DB1"/>
    <w:rsid w:val="751A6AA1"/>
    <w:rsid w:val="751B5142"/>
    <w:rsid w:val="753A2E76"/>
    <w:rsid w:val="75437EB4"/>
    <w:rsid w:val="75611536"/>
    <w:rsid w:val="75727319"/>
    <w:rsid w:val="757C338F"/>
    <w:rsid w:val="75906F35"/>
    <w:rsid w:val="75C40043"/>
    <w:rsid w:val="75C9473F"/>
    <w:rsid w:val="75DB58CF"/>
    <w:rsid w:val="75E7472C"/>
    <w:rsid w:val="75EA05F4"/>
    <w:rsid w:val="75EE0A32"/>
    <w:rsid w:val="75F61D4B"/>
    <w:rsid w:val="75FE2171"/>
    <w:rsid w:val="760714CE"/>
    <w:rsid w:val="760947E4"/>
    <w:rsid w:val="76290E42"/>
    <w:rsid w:val="763C49A2"/>
    <w:rsid w:val="76496042"/>
    <w:rsid w:val="764B4E40"/>
    <w:rsid w:val="767E0B77"/>
    <w:rsid w:val="768A4630"/>
    <w:rsid w:val="76913910"/>
    <w:rsid w:val="7692221F"/>
    <w:rsid w:val="76944F51"/>
    <w:rsid w:val="76976122"/>
    <w:rsid w:val="769B4F81"/>
    <w:rsid w:val="76A50F7A"/>
    <w:rsid w:val="76B64AD8"/>
    <w:rsid w:val="76E621C3"/>
    <w:rsid w:val="76F94B98"/>
    <w:rsid w:val="773311A3"/>
    <w:rsid w:val="77417882"/>
    <w:rsid w:val="77616036"/>
    <w:rsid w:val="7780233D"/>
    <w:rsid w:val="778E761C"/>
    <w:rsid w:val="77916499"/>
    <w:rsid w:val="77A96C0F"/>
    <w:rsid w:val="77AB3782"/>
    <w:rsid w:val="77C16D8A"/>
    <w:rsid w:val="77D53B7E"/>
    <w:rsid w:val="77D9675D"/>
    <w:rsid w:val="77E0692E"/>
    <w:rsid w:val="77F07BA5"/>
    <w:rsid w:val="78080864"/>
    <w:rsid w:val="781957FA"/>
    <w:rsid w:val="78276BEA"/>
    <w:rsid w:val="783A2BBF"/>
    <w:rsid w:val="78840773"/>
    <w:rsid w:val="788A5245"/>
    <w:rsid w:val="78990D40"/>
    <w:rsid w:val="78BD7CCE"/>
    <w:rsid w:val="78C01776"/>
    <w:rsid w:val="78C0654C"/>
    <w:rsid w:val="78C748FE"/>
    <w:rsid w:val="78D10B0D"/>
    <w:rsid w:val="78D17314"/>
    <w:rsid w:val="78D808F3"/>
    <w:rsid w:val="78E63BF6"/>
    <w:rsid w:val="78F61FAE"/>
    <w:rsid w:val="791B1828"/>
    <w:rsid w:val="792A6FFF"/>
    <w:rsid w:val="792E634E"/>
    <w:rsid w:val="79362295"/>
    <w:rsid w:val="79417098"/>
    <w:rsid w:val="7946391D"/>
    <w:rsid w:val="796524E7"/>
    <w:rsid w:val="79717EC3"/>
    <w:rsid w:val="79760722"/>
    <w:rsid w:val="79A15A0C"/>
    <w:rsid w:val="79A32C7B"/>
    <w:rsid w:val="79A81FAE"/>
    <w:rsid w:val="79AC0891"/>
    <w:rsid w:val="79AC45E0"/>
    <w:rsid w:val="79D336E1"/>
    <w:rsid w:val="79E456F3"/>
    <w:rsid w:val="79E97912"/>
    <w:rsid w:val="79FB0742"/>
    <w:rsid w:val="7A0213AE"/>
    <w:rsid w:val="7A0B0004"/>
    <w:rsid w:val="7A172839"/>
    <w:rsid w:val="7A306A90"/>
    <w:rsid w:val="7A354A57"/>
    <w:rsid w:val="7A861E03"/>
    <w:rsid w:val="7A8F26A7"/>
    <w:rsid w:val="7A925C99"/>
    <w:rsid w:val="7A9861A1"/>
    <w:rsid w:val="7A9961D7"/>
    <w:rsid w:val="7A9C34D6"/>
    <w:rsid w:val="7AAC76B9"/>
    <w:rsid w:val="7ABF51CD"/>
    <w:rsid w:val="7B0D2F9A"/>
    <w:rsid w:val="7B264856"/>
    <w:rsid w:val="7B3B125D"/>
    <w:rsid w:val="7B3F013E"/>
    <w:rsid w:val="7B43183F"/>
    <w:rsid w:val="7B590B76"/>
    <w:rsid w:val="7B6139F0"/>
    <w:rsid w:val="7B692624"/>
    <w:rsid w:val="7B873792"/>
    <w:rsid w:val="7B877386"/>
    <w:rsid w:val="7B8A48F9"/>
    <w:rsid w:val="7BB14D15"/>
    <w:rsid w:val="7BB15E62"/>
    <w:rsid w:val="7BD701FC"/>
    <w:rsid w:val="7BD9713D"/>
    <w:rsid w:val="7BFB2649"/>
    <w:rsid w:val="7C02600A"/>
    <w:rsid w:val="7C0A4B17"/>
    <w:rsid w:val="7C153412"/>
    <w:rsid w:val="7C195509"/>
    <w:rsid w:val="7C400E30"/>
    <w:rsid w:val="7C46642B"/>
    <w:rsid w:val="7C8860C7"/>
    <w:rsid w:val="7CBB4466"/>
    <w:rsid w:val="7D2A2F5A"/>
    <w:rsid w:val="7D3F16EC"/>
    <w:rsid w:val="7D534451"/>
    <w:rsid w:val="7D5C74DE"/>
    <w:rsid w:val="7D5E31AA"/>
    <w:rsid w:val="7D611DF2"/>
    <w:rsid w:val="7D7C35F3"/>
    <w:rsid w:val="7D8B55FE"/>
    <w:rsid w:val="7D8D4931"/>
    <w:rsid w:val="7DB727FB"/>
    <w:rsid w:val="7DC3440A"/>
    <w:rsid w:val="7DDA027D"/>
    <w:rsid w:val="7DE201AC"/>
    <w:rsid w:val="7DE5401E"/>
    <w:rsid w:val="7DF72A15"/>
    <w:rsid w:val="7DFB48D3"/>
    <w:rsid w:val="7E0702D8"/>
    <w:rsid w:val="7E105DE6"/>
    <w:rsid w:val="7E1A1248"/>
    <w:rsid w:val="7E312E27"/>
    <w:rsid w:val="7E611873"/>
    <w:rsid w:val="7E83663A"/>
    <w:rsid w:val="7E846634"/>
    <w:rsid w:val="7E883BEF"/>
    <w:rsid w:val="7E8C022C"/>
    <w:rsid w:val="7EA5742C"/>
    <w:rsid w:val="7EB31AB8"/>
    <w:rsid w:val="7EB96119"/>
    <w:rsid w:val="7EBB77C0"/>
    <w:rsid w:val="7EBC71FA"/>
    <w:rsid w:val="7EEE218F"/>
    <w:rsid w:val="7EEE6B7F"/>
    <w:rsid w:val="7EF4144E"/>
    <w:rsid w:val="7EF7261F"/>
    <w:rsid w:val="7F3A7824"/>
    <w:rsid w:val="7F4360B6"/>
    <w:rsid w:val="7F4D7148"/>
    <w:rsid w:val="7F4E4463"/>
    <w:rsid w:val="7F577569"/>
    <w:rsid w:val="7F627193"/>
    <w:rsid w:val="7FBC7702"/>
    <w:rsid w:val="7FDC6B6B"/>
    <w:rsid w:val="7FE6263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9"/>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9"/>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9"/>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customStyle="1" w:styleId="9">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2520" w:leftChars="1200"/>
    </w:pPr>
  </w:style>
  <w:style w:type="paragraph" w:styleId="14">
    <w:name w:val="Normal Indent"/>
    <w:basedOn w:val="1"/>
    <w:qFormat/>
    <w:uiPriority w:val="99"/>
    <w:pPr>
      <w:ind w:firstLine="420" w:firstLineChars="200"/>
    </w:p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69"/>
    <w:qFormat/>
    <w:uiPriority w:val="99"/>
    <w:pPr>
      <w:shd w:val="clear" w:color="auto" w:fill="000080"/>
    </w:pPr>
    <w:rPr>
      <w:kern w:val="0"/>
      <w:sz w:val="2"/>
      <w:szCs w:val="20"/>
    </w:rPr>
  </w:style>
  <w:style w:type="paragraph" w:styleId="17">
    <w:name w:val="annotation text"/>
    <w:basedOn w:val="1"/>
    <w:link w:val="67"/>
    <w:semiHidden/>
    <w:qFormat/>
    <w:uiPriority w:val="99"/>
    <w:pPr>
      <w:jc w:val="left"/>
    </w:pPr>
    <w:rPr>
      <w:kern w:val="0"/>
      <w:sz w:val="24"/>
      <w:szCs w:val="20"/>
    </w:rPr>
  </w:style>
  <w:style w:type="paragraph" w:styleId="18">
    <w:name w:val="Body Text 3"/>
    <w:basedOn w:val="1"/>
    <w:link w:val="70"/>
    <w:qFormat/>
    <w:uiPriority w:val="99"/>
    <w:rPr>
      <w:kern w:val="0"/>
      <w:sz w:val="16"/>
      <w:szCs w:val="20"/>
    </w:rPr>
  </w:style>
  <w:style w:type="paragraph" w:styleId="19">
    <w:name w:val="Body Text"/>
    <w:basedOn w:val="1"/>
    <w:link w:val="71"/>
    <w:qFormat/>
    <w:uiPriority w:val="99"/>
    <w:rPr>
      <w:sz w:val="24"/>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7"/>
    <w:next w:val="17"/>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2">
    <w:name w:val="Strong"/>
    <w:qFormat/>
    <w:uiPriority w:val="99"/>
    <w:rPr>
      <w:rFonts w:cs="Times New Roman"/>
      <w:b/>
    </w:rPr>
  </w:style>
  <w:style w:type="character" w:styleId="53">
    <w:name w:val="page number"/>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字符"/>
    <w:link w:val="2"/>
    <w:qFormat/>
    <w:locked/>
    <w:uiPriority w:val="99"/>
    <w:rPr>
      <w:rFonts w:eastAsia="宋体" w:cs="Times New Roman"/>
      <w:b/>
      <w:kern w:val="44"/>
      <w:sz w:val="44"/>
      <w:lang w:val="en-US" w:eastAsia="zh-CN"/>
    </w:rPr>
  </w:style>
  <w:style w:type="character" w:customStyle="1" w:styleId="59">
    <w:name w:val="标题 2 字符"/>
    <w:link w:val="3"/>
    <w:qFormat/>
    <w:locked/>
    <w:uiPriority w:val="99"/>
    <w:rPr>
      <w:rFonts w:ascii="Cambria" w:hAnsi="Cambria" w:eastAsia="宋体" w:cs="Times New Roman"/>
      <w:b/>
      <w:sz w:val="32"/>
    </w:rPr>
  </w:style>
  <w:style w:type="character" w:customStyle="1" w:styleId="60">
    <w:name w:val="标题 3 字符"/>
    <w:link w:val="4"/>
    <w:qFormat/>
    <w:locked/>
    <w:uiPriority w:val="99"/>
    <w:rPr>
      <w:rFonts w:cs="Times New Roman"/>
      <w:b/>
      <w:sz w:val="32"/>
    </w:rPr>
  </w:style>
  <w:style w:type="character" w:customStyle="1" w:styleId="61">
    <w:name w:val="标题 4 字符"/>
    <w:link w:val="5"/>
    <w:qFormat/>
    <w:locked/>
    <w:uiPriority w:val="99"/>
    <w:rPr>
      <w:rFonts w:ascii="Cambria" w:hAnsi="Cambria" w:eastAsia="宋体" w:cs="Times New Roman"/>
      <w:b/>
      <w:sz w:val="28"/>
    </w:rPr>
  </w:style>
  <w:style w:type="character" w:customStyle="1" w:styleId="62">
    <w:name w:val="标题 5 字符"/>
    <w:link w:val="6"/>
    <w:qFormat/>
    <w:locked/>
    <w:uiPriority w:val="99"/>
    <w:rPr>
      <w:rFonts w:cs="Times New Roman"/>
      <w:b/>
      <w:sz w:val="28"/>
    </w:rPr>
  </w:style>
  <w:style w:type="character" w:customStyle="1" w:styleId="63">
    <w:name w:val="标题 6 字符"/>
    <w:link w:val="7"/>
    <w:qFormat/>
    <w:locked/>
    <w:uiPriority w:val="99"/>
    <w:rPr>
      <w:rFonts w:ascii="Cambria" w:hAnsi="Cambria" w:eastAsia="宋体" w:cs="Times New Roman"/>
      <w:b/>
      <w:sz w:val="24"/>
    </w:rPr>
  </w:style>
  <w:style w:type="character" w:customStyle="1" w:styleId="64">
    <w:name w:val="标题 7 字符"/>
    <w:link w:val="8"/>
    <w:qFormat/>
    <w:locked/>
    <w:uiPriority w:val="99"/>
    <w:rPr>
      <w:rFonts w:cs="Times New Roman"/>
      <w:b/>
      <w:sz w:val="24"/>
    </w:rPr>
  </w:style>
  <w:style w:type="character" w:customStyle="1" w:styleId="65">
    <w:name w:val="标题 8 字符"/>
    <w:link w:val="10"/>
    <w:qFormat/>
    <w:locked/>
    <w:uiPriority w:val="99"/>
    <w:rPr>
      <w:rFonts w:ascii="Cambria" w:hAnsi="Cambria" w:eastAsia="宋体" w:cs="Times New Roman"/>
      <w:sz w:val="24"/>
    </w:rPr>
  </w:style>
  <w:style w:type="character" w:customStyle="1" w:styleId="66">
    <w:name w:val="标题 9 字符"/>
    <w:link w:val="11"/>
    <w:qFormat/>
    <w:locked/>
    <w:uiPriority w:val="99"/>
    <w:rPr>
      <w:rFonts w:ascii="Cambria" w:hAnsi="Cambria" w:eastAsia="宋体" w:cs="Times New Roman"/>
      <w:sz w:val="21"/>
    </w:rPr>
  </w:style>
  <w:style w:type="character" w:customStyle="1" w:styleId="67">
    <w:name w:val="批注文字 字符"/>
    <w:link w:val="17"/>
    <w:qFormat/>
    <w:locked/>
    <w:uiPriority w:val="99"/>
    <w:rPr>
      <w:rFonts w:cs="Times New Roman"/>
      <w:sz w:val="24"/>
    </w:rPr>
  </w:style>
  <w:style w:type="character" w:customStyle="1" w:styleId="68">
    <w:name w:val="批注主题 字符"/>
    <w:link w:val="48"/>
    <w:qFormat/>
    <w:locked/>
    <w:uiPriority w:val="99"/>
    <w:rPr>
      <w:rFonts w:cs="Times New Roman"/>
      <w:b/>
      <w:sz w:val="24"/>
    </w:rPr>
  </w:style>
  <w:style w:type="character" w:customStyle="1" w:styleId="69">
    <w:name w:val="文档结构图 字符"/>
    <w:link w:val="16"/>
    <w:qFormat/>
    <w:locked/>
    <w:uiPriority w:val="99"/>
    <w:rPr>
      <w:rFonts w:cs="Times New Roman"/>
      <w:sz w:val="2"/>
    </w:rPr>
  </w:style>
  <w:style w:type="character" w:customStyle="1" w:styleId="70">
    <w:name w:val="正文文本 3 字符"/>
    <w:link w:val="18"/>
    <w:qFormat/>
    <w:locked/>
    <w:uiPriority w:val="99"/>
    <w:rPr>
      <w:rFonts w:cs="Times New Roman"/>
      <w:sz w:val="16"/>
    </w:rPr>
  </w:style>
  <w:style w:type="character" w:customStyle="1" w:styleId="71">
    <w:name w:val="正文文本 字符"/>
    <w:link w:val="19"/>
    <w:qFormat/>
    <w:locked/>
    <w:uiPriority w:val="99"/>
    <w:rPr>
      <w:rFonts w:eastAsia="宋体" w:cs="Times New Roman"/>
      <w:kern w:val="2"/>
      <w:sz w:val="24"/>
      <w:lang w:val="en-US" w:eastAsia="zh-CN"/>
    </w:rPr>
  </w:style>
  <w:style w:type="character" w:customStyle="1" w:styleId="72">
    <w:name w:val="正文文本缩进 字符"/>
    <w:link w:val="20"/>
    <w:qFormat/>
    <w:locked/>
    <w:uiPriority w:val="99"/>
    <w:rPr>
      <w:rFonts w:cs="Times New Roman"/>
      <w:sz w:val="24"/>
    </w:rPr>
  </w:style>
  <w:style w:type="character" w:customStyle="1" w:styleId="73">
    <w:name w:val="HTML 地址 字符"/>
    <w:link w:val="23"/>
    <w:qFormat/>
    <w:locked/>
    <w:uiPriority w:val="99"/>
    <w:rPr>
      <w:rFonts w:cs="Times New Roman"/>
      <w:i/>
      <w:sz w:val="24"/>
    </w:rPr>
  </w:style>
  <w:style w:type="character" w:customStyle="1" w:styleId="74">
    <w:name w:val="纯文本 字符"/>
    <w:link w:val="26"/>
    <w:qFormat/>
    <w:locked/>
    <w:uiPriority w:val="99"/>
    <w:rPr>
      <w:rFonts w:ascii="宋体" w:hAnsi="Courier New" w:eastAsia="宋体" w:cs="Times New Roman"/>
      <w:kern w:val="2"/>
      <w:sz w:val="21"/>
      <w:lang w:val="en-US" w:eastAsia="zh-CN"/>
    </w:rPr>
  </w:style>
  <w:style w:type="character" w:customStyle="1" w:styleId="75">
    <w:name w:val="日期 字符"/>
    <w:link w:val="28"/>
    <w:qFormat/>
    <w:locked/>
    <w:uiPriority w:val="99"/>
    <w:rPr>
      <w:rFonts w:cs="Times New Roman"/>
      <w:sz w:val="24"/>
    </w:rPr>
  </w:style>
  <w:style w:type="character" w:customStyle="1" w:styleId="76">
    <w:name w:val="正文文本缩进 2 字符"/>
    <w:link w:val="29"/>
    <w:qFormat/>
    <w:locked/>
    <w:uiPriority w:val="99"/>
    <w:rPr>
      <w:rFonts w:cs="Times New Roman"/>
      <w:sz w:val="24"/>
    </w:rPr>
  </w:style>
  <w:style w:type="character" w:customStyle="1" w:styleId="77">
    <w:name w:val="批注框文本 字符"/>
    <w:link w:val="30"/>
    <w:qFormat/>
    <w:locked/>
    <w:uiPriority w:val="99"/>
    <w:rPr>
      <w:rFonts w:cs="Times New Roman"/>
      <w:sz w:val="2"/>
    </w:rPr>
  </w:style>
  <w:style w:type="character" w:customStyle="1" w:styleId="78">
    <w:name w:val="页脚 字符"/>
    <w:link w:val="31"/>
    <w:qFormat/>
    <w:locked/>
    <w:uiPriority w:val="99"/>
    <w:rPr>
      <w:rFonts w:eastAsia="宋体" w:cs="Times New Roman"/>
      <w:kern w:val="2"/>
      <w:sz w:val="18"/>
      <w:lang w:val="en-US" w:eastAsia="zh-CN"/>
    </w:rPr>
  </w:style>
  <w:style w:type="character" w:customStyle="1" w:styleId="79">
    <w:name w:val="页眉 字符"/>
    <w:link w:val="32"/>
    <w:qFormat/>
    <w:locked/>
    <w:uiPriority w:val="99"/>
    <w:rPr>
      <w:rFonts w:eastAsia="宋体" w:cs="Times New Roman"/>
      <w:kern w:val="2"/>
      <w:sz w:val="18"/>
      <w:lang w:val="en-US" w:eastAsia="zh-CN"/>
    </w:rPr>
  </w:style>
  <w:style w:type="character" w:customStyle="1" w:styleId="80">
    <w:name w:val="签名 字符"/>
    <w:link w:val="33"/>
    <w:qFormat/>
    <w:locked/>
    <w:uiPriority w:val="99"/>
    <w:rPr>
      <w:rFonts w:cs="Times New Roman"/>
      <w:sz w:val="24"/>
    </w:rPr>
  </w:style>
  <w:style w:type="character" w:customStyle="1" w:styleId="81">
    <w:name w:val="正文文本缩进 3 字符"/>
    <w:link w:val="40"/>
    <w:qFormat/>
    <w:locked/>
    <w:uiPriority w:val="99"/>
    <w:rPr>
      <w:rFonts w:cs="Times New Roman"/>
      <w:sz w:val="16"/>
    </w:rPr>
  </w:style>
  <w:style w:type="character" w:customStyle="1" w:styleId="82">
    <w:name w:val="正文文本 2 字符"/>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6"/>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6"/>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6"/>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9"/>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List Paragraph"/>
    <w:basedOn w:val="1"/>
    <w:qFormat/>
    <w:uiPriority w:val="34"/>
    <w:pPr>
      <w:ind w:firstLine="420" w:firstLineChars="200"/>
    </w:pPr>
  </w:style>
  <w:style w:type="paragraph" w:customStyle="1" w:styleId="131">
    <w:name w:val="_Style 2"/>
    <w:basedOn w:val="1"/>
    <w:qFormat/>
    <w:uiPriority w:val="34"/>
    <w:pPr>
      <w:ind w:firstLine="420" w:firstLineChars="200"/>
    </w:pPr>
  </w:style>
  <w:style w:type="paragraph" w:customStyle="1" w:styleId="132">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TotalTime>2</TotalTime>
  <ScaleCrop>false</ScaleCrop>
  <LinksUpToDate>false</LinksUpToDate>
  <CharactersWithSpaces>31608</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MistY123</cp:lastModifiedBy>
  <cp:lastPrinted>2019-08-30T06:51:00Z</cp:lastPrinted>
  <dcterms:modified xsi:type="dcterms:W3CDTF">2019-10-09T03:59:41Z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