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drawing>
          <wp:inline distT="0" distB="0" distL="114300" distR="114300">
            <wp:extent cx="1114425" cy="438150"/>
            <wp:effectExtent l="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1114425" cy="438150"/>
                    </a:xfrm>
                    <a:prstGeom prst="rect">
                      <a:avLst/>
                    </a:prstGeom>
                    <a:noFill/>
                    <a:ln>
                      <a:noFill/>
                    </a:ln>
                  </pic:spPr>
                </pic:pic>
              </a:graphicData>
            </a:graphic>
          </wp:inline>
        </w:drawing>
      </w: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eastAsia="华文中宋"/>
          <w:b/>
          <w:sz w:val="72"/>
          <w:szCs w:val="32"/>
          <w:highlight w:val="none"/>
          <w:lang w:eastAsia="zh-CN"/>
        </w:rPr>
      </w:pPr>
      <w:r>
        <w:rPr>
          <w:rFonts w:hint="eastAsia" w:ascii="宋体" w:hAnsi="宋体" w:eastAsia="华文中宋"/>
          <w:b/>
          <w:sz w:val="44"/>
          <w:szCs w:val="36"/>
          <w:highlight w:val="none"/>
          <w:lang w:eastAsia="zh-CN"/>
        </w:rPr>
        <w:t>山东大学第二医院实验类设备采购项目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hint="eastAsia" w:ascii="宋体" w:hAnsi="宋体"/>
          <w:b/>
          <w:sz w:val="32"/>
          <w:highlight w:val="none"/>
          <w:lang w:val="en-US" w:eastAsia="zh-CN"/>
        </w:rPr>
        <w:t>：</w:t>
      </w:r>
      <w:r>
        <w:rPr>
          <w:rFonts w:hint="eastAsia" w:ascii="宋体" w:hAnsi="宋体"/>
          <w:b/>
          <w:sz w:val="32"/>
          <w:highlight w:val="none"/>
          <w:lang w:eastAsia="zh-CN"/>
        </w:rPr>
        <w:t>0676-196010ZB018045</w:t>
      </w:r>
    </w:p>
    <w:p>
      <w:pPr>
        <w:spacing w:line="480" w:lineRule="auto"/>
        <w:rPr>
          <w:rFonts w:hint="eastAsia" w:ascii="宋体" w:hAnsi="宋体" w:cs="Times New Roman"/>
          <w:b/>
          <w:sz w:val="32"/>
          <w:highlight w:val="none"/>
          <w:lang w:val="en-US" w:eastAsia="zh-CN"/>
        </w:rPr>
      </w:pPr>
      <w:r>
        <w:rPr>
          <w:rFonts w:hint="eastAsia" w:ascii="宋体" w:hAnsi="宋体"/>
          <w:b/>
          <w:sz w:val="32"/>
          <w:highlight w:val="none"/>
          <w:lang w:val="en-US" w:eastAsia="zh-CN"/>
        </w:rPr>
        <w:t xml:space="preserve">          招标内容：实验类设备采购</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十</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headerReference r:id="rId3"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29</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4</w:t>
      </w:r>
      <w:r>
        <w:rPr>
          <w:sz w:val="24"/>
          <w:szCs w:val="22"/>
          <w:highlight w:val="none"/>
        </w:rPr>
        <w:fldChar w:fldCharType="end"/>
      </w:r>
      <w:r>
        <w:rPr>
          <w:rFonts w:hint="eastAsia"/>
          <w:sz w:val="24"/>
          <w:szCs w:val="22"/>
          <w:highlight w:val="none"/>
          <w:lang w:val="en-US" w:eastAsia="zh-CN"/>
        </w:rPr>
        <w:t>4</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52</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both"/>
        <w:rPr>
          <w:rFonts w:asci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040"/>
      <w:r>
        <w:rPr>
          <w:rFonts w:hint="eastAsia" w:ascii="宋体" w:hAnsi="宋体"/>
          <w:b/>
          <w:sz w:val="36"/>
          <w:highlight w:val="none"/>
        </w:rPr>
        <w:br w:type="page"/>
      </w:r>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20"/>
        <w:tabs>
          <w:tab w:val="left" w:pos="0"/>
        </w:tabs>
        <w:spacing w:line="440" w:lineRule="exact"/>
        <w:ind w:left="0" w:leftChars="0" w:firstLine="0" w:firstLineChars="0"/>
        <w:jc w:val="center"/>
        <w:outlineLvl w:val="0"/>
        <w:rPr>
          <w:rFonts w:hint="eastAsia" w:ascii="宋体" w:hAns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r>
        <w:rPr>
          <w:rFonts w:hint="eastAsia" w:ascii="宋体" w:hAnsi="宋体"/>
          <w:b/>
          <w:color w:val="000000"/>
          <w:sz w:val="30"/>
          <w:szCs w:val="30"/>
          <w:highlight w:val="none"/>
          <w:lang w:eastAsia="zh-CN"/>
        </w:rPr>
        <w:t>山东大学第二医院实验类设备采购项目</w:t>
      </w:r>
      <w:r>
        <w:rPr>
          <w:rFonts w:hint="eastAsia" w:ascii="宋体" w:hAnsi="宋体"/>
          <w:b/>
          <w:color w:val="000000"/>
          <w:sz w:val="30"/>
          <w:szCs w:val="30"/>
          <w:highlight w:val="none"/>
        </w:rPr>
        <w:t>招标公告</w:t>
      </w:r>
    </w:p>
    <w:p>
      <w:pPr>
        <w:pStyle w:val="20"/>
        <w:tabs>
          <w:tab w:val="left" w:pos="0"/>
        </w:tabs>
        <w:spacing w:line="440" w:lineRule="exact"/>
        <w:ind w:left="0" w:leftChars="0" w:firstLine="0" w:firstLineChars="0"/>
        <w:jc w:val="both"/>
        <w:outlineLvl w:val="0"/>
        <w:rPr>
          <w:rFonts w:hint="eastAsia" w:ascii="宋体" w:hAnsi="宋体"/>
          <w:b/>
          <w:color w:val="000000"/>
          <w:sz w:val="30"/>
          <w:szCs w:val="30"/>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keepNext w:val="0"/>
        <w:keepLines w:val="0"/>
        <w:pageBreakBefore w:val="0"/>
        <w:kinsoku/>
        <w:wordWrap/>
        <w:overflowPunct/>
        <w:topLinePunct w:val="0"/>
        <w:autoSpaceDE/>
        <w:bidi w:val="0"/>
        <w:adjustRightInd w:val="0"/>
        <w:snapToGrid w:val="0"/>
        <w:spacing w:line="360" w:lineRule="auto"/>
        <w:rPr>
          <w:rFonts w:hint="eastAsia" w:ascii="宋体" w:eastAsia="宋体" w:cs="宋体"/>
          <w:sz w:val="24"/>
          <w:highlight w:val="none"/>
          <w:lang w:eastAsia="zh-CN"/>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lang w:eastAsia="zh-CN"/>
        </w:rPr>
        <w:t>山东大学第二医院实验类设备采购项目</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0676-196010ZB018045</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w:t>
      </w:r>
      <w:r>
        <w:rPr>
          <w:rFonts w:hint="eastAsia" w:ascii="宋体" w:hAnsi="宋体" w:cs="宋体"/>
          <w:sz w:val="24"/>
          <w:highlight w:val="none"/>
          <w:lang w:eastAsia="zh-CN"/>
        </w:rPr>
        <w:t>山东大学第二医院实验类设备采购项目</w:t>
      </w:r>
      <w:r>
        <w:rPr>
          <w:rFonts w:hint="eastAsia" w:ascii="宋体" w:hAnsi="宋体" w:cs="宋体"/>
          <w:sz w:val="24"/>
          <w:highlight w:val="none"/>
        </w:rPr>
        <w:t>，具体技术要求详见招标文件，共分</w:t>
      </w:r>
      <w:r>
        <w:rPr>
          <w:rFonts w:hint="eastAsia" w:ascii="宋体" w:hAnsi="宋体" w:cs="宋体"/>
          <w:sz w:val="24"/>
          <w:highlight w:val="none"/>
          <w:lang w:val="en-US" w:eastAsia="zh-CN"/>
        </w:rPr>
        <w:t>1</w:t>
      </w:r>
      <w:r>
        <w:rPr>
          <w:rFonts w:hint="eastAsia" w:ascii="宋体" w:hAnsi="宋体" w:cs="宋体"/>
          <w:sz w:val="24"/>
          <w:highlight w:val="none"/>
        </w:rPr>
        <w:t>个包，分包情况如下：</w:t>
      </w:r>
    </w:p>
    <w:tbl>
      <w:tblPr>
        <w:tblStyle w:val="49"/>
        <w:tblW w:w="9525" w:type="dxa"/>
        <w:jc w:val="center"/>
        <w:tblInd w:w="1244" w:type="dxa"/>
        <w:tblLayout w:type="fixed"/>
        <w:tblCellMar>
          <w:top w:w="0" w:type="dxa"/>
          <w:left w:w="15" w:type="dxa"/>
          <w:bottom w:w="0" w:type="dxa"/>
          <w:right w:w="15" w:type="dxa"/>
        </w:tblCellMar>
      </w:tblPr>
      <w:tblGrid>
        <w:gridCol w:w="1739"/>
        <w:gridCol w:w="1983"/>
        <w:gridCol w:w="1102"/>
        <w:gridCol w:w="1430"/>
        <w:gridCol w:w="1650"/>
        <w:gridCol w:w="1621"/>
      </w:tblGrid>
      <w:tr>
        <w:tblPrEx>
          <w:tblLayout w:type="fixed"/>
          <w:tblCellMar>
            <w:top w:w="0" w:type="dxa"/>
            <w:left w:w="15" w:type="dxa"/>
            <w:bottom w:w="0" w:type="dxa"/>
            <w:right w:w="15" w:type="dxa"/>
          </w:tblCellMar>
        </w:tblPrEx>
        <w:trPr>
          <w:trHeight w:val="624" w:hRule="atLeast"/>
          <w:jc w:val="center"/>
        </w:trPr>
        <w:tc>
          <w:tcPr>
            <w:tcW w:w="17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使用科室</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rPr>
              <w:t>数量</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c>
          <w:tcPr>
            <w:tcW w:w="1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是否可采进口</w:t>
            </w:r>
          </w:p>
        </w:tc>
      </w:tr>
      <w:tr>
        <w:tblPrEx>
          <w:tblLayout w:type="fixed"/>
          <w:tblCellMar>
            <w:top w:w="0" w:type="dxa"/>
            <w:left w:w="15" w:type="dxa"/>
            <w:bottom w:w="0" w:type="dxa"/>
            <w:right w:w="15" w:type="dxa"/>
          </w:tblCellMar>
        </w:tblPrEx>
        <w:trPr>
          <w:trHeight w:val="679" w:hRule="atLeast"/>
          <w:jc w:val="center"/>
        </w:trPr>
        <w:tc>
          <w:tcPr>
            <w:tcW w:w="17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Times New Roman" w:cs="Times New Roman"/>
                <w:color w:val="000000"/>
                <w:sz w:val="24"/>
                <w:highlight w:val="none"/>
                <w:lang w:val="en-US" w:eastAsia="zh-CN"/>
              </w:rPr>
            </w:pPr>
            <w:r>
              <w:rPr>
                <w:rFonts w:hint="eastAsia" w:ascii="宋体" w:cs="Times New Roman"/>
                <w:color w:val="000000"/>
                <w:sz w:val="24"/>
                <w:highlight w:val="none"/>
                <w:lang w:val="en-US" w:eastAsia="zh-CN"/>
              </w:rPr>
              <w:t>实验类设备</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宋体" w:cs="Times New Roman"/>
                <w:color w:val="000000"/>
                <w:sz w:val="24"/>
                <w:highlight w:val="none"/>
                <w:lang w:eastAsia="zh-CN"/>
              </w:rPr>
            </w:pPr>
            <w:r>
              <w:rPr>
                <w:rFonts w:hint="eastAsia" w:ascii="宋体" w:cs="Times New Roman"/>
                <w:color w:val="000000"/>
                <w:sz w:val="24"/>
                <w:highlight w:val="none"/>
                <w:lang w:eastAsia="zh-CN"/>
              </w:rPr>
              <w:t>基础医学研究所/检验医学中心</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cs="Times New Roman"/>
                <w:color w:val="000000"/>
                <w:sz w:val="24"/>
                <w:highlight w:val="none"/>
                <w:lang w:val="en-US" w:eastAsia="zh-CN"/>
              </w:rPr>
            </w:pPr>
            <w:r>
              <w:rPr>
                <w:rFonts w:hint="eastAsia" w:ascii="宋体" w:cs="Times New Roman"/>
                <w:color w:val="000000"/>
                <w:sz w:val="24"/>
                <w:highlight w:val="none"/>
                <w:lang w:val="en-US" w:eastAsia="zh-CN"/>
              </w:rPr>
              <w:t>1批</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150</w:t>
            </w:r>
            <w:r>
              <w:rPr>
                <w:rFonts w:hint="eastAsia" w:ascii="宋体" w:cs="宋体"/>
                <w:color w:val="000000"/>
                <w:kern w:val="0"/>
                <w:sz w:val="24"/>
                <w:highlight w:val="none"/>
                <w:lang w:val="en-US" w:eastAsia="zh-CN"/>
              </w:rPr>
              <w:t>万元</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lang w:eastAsia="zh-CN"/>
              </w:rPr>
            </w:pPr>
            <w:r>
              <w:rPr>
                <w:rFonts w:hint="eastAsia" w:ascii="宋体" w:hAnsi="宋体"/>
                <w:color w:val="000000"/>
                <w:sz w:val="24"/>
                <w:highlight w:val="none"/>
                <w:lang w:eastAsia="zh-CN"/>
              </w:rPr>
              <w:t>部分设备可采进口，详见招标要求</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.2</w:t>
      </w:r>
      <w:r>
        <w:rPr>
          <w:rFonts w:hint="eastAsia" w:ascii="宋体" w:hAnsi="宋体"/>
          <w:color w:val="000000"/>
          <w:sz w:val="24"/>
          <w:highlight w:val="none"/>
        </w:rPr>
        <w:t>投标人须是在中国境内注册具有独立法人资格的法人单位，营业执照经营范围包含本次采购内容；</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color w:val="000000"/>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.3</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hint="eastAsia" w:ascii="宋体" w:hAnsi="宋体" w:eastAsia="宋体" w:cs="宋体"/>
          <w:sz w:val="24"/>
          <w:highlight w:val="none"/>
          <w:lang w:val="en-US" w:eastAsia="zh-CN"/>
        </w:rPr>
        <w:t xml:space="preserve"> 6.4</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Tahoma"/>
          <w:color w:val="393939"/>
          <w:sz w:val="24"/>
          <w:highlight w:val="none"/>
          <w:shd w:val="clear" w:color="auto" w:fill="FFFFFF"/>
        </w:rPr>
      </w:pPr>
      <w:r>
        <w:rPr>
          <w:rFonts w:ascii="宋体" w:hAnsi="宋体"/>
          <w:color w:val="000000"/>
          <w:sz w:val="24"/>
          <w:highlight w:val="none"/>
        </w:rPr>
        <w:t xml:space="preserve"> </w:t>
      </w:r>
      <w:r>
        <w:rPr>
          <w:rFonts w:hint="eastAsia" w:ascii="宋体" w:hAnsi="宋体"/>
          <w:color w:val="000000"/>
          <w:sz w:val="24"/>
          <w:highlight w:val="none"/>
          <w:lang w:val="en-US" w:eastAsia="zh-CN"/>
        </w:rPr>
        <w:t>6.7</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10</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16</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10</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23</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w:t>
      </w:r>
      <w:bookmarkStart w:id="224" w:name="_GoBack"/>
      <w:r>
        <w:rPr>
          <w:rFonts w:hint="eastAsia" w:ascii="宋体" w:hAnsi="宋体"/>
          <w:sz w:val="24"/>
          <w:highlight w:val="none"/>
        </w:rPr>
        <w:t>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w:t>
      </w:r>
      <w:bookmarkEnd w:id="224"/>
      <w:r>
        <w:rPr>
          <w:rFonts w:hint="eastAsia" w:ascii="宋体" w:hAnsi="宋体"/>
          <w:color w:val="000000"/>
          <w:sz w:val="24"/>
          <w:highlight w:val="none"/>
        </w:rPr>
        <w:t>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近两年财务状况（包含资产负债表、利润表）；</w:t>
      </w:r>
      <w:r>
        <w:rPr>
          <w:rFonts w:hint="eastAsia" w:ascii="宋体"/>
          <w:color w:val="000000"/>
          <w:sz w:val="24"/>
          <w:highlight w:val="none"/>
          <w:lang w:eastAsia="zh-CN"/>
        </w:rPr>
        <w:t>（</w:t>
      </w:r>
      <w:r>
        <w:rPr>
          <w:rFonts w:hint="eastAsia" w:ascii="宋体"/>
          <w:color w:val="000000"/>
          <w:sz w:val="24"/>
          <w:highlight w:val="none"/>
          <w:lang w:val="en-US" w:eastAsia="zh-CN"/>
        </w:rPr>
        <w:t>5</w:t>
      </w:r>
      <w:r>
        <w:rPr>
          <w:rFonts w:hint="eastAsia" w:ascii="宋体"/>
          <w:color w:val="000000"/>
          <w:sz w:val="24"/>
          <w:highlight w:val="none"/>
          <w:lang w:eastAsia="zh-CN"/>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lang w:eastAsia="zh-CN"/>
        </w:rPr>
        <w:t>（</w:t>
      </w:r>
      <w:r>
        <w:rPr>
          <w:rFonts w:hint="eastAsia" w:ascii="宋体"/>
          <w:color w:val="000000"/>
          <w:sz w:val="24"/>
          <w:highlight w:val="none"/>
          <w:lang w:val="en-US" w:eastAsia="zh-CN"/>
        </w:rPr>
        <w:t>6</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360" w:lineRule="auto"/>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2"/>
      <w:bookmarkStart w:id="2" w:name="OLE_LINK1"/>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、联系方式</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r>
        <w:rPr>
          <w:rFonts w:hint="eastAsia" w:ascii="宋体"/>
          <w:color w:val="000000"/>
          <w:sz w:val="24"/>
          <w:highlight w:val="none"/>
          <w:lang w:val="en-US" w:eastAsia="zh-CN"/>
        </w:rPr>
        <w:t>+--</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autoSpaceDN w:val="0"/>
        <w:spacing w:line="440" w:lineRule="exact"/>
        <w:ind w:left="0" w:leftChars="-95" w:hanging="199" w:hangingChars="83"/>
        <w:jc w:val="left"/>
        <w:textAlignment w:val="center"/>
        <w:rPr>
          <w:rFonts w:hint="eastAsia" w:ascii="宋体" w:hAnsi="宋体" w:eastAsia="宋体"/>
          <w:color w:val="000000"/>
          <w:sz w:val="24"/>
          <w:highlight w:val="none"/>
          <w:lang w:val="en-US" w:eastAsia="zh-CN"/>
        </w:rPr>
      </w:pPr>
    </w:p>
    <w:p>
      <w:pPr>
        <w:pStyle w:val="20"/>
        <w:tabs>
          <w:tab w:val="left" w:pos="0"/>
        </w:tabs>
        <w:spacing w:line="480" w:lineRule="exact"/>
        <w:ind w:left="0" w:leftChars="0" w:firstLine="0" w:firstLineChars="0"/>
        <w:jc w:val="center"/>
        <w:outlineLvl w:val="0"/>
        <w:rPr>
          <w:rFonts w:ascii="宋体" w:cs="宋体"/>
          <w:highlight w:val="none"/>
        </w:rPr>
      </w:pPr>
      <w:bookmarkStart w:id="3" w:name="_Toc15243"/>
      <w:r>
        <w:rPr>
          <w:rFonts w:ascii="宋体"/>
          <w:b/>
          <w:sz w:val="36"/>
          <w:highlight w:val="none"/>
        </w:rPr>
        <w:br w:type="page"/>
      </w:r>
      <w:r>
        <w:rPr>
          <w:rFonts w:hint="eastAsia" w:ascii="宋体" w:hAnsi="宋体"/>
          <w:b/>
          <w:sz w:val="36"/>
          <w:highlight w:val="none"/>
        </w:rPr>
        <w:t>第二部分投标人须知</w:t>
      </w:r>
      <w:bookmarkEnd w:id="3"/>
    </w:p>
    <w:p>
      <w:pPr>
        <w:pStyle w:val="88"/>
        <w:spacing w:before="240"/>
        <w:outlineLvl w:val="1"/>
        <w:rPr>
          <w:highlight w:val="none"/>
        </w:rPr>
      </w:pPr>
      <w:bookmarkStart w:id="4" w:name="_Toc243041162"/>
      <w:bookmarkStart w:id="5" w:name="_Toc1284"/>
      <w:r>
        <w:rPr>
          <w:rFonts w:hint="eastAsia"/>
          <w:highlight w:val="none"/>
        </w:rPr>
        <w:t>投标人须知前附表</w:t>
      </w:r>
      <w:bookmarkEnd w:id="4"/>
      <w:bookmarkEnd w:id="5"/>
    </w:p>
    <w:tbl>
      <w:tblPr>
        <w:tblStyle w:val="49"/>
        <w:tblW w:w="10160" w:type="dxa"/>
        <w:jc w:val="center"/>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514"/>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序号</w:t>
            </w:r>
          </w:p>
        </w:tc>
        <w:tc>
          <w:tcPr>
            <w:tcW w:w="2514" w:type="dxa"/>
            <w:vAlign w:val="center"/>
          </w:tcPr>
          <w:p>
            <w:pPr>
              <w:pStyle w:val="20"/>
              <w:tabs>
                <w:tab w:val="left" w:pos="0"/>
                <w:tab w:val="left" w:pos="955"/>
              </w:tabs>
              <w:snapToGrid w:val="0"/>
              <w:spacing w:line="360" w:lineRule="auto"/>
              <w:ind w:left="0" w:leftChars="0" w:firstLine="0" w:firstLineChars="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项</w:t>
            </w:r>
            <w:r>
              <w:rPr>
                <w:rFonts w:ascii="宋体" w:hAnsi="宋体" w:cs="宋体"/>
                <w:spacing w:val="0"/>
                <w:highlight w:val="none"/>
              </w:rPr>
              <w:t xml:space="preserve">    </w:t>
            </w:r>
            <w:r>
              <w:rPr>
                <w:rFonts w:hint="eastAsia" w:ascii="宋体" w:hAnsi="宋体" w:cs="宋体"/>
                <w:spacing w:val="0"/>
                <w:highlight w:val="none"/>
              </w:rPr>
              <w:t>目</w:t>
            </w:r>
          </w:p>
        </w:tc>
        <w:tc>
          <w:tcPr>
            <w:tcW w:w="6757" w:type="dxa"/>
            <w:vAlign w:val="center"/>
          </w:tcPr>
          <w:p>
            <w:pPr>
              <w:pStyle w:val="20"/>
              <w:tabs>
                <w:tab w:val="left" w:pos="0"/>
                <w:tab w:val="left" w:pos="955"/>
              </w:tabs>
              <w:snapToGrid w:val="0"/>
              <w:spacing w:line="360" w:lineRule="auto"/>
              <w:ind w:left="0" w:leftChars="0" w:firstLine="960" w:firstLineChars="40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内</w:t>
            </w:r>
            <w:r>
              <w:rPr>
                <w:rFonts w:ascii="宋体" w:hAnsi="宋体" w:cs="宋体"/>
                <w:spacing w:val="0"/>
                <w:highlight w:val="none"/>
              </w:rPr>
              <w:t xml:space="preserve">       </w:t>
            </w:r>
            <w:r>
              <w:rPr>
                <w:rFonts w:hint="eastAsia" w:ascii="宋体" w:hAnsi="宋体" w:cs="宋体"/>
                <w:spacing w:val="0"/>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招标人</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招标人：山东大学第二医院</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址：济南市天桥区北园路</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p>
          <w:p>
            <w:pPr>
              <w:pStyle w:val="111"/>
              <w:snapToGrid w:val="0"/>
              <w:spacing w:line="360" w:lineRule="auto"/>
              <w:jc w:val="left"/>
              <w:rPr>
                <w:rFonts w:ascii="宋体" w:cs="宋体"/>
                <w:spacing w:val="0"/>
                <w:highlight w:val="none"/>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招标代理机构</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名</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称：山东省鲁成招标有限公司</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址：济南市经十东路</w:t>
            </w:r>
            <w:r>
              <w:rPr>
                <w:rFonts w:ascii="宋体" w:hAnsi="宋体" w:cs="宋体"/>
                <w:color w:val="000000"/>
                <w:spacing w:val="0"/>
                <w:sz w:val="24"/>
                <w:highlight w:val="none"/>
                <w:lang w:eastAsia="zh-CN"/>
              </w:rPr>
              <w:t>10567</w:t>
            </w:r>
            <w:r>
              <w:rPr>
                <w:rFonts w:hint="eastAsia" w:ascii="宋体" w:hAnsi="宋体" w:cs="宋体"/>
                <w:color w:val="000000"/>
                <w:spacing w:val="0"/>
                <w:sz w:val="24"/>
                <w:highlight w:val="none"/>
                <w:lang w:eastAsia="zh-CN"/>
              </w:rPr>
              <w:t>号成城大厦</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联系人：褚桐、李文华</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0531-83191865</w:t>
            </w:r>
            <w:r>
              <w:rPr>
                <w:rFonts w:hint="eastAsia" w:ascii="宋体" w:hAnsi="宋体" w:cs="宋体"/>
                <w:color w:val="000000"/>
                <w:spacing w:val="0"/>
                <w:sz w:val="24"/>
                <w:highlight w:val="none"/>
                <w:lang w:eastAsia="zh-CN"/>
              </w:rPr>
              <w:t>、</w:t>
            </w:r>
            <w:r>
              <w:rPr>
                <w:rFonts w:ascii="宋体" w:hAnsi="宋体" w:cs="宋体"/>
                <w:color w:val="000000"/>
                <w:spacing w:val="0"/>
                <w:sz w:val="24"/>
                <w:highlight w:val="none"/>
                <w:lang w:val="en-US" w:eastAsia="zh-CN"/>
              </w:rPr>
              <w:t>83191895</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邮箱：</w:t>
            </w:r>
            <w:r>
              <w:rPr>
                <w:rFonts w:ascii="宋体" w:hAnsi="宋体" w:cs="宋体"/>
                <w:color w:val="000000"/>
                <w:spacing w:val="0"/>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3</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项目编号</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项目名称：山东大学第二医院实验类设备采购项目</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项目编号：0676-196010ZB018045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4</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招标范围</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本项目分为山东大学第二医院实验类设备采购项目，具体要求详见招标文件第三部分招标要求。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5</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项目预算</w:t>
            </w:r>
          </w:p>
        </w:tc>
        <w:tc>
          <w:tcPr>
            <w:tcW w:w="6757" w:type="dxa"/>
            <w:vAlign w:val="center"/>
          </w:tcPr>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预算金额</w:t>
            </w:r>
            <w:r>
              <w:rPr>
                <w:rFonts w:hint="eastAsia" w:ascii="宋体" w:hAnsi="宋体" w:cs="宋体"/>
                <w:color w:val="000000"/>
                <w:spacing w:val="0"/>
                <w:sz w:val="24"/>
                <w:highlight w:val="none"/>
                <w:lang w:val="en-US" w:eastAsia="zh-CN"/>
              </w:rPr>
              <w:t>：150万元</w:t>
            </w:r>
            <w:r>
              <w:rPr>
                <w:rFonts w:hint="eastAsia" w:ascii="宋体" w:hAnsi="宋体" w:cs="宋体"/>
                <w:color w:val="000000"/>
                <w:spacing w:val="0"/>
                <w:sz w:val="24"/>
                <w:lang w:eastAsia="zh-CN"/>
              </w:rPr>
              <w:t>（包含税费</w:t>
            </w:r>
            <w:r>
              <w:rPr>
                <w:rFonts w:ascii="宋体" w:hAnsi="宋体" w:cs="宋体"/>
                <w:color w:val="000000"/>
                <w:spacing w:val="0"/>
                <w:sz w:val="24"/>
                <w:lang w:val="en-US" w:eastAsia="zh-CN"/>
              </w:rPr>
              <w:t>)</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6</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投标人资格要求</w:t>
            </w:r>
          </w:p>
        </w:tc>
        <w:tc>
          <w:tcPr>
            <w:tcW w:w="6757" w:type="dxa"/>
            <w:vAlign w:val="center"/>
          </w:tcPr>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 xml:space="preserve"> 1</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符合《中华人民共和国政府采购法》第二十二条规定；</w:t>
            </w:r>
          </w:p>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 xml:space="preserve"> 2</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投标人须是在中国境内注册具有独立法人资格的法人单位，营业执照经营范围包含本次采购内容；</w:t>
            </w:r>
          </w:p>
          <w:p>
            <w:pPr>
              <w:autoSpaceDN w:val="0"/>
              <w:spacing w:line="360" w:lineRule="auto"/>
              <w:jc w:val="left"/>
              <w:textAlignment w:val="center"/>
              <w:rPr>
                <w:rFonts w:hint="eastAsia" w:ascii="宋体" w:hAnsi="宋体"/>
                <w:color w:val="000000"/>
                <w:spacing w:val="0"/>
                <w:sz w:val="24"/>
                <w:highlight w:val="none"/>
                <w:lang w:eastAsia="zh-CN"/>
              </w:rPr>
            </w:pPr>
            <w:r>
              <w:rPr>
                <w:rFonts w:ascii="宋体" w:hAnsi="宋体"/>
                <w:color w:val="000000"/>
                <w:spacing w:val="0"/>
                <w:sz w:val="24"/>
                <w:highlight w:val="none"/>
              </w:rPr>
              <w:t xml:space="preserve"> 3</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pacing w:val="0"/>
                <w:sz w:val="24"/>
                <w:highlight w:val="none"/>
                <w:lang w:eastAsia="zh-CN"/>
              </w:rPr>
              <w:t>）；</w:t>
            </w:r>
          </w:p>
          <w:p>
            <w:pPr>
              <w:spacing w:line="360" w:lineRule="auto"/>
              <w:rPr>
                <w:rFonts w:ascii="宋体" w:cs="宋体"/>
                <w:spacing w:val="0"/>
                <w:sz w:val="24"/>
                <w:highlight w:val="none"/>
              </w:rPr>
            </w:pPr>
            <w:r>
              <w:rPr>
                <w:rFonts w:hint="eastAsia" w:ascii="宋体" w:hAnsi="宋体" w:eastAsia="宋体" w:cs="宋体"/>
                <w:spacing w:val="0"/>
                <w:sz w:val="24"/>
                <w:highlight w:val="none"/>
                <w:lang w:val="en-US" w:eastAsia="zh-CN"/>
              </w:rPr>
              <w:t xml:space="preserve"> 4、</w:t>
            </w:r>
            <w:r>
              <w:rPr>
                <w:rFonts w:hint="eastAsia" w:ascii="宋体" w:hAnsi="宋体" w:eastAsia="宋体" w:cs="宋体"/>
                <w:spacing w:val="0"/>
                <w:sz w:val="24"/>
                <w:highlight w:val="none"/>
              </w:rPr>
              <w:t>必须为未列入“信用中国”、“中国政府采购网”失信被执行人、重大税收违法</w:t>
            </w:r>
            <w:r>
              <w:rPr>
                <w:rFonts w:hint="eastAsia" w:ascii="宋体" w:hAnsi="宋体" w:cs="宋体"/>
                <w:spacing w:val="0"/>
                <w:sz w:val="24"/>
                <w:highlight w:val="none"/>
              </w:rPr>
              <w:t>案件当事人名单、政府采购严重违法失信名单的企业；</w:t>
            </w:r>
          </w:p>
          <w:p>
            <w:pPr>
              <w:autoSpaceDN w:val="0"/>
              <w:spacing w:line="360" w:lineRule="auto"/>
              <w:jc w:val="left"/>
              <w:textAlignment w:val="center"/>
              <w:rPr>
                <w:rFonts w:ascii="宋体"/>
                <w:color w:val="000000"/>
                <w:spacing w:val="0"/>
                <w:sz w:val="24"/>
                <w:highlight w:val="none"/>
              </w:rPr>
            </w:pPr>
            <w:r>
              <w:rPr>
                <w:rFonts w:hint="eastAsia" w:ascii="宋体" w:hAnsi="宋体"/>
                <w:color w:val="000000"/>
                <w:spacing w:val="0"/>
                <w:sz w:val="24"/>
                <w:highlight w:val="none"/>
                <w:lang w:val="en-US" w:eastAsia="zh-CN"/>
              </w:rPr>
              <w:t xml:space="preserve"> 5、</w:t>
            </w:r>
            <w:r>
              <w:rPr>
                <w:rFonts w:hint="eastAsia" w:ascii="宋体" w:hAnsi="宋体"/>
                <w:color w:val="000000"/>
                <w:spacing w:val="0"/>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 xml:space="preserve"> </w:t>
            </w:r>
            <w:r>
              <w:rPr>
                <w:rFonts w:hint="eastAsia" w:ascii="宋体" w:hAnsi="宋体"/>
                <w:color w:val="000000"/>
                <w:spacing w:val="0"/>
                <w:sz w:val="24"/>
                <w:highlight w:val="none"/>
                <w:lang w:val="en-US" w:eastAsia="zh-CN"/>
              </w:rPr>
              <w:t>6、</w:t>
            </w:r>
            <w:r>
              <w:rPr>
                <w:rFonts w:hint="eastAsia" w:ascii="宋体" w:hAnsi="宋体"/>
                <w:color w:val="000000"/>
                <w:spacing w:val="0"/>
                <w:sz w:val="24"/>
                <w:highlight w:val="none"/>
              </w:rPr>
              <w:t>本次采购不接受联合体报价；</w:t>
            </w:r>
          </w:p>
          <w:p>
            <w:pPr>
              <w:autoSpaceDN w:val="0"/>
              <w:spacing w:line="360" w:lineRule="auto"/>
              <w:jc w:val="left"/>
              <w:textAlignment w:val="center"/>
              <w:rPr>
                <w:rFonts w:ascii="宋体" w:cs="宋体"/>
                <w:color w:val="000000"/>
                <w:spacing w:val="0"/>
                <w:sz w:val="24"/>
                <w:highlight w:val="none"/>
                <w:lang w:eastAsia="zh-CN"/>
              </w:rPr>
            </w:pPr>
            <w:r>
              <w:rPr>
                <w:rFonts w:ascii="宋体" w:hAnsi="宋体"/>
                <w:color w:val="000000"/>
                <w:spacing w:val="0"/>
                <w:sz w:val="24"/>
                <w:highlight w:val="none"/>
              </w:rPr>
              <w:t xml:space="preserve"> </w:t>
            </w:r>
            <w:r>
              <w:rPr>
                <w:rFonts w:hint="eastAsia" w:ascii="宋体" w:hAnsi="宋体"/>
                <w:color w:val="000000"/>
                <w:spacing w:val="0"/>
                <w:sz w:val="24"/>
                <w:highlight w:val="none"/>
                <w:lang w:val="en-US" w:eastAsia="zh-CN"/>
              </w:rPr>
              <w:t>7、</w:t>
            </w:r>
            <w:r>
              <w:rPr>
                <w:rFonts w:hint="eastAsia" w:ascii="宋体" w:hAnsi="宋体"/>
                <w:color w:val="000000"/>
                <w:spacing w:val="0"/>
                <w:sz w:val="24"/>
                <w:highlight w:val="none"/>
              </w:rPr>
              <w:t>未尽事宜，遵照国家相关规定执行。</w:t>
            </w:r>
            <w:r>
              <w:rPr>
                <w:rFonts w:ascii="宋体" w:hAnsi="宋体"/>
                <w:color w:val="000000"/>
                <w:spacing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7</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资格审查方式</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8</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付款方式</w:t>
            </w:r>
          </w:p>
        </w:tc>
        <w:tc>
          <w:tcPr>
            <w:tcW w:w="6757" w:type="dxa"/>
            <w:vAlign w:val="center"/>
          </w:tcPr>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9</w:t>
            </w:r>
          </w:p>
        </w:tc>
        <w:tc>
          <w:tcPr>
            <w:tcW w:w="2514"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hint="eastAsia" w:ascii="宋体" w:eastAsia="宋体" w:cs="宋体"/>
                <w:spacing w:val="0"/>
                <w:highlight w:val="none"/>
                <w:lang w:eastAsia="zh-CN"/>
              </w:rPr>
            </w:pPr>
            <w:r>
              <w:rPr>
                <w:rFonts w:hint="eastAsia" w:ascii="宋体" w:hAnsi="宋体" w:cs="宋体"/>
                <w:spacing w:val="0"/>
                <w:highlight w:val="none"/>
              </w:rPr>
              <w:t>投标文件</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投标文件共</w:t>
            </w:r>
            <w:r>
              <w:rPr>
                <w:rFonts w:hint="eastAsia" w:ascii="宋体" w:hAnsi="宋体" w:cs="宋体"/>
                <w:color w:val="000000"/>
                <w:spacing w:val="0"/>
                <w:sz w:val="24"/>
                <w:highlight w:val="none"/>
                <w:lang w:val="en-US" w:eastAsia="zh-CN"/>
              </w:rPr>
              <w:t>5</w:t>
            </w:r>
            <w:r>
              <w:rPr>
                <w:rFonts w:hint="eastAsia" w:ascii="宋体" w:hAnsi="宋体" w:cs="宋体"/>
                <w:color w:val="000000"/>
                <w:spacing w:val="0"/>
                <w:sz w:val="24"/>
                <w:highlight w:val="none"/>
                <w:lang w:eastAsia="zh-CN"/>
              </w:rPr>
              <w:t>份，正本</w:t>
            </w:r>
            <w:r>
              <w:rPr>
                <w:rFonts w:ascii="宋体" w:hAnsi="宋体" w:cs="宋体"/>
                <w:color w:val="000000"/>
                <w:spacing w:val="0"/>
                <w:sz w:val="24"/>
                <w:highlight w:val="none"/>
                <w:lang w:eastAsia="zh-CN"/>
              </w:rPr>
              <w:t>1</w:t>
            </w:r>
            <w:r>
              <w:rPr>
                <w:rFonts w:hint="eastAsia" w:ascii="宋体" w:hAnsi="宋体" w:cs="宋体"/>
                <w:color w:val="000000"/>
                <w:spacing w:val="0"/>
                <w:sz w:val="24"/>
                <w:highlight w:val="none"/>
                <w:lang w:eastAsia="zh-CN"/>
              </w:rPr>
              <w:t>份，副本</w:t>
            </w:r>
            <w:r>
              <w:rPr>
                <w:rFonts w:hint="eastAsia" w:ascii="宋体" w:hAnsi="宋体" w:cs="宋体"/>
                <w:color w:val="000000"/>
                <w:spacing w:val="0"/>
                <w:sz w:val="24"/>
                <w:highlight w:val="none"/>
                <w:lang w:val="en-US" w:eastAsia="zh-CN"/>
              </w:rPr>
              <w:t>4</w:t>
            </w:r>
            <w:r>
              <w:rPr>
                <w:rFonts w:hint="eastAsia" w:ascii="宋体" w:hAnsi="宋体" w:cs="宋体"/>
                <w:color w:val="000000"/>
                <w:spacing w:val="0"/>
                <w:sz w:val="24"/>
                <w:highlight w:val="none"/>
                <w:lang w:eastAsia="zh-CN"/>
              </w:rPr>
              <w:t>份；电子文档</w:t>
            </w:r>
            <w:r>
              <w:rPr>
                <w:rFonts w:hint="eastAsia" w:ascii="宋体" w:hAnsi="宋体" w:cs="宋体"/>
                <w:color w:val="auto"/>
                <w:spacing w:val="0"/>
                <w:sz w:val="24"/>
                <w:highlight w:val="none"/>
                <w:lang w:eastAsia="zh-CN"/>
              </w:rPr>
              <w:t>（</w:t>
            </w:r>
            <w:r>
              <w:rPr>
                <w:rFonts w:hint="eastAsia" w:ascii="宋体" w:hAnsi="宋体" w:cs="宋体"/>
                <w:b/>
                <w:color w:val="auto"/>
                <w:spacing w:val="0"/>
                <w:sz w:val="24"/>
                <w:highlight w:val="none"/>
                <w:lang w:val="en-US" w:eastAsia="zh-CN"/>
              </w:rPr>
              <w:t>U</w:t>
            </w:r>
            <w:r>
              <w:rPr>
                <w:rFonts w:hint="eastAsia" w:ascii="宋体" w:hAnsi="宋体" w:cs="宋体"/>
                <w:b/>
                <w:color w:val="auto"/>
                <w:spacing w:val="0"/>
                <w:sz w:val="24"/>
                <w:highlight w:val="none"/>
                <w:lang w:eastAsia="zh-CN"/>
              </w:rPr>
              <w:t>盘</w:t>
            </w:r>
            <w:r>
              <w:rPr>
                <w:rFonts w:hint="eastAsia" w:ascii="宋体" w:hAnsi="宋体" w:cs="宋体"/>
                <w:color w:val="auto"/>
                <w:spacing w:val="0"/>
                <w:sz w:val="24"/>
                <w:highlight w:val="none"/>
                <w:lang w:eastAsia="zh-CN"/>
              </w:rPr>
              <w:t>）</w:t>
            </w:r>
            <w:r>
              <w:rPr>
                <w:rFonts w:hint="eastAsia" w:ascii="宋体" w:hAnsi="宋体" w:cs="宋体"/>
                <w:color w:val="000000"/>
                <w:spacing w:val="0"/>
                <w:sz w:val="24"/>
                <w:highlight w:val="none"/>
                <w:lang w:eastAsia="zh-CN"/>
              </w:rPr>
              <w:t>投标文件一份，采用</w:t>
            </w:r>
            <w:r>
              <w:rPr>
                <w:rFonts w:ascii="宋体" w:hAnsi="宋体" w:cs="宋体"/>
                <w:color w:val="000000"/>
                <w:spacing w:val="0"/>
                <w:sz w:val="24"/>
                <w:highlight w:val="none"/>
                <w:lang w:val="en-US" w:eastAsia="zh-CN"/>
              </w:rPr>
              <w:t>PDF</w:t>
            </w:r>
            <w:r>
              <w:rPr>
                <w:rFonts w:hint="eastAsia" w:ascii="宋体" w:hAnsi="宋体" w:cs="宋体"/>
                <w:color w:val="000000"/>
                <w:spacing w:val="0"/>
                <w:sz w:val="24"/>
                <w:highlight w:val="none"/>
                <w:lang w:eastAsia="zh-CN"/>
              </w:rPr>
              <w:t>中文版，与纸质投标文件一致。</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b/>
                <w:bCs/>
                <w:color w:val="000000"/>
                <w:spacing w:val="0"/>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10</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开标一览表</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密封和标记</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12</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spacing w:val="0"/>
                <w:highlight w:val="none"/>
              </w:rPr>
              <w:t>截止时间</w:t>
            </w:r>
          </w:p>
        </w:tc>
        <w:tc>
          <w:tcPr>
            <w:tcW w:w="6757" w:type="dxa"/>
            <w:vAlign w:val="center"/>
          </w:tcPr>
          <w:p>
            <w:pPr>
              <w:snapToGrid w:val="0"/>
              <w:spacing w:line="360" w:lineRule="auto"/>
              <w:ind w:right="113"/>
              <w:rPr>
                <w:rFonts w:ascii="宋体" w:cs="宋体"/>
                <w:color w:val="000000"/>
                <w:spacing w:val="0"/>
                <w:sz w:val="24"/>
                <w:highlight w:val="none"/>
              </w:rPr>
            </w:pPr>
            <w:r>
              <w:rPr>
                <w:rFonts w:ascii="宋体" w:hAnsi="宋体"/>
                <w:spacing w:val="0"/>
                <w:sz w:val="24"/>
                <w:highlight w:val="none"/>
              </w:rPr>
              <w:t>201</w:t>
            </w:r>
            <w:r>
              <w:rPr>
                <w:rFonts w:hint="eastAsia" w:ascii="宋体" w:hAnsi="宋体"/>
                <w:spacing w:val="0"/>
                <w:sz w:val="24"/>
                <w:highlight w:val="none"/>
              </w:rPr>
              <w:t>9年</w:t>
            </w:r>
            <w:r>
              <w:rPr>
                <w:rFonts w:hint="eastAsia" w:ascii="宋体" w:hAnsi="宋体"/>
                <w:spacing w:val="0"/>
                <w:sz w:val="24"/>
                <w:highlight w:val="none"/>
                <w:lang w:val="en-US" w:eastAsia="zh-CN"/>
              </w:rPr>
              <w:t>10</w:t>
            </w:r>
            <w:r>
              <w:rPr>
                <w:rFonts w:hint="eastAsia" w:ascii="宋体" w:hAnsi="宋体"/>
                <w:spacing w:val="0"/>
                <w:sz w:val="24"/>
                <w:highlight w:val="none"/>
              </w:rPr>
              <w:t>月</w:t>
            </w:r>
            <w:r>
              <w:rPr>
                <w:rFonts w:hint="eastAsia" w:ascii="宋体" w:hAnsi="宋体"/>
                <w:spacing w:val="0"/>
                <w:sz w:val="24"/>
                <w:highlight w:val="none"/>
                <w:lang w:val="en-US" w:eastAsia="zh-CN"/>
              </w:rPr>
              <w:t>23</w:t>
            </w:r>
            <w:r>
              <w:rPr>
                <w:rFonts w:hint="eastAsia" w:ascii="宋体" w:hAnsi="宋体"/>
                <w:spacing w:val="0"/>
                <w:sz w:val="24"/>
                <w:highlight w:val="none"/>
              </w:rPr>
              <w:t>日</w:t>
            </w:r>
            <w:r>
              <w:rPr>
                <w:rFonts w:hint="eastAsia" w:ascii="宋体" w:hAnsi="宋体"/>
                <w:spacing w:val="0"/>
                <w:sz w:val="24"/>
                <w:highlight w:val="none"/>
                <w:lang w:val="en-US" w:eastAsia="zh-CN"/>
              </w:rPr>
              <w:t>17</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13</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投标人要求澄清</w:t>
            </w:r>
          </w:p>
          <w:p>
            <w:pPr>
              <w:snapToGrid w:val="0"/>
              <w:spacing w:line="360" w:lineRule="auto"/>
              <w:jc w:val="center"/>
              <w:rPr>
                <w:rFonts w:ascii="宋体"/>
                <w:spacing w:val="0"/>
                <w:sz w:val="24"/>
                <w:highlight w:val="none"/>
              </w:rPr>
            </w:pPr>
            <w:r>
              <w:rPr>
                <w:rFonts w:hint="eastAsia" w:ascii="宋体" w:hAnsi="宋体"/>
                <w:spacing w:val="0"/>
                <w:sz w:val="24"/>
                <w:highlight w:val="none"/>
              </w:rPr>
              <w:t>招标文件的截止时间</w:t>
            </w:r>
          </w:p>
        </w:tc>
        <w:tc>
          <w:tcPr>
            <w:tcW w:w="6757" w:type="dxa"/>
            <w:vAlign w:val="center"/>
          </w:tcPr>
          <w:p>
            <w:pPr>
              <w:snapToGrid w:val="0"/>
              <w:spacing w:line="360" w:lineRule="auto"/>
              <w:rPr>
                <w:rFonts w:ascii="宋体"/>
                <w:spacing w:val="0"/>
                <w:sz w:val="24"/>
                <w:highlight w:val="none"/>
              </w:rPr>
            </w:pPr>
            <w:r>
              <w:rPr>
                <w:rFonts w:ascii="宋体" w:hAnsi="宋体"/>
                <w:spacing w:val="0"/>
                <w:sz w:val="24"/>
                <w:highlight w:val="none"/>
              </w:rPr>
              <w:t>201</w:t>
            </w:r>
            <w:r>
              <w:rPr>
                <w:rFonts w:hint="eastAsia" w:ascii="宋体" w:hAnsi="宋体"/>
                <w:spacing w:val="0"/>
                <w:sz w:val="24"/>
                <w:highlight w:val="none"/>
              </w:rPr>
              <w:t>9年</w:t>
            </w:r>
            <w:r>
              <w:rPr>
                <w:rFonts w:hint="eastAsia" w:ascii="宋体" w:hAnsi="宋体"/>
                <w:spacing w:val="0"/>
                <w:sz w:val="24"/>
                <w:highlight w:val="none"/>
                <w:lang w:val="en-US" w:eastAsia="zh-CN"/>
              </w:rPr>
              <w:t>10</w:t>
            </w:r>
            <w:r>
              <w:rPr>
                <w:rFonts w:hint="eastAsia" w:ascii="宋体" w:hAnsi="宋体"/>
                <w:spacing w:val="0"/>
                <w:sz w:val="24"/>
                <w:highlight w:val="none"/>
              </w:rPr>
              <w:t>月</w:t>
            </w:r>
            <w:r>
              <w:rPr>
                <w:rFonts w:hint="eastAsia" w:ascii="宋体" w:hAnsi="宋体"/>
                <w:spacing w:val="0"/>
                <w:sz w:val="24"/>
                <w:highlight w:val="none"/>
                <w:lang w:val="en-US" w:eastAsia="zh-CN"/>
              </w:rPr>
              <w:t>24</w:t>
            </w:r>
            <w:r>
              <w:rPr>
                <w:rFonts w:hint="eastAsia" w:ascii="宋体" w:hAnsi="宋体"/>
                <w:spacing w:val="0"/>
                <w:sz w:val="24"/>
                <w:highlight w:val="none"/>
              </w:rPr>
              <w:t>日</w:t>
            </w:r>
            <w:r>
              <w:rPr>
                <w:rFonts w:hint="eastAsia" w:ascii="宋体" w:hAnsi="宋体"/>
                <w:spacing w:val="0"/>
                <w:sz w:val="24"/>
                <w:highlight w:val="none"/>
                <w:lang w:val="en-US" w:eastAsia="zh-CN"/>
              </w:rPr>
              <w:t>17</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14</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招标人书面澄清的时间</w:t>
            </w:r>
          </w:p>
        </w:tc>
        <w:tc>
          <w:tcPr>
            <w:tcW w:w="6757" w:type="dxa"/>
            <w:vAlign w:val="center"/>
          </w:tcPr>
          <w:p>
            <w:pPr>
              <w:snapToGrid w:val="0"/>
              <w:spacing w:line="360" w:lineRule="auto"/>
              <w:rPr>
                <w:rFonts w:ascii="宋体" w:cs="宋体"/>
                <w:color w:val="000000"/>
                <w:spacing w:val="0"/>
                <w:sz w:val="24"/>
                <w:highlight w:val="none"/>
              </w:rPr>
            </w:pPr>
            <w:r>
              <w:rPr>
                <w:rFonts w:ascii="宋体" w:hAnsi="宋体"/>
                <w:spacing w:val="0"/>
                <w:sz w:val="24"/>
                <w:highlight w:val="none"/>
              </w:rPr>
              <w:t>201</w:t>
            </w:r>
            <w:r>
              <w:rPr>
                <w:rFonts w:hint="eastAsia" w:ascii="宋体" w:hAnsi="宋体"/>
                <w:spacing w:val="0"/>
                <w:sz w:val="24"/>
                <w:highlight w:val="none"/>
              </w:rPr>
              <w:t>9年</w:t>
            </w:r>
            <w:r>
              <w:rPr>
                <w:rFonts w:hint="eastAsia" w:ascii="宋体" w:hAnsi="宋体"/>
                <w:spacing w:val="0"/>
                <w:sz w:val="24"/>
                <w:highlight w:val="none"/>
                <w:lang w:val="en-US" w:eastAsia="zh-CN"/>
              </w:rPr>
              <w:t>10</w:t>
            </w:r>
            <w:r>
              <w:rPr>
                <w:rFonts w:hint="eastAsia" w:ascii="宋体" w:hAnsi="宋体"/>
                <w:spacing w:val="0"/>
                <w:sz w:val="24"/>
                <w:highlight w:val="none"/>
              </w:rPr>
              <w:t>月</w:t>
            </w:r>
            <w:r>
              <w:rPr>
                <w:rFonts w:hint="eastAsia" w:ascii="宋体" w:hAnsi="宋体"/>
                <w:spacing w:val="0"/>
                <w:sz w:val="24"/>
                <w:highlight w:val="none"/>
                <w:lang w:val="en-US" w:eastAsia="zh-CN"/>
              </w:rPr>
              <w:t>24</w:t>
            </w:r>
            <w:r>
              <w:rPr>
                <w:rFonts w:hint="eastAsia" w:ascii="宋体" w:hAnsi="宋体"/>
                <w:spacing w:val="0"/>
                <w:sz w:val="24"/>
                <w:highlight w:val="none"/>
              </w:rPr>
              <w:t>日</w:t>
            </w:r>
            <w:r>
              <w:rPr>
                <w:rFonts w:hint="eastAsia" w:ascii="宋体" w:hAnsi="宋体"/>
                <w:spacing w:val="0"/>
                <w:sz w:val="24"/>
                <w:highlight w:val="none"/>
                <w:lang w:val="en-US" w:eastAsia="zh-CN"/>
              </w:rPr>
              <w:t>17</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15</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投标有效期</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90</w:t>
            </w:r>
            <w:r>
              <w:rPr>
                <w:rFonts w:hint="eastAsia" w:ascii="宋体" w:hAnsi="宋体" w:cs="宋体"/>
                <w:color w:val="000000"/>
                <w:spacing w:val="0"/>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spacing w:val="0"/>
                <w:highlight w:val="none"/>
              </w:rPr>
            </w:pPr>
            <w:r>
              <w:rPr>
                <w:rFonts w:ascii="宋体" w:hAnsi="宋体" w:cs="宋体"/>
                <w:spacing w:val="0"/>
                <w:highlight w:val="none"/>
              </w:rPr>
              <w:t>16</w:t>
            </w:r>
          </w:p>
        </w:tc>
        <w:tc>
          <w:tcPr>
            <w:tcW w:w="2514"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cs="宋体"/>
                <w:spacing w:val="0"/>
                <w:highlight w:val="none"/>
              </w:rPr>
            </w:pPr>
            <w:r>
              <w:rPr>
                <w:rFonts w:hint="eastAsia" w:ascii="宋体" w:hAnsi="宋体" w:cs="宋体"/>
                <w:spacing w:val="0"/>
                <w:highlight w:val="none"/>
              </w:rPr>
              <w:t>投标保证金交纳</w:t>
            </w:r>
          </w:p>
        </w:tc>
        <w:tc>
          <w:tcPr>
            <w:tcW w:w="6757" w:type="dxa"/>
            <w:vAlign w:val="center"/>
          </w:tcPr>
          <w:p>
            <w:pPr>
              <w:pStyle w:val="111"/>
              <w:numPr>
                <w:ilvl w:val="0"/>
                <w:numId w:val="0"/>
              </w:numPr>
              <w:snapToGrid w:val="0"/>
              <w:spacing w:line="360" w:lineRule="auto"/>
              <w:jc w:val="left"/>
              <w:rPr>
                <w:rFonts w:hint="default" w:ascii="宋体" w:hAnsi="宋体" w:cs="宋体"/>
                <w:b/>
                <w:bCs/>
                <w:color w:val="000000"/>
                <w:spacing w:val="0"/>
                <w:sz w:val="24"/>
                <w:highlight w:val="none"/>
                <w:lang w:val="en-US" w:eastAsia="zh-CN"/>
              </w:rPr>
            </w:pPr>
            <w:r>
              <w:rPr>
                <w:rFonts w:hint="eastAsia" w:ascii="宋体" w:hAnsi="宋体" w:cs="宋体"/>
                <w:color w:val="000000"/>
                <w:spacing w:val="0"/>
                <w:sz w:val="24"/>
                <w:highlight w:val="none"/>
                <w:lang w:val="en-US" w:eastAsia="zh-CN"/>
              </w:rPr>
              <w:t>1、</w:t>
            </w:r>
            <w:r>
              <w:rPr>
                <w:rFonts w:hint="eastAsia" w:ascii="宋体" w:hAnsi="宋体" w:cs="宋体"/>
                <w:color w:val="000000"/>
                <w:spacing w:val="0"/>
                <w:sz w:val="24"/>
                <w:highlight w:val="none"/>
                <w:lang w:eastAsia="zh-CN"/>
              </w:rPr>
              <w:t>投标保证金的金额</w:t>
            </w:r>
            <w:r>
              <w:rPr>
                <w:rFonts w:hint="eastAsia"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小写：</w:t>
            </w:r>
            <w:r>
              <w:rPr>
                <w:rFonts w:hint="eastAsia" w:ascii="宋体" w:hAnsi="宋体" w:cs="宋体"/>
                <w:b/>
                <w:bCs/>
                <w:color w:val="000000"/>
                <w:spacing w:val="0"/>
                <w:sz w:val="24"/>
                <w:highlight w:val="none"/>
                <w:lang w:val="en-US" w:eastAsia="zh-CN"/>
              </w:rPr>
              <w:t>20000元；大写：贰万元整。</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2</w:t>
            </w:r>
            <w:r>
              <w:rPr>
                <w:rFonts w:hint="eastAsia" w:ascii="宋体" w:hAnsi="宋体" w:cs="宋体"/>
                <w:color w:val="000000"/>
                <w:spacing w:val="0"/>
                <w:sz w:val="24"/>
                <w:highlight w:val="none"/>
                <w:lang w:eastAsia="zh-CN"/>
              </w:rPr>
              <w:t>、递交方式：电汇（电汇时需备注：山大二院</w:t>
            </w:r>
            <w:r>
              <w:rPr>
                <w:rFonts w:hint="eastAsia"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招标八部）</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3</w:t>
            </w:r>
            <w:r>
              <w:rPr>
                <w:rFonts w:hint="eastAsia" w:ascii="宋体" w:hAnsi="宋体" w:cs="宋体"/>
                <w:color w:val="000000"/>
                <w:spacing w:val="0"/>
                <w:sz w:val="24"/>
                <w:highlight w:val="none"/>
                <w:lang w:eastAsia="zh-CN"/>
              </w:rPr>
              <w:t>、投标保证金汇入银行及账号：</w:t>
            </w:r>
          </w:p>
          <w:p>
            <w:pPr>
              <w:pStyle w:val="111"/>
              <w:snapToGrid w:val="0"/>
              <w:spacing w:line="360" w:lineRule="auto"/>
              <w:jc w:val="left"/>
              <w:rPr>
                <w:rFonts w:ascii="宋体" w:cs="宋体"/>
                <w:color w:val="000000"/>
                <w:spacing w:val="0"/>
                <w:sz w:val="24"/>
                <w:highlight w:val="none"/>
                <w:lang w:eastAsia="zh-CN"/>
              </w:rPr>
            </w:pPr>
            <w:r>
              <w:rPr>
                <w:rFonts w:ascii="宋体" w:cs="宋体"/>
                <w:color w:val="000000"/>
                <w:spacing w:val="0"/>
                <w:sz w:val="24"/>
                <w:highlight w:val="none"/>
                <w:lang w:eastAsia="zh-CN"/>
              </w:rPr>
              <w:t> </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开户名称：山东省鲁成招标有限公司</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开户银行：中国农业银行济南分行</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银行账号：</w:t>
            </w:r>
            <w:r>
              <w:rPr>
                <w:rFonts w:ascii="宋体" w:hAnsi="宋体" w:cs="宋体"/>
                <w:color w:val="000000"/>
                <w:spacing w:val="0"/>
                <w:sz w:val="24"/>
                <w:highlight w:val="none"/>
                <w:lang w:eastAsia="zh-CN"/>
              </w:rPr>
              <w:t>15110101040001136</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（行号：</w:t>
            </w:r>
            <w:r>
              <w:rPr>
                <w:rFonts w:ascii="宋体" w:hAnsi="宋体" w:cs="宋体"/>
                <w:color w:val="000000"/>
                <w:spacing w:val="0"/>
                <w:sz w:val="24"/>
                <w:highlight w:val="none"/>
                <w:lang w:eastAsia="zh-CN"/>
              </w:rPr>
              <w:t>103451011106</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投标保证金应当在</w:t>
            </w:r>
            <w:r>
              <w:rPr>
                <w:rFonts w:hint="eastAsia" w:ascii="宋体" w:hAnsi="宋体" w:cs="宋体"/>
                <w:b/>
                <w:bCs/>
                <w:spacing w:val="0"/>
                <w:highlight w:val="none"/>
                <w:lang w:eastAsia="zh-CN"/>
              </w:rPr>
              <w:t>2019年</w:t>
            </w:r>
            <w:r>
              <w:rPr>
                <w:rFonts w:hint="eastAsia" w:ascii="宋体" w:hAnsi="宋体" w:cs="宋体"/>
                <w:b/>
                <w:bCs/>
                <w:spacing w:val="0"/>
                <w:highlight w:val="none"/>
                <w:lang w:val="en-US" w:eastAsia="zh-CN"/>
              </w:rPr>
              <w:t>11</w:t>
            </w:r>
            <w:r>
              <w:rPr>
                <w:rFonts w:hint="eastAsia" w:ascii="宋体" w:hAnsi="宋体" w:cs="宋体"/>
                <w:b/>
                <w:bCs/>
                <w:spacing w:val="0"/>
                <w:highlight w:val="none"/>
                <w:lang w:eastAsia="zh-CN"/>
              </w:rPr>
              <w:t>月</w:t>
            </w:r>
            <w:r>
              <w:rPr>
                <w:rFonts w:hint="eastAsia" w:ascii="宋体" w:hAnsi="宋体" w:cs="宋体"/>
                <w:b/>
                <w:bCs/>
                <w:spacing w:val="0"/>
                <w:highlight w:val="none"/>
                <w:lang w:val="en-US" w:eastAsia="zh-CN"/>
              </w:rPr>
              <w:t>12</w:t>
            </w:r>
            <w:r>
              <w:rPr>
                <w:rFonts w:hint="eastAsia" w:ascii="宋体" w:hAnsi="宋体" w:cs="宋体"/>
                <w:b/>
                <w:bCs/>
                <w:spacing w:val="0"/>
                <w:highlight w:val="none"/>
                <w:lang w:eastAsia="zh-CN"/>
              </w:rPr>
              <w:t>日</w:t>
            </w:r>
            <w:r>
              <w:rPr>
                <w:rFonts w:hint="eastAsia" w:ascii="宋体" w:hAnsi="宋体" w:cs="宋体"/>
                <w:b/>
                <w:bCs/>
                <w:spacing w:val="0"/>
                <w:highlight w:val="none"/>
                <w:lang w:val="en-US" w:eastAsia="zh-CN"/>
              </w:rPr>
              <w:t>9</w:t>
            </w:r>
            <w:r>
              <w:rPr>
                <w:rFonts w:hint="eastAsia" w:ascii="宋体" w:hAnsi="宋体" w:cs="宋体"/>
                <w:b/>
                <w:bCs/>
                <w:spacing w:val="0"/>
                <w:highlight w:val="none"/>
                <w:lang w:eastAsia="zh-CN"/>
              </w:rPr>
              <w:t>:00</w:t>
            </w:r>
            <w:r>
              <w:rPr>
                <w:rFonts w:hint="eastAsia" w:ascii="宋体" w:hAnsi="宋体" w:cs="宋体"/>
                <w:color w:val="000000"/>
                <w:spacing w:val="0"/>
                <w:sz w:val="24"/>
                <w:highlight w:val="none"/>
                <w:lang w:eastAsia="zh-CN"/>
              </w:rPr>
              <w:t>之前到达上述帐户，逾期不予受理。并将开户许可证及投标保证金电汇凭证扫描版发送邮件至</w:t>
            </w:r>
            <w:r>
              <w:rPr>
                <w:rFonts w:hint="eastAsia" w:ascii="宋体" w:hAnsi="宋体" w:cs="宋体"/>
                <w:color w:val="000000"/>
                <w:spacing w:val="0"/>
                <w:sz w:val="24"/>
                <w:highlight w:val="none"/>
                <w:lang w:val="en-US" w:eastAsia="zh-CN"/>
              </w:rPr>
              <w:t>lczb08@126.com</w:t>
            </w:r>
            <w:r>
              <w:rPr>
                <w:rFonts w:hint="eastAsia" w:ascii="宋体" w:hAnsi="宋体" w:cs="宋体"/>
                <w:color w:val="000000"/>
                <w:spacing w:val="0"/>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17</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投标文件递交时间</w:t>
            </w:r>
          </w:p>
        </w:tc>
        <w:tc>
          <w:tcPr>
            <w:tcW w:w="6757" w:type="dxa"/>
            <w:vAlign w:val="center"/>
          </w:tcPr>
          <w:p>
            <w:pPr>
              <w:pStyle w:val="20"/>
              <w:tabs>
                <w:tab w:val="left" w:pos="0"/>
                <w:tab w:val="left" w:pos="955"/>
              </w:tabs>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b/>
                <w:bCs/>
                <w:spacing w:val="0"/>
                <w:highlight w:val="none"/>
              </w:rPr>
              <w:t>2019年</w:t>
            </w:r>
            <w:r>
              <w:rPr>
                <w:rFonts w:hint="eastAsia" w:ascii="宋体" w:hAnsi="宋体" w:cs="宋体"/>
                <w:b/>
                <w:bCs/>
                <w:spacing w:val="0"/>
                <w:highlight w:val="none"/>
                <w:lang w:val="en-US" w:eastAsia="zh-CN"/>
              </w:rPr>
              <w:t>11</w:t>
            </w:r>
            <w:r>
              <w:rPr>
                <w:rFonts w:hint="eastAsia" w:ascii="宋体" w:hAnsi="宋体" w:cs="宋体"/>
                <w:b/>
                <w:bCs/>
                <w:spacing w:val="0"/>
                <w:highlight w:val="none"/>
              </w:rPr>
              <w:t>月</w:t>
            </w:r>
            <w:r>
              <w:rPr>
                <w:rFonts w:hint="eastAsia" w:ascii="宋体" w:hAnsi="宋体" w:cs="宋体"/>
                <w:b/>
                <w:bCs/>
                <w:spacing w:val="0"/>
                <w:highlight w:val="none"/>
                <w:lang w:val="en-US" w:eastAsia="zh-CN"/>
              </w:rPr>
              <w:t>12</w:t>
            </w:r>
            <w:r>
              <w:rPr>
                <w:rFonts w:hint="eastAsia" w:ascii="宋体" w:hAnsi="宋体" w:cs="宋体"/>
                <w:b/>
                <w:bCs/>
                <w:spacing w:val="0"/>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18</w:t>
            </w:r>
          </w:p>
        </w:tc>
        <w:tc>
          <w:tcPr>
            <w:tcW w:w="2514"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投标文件递交的</w:t>
            </w:r>
          </w:p>
          <w:p>
            <w:pPr>
              <w:pStyle w:val="111"/>
              <w:snapToGrid w:val="0"/>
              <w:spacing w:line="360" w:lineRule="auto"/>
              <w:ind w:firstLine="480" w:firstLineChars="200"/>
              <w:rPr>
                <w:rFonts w:ascii="宋体" w:cs="宋体"/>
                <w:spacing w:val="0"/>
                <w:highlight w:val="none"/>
              </w:rPr>
            </w:pPr>
            <w:r>
              <w:rPr>
                <w:rFonts w:hint="eastAsia" w:ascii="宋体" w:hAnsi="宋体" w:cs="宋体"/>
                <w:color w:val="000000"/>
                <w:spacing w:val="0"/>
                <w:sz w:val="24"/>
                <w:highlight w:val="none"/>
                <w:lang w:eastAsia="zh-CN"/>
              </w:rPr>
              <w:t>截止时间</w:t>
            </w:r>
          </w:p>
        </w:tc>
        <w:tc>
          <w:tcPr>
            <w:tcW w:w="6757" w:type="dxa"/>
            <w:vAlign w:val="center"/>
          </w:tcPr>
          <w:p>
            <w:pPr>
              <w:pStyle w:val="20"/>
              <w:tabs>
                <w:tab w:val="left" w:pos="0"/>
                <w:tab w:val="left" w:pos="955"/>
              </w:tabs>
              <w:spacing w:line="360" w:lineRule="auto"/>
              <w:ind w:left="0" w:leftChars="0" w:firstLine="0" w:firstLineChars="0"/>
              <w:rPr>
                <w:rFonts w:ascii="宋体" w:cs="宋体"/>
                <w:color w:val="000000"/>
                <w:spacing w:val="0"/>
                <w:highlight w:val="none"/>
              </w:rPr>
            </w:pPr>
            <w:r>
              <w:rPr>
                <w:rFonts w:hint="eastAsia" w:ascii="宋体" w:hAnsi="宋体" w:cs="宋体"/>
                <w:b/>
                <w:bCs/>
                <w:spacing w:val="0"/>
                <w:highlight w:val="none"/>
              </w:rPr>
              <w:t>2019年</w:t>
            </w:r>
            <w:r>
              <w:rPr>
                <w:rFonts w:hint="eastAsia" w:ascii="宋体" w:hAnsi="宋体" w:cs="宋体"/>
                <w:b/>
                <w:bCs/>
                <w:spacing w:val="0"/>
                <w:highlight w:val="none"/>
                <w:lang w:val="en-US" w:eastAsia="zh-CN"/>
              </w:rPr>
              <w:t>11</w:t>
            </w:r>
            <w:r>
              <w:rPr>
                <w:rFonts w:hint="eastAsia" w:ascii="宋体" w:hAnsi="宋体" w:cs="宋体"/>
                <w:b/>
                <w:bCs/>
                <w:spacing w:val="0"/>
                <w:highlight w:val="none"/>
              </w:rPr>
              <w:t>月</w:t>
            </w:r>
            <w:r>
              <w:rPr>
                <w:rFonts w:hint="eastAsia" w:ascii="宋体" w:hAnsi="宋体" w:cs="宋体"/>
                <w:b/>
                <w:bCs/>
                <w:spacing w:val="0"/>
                <w:highlight w:val="none"/>
                <w:lang w:val="en-US" w:eastAsia="zh-CN"/>
              </w:rPr>
              <w:t>12</w:t>
            </w:r>
            <w:r>
              <w:rPr>
                <w:rFonts w:hint="eastAsia" w:ascii="宋体" w:hAnsi="宋体" w:cs="宋体"/>
                <w:b/>
                <w:bCs/>
                <w:spacing w:val="0"/>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19</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lang w:eastAsia="zh-CN"/>
              </w:rPr>
            </w:pPr>
            <w:r>
              <w:rPr>
                <w:rFonts w:hint="eastAsia" w:ascii="宋体" w:hAnsi="宋体" w:cs="宋体"/>
                <w:spacing w:val="0"/>
                <w:highlight w:val="none"/>
              </w:rPr>
              <w:t>递交投标文件地点</w:t>
            </w:r>
          </w:p>
        </w:tc>
        <w:tc>
          <w:tcPr>
            <w:tcW w:w="6757" w:type="dxa"/>
            <w:vAlign w:val="center"/>
          </w:tcPr>
          <w:p>
            <w:pPr>
              <w:pStyle w:val="111"/>
              <w:snapToGrid w:val="0"/>
              <w:spacing w:line="360" w:lineRule="auto"/>
              <w:jc w:val="left"/>
              <w:rPr>
                <w:rFonts w:ascii="宋体" w:cs="宋体"/>
                <w:color w:val="000000"/>
                <w:spacing w:val="0"/>
                <w:highlight w:val="none"/>
              </w:rPr>
            </w:pPr>
            <w:r>
              <w:rPr>
                <w:rFonts w:hint="eastAsia" w:ascii="宋体" w:hAnsi="宋体" w:cs="宋体"/>
                <w:color w:val="000000"/>
                <w:spacing w:val="0"/>
                <w:sz w:val="24"/>
                <w:highlight w:val="none"/>
                <w:lang w:eastAsia="zh-CN"/>
              </w:rPr>
              <w:t>山东大学第二医院办公楼五楼会议室（济南市天桥区北园大街</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r>
              <w:rPr>
                <w:rFonts w:hint="eastAsia" w:ascii="宋体" w:cs="宋体"/>
                <w:spacing w:val="0"/>
                <w:sz w:val="24"/>
                <w:highlight w:val="none"/>
                <w:lang w:eastAsia="zh-CN"/>
              </w:rPr>
              <w:t>（如有变动临时通知）</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20</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评审方法</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投标说明</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spacing w:val="0"/>
                <w:highlight w:val="none"/>
                <w:lang w:val="en-US" w:eastAsia="zh-CN"/>
              </w:rPr>
            </w:pPr>
            <w:r>
              <w:rPr>
                <w:rFonts w:hint="eastAsia" w:ascii="宋体" w:cs="宋体"/>
                <w:spacing w:val="0"/>
                <w:highlight w:val="none"/>
                <w:lang w:val="en-US" w:eastAsia="zh-CN"/>
              </w:rPr>
              <w:t>22</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投标费用</w:t>
            </w:r>
          </w:p>
        </w:tc>
        <w:tc>
          <w:tcPr>
            <w:tcW w:w="6757" w:type="dxa"/>
            <w:vAlign w:val="center"/>
          </w:tcPr>
          <w:p>
            <w:pPr>
              <w:pStyle w:val="20"/>
              <w:tabs>
                <w:tab w:val="left" w:pos="0"/>
                <w:tab w:val="left" w:pos="840"/>
                <w:tab w:val="left" w:pos="955"/>
              </w:tabs>
              <w:snapToGrid w:val="0"/>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中标服务费：按国家计委计价格</w:t>
            </w:r>
            <w:r>
              <w:rPr>
                <w:rFonts w:ascii="宋体" w:hAnsi="宋体" w:cs="宋体"/>
                <w:color w:val="000000"/>
                <w:spacing w:val="0"/>
                <w:sz w:val="24"/>
                <w:highlight w:val="none"/>
                <w:lang w:eastAsia="zh-CN"/>
              </w:rPr>
              <w:t>[2002]1980</w:t>
            </w:r>
            <w:r>
              <w:rPr>
                <w:rFonts w:hint="eastAsia" w:ascii="宋体" w:hAnsi="宋体" w:cs="宋体"/>
                <w:color w:val="000000"/>
                <w:spacing w:val="0"/>
                <w:sz w:val="24"/>
                <w:highlight w:val="none"/>
                <w:lang w:eastAsia="zh-CN"/>
              </w:rPr>
              <w:t>号文收费标准下浮</w:t>
            </w:r>
            <w:r>
              <w:rPr>
                <w:rFonts w:ascii="宋体" w:hAnsi="宋体" w:cs="宋体"/>
                <w:color w:val="000000"/>
                <w:spacing w:val="0"/>
                <w:sz w:val="24"/>
                <w:highlight w:val="none"/>
                <w:lang w:val="en-US" w:eastAsia="zh-CN"/>
              </w:rPr>
              <w:t>30%</w:t>
            </w:r>
            <w:r>
              <w:rPr>
                <w:rFonts w:hint="eastAsia" w:ascii="宋体" w:hAnsi="宋体" w:cs="宋体"/>
                <w:color w:val="000000"/>
                <w:spacing w:val="0"/>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6" w:name="_Toc16191"/>
      <w:bookmarkStart w:id="7" w:name="_Toc12225"/>
      <w:bookmarkStart w:id="8" w:name="_Toc10957"/>
      <w:r>
        <w:rPr>
          <w:rFonts w:hint="eastAsia" w:ascii="宋体" w:hAnsi="宋体"/>
          <w:b/>
          <w:sz w:val="28"/>
          <w:highlight w:val="none"/>
        </w:rPr>
        <w:t>一、说明</w:t>
      </w:r>
      <w:bookmarkEnd w:id="6"/>
      <w:bookmarkEnd w:id="7"/>
      <w:bookmarkEnd w:id="8"/>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9" w:name="_Toc7693"/>
      <w:bookmarkStart w:id="10" w:name="_Toc6481"/>
      <w:bookmarkStart w:id="11" w:name="_Toc32185"/>
      <w:r>
        <w:rPr>
          <w:rFonts w:ascii="宋体" w:hAnsi="宋体"/>
          <w:b/>
          <w:sz w:val="24"/>
          <w:highlight w:val="none"/>
        </w:rPr>
        <w:t xml:space="preserve">3.  </w:t>
      </w:r>
      <w:r>
        <w:rPr>
          <w:rFonts w:hint="eastAsia" w:ascii="宋体" w:hAnsi="宋体"/>
          <w:b/>
          <w:sz w:val="24"/>
          <w:highlight w:val="none"/>
        </w:rPr>
        <w:t>合格投标人</w:t>
      </w:r>
      <w:bookmarkEnd w:id="9"/>
      <w:bookmarkEnd w:id="10"/>
      <w:bookmarkEnd w:id="11"/>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hint="eastAsia" w:ascii="宋体" w:eastAsia="宋体"/>
          <w:sz w:val="24"/>
          <w:highlight w:val="none"/>
          <w:lang w:eastAsia="zh-CN"/>
        </w:rPr>
      </w:pPr>
      <w:r>
        <w:rPr>
          <w:rFonts w:ascii="宋体"/>
          <w:sz w:val="24"/>
          <w:highlight w:val="none"/>
        </w:rPr>
        <w:t>3.1.7</w:t>
      </w:r>
      <w:r>
        <w:rPr>
          <w:rFonts w:hint="eastAsia" w:ascii="宋体"/>
          <w:sz w:val="24"/>
          <w:highlight w:val="none"/>
        </w:rPr>
        <w:t>法律、行政法规规定的其他条件</w:t>
      </w:r>
      <w:r>
        <w:rPr>
          <w:rFonts w:hint="eastAsia" w:ascii="宋体"/>
          <w:sz w:val="24"/>
          <w:highlight w:val="none"/>
          <w:lang w:eastAsia="zh-CN"/>
        </w:rPr>
        <w:t>；</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hint="eastAsia" w:ascii="宋体" w:eastAsia="宋体"/>
          <w:bCs/>
          <w:sz w:val="24"/>
          <w:highlight w:val="none"/>
          <w:lang w:eastAsia="zh-CN"/>
        </w:rPr>
      </w:pPr>
      <w:r>
        <w:rPr>
          <w:rFonts w:ascii="宋体" w:hAnsi="宋体"/>
          <w:bCs/>
          <w:sz w:val="24"/>
          <w:highlight w:val="none"/>
        </w:rPr>
        <w:t xml:space="preserve">3.6 </w:t>
      </w:r>
      <w:r>
        <w:rPr>
          <w:rFonts w:hint="eastAsia" w:ascii="宋体" w:hAnsi="宋体"/>
          <w:bCs/>
          <w:sz w:val="24"/>
          <w:highlight w:val="none"/>
        </w:rPr>
        <w:t>本次招标不接受联合体投标</w:t>
      </w:r>
      <w:r>
        <w:rPr>
          <w:rFonts w:hint="eastAsia" w:ascii="宋体" w:hAnsi="宋体"/>
          <w:bCs/>
          <w:sz w:val="24"/>
          <w:highlight w:val="none"/>
          <w:lang w:eastAsia="zh-CN"/>
        </w:rPr>
        <w:t>。</w:t>
      </w:r>
    </w:p>
    <w:p>
      <w:pPr>
        <w:pStyle w:val="21"/>
        <w:tabs>
          <w:tab w:val="left" w:pos="1146"/>
        </w:tabs>
        <w:spacing w:line="480" w:lineRule="exact"/>
        <w:ind w:left="1144" w:leftChars="272" w:hanging="573" w:hangingChars="238"/>
        <w:outlineLvl w:val="0"/>
        <w:rPr>
          <w:rFonts w:ascii="宋体"/>
          <w:b/>
          <w:sz w:val="24"/>
          <w:highlight w:val="none"/>
        </w:rPr>
      </w:pPr>
      <w:bookmarkStart w:id="12" w:name="_Toc10338"/>
      <w:bookmarkStart w:id="13" w:name="_Toc9430"/>
      <w:bookmarkStart w:id="14" w:name="_Toc28524"/>
      <w:r>
        <w:rPr>
          <w:rFonts w:ascii="宋体" w:hAnsi="宋体"/>
          <w:b/>
          <w:sz w:val="24"/>
          <w:highlight w:val="none"/>
        </w:rPr>
        <w:t xml:space="preserve">4  </w:t>
      </w:r>
      <w:r>
        <w:rPr>
          <w:rFonts w:hint="eastAsia" w:ascii="宋体" w:hAnsi="宋体"/>
          <w:b/>
          <w:sz w:val="24"/>
          <w:highlight w:val="none"/>
        </w:rPr>
        <w:t>货物定义</w:t>
      </w:r>
      <w:bookmarkEnd w:id="12"/>
      <w:bookmarkEnd w:id="13"/>
      <w:bookmarkEnd w:id="14"/>
    </w:p>
    <w:p>
      <w:pPr>
        <w:pStyle w:val="21"/>
        <w:tabs>
          <w:tab w:val="left" w:pos="1146"/>
        </w:tabs>
        <w:spacing w:line="480" w:lineRule="exact"/>
        <w:ind w:left="128" w:leftChars="61" w:firstLine="480" w:firstLineChars="200"/>
        <w:outlineLvl w:val="0"/>
        <w:rPr>
          <w:rFonts w:ascii="宋体"/>
          <w:sz w:val="24"/>
          <w:highlight w:val="none"/>
        </w:rPr>
      </w:pPr>
      <w:bookmarkStart w:id="15" w:name="_Toc13517"/>
      <w:bookmarkStart w:id="16" w:name="_Toc979"/>
      <w:bookmarkStart w:id="17" w:name="_Toc1705"/>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5"/>
      <w:bookmarkEnd w:id="16"/>
      <w:bookmarkEnd w:id="17"/>
    </w:p>
    <w:p>
      <w:pPr>
        <w:pStyle w:val="21"/>
        <w:tabs>
          <w:tab w:val="left" w:pos="1146"/>
        </w:tabs>
        <w:spacing w:line="480" w:lineRule="exact"/>
        <w:ind w:left="128" w:leftChars="61" w:firstLine="480" w:firstLineChars="200"/>
        <w:outlineLvl w:val="0"/>
        <w:rPr>
          <w:rFonts w:ascii="宋体"/>
          <w:sz w:val="24"/>
          <w:highlight w:val="none"/>
        </w:rPr>
      </w:pPr>
      <w:bookmarkStart w:id="18" w:name="_Toc17993"/>
      <w:bookmarkStart w:id="19" w:name="_Toc15995"/>
      <w:bookmarkStart w:id="20"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8"/>
      <w:bookmarkEnd w:id="19"/>
      <w:bookmarkEnd w:id="20"/>
    </w:p>
    <w:p>
      <w:pPr>
        <w:pStyle w:val="21"/>
        <w:tabs>
          <w:tab w:val="left" w:pos="955"/>
        </w:tabs>
        <w:spacing w:line="480" w:lineRule="exact"/>
        <w:ind w:left="571" w:leftChars="272" w:firstLine="2" w:firstLineChars="0"/>
        <w:outlineLvl w:val="0"/>
        <w:rPr>
          <w:rFonts w:ascii="宋体"/>
          <w:b/>
          <w:sz w:val="24"/>
          <w:highlight w:val="none"/>
        </w:rPr>
      </w:pPr>
      <w:bookmarkStart w:id="21" w:name="_Toc6605"/>
      <w:bookmarkStart w:id="22" w:name="_Toc32728"/>
      <w:bookmarkStart w:id="23" w:name="_Toc30324"/>
      <w:r>
        <w:rPr>
          <w:rFonts w:ascii="宋体" w:hAnsi="宋体"/>
          <w:b/>
          <w:sz w:val="24"/>
          <w:highlight w:val="none"/>
        </w:rPr>
        <w:t xml:space="preserve">5.  </w:t>
      </w:r>
      <w:r>
        <w:rPr>
          <w:rFonts w:hint="eastAsia" w:ascii="宋体" w:hAnsi="宋体"/>
          <w:b/>
          <w:sz w:val="24"/>
          <w:highlight w:val="none"/>
        </w:rPr>
        <w:t>投标费用</w:t>
      </w:r>
      <w:bookmarkEnd w:id="21"/>
      <w:bookmarkEnd w:id="22"/>
      <w:bookmarkEnd w:id="23"/>
    </w:p>
    <w:p>
      <w:pPr>
        <w:pStyle w:val="21"/>
        <w:spacing w:line="480" w:lineRule="exact"/>
        <w:ind w:left="48" w:leftChars="23" w:firstLine="480" w:firstLineChars="200"/>
        <w:outlineLvl w:val="0"/>
        <w:rPr>
          <w:rFonts w:ascii="宋体"/>
          <w:sz w:val="24"/>
          <w:highlight w:val="none"/>
        </w:rPr>
      </w:pPr>
      <w:bookmarkStart w:id="24" w:name="_Toc17097"/>
      <w:bookmarkStart w:id="25" w:name="_Toc8916"/>
      <w:bookmarkStart w:id="26" w:name="_Toc7414"/>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4"/>
      <w:bookmarkEnd w:id="25"/>
      <w:bookmarkEnd w:id="26"/>
    </w:p>
    <w:p>
      <w:pPr>
        <w:pStyle w:val="21"/>
        <w:spacing w:line="480" w:lineRule="exact"/>
        <w:ind w:left="48" w:leftChars="23" w:firstLine="480" w:firstLineChars="200"/>
        <w:outlineLvl w:val="0"/>
        <w:rPr>
          <w:rFonts w:ascii="宋体"/>
          <w:sz w:val="24"/>
          <w:highlight w:val="none"/>
        </w:rPr>
      </w:pPr>
      <w:bookmarkStart w:id="27"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7"/>
    </w:p>
    <w:p>
      <w:pPr>
        <w:pStyle w:val="21"/>
        <w:spacing w:line="480" w:lineRule="exact"/>
        <w:ind w:left="0" w:leftChars="0" w:firstLine="0" w:firstLineChars="0"/>
        <w:outlineLvl w:val="1"/>
        <w:rPr>
          <w:rFonts w:ascii="宋体"/>
          <w:b/>
          <w:sz w:val="28"/>
          <w:highlight w:val="none"/>
        </w:rPr>
      </w:pPr>
      <w:bookmarkStart w:id="28" w:name="_Toc22107"/>
      <w:bookmarkStart w:id="29" w:name="_Toc8225"/>
      <w:bookmarkStart w:id="30" w:name="_Toc7019"/>
      <w:r>
        <w:rPr>
          <w:rFonts w:hint="eastAsia" w:ascii="宋体" w:hAnsi="宋体"/>
          <w:b/>
          <w:sz w:val="28"/>
          <w:highlight w:val="none"/>
        </w:rPr>
        <w:t>二、招标文件</w:t>
      </w:r>
      <w:bookmarkEnd w:id="28"/>
      <w:bookmarkEnd w:id="29"/>
      <w:bookmarkEnd w:id="30"/>
    </w:p>
    <w:p>
      <w:pPr>
        <w:pStyle w:val="21"/>
        <w:spacing w:line="480" w:lineRule="exact"/>
        <w:ind w:left="569" w:leftChars="271" w:firstLine="2" w:firstLineChars="1"/>
        <w:outlineLvl w:val="0"/>
        <w:rPr>
          <w:rFonts w:ascii="宋体"/>
          <w:b/>
          <w:sz w:val="24"/>
          <w:highlight w:val="none"/>
        </w:rPr>
      </w:pPr>
      <w:bookmarkStart w:id="31" w:name="_Toc31893"/>
      <w:bookmarkStart w:id="32" w:name="_Toc29387"/>
      <w:bookmarkStart w:id="33" w:name="_Toc8798"/>
      <w:r>
        <w:rPr>
          <w:rFonts w:ascii="宋体" w:hAnsi="宋体"/>
          <w:b/>
          <w:sz w:val="24"/>
          <w:highlight w:val="none"/>
        </w:rPr>
        <w:t xml:space="preserve">6.  </w:t>
      </w:r>
      <w:r>
        <w:rPr>
          <w:rFonts w:hint="eastAsia" w:ascii="宋体" w:hAnsi="宋体"/>
          <w:b/>
          <w:sz w:val="24"/>
          <w:highlight w:val="none"/>
        </w:rPr>
        <w:t>招标文件构成</w:t>
      </w:r>
      <w:bookmarkEnd w:id="31"/>
      <w:bookmarkEnd w:id="32"/>
      <w:bookmarkEnd w:id="33"/>
    </w:p>
    <w:p>
      <w:pPr>
        <w:pStyle w:val="21"/>
        <w:spacing w:line="480" w:lineRule="exact"/>
        <w:ind w:left="197" w:leftChars="94" w:firstLine="360" w:firstLineChars="150"/>
        <w:outlineLvl w:val="0"/>
        <w:rPr>
          <w:rFonts w:ascii="宋体"/>
          <w:sz w:val="24"/>
          <w:highlight w:val="none"/>
        </w:rPr>
      </w:pPr>
      <w:bookmarkStart w:id="34" w:name="_Toc27616"/>
      <w:bookmarkStart w:id="35" w:name="_Toc29308"/>
      <w:bookmarkStart w:id="36" w:name="_Toc22244"/>
      <w:r>
        <w:rPr>
          <w:rFonts w:hint="eastAsia" w:ascii="宋体" w:hAnsi="宋体"/>
          <w:sz w:val="24"/>
          <w:highlight w:val="none"/>
        </w:rPr>
        <w:t>本招标文件共分五部分，内容如下：</w:t>
      </w:r>
      <w:bookmarkEnd w:id="34"/>
      <w:bookmarkEnd w:id="35"/>
      <w:bookmarkEnd w:id="36"/>
    </w:p>
    <w:p>
      <w:pPr>
        <w:pStyle w:val="21"/>
        <w:spacing w:line="480" w:lineRule="exact"/>
        <w:ind w:left="199" w:leftChars="95" w:firstLine="840" w:firstLineChars="350"/>
        <w:outlineLvl w:val="0"/>
        <w:rPr>
          <w:rFonts w:ascii="宋体"/>
          <w:sz w:val="24"/>
          <w:highlight w:val="none"/>
        </w:rPr>
      </w:pPr>
      <w:bookmarkStart w:id="37" w:name="_Toc22769"/>
      <w:bookmarkStart w:id="38" w:name="_Toc24847"/>
      <w:bookmarkStart w:id="39" w:name="_Toc22328"/>
      <w:r>
        <w:rPr>
          <w:rFonts w:hint="eastAsia" w:ascii="宋体" w:hAnsi="宋体"/>
          <w:sz w:val="24"/>
          <w:highlight w:val="none"/>
        </w:rPr>
        <w:t>第一部分招标公告</w:t>
      </w:r>
      <w:bookmarkEnd w:id="37"/>
      <w:bookmarkEnd w:id="38"/>
      <w:bookmarkEnd w:id="39"/>
    </w:p>
    <w:p>
      <w:pPr>
        <w:pStyle w:val="21"/>
        <w:spacing w:line="480" w:lineRule="exact"/>
        <w:ind w:left="199" w:leftChars="95" w:firstLine="840" w:firstLineChars="350"/>
        <w:outlineLvl w:val="0"/>
        <w:rPr>
          <w:rFonts w:ascii="宋体"/>
          <w:sz w:val="24"/>
          <w:highlight w:val="none"/>
        </w:rPr>
      </w:pPr>
      <w:bookmarkStart w:id="40" w:name="_Toc21707"/>
      <w:bookmarkStart w:id="41" w:name="_Toc30737"/>
      <w:bookmarkStart w:id="42" w:name="_Toc3662"/>
      <w:r>
        <w:rPr>
          <w:rFonts w:hint="eastAsia" w:ascii="宋体" w:hAnsi="宋体"/>
          <w:sz w:val="24"/>
          <w:highlight w:val="none"/>
        </w:rPr>
        <w:t>第二部分投标人须知</w:t>
      </w:r>
      <w:bookmarkEnd w:id="40"/>
      <w:bookmarkEnd w:id="41"/>
      <w:bookmarkEnd w:id="42"/>
    </w:p>
    <w:p>
      <w:pPr>
        <w:pStyle w:val="21"/>
        <w:spacing w:line="480" w:lineRule="exact"/>
        <w:ind w:left="199" w:leftChars="95" w:firstLine="840" w:firstLineChars="350"/>
        <w:outlineLvl w:val="0"/>
        <w:rPr>
          <w:rFonts w:ascii="宋体"/>
          <w:sz w:val="24"/>
          <w:highlight w:val="none"/>
        </w:rPr>
      </w:pPr>
      <w:bookmarkStart w:id="43" w:name="_Toc6061"/>
      <w:bookmarkStart w:id="44" w:name="_Toc5592"/>
      <w:bookmarkStart w:id="45" w:name="_Toc25164"/>
      <w:r>
        <w:rPr>
          <w:rFonts w:hint="eastAsia" w:ascii="宋体" w:hAnsi="宋体"/>
          <w:sz w:val="24"/>
          <w:highlight w:val="none"/>
        </w:rPr>
        <w:t>第三部分招标要求</w:t>
      </w:r>
      <w:bookmarkEnd w:id="43"/>
      <w:bookmarkEnd w:id="44"/>
      <w:bookmarkEnd w:id="45"/>
    </w:p>
    <w:p>
      <w:pPr>
        <w:pStyle w:val="21"/>
        <w:spacing w:line="480" w:lineRule="exact"/>
        <w:ind w:left="199" w:leftChars="95" w:firstLine="840" w:firstLineChars="350"/>
        <w:outlineLvl w:val="0"/>
        <w:rPr>
          <w:rFonts w:ascii="宋体"/>
          <w:sz w:val="24"/>
          <w:highlight w:val="none"/>
        </w:rPr>
      </w:pPr>
      <w:bookmarkStart w:id="46" w:name="_Toc27874"/>
      <w:bookmarkStart w:id="47" w:name="_Toc26235"/>
      <w:bookmarkStart w:id="48" w:name="_Toc8921"/>
      <w:r>
        <w:rPr>
          <w:rFonts w:hint="eastAsia" w:ascii="宋体" w:hAnsi="宋体"/>
          <w:sz w:val="24"/>
          <w:highlight w:val="none"/>
        </w:rPr>
        <w:t>第四部分合同条款及格式</w:t>
      </w:r>
      <w:bookmarkEnd w:id="46"/>
      <w:bookmarkEnd w:id="47"/>
      <w:bookmarkEnd w:id="48"/>
    </w:p>
    <w:p>
      <w:pPr>
        <w:pStyle w:val="21"/>
        <w:spacing w:line="480" w:lineRule="exact"/>
        <w:ind w:left="199" w:leftChars="95" w:firstLine="840" w:firstLineChars="350"/>
        <w:outlineLvl w:val="0"/>
        <w:rPr>
          <w:rFonts w:ascii="宋体"/>
          <w:sz w:val="24"/>
          <w:highlight w:val="none"/>
        </w:rPr>
      </w:pPr>
      <w:bookmarkStart w:id="49" w:name="_Toc1085"/>
      <w:bookmarkStart w:id="50" w:name="_Toc24995"/>
      <w:bookmarkStart w:id="51" w:name="_Toc23721"/>
      <w:r>
        <w:rPr>
          <w:rFonts w:hint="eastAsia" w:ascii="宋体" w:hAnsi="宋体"/>
          <w:sz w:val="24"/>
          <w:highlight w:val="none"/>
        </w:rPr>
        <w:t>第五部分附件</w:t>
      </w:r>
      <w:bookmarkEnd w:id="49"/>
      <w:bookmarkEnd w:id="50"/>
      <w:bookmarkEnd w:id="51"/>
    </w:p>
    <w:p>
      <w:pPr>
        <w:pStyle w:val="21"/>
        <w:spacing w:line="480" w:lineRule="exact"/>
        <w:ind w:left="197" w:leftChars="94" w:firstLine="376" w:firstLineChars="156"/>
        <w:outlineLvl w:val="0"/>
        <w:rPr>
          <w:rFonts w:ascii="宋体"/>
          <w:b/>
          <w:sz w:val="24"/>
          <w:highlight w:val="none"/>
        </w:rPr>
      </w:pPr>
      <w:bookmarkStart w:id="52" w:name="_Toc27057"/>
      <w:bookmarkStart w:id="53" w:name="_Toc31858"/>
      <w:bookmarkStart w:id="54" w:name="_Toc4919"/>
      <w:r>
        <w:rPr>
          <w:rFonts w:ascii="宋体" w:hAnsi="宋体"/>
          <w:b/>
          <w:sz w:val="24"/>
          <w:highlight w:val="none"/>
        </w:rPr>
        <w:t xml:space="preserve">7.  </w:t>
      </w:r>
      <w:r>
        <w:rPr>
          <w:rFonts w:hint="eastAsia" w:ascii="宋体" w:hAnsi="宋体"/>
          <w:b/>
          <w:sz w:val="24"/>
          <w:highlight w:val="none"/>
        </w:rPr>
        <w:t>招标文件澄清和修改</w:t>
      </w:r>
      <w:bookmarkEnd w:id="52"/>
      <w:bookmarkEnd w:id="53"/>
      <w:bookmarkEnd w:id="54"/>
    </w:p>
    <w:p>
      <w:pPr>
        <w:pStyle w:val="21"/>
        <w:spacing w:line="480" w:lineRule="exact"/>
        <w:ind w:left="286" w:leftChars="136" w:firstLine="480" w:firstLineChars="200"/>
        <w:outlineLvl w:val="0"/>
        <w:rPr>
          <w:rFonts w:ascii="宋体"/>
          <w:sz w:val="24"/>
          <w:highlight w:val="none"/>
        </w:rPr>
      </w:pPr>
      <w:bookmarkStart w:id="55" w:name="_Toc14329"/>
      <w:bookmarkStart w:id="56" w:name="_Toc32322"/>
      <w:bookmarkStart w:id="57"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5"/>
      <w:bookmarkEnd w:id="56"/>
      <w:bookmarkEnd w:id="57"/>
    </w:p>
    <w:p>
      <w:pPr>
        <w:pStyle w:val="21"/>
        <w:spacing w:line="480" w:lineRule="exact"/>
        <w:ind w:left="286" w:leftChars="136" w:firstLine="480" w:firstLineChars="200"/>
        <w:outlineLvl w:val="0"/>
        <w:rPr>
          <w:rFonts w:ascii="宋体"/>
          <w:sz w:val="24"/>
          <w:highlight w:val="none"/>
        </w:rPr>
      </w:pPr>
      <w:bookmarkStart w:id="58" w:name="_Toc30033"/>
      <w:bookmarkStart w:id="59" w:name="_Toc7023"/>
      <w:bookmarkStart w:id="60" w:name="_Toc250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8"/>
      <w:bookmarkEnd w:id="59"/>
      <w:bookmarkEnd w:id="60"/>
    </w:p>
    <w:p>
      <w:pPr>
        <w:pStyle w:val="21"/>
        <w:spacing w:line="480" w:lineRule="exact"/>
        <w:ind w:left="286" w:leftChars="136" w:firstLine="480" w:firstLineChars="200"/>
        <w:outlineLvl w:val="0"/>
        <w:rPr>
          <w:rFonts w:ascii="宋体"/>
          <w:sz w:val="24"/>
          <w:highlight w:val="none"/>
        </w:rPr>
      </w:pPr>
      <w:bookmarkStart w:id="61" w:name="_Toc23881"/>
      <w:bookmarkStart w:id="62" w:name="_Toc27548"/>
      <w:bookmarkStart w:id="63" w:name="_Toc6239"/>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1"/>
      <w:bookmarkEnd w:id="62"/>
      <w:bookmarkEnd w:id="63"/>
    </w:p>
    <w:p>
      <w:pPr>
        <w:pStyle w:val="21"/>
        <w:spacing w:line="480" w:lineRule="exact"/>
        <w:ind w:left="286" w:leftChars="136" w:firstLine="480" w:firstLineChars="200"/>
        <w:outlineLvl w:val="0"/>
        <w:rPr>
          <w:rFonts w:ascii="宋体"/>
          <w:sz w:val="24"/>
          <w:highlight w:val="none"/>
        </w:rPr>
      </w:pPr>
      <w:bookmarkStart w:id="64" w:name="_Toc6905"/>
      <w:bookmarkStart w:id="65" w:name="_Toc17449"/>
      <w:bookmarkStart w:id="66" w:name="_Toc1785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4"/>
      <w:bookmarkEnd w:id="65"/>
      <w:bookmarkEnd w:id="66"/>
    </w:p>
    <w:p>
      <w:pPr>
        <w:pStyle w:val="21"/>
        <w:spacing w:line="480" w:lineRule="exact"/>
        <w:ind w:left="0" w:leftChars="0" w:firstLine="0" w:firstLineChars="0"/>
        <w:outlineLvl w:val="1"/>
        <w:rPr>
          <w:rFonts w:ascii="宋体"/>
          <w:b/>
          <w:sz w:val="28"/>
          <w:highlight w:val="none"/>
        </w:rPr>
      </w:pPr>
      <w:bookmarkStart w:id="67" w:name="_Toc21443"/>
      <w:bookmarkStart w:id="68" w:name="_Toc13670"/>
      <w:bookmarkStart w:id="69" w:name="_Toc20316"/>
      <w:r>
        <w:rPr>
          <w:rFonts w:hint="eastAsia" w:ascii="宋体" w:hAnsi="宋体"/>
          <w:b/>
          <w:sz w:val="28"/>
          <w:highlight w:val="none"/>
        </w:rPr>
        <w:t>三、投标文件编制</w:t>
      </w:r>
      <w:bookmarkEnd w:id="67"/>
      <w:bookmarkEnd w:id="68"/>
      <w:bookmarkEnd w:id="69"/>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8.</w:t>
      </w:r>
      <w:r>
        <w:rPr>
          <w:rFonts w:hint="eastAsia" w:ascii="宋体" w:hAnsi="宋体"/>
          <w:highlight w:val="none"/>
          <w:lang w:val="en-US" w:eastAsia="zh-CN"/>
        </w:rPr>
        <w:t>4</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）医疗器械生产或经营企业许可证、医疗器械注册证或医疗器械备案凭证复印件（临床医疗器械提供）；采购设备标注为可采进口的，所投设备为进口产品需提供生产厂家授权书或代理证书复印件；</w:t>
      </w:r>
    </w:p>
    <w:p>
      <w:pPr>
        <w:pStyle w:val="12"/>
        <w:spacing w:line="480" w:lineRule="exact"/>
        <w:ind w:left="197" w:leftChars="94" w:firstLine="360" w:firstLineChars="15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）投标人所投设备须具有中华人民共和国医疗器械注册证及《医疗器械注册登记表》（临床医疗器械提供）；</w:t>
      </w:r>
    </w:p>
    <w:p>
      <w:pPr>
        <w:pStyle w:val="12"/>
        <w:spacing w:line="480" w:lineRule="exact"/>
        <w:ind w:left="197" w:leftChars="94" w:firstLine="360" w:firstLineChars="150"/>
        <w:rPr>
          <w:rFonts w:ascii="宋体"/>
          <w:sz w:val="24"/>
          <w:highlight w:val="none"/>
        </w:rPr>
      </w:pPr>
      <w:r>
        <w:rPr>
          <w:rFonts w:ascii="宋体" w:hAnsi="宋体"/>
          <w:sz w:val="24"/>
          <w:highlight w:val="none"/>
        </w:rPr>
        <w:t>5</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w:t>
      </w:r>
      <w:r>
        <w:rPr>
          <w:rFonts w:hint="eastAsia" w:ascii="宋体" w:hAnsi="宋体"/>
          <w:sz w:val="24"/>
          <w:highlight w:val="none"/>
          <w:lang w:eastAsia="zh-CN"/>
        </w:rPr>
        <w:t>两</w:t>
      </w:r>
      <w:r>
        <w:rPr>
          <w:rFonts w:hint="eastAsia" w:ascii="宋体" w:hAnsi="宋体"/>
          <w:sz w:val="24"/>
          <w:highlight w:val="none"/>
        </w:rPr>
        <w:t>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11</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12</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13</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14</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15</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19"/>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70" w:name="_Toc5125"/>
      <w:bookmarkStart w:id="71" w:name="_Toc22972"/>
      <w:bookmarkStart w:id="72" w:name="_Toc1694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70"/>
      <w:bookmarkEnd w:id="71"/>
      <w:bookmarkEnd w:id="7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3" w:name="_Toc28577"/>
      <w:bookmarkStart w:id="74" w:name="_Toc8600"/>
      <w:bookmarkStart w:id="75" w:name="_Toc14371"/>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3"/>
      <w:bookmarkEnd w:id="74"/>
      <w:bookmarkEnd w:id="75"/>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6" w:name="_Toc26505"/>
      <w:bookmarkStart w:id="77" w:name="_Toc9239"/>
      <w:bookmarkStart w:id="78" w:name="_Toc28358"/>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6"/>
      <w:bookmarkEnd w:id="77"/>
      <w:bookmarkEnd w:id="78"/>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hint="eastAsia" w:ascii="宋体" w:eastAsia="宋体" w:cs="宋体"/>
          <w:kern w:val="0"/>
          <w:sz w:val="24"/>
          <w:highlight w:val="none"/>
          <w:lang w:eastAsia="zh-CN"/>
        </w:rPr>
      </w:pPr>
      <w:bookmarkStart w:id="79" w:name="_Toc31000"/>
      <w:bookmarkStart w:id="80" w:name="_Toc31899"/>
      <w:bookmarkStart w:id="81" w:name="_Toc9397"/>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9"/>
      <w:bookmarkEnd w:id="80"/>
      <w:bookmarkEnd w:id="8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hint="eastAsia" w:ascii="宋体" w:eastAsia="宋体"/>
          <w:bCs/>
          <w:highlight w:val="none"/>
          <w:lang w:eastAsia="zh-CN"/>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r>
        <w:rPr>
          <w:rFonts w:hint="eastAsia" w:ascii="宋体" w:hAnsi="宋体" w:cs="宋体"/>
          <w:kern w:val="0"/>
          <w:sz w:val="24"/>
          <w:highlight w:val="none"/>
          <w:lang w:eastAsia="zh-CN"/>
        </w:rPr>
        <w:t>。</w:t>
      </w:r>
    </w:p>
    <w:p>
      <w:pPr>
        <w:pStyle w:val="21"/>
        <w:spacing w:line="480" w:lineRule="exact"/>
        <w:ind w:leftChars="0" w:hanging="100" w:firstLineChars="0"/>
        <w:outlineLvl w:val="1"/>
        <w:rPr>
          <w:rFonts w:ascii="宋体"/>
          <w:b/>
          <w:bCs/>
          <w:sz w:val="24"/>
          <w:highlight w:val="none"/>
        </w:rPr>
      </w:pPr>
      <w:bookmarkStart w:id="82" w:name="_Toc3684"/>
      <w:bookmarkStart w:id="83" w:name="_Toc1930"/>
      <w:bookmarkStart w:id="84" w:name="_Toc18910"/>
      <w:r>
        <w:rPr>
          <w:rFonts w:hint="eastAsia" w:ascii="宋体" w:hAnsi="宋体"/>
          <w:b/>
          <w:bCs/>
          <w:sz w:val="24"/>
          <w:highlight w:val="none"/>
        </w:rPr>
        <w:t>四、投标文件递交</w:t>
      </w:r>
      <w:bookmarkEnd w:id="82"/>
      <w:bookmarkEnd w:id="83"/>
      <w:bookmarkEnd w:id="84"/>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5" w:name="_Toc13548"/>
      <w:bookmarkStart w:id="86" w:name="_Toc22790"/>
      <w:bookmarkStart w:id="87" w:name="_Toc5371"/>
      <w:r>
        <w:rPr>
          <w:rFonts w:ascii="宋体" w:hAnsi="宋体"/>
          <w:bCs/>
          <w:sz w:val="24"/>
          <w:highlight w:val="none"/>
        </w:rPr>
        <w:t xml:space="preserve">18.  </w:t>
      </w:r>
      <w:r>
        <w:rPr>
          <w:rFonts w:hint="eastAsia" w:ascii="宋体" w:hAnsi="宋体"/>
          <w:bCs/>
          <w:sz w:val="24"/>
          <w:highlight w:val="none"/>
        </w:rPr>
        <w:t>投标文件修改与撤回</w:t>
      </w:r>
      <w:bookmarkEnd w:id="85"/>
      <w:bookmarkEnd w:id="86"/>
      <w:bookmarkEnd w:id="87"/>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8" w:name="_Toc29966"/>
      <w:bookmarkStart w:id="89" w:name="_Toc142"/>
      <w:r>
        <w:rPr>
          <w:rFonts w:hint="eastAsia" w:ascii="宋体" w:hAnsi="宋体"/>
          <w:b/>
          <w:bCs/>
          <w:sz w:val="24"/>
          <w:highlight w:val="none"/>
        </w:rPr>
        <w:t>五、开标与评标</w:t>
      </w:r>
      <w:bookmarkEnd w:id="88"/>
      <w:bookmarkEnd w:id="89"/>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(4) </w:t>
      </w:r>
      <w:r>
        <w:rPr>
          <w:rFonts w:hint="eastAsia" w:ascii="宋体" w:hAnsi="宋体"/>
          <w:bCs/>
          <w:highlight w:val="none"/>
        </w:rPr>
        <w:t>投标人名称或组织结构与购买招标文件时不一致的；</w:t>
      </w:r>
      <w:r>
        <w:rPr>
          <w:rFonts w:hint="eastAsia" w:ascii="宋体" w:hAnsi="宋体"/>
          <w:bCs/>
          <w:highlight w:val="none"/>
          <w:lang w:eastAsia="zh-CN"/>
        </w:rPr>
        <w:t>‘</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w:t>
      </w:r>
      <w:r>
        <w:rPr>
          <w:rFonts w:hint="eastAsia" w:ascii="宋体" w:hAnsi="宋体"/>
          <w:bCs/>
          <w:highlight w:val="none"/>
          <w:lang w:val="en-US" w:eastAsia="zh-CN"/>
        </w:rPr>
        <w:t>6</w:t>
      </w:r>
      <w:r>
        <w:rPr>
          <w:rFonts w:ascii="宋体" w:hAnsi="宋体"/>
          <w:bCs/>
          <w:highlight w:val="none"/>
        </w:rPr>
        <w:t>)</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r>
        <w:rPr>
          <w:rFonts w:hint="eastAsia" w:ascii="宋体" w:hAnsi="宋体"/>
          <w:bCs/>
          <w:highlight w:val="none"/>
        </w:rPr>
        <w:t>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90" w:name="_Toc24408"/>
      <w:bookmarkStart w:id="91" w:name="_Toc6823"/>
      <w:bookmarkStart w:id="92" w:name="_Toc26178"/>
      <w:r>
        <w:rPr>
          <w:rFonts w:ascii="宋体" w:hAnsi="宋体"/>
          <w:bCs/>
          <w:sz w:val="24"/>
          <w:highlight w:val="none"/>
        </w:rPr>
        <w:t xml:space="preserve">21.  </w:t>
      </w:r>
      <w:r>
        <w:rPr>
          <w:rFonts w:hint="eastAsia" w:ascii="宋体" w:hAnsi="宋体"/>
          <w:bCs/>
          <w:sz w:val="24"/>
          <w:highlight w:val="none"/>
        </w:rPr>
        <w:t>评标原则</w:t>
      </w:r>
      <w:bookmarkEnd w:id="90"/>
      <w:bookmarkEnd w:id="91"/>
      <w:bookmarkEnd w:id="92"/>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tabs>
          <w:tab w:val="left" w:pos="0"/>
        </w:tabs>
        <w:spacing w:line="480" w:lineRule="exact"/>
        <w:ind w:firstLine="720" w:firstLineChars="300"/>
        <w:rPr>
          <w:rFonts w:hint="eastAsia" w:ascii="宋体" w:hAnsi="宋体" w:eastAsia="宋体"/>
          <w:bCs/>
          <w:highlight w:val="none"/>
          <w:lang w:val="en-US" w:eastAsia="zh-CN"/>
        </w:rPr>
      </w:pPr>
      <w:r>
        <w:rPr>
          <w:rFonts w:hint="eastAsia" w:ascii="宋体" w:hAnsi="宋体"/>
          <w:bCs/>
          <w:highlight w:val="none"/>
          <w:lang w:val="en-US" w:eastAsia="zh-CN"/>
        </w:rPr>
        <w:t>I、未全部响应招标文件规定的实质性要求（含*项）的；</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3" w:name="_Toc27597"/>
      <w:bookmarkStart w:id="94" w:name="_Toc31292"/>
      <w:bookmarkStart w:id="95" w:name="_Toc2195"/>
      <w:r>
        <w:rPr>
          <w:rFonts w:ascii="宋体" w:hAnsi="宋体"/>
          <w:bCs/>
          <w:sz w:val="24"/>
          <w:highlight w:val="none"/>
        </w:rPr>
        <w:t xml:space="preserve">24.  </w:t>
      </w:r>
      <w:r>
        <w:rPr>
          <w:rFonts w:hint="eastAsia" w:ascii="宋体" w:hAnsi="宋体"/>
          <w:bCs/>
          <w:sz w:val="24"/>
          <w:highlight w:val="none"/>
        </w:rPr>
        <w:t>综合评审</w:t>
      </w:r>
      <w:bookmarkEnd w:id="93"/>
      <w:bookmarkEnd w:id="94"/>
      <w:bookmarkEnd w:id="95"/>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19"/>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19"/>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none"/>
        </w:rPr>
      </w:pPr>
      <w:bookmarkStart w:id="96" w:name="_Toc482367258"/>
      <w:bookmarkStart w:id="97" w:name="_Toc326"/>
      <w:r>
        <w:rPr>
          <w:rFonts w:ascii="宋体"/>
          <w:b/>
          <w:bCs/>
          <w:sz w:val="32"/>
          <w:szCs w:val="32"/>
          <w:highlight w:val="none"/>
        </w:rPr>
        <w:br w:type="page"/>
      </w:r>
      <w:r>
        <w:rPr>
          <w:rFonts w:hint="eastAsia" w:ascii="宋体" w:hAnsi="宋体"/>
          <w:b/>
          <w:bCs/>
          <w:sz w:val="32"/>
          <w:szCs w:val="32"/>
          <w:highlight w:val="none"/>
        </w:rPr>
        <w:t>评分细则</w:t>
      </w:r>
      <w:bookmarkEnd w:id="96"/>
      <w:bookmarkEnd w:id="97"/>
    </w:p>
    <w:tbl>
      <w:tblPr>
        <w:tblStyle w:val="49"/>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958"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19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1</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产品整体配备优良，主要技术性能、指标、功能优于招标文件要求，生产工艺先进、性能稳定，故障率低，检测报告齐全得</w:t>
            </w:r>
            <w:r>
              <w:rPr>
                <w:rFonts w:hint="eastAsia" w:ascii="宋体" w:hAnsi="宋体"/>
                <w:color w:val="000000"/>
                <w:sz w:val="24"/>
                <w:highlight w:val="none"/>
                <w:lang w:val="en-US" w:eastAsia="zh-CN"/>
              </w:rPr>
              <w:t>25</w:t>
            </w:r>
            <w:r>
              <w:rPr>
                <w:rFonts w:hint="eastAsia" w:ascii="宋体" w:hAnsi="宋体" w:eastAsia="宋体"/>
                <w:color w:val="000000"/>
                <w:sz w:val="24"/>
                <w:highlight w:val="none"/>
              </w:rPr>
              <w:t>-</w:t>
            </w:r>
            <w:r>
              <w:rPr>
                <w:rFonts w:hint="eastAsia" w:ascii="宋体" w:hAnsi="宋体"/>
                <w:color w:val="000000"/>
                <w:sz w:val="24"/>
                <w:highlight w:val="none"/>
                <w:lang w:val="en-US" w:eastAsia="zh-CN"/>
              </w:rPr>
              <w:t>30</w:t>
            </w:r>
            <w:r>
              <w:rPr>
                <w:rFonts w:hint="eastAsia" w:ascii="宋体" w:hAnsi="宋体" w:eastAsia="宋体"/>
                <w:color w:val="000000"/>
                <w:sz w:val="24"/>
                <w:highlight w:val="none"/>
              </w:rPr>
              <w:t>分；</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产品整体配备较好，主要技术性能、指标、功能符合招标文件要求，生产工艺先进、性能稳定，故障率较低，检测报告齐全得15-2</w:t>
            </w:r>
            <w:r>
              <w:rPr>
                <w:rFonts w:hint="eastAsia" w:ascii="宋体" w:hAnsi="宋体"/>
                <w:color w:val="000000"/>
                <w:sz w:val="24"/>
                <w:highlight w:val="none"/>
                <w:lang w:val="en-US" w:eastAsia="zh-CN"/>
              </w:rPr>
              <w:t>5</w:t>
            </w:r>
            <w:r>
              <w:rPr>
                <w:rFonts w:hint="eastAsia" w:ascii="宋体" w:hAnsi="宋体" w:eastAsia="宋体"/>
                <w:color w:val="000000"/>
                <w:sz w:val="24"/>
                <w:highlight w:val="none"/>
              </w:rPr>
              <w:t>分；</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产品整体配备一般，主要技术性能、指标、功能基本符合招标文件要求，生产工艺良好、性能稳定性一般，得3-15分，若此条缺项不得分</w:t>
            </w:r>
            <w:r>
              <w:rPr>
                <w:rFonts w:hint="eastAsia" w:ascii="宋体" w:hAnsi="宋体"/>
                <w:color w:val="000000"/>
                <w:sz w:val="24"/>
                <w:highlight w:val="none"/>
                <w:lang w:eastAsia="zh-CN"/>
              </w:rPr>
              <w:t>。</w:t>
            </w:r>
            <w:r>
              <w:rPr>
                <w:rFonts w:hint="eastAsia" w:ascii="宋体" w:hAnsi="宋体" w:eastAsia="宋体"/>
                <w:color w:val="000000"/>
                <w:sz w:val="24"/>
                <w:highlight w:val="none"/>
              </w:rPr>
              <w:t>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eastAsia="宋体"/>
                <w:color w:val="000000"/>
                <w:sz w:val="24"/>
                <w:highlight w:val="none"/>
              </w:rPr>
              <w:t>2、由评委根据投标人所提供产品的技术参数和配置要求及对临床医学使用、实验室应用具有实际意义的独有和特色技术的描述打分</w:t>
            </w:r>
            <w:r>
              <w:rPr>
                <w:rFonts w:hint="eastAsia" w:ascii="宋体" w:hAnsi="宋体"/>
                <w:color w:val="000000"/>
                <w:sz w:val="24"/>
                <w:highlight w:val="none"/>
                <w:lang w:eastAsia="zh-CN"/>
              </w:rPr>
              <w:t>。</w:t>
            </w:r>
            <w:r>
              <w:rPr>
                <w:rFonts w:hint="eastAsia" w:ascii="宋体" w:hAnsi="宋体" w:eastAsia="宋体"/>
                <w:color w:val="000000"/>
                <w:sz w:val="24"/>
                <w:highlight w:val="none"/>
              </w:rPr>
              <w:t>表述详细、合理最大化满足采购人需求的得10-15分，</w:t>
            </w:r>
            <w:r>
              <w:rPr>
                <w:rFonts w:hint="eastAsia" w:ascii="宋体" w:hAnsi="宋体" w:eastAsia="宋体"/>
                <w:color w:val="000000"/>
                <w:sz w:val="24"/>
                <w:highlight w:val="none"/>
                <w:lang w:val="en-US" w:eastAsia="zh-CN"/>
              </w:rPr>
              <w:t>满足得</w:t>
            </w:r>
            <w:r>
              <w:rPr>
                <w:rFonts w:hint="eastAsia" w:ascii="宋体" w:hAnsi="宋体" w:eastAsia="宋体"/>
                <w:color w:val="000000"/>
                <w:sz w:val="24"/>
                <w:highlight w:val="none"/>
              </w:rPr>
              <w:t>6-10分，</w:t>
            </w:r>
            <w:r>
              <w:rPr>
                <w:rFonts w:hint="eastAsia" w:ascii="宋体" w:hAnsi="宋体" w:eastAsia="宋体"/>
                <w:color w:val="000000"/>
                <w:sz w:val="24"/>
                <w:highlight w:val="none"/>
                <w:lang w:val="en-US" w:eastAsia="zh-CN"/>
              </w:rPr>
              <w:t>基本满足得</w:t>
            </w:r>
            <w:r>
              <w:rPr>
                <w:rFonts w:hint="eastAsia" w:ascii="宋体" w:hAnsi="宋体" w:eastAsia="宋体"/>
                <w:color w:val="000000"/>
                <w:sz w:val="24"/>
                <w:highlight w:val="none"/>
              </w:rPr>
              <w:t>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保证措施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对招标文件中质量保证措施和保证交货期措施进行评定。表述详细、合理该项得</w:t>
            </w:r>
            <w:r>
              <w:rPr>
                <w:rFonts w:hint="eastAsia" w:ascii="宋体" w:hAnsi="宋体"/>
                <w:color w:val="000000"/>
                <w:sz w:val="24"/>
                <w:highlight w:val="none"/>
                <w:lang w:val="en-US" w:eastAsia="zh-CN"/>
              </w:rPr>
              <w:t>3-5</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1-3</w:t>
            </w:r>
            <w:r>
              <w:rPr>
                <w:rFonts w:hint="eastAsia" w:ascii="宋体" w:hAnsi="宋体"/>
                <w:color w:val="000000"/>
                <w:sz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安装调试方案切实可行,进度计划完善，表述详细、合理该项得</w:t>
            </w:r>
            <w:r>
              <w:rPr>
                <w:rFonts w:hint="eastAsia" w:ascii="宋体" w:hAnsi="宋体"/>
                <w:color w:val="000000"/>
                <w:sz w:val="24"/>
                <w:highlight w:val="none"/>
                <w:lang w:val="en-US" w:eastAsia="zh-CN"/>
              </w:rPr>
              <w:t>2-3</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1-2</w:t>
            </w:r>
            <w:r>
              <w:rPr>
                <w:rFonts w:hint="eastAsia" w:ascii="宋体" w:hAnsi="宋体"/>
                <w:color w:val="000000"/>
                <w:sz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正常使用，表述详细、合理该项得</w:t>
            </w:r>
            <w:r>
              <w:rPr>
                <w:rFonts w:hint="eastAsia" w:ascii="宋体" w:hAnsi="宋体"/>
                <w:color w:val="000000"/>
                <w:sz w:val="24"/>
                <w:highlight w:val="none"/>
                <w:lang w:val="en-US" w:eastAsia="zh-CN"/>
              </w:rPr>
              <w:t>3-5</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1-3</w:t>
            </w:r>
            <w:r>
              <w:rPr>
                <w:rFonts w:hint="eastAsia" w:ascii="宋体" w:hAnsi="宋体"/>
                <w:color w:val="000000"/>
                <w:sz w:val="24"/>
                <w:highlight w:val="none"/>
              </w:rPr>
              <w:t>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培训计划</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 xml:space="preserve">服务（售后维修、技术支持、技术培训、备品备件供应）及时周到且有相应的承诺和保证措施，表述详细、合理最大化满足采购人 </w:t>
            </w:r>
          </w:p>
          <w:p>
            <w:pPr>
              <w:spacing w:line="340" w:lineRule="atLeast"/>
              <w:rPr>
                <w:rFonts w:hint="eastAsia" w:ascii="宋体" w:hAnsi="宋体"/>
                <w:color w:val="000000"/>
                <w:sz w:val="24"/>
                <w:highlight w:val="none"/>
              </w:rPr>
            </w:pPr>
            <w:r>
              <w:rPr>
                <w:rFonts w:hint="eastAsia" w:ascii="宋体" w:hAnsi="宋体"/>
                <w:color w:val="000000"/>
                <w:sz w:val="24"/>
                <w:highlight w:val="none"/>
              </w:rPr>
              <w:t>需求的得</w:t>
            </w:r>
            <w:r>
              <w:rPr>
                <w:rFonts w:hint="eastAsia" w:ascii="宋体" w:hAnsi="宋体"/>
                <w:color w:val="000000"/>
                <w:sz w:val="24"/>
                <w:highlight w:val="none"/>
                <w:lang w:val="en-US" w:eastAsia="zh-CN"/>
              </w:rPr>
              <w:t>3-6</w:t>
            </w:r>
            <w:r>
              <w:rPr>
                <w:rFonts w:hint="eastAsia" w:ascii="宋体" w:hAnsi="宋体"/>
                <w:color w:val="000000"/>
                <w:sz w:val="24"/>
                <w:highlight w:val="none"/>
              </w:rPr>
              <w:t>分；基本满足的得</w:t>
            </w:r>
            <w:r>
              <w:rPr>
                <w:rFonts w:hint="eastAsia" w:ascii="宋体" w:hAnsi="宋体"/>
                <w:color w:val="000000"/>
                <w:sz w:val="24"/>
                <w:highlight w:val="none"/>
                <w:lang w:val="en-US" w:eastAsia="zh-CN"/>
              </w:rPr>
              <w:t>1-3</w:t>
            </w:r>
            <w:r>
              <w:rPr>
                <w:rFonts w:hint="eastAsia" w:ascii="宋体" w:hAnsi="宋体"/>
                <w:color w:val="000000"/>
                <w:sz w:val="24"/>
                <w:highlight w:val="none"/>
              </w:rPr>
              <w:t xml:space="preserve">分；差或没有该项不得分。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10</w:t>
            </w:r>
            <w:r>
              <w:rPr>
                <w:rFonts w:hint="eastAsia" w:ascii="宋体" w:hAnsi="宋体"/>
                <w:color w:val="000000"/>
                <w:sz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u w:val="single"/>
        </w:rPr>
      </w:pPr>
      <w:r>
        <w:rPr>
          <w:rFonts w:hint="eastAsia" w:ascii="宋体" w:hAnsi="宋体"/>
          <w:color w:val="000000"/>
          <w:sz w:val="24"/>
          <w:highlight w:val="none"/>
        </w:rPr>
        <w:t>说明：</w:t>
      </w: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hint="eastAsia" w:ascii="宋体" w:hAnsi="宋体"/>
          <w:bCs/>
          <w:highlight w:val="none"/>
        </w:rPr>
      </w:pPr>
      <w:r>
        <w:rPr>
          <w:rFonts w:hint="eastAsia" w:ascii="宋体" w:hAnsi="宋体"/>
          <w:bCs/>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2"/>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8" w:name="_Toc30962"/>
      <w:bookmarkStart w:id="99" w:name="_Toc29202"/>
      <w:bookmarkStart w:id="100" w:name="_Toc10857"/>
      <w:r>
        <w:rPr>
          <w:rFonts w:ascii="宋体" w:hAnsi="宋体"/>
          <w:bCs/>
          <w:sz w:val="24"/>
          <w:highlight w:val="none"/>
        </w:rPr>
        <w:t xml:space="preserve">27.  </w:t>
      </w:r>
      <w:r>
        <w:rPr>
          <w:rFonts w:hint="eastAsia" w:ascii="宋体" w:hAnsi="宋体"/>
          <w:bCs/>
          <w:sz w:val="24"/>
          <w:highlight w:val="none"/>
        </w:rPr>
        <w:t>投标人瑕疵滞后的处理</w:t>
      </w:r>
      <w:bookmarkEnd w:id="98"/>
      <w:bookmarkEnd w:id="99"/>
      <w:bookmarkEnd w:id="100"/>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1" w:name="_Toc7870"/>
      <w:bookmarkStart w:id="102" w:name="_Toc28609"/>
      <w:r>
        <w:rPr>
          <w:rFonts w:hint="eastAsia" w:ascii="宋体" w:hAnsi="宋体"/>
          <w:b/>
          <w:bCs/>
          <w:sz w:val="24"/>
          <w:highlight w:val="none"/>
        </w:rPr>
        <w:t>六、合同签订</w:t>
      </w:r>
      <w:bookmarkEnd w:id="101"/>
      <w:bookmarkEnd w:id="102"/>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3" w:name="_Toc3157"/>
      <w:bookmarkStart w:id="104" w:name="_Toc13878"/>
      <w:bookmarkStart w:id="105" w:name="_Toc30952"/>
      <w:r>
        <w:rPr>
          <w:rFonts w:hint="eastAsia" w:ascii="宋体" w:hAnsi="宋体"/>
          <w:b/>
          <w:bCs/>
          <w:sz w:val="24"/>
          <w:highlight w:val="none"/>
        </w:rPr>
        <w:t>七、处罚、质疑</w:t>
      </w:r>
      <w:bookmarkEnd w:id="103"/>
      <w:bookmarkEnd w:id="104"/>
      <w:bookmarkEnd w:id="105"/>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6" w:name="_Toc1537"/>
      <w:bookmarkStart w:id="107" w:name="_Toc26147"/>
      <w:bookmarkStart w:id="108" w:name="_Toc1876"/>
      <w:r>
        <w:rPr>
          <w:rFonts w:hint="eastAsia" w:ascii="宋体" w:hAnsi="宋体"/>
          <w:b/>
          <w:bCs/>
          <w:sz w:val="24"/>
          <w:highlight w:val="none"/>
        </w:rPr>
        <w:t>八、保密</w:t>
      </w:r>
      <w:bookmarkEnd w:id="106"/>
      <w:bookmarkEnd w:id="107"/>
      <w:bookmarkEnd w:id="108"/>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9" w:name="_Toc11927"/>
      <w:bookmarkStart w:id="110" w:name="_Toc14534"/>
      <w:bookmarkStart w:id="111" w:name="_Toc28213"/>
      <w:r>
        <w:rPr>
          <w:rFonts w:hint="eastAsia" w:ascii="宋体" w:hAnsi="宋体"/>
          <w:b/>
          <w:bCs/>
          <w:sz w:val="24"/>
          <w:highlight w:val="none"/>
        </w:rPr>
        <w:t>九、专利权</w:t>
      </w:r>
      <w:bookmarkEnd w:id="109"/>
      <w:bookmarkEnd w:id="110"/>
      <w:bookmarkEnd w:id="111"/>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2" w:name="_Toc1386"/>
      <w:bookmarkStart w:id="113" w:name="_Toc9163"/>
      <w:bookmarkStart w:id="114" w:name="_Toc5288"/>
      <w:r>
        <w:rPr>
          <w:rFonts w:hint="eastAsia" w:ascii="宋体" w:hAnsi="宋体"/>
          <w:b/>
          <w:bCs/>
          <w:sz w:val="24"/>
          <w:highlight w:val="none"/>
        </w:rPr>
        <w:t>十、解释权</w:t>
      </w:r>
      <w:bookmarkEnd w:id="112"/>
      <w:bookmarkEnd w:id="113"/>
      <w:bookmarkEnd w:id="114"/>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5" w:name="_Toc27088"/>
      <w:bookmarkStart w:id="116" w:name="_Toc1488"/>
      <w:bookmarkStart w:id="117" w:name="_Toc8805"/>
      <w:r>
        <w:rPr>
          <w:rFonts w:hint="eastAsia" w:ascii="宋体" w:hAnsi="宋体"/>
          <w:b/>
          <w:bCs/>
          <w:sz w:val="24"/>
          <w:highlight w:val="none"/>
        </w:rPr>
        <w:t>十一、其他</w:t>
      </w:r>
      <w:bookmarkEnd w:id="115"/>
      <w:bookmarkEnd w:id="116"/>
      <w:bookmarkEnd w:id="117"/>
    </w:p>
    <w:p>
      <w:pPr>
        <w:pStyle w:val="21"/>
        <w:numPr>
          <w:ilvl w:val="0"/>
          <w:numId w:val="3"/>
        </w:numPr>
        <w:snapToGrid w:val="0"/>
        <w:spacing w:line="360" w:lineRule="auto"/>
        <w:ind w:leftChars="0" w:firstLineChars="0"/>
        <w:outlineLvl w:val="0"/>
        <w:rPr>
          <w:rFonts w:ascii="宋体"/>
          <w:bCs/>
          <w:sz w:val="24"/>
          <w:highlight w:val="none"/>
        </w:rPr>
      </w:pPr>
      <w:bookmarkStart w:id="118" w:name="_Toc17247"/>
      <w:bookmarkStart w:id="119" w:name="_Toc19127"/>
      <w:bookmarkStart w:id="120" w:name="_Toc30190"/>
      <w:r>
        <w:rPr>
          <w:rFonts w:hint="eastAsia" w:ascii="宋体" w:hAnsi="宋体"/>
          <w:bCs/>
          <w:sz w:val="24"/>
          <w:highlight w:val="none"/>
        </w:rPr>
        <w:t>其他</w:t>
      </w:r>
      <w:bookmarkEnd w:id="118"/>
      <w:bookmarkEnd w:id="119"/>
      <w:bookmarkEnd w:id="120"/>
    </w:p>
    <w:p>
      <w:pPr>
        <w:pStyle w:val="21"/>
        <w:snapToGrid w:val="0"/>
        <w:spacing w:line="360" w:lineRule="auto"/>
        <w:ind w:left="570" w:leftChars="0" w:firstLine="0" w:firstLineChars="0"/>
        <w:outlineLvl w:val="0"/>
        <w:rPr>
          <w:rFonts w:ascii="宋体"/>
          <w:bCs/>
          <w:sz w:val="24"/>
          <w:highlight w:val="none"/>
        </w:rPr>
      </w:pPr>
      <w:bookmarkStart w:id="121" w:name="_Toc7890"/>
      <w:bookmarkStart w:id="122" w:name="_Toc12623"/>
      <w:bookmarkStart w:id="123" w:name="_Toc4557"/>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1"/>
      <w:bookmarkEnd w:id="122"/>
      <w:bookmarkEnd w:id="123"/>
    </w:p>
    <w:p>
      <w:pPr>
        <w:pStyle w:val="21"/>
        <w:snapToGrid w:val="0"/>
        <w:spacing w:line="360" w:lineRule="auto"/>
        <w:ind w:left="570" w:leftChars="0" w:firstLine="0" w:firstLineChars="0"/>
        <w:outlineLvl w:val="0"/>
        <w:rPr>
          <w:rFonts w:ascii="宋体"/>
          <w:bCs/>
          <w:sz w:val="24"/>
          <w:highlight w:val="none"/>
        </w:rPr>
      </w:pPr>
      <w:bookmarkStart w:id="124" w:name="_Toc30966"/>
      <w:bookmarkStart w:id="125" w:name="_Toc9875"/>
      <w:bookmarkStart w:id="126" w:name="_Toc20220"/>
      <w:r>
        <w:rPr>
          <w:rFonts w:ascii="宋体" w:hAnsi="宋体"/>
          <w:bCs/>
          <w:sz w:val="24"/>
          <w:highlight w:val="none"/>
        </w:rPr>
        <w:t xml:space="preserve">36.2 </w:t>
      </w:r>
      <w:r>
        <w:rPr>
          <w:rFonts w:hint="eastAsia" w:ascii="宋体" w:hAnsi="宋体"/>
          <w:bCs/>
          <w:sz w:val="24"/>
          <w:highlight w:val="none"/>
        </w:rPr>
        <w:t>招标人不保证低价中标。</w:t>
      </w:r>
      <w:bookmarkEnd w:id="124"/>
      <w:bookmarkEnd w:id="125"/>
      <w:bookmarkEnd w:id="126"/>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7" w:name="_Toc21726"/>
      <w:r>
        <w:rPr>
          <w:rFonts w:hint="eastAsia" w:ascii="宋体" w:hAnsi="宋体"/>
          <w:b/>
          <w:sz w:val="36"/>
          <w:highlight w:val="none"/>
        </w:rPr>
        <w:t>第三部分招标要求</w:t>
      </w:r>
      <w:bookmarkEnd w:id="127"/>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w:t>
      </w:r>
      <w:r>
        <w:rPr>
          <w:rFonts w:hint="eastAsia"/>
          <w:sz w:val="24"/>
          <w:szCs w:val="24"/>
          <w:highlight w:val="none"/>
          <w:lang w:eastAsia="zh-CN"/>
        </w:rPr>
        <w:t>山东大学第二医院实验类设备采购项目</w:t>
      </w:r>
      <w:r>
        <w:rPr>
          <w:rFonts w:hint="eastAsia"/>
          <w:b w:val="0"/>
          <w:bCs w:val="0"/>
          <w:sz w:val="24"/>
          <w:szCs w:val="24"/>
          <w:highlight w:val="none"/>
        </w:rPr>
        <w:t>。</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0"/>
        <w:spacing w:line="360" w:lineRule="auto"/>
        <w:ind w:left="0" w:leftChars="0" w:firstLine="0" w:firstLineChars="0"/>
        <w:jc w:val="left"/>
        <w:rPr>
          <w:rFonts w:hint="eastAsia"/>
          <w:kern w:val="2"/>
          <w:sz w:val="24"/>
          <w:szCs w:val="24"/>
          <w:highlight w:val="none"/>
          <w:lang w:eastAsia="zh-CN"/>
        </w:rPr>
      </w:pPr>
      <w:r>
        <w:rPr>
          <w:kern w:val="2"/>
          <w:sz w:val="24"/>
          <w:szCs w:val="24"/>
          <w:highlight w:val="none"/>
        </w:rPr>
        <w:t xml:space="preserve"> </w:t>
      </w:r>
      <w:r>
        <w:rPr>
          <w:rFonts w:hint="eastAsia"/>
          <w:kern w:val="2"/>
          <w:sz w:val="24"/>
          <w:szCs w:val="24"/>
          <w:highlight w:val="none"/>
        </w:rPr>
        <w:t xml:space="preserve"> 3、质保期：</w:t>
      </w:r>
      <w:r>
        <w:rPr>
          <w:rFonts w:hint="eastAsia"/>
          <w:kern w:val="2"/>
          <w:sz w:val="24"/>
          <w:szCs w:val="24"/>
          <w:highlight w:val="none"/>
          <w:lang w:eastAsia="zh-CN"/>
        </w:rPr>
        <w:t>具体详见各包技术要求和参数</w:t>
      </w:r>
      <w:r>
        <w:rPr>
          <w:rFonts w:hint="eastAsia"/>
          <w:kern w:val="2"/>
          <w:sz w:val="24"/>
          <w:szCs w:val="24"/>
          <w:highlight w:val="none"/>
        </w:rPr>
        <w:t>；</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highlight w:val="none"/>
        </w:rPr>
      </w:pPr>
      <w:bookmarkStart w:id="128" w:name="_Toc2031"/>
      <w:r>
        <w:rPr>
          <w:rFonts w:hint="eastAsia" w:ascii="宋体" w:hAnsi="宋体"/>
          <w:b/>
          <w:bCs/>
          <w:color w:val="000000"/>
          <w:sz w:val="24"/>
          <w:lang w:eastAsia="zh-CN"/>
        </w:rPr>
        <w:t>实验类设备</w:t>
      </w:r>
      <w:r>
        <w:rPr>
          <w:rFonts w:hint="eastAsia" w:ascii="宋体" w:hAnsi="宋体"/>
          <w:b/>
          <w:bCs/>
          <w:color w:val="auto"/>
          <w:sz w:val="24"/>
          <w:lang w:eastAsia="zh-CN"/>
        </w:rPr>
        <w:t>一批，质保二年以上，</w:t>
      </w:r>
      <w:r>
        <w:rPr>
          <w:rFonts w:hint="eastAsia" w:ascii="宋体" w:hAnsi="宋体"/>
          <w:b/>
          <w:bCs/>
          <w:color w:val="000000"/>
          <w:sz w:val="24"/>
          <w:lang w:eastAsia="zh-CN"/>
        </w:rPr>
        <w:t>具体需求如下：</w:t>
      </w:r>
    </w:p>
    <w:p>
      <w:pPr>
        <w:pStyle w:val="130"/>
        <w:keepNext w:val="0"/>
        <w:keepLines w:val="0"/>
        <w:pageBreakBefore w:val="0"/>
        <w:numPr>
          <w:ilvl w:val="0"/>
          <w:numId w:val="4"/>
        </w:numPr>
        <w:kinsoku/>
        <w:wordWrap/>
        <w:overflowPunct/>
        <w:topLinePunct w:val="0"/>
        <w:autoSpaceDE/>
        <w:autoSpaceDN/>
        <w:bidi w:val="0"/>
        <w:spacing w:line="360" w:lineRule="auto"/>
        <w:ind w:firstLineChars="0"/>
        <w:textAlignment w:val="auto"/>
        <w:rPr>
          <w:rFonts w:asciiTheme="minorEastAsia" w:hAnsiTheme="minorEastAsia" w:eastAsiaTheme="minorEastAsia"/>
          <w:sz w:val="24"/>
        </w:rPr>
      </w:pPr>
      <w:r>
        <w:rPr>
          <w:rFonts w:hint="eastAsia" w:asciiTheme="minorEastAsia" w:hAnsiTheme="minorEastAsia" w:eastAsiaTheme="minorEastAsia"/>
          <w:b/>
          <w:bCs/>
          <w:color w:val="auto"/>
          <w:sz w:val="24"/>
          <w:lang w:eastAsia="zh-CN"/>
        </w:rPr>
        <w:t>气套式二氧化碳培养箱</w:t>
      </w:r>
      <w:r>
        <w:rPr>
          <w:rFonts w:hint="eastAsia" w:asciiTheme="minorEastAsia" w:hAnsiTheme="minorEastAsia" w:eastAsiaTheme="minorEastAsia"/>
          <w:b/>
          <w:bCs/>
          <w:color w:val="auto"/>
          <w:sz w:val="24"/>
          <w:lang w:val="en-US" w:eastAsia="zh-CN"/>
        </w:rPr>
        <w:t>5台，可采进口</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工作条件：环境温度：18-34℃；工作电压：220V  50Hz</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温度控制模式：直接加热气套式,包含3个温控区8个 温控单元</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温度控制范围：环境温度+3-60.0℃；均一性：＜±0.2℃；精度：＜±0.1℃</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温度恢复时间（开门1min后），无冲温现象：6mins</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CO2控制系统： PID微电脑程序控制</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CO2含量范围：0-20%CO2  精度：±0.1%CO2</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CO2传感器：单束双波红外传感器实现CO2浓度零漂移，具备自动校准功能</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CO2浓度恢复时间（开门1min后），无过冲现象：5--6mins</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加湿方式：增湿水盘，可自由取出，便于清洁，避免微生物交叉污染</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相对湿度：环境湿度～97%RH</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sz w:val="24"/>
          <w:lang w:eastAsia="zh-CN"/>
        </w:rPr>
      </w:pPr>
      <w:r>
        <w:rPr>
          <w:rFonts w:hint="eastAsia" w:ascii="宋体" w:hAnsi="宋体"/>
          <w:sz w:val="24"/>
        </w:rPr>
        <w:t>内腔体积：170L</w:t>
      </w:r>
      <w:r>
        <w:rPr>
          <w:rFonts w:hint="eastAsia" w:ascii="宋体" w:hAnsi="宋体"/>
          <w:sz w:val="24"/>
          <w:lang w:eastAsia="zh-CN"/>
        </w:rPr>
        <w:t>以上</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标配隔板数：4块；最大隔板数：7块，防倾倒，防脱手全不锈钢带孔搁板</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最大消耗功率：800W；稳定能耗功率（37℃）：80W</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right="-466" w:rightChars="-222" w:hanging="425" w:firstLineChars="0"/>
        <w:textAlignment w:val="auto"/>
        <w:rPr>
          <w:rFonts w:hint="eastAsia" w:ascii="宋体" w:hAnsi="宋体"/>
          <w:sz w:val="24"/>
        </w:rPr>
      </w:pPr>
      <w:r>
        <w:rPr>
          <w:rFonts w:hint="eastAsia" w:ascii="宋体" w:hAnsi="宋体"/>
          <w:sz w:val="24"/>
        </w:rPr>
        <w:t>主体结构：镀锌钢板。内腔结构：304#不锈钢内胆，一体式设计，大圆弧角光滑内壁</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多重除/灭菌功能：腔体内部90℃高温湿热循环灭菌,获得HPA灭菌效果证书</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外门设计具有加热防止凝水功能，可选择左或右面开启方式，内门备有采样孔</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可选配有4小内门，便于移取样品</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可使用远程监控软件，可选配全铜内胆，UV紫外消毒功能等</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报警系统，可提供温度，CO2浓度，湿度报警；CO2钢瓶低储量报警，不仅提供钢瓶低气压报警，同时系统可自动计算钢瓶内CO2气体余量，保证警报发出后CO2气体仍够使用一周。</w:t>
      </w:r>
    </w:p>
    <w:p>
      <w:pPr>
        <w:pStyle w:val="130"/>
        <w:keepNext w:val="0"/>
        <w:keepLines w:val="0"/>
        <w:pageBreakBefore w:val="0"/>
        <w:numPr>
          <w:ilvl w:val="0"/>
          <w:numId w:val="4"/>
        </w:numPr>
        <w:kinsoku/>
        <w:wordWrap/>
        <w:overflowPunct/>
        <w:topLinePunct w:val="0"/>
        <w:autoSpaceDE/>
        <w:autoSpaceDN/>
        <w:bidi w:val="0"/>
        <w:spacing w:line="360" w:lineRule="auto"/>
        <w:ind w:firstLineChars="0"/>
        <w:textAlignment w:val="auto"/>
        <w:rPr>
          <w:rFonts w:asciiTheme="minorEastAsia" w:hAnsiTheme="minorEastAsia" w:eastAsiaTheme="minorEastAsia"/>
          <w:sz w:val="24"/>
        </w:rPr>
      </w:pPr>
      <w:r>
        <w:rPr>
          <w:rFonts w:hint="eastAsia" w:asciiTheme="minorEastAsia" w:hAnsiTheme="minorEastAsia" w:eastAsiaTheme="minorEastAsia"/>
          <w:b/>
          <w:bCs/>
          <w:color w:val="auto"/>
          <w:sz w:val="24"/>
          <w:lang w:eastAsia="zh-CN"/>
        </w:rPr>
        <w:t>水套式二氧化碳培养箱</w:t>
      </w:r>
      <w:r>
        <w:rPr>
          <w:rFonts w:hint="eastAsia" w:asciiTheme="minorEastAsia" w:hAnsiTheme="minorEastAsia" w:eastAsiaTheme="minorEastAsia"/>
          <w:b/>
          <w:bCs/>
          <w:color w:val="auto"/>
          <w:sz w:val="24"/>
          <w:lang w:val="en-US" w:eastAsia="zh-CN"/>
        </w:rPr>
        <w:t>2台，可采进口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工作</w:t>
      </w:r>
      <w:r>
        <w:rPr>
          <w:rFonts w:hint="eastAsia" w:asciiTheme="minorEastAsia" w:hAnsiTheme="minorEastAsia" w:eastAsiaTheme="minorEastAsia"/>
          <w:sz w:val="24"/>
          <w:lang w:eastAsia="zh-CN"/>
        </w:rPr>
        <w:t>条件：环境</w:t>
      </w:r>
      <w:r>
        <w:rPr>
          <w:rFonts w:hint="eastAsia" w:asciiTheme="minorEastAsia" w:hAnsiTheme="minorEastAsia" w:eastAsiaTheme="minorEastAsia"/>
          <w:sz w:val="24"/>
        </w:rPr>
        <w:t>温度： 10-35℃；湿度： 20- 80%；电源:220V，50Hz；</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工作体积：1</w:t>
      </w:r>
      <w:r>
        <w:rPr>
          <w:rFonts w:hint="eastAsia" w:asciiTheme="minorEastAsia" w:hAnsiTheme="minorEastAsia" w:eastAsiaTheme="minorEastAsia"/>
          <w:sz w:val="24"/>
          <w:lang w:val="en-US" w:eastAsia="zh-CN"/>
        </w:rPr>
        <w:t>70</w:t>
      </w:r>
      <w:r>
        <w:rPr>
          <w:rFonts w:hint="eastAsia" w:asciiTheme="minorEastAsia" w:hAnsiTheme="minorEastAsia" w:eastAsiaTheme="minorEastAsia"/>
          <w:sz w:val="24"/>
        </w:rPr>
        <w:t>升</w:t>
      </w:r>
      <w:r>
        <w:rPr>
          <w:rFonts w:hint="eastAsia" w:asciiTheme="minorEastAsia" w:hAnsiTheme="minorEastAsia" w:eastAsiaTheme="minorEastAsia"/>
          <w:sz w:val="24"/>
          <w:lang w:eastAsia="zh-CN"/>
        </w:rPr>
        <w:t>以上</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箱体结构：水套式加热，标配搁板不得少于4块，最多可加配搁板数</w:t>
      </w:r>
      <w:r>
        <w:rPr>
          <w:rFonts w:hint="eastAsia" w:asciiTheme="minorEastAsia" w:hAnsiTheme="minorEastAsia" w:eastAsiaTheme="minorEastAsia"/>
          <w:sz w:val="24"/>
          <w:lang w:eastAsia="zh-CN"/>
        </w:rPr>
        <w:t>不少于</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停电温度波动：水套夹层环绕整个培养箱箱体，腔体内温度非常稳定。室温波动对腔体内温度几乎没有影响，即使停电1小时，腔体内温度下降不超过1℃，停电10小时，腔体内温度下降不超过10℃</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温度控制范围：高于室温5℃～55℃</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温度控制精度：±0.1℃</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温度均一性: ±0.2℃(在37℃下)</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HEPA高效过滤系统在关门5分钟内使腔体达到100级洁净指标，每隔1分钟腔体内空气自动过滤循环一次。</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CO2探头在箱体内部，实时反馈箱体状态，利于CO2浓度的调节</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二氧化碳控制范围：0～20%</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二氧化碳控制精度：±0.1%</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加热玻璃内门，防止腔体内玻璃上形成冷凝水，造成污染</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门开关具有自动CO2截留，减少CO2的消耗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可选配8扇独立内小门，减少环境波动</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系统升级能力：可升级为三气培养箱</w:t>
      </w:r>
    </w:p>
    <w:p>
      <w:pPr>
        <w:keepNext w:val="0"/>
        <w:keepLines w:val="0"/>
        <w:pageBreakBefore w:val="0"/>
        <w:kinsoku/>
        <w:wordWrap/>
        <w:overflowPunct/>
        <w:topLinePunct w:val="0"/>
        <w:autoSpaceDE/>
        <w:autoSpaceDN/>
        <w:bidi w:val="0"/>
        <w:spacing w:line="360" w:lineRule="auto"/>
        <w:ind w:right="-246" w:rightChars="-117"/>
        <w:textAlignment w:val="auto"/>
        <w:rPr>
          <w:rFonts w:hint="default" w:asciiTheme="minorEastAsia" w:hAnsiTheme="minorEastAsia" w:eastAsiaTheme="minorEastAsia"/>
          <w:sz w:val="24"/>
          <w:lang w:val="en-US" w:eastAsia="zh-CN"/>
        </w:rPr>
      </w:pPr>
      <w:r>
        <w:rPr>
          <w:rFonts w:hint="eastAsia" w:cs="Times New Roman" w:asciiTheme="minorEastAsia" w:hAnsiTheme="minorEastAsia" w:eastAsiaTheme="minorEastAsia"/>
          <w:b/>
          <w:bCs/>
          <w:color w:val="auto"/>
          <w:kern w:val="2"/>
          <w:sz w:val="24"/>
          <w:szCs w:val="24"/>
          <w:lang w:val="en-US" w:eastAsia="zh-CN" w:bidi="ar-SA"/>
        </w:rPr>
        <w:t>（三）</w:t>
      </w:r>
      <w:r>
        <w:rPr>
          <w:rFonts w:hint="eastAsia" w:asciiTheme="minorEastAsia" w:hAnsiTheme="minorEastAsia" w:eastAsiaTheme="minorEastAsia"/>
          <w:b/>
          <w:bCs/>
          <w:sz w:val="24"/>
          <w:lang w:eastAsia="zh-CN"/>
        </w:rPr>
        <w:t>单人生物安全柜</w:t>
      </w:r>
      <w:r>
        <w:rPr>
          <w:rFonts w:hint="eastAsia" w:asciiTheme="minorEastAsia" w:hAnsiTheme="minorEastAsia" w:eastAsiaTheme="minorEastAsia"/>
          <w:b/>
          <w:bCs/>
          <w:sz w:val="24"/>
          <w:lang w:val="en-US" w:eastAsia="zh-CN"/>
        </w:rPr>
        <w:t>7台</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安全柜 4英尺宽，二级A2生物安全柜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气流模式</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30%外排，70%循环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lang w:eastAsia="zh-CN"/>
        </w:rPr>
        <w:t>工作台面宽度</w:t>
      </w:r>
      <w:r>
        <w:rPr>
          <w:rFonts w:hint="eastAsia" w:ascii="宋体" w:hAnsi="宋体"/>
          <w:sz w:val="24"/>
        </w:rPr>
        <w:t>≥</w:t>
      </w:r>
      <w:r>
        <w:rPr>
          <w:rFonts w:hint="eastAsia" w:ascii="宋体" w:hAnsi="宋体"/>
          <w:sz w:val="24"/>
          <w:lang w:val="en-US" w:eastAsia="zh-CN"/>
        </w:rPr>
        <w:t>1.2m</w:t>
      </w:r>
      <w:r>
        <w:rPr>
          <w:rFonts w:hint="eastAsia" w:asciiTheme="minorEastAsia" w:hAnsiTheme="minorEastAsia" w:eastAsiaTheme="minorEastAsia"/>
          <w:sz w:val="24"/>
        </w:rPr>
        <w:t xml:space="preserve">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前窗工作开口高度</w:t>
      </w:r>
      <w:r>
        <w:rPr>
          <w:rFonts w:hint="eastAsia" w:ascii="宋体" w:hAnsi="宋体"/>
          <w:sz w:val="24"/>
        </w:rPr>
        <w:t>≥</w:t>
      </w:r>
      <w:r>
        <w:rPr>
          <w:rFonts w:hint="eastAsia" w:asciiTheme="minorEastAsia" w:hAnsiTheme="minorEastAsia" w:eastAsiaTheme="minorEastAsia"/>
          <w:sz w:val="24"/>
        </w:rPr>
        <w:t>250</w:t>
      </w:r>
      <w:r>
        <w:rPr>
          <w:rFonts w:hint="eastAsia" w:asciiTheme="minorEastAsia" w:hAnsiTheme="minorEastAsia" w:eastAsiaTheme="minorEastAsia"/>
          <w:sz w:val="24"/>
          <w:lang w:eastAsia="zh-CN"/>
        </w:rPr>
        <w:t>毫米；</w:t>
      </w:r>
      <w:r>
        <w:rPr>
          <w:rFonts w:hint="eastAsia" w:asciiTheme="minorEastAsia" w:hAnsiTheme="minorEastAsia" w:eastAsiaTheme="minorEastAsia"/>
          <w:sz w:val="24"/>
        </w:rPr>
        <w:t>前窗最大开口高度</w:t>
      </w:r>
      <w:r>
        <w:rPr>
          <w:rFonts w:hint="eastAsia" w:ascii="宋体" w:hAnsi="宋体"/>
          <w:sz w:val="24"/>
        </w:rPr>
        <w:t>≥</w:t>
      </w:r>
      <w:r>
        <w:rPr>
          <w:rFonts w:hint="eastAsia" w:asciiTheme="minorEastAsia" w:hAnsiTheme="minorEastAsia" w:eastAsiaTheme="minorEastAsia"/>
          <w:sz w:val="24"/>
          <w:lang w:val="en-US" w:eastAsia="zh-CN"/>
        </w:rPr>
        <w:t>500</w:t>
      </w:r>
      <w:r>
        <w:rPr>
          <w:rFonts w:hint="eastAsia" w:asciiTheme="minorEastAsia" w:hAnsiTheme="minorEastAsia" w:eastAsiaTheme="minorEastAsia"/>
          <w:sz w:val="24"/>
        </w:rPr>
        <w:t>毫米</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HEPA 过滤效率：直径0.3 μm的颗粒过滤效率高于 99.995%</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lang w:eastAsia="zh-CN"/>
        </w:rPr>
        <w:t>性能：</w:t>
      </w:r>
      <w:r>
        <w:rPr>
          <w:rFonts w:hint="eastAsia" w:asciiTheme="minorEastAsia" w:hAnsiTheme="minorEastAsia" w:eastAsiaTheme="minorEastAsia"/>
          <w:sz w:val="24"/>
        </w:rPr>
        <w:t>噪音（dBA) &lt;67</w:t>
      </w:r>
      <w:r>
        <w:rPr>
          <w:rFonts w:hint="eastAsia" w:asciiTheme="minorEastAsia" w:hAnsiTheme="minorEastAsia" w:eastAsiaTheme="minorEastAsia"/>
          <w:sz w:val="24"/>
          <w:lang w:val="en-US" w:eastAsia="zh-CN"/>
        </w:rPr>
        <w:t>db</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照度 （lux） &gt;1290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通风系统</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排风/ 进风量 </w:t>
      </w:r>
      <w:r>
        <w:rPr>
          <w:rFonts w:hint="eastAsia" w:ascii="宋体" w:hAnsi="宋体"/>
          <w:sz w:val="24"/>
        </w:rPr>
        <w:t>≥</w:t>
      </w:r>
      <w:r>
        <w:rPr>
          <w:rFonts w:hint="eastAsia" w:asciiTheme="minorEastAsia" w:hAnsiTheme="minorEastAsia" w:eastAsiaTheme="minorEastAsia"/>
          <w:sz w:val="24"/>
        </w:rPr>
        <w:t>540立方米/小时</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通风量</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套管连接</w:t>
      </w:r>
      <w:r>
        <w:rPr>
          <w:rFonts w:hint="eastAsia" w:asciiTheme="minorEastAsia" w:hAnsiTheme="minorEastAsia" w:eastAsiaTheme="minorEastAsia"/>
          <w:sz w:val="24"/>
          <w:lang w:eastAsia="zh-CN"/>
        </w:rPr>
        <w:t>）</w:t>
      </w:r>
      <w:r>
        <w:rPr>
          <w:rFonts w:hint="eastAsia" w:ascii="宋体" w:hAnsi="宋体"/>
          <w:sz w:val="24"/>
        </w:rPr>
        <w:t>≥</w:t>
      </w:r>
      <w:r>
        <w:rPr>
          <w:rFonts w:hint="eastAsia" w:asciiTheme="minorEastAsia" w:hAnsiTheme="minorEastAsia" w:eastAsiaTheme="minorEastAsia"/>
          <w:sz w:val="24"/>
          <w:lang w:val="en-US" w:eastAsia="zh-CN"/>
        </w:rPr>
        <w:t>700</w:t>
      </w:r>
      <w:r>
        <w:rPr>
          <w:rFonts w:hint="eastAsia" w:asciiTheme="minorEastAsia" w:hAnsiTheme="minorEastAsia" w:eastAsiaTheme="minorEastAsia"/>
          <w:sz w:val="24"/>
        </w:rPr>
        <w:t xml:space="preserve">立方米/小时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安全性</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两个独立的进气与排气风机自动控制并平衡下降气流与进气/ 排气气流，以保证持续安全的工作条件。智能直流电机可实时监测和控制风机转速，在过滤器阻塞或线路电压波动时持续保护用户安全。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两个独立式压力传感器用于检测排气和下降气流强制通风时的压力变化。当进气/ 排气或下降气流速度变化量达到20% 时，报警器将发出信号提醒用户。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风机 直流无碳刷电机驱动风机，双风机主动独立控制进气/排气风机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lang w:eastAsia="zh-CN"/>
        </w:rPr>
        <w:t>具备</w:t>
      </w:r>
      <w:r>
        <w:rPr>
          <w:rFonts w:hint="eastAsia" w:asciiTheme="minorEastAsia" w:hAnsiTheme="minorEastAsia" w:eastAsiaTheme="minorEastAsia"/>
          <w:sz w:val="24"/>
        </w:rPr>
        <w:t xml:space="preserve">低速安全节能模式 前窗完全关闭后，风机可继续工作，紫外灭菌位置，下降风速自动变为30%，方便当日再次使用同时节约能源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自动报警 可对不正常气流报警及玻璃门位置报警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前窗玻璃材料</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采用双层贴膜高强度安全防紫外线防爆玻璃，即使发生破裂，玻璃碎片将吸附在贴膜上不会发生飞溅，防止人身伤害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安全锁定 在紫外灭菌过程中，前窗安全锁启动，防止有害的紫外辐射从样品室中泄露。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UV灯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UV灯管可定时操作，方便用户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控制面板信息 时间显示，风速显示，总工作时间显示，定时器，UV灯工作时间，错误报告，性能参数-PER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配件 电源插座 不少于1个</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检修口</w:t>
      </w:r>
      <w:r>
        <w:rPr>
          <w:rFonts w:hint="eastAsia" w:asciiTheme="minorEastAsia" w:hAnsiTheme="minorEastAsia" w:eastAsiaTheme="minorEastAsia"/>
          <w:sz w:val="24"/>
          <w:lang w:eastAsia="zh-CN"/>
        </w:rPr>
        <w:t>及维修阀门</w:t>
      </w:r>
      <w:r>
        <w:rPr>
          <w:rFonts w:hint="eastAsia" w:ascii="宋体" w:hAnsi="宋体"/>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个</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标配2个搁手架</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支架 可调高度支架 </w:t>
      </w:r>
    </w:p>
    <w:p>
      <w:pPr>
        <w:keepNext w:val="0"/>
        <w:keepLines w:val="0"/>
        <w:pageBreakBefore w:val="0"/>
        <w:kinsoku/>
        <w:wordWrap/>
        <w:overflowPunct/>
        <w:topLinePunct w:val="0"/>
        <w:autoSpaceDE/>
        <w:autoSpaceDN/>
        <w:bidi w:val="0"/>
        <w:spacing w:line="360" w:lineRule="auto"/>
        <w:textAlignment w:val="auto"/>
        <w:rPr>
          <w:rFonts w:hint="eastAsia" w:ascii="宋体" w:hAnsi="宋体"/>
          <w:sz w:val="24"/>
        </w:rPr>
      </w:pPr>
      <w:r>
        <w:rPr>
          <w:rFonts w:hint="eastAsia" w:cs="Times New Roman" w:asciiTheme="minorEastAsia" w:hAnsiTheme="minorEastAsia" w:eastAsiaTheme="minorEastAsia"/>
          <w:b/>
          <w:bCs/>
          <w:color w:val="auto"/>
          <w:kern w:val="2"/>
          <w:sz w:val="24"/>
          <w:szCs w:val="24"/>
          <w:lang w:val="en-US" w:eastAsia="zh-CN" w:bidi="ar-SA"/>
        </w:rPr>
        <w:t>（四）</w:t>
      </w:r>
      <w:r>
        <w:rPr>
          <w:rFonts w:hint="eastAsia" w:ascii="宋体" w:hAnsi="宋体"/>
          <w:b/>
          <w:bCs/>
          <w:sz w:val="24"/>
          <w:lang w:eastAsia="zh-CN"/>
        </w:rPr>
        <w:t>双</w:t>
      </w:r>
      <w:r>
        <w:rPr>
          <w:rFonts w:hint="eastAsia" w:ascii="宋体" w:hAnsi="宋体"/>
          <w:b/>
          <w:bCs/>
          <w:sz w:val="24"/>
        </w:rPr>
        <w:t>人生物安全柜</w:t>
      </w:r>
      <w:r>
        <w:rPr>
          <w:rFonts w:hint="eastAsia" w:ascii="宋体" w:hAnsi="宋体"/>
          <w:b/>
          <w:bCs/>
          <w:sz w:val="24"/>
          <w:lang w:val="en-US" w:eastAsia="zh-CN"/>
        </w:rPr>
        <w:t>1</w:t>
      </w:r>
      <w:r>
        <w:rPr>
          <w:rFonts w:hint="eastAsia" w:ascii="宋体" w:hAnsi="宋体"/>
          <w:b/>
          <w:bCs/>
          <w:sz w:val="24"/>
        </w:rPr>
        <w:t xml:space="preserve">台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安全柜</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 xml:space="preserve">英尺宽，二级A2生物安全柜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气流模式</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30%外排，70%循环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lang w:eastAsia="zh-CN"/>
        </w:rPr>
        <w:t>工作台面宽度</w:t>
      </w:r>
      <w:r>
        <w:rPr>
          <w:rFonts w:hint="eastAsia" w:ascii="宋体" w:hAnsi="宋体"/>
          <w:sz w:val="24"/>
        </w:rPr>
        <w:t>≥</w:t>
      </w:r>
      <w:r>
        <w:rPr>
          <w:rFonts w:hint="eastAsia" w:ascii="宋体" w:hAnsi="宋体"/>
          <w:sz w:val="24"/>
          <w:lang w:val="en-US" w:eastAsia="zh-CN"/>
        </w:rPr>
        <w:t>1.8m</w:t>
      </w:r>
      <w:r>
        <w:rPr>
          <w:rFonts w:hint="eastAsia" w:asciiTheme="minorEastAsia" w:hAnsiTheme="minorEastAsia" w:eastAsiaTheme="minorEastAsia"/>
          <w:sz w:val="24"/>
        </w:rPr>
        <w:t xml:space="preserve">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前窗工作开口高度</w:t>
      </w:r>
      <w:r>
        <w:rPr>
          <w:rFonts w:hint="eastAsia" w:ascii="宋体" w:hAnsi="宋体"/>
          <w:sz w:val="24"/>
        </w:rPr>
        <w:t>≥</w:t>
      </w:r>
      <w:r>
        <w:rPr>
          <w:rFonts w:hint="eastAsia" w:asciiTheme="minorEastAsia" w:hAnsiTheme="minorEastAsia" w:eastAsiaTheme="minorEastAsia"/>
          <w:sz w:val="24"/>
        </w:rPr>
        <w:t>250</w:t>
      </w:r>
      <w:r>
        <w:rPr>
          <w:rFonts w:hint="eastAsia" w:asciiTheme="minorEastAsia" w:hAnsiTheme="minorEastAsia" w:eastAsiaTheme="minorEastAsia"/>
          <w:sz w:val="24"/>
          <w:lang w:eastAsia="zh-CN"/>
        </w:rPr>
        <w:t>毫米；</w:t>
      </w:r>
      <w:r>
        <w:rPr>
          <w:rFonts w:hint="eastAsia" w:asciiTheme="minorEastAsia" w:hAnsiTheme="minorEastAsia" w:eastAsiaTheme="minorEastAsia"/>
          <w:sz w:val="24"/>
        </w:rPr>
        <w:t>前窗最大开口高度</w:t>
      </w:r>
      <w:r>
        <w:rPr>
          <w:rFonts w:hint="eastAsia" w:ascii="宋体" w:hAnsi="宋体"/>
          <w:sz w:val="24"/>
        </w:rPr>
        <w:t>≥</w:t>
      </w:r>
      <w:r>
        <w:rPr>
          <w:rFonts w:hint="eastAsia" w:asciiTheme="minorEastAsia" w:hAnsiTheme="minorEastAsia" w:eastAsiaTheme="minorEastAsia"/>
          <w:sz w:val="24"/>
          <w:lang w:val="en-US" w:eastAsia="zh-CN"/>
        </w:rPr>
        <w:t>500</w:t>
      </w:r>
      <w:r>
        <w:rPr>
          <w:rFonts w:hint="eastAsia" w:asciiTheme="minorEastAsia" w:hAnsiTheme="minorEastAsia" w:eastAsiaTheme="minorEastAsia"/>
          <w:sz w:val="24"/>
        </w:rPr>
        <w:t>毫米</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HEPA 过滤效率：直径0.3 μm的颗粒过滤效率高于 99.995%</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lang w:eastAsia="zh-CN"/>
        </w:rPr>
        <w:t>性能：</w:t>
      </w:r>
      <w:r>
        <w:rPr>
          <w:rFonts w:hint="eastAsia" w:asciiTheme="minorEastAsia" w:hAnsiTheme="minorEastAsia" w:eastAsiaTheme="minorEastAsia"/>
          <w:sz w:val="24"/>
        </w:rPr>
        <w:t>噪音（dBA) &lt;67</w:t>
      </w:r>
      <w:r>
        <w:rPr>
          <w:rFonts w:hint="eastAsia" w:asciiTheme="minorEastAsia" w:hAnsiTheme="minorEastAsia" w:eastAsiaTheme="minorEastAsia"/>
          <w:sz w:val="24"/>
          <w:lang w:val="en-US" w:eastAsia="zh-CN"/>
        </w:rPr>
        <w:t>db</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照度（lux）&gt;1290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通风系统</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排风/ 进风量 </w:t>
      </w:r>
      <w:r>
        <w:rPr>
          <w:rFonts w:hint="eastAsia" w:ascii="宋体" w:hAnsi="宋体"/>
          <w:sz w:val="24"/>
        </w:rPr>
        <w:t>≥</w:t>
      </w:r>
      <w:r>
        <w:rPr>
          <w:rFonts w:hint="eastAsia" w:asciiTheme="minorEastAsia" w:hAnsiTheme="minorEastAsia" w:eastAsiaTheme="minorEastAsia"/>
          <w:sz w:val="24"/>
          <w:lang w:val="en-US" w:eastAsia="zh-CN"/>
        </w:rPr>
        <w:t>81</w:t>
      </w:r>
      <w:r>
        <w:rPr>
          <w:rFonts w:hint="eastAsia" w:asciiTheme="minorEastAsia" w:hAnsiTheme="minorEastAsia" w:eastAsiaTheme="minorEastAsia"/>
          <w:sz w:val="24"/>
        </w:rPr>
        <w:t>0立方米/小时</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通风量</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套管连接</w:t>
      </w:r>
      <w:r>
        <w:rPr>
          <w:rFonts w:hint="eastAsia" w:asciiTheme="minorEastAsia" w:hAnsiTheme="minorEastAsia" w:eastAsiaTheme="minorEastAsia"/>
          <w:sz w:val="24"/>
          <w:lang w:eastAsia="zh-CN"/>
        </w:rPr>
        <w:t>）</w:t>
      </w:r>
      <w:r>
        <w:rPr>
          <w:rFonts w:hint="eastAsia" w:ascii="宋体" w:hAnsi="宋体"/>
          <w:sz w:val="24"/>
        </w:rPr>
        <w:t>≥</w:t>
      </w:r>
      <w:r>
        <w:rPr>
          <w:rFonts w:hint="eastAsia" w:asciiTheme="minorEastAsia" w:hAnsiTheme="minorEastAsia" w:eastAsiaTheme="minorEastAsia"/>
          <w:sz w:val="24"/>
          <w:lang w:val="en-US" w:eastAsia="zh-CN"/>
        </w:rPr>
        <w:t>1000</w:t>
      </w:r>
      <w:r>
        <w:rPr>
          <w:rFonts w:hint="eastAsia" w:asciiTheme="minorEastAsia" w:hAnsiTheme="minorEastAsia" w:eastAsiaTheme="minorEastAsia"/>
          <w:sz w:val="24"/>
        </w:rPr>
        <w:t xml:space="preserve">立方米/小时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安全性</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两个独立的进气与排气风机自动控制并平衡下降气流与进气/ 排气气流，以保证持续安全的工作条件。智能直流电机可实时监测和控制风机转速，在过滤器阻塞或线路电压波动时持续保护用户安全。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两个独立式压力传感器用于检测排气和下降气流强制通风时的压力变化。当进气/ 排气或下降气流速度变化量达到20% 时，报警器将发出信号提醒用户。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风机 直流无碳刷电机驱动风机，双风机主动独立控制进气/排气风机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lang w:eastAsia="zh-CN"/>
        </w:rPr>
        <w:t>具备</w:t>
      </w:r>
      <w:r>
        <w:rPr>
          <w:rFonts w:hint="eastAsia" w:asciiTheme="minorEastAsia" w:hAnsiTheme="minorEastAsia" w:eastAsiaTheme="minorEastAsia"/>
          <w:sz w:val="24"/>
        </w:rPr>
        <w:t xml:space="preserve">低速安全节能模式 前窗完全关闭后，风机可继续工作，紫外灭菌位置，下降风速自动变为30%，方便当日再次使用同时节约能源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自动报警 可对不正常气流报警及玻璃门位置报警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前窗玻璃材料</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采用双层贴膜高强度安全防紫外线防爆玻璃，即使发生破裂，玻璃碎片将吸附在贴膜上不会发生飞溅，防止人身伤害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安全锁定 在紫外灭菌过程中，前窗安全锁启动，防止有害的紫外辐射从样品室中泄露。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UV灯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UV灯管可定时操作，方便用户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控制面板信息时间显示，风速显示，总工作时间显示，定时器，UV灯工作时间，错误报告，性能参数-PER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Theme="minorEastAsia" w:hAnsiTheme="minorEastAsia" w:eastAsiaTheme="minorEastAsia"/>
          <w:sz w:val="24"/>
        </w:rPr>
        <w:t>配件 电源插座 不少于1个</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检修口</w:t>
      </w:r>
      <w:r>
        <w:rPr>
          <w:rFonts w:hint="eastAsia" w:asciiTheme="minorEastAsia" w:hAnsiTheme="minorEastAsia" w:eastAsiaTheme="minorEastAsia"/>
          <w:sz w:val="24"/>
          <w:lang w:eastAsia="zh-CN"/>
        </w:rPr>
        <w:t>及维修阀门</w:t>
      </w:r>
      <w:r>
        <w:rPr>
          <w:rFonts w:hint="eastAsia" w:ascii="宋体" w:hAnsi="宋体"/>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个</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标配2个搁手架</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支架 可调高度支架 </w:t>
      </w:r>
    </w:p>
    <w:p>
      <w:pPr>
        <w:keepNext w:val="0"/>
        <w:keepLines w:val="0"/>
        <w:pageBreakBefore w:val="0"/>
        <w:numPr>
          <w:ilvl w:val="0"/>
          <w:numId w:val="9"/>
        </w:numPr>
        <w:kinsoku/>
        <w:wordWrap/>
        <w:overflowPunct/>
        <w:topLinePunct w:val="0"/>
        <w:autoSpaceDE/>
        <w:autoSpaceDN/>
        <w:bidi w:val="0"/>
        <w:spacing w:line="360" w:lineRule="auto"/>
        <w:textAlignment w:val="auto"/>
        <w:rPr>
          <w:rFonts w:hint="eastAsia" w:cs="Arial" w:asciiTheme="minorEastAsia" w:hAnsiTheme="minorEastAsia" w:eastAsiaTheme="minorEastAsia"/>
          <w:b/>
          <w:bCs w:val="0"/>
          <w:sz w:val="24"/>
        </w:rPr>
      </w:pPr>
      <w:r>
        <w:rPr>
          <w:rFonts w:hint="eastAsia" w:cs="Arial" w:asciiTheme="minorEastAsia" w:hAnsiTheme="minorEastAsia" w:eastAsiaTheme="minorEastAsia"/>
          <w:b/>
          <w:bCs w:val="0"/>
          <w:sz w:val="24"/>
        </w:rPr>
        <w:t>普通倒置显微镜</w:t>
      </w:r>
      <w:r>
        <w:rPr>
          <w:rFonts w:hint="eastAsia" w:cs="Arial" w:asciiTheme="minorEastAsia" w:hAnsiTheme="minorEastAsia" w:eastAsiaTheme="minorEastAsia"/>
          <w:b/>
          <w:bCs w:val="0"/>
          <w:sz w:val="24"/>
          <w:lang w:val="en-US" w:eastAsia="zh-CN"/>
        </w:rPr>
        <w:t>3台，可采进口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用途：普通活细胞观察，用于临床工作。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1． 工作条件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1.1  适于在气温为摄氏-40℃～＋50℃的环境条件下运输和贮存，在电源220V（10%）/50Hz、气温摄氏-5℃～40℃和相对湿度85%的环境条件下运行。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1.2  配置符合中国有关标准要求的插头，或提供适当的转换插座。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 主要技术指标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  倒置相差显微镜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2.1.1  光学系统：无限远校正光学系统，齐焦距离45mm</w:t>
      </w:r>
      <w:r>
        <w:rPr>
          <w:rFonts w:hint="eastAsia" w:ascii="宋体" w:hAnsi="宋体"/>
          <w:sz w:val="24"/>
          <w:lang w:eastAsia="zh-CN"/>
        </w:rPr>
        <w:t>或</w:t>
      </w:r>
      <w:r>
        <w:rPr>
          <w:rFonts w:hint="eastAsia" w:ascii="宋体" w:hAnsi="宋体"/>
          <w:sz w:val="24"/>
          <w:lang w:val="en-US" w:eastAsia="zh-CN"/>
        </w:rPr>
        <w:t>60mm</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2.1.2  调焦：通过物镜转盘的上下移动进行调焦（载物台高度固定）。备有聚焦机构同轴粗、微调旋钮，旋钮扭矩可调，由滚柱机构导向。粗调行程每一圈为≥36.8mm，微调行程每一圈为≤0.2mm。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2.1.3  观察镜筒：宽视野三目镜筒，视场数≥22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2.1.4  照明装置：高性能LED光源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2.1.5  物镜：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2.1.5.1  预对中相差物镜4X （N.A.≥0.13；W.D. ≥16.8）</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2.1.5.2  预对中相差物镜10X （W.D. ≥8.8）</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2.1.5.3  预对中长工作距离相差物镜20X （W.D. ≥3.2）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2.1.5.4  预对中长工作距离相差物镜40X （W.D. ≥2.2）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2.1.6  载物台：备有右手用低位置同轴X、Y向传动旋钮。载物台行程：X=110mm，Y=74mm。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2.1.7  目镜：10×，视场直径为22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2.1.8  备有可拆装的超长工作距离聚光镜：N.A.≥0.3，W.D.≥72mm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2.1.9  相差系统：预对中相差环板</w:t>
      </w:r>
    </w:p>
    <w:p>
      <w:pPr>
        <w:keepNext w:val="0"/>
        <w:keepLines w:val="0"/>
        <w:pageBreakBefore w:val="0"/>
        <w:kinsoku/>
        <w:wordWrap/>
        <w:overflowPunct/>
        <w:topLinePunct w:val="0"/>
        <w:autoSpaceDE/>
        <w:autoSpaceDN/>
        <w:bidi w:val="0"/>
        <w:spacing w:line="360" w:lineRule="auto"/>
        <w:textAlignment w:val="auto"/>
        <w:rPr>
          <w:rFonts w:hint="default" w:ascii="宋体" w:hAnsi="宋体"/>
          <w:sz w:val="24"/>
          <w:lang w:val="en-US" w:eastAsia="zh-CN"/>
        </w:rPr>
      </w:pPr>
      <w:r>
        <w:rPr>
          <w:rFonts w:hint="eastAsia" w:ascii="宋体" w:hAnsi="宋体"/>
          <w:b/>
          <w:bCs/>
          <w:sz w:val="24"/>
          <w:lang w:eastAsia="zh-CN"/>
        </w:rPr>
        <w:t>（六）普通正置显微镜</w:t>
      </w:r>
      <w:r>
        <w:rPr>
          <w:rFonts w:hint="eastAsia" w:ascii="宋体" w:hAnsi="宋体"/>
          <w:b/>
          <w:bCs/>
          <w:sz w:val="24"/>
          <w:lang w:val="en-US" w:eastAsia="zh-CN"/>
        </w:rPr>
        <w:t>1台，可采进口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用途：可观察普通染色的切片，用于研究工作。</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工作条件</w:t>
      </w:r>
      <w:r>
        <w:rPr>
          <w:rFonts w:hint="eastAsia" w:ascii="宋体" w:hAnsi="宋体"/>
          <w:sz w:val="24"/>
          <w:lang w:eastAsia="zh-CN"/>
        </w:rPr>
        <w:t>：</w:t>
      </w:r>
      <w:r>
        <w:rPr>
          <w:rFonts w:hint="eastAsia" w:ascii="宋体" w:hAnsi="宋体"/>
          <w:sz w:val="24"/>
        </w:rPr>
        <w:t>适于在气温为摄氏-40℃～＋50℃的环境条件下运输和贮存，在电源220V（10%）/50Hz、气温摄氏-5℃～40℃和相对湿度85%的环境条件下运行。</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配置符合中国有关标准要求的插头，或提供适当的转换插座。</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研究级正置显微镜，可作明场的观察</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光学系统：无限远校正光学系统，齐焦距离为45mm</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调焦：载物台垂直运动方式距离不小于25mm，带聚焦粗调上限停止位置，粗调旋钮扭矩可调，最小微调刻度单位≤1微米</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观察镜筒：宽视野三目镜筒，倾角为30°</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照明装置：内置透射光柯勒照明器，长效白光LED光源，寿命≥20000小时。</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物镜：平场消色差物镜</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4X（N.A. 0.1，W.D. 18.5）</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10X（N.A. 0.25，W.D. 10.6）</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20X（N.A. 0.4，W.D. 1.2 spring）</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40X（N.A. 0.65，W.D. 0.6 spring）</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100X（N.A. 1.25，W.D. 0.15 spring, oil）</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载物台：右手低位置同轴驱动选钮的高抗磨损性陶瓷覆盖层载物台。</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目镜：10X宽视野目镜，视野数为22；</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物镜转换器：五孔物镜转盘</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聚光镜：阿贝聚光镜，N.A.≥1.1</w:t>
      </w:r>
    </w:p>
    <w:p>
      <w:pPr>
        <w:keepNext w:val="0"/>
        <w:keepLines w:val="0"/>
        <w:pageBreakBefore w:val="0"/>
        <w:kinsoku/>
        <w:wordWrap/>
        <w:overflowPunct/>
        <w:topLinePunct w:val="0"/>
        <w:autoSpaceDE/>
        <w:autoSpaceDN/>
        <w:bidi w:val="0"/>
        <w:spacing w:line="360" w:lineRule="auto"/>
        <w:textAlignment w:val="auto"/>
        <w:rPr>
          <w:rFonts w:hint="default" w:ascii="宋体" w:hAnsi="宋体"/>
          <w:sz w:val="24"/>
          <w:lang w:val="en-US"/>
        </w:rPr>
      </w:pPr>
      <w:r>
        <w:rPr>
          <w:rFonts w:hint="eastAsia" w:cs="Times New Roman" w:asciiTheme="minorEastAsia" w:hAnsiTheme="minorEastAsia" w:eastAsiaTheme="minorEastAsia"/>
          <w:b/>
          <w:bCs/>
          <w:color w:val="auto"/>
          <w:kern w:val="2"/>
          <w:sz w:val="24"/>
          <w:szCs w:val="24"/>
          <w:lang w:val="en-US" w:eastAsia="zh-CN" w:bidi="ar-SA"/>
        </w:rPr>
        <w:t>（七）</w:t>
      </w:r>
      <w:r>
        <w:rPr>
          <w:rFonts w:hint="eastAsia" w:ascii="宋体" w:hAnsi="宋体"/>
          <w:b/>
          <w:bCs/>
          <w:sz w:val="24"/>
          <w:lang w:val="en-US" w:eastAsia="zh-CN"/>
        </w:rPr>
        <w:t>单道移液器135支，可采进口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4"/>
          <w:lang w:eastAsia="zh-CN"/>
        </w:rPr>
      </w:pPr>
      <w:r>
        <w:rPr>
          <w:rFonts w:hint="eastAsia" w:ascii="宋体" w:hAnsi="宋体"/>
          <w:color w:val="auto"/>
          <w:sz w:val="24"/>
          <w:lang w:val="en-US" w:eastAsia="zh-CN"/>
        </w:rPr>
        <w:t>（1）、</w:t>
      </w:r>
      <w:r>
        <w:rPr>
          <w:rFonts w:hint="eastAsia" w:ascii="宋体" w:hAnsi="宋体"/>
          <w:color w:val="auto"/>
          <w:sz w:val="24"/>
        </w:rPr>
        <w:t>单道移液器0.1-2.5ul，0.5-10ul，2-20ul，20-200ul，100-1000ul规格各2</w:t>
      </w:r>
      <w:r>
        <w:rPr>
          <w:rFonts w:hint="eastAsia" w:ascii="宋体" w:hAnsi="宋体"/>
          <w:color w:val="auto"/>
          <w:sz w:val="24"/>
          <w:lang w:val="en-US" w:eastAsia="zh-CN"/>
        </w:rPr>
        <w:t>0</w:t>
      </w:r>
      <w:r>
        <w:rPr>
          <w:rFonts w:hint="eastAsia" w:ascii="宋体" w:hAnsi="宋体"/>
          <w:color w:val="auto"/>
          <w:sz w:val="24"/>
        </w:rPr>
        <w:t>支</w:t>
      </w:r>
      <w:r>
        <w:rPr>
          <w:rFonts w:hint="eastAsia" w:ascii="宋体" w:hAnsi="宋体"/>
          <w:color w:val="auto"/>
          <w:sz w:val="24"/>
          <w:lang w:eastAsia="zh-CN"/>
        </w:rPr>
        <w:t>。</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具备轻质弹簧，分液压力更小</w:t>
      </w:r>
      <w:r>
        <w:rPr>
          <w:rFonts w:hint="eastAsia" w:ascii="宋体" w:hAnsi="宋体"/>
          <w:color w:val="auto"/>
          <w:sz w:val="24"/>
        </w:rPr>
        <w:tab/>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人体工程学设计，主体更加圆润舒适</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位数字显示的数字窗口</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全支可高压灭菌，抗UV光线</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lang w:val="en-US" w:eastAsia="zh-CN"/>
        </w:rPr>
        <w:t>具备</w:t>
      </w:r>
      <w:r>
        <w:rPr>
          <w:rFonts w:hint="eastAsia" w:ascii="宋体" w:hAnsi="宋体"/>
          <w:color w:val="auto"/>
          <w:sz w:val="24"/>
        </w:rPr>
        <w:t>量程锁定设计</w:t>
      </w:r>
      <w:r>
        <w:rPr>
          <w:rFonts w:hint="eastAsia" w:ascii="宋体" w:hAnsi="宋体"/>
          <w:color w:val="auto"/>
          <w:sz w:val="24"/>
          <w:lang w:eastAsia="zh-CN"/>
        </w:rPr>
        <w:t>，</w:t>
      </w:r>
      <w:r>
        <w:rPr>
          <w:rFonts w:hint="eastAsia" w:ascii="宋体" w:hAnsi="宋体"/>
          <w:color w:val="auto"/>
          <w:sz w:val="24"/>
        </w:rPr>
        <w:t>防止设定体积偏移</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腔体可安装附带的管子开盖器（可用于0.5/1.5/2.0ul管），使用起来非常方便，避免操作时用手打开管盖。</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移液器主体隔热设计，防止手的热度导入内部引起液体体积偏差。</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具备轻质(耐腐蚀)陶瓷活塞</w:t>
      </w:r>
      <w:r>
        <w:rPr>
          <w:rFonts w:hint="eastAsia" w:ascii="宋体" w:hAnsi="宋体"/>
          <w:color w:val="auto"/>
          <w:sz w:val="24"/>
        </w:rPr>
        <w:tab/>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内腔特氟龙涂层设计</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color w:val="auto"/>
          <w:sz w:val="24"/>
        </w:rPr>
        <w:t>枪尖为聚醚醚酮材料制作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4"/>
          <w:lang w:eastAsia="zh-CN"/>
        </w:rPr>
      </w:pPr>
      <w:r>
        <w:rPr>
          <w:rFonts w:hint="eastAsia" w:ascii="宋体" w:hAnsi="宋体"/>
          <w:sz w:val="24"/>
          <w:lang w:val="en-US" w:eastAsia="zh-CN"/>
        </w:rPr>
        <w:t>（2）、</w:t>
      </w:r>
      <w:r>
        <w:rPr>
          <w:rFonts w:hint="eastAsia" w:ascii="宋体" w:hAnsi="宋体"/>
          <w:sz w:val="24"/>
        </w:rPr>
        <w:t>单道移液器0.1-2.5ul，0.5-10ul，2-20ul，20-200ul，100-1000ul规格各</w:t>
      </w:r>
      <w:r>
        <w:rPr>
          <w:rFonts w:hint="eastAsia" w:ascii="宋体" w:hAnsi="宋体"/>
          <w:sz w:val="24"/>
          <w:lang w:val="en-US" w:eastAsia="zh-CN"/>
        </w:rPr>
        <w:t>7</w:t>
      </w:r>
      <w:r>
        <w:rPr>
          <w:rFonts w:hint="eastAsia" w:ascii="宋体" w:hAnsi="宋体"/>
          <w:sz w:val="24"/>
        </w:rPr>
        <w:t>支</w:t>
      </w:r>
      <w:r>
        <w:rPr>
          <w:rFonts w:hint="eastAsia" w:ascii="宋体" w:hAnsi="宋体"/>
          <w:sz w:val="24"/>
          <w:lang w:eastAsia="zh-CN"/>
        </w:rPr>
        <w:t>。</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外壳为光滑的耐腐蚀塑料设计，不易沾污物，易清洗；</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量程调节为无阻尼设计，可单手操作，体验极佳。</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液量显示带有微量刻度尺，调节步进小，可实现精确调节量程。</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旋转式指靠设计：舒适的指靠，方便移液间隙休息；指靠可以120º旋转，适合左/右手操作</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3×1cm量程显示窗具有放大镜功能，数字清晰，便于观察</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小量程的移液器为双活塞设计，增加50%吹出能力，大大降低挂壁和残留，提高了移液器的精准度。</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轻触吸头设计；只需轻轻一触即可彻底退出吸头。</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防遗忘锁扣设计:顶部液量调节按钮拔出时可调液量，按回可锁定量程调节，有效预防移液间的误操作导致的量程改变。</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颜色标识，不同色彩标记不同的量程，易于辨识，可配合同样颜色标记的吸头配合使用；</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标配防滑贴，无论徒手还是戴手套操作移液器，均可操作自如。</w:t>
      </w:r>
    </w:p>
    <w:p>
      <w:pPr>
        <w:keepNext w:val="0"/>
        <w:keepLines w:val="0"/>
        <w:pageBreakBefore w:val="0"/>
        <w:numPr>
          <w:ilvl w:val="0"/>
          <w:numId w:val="13"/>
        </w:numPr>
        <w:kinsoku/>
        <w:wordWrap/>
        <w:overflowPunct/>
        <w:topLinePunct w:val="0"/>
        <w:autoSpaceDE/>
        <w:autoSpaceDN/>
        <w:bidi w:val="0"/>
        <w:spacing w:line="360" w:lineRule="auto"/>
        <w:textAlignment w:val="auto"/>
        <w:rPr>
          <w:rFonts w:hint="eastAsia" w:ascii="宋体" w:hAnsi="宋体"/>
          <w:b/>
          <w:bCs/>
          <w:sz w:val="24"/>
          <w:lang w:val="en-US" w:eastAsia="zh-CN"/>
        </w:rPr>
      </w:pPr>
      <w:r>
        <w:rPr>
          <w:rFonts w:hint="eastAsia" w:ascii="宋体" w:hAnsi="宋体"/>
          <w:b/>
          <w:bCs/>
          <w:sz w:val="24"/>
          <w:lang w:val="en-US" w:eastAsia="zh-CN"/>
        </w:rPr>
        <w:t>八道移液器3套，可采进口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Calibri" w:hAnsi="Calibri" w:cs="Calibri"/>
          <w:szCs w:val="21"/>
        </w:rPr>
      </w:pPr>
      <w:r>
        <w:rPr>
          <w:rFonts w:hint="eastAsia" w:ascii="宋体" w:hAnsi="宋体"/>
          <w:sz w:val="24"/>
        </w:rPr>
        <w:t>八道移液器0.5-10ul，10-100ul，30-300ul规格各3支</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外壳为光滑的耐腐蚀塑料设计，不易沾污物，易清洗；</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量程调节为无阻尼设计，堪称无极变速，单手操作，体验极佳。</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液量显示带有微量刻度尺，调节步进小，可实现精确调节量程。</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旋转式指靠设计：舒适的指靠，方便移液间隙休息；指靠可以120º旋转，适合左/右手操作，每个人都可以找到舒适握持位置。</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3×1cm大的量程显示窗，数字清晰，便于观察</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小量程的移液器为双活塞设计，增加50%吹出能力，大大降低挂壁和残留，提高了移液器的精准度。</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轻触吸头设计；只需轻轻一触即可彻底退出吸头；</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防遗忘锁扣设计:顶部液量调节按钮拔出时可调液量，按回可锁定量程调节，有效预防移液间的误操作导致的量程改变。</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颜色标识，不同色彩标记不同的量程，易于辨识，可配合同样颜色标记的吸头配合使用；</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具有8通道，12通道，16通道，多种量程可选</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标配防滑贴，无论徒手还是戴手套操作移液器，均可操作自如。</w:t>
      </w:r>
    </w:p>
    <w:p>
      <w:pPr>
        <w:keepNext w:val="0"/>
        <w:keepLines w:val="0"/>
        <w:pageBreakBefore w:val="0"/>
        <w:numPr>
          <w:ilvl w:val="0"/>
          <w:numId w:val="13"/>
        </w:numPr>
        <w:kinsoku/>
        <w:wordWrap/>
        <w:overflowPunct/>
        <w:topLinePunct w:val="0"/>
        <w:autoSpaceDE/>
        <w:autoSpaceDN/>
        <w:bidi w:val="0"/>
        <w:spacing w:line="360" w:lineRule="auto"/>
        <w:textAlignment w:val="auto"/>
        <w:rPr>
          <w:rFonts w:hint="eastAsia" w:ascii="宋体" w:hAnsi="宋体"/>
          <w:b/>
          <w:bCs/>
          <w:sz w:val="24"/>
          <w:lang w:val="en-US" w:eastAsia="zh-CN"/>
        </w:rPr>
      </w:pPr>
      <w:r>
        <w:rPr>
          <w:rFonts w:hint="eastAsia" w:ascii="宋体" w:hAnsi="宋体"/>
          <w:b/>
          <w:bCs/>
          <w:sz w:val="24"/>
          <w:lang w:val="en-US" w:eastAsia="zh-CN"/>
        </w:rPr>
        <w:t>二层组合式全温振荡培养箱一台</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一层、二层或三层叠加组合，以最小的占地面积为用户提供最大的使用空间</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PID微电脑智能控温仪，控温精确</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三维一体的偏三轮驱动，运转平滑、稳定、耐久、可靠</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具有超温报警功能及异常情况自动断电功能</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具有断电恢复功能，避免因停电、死机而造成的数据丢失问题</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内衬采用圆弧角（R角）镜面不锈钢设计，便于清洁，不容易滋生细菌、防腐蚀；外壳采用静电喷塑</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人性化设计，下两层为下翻式开门，第三层为上翻式开门，摇板可自由抽出，方便装卸摇瓶，每层可独立控制，各层可在不同温度转速下同时运转或根据需要运行一层、两层或三层</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精选优质进口压缩机、无氟环保制冷剂，噪音低、制冷效果好，确保设备在低温状态下长时间稳定运行</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人性化设计的开门即停功能，使用更加安全快捷</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具有紫外线灭菌功能</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防水托盘设计，有效防止因样品瓶破碎漏液而导致的电机损坏问题，且无须专用工具，清理方便</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配备高质伺服电机，控制速度精确、高速性能好、稳定性强</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定时除霜功能，1~89分钟可自由设定，除霜间隔30~600分钟可调，能确保长时间在低温状态下运行时蒸发器不结冰</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LCD触摸屏，设定温度、转速、时间和实测温度、转速、剩余时间在同一界面显示，不用相互切换界面，观察更直观；操作界面加密锁定功能，杜绝重复操作和人为误操作；可自由设定摇板正转或反转；强制对流的风扇常开或自动</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拥有数据记录功能，每分钟记录一次数据，可记录近三个月的数据，并且可显示温度、速度曲线，方便数据的分析；有USB接口，可将上述数据导出并保存</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专业设计的侧面透气孔，满足样品对氧气的需求</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配备滤波器磁环，减少外界和自身波长对机器稳定性的干扰</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振荡频率 10-300rpm</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振荡频率精度 ±1rpm</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摇板振幅 Ф50mm</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温控范围 4～60℃</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温度调节精度 ±0.1℃</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温度均匀度 ±1℃ （at 37℃）(需提供第三方温度检测证书)</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right="-246" w:rightChars="-117"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最大容量（不锈钢夹具） 单层250ml×66或500ml×45或1000ml×28或2000ml×15</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塑胶夹具容量 单层250ml×60或500ml×40或1000ml×24或2000ml×15三角瓶夹具须为一次性成型塑胶夹具；试管夹具孔带有橡胶防护套；可选配粘性粘板。（需提供实物图片佐证）</w:t>
      </w:r>
    </w:p>
    <w:p>
      <w:pPr>
        <w:keepNext w:val="0"/>
        <w:keepLines w:val="0"/>
        <w:pageBreakBefore w:val="0"/>
        <w:widowControl/>
        <w:numPr>
          <w:ilvl w:val="0"/>
          <w:numId w:val="15"/>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摇板参考尺寸(长×宽） 单层 928mm×530mm</w:t>
      </w:r>
    </w:p>
    <w:p>
      <w:pPr>
        <w:keepNext w:val="0"/>
        <w:keepLines w:val="0"/>
        <w:pageBreakBefore w:val="0"/>
        <w:widowControl/>
        <w:numPr>
          <w:ilvl w:val="0"/>
          <w:numId w:val="0"/>
        </w:numPr>
        <w:shd w:val="clear" w:color="auto" w:fill="FFFFFF"/>
        <w:kinsoku/>
        <w:wordWrap/>
        <w:overflowPunct/>
        <w:topLinePunct w:val="0"/>
        <w:autoSpaceDE/>
        <w:autoSpaceDN/>
        <w:bidi w:val="0"/>
        <w:spacing w:line="360" w:lineRule="auto"/>
        <w:jc w:val="left"/>
        <w:textAlignment w:val="auto"/>
        <w:rPr>
          <w:rFonts w:hint="eastAsia" w:ascii="宋体" w:hAnsi="宋体"/>
          <w:b/>
          <w:bCs/>
          <w:sz w:val="24"/>
          <w:lang w:val="en-US" w:eastAsia="zh-CN"/>
        </w:rPr>
      </w:pPr>
      <w:r>
        <w:rPr>
          <w:rFonts w:hint="eastAsia" w:cs="Times New Roman" w:asciiTheme="minorEastAsia" w:hAnsiTheme="minorEastAsia" w:eastAsiaTheme="minorEastAsia"/>
          <w:b/>
          <w:bCs/>
          <w:color w:val="auto"/>
          <w:kern w:val="2"/>
          <w:sz w:val="24"/>
          <w:szCs w:val="24"/>
          <w:lang w:val="en-US" w:eastAsia="zh-CN" w:bidi="ar-SA"/>
        </w:rPr>
        <w:t>（九）</w:t>
      </w:r>
      <w:r>
        <w:rPr>
          <w:rFonts w:hint="eastAsia" w:ascii="宋体" w:hAnsi="宋体"/>
          <w:b/>
          <w:bCs/>
          <w:sz w:val="24"/>
          <w:lang w:eastAsia="zh-CN"/>
        </w:rPr>
        <w:t>全自动菌落计数仪</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彩色高清CCD  500像素万摄像镜头</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开放式平台设计，直接放平皿,计数、操作更方便、快捷；</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底部LED双光源，避免外界光线对开方平台上的菌落影像产生干扰。</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可通过设置颜色适应、菌落比、菌落直径设置，提高计数精确度。</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采用加密U盾，有效保障数据库管理和数据的安全。</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具有区分8种不同样色菌落，最大限度提高准确性;</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培养皿直径：标准的90mm和55mm</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菌落识别：平板、倾注、无网格滤膜、螺旋接种</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最小菌落识别大小：0.1mm</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 xml:space="preserve">典型计数时间：300个＜3秒                </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配备商务电脑一台</w:t>
      </w:r>
    </w:p>
    <w:p>
      <w:pPr>
        <w:keepNext w:val="0"/>
        <w:keepLines w:val="0"/>
        <w:pageBreakBefore w:val="0"/>
        <w:kinsoku/>
        <w:wordWrap/>
        <w:overflowPunct/>
        <w:topLinePunct w:val="0"/>
        <w:autoSpaceDE/>
        <w:autoSpaceDN/>
        <w:bidi w:val="0"/>
        <w:spacing w:line="360" w:lineRule="auto"/>
        <w:textAlignment w:val="auto"/>
        <w:rPr>
          <w:rFonts w:hint="eastAsia" w:ascii="宋体" w:hAnsi="宋体"/>
          <w:sz w:val="24"/>
        </w:rPr>
      </w:pPr>
      <w:r>
        <w:rPr>
          <w:rFonts w:hint="eastAsia" w:cs="Times New Roman" w:asciiTheme="minorEastAsia" w:hAnsiTheme="minorEastAsia" w:eastAsiaTheme="minorEastAsia"/>
          <w:b/>
          <w:bCs/>
          <w:color w:val="auto"/>
          <w:kern w:val="2"/>
          <w:sz w:val="24"/>
          <w:szCs w:val="24"/>
          <w:lang w:val="en-US" w:eastAsia="zh-CN" w:bidi="ar-SA"/>
        </w:rPr>
        <w:t>（十）</w:t>
      </w:r>
      <w:r>
        <w:rPr>
          <w:rFonts w:hint="eastAsia" w:ascii="宋体" w:hAnsi="宋体" w:cs="Arial"/>
          <w:b/>
          <w:bCs/>
          <w:sz w:val="24"/>
        </w:rPr>
        <w:t>蓝光投射切胶仪</w:t>
      </w:r>
      <w:r>
        <w:rPr>
          <w:rFonts w:hint="eastAsia" w:ascii="宋体" w:hAnsi="宋体" w:cs="Arial"/>
          <w:b/>
          <w:bCs/>
          <w:sz w:val="24"/>
          <w:lang w:eastAsia="zh-CN"/>
        </w:rPr>
        <w:t>一台</w:t>
      </w:r>
      <w:r>
        <w:rPr>
          <w:rFonts w:hint="eastAsia" w:ascii="宋体" w:hAnsi="宋体"/>
          <w:sz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sz w:val="24"/>
        </w:rPr>
      </w:pPr>
      <w:r>
        <w:rPr>
          <w:rFonts w:hint="eastAsia" w:ascii="宋体" w:hAnsi="宋体"/>
          <w:sz w:val="24"/>
        </w:rPr>
        <w:t>1、适用于琼脂糖/丙烯聚酰胺凝胶电泳胶片观察、切胶及手机快捷拍照分享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sz w:val="24"/>
        </w:rPr>
      </w:pPr>
      <w:r>
        <w:rPr>
          <w:rFonts w:hint="eastAsia" w:ascii="宋体" w:hAnsi="宋体"/>
          <w:sz w:val="24"/>
        </w:rPr>
        <w:t>2、读胶背景采用底部均匀发光方式，蓝光白光可切换。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sz w:val="24"/>
        </w:rPr>
      </w:pPr>
      <w:r>
        <w:rPr>
          <w:rFonts w:hint="eastAsia" w:ascii="宋体" w:hAnsi="宋体"/>
          <w:sz w:val="24"/>
        </w:rPr>
        <w:t>3、光强三挡调节。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sz w:val="24"/>
        </w:rPr>
      </w:pPr>
      <w:r>
        <w:rPr>
          <w:rFonts w:hint="eastAsia" w:ascii="宋体" w:hAnsi="宋体"/>
          <w:sz w:val="24"/>
        </w:rPr>
        <w:t>4、分离式观察窗。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sz w:val="24"/>
        </w:rPr>
      </w:pPr>
      <w:r>
        <w:rPr>
          <w:rFonts w:hint="eastAsia" w:ascii="宋体" w:hAnsi="宋体"/>
          <w:sz w:val="24"/>
        </w:rPr>
        <w:t>5、拍照暗箱覆盖整机、拍照位置可调节。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sz w:val="24"/>
        </w:rPr>
      </w:pPr>
      <w:r>
        <w:rPr>
          <w:rFonts w:hint="eastAsia" w:ascii="宋体" w:hAnsi="宋体"/>
          <w:sz w:val="24"/>
        </w:rPr>
        <w:t>6、标配蓝色、白色滤光片、切胶刀、拍照暗箱。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sz w:val="24"/>
        </w:rPr>
      </w:pPr>
      <w:r>
        <w:rPr>
          <w:rFonts w:hint="eastAsia" w:ascii="宋体" w:hAnsi="宋体"/>
          <w:sz w:val="24"/>
        </w:rPr>
        <w:t>7、可连接移动电源，适用于野外工作。</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b/>
          <w:bCs/>
          <w:sz w:val="24"/>
          <w:lang w:eastAsia="zh-CN"/>
        </w:rPr>
      </w:pPr>
      <w:r>
        <w:rPr>
          <w:rFonts w:hint="eastAsia" w:ascii="宋体" w:hAnsi="宋体"/>
          <w:b/>
          <w:bCs/>
          <w:sz w:val="24"/>
          <w:lang w:eastAsia="zh-CN"/>
        </w:rPr>
        <w:t>（十一）100×倍油镜镜头一个</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sz w:val="24"/>
          <w:lang w:eastAsia="zh-CN"/>
        </w:rPr>
      </w:pPr>
      <w:r>
        <w:rPr>
          <w:rFonts w:hint="eastAsia" w:ascii="宋体" w:hAnsi="宋体"/>
          <w:sz w:val="24"/>
          <w:lang w:eastAsia="zh-CN"/>
        </w:rPr>
        <w:t>配套尼康</w:t>
      </w:r>
      <w:r>
        <w:rPr>
          <w:rFonts w:hint="eastAsia" w:ascii="宋体" w:hAnsi="宋体"/>
          <w:sz w:val="24"/>
          <w:lang w:val="en-US" w:eastAsia="zh-CN"/>
        </w:rPr>
        <w:t>90i使用，</w:t>
      </w:r>
      <w:r>
        <w:rPr>
          <w:rFonts w:hint="eastAsia" w:ascii="宋体" w:hAnsi="宋体"/>
          <w:sz w:val="24"/>
          <w:lang w:eastAsia="zh-CN"/>
        </w:rPr>
        <w:t>平场半复消色差物镜：NA.1.3,W.D 0.16</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sz w:val="24"/>
          <w:lang w:val="en-US" w:eastAsia="zh-CN"/>
        </w:rPr>
      </w:pPr>
      <w:r>
        <w:rPr>
          <w:rFonts w:hint="eastAsia" w:ascii="宋体" w:hAnsi="宋体"/>
          <w:b/>
          <w:bCs/>
          <w:sz w:val="24"/>
          <w:lang w:eastAsia="zh-CN"/>
        </w:rPr>
        <w:t>（十二）</w:t>
      </w:r>
      <w:r>
        <w:rPr>
          <w:rFonts w:hint="eastAsia" w:ascii="宋体" w:hAnsi="宋体"/>
          <w:b/>
          <w:bCs/>
          <w:sz w:val="24"/>
          <w:lang w:val="en-US" w:eastAsia="zh-CN"/>
        </w:rPr>
        <w:t>-</w:t>
      </w:r>
      <w:r>
        <w:rPr>
          <w:rFonts w:hint="eastAsia" w:ascii="宋体" w:hAnsi="宋体"/>
          <w:b/>
          <w:bCs/>
          <w:sz w:val="24"/>
        </w:rPr>
        <w:t>80度超低温冰箱</w:t>
      </w:r>
      <w:r>
        <w:rPr>
          <w:rFonts w:hint="eastAsia" w:ascii="宋体" w:hAnsi="宋体"/>
          <w:b/>
          <w:bCs/>
          <w:sz w:val="24"/>
          <w:lang w:eastAsia="zh-CN"/>
        </w:rPr>
        <w:t>一台</w:t>
      </w:r>
      <w:r>
        <w:rPr>
          <w:rFonts w:hint="eastAsia" w:ascii="宋体" w:hAnsi="宋体"/>
          <w:sz w:val="24"/>
        </w:rPr>
        <w:t xml:space="preserve">                      </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有效容积：≥520 L</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温度控制范围：-50℃～﹣86℃(每档0.1℃，环境温度：10℃~30℃)</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 xml:space="preserve">压缩机：采用国际知名品牌压缩机，双压缩机控制             </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制冷剂：采用完全无氟的环保制冷剂</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隔热层：硬质聚氨酯发泡+VIP（真空绝热层）技术，箱体容积大于520L</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表面材料：外部材料：电镀锌板，环保哑光聚酯树脂喷涂</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内部材料：电镀锌板，环保聚酯树脂喷涂工艺</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把手：人性化设计，一体成型，铝合金结构轻巧便捷，美观大方，可单手操作，预留挂锁锁孔；</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门：外门1个，内门≥2个，内门带聚氨脂保温层，双层密封条结构增加温度稳定性。</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锁：带有内锁一个，钥匙一套，可独立外接挂锁。</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搁架：三层，不锈钢（高度可调整），最大承重：50kg/层</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报警装置：带有高/低温报警、过滤器报警、电源异常报警、断电后蓄电池报警等，并可以接远程报警端子，可选配通过网络对冰箱进行远程控制，具有传感器异常自我故障诊断功能、压缩机保护技能；具有环境温度超高低温报警功能；</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温度显示：微电脑处理器控制的温度显示控制面板，可显示当前工作状态；</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备用电池：</w:t>
      </w:r>
      <w:r>
        <w:rPr>
          <w:rFonts w:hint="eastAsia" w:ascii="宋体" w:hAnsi="宋体" w:eastAsia="宋体" w:cs="Times New Roman"/>
          <w:kern w:val="2"/>
          <w:sz w:val="24"/>
          <w:szCs w:val="24"/>
          <w:lang w:val="en-US" w:eastAsia="zh-CN" w:bidi="ar-SA"/>
        </w:rPr>
        <w:t>后备电池在断电情况下</w:t>
      </w:r>
      <w:r>
        <w:rPr>
          <w:rFonts w:hint="eastAsia" w:ascii="宋体" w:hAnsi="宋体" w:cs="Times New Roman"/>
          <w:kern w:val="2"/>
          <w:sz w:val="24"/>
          <w:szCs w:val="24"/>
          <w:lang w:val="en-US" w:eastAsia="zh-CN" w:bidi="ar-SA"/>
        </w:rPr>
        <w:t>可</w:t>
      </w:r>
      <w:r>
        <w:rPr>
          <w:rFonts w:hint="eastAsia" w:ascii="宋体" w:hAnsi="宋体" w:eastAsia="宋体" w:cs="Times New Roman"/>
          <w:kern w:val="2"/>
          <w:sz w:val="24"/>
          <w:szCs w:val="24"/>
          <w:lang w:val="en-US" w:eastAsia="zh-CN" w:bidi="ar-SA"/>
        </w:rPr>
        <w:t>为监控报警系统供电长达72小时</w:t>
      </w:r>
      <w:r>
        <w:rPr>
          <w:rFonts w:hint="eastAsia" w:ascii="宋体" w:hAnsi="宋体" w:cs="Times New Roman"/>
          <w:kern w:val="2"/>
          <w:sz w:val="24"/>
          <w:szCs w:val="24"/>
          <w:lang w:val="en-US" w:eastAsia="zh-CN" w:bidi="ar-SA"/>
        </w:rPr>
        <w:t>以上</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控制器设置保护：进入控制器需要长按特定按键进行解锁，控制器参数设定需要二级密码进入才可以设定</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电源条件：220V，50HZ，所有独立部件，安全接地，</w:t>
      </w:r>
      <w:r>
        <w:rPr>
          <w:rFonts w:hint="eastAsia" w:ascii="宋体" w:hAnsi="宋体" w:eastAsia="宋体" w:cs="Times New Roman"/>
          <w:kern w:val="2"/>
          <w:sz w:val="24"/>
          <w:szCs w:val="24"/>
          <w:lang w:val="en-US" w:eastAsia="zh-CN" w:bidi="ar-SA"/>
        </w:rPr>
        <w:t>带时间延迟断路器</w:t>
      </w:r>
      <w:r>
        <w:rPr>
          <w:rFonts w:hint="eastAsia" w:ascii="宋体" w:hAnsi="宋体"/>
          <w:sz w:val="24"/>
          <w:lang w:val="en-US" w:eastAsia="zh-CN"/>
        </w:rPr>
        <w:t>；</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箱内的温度传感器≥2个，</w:t>
      </w:r>
      <w:r>
        <w:rPr>
          <w:rFonts w:hint="eastAsia" w:ascii="宋体" w:hAnsi="宋体" w:eastAsia="宋体" w:cs="Times New Roman"/>
          <w:kern w:val="2"/>
          <w:sz w:val="24"/>
          <w:szCs w:val="24"/>
          <w:lang w:val="en-US" w:eastAsia="zh-CN" w:bidi="ar-SA"/>
        </w:rPr>
        <w:t xml:space="preserve"> 预留</w:t>
      </w:r>
      <w:r>
        <w:rPr>
          <w:rFonts w:hint="eastAsia" w:ascii="宋体" w:hAnsi="宋体" w:cs="Times New Roman"/>
          <w:kern w:val="2"/>
          <w:sz w:val="24"/>
          <w:szCs w:val="24"/>
          <w:lang w:val="en-US" w:eastAsia="zh-CN" w:bidi="ar-SA"/>
        </w:rPr>
        <w:t>测试孔、</w:t>
      </w:r>
      <w:r>
        <w:rPr>
          <w:rFonts w:hint="eastAsia" w:ascii="宋体" w:hAnsi="宋体" w:eastAsia="宋体" w:cs="Times New Roman"/>
          <w:kern w:val="2"/>
          <w:sz w:val="24"/>
          <w:szCs w:val="24"/>
          <w:lang w:val="en-US" w:eastAsia="zh-CN" w:bidi="ar-SA"/>
        </w:rPr>
        <w:t>外接端口</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可连接外部探头或仪器</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过滤网可以直接开启取出，不要螺丝安装等，方便快捷；</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脚轮:带有脚轮，配有制动装置；</w:t>
      </w:r>
    </w:p>
    <w:p>
      <w:pPr>
        <w:keepNext w:val="0"/>
        <w:keepLines w:val="0"/>
        <w:pageBreakBefore w:val="0"/>
        <w:widowControl/>
        <w:numPr>
          <w:ilvl w:val="0"/>
          <w:numId w:val="17"/>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sz w:val="24"/>
          <w:lang w:val="en-US" w:eastAsia="zh-CN"/>
        </w:rPr>
      </w:pPr>
      <w:r>
        <w:rPr>
          <w:rFonts w:hint="eastAsia" w:ascii="宋体" w:hAnsi="宋体"/>
          <w:sz w:val="24"/>
          <w:lang w:val="en-US" w:eastAsia="zh-CN"/>
        </w:rPr>
        <w:t>标准配置：超低温冰箱 1个；  冰铲 1个；  钥匙 2把；说明书1套</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eastAsia="宋体"/>
          <w:sz w:val="24"/>
          <w:lang w:val="en-US" w:eastAsia="zh-CN"/>
        </w:rPr>
      </w:pPr>
      <w:r>
        <w:rPr>
          <w:rFonts w:hint="eastAsia" w:cs="Times New Roman" w:asciiTheme="minorEastAsia" w:hAnsiTheme="minorEastAsia" w:eastAsiaTheme="minorEastAsia"/>
          <w:b/>
          <w:bCs/>
          <w:color w:val="auto"/>
          <w:kern w:val="2"/>
          <w:sz w:val="24"/>
          <w:szCs w:val="24"/>
          <w:lang w:val="en-US" w:eastAsia="zh-CN" w:bidi="ar-SA"/>
        </w:rPr>
        <w:t>（十三）</w:t>
      </w:r>
      <w:r>
        <w:rPr>
          <w:rFonts w:hint="eastAsia" w:ascii="宋体" w:hAnsi="宋体"/>
          <w:b/>
          <w:bCs/>
          <w:sz w:val="24"/>
          <w:lang w:val="en-US" w:eastAsia="zh-CN"/>
        </w:rPr>
        <w:t>（高）低氧动物箱一台，可采进口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用途：可精确控制氧气浓度，帮助建立低氧/高氧动物模型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 xml:space="preserve">1. 整套系统由气体控制器、气体控制室、传感器模块组成；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 系统可以进行精准的O2控制；适用于短时间或长时间的低氧、极端低氧、或高氧条件控制；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氧气浓度控制范围0.1%—99.9%，可设置及显示精度为0.1%，气体配比由控制器自动完成。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 xml:space="preserve">4．系统气密性好、节约气体，可实现0.1%-3% 极端低氧培养，开关门波动小，恢复速度快；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 xml:space="preserve"> </w:t>
      </w:r>
      <w:r>
        <w:rPr>
          <w:rFonts w:hint="eastAsia" w:ascii="宋体" w:hAnsi="宋体"/>
          <w:sz w:val="24"/>
        </w:rPr>
        <w:t xml:space="preserve">气体控制室配备氧气传感器模块，严格监控室内气体浓度，控制器根据其氧气探头的实时监测反馈，自动注入氧气来提升氧浓度或者注入氮气来降低氧浓度达到预设值，可按预设定值随时快速恢复和维持气体浓度，满足实验所需氧气设定要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6. 槽体</w:t>
      </w:r>
      <w:r>
        <w:rPr>
          <w:rFonts w:hint="eastAsia" w:ascii="宋体" w:hAnsi="宋体"/>
          <w:sz w:val="24"/>
          <w:lang w:eastAsia="zh-CN"/>
        </w:rPr>
        <w:t>参考</w:t>
      </w:r>
      <w:r>
        <w:rPr>
          <w:rFonts w:hint="eastAsia" w:ascii="宋体" w:hAnsi="宋体"/>
          <w:sz w:val="24"/>
        </w:rPr>
        <w:t xml:space="preserve">尺寸 30”(76cm) x 20”(51cm) x 20”(51cm)；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7. 不锈钢材质正向闭锁门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8. 提升板设计便于气体循环机和使用洗涤器/干燥剂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9.气体控制器外接2个气体钢瓶，氮气（低氧要求）、或氧气（高氧要求）。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lang w:val="en-US" w:eastAsia="zh-CN"/>
        </w:rPr>
        <w:t>10.工作条件：</w:t>
      </w:r>
      <w:r>
        <w:rPr>
          <w:rFonts w:hint="eastAsia" w:ascii="宋体" w:hAnsi="宋体"/>
          <w:sz w:val="24"/>
        </w:rPr>
        <w:t>电源：100–240±10%V；50/60Hz</w:t>
      </w:r>
      <w:r>
        <w:rPr>
          <w:rFonts w:hint="eastAsia" w:ascii="宋体" w:hAnsi="宋体"/>
          <w:sz w:val="24"/>
          <w:lang w:eastAsia="zh-CN"/>
        </w:rPr>
        <w:t>；</w:t>
      </w:r>
      <w:r>
        <w:rPr>
          <w:rFonts w:hint="eastAsia" w:ascii="宋体" w:hAnsi="宋体"/>
          <w:sz w:val="24"/>
        </w:rPr>
        <w:t>环境温度：15 - 35℃</w:t>
      </w:r>
      <w:r>
        <w:rPr>
          <w:rFonts w:hint="eastAsia" w:ascii="宋体" w:hAnsi="宋体"/>
          <w:sz w:val="24"/>
          <w:lang w:eastAsia="zh-CN"/>
        </w:rPr>
        <w:t>；</w:t>
      </w:r>
      <w:r>
        <w:rPr>
          <w:rFonts w:hint="eastAsia" w:ascii="宋体" w:hAnsi="宋体"/>
          <w:sz w:val="24"/>
        </w:rPr>
        <w:t>相对湿度：＜ 60%</w:t>
      </w:r>
      <w:r>
        <w:rPr>
          <w:rFonts w:hint="eastAsia" w:ascii="宋体" w:hAnsi="宋体"/>
          <w:sz w:val="24"/>
          <w:lang w:eastAsia="zh-CN"/>
        </w:rPr>
        <w:t>；</w:t>
      </w:r>
      <w:r>
        <w:rPr>
          <w:rFonts w:hint="eastAsia" w:ascii="宋体" w:hAnsi="宋体"/>
          <w:sz w:val="24"/>
        </w:rPr>
        <w:t>配置符合中国有关标准要求的水电气插头。否则，应提供适当的水电气转换插座。</w:t>
      </w:r>
    </w:p>
    <w:p>
      <w:pPr>
        <w:keepNext w:val="0"/>
        <w:keepLines w:val="0"/>
        <w:pageBreakBefore w:val="0"/>
        <w:numPr>
          <w:ilvl w:val="0"/>
          <w:numId w:val="18"/>
        </w:numPr>
        <w:kinsoku/>
        <w:wordWrap/>
        <w:overflowPunct/>
        <w:topLinePunct w:val="0"/>
        <w:autoSpaceDE/>
        <w:autoSpaceDN/>
        <w:bidi w:val="0"/>
        <w:spacing w:line="360" w:lineRule="auto"/>
        <w:textAlignment w:val="auto"/>
        <w:rPr>
          <w:rFonts w:hint="eastAsia" w:ascii="宋体" w:hAnsi="宋体"/>
          <w:b/>
          <w:bCs/>
          <w:sz w:val="24"/>
          <w:lang w:val="en-US" w:eastAsia="zh-CN"/>
        </w:rPr>
      </w:pPr>
      <w:r>
        <w:rPr>
          <w:rFonts w:hint="eastAsia" w:ascii="宋体" w:hAnsi="宋体"/>
          <w:b/>
          <w:bCs/>
          <w:sz w:val="24"/>
          <w:lang w:eastAsia="zh-CN"/>
        </w:rPr>
        <w:t>制冰机</w:t>
      </w:r>
      <w:r>
        <w:rPr>
          <w:rFonts w:hint="eastAsia" w:ascii="宋体" w:hAnsi="宋体"/>
          <w:b/>
          <w:bCs/>
          <w:sz w:val="24"/>
          <w:lang w:val="en-US" w:eastAsia="zh-CN"/>
        </w:rPr>
        <w:t>1台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1.材料：前/侧/顶面：不锈钢钢板，后板为镀锌钢板；门把手和冰铲等可以触摸的部位用了抗菌材料。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2.制冰量：约130公斤/日（环境温度20度，水温15度）；约110公斤/日（环境温度30度，水温25度）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3.用水量：约0.16立方米/日(环境温度30度,水温25度)；约0.14立方米/日（环境温度20度，水温15度）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4.冰块形状：碎花状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5.滤水装置：带有进水过滤器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6.储冰量： 不小于28公斤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7.报警装置/其他功能：带有过温报警、过负荷报警，还具有自我故障诊断功能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8.具有便于清洗的侧抽式空气滤网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9.配置：制冰机、冰铲、含配不锈钢专用安装支架 ，便于排水及安装</w:t>
      </w:r>
    </w:p>
    <w:p>
      <w:pPr>
        <w:keepNext w:val="0"/>
        <w:keepLines w:val="0"/>
        <w:pageBreakBefore w:val="0"/>
        <w:numPr>
          <w:ilvl w:val="0"/>
          <w:numId w:val="18"/>
        </w:numPr>
        <w:kinsoku/>
        <w:wordWrap/>
        <w:overflowPunct/>
        <w:topLinePunct w:val="0"/>
        <w:autoSpaceDE/>
        <w:autoSpaceDN/>
        <w:bidi w:val="0"/>
        <w:spacing w:line="360" w:lineRule="auto"/>
        <w:ind w:left="0" w:leftChars="0" w:firstLine="0" w:firstLine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药物浓缩系统一套，含旋转蒸发仪，配套隔膜泵及冷却循环水</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b/>
          <w:bCs/>
          <w:color w:val="auto"/>
          <w:sz w:val="24"/>
          <w:lang w:val="en-US" w:eastAsia="zh-CN"/>
        </w:rPr>
      </w:pPr>
      <w:r>
        <w:rPr>
          <w:rFonts w:hint="eastAsia" w:ascii="宋体" w:hAnsi="宋体"/>
          <w:b/>
          <w:bCs/>
          <w:color w:val="auto"/>
          <w:sz w:val="24"/>
          <w:lang w:val="en-US" w:eastAsia="zh-CN"/>
        </w:rPr>
        <w:t>（1）旋转蒸发仪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1、旋转速度：10-310rpm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2、蒸发能力：25ml/min</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3、可达真空度：399.9Pa（3mmHg）</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4、温度调节范围：室温~180℃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5、温度调节精度：±1.5℃（水浴）±3℃（油浴）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6、转速设定•显示：旋钮设定•数字显示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7、升降功能：手动平衡式（升降行程180mm、无级调节）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8、其他功能：试料瓶左右两侧安装、试料瓶可定时正反转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9、电机：DC无刷电机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10、冷凝管：直立式双层冷凝管，冷凝面积0.146m2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11、搭配水浴锅：水油两用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12、水浴锅加热器：1KW</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13、真空密封垫：双重密封垫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15、水浴锅材质•容量：铝（特氟龙Ⓡ涂层）•5.4L</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（2）冷却水循环系统一套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 循环方式：密闭式循环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 温度设定范围：-20~30℃(无加热器)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 温度调节精度：±2℃（-20℃~0设定）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±1℃（0~30℃设定）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4. 冷却能力W（kcal/h）：450（387）at液温10℃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310（266）at液温-10℃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5. 外部循环能力：最大流量：9L/min</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6. 最大扬程：4.2m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7. 安全功能：漏电・电流过载保护、冷冻机过载保护器、自身诊断机能（冷冻机过载运转、停电报警、传感器异常）、循环泵热保护装置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8. 冷冻机・冷媒：空冷式输出450W・R404A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9. 冷却盘管材质：铜镀镍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10. 水槽容量：3.2L</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b w:val="0"/>
          <w:bCs w:val="0"/>
          <w:color w:val="auto"/>
          <w:sz w:val="24"/>
          <w:lang w:val="en-US" w:eastAsia="zh-CN"/>
        </w:rPr>
      </w:pPr>
      <w:r>
        <w:rPr>
          <w:rFonts w:hint="eastAsia" w:ascii="宋体" w:hAnsi="宋体" w:eastAsia="宋体"/>
          <w:b/>
          <w:bCs/>
          <w:color w:val="auto"/>
          <w:sz w:val="24"/>
          <w:lang w:val="en-US" w:eastAsia="zh-CN"/>
        </w:rPr>
        <w:t>（3）隔</w:t>
      </w:r>
      <w:r>
        <w:rPr>
          <w:rFonts w:hint="eastAsia" w:ascii="宋体" w:hAnsi="宋体"/>
          <w:b/>
          <w:bCs/>
          <w:color w:val="auto"/>
          <w:sz w:val="24"/>
          <w:lang w:val="en-US" w:eastAsia="zh-CN"/>
        </w:rPr>
        <w:t>膜泵一台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1、排气速度：30L/min(高)，20L/min(低)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2、真空度：1000pa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3、马达：输出90W</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4、安全功能：马达异常检知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5、减压模式：2段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6、接液部材质：特氟龙、PPS、Kalrez</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bCs/>
          <w:color w:val="auto"/>
          <w:sz w:val="24"/>
          <w:lang w:val="en-US" w:eastAsia="zh-CN"/>
        </w:rPr>
      </w:pPr>
      <w:r>
        <w:rPr>
          <w:rFonts w:hint="eastAsia" w:ascii="宋体" w:hAnsi="宋体"/>
          <w:b w:val="0"/>
          <w:bCs w:val="0"/>
          <w:color w:val="auto"/>
          <w:sz w:val="24"/>
          <w:lang w:val="en-US" w:eastAsia="zh-CN"/>
        </w:rPr>
        <w:t>7、标准配备气镇阀，可有效的保护隔膜泵，降低膜片的损耗</w:t>
      </w:r>
    </w:p>
    <w:p>
      <w:pPr>
        <w:keepNext w:val="0"/>
        <w:keepLines w:val="0"/>
        <w:pageBreakBefore w:val="0"/>
        <w:numPr>
          <w:ilvl w:val="0"/>
          <w:numId w:val="18"/>
        </w:numPr>
        <w:kinsoku/>
        <w:wordWrap/>
        <w:overflowPunct/>
        <w:topLinePunct w:val="0"/>
        <w:autoSpaceDE/>
        <w:autoSpaceDN/>
        <w:bidi w:val="0"/>
        <w:spacing w:line="360" w:lineRule="auto"/>
        <w:ind w:left="0" w:leftChars="0" w:firstLine="0" w:firstLine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基础电泳仪电源1台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1.电压：10-300V，最小可调1V</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2.电流：4-400mA，最小可调1mA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3.功率：75W in maximum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bCs/>
          <w:color w:val="auto"/>
          <w:sz w:val="24"/>
          <w:lang w:val="en-US" w:eastAsia="zh-CN"/>
        </w:rPr>
      </w:pPr>
      <w:r>
        <w:rPr>
          <w:rFonts w:hint="eastAsia" w:ascii="宋体" w:hAnsi="宋体"/>
          <w:b w:val="0"/>
          <w:bCs w:val="0"/>
          <w:color w:val="auto"/>
          <w:sz w:val="24"/>
          <w:lang w:val="en-US" w:eastAsia="zh-CN"/>
        </w:rPr>
        <w:t>4.输出：4对电源输出，可同时运行4个电泳槽，恒压或者恒流方式，可编程</w:t>
      </w:r>
    </w:p>
    <w:p>
      <w:pPr>
        <w:keepNext w:val="0"/>
        <w:keepLines w:val="0"/>
        <w:pageBreakBefore w:val="0"/>
        <w:numPr>
          <w:ilvl w:val="0"/>
          <w:numId w:val="18"/>
        </w:numPr>
        <w:kinsoku/>
        <w:wordWrap/>
        <w:overflowPunct/>
        <w:topLinePunct w:val="0"/>
        <w:autoSpaceDE/>
        <w:autoSpaceDN/>
        <w:bidi w:val="0"/>
        <w:spacing w:line="360" w:lineRule="auto"/>
        <w:ind w:left="0" w:leftChars="0" w:firstLine="0" w:firstLine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蛋白垂直电泳槽、半干转印系统及电源一套，可采进口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1、蛋白垂直电泳槽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1.1同一槽内可同时进行4块SDS-PAGE凝胶的电泳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1.2.标准配置：电泳槽，玻璃板，灌胶系统，上样引导装置，电泳梳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1.3.参考胶面积： 8.3 x 7.3 cm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1.4.短玻璃板参考尺寸：10.1 x 7.3 cm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1.5.长玻璃板参考尺寸：10.1 x 8.2 cm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1.6.模块化：可换置转印（western blot）等模块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1.7.可以兼容双向电泳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1.8.可兼容8x 7 cm预制胶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2、半干转印系统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2.1 通量：1-2块中型/1-4块小型凝胶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2.2 便利性：预组装的印迹夹，无需附加试剂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2.3 电源：集成电源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2.4.电极设计：阳极镀铂，阴极不锈钢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2.5.最大凝胶尺寸(W x L)：15x 11 cm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2.6.转印速度：3-10分钟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3、电泳仪电源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3.1.电压:10-300V ,最小可调1V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3.2.电流:4-400mA ,最小可调1mA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3.3.功率:75W （最大）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3.4.输出:4对电源输出,可同时运行4个电泳槽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3.5.输出方式:恒压或者恒流方式,可编程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3.6.定时:1-999min,完全可调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3.7.暂停功能:有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bCs/>
          <w:color w:val="auto"/>
          <w:sz w:val="24"/>
          <w:lang w:val="en-US" w:eastAsia="zh-CN"/>
        </w:rPr>
      </w:pPr>
      <w:r>
        <w:rPr>
          <w:rFonts w:hint="eastAsia" w:ascii="宋体" w:hAnsi="宋体"/>
          <w:b w:val="0"/>
          <w:bCs w:val="0"/>
          <w:color w:val="auto"/>
          <w:sz w:val="24"/>
          <w:lang w:val="en-US" w:eastAsia="zh-CN"/>
        </w:rPr>
        <w:t>3.8.安全性能:经空载检测,突变负载检测,超载/短路保护,输入线保护,断电保护测试</w:t>
      </w:r>
    </w:p>
    <w:p>
      <w:pPr>
        <w:keepNext w:val="0"/>
        <w:keepLines w:val="0"/>
        <w:pageBreakBefore w:val="0"/>
        <w:numPr>
          <w:ilvl w:val="0"/>
          <w:numId w:val="18"/>
        </w:numPr>
        <w:kinsoku/>
        <w:wordWrap/>
        <w:overflowPunct/>
        <w:topLinePunct w:val="0"/>
        <w:autoSpaceDE/>
        <w:autoSpaceDN/>
        <w:bidi w:val="0"/>
        <w:spacing w:line="360" w:lineRule="auto"/>
        <w:ind w:left="0" w:leftChars="0" w:firstLine="0" w:firstLine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高速离心机转子两套</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b w:val="0"/>
          <w:bCs w:val="0"/>
          <w:color w:val="auto"/>
          <w:sz w:val="22"/>
          <w:szCs w:val="22"/>
          <w:lang w:val="en-US" w:eastAsia="zh-CN"/>
        </w:rPr>
      </w:pPr>
      <w:r>
        <w:rPr>
          <w:rFonts w:hint="eastAsia" w:ascii="宋体" w:hAnsi="宋体"/>
          <w:b w:val="0"/>
          <w:bCs w:val="0"/>
          <w:color w:val="auto"/>
          <w:sz w:val="22"/>
          <w:szCs w:val="22"/>
          <w:lang w:val="en-US" w:eastAsia="zh-CN"/>
        </w:rPr>
        <w:t>1、转头 6X100碳纤维角转头，12X6.5ml适配器（可离心直径13高114mm规格圆底管）</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宋体" w:hAnsi="宋体"/>
          <w:b w:val="0"/>
          <w:bCs w:val="0"/>
          <w:color w:val="FF0000"/>
          <w:sz w:val="24"/>
          <w:lang w:val="en-US" w:eastAsia="zh-CN"/>
        </w:rPr>
      </w:pPr>
      <w:r>
        <w:rPr>
          <w:rFonts w:hint="eastAsia" w:ascii="宋体" w:hAnsi="宋体"/>
          <w:b w:val="0"/>
          <w:bCs w:val="0"/>
          <w:color w:val="auto"/>
          <w:sz w:val="22"/>
          <w:szCs w:val="22"/>
          <w:lang w:val="en-US" w:eastAsia="zh-CN"/>
        </w:rPr>
        <w:t>2、转头6X50角转头，配：6X6.5ml适配器 （可离心直径13.5高114mm规格圆底管）</w:t>
      </w:r>
    </w:p>
    <w:p>
      <w:pPr>
        <w:keepNext w:val="0"/>
        <w:keepLines w:val="0"/>
        <w:pageBreakBefore w:val="0"/>
        <w:numPr>
          <w:ilvl w:val="0"/>
          <w:numId w:val="18"/>
        </w:numPr>
        <w:kinsoku/>
        <w:wordWrap/>
        <w:overflowPunct/>
        <w:topLinePunct w:val="0"/>
        <w:autoSpaceDE/>
        <w:autoSpaceDN/>
        <w:bidi w:val="0"/>
        <w:spacing w:line="360" w:lineRule="auto"/>
        <w:ind w:left="0" w:leftChars="0" w:firstLine="0" w:firstLine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霉菌培养箱一套</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电源电压 220V.50Hz</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控温范围 5~50℃</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温度波动 ±0.5℃</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消耗功率 700W</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bCs/>
          <w:color w:val="auto"/>
          <w:sz w:val="24"/>
          <w:lang w:val="en-US" w:eastAsia="zh-CN"/>
        </w:rPr>
      </w:pPr>
      <w:r>
        <w:rPr>
          <w:rFonts w:hint="eastAsia" w:ascii="宋体" w:hAnsi="宋体"/>
          <w:b w:val="0"/>
          <w:bCs w:val="0"/>
          <w:color w:val="auto"/>
          <w:sz w:val="24"/>
          <w:lang w:val="en-US" w:eastAsia="zh-CN"/>
        </w:rPr>
        <w:t>工作室尺寸 500 × 450 × 650mm</w:t>
      </w:r>
    </w:p>
    <w:p>
      <w:pPr>
        <w:keepNext w:val="0"/>
        <w:keepLines w:val="0"/>
        <w:pageBreakBefore w:val="0"/>
        <w:numPr>
          <w:ilvl w:val="0"/>
          <w:numId w:val="18"/>
        </w:numPr>
        <w:kinsoku/>
        <w:wordWrap/>
        <w:overflowPunct/>
        <w:topLinePunct w:val="0"/>
        <w:autoSpaceDE/>
        <w:autoSpaceDN/>
        <w:bidi w:val="0"/>
        <w:spacing w:line="360" w:lineRule="auto"/>
        <w:ind w:left="0" w:leftChars="0" w:firstLine="0" w:firstLine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 xml:space="preserve">隔水式恒温培养箱一台   </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工作室尺寸:350*350*410mm</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控温范围:室温+5-65℃</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温度波动:</w:t>
      </w:r>
      <w:r>
        <w:rPr>
          <w:rFonts w:hint="eastAsia" w:ascii="宋体" w:hAnsi="宋体"/>
          <w:sz w:val="24"/>
          <w:lang w:val="en-US" w:eastAsia="zh-CN"/>
        </w:rPr>
        <w:t>≤</w:t>
      </w:r>
      <w:r>
        <w:rPr>
          <w:rFonts w:hint="eastAsia" w:ascii="宋体" w:hAnsi="宋体"/>
          <w:b w:val="0"/>
          <w:bCs w:val="0"/>
          <w:color w:val="auto"/>
          <w:sz w:val="24"/>
          <w:lang w:val="en-US" w:eastAsia="zh-CN"/>
        </w:rPr>
        <w:t>±0.5℃</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电源电压:220V-50HZ</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功率:200W以上</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工作室材质:镜面不锈钢内胆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门数:双门</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双门模式:内门为全钢化玻璃门</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参考容量：50L左右</w:t>
      </w:r>
    </w:p>
    <w:p>
      <w:pPr>
        <w:keepNext w:val="0"/>
        <w:keepLines w:val="0"/>
        <w:pageBreakBefore w:val="0"/>
        <w:numPr>
          <w:ilvl w:val="0"/>
          <w:numId w:val="18"/>
        </w:numPr>
        <w:kinsoku/>
        <w:wordWrap/>
        <w:overflowPunct/>
        <w:topLinePunct w:val="0"/>
        <w:autoSpaceDE/>
        <w:autoSpaceDN/>
        <w:bidi w:val="0"/>
        <w:spacing w:line="360" w:lineRule="auto"/>
        <w:ind w:left="0" w:leftChars="0" w:firstLine="0" w:firstLine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显微镜CCD摄像头两套</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图像设备</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1/2.5”彩色500万CMOS</w:t>
      </w:r>
      <w:r>
        <w:rPr>
          <w:rFonts w:hint="eastAsia" w:ascii="宋体" w:hAnsi="宋体"/>
          <w:b w:val="0"/>
          <w:bCs w:val="0"/>
          <w:color w:val="auto"/>
          <w:sz w:val="24"/>
          <w:lang w:val="en-US" w:eastAsia="zh-CN"/>
        </w:rPr>
        <w:tab/>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灵敏度</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1.4V/lux-sec(550nm)</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分辨率</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2,592x1,944有效像素，色深12bit</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光谱响应</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400nm～1000nm</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像素点尺寸</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2.2μmx2.2μm</w:t>
      </w:r>
      <w:r>
        <w:rPr>
          <w:rFonts w:hint="eastAsia" w:ascii="宋体" w:hAnsi="宋体"/>
          <w:b w:val="0"/>
          <w:bCs w:val="0"/>
          <w:color w:val="auto"/>
          <w:sz w:val="24"/>
          <w:lang w:val="en-US" w:eastAsia="zh-CN"/>
        </w:rPr>
        <w:tab/>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数据接口</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USB2.0(480Mbit/sec)</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帧率</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5fps@2592x1944 12fps@1280x960</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20fps@640x480 17fps@1024x768</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电源</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DC 5V ± 5%，电流</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≈100 mA</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快门</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电子快门</w:t>
      </w:r>
      <w:r>
        <w:rPr>
          <w:rFonts w:hint="eastAsia" w:ascii="宋体" w:hAnsi="宋体"/>
          <w:b w:val="0"/>
          <w:bCs w:val="0"/>
          <w:color w:val="auto"/>
          <w:sz w:val="24"/>
          <w:lang w:val="en-US" w:eastAsia="zh-CN"/>
        </w:rPr>
        <w:tab/>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白平衡</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自动/手动 一键白平衡</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信噪比</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44dB</w:t>
      </w:r>
      <w:r>
        <w:rPr>
          <w:rFonts w:hint="eastAsia" w:ascii="宋体" w:hAnsi="宋体"/>
          <w:b w:val="0"/>
          <w:bCs w:val="0"/>
          <w:color w:val="auto"/>
          <w:sz w:val="24"/>
          <w:lang w:val="en-US" w:eastAsia="zh-CN"/>
        </w:rPr>
        <w:tab/>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自动曝光控制</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10μs–32s,自动曝光</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扫描方式</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逐行</w:t>
      </w:r>
      <w:r>
        <w:rPr>
          <w:rFonts w:hint="eastAsia" w:ascii="宋体" w:hAnsi="宋体"/>
          <w:b w:val="0"/>
          <w:bCs w:val="0"/>
          <w:color w:val="auto"/>
          <w:sz w:val="24"/>
          <w:lang w:val="en-US" w:eastAsia="zh-CN"/>
        </w:rPr>
        <w:tab/>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软件功能</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图像显示、图像拍摄、录像</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工作温度</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-30°C~70°C</w:t>
      </w:r>
      <w:r>
        <w:rPr>
          <w:rFonts w:hint="eastAsia" w:ascii="宋体" w:hAnsi="宋体"/>
          <w:b w:val="0"/>
          <w:bCs w:val="0"/>
          <w:color w:val="auto"/>
          <w:sz w:val="24"/>
          <w:lang w:val="en-US" w:eastAsia="zh-CN"/>
        </w:rPr>
        <w:tab/>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bCs/>
          <w:color w:val="auto"/>
          <w:sz w:val="24"/>
          <w:lang w:val="en-US" w:eastAsia="zh-CN"/>
        </w:rPr>
      </w:pPr>
      <w:r>
        <w:rPr>
          <w:rFonts w:hint="eastAsia" w:ascii="宋体" w:hAnsi="宋体"/>
          <w:b w:val="0"/>
          <w:bCs w:val="0"/>
          <w:color w:val="auto"/>
          <w:sz w:val="24"/>
          <w:lang w:val="en-US" w:eastAsia="zh-CN"/>
        </w:rPr>
        <w:t>应用场合</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显微成像、普通图像采集、微距成像等</w:t>
      </w:r>
    </w:p>
    <w:p>
      <w:pPr>
        <w:keepNext w:val="0"/>
        <w:keepLines w:val="0"/>
        <w:pageBreakBefore w:val="0"/>
        <w:numPr>
          <w:ilvl w:val="0"/>
          <w:numId w:val="18"/>
        </w:numPr>
        <w:kinsoku/>
        <w:wordWrap/>
        <w:overflowPunct/>
        <w:topLinePunct w:val="0"/>
        <w:autoSpaceDE/>
        <w:autoSpaceDN/>
        <w:bidi w:val="0"/>
        <w:spacing w:line="360" w:lineRule="auto"/>
        <w:ind w:left="0" w:leftChars="0" w:firstLine="0" w:firstLineChars="0"/>
        <w:textAlignment w:val="auto"/>
        <w:rPr>
          <w:rFonts w:hint="eastAsia" w:ascii="宋体" w:hAnsi="宋体"/>
          <w:sz w:val="24"/>
        </w:rPr>
      </w:pPr>
      <w:r>
        <w:rPr>
          <w:rFonts w:hint="eastAsia" w:ascii="宋体" w:hAnsi="宋体"/>
          <w:b/>
          <w:bCs/>
          <w:color w:val="auto"/>
          <w:sz w:val="24"/>
          <w:lang w:val="en-US" w:eastAsia="zh-CN"/>
        </w:rPr>
        <w:t>干式恒温器4套</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控温范围：室温+5℃～100℃</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升温时间：≤15分钟（从20℃升至100℃）</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控温精度：≤±0.5℃</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显示精度：±0.5℃</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21*16mm试管</w:t>
      </w:r>
    </w:p>
    <w:p>
      <w:pPr>
        <w:keepNext w:val="0"/>
        <w:keepLines w:val="0"/>
        <w:pageBreakBefore w:val="0"/>
        <w:numPr>
          <w:ilvl w:val="0"/>
          <w:numId w:val="18"/>
        </w:numPr>
        <w:kinsoku/>
        <w:wordWrap/>
        <w:overflowPunct/>
        <w:topLinePunct w:val="0"/>
        <w:autoSpaceDE/>
        <w:autoSpaceDN/>
        <w:bidi w:val="0"/>
        <w:spacing w:line="360" w:lineRule="auto"/>
        <w:ind w:left="0" w:leftChars="0" w:firstLine="0" w:firstLineChars="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微型离心机8台</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textAlignment w:val="auto"/>
        <w:rPr>
          <w:rFonts w:hint="eastAsia" w:ascii="宋体" w:hAnsi="宋体" w:eastAsia="宋体"/>
          <w:sz w:val="24"/>
          <w:lang w:val="en-US" w:eastAsia="zh-CN"/>
        </w:rPr>
      </w:pPr>
      <w:r>
        <w:rPr>
          <w:rFonts w:hint="eastAsia" w:ascii="宋体" w:hAnsi="宋体" w:eastAsia="宋体"/>
          <w:sz w:val="24"/>
          <w:lang w:val="en-US" w:eastAsia="zh-CN"/>
        </w:rPr>
        <w:t>最高转速：4000rpm（转/分）</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textAlignment w:val="auto"/>
        <w:rPr>
          <w:rFonts w:hint="eastAsia" w:ascii="宋体" w:hAnsi="宋体" w:eastAsia="宋体"/>
          <w:sz w:val="24"/>
          <w:lang w:val="en-US" w:eastAsia="zh-CN"/>
        </w:rPr>
      </w:pPr>
      <w:r>
        <w:rPr>
          <w:rFonts w:hint="eastAsia" w:ascii="宋体" w:hAnsi="宋体" w:eastAsia="宋体"/>
          <w:sz w:val="24"/>
          <w:lang w:val="en-US" w:eastAsia="zh-CN"/>
        </w:rPr>
        <w:t xml:space="preserve">最大相对离心力：2325(×g) 角转   </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textAlignment w:val="auto"/>
        <w:rPr>
          <w:rFonts w:hint="eastAsia" w:ascii="宋体" w:hAnsi="宋体" w:eastAsia="宋体"/>
          <w:sz w:val="24"/>
          <w:lang w:val="en-US" w:eastAsia="zh-CN"/>
        </w:rPr>
      </w:pPr>
      <w:r>
        <w:rPr>
          <w:rFonts w:hint="eastAsia" w:ascii="宋体" w:hAnsi="宋体" w:eastAsia="宋体"/>
          <w:sz w:val="24"/>
          <w:lang w:val="en-US" w:eastAsia="zh-CN"/>
        </w:rPr>
        <w:t>容量</w:t>
      </w:r>
      <w:r>
        <w:rPr>
          <w:rFonts w:hint="eastAsia" w:ascii="宋体" w:hAnsi="宋体" w:eastAsia="宋体"/>
          <w:color w:val="auto"/>
          <w:sz w:val="24"/>
          <w:lang w:val="en-US" w:eastAsia="zh-CN"/>
        </w:rPr>
        <w:t>：</w:t>
      </w:r>
      <w:r>
        <w:rPr>
          <w:rFonts w:hint="eastAsia" w:ascii="宋体" w:hAnsi="宋体"/>
          <w:color w:val="auto"/>
          <w:sz w:val="24"/>
          <w:lang w:val="en-US" w:eastAsia="zh-CN"/>
        </w:rPr>
        <w:t>可离心10ml/15ml离心管</w:t>
      </w:r>
      <w:r>
        <w:rPr>
          <w:rFonts w:hint="eastAsia" w:ascii="宋体" w:hAnsi="宋体" w:eastAsia="宋体"/>
          <w:color w:val="auto"/>
          <w:sz w:val="24"/>
          <w:lang w:val="en-US" w:eastAsia="zh-CN"/>
        </w:rPr>
        <w:t>。</w:t>
      </w:r>
    </w:p>
    <w:p>
      <w:pPr>
        <w:keepNext w:val="0"/>
        <w:keepLines w:val="0"/>
        <w:pageBreakBefore w:val="0"/>
        <w:numPr>
          <w:ilvl w:val="0"/>
          <w:numId w:val="18"/>
        </w:numPr>
        <w:kinsoku/>
        <w:wordWrap/>
        <w:overflowPunct/>
        <w:topLinePunct w:val="0"/>
        <w:autoSpaceDE/>
        <w:autoSpaceDN/>
        <w:bidi w:val="0"/>
        <w:spacing w:line="360" w:lineRule="auto"/>
        <w:ind w:left="0" w:leftChars="0" w:firstLine="0" w:firstLineChars="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电子天平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sz w:val="24"/>
          <w:lang w:eastAsia="zh-CN"/>
        </w:rPr>
      </w:pPr>
      <w:r>
        <w:rPr>
          <w:rFonts w:hint="eastAsia" w:ascii="宋体" w:hAnsi="宋体"/>
          <w:sz w:val="24"/>
          <w:lang w:val="en-US" w:eastAsia="zh-CN"/>
        </w:rPr>
        <w:t>1、量程</w:t>
      </w:r>
      <w:r>
        <w:rPr>
          <w:rFonts w:hint="eastAsia" w:ascii="宋体" w:hAnsi="宋体"/>
          <w:sz w:val="24"/>
          <w:lang w:eastAsia="zh-CN"/>
        </w:rPr>
        <w:t>1-25000mg，</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sz w:val="24"/>
          <w:lang w:eastAsia="zh-CN"/>
        </w:rPr>
      </w:pPr>
      <w:r>
        <w:rPr>
          <w:rFonts w:hint="eastAsia" w:ascii="宋体" w:hAnsi="宋体"/>
          <w:sz w:val="24"/>
          <w:lang w:val="en-US" w:eastAsia="zh-CN"/>
        </w:rPr>
        <w:t>2、</w:t>
      </w:r>
      <w:r>
        <w:rPr>
          <w:rFonts w:hint="eastAsia" w:ascii="宋体" w:hAnsi="宋体"/>
          <w:sz w:val="24"/>
          <w:lang w:eastAsia="zh-CN"/>
        </w:rPr>
        <w:t>精度1mg</w:t>
      </w:r>
    </w:p>
    <w:p>
      <w:pPr>
        <w:pStyle w:val="130"/>
        <w:numPr>
          <w:ilvl w:val="0"/>
          <w:numId w:val="0"/>
        </w:numPr>
        <w:tabs>
          <w:tab w:val="left" w:pos="585"/>
        </w:tabs>
        <w:spacing w:line="360" w:lineRule="auto"/>
        <w:ind w:leftChars="0"/>
        <w:rPr>
          <w:rFonts w:hint="default" w:eastAsia="宋体" w:cs="Times New Roman" w:asciiTheme="minorEastAsia" w:hAnsiTheme="minorEastAsia"/>
          <w:b/>
          <w:kern w:val="2"/>
          <w:sz w:val="24"/>
          <w:szCs w:val="2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lang w:val="en-US" w:eastAsia="zh-CN" w:bidi="ar"/>
        </w:rPr>
      </w:pPr>
    </w:p>
    <w:p>
      <w:pPr>
        <w:spacing w:line="360" w:lineRule="auto"/>
        <w:ind w:left="105"/>
        <w:jc w:val="both"/>
        <w:rPr>
          <w:rFonts w:ascii="宋体"/>
          <w:sz w:val="28"/>
          <w:szCs w:val="28"/>
          <w:highlight w:val="none"/>
        </w:rPr>
      </w:pPr>
      <w:r>
        <w:rPr>
          <w:rFonts w:hint="eastAsia" w:ascii="宋体" w:hAnsi="宋体"/>
          <w:b/>
          <w:sz w:val="36"/>
          <w:highlight w:val="none"/>
        </w:rPr>
        <w:br w:type="page"/>
      </w:r>
      <w:r>
        <w:rPr>
          <w:rFonts w:hint="eastAsia" w:ascii="宋体" w:hAnsi="宋体"/>
          <w:b/>
          <w:sz w:val="36"/>
          <w:highlight w:val="none"/>
          <w:lang w:val="en-US" w:eastAsia="zh-CN"/>
        </w:rPr>
        <w:t xml:space="preserve">            </w:t>
      </w:r>
      <w:r>
        <w:rPr>
          <w:rFonts w:hint="eastAsia" w:ascii="宋体" w:hAnsi="宋体"/>
          <w:b/>
          <w:sz w:val="36"/>
          <w:highlight w:val="none"/>
        </w:rPr>
        <w:t>第四部分合同条款及格式</w:t>
      </w:r>
      <w:bookmarkEnd w:id="128"/>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hint="eastAsia" w:ascii="宋体" w:hAnsi="宋体" w:cs="宋体"/>
          <w:color w:val="000000"/>
          <w:spacing w:val="7"/>
          <w:highlight w:val="none"/>
        </w:rPr>
      </w:pPr>
      <w:r>
        <w:rPr>
          <w:rFonts w:hint="eastAsia" w:ascii="宋体" w:hAnsi="宋体"/>
          <w:bCs/>
          <w:highlight w:val="none"/>
        </w:rPr>
        <w:t>付款方式：</w:t>
      </w: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p>
    <w:p>
      <w:pPr>
        <w:pStyle w:val="19"/>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9" w:name="_Toc487900361"/>
      <w:r>
        <w:rPr>
          <w:rFonts w:ascii="宋体" w:hAnsi="宋体"/>
          <w:bCs/>
          <w:highlight w:val="none"/>
        </w:rPr>
        <w:t>11</w:t>
      </w:r>
      <w:r>
        <w:rPr>
          <w:rFonts w:hint="eastAsia" w:ascii="宋体" w:hAnsi="宋体"/>
          <w:bCs/>
          <w:highlight w:val="none"/>
        </w:rPr>
        <w:t>、索赔</w:t>
      </w:r>
      <w:bookmarkEnd w:id="129"/>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30"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0"/>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1"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69"/>
      <w:r>
        <w:rPr>
          <w:rFonts w:ascii="宋体" w:hAnsi="宋体"/>
          <w:bCs/>
          <w:highlight w:val="none"/>
        </w:rPr>
        <w:t xml:space="preserve">18   </w:t>
      </w:r>
      <w:r>
        <w:rPr>
          <w:rFonts w:hint="eastAsia" w:ascii="宋体" w:hAnsi="宋体"/>
          <w:bCs/>
          <w:highlight w:val="none"/>
        </w:rPr>
        <w:t>转让和分包</w:t>
      </w:r>
      <w:bookmarkEnd w:id="132"/>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3" w:name="_Toc487900371"/>
      <w:r>
        <w:rPr>
          <w:rFonts w:ascii="宋体" w:hAnsi="宋体"/>
          <w:bCs/>
          <w:highlight w:val="none"/>
        </w:rPr>
        <w:t xml:space="preserve">19   </w:t>
      </w:r>
      <w:r>
        <w:rPr>
          <w:rFonts w:hint="eastAsia" w:ascii="宋体" w:hAnsi="宋体"/>
          <w:bCs/>
          <w:highlight w:val="none"/>
        </w:rPr>
        <w:t>通知</w:t>
      </w:r>
      <w:bookmarkEnd w:id="133"/>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r>
        <w:rPr>
          <w:rFonts w:hint="eastAsia" w:ascii="宋体" w:hAnsi="宋体"/>
          <w:bCs/>
          <w:highlight w:val="none"/>
          <w:lang w:val="en-US" w:eastAsia="zh-CN"/>
        </w:rPr>
        <w:t xml:space="preserve">   </w:t>
      </w: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w:t>
      </w:r>
      <w:r>
        <w:rPr>
          <w:rFonts w:hint="eastAsia" w:ascii="宋体" w:hAnsi="宋体"/>
          <w:sz w:val="24"/>
          <w:highlight w:val="none"/>
          <w:lang w:eastAsia="zh-CN"/>
        </w:rPr>
        <w:t>招标形式</w:t>
      </w:r>
      <w:r>
        <w:rPr>
          <w:rFonts w:hint="eastAsia" w:ascii="宋体" w:hAnsi="宋体"/>
          <w:sz w:val="24"/>
          <w:highlight w:val="none"/>
        </w:rPr>
        <w:t>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4" w:name="_Toc15866"/>
      <w:bookmarkStart w:id="135" w:name="_Toc15550"/>
      <w:bookmarkStart w:id="136" w:name="_Toc27021"/>
      <w:r>
        <w:rPr>
          <w:rFonts w:hint="eastAsia" w:ascii="宋体" w:hAnsi="宋体"/>
          <w:b/>
          <w:bCs/>
          <w:sz w:val="24"/>
          <w:highlight w:val="none"/>
        </w:rPr>
        <w:t>一、本合同由合同文本和下列文件组成</w:t>
      </w:r>
      <w:bookmarkEnd w:id="134"/>
      <w:bookmarkEnd w:id="135"/>
      <w:bookmarkEnd w:id="136"/>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7" w:name="_Toc16073"/>
      <w:bookmarkStart w:id="138" w:name="_Toc9153"/>
      <w:bookmarkStart w:id="139" w:name="_Toc9903"/>
      <w:r>
        <w:rPr>
          <w:rFonts w:hint="eastAsia" w:ascii="宋体" w:hAnsi="宋体"/>
          <w:b/>
          <w:bCs/>
          <w:sz w:val="24"/>
          <w:highlight w:val="none"/>
        </w:rPr>
        <w:t>二、货物的名称、数量</w:t>
      </w:r>
      <w:bookmarkEnd w:id="137"/>
      <w:bookmarkEnd w:id="138"/>
      <w:bookmarkEnd w:id="139"/>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0" w:name="_Toc1690"/>
      <w:bookmarkStart w:id="141" w:name="_Toc4618"/>
      <w:bookmarkStart w:id="142" w:name="_Toc14263"/>
      <w:r>
        <w:rPr>
          <w:rFonts w:hint="eastAsia" w:ascii="宋体" w:hAnsi="宋体"/>
          <w:b/>
          <w:bCs/>
          <w:sz w:val="24"/>
          <w:highlight w:val="none"/>
        </w:rPr>
        <w:t>三、合同金额</w:t>
      </w:r>
      <w:bookmarkEnd w:id="140"/>
      <w:bookmarkEnd w:id="141"/>
      <w:bookmarkEnd w:id="142"/>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3" w:name="_Toc19878"/>
      <w:bookmarkStart w:id="144" w:name="_Toc23604"/>
      <w:bookmarkStart w:id="145" w:name="_Toc10675"/>
      <w:r>
        <w:rPr>
          <w:rFonts w:hint="eastAsia" w:ascii="宋体" w:hAnsi="宋体"/>
          <w:b/>
          <w:bCs/>
          <w:sz w:val="24"/>
          <w:highlight w:val="none"/>
        </w:rPr>
        <w:t>四、</w:t>
      </w:r>
      <w:bookmarkEnd w:id="143"/>
      <w:bookmarkEnd w:id="144"/>
      <w:bookmarkEnd w:id="145"/>
      <w:r>
        <w:rPr>
          <w:rFonts w:hint="eastAsia" w:ascii="宋体" w:hAnsi="宋体"/>
          <w:b/>
          <w:bCs/>
          <w:sz w:val="24"/>
          <w:highlight w:val="none"/>
        </w:rPr>
        <w:t>付款方式：</w:t>
      </w:r>
    </w:p>
    <w:p>
      <w:pPr>
        <w:tabs>
          <w:tab w:val="left" w:pos="764"/>
        </w:tabs>
        <w:snapToGrid w:val="0"/>
        <w:spacing w:line="480" w:lineRule="exact"/>
        <w:ind w:firstLine="480" w:firstLineChars="20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6" w:name="_Toc28907"/>
      <w:bookmarkStart w:id="147" w:name="_Toc12280"/>
      <w:bookmarkStart w:id="148" w:name="_Toc28569"/>
      <w:r>
        <w:rPr>
          <w:rFonts w:hint="eastAsia" w:ascii="宋体" w:hAnsi="宋体"/>
          <w:b/>
          <w:bCs/>
          <w:sz w:val="24"/>
          <w:highlight w:val="none"/>
        </w:rPr>
        <w:t>六、履约保证金</w:t>
      </w:r>
      <w:bookmarkEnd w:id="146"/>
      <w:bookmarkEnd w:id="147"/>
      <w:bookmarkEnd w:id="148"/>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9" w:name="_Toc29637"/>
      <w:bookmarkStart w:id="150" w:name="_Toc24320"/>
      <w:bookmarkStart w:id="151" w:name="_Toc609"/>
      <w:r>
        <w:rPr>
          <w:rFonts w:hint="eastAsia" w:ascii="宋体" w:hAnsi="宋体"/>
          <w:b/>
          <w:bCs/>
          <w:sz w:val="24"/>
          <w:highlight w:val="none"/>
        </w:rPr>
        <w:t>七、合同生效</w:t>
      </w:r>
      <w:bookmarkEnd w:id="149"/>
      <w:bookmarkEnd w:id="150"/>
      <w:bookmarkEnd w:id="151"/>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2" w:name="_Toc20385"/>
      <w:bookmarkStart w:id="153" w:name="_Toc10585"/>
      <w:bookmarkStart w:id="154" w:name="_Toc28312"/>
      <w:r>
        <w:rPr>
          <w:rFonts w:hint="eastAsia" w:ascii="宋体" w:hAnsi="宋体"/>
          <w:b/>
          <w:bCs/>
          <w:sz w:val="24"/>
          <w:highlight w:val="none"/>
        </w:rPr>
        <w:t>八、合同保存</w:t>
      </w:r>
      <w:bookmarkEnd w:id="152"/>
      <w:bookmarkEnd w:id="153"/>
      <w:bookmarkEnd w:id="154"/>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5" w:name="_Toc14149"/>
      <w:bookmarkStart w:id="156" w:name="_Toc23003"/>
      <w:bookmarkStart w:id="157" w:name="_Toc17788"/>
      <w:r>
        <w:rPr>
          <w:rFonts w:hint="eastAsia" w:ascii="宋体" w:hAnsi="宋体"/>
          <w:b/>
          <w:bCs/>
          <w:sz w:val="24"/>
          <w:highlight w:val="none"/>
        </w:rPr>
        <w:t>九、违约条款</w:t>
      </w:r>
      <w:bookmarkEnd w:id="155"/>
      <w:bookmarkEnd w:id="156"/>
      <w:bookmarkEnd w:id="157"/>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8" w:name="_Toc2531"/>
      <w:bookmarkStart w:id="159" w:name="_Toc4944"/>
      <w:bookmarkStart w:id="160" w:name="_Toc25277"/>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8"/>
      <w:bookmarkEnd w:id="159"/>
      <w:bookmarkEnd w:id="160"/>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1" w:name="_Toc4921"/>
      <w:r>
        <w:rPr>
          <w:rFonts w:hint="eastAsia" w:ascii="宋体" w:hAnsi="宋体"/>
          <w:b/>
          <w:kern w:val="0"/>
          <w:sz w:val="36"/>
          <w:szCs w:val="20"/>
          <w:highlight w:val="none"/>
        </w:rPr>
        <w:t>第五部分附件</w:t>
      </w:r>
      <w:bookmarkEnd w:id="161"/>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w:t>
      </w:r>
      <w:r>
        <w:rPr>
          <w:rFonts w:hint="eastAsia" w:ascii="宋体" w:hAnsi="宋体"/>
          <w:highlight w:val="none"/>
          <w:lang w:eastAsia="zh-CN"/>
        </w:rPr>
        <w:t>投标保证金、</w:t>
      </w:r>
      <w:r>
        <w:rPr>
          <w:rFonts w:hint="eastAsia" w:ascii="宋体" w:hAnsi="宋体"/>
          <w:highlight w:val="none"/>
        </w:rPr>
        <w:t>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hint="eastAsia" w:ascii="宋体" w:eastAsia="宋体"/>
          <w:b/>
          <w:bCs/>
          <w:sz w:val="32"/>
          <w:szCs w:val="32"/>
          <w:highlight w:val="none"/>
          <w:lang w:eastAsia="zh-CN"/>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2699"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1"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1"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1"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6" w:type="first"/>
          <w:footerReference r:id="rId5" w:type="default"/>
          <w:type w:val="continuous"/>
          <w:pgSz w:w="11907" w:h="16840"/>
          <w:pgMar w:top="1304" w:right="1383" w:bottom="1157" w:left="1531" w:header="851" w:footer="850" w:gutter="0"/>
          <w:pgNumType w:fmt="decimal" w:start="1"/>
          <w:cols w:space="0" w:num="1"/>
          <w:titlePg/>
          <w:rtlGutter w:val="0"/>
          <w:docGrid w:type="lines" w:linePitch="290" w:charSpace="0"/>
        </w:sectPr>
      </w:pPr>
    </w:p>
    <w:p>
      <w:pPr>
        <w:pStyle w:val="19"/>
        <w:spacing w:line="480" w:lineRule="exact"/>
        <w:outlineLvl w:val="0"/>
        <w:rPr>
          <w:rFonts w:ascii="宋体"/>
          <w:highlight w:val="none"/>
        </w:rPr>
      </w:pPr>
      <w:bookmarkStart w:id="162" w:name="_Toc5221"/>
      <w:bookmarkStart w:id="163" w:name="_Toc23111"/>
      <w:bookmarkStart w:id="164" w:name="_Toc32015"/>
      <w:r>
        <w:rPr>
          <w:rFonts w:hint="eastAsia" w:ascii="宋体" w:hAnsi="宋体"/>
          <w:highlight w:val="none"/>
        </w:rPr>
        <w:t>附件四：</w:t>
      </w:r>
      <w:bookmarkEnd w:id="162"/>
      <w:bookmarkEnd w:id="163"/>
      <w:bookmarkEnd w:id="164"/>
    </w:p>
    <w:p>
      <w:pPr>
        <w:pStyle w:val="19"/>
        <w:spacing w:line="480" w:lineRule="exact"/>
        <w:jc w:val="center"/>
        <w:outlineLvl w:val="0"/>
        <w:rPr>
          <w:rFonts w:ascii="宋体"/>
          <w:b/>
          <w:sz w:val="32"/>
          <w:szCs w:val="32"/>
          <w:highlight w:val="none"/>
        </w:rPr>
      </w:pPr>
      <w:bookmarkStart w:id="165" w:name="_Toc26583"/>
      <w:bookmarkStart w:id="166" w:name="_Toc17048"/>
      <w:bookmarkStart w:id="167" w:name="_Toc27446"/>
      <w:r>
        <w:rPr>
          <w:rFonts w:hint="eastAsia" w:ascii="宋体" w:hAnsi="宋体"/>
          <w:b/>
          <w:sz w:val="32"/>
          <w:szCs w:val="32"/>
          <w:highlight w:val="none"/>
        </w:rPr>
        <w:t>投标明细表</w:t>
      </w:r>
      <w:bookmarkEnd w:id="165"/>
      <w:bookmarkEnd w:id="166"/>
      <w:bookmarkEnd w:id="167"/>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lang w:val="en-US" w:eastAsia="zh-CN"/>
        </w:rPr>
        <w:t xml:space="preserve"> </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19"/>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8" w:name="_Toc13424"/>
      <w:bookmarkStart w:id="169" w:name="_Toc13100"/>
      <w:bookmarkStart w:id="170" w:name="_Toc29000"/>
      <w:r>
        <w:rPr>
          <w:rFonts w:hint="eastAsia" w:ascii="宋体" w:hAnsi="宋体"/>
          <w:sz w:val="24"/>
          <w:highlight w:val="none"/>
        </w:rPr>
        <w:t>附件七：</w:t>
      </w:r>
      <w:r>
        <w:rPr>
          <w:rFonts w:hint="eastAsia" w:ascii="宋体" w:hAnsi="宋体"/>
          <w:b/>
          <w:sz w:val="28"/>
          <w:highlight w:val="none"/>
        </w:rPr>
        <w:t>服务承诺及其它优惠条件</w:t>
      </w:r>
      <w:bookmarkEnd w:id="168"/>
      <w:bookmarkEnd w:id="169"/>
      <w:bookmarkEnd w:id="170"/>
    </w:p>
    <w:p>
      <w:pPr>
        <w:spacing w:line="480" w:lineRule="exact"/>
        <w:jc w:val="center"/>
        <w:outlineLvl w:val="0"/>
        <w:rPr>
          <w:rFonts w:ascii="宋体"/>
          <w:bCs/>
          <w:sz w:val="28"/>
          <w:szCs w:val="28"/>
          <w:highlight w:val="none"/>
        </w:rPr>
      </w:pPr>
      <w:bookmarkStart w:id="171" w:name="_Toc22463"/>
      <w:bookmarkStart w:id="172" w:name="_Toc13684"/>
      <w:bookmarkStart w:id="173" w:name="_Toc24720"/>
      <w:r>
        <w:rPr>
          <w:rFonts w:hint="eastAsia" w:ascii="宋体" w:hAnsi="宋体"/>
          <w:bCs/>
          <w:sz w:val="28"/>
          <w:szCs w:val="28"/>
          <w:highlight w:val="none"/>
        </w:rPr>
        <w:t>（格式自定）</w:t>
      </w:r>
      <w:bookmarkEnd w:id="171"/>
      <w:bookmarkEnd w:id="172"/>
      <w:bookmarkEnd w:id="17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4" w:name="_Toc17401"/>
      <w:bookmarkStart w:id="175" w:name="_Toc696"/>
      <w:bookmarkStart w:id="176" w:name="_Toc10218"/>
      <w:r>
        <w:rPr>
          <w:rFonts w:hint="eastAsia" w:ascii="宋体" w:hAnsi="宋体"/>
          <w:sz w:val="24"/>
          <w:highlight w:val="none"/>
        </w:rPr>
        <w:t>附件八：</w:t>
      </w:r>
      <w:r>
        <w:rPr>
          <w:rFonts w:hint="eastAsia" w:ascii="宋体" w:hAnsi="宋体"/>
          <w:b/>
          <w:sz w:val="28"/>
          <w:highlight w:val="none"/>
        </w:rPr>
        <w:t>质保期外备品备件、易损件报价表</w:t>
      </w:r>
      <w:bookmarkEnd w:id="174"/>
      <w:bookmarkEnd w:id="175"/>
      <w:bookmarkEnd w:id="176"/>
    </w:p>
    <w:p>
      <w:pPr>
        <w:spacing w:line="480" w:lineRule="exact"/>
        <w:jc w:val="center"/>
        <w:outlineLvl w:val="0"/>
        <w:rPr>
          <w:rFonts w:ascii="宋体"/>
          <w:b/>
          <w:sz w:val="28"/>
          <w:highlight w:val="none"/>
        </w:rPr>
      </w:pPr>
      <w:bookmarkStart w:id="177" w:name="_Toc10814"/>
      <w:bookmarkStart w:id="178" w:name="_Toc1232"/>
      <w:bookmarkStart w:id="179" w:name="_Toc11451"/>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7"/>
      <w:bookmarkEnd w:id="178"/>
      <w:bookmarkEnd w:id="17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80" w:name="_Toc28785"/>
      <w:bookmarkStart w:id="181" w:name="_Toc1332"/>
      <w:bookmarkStart w:id="182" w:name="_Toc1358"/>
      <w:r>
        <w:rPr>
          <w:rFonts w:hint="eastAsia" w:ascii="宋体" w:hAnsi="宋体"/>
          <w:sz w:val="24"/>
          <w:highlight w:val="none"/>
        </w:rPr>
        <w:t>附件九：</w:t>
      </w:r>
      <w:r>
        <w:rPr>
          <w:rFonts w:hint="eastAsia" w:ascii="宋体" w:hAnsi="宋体"/>
          <w:b/>
          <w:sz w:val="28"/>
          <w:highlight w:val="none"/>
        </w:rPr>
        <w:t>与所投设备配套耗材的价格表</w:t>
      </w:r>
      <w:bookmarkEnd w:id="180"/>
      <w:bookmarkEnd w:id="181"/>
      <w:bookmarkEnd w:id="182"/>
    </w:p>
    <w:p>
      <w:pPr>
        <w:spacing w:line="480" w:lineRule="exact"/>
        <w:jc w:val="center"/>
        <w:outlineLvl w:val="0"/>
        <w:rPr>
          <w:rFonts w:ascii="宋体"/>
          <w:b/>
          <w:sz w:val="28"/>
          <w:highlight w:val="none"/>
        </w:rPr>
      </w:pPr>
      <w:r>
        <w:rPr>
          <w:rFonts w:ascii="宋体" w:hAnsi="宋体"/>
          <w:b/>
          <w:sz w:val="28"/>
          <w:highlight w:val="none"/>
        </w:rPr>
        <w:t xml:space="preserve">     </w:t>
      </w:r>
      <w:bookmarkStart w:id="183" w:name="_Toc5244"/>
      <w:bookmarkStart w:id="184" w:name="_Toc19558"/>
      <w:bookmarkStart w:id="185" w:name="_Toc9985"/>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3"/>
      <w:bookmarkEnd w:id="184"/>
      <w:bookmarkEnd w:id="185"/>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6" w:name="_Toc26987"/>
      <w:bookmarkStart w:id="187" w:name="_Toc13044"/>
      <w:bookmarkStart w:id="188" w:name="_Toc27071"/>
      <w:r>
        <w:rPr>
          <w:rFonts w:hint="eastAsia" w:ascii="宋体" w:hAnsi="宋体"/>
          <w:sz w:val="24"/>
          <w:highlight w:val="none"/>
        </w:rPr>
        <w:t>附件十：</w:t>
      </w:r>
      <w:r>
        <w:rPr>
          <w:rFonts w:hint="eastAsia" w:ascii="宋体" w:hAnsi="宋体"/>
          <w:b/>
          <w:sz w:val="28"/>
          <w:highlight w:val="none"/>
        </w:rPr>
        <w:t>维保方案及维保费用报价表</w:t>
      </w:r>
      <w:bookmarkEnd w:id="186"/>
      <w:bookmarkEnd w:id="187"/>
      <w:bookmarkEnd w:id="188"/>
    </w:p>
    <w:p>
      <w:pPr>
        <w:spacing w:line="440" w:lineRule="exact"/>
        <w:rPr>
          <w:rFonts w:ascii="宋体"/>
          <w:b/>
          <w:bCs/>
          <w:sz w:val="24"/>
          <w:highlight w:val="none"/>
        </w:rPr>
      </w:pP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24"/>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24"/>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9" w:name="_Toc15805"/>
      <w:bookmarkStart w:id="190" w:name="_Toc14477"/>
      <w:bookmarkStart w:id="191" w:name="_Toc14611"/>
      <w:r>
        <w:rPr>
          <w:rFonts w:hint="eastAsia" w:ascii="宋体" w:hAnsi="宋体"/>
          <w:sz w:val="24"/>
          <w:highlight w:val="none"/>
        </w:rPr>
        <w:t>附件十一：</w:t>
      </w:r>
      <w:r>
        <w:rPr>
          <w:rFonts w:hint="eastAsia" w:ascii="宋体" w:hAnsi="宋体"/>
          <w:b/>
          <w:sz w:val="28"/>
          <w:highlight w:val="none"/>
        </w:rPr>
        <w:t>证明文件格式</w:t>
      </w:r>
      <w:bookmarkEnd w:id="189"/>
      <w:bookmarkEnd w:id="190"/>
      <w:bookmarkEnd w:id="19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2" w:name="_Toc5230"/>
      <w:bookmarkStart w:id="193" w:name="_Toc19508"/>
      <w:bookmarkStart w:id="194" w:name="_Toc28149"/>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10</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2"/>
      <w:bookmarkEnd w:id="193"/>
      <w:bookmarkEnd w:id="194"/>
    </w:p>
    <w:p>
      <w:pPr>
        <w:spacing w:line="480" w:lineRule="exact"/>
        <w:jc w:val="center"/>
        <w:outlineLvl w:val="0"/>
        <w:rPr>
          <w:rFonts w:ascii="宋体"/>
          <w:sz w:val="24"/>
          <w:highlight w:val="none"/>
        </w:rPr>
      </w:pPr>
      <w:bookmarkStart w:id="195" w:name="_Toc29571"/>
      <w:bookmarkStart w:id="196" w:name="_Toc5579"/>
      <w:bookmarkStart w:id="197" w:name="_Toc16969"/>
      <w:r>
        <w:rPr>
          <w:rFonts w:hint="eastAsia" w:ascii="宋体" w:hAnsi="宋体"/>
          <w:sz w:val="24"/>
          <w:highlight w:val="none"/>
        </w:rPr>
        <w:t>（需声明投标人近三年未发生重大质量安全事故；无弄虚作假和重大违法违纪行为；无医药购销领域商业贿赂方面的不良记录。）</w:t>
      </w:r>
      <w:bookmarkEnd w:id="195"/>
      <w:bookmarkEnd w:id="196"/>
      <w:bookmarkEnd w:id="197"/>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8" w:name="_Toc1781"/>
      <w:bookmarkStart w:id="199" w:name="_Toc5573"/>
      <w:bookmarkStart w:id="200" w:name="_Toc25890"/>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近两年（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8"/>
      <w:bookmarkEnd w:id="199"/>
      <w:bookmarkEnd w:id="200"/>
    </w:p>
    <w:p>
      <w:pPr>
        <w:spacing w:line="480" w:lineRule="exact"/>
        <w:jc w:val="center"/>
        <w:outlineLvl w:val="0"/>
        <w:rPr>
          <w:rFonts w:ascii="宋体"/>
          <w:sz w:val="24"/>
          <w:highlight w:val="none"/>
        </w:rPr>
      </w:pPr>
      <w:bookmarkStart w:id="201" w:name="_Toc29391"/>
      <w:bookmarkStart w:id="202" w:name="_Toc24571"/>
      <w:bookmarkStart w:id="203" w:name="_Toc3211"/>
      <w:r>
        <w:rPr>
          <w:rFonts w:hint="eastAsia" w:ascii="宋体" w:hAnsi="宋体"/>
          <w:sz w:val="24"/>
          <w:highlight w:val="none"/>
        </w:rPr>
        <w:t>（附财务报表（含资产负债表、利润表的复印件），或其基本开户银行出具的资信证明）</w:t>
      </w:r>
      <w:bookmarkEnd w:id="201"/>
      <w:bookmarkEnd w:id="202"/>
      <w:bookmarkEnd w:id="203"/>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4" w:name="_Toc13521"/>
      <w:bookmarkStart w:id="205" w:name="_Toc23883"/>
      <w:bookmarkStart w:id="206" w:name="_Toc23494"/>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4"/>
      <w:bookmarkEnd w:id="205"/>
      <w:bookmarkEnd w:id="206"/>
    </w:p>
    <w:p>
      <w:pPr>
        <w:spacing w:line="480" w:lineRule="exact"/>
        <w:jc w:val="center"/>
        <w:outlineLvl w:val="0"/>
        <w:rPr>
          <w:rFonts w:hint="eastAsia" w:ascii="宋体" w:hAnsi="宋体"/>
          <w:sz w:val="24"/>
          <w:highlight w:val="none"/>
        </w:rPr>
      </w:pPr>
      <w:bookmarkStart w:id="207" w:name="_Toc1183"/>
      <w:bookmarkStart w:id="208" w:name="_Toc16451"/>
      <w:bookmarkStart w:id="209" w:name="_Toc20732"/>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7"/>
    <w:bookmarkEnd w:id="208"/>
    <w:bookmarkEnd w:id="209"/>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10" w:name="_Toc4"/>
      <w:bookmarkStart w:id="211" w:name="_Toc31328"/>
      <w:bookmarkStart w:id="212" w:name="_Toc3815"/>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10"/>
      <w:bookmarkEnd w:id="211"/>
      <w:bookmarkEnd w:id="212"/>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3" w:name="_Toc15082"/>
      <w:bookmarkStart w:id="214" w:name="_Toc4460"/>
      <w:bookmarkStart w:id="215" w:name="_Toc11678"/>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3"/>
      <w:bookmarkEnd w:id="214"/>
      <w:bookmarkEnd w:id="215"/>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6" w:name="_Toc9435"/>
      <w:bookmarkStart w:id="217" w:name="_Toc14964"/>
      <w:bookmarkStart w:id="218" w:name="_Toc170"/>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6"/>
      <w:bookmarkEnd w:id="217"/>
      <w:bookmarkEnd w:id="218"/>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9" w:name="_Toc492372156"/>
      <w:bookmarkStart w:id="220" w:name="_Toc15306"/>
      <w:bookmarkStart w:id="221" w:name="_Toc503943637"/>
      <w:bookmarkStart w:id="222" w:name="_Toc499827580"/>
      <w:bookmarkStart w:id="223" w:name="_Toc499831025"/>
      <w:r>
        <w:rPr>
          <w:rFonts w:hint="eastAsia"/>
          <w:sz w:val="28"/>
          <w:szCs w:val="28"/>
          <w:highlight w:val="none"/>
        </w:rPr>
        <w:t>格式</w:t>
      </w:r>
      <w:r>
        <w:rPr>
          <w:sz w:val="28"/>
          <w:szCs w:val="28"/>
          <w:highlight w:val="none"/>
        </w:rPr>
        <w:t xml:space="preserve">7  </w:t>
      </w:r>
      <w:bookmarkEnd w:id="219"/>
      <w:r>
        <w:rPr>
          <w:rFonts w:hint="eastAsia"/>
          <w:sz w:val="28"/>
          <w:szCs w:val="28"/>
          <w:highlight w:val="none"/>
        </w:rPr>
        <w:t>残疾人福利性单位声明函</w:t>
      </w:r>
      <w:bookmarkEnd w:id="220"/>
      <w:bookmarkEnd w:id="221"/>
      <w:bookmarkEnd w:id="222"/>
      <w:bookmarkEnd w:id="223"/>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JFjrE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wkWOsQEA&#10;AE4DAAAOAAAAAAAAAAEAIAAAAB4BAABkcnMvZTJvRG9jLnhtbFBLBQYAAAAABgAGAFkBAABBBQAA&#10;AAA=&#10;">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drawing>
        <wp:inline distT="0" distB="0" distL="114300" distR="114300">
          <wp:extent cx="133350" cy="1333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133350" cy="133350"/>
                  </a:xfrm>
                  <a:prstGeom prst="rect">
                    <a:avLst/>
                  </a:prstGeom>
                  <a:noFill/>
                  <a:ln>
                    <a:noFill/>
                  </a:ln>
                </pic:spPr>
              </pic:pic>
            </a:graphicData>
          </a:graphic>
        </wp:inline>
      </w:drawing>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D7855"/>
    <w:multiLevelType w:val="singleLevel"/>
    <w:tmpl w:val="820D7855"/>
    <w:lvl w:ilvl="0" w:tentative="0">
      <w:start w:val="1"/>
      <w:numFmt w:val="decimal"/>
      <w:lvlText w:val="%1."/>
      <w:lvlJc w:val="left"/>
      <w:pPr>
        <w:ind w:left="425" w:hanging="425"/>
      </w:pPr>
      <w:rPr>
        <w:rFonts w:hint="default"/>
      </w:rPr>
    </w:lvl>
  </w:abstractNum>
  <w:abstractNum w:abstractNumId="1">
    <w:nsid w:val="86D0E853"/>
    <w:multiLevelType w:val="singleLevel"/>
    <w:tmpl w:val="86D0E853"/>
    <w:lvl w:ilvl="0" w:tentative="0">
      <w:start w:val="1"/>
      <w:numFmt w:val="decimal"/>
      <w:lvlText w:val="%1."/>
      <w:lvlJc w:val="left"/>
      <w:pPr>
        <w:ind w:left="425" w:hanging="425"/>
      </w:pPr>
      <w:rPr>
        <w:rFonts w:hint="default"/>
      </w:rPr>
    </w:lvl>
  </w:abstractNum>
  <w:abstractNum w:abstractNumId="2">
    <w:nsid w:val="921008A5"/>
    <w:multiLevelType w:val="singleLevel"/>
    <w:tmpl w:val="921008A5"/>
    <w:lvl w:ilvl="0" w:tentative="0">
      <w:start w:val="1"/>
      <w:numFmt w:val="decimal"/>
      <w:lvlText w:val="%1."/>
      <w:lvlJc w:val="left"/>
      <w:pPr>
        <w:ind w:left="425" w:hanging="425"/>
      </w:pPr>
      <w:rPr>
        <w:rFonts w:hint="default"/>
      </w:rPr>
    </w:lvl>
  </w:abstractNum>
  <w:abstractNum w:abstractNumId="3">
    <w:nsid w:val="CB70F62E"/>
    <w:multiLevelType w:val="singleLevel"/>
    <w:tmpl w:val="CB70F62E"/>
    <w:lvl w:ilvl="0" w:tentative="0">
      <w:start w:val="1"/>
      <w:numFmt w:val="decimal"/>
      <w:lvlText w:val="%1."/>
      <w:lvlJc w:val="left"/>
      <w:pPr>
        <w:ind w:left="425" w:hanging="425"/>
      </w:pPr>
      <w:rPr>
        <w:rFonts w:hint="default"/>
      </w:rPr>
    </w:lvl>
  </w:abstractNum>
  <w:abstractNum w:abstractNumId="4">
    <w:nsid w:val="CE9501F8"/>
    <w:multiLevelType w:val="singleLevel"/>
    <w:tmpl w:val="CE9501F8"/>
    <w:lvl w:ilvl="0" w:tentative="0">
      <w:start w:val="8"/>
      <w:numFmt w:val="chineseCounting"/>
      <w:suff w:val="nothing"/>
      <w:lvlText w:val="（%1）"/>
      <w:lvlJc w:val="left"/>
      <w:rPr>
        <w:rFonts w:hint="eastAsia"/>
      </w:rPr>
    </w:lvl>
  </w:abstractNum>
  <w:abstractNum w:abstractNumId="5">
    <w:nsid w:val="D4875A52"/>
    <w:multiLevelType w:val="singleLevel"/>
    <w:tmpl w:val="D4875A52"/>
    <w:lvl w:ilvl="0" w:tentative="0">
      <w:start w:val="5"/>
      <w:numFmt w:val="chineseCounting"/>
      <w:suff w:val="nothing"/>
      <w:lvlText w:val="（%1）"/>
      <w:lvlJc w:val="left"/>
      <w:rPr>
        <w:rFonts w:hint="eastAsia"/>
      </w:rPr>
    </w:lvl>
  </w:abstractNum>
  <w:abstractNum w:abstractNumId="6">
    <w:nsid w:val="D4AD1837"/>
    <w:multiLevelType w:val="singleLevel"/>
    <w:tmpl w:val="D4AD1837"/>
    <w:lvl w:ilvl="0" w:tentative="0">
      <w:start w:val="1"/>
      <w:numFmt w:val="decimal"/>
      <w:lvlText w:val="%1."/>
      <w:lvlJc w:val="left"/>
      <w:pPr>
        <w:ind w:left="425" w:hanging="425"/>
      </w:pPr>
      <w:rPr>
        <w:rFonts w:hint="default"/>
      </w:rPr>
    </w:lvl>
  </w:abstractNum>
  <w:abstractNum w:abstractNumId="7">
    <w:nsid w:val="E28FBCE4"/>
    <w:multiLevelType w:val="singleLevel"/>
    <w:tmpl w:val="E28FBCE4"/>
    <w:lvl w:ilvl="0" w:tentative="0">
      <w:start w:val="1"/>
      <w:numFmt w:val="decimal"/>
      <w:suff w:val="nothing"/>
      <w:lvlText w:val="%1、"/>
      <w:lvlJc w:val="left"/>
    </w:lvl>
  </w:abstractNum>
  <w:abstractNum w:abstractNumId="8">
    <w:nsid w:val="E4159FEC"/>
    <w:multiLevelType w:val="singleLevel"/>
    <w:tmpl w:val="E4159FEC"/>
    <w:lvl w:ilvl="0" w:tentative="0">
      <w:start w:val="1"/>
      <w:numFmt w:val="decimal"/>
      <w:lvlText w:val="%1."/>
      <w:lvlJc w:val="left"/>
      <w:pPr>
        <w:ind w:left="425" w:hanging="425"/>
      </w:pPr>
      <w:rPr>
        <w:rFonts w:hint="default"/>
      </w:rPr>
    </w:lvl>
  </w:abstractNum>
  <w:abstractNum w:abstractNumId="9">
    <w:nsid w:val="F0C46C79"/>
    <w:multiLevelType w:val="singleLevel"/>
    <w:tmpl w:val="F0C46C79"/>
    <w:lvl w:ilvl="0" w:tentative="0">
      <w:start w:val="1"/>
      <w:numFmt w:val="decimal"/>
      <w:lvlText w:val="%1."/>
      <w:lvlJc w:val="left"/>
      <w:pPr>
        <w:ind w:left="425" w:hanging="425"/>
      </w:pPr>
      <w:rPr>
        <w:rFonts w:hint="default"/>
      </w:rPr>
    </w:lvl>
  </w:abstractNum>
  <w:abstractNum w:abstractNumId="10">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11">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12">
    <w:nsid w:val="00D213E9"/>
    <w:multiLevelType w:val="multilevel"/>
    <w:tmpl w:val="00D213E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7DCFCCC"/>
    <w:multiLevelType w:val="singleLevel"/>
    <w:tmpl w:val="07DCFCCC"/>
    <w:lvl w:ilvl="0" w:tentative="0">
      <w:start w:val="1"/>
      <w:numFmt w:val="decimal"/>
      <w:lvlText w:val="%1."/>
      <w:lvlJc w:val="left"/>
      <w:pPr>
        <w:ind w:left="425" w:hanging="425"/>
      </w:pPr>
      <w:rPr>
        <w:rFonts w:hint="default"/>
      </w:rPr>
    </w:lvl>
  </w:abstractNum>
  <w:abstractNum w:abstractNumId="14">
    <w:nsid w:val="34D61755"/>
    <w:multiLevelType w:val="singleLevel"/>
    <w:tmpl w:val="34D61755"/>
    <w:lvl w:ilvl="0" w:tentative="0">
      <w:start w:val="1"/>
      <w:numFmt w:val="decimal"/>
      <w:lvlText w:val="%1."/>
      <w:lvlJc w:val="left"/>
      <w:pPr>
        <w:ind w:left="425" w:hanging="425"/>
      </w:pPr>
      <w:rPr>
        <w:rFonts w:hint="default"/>
      </w:rPr>
    </w:lvl>
  </w:abstractNum>
  <w:abstractNum w:abstractNumId="15">
    <w:nsid w:val="3530FDE6"/>
    <w:multiLevelType w:val="singleLevel"/>
    <w:tmpl w:val="3530FDE6"/>
    <w:lvl w:ilvl="0" w:tentative="0">
      <w:start w:val="1"/>
      <w:numFmt w:val="decimal"/>
      <w:lvlText w:val="%1."/>
      <w:lvlJc w:val="left"/>
      <w:pPr>
        <w:ind w:left="425" w:hanging="425"/>
      </w:pPr>
      <w:rPr>
        <w:rFonts w:hint="default"/>
      </w:rPr>
    </w:lvl>
  </w:abstractNum>
  <w:abstractNum w:abstractNumId="16">
    <w:nsid w:val="56FEECF8"/>
    <w:multiLevelType w:val="singleLevel"/>
    <w:tmpl w:val="56FEECF8"/>
    <w:lvl w:ilvl="0" w:tentative="0">
      <w:start w:val="1"/>
      <w:numFmt w:val="decimal"/>
      <w:lvlText w:val="%1."/>
      <w:lvlJc w:val="left"/>
      <w:pPr>
        <w:ind w:left="425" w:hanging="425"/>
      </w:pPr>
      <w:rPr>
        <w:rFonts w:hint="default"/>
      </w:rPr>
    </w:lvl>
  </w:abstractNum>
  <w:abstractNum w:abstractNumId="17">
    <w:nsid w:val="5AE0118E"/>
    <w:multiLevelType w:val="singleLevel"/>
    <w:tmpl w:val="5AE0118E"/>
    <w:lvl w:ilvl="0" w:tentative="0">
      <w:start w:val="5"/>
      <w:numFmt w:val="decimal"/>
      <w:suff w:val="nothing"/>
      <w:lvlText w:val="%1、"/>
      <w:lvlJc w:val="left"/>
      <w:rPr>
        <w:rFonts w:cs="Times New Roman"/>
      </w:rPr>
    </w:lvl>
  </w:abstractNum>
  <w:abstractNum w:abstractNumId="18">
    <w:nsid w:val="5D06670C"/>
    <w:multiLevelType w:val="singleLevel"/>
    <w:tmpl w:val="5D06670C"/>
    <w:lvl w:ilvl="0" w:tentative="0">
      <w:start w:val="1"/>
      <w:numFmt w:val="decimal"/>
      <w:lvlText w:val="%1."/>
      <w:lvlJc w:val="left"/>
      <w:pPr>
        <w:ind w:left="425" w:hanging="425"/>
      </w:pPr>
      <w:rPr>
        <w:rFonts w:hint="default"/>
      </w:rPr>
    </w:lvl>
  </w:abstractNum>
  <w:abstractNum w:abstractNumId="19">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6F29128C"/>
    <w:multiLevelType w:val="singleLevel"/>
    <w:tmpl w:val="6F29128C"/>
    <w:lvl w:ilvl="0" w:tentative="0">
      <w:start w:val="1"/>
      <w:numFmt w:val="decimal"/>
      <w:lvlText w:val="%1."/>
      <w:lvlJc w:val="left"/>
      <w:pPr>
        <w:ind w:left="425" w:hanging="425"/>
      </w:pPr>
      <w:rPr>
        <w:rFonts w:hint="default"/>
      </w:rPr>
    </w:lvl>
  </w:abstractNum>
  <w:abstractNum w:abstractNumId="21">
    <w:nsid w:val="79A3F9F6"/>
    <w:multiLevelType w:val="singleLevel"/>
    <w:tmpl w:val="79A3F9F6"/>
    <w:lvl w:ilvl="0" w:tentative="0">
      <w:start w:val="1"/>
      <w:numFmt w:val="decimal"/>
      <w:lvlText w:val="%1."/>
      <w:lvlJc w:val="left"/>
      <w:pPr>
        <w:ind w:left="425" w:hanging="425"/>
      </w:pPr>
      <w:rPr>
        <w:rFonts w:hint="default"/>
      </w:rPr>
    </w:lvl>
  </w:abstractNum>
  <w:abstractNum w:abstractNumId="22">
    <w:nsid w:val="7B548F35"/>
    <w:multiLevelType w:val="singleLevel"/>
    <w:tmpl w:val="7B548F35"/>
    <w:lvl w:ilvl="0" w:tentative="0">
      <w:start w:val="1"/>
      <w:numFmt w:val="decimal"/>
      <w:lvlText w:val="%1."/>
      <w:lvlJc w:val="left"/>
      <w:pPr>
        <w:ind w:left="425" w:hanging="425"/>
      </w:pPr>
      <w:rPr>
        <w:rFonts w:hint="default"/>
      </w:rPr>
    </w:lvl>
  </w:abstractNum>
  <w:abstractNum w:abstractNumId="23">
    <w:nsid w:val="7C06947D"/>
    <w:multiLevelType w:val="singleLevel"/>
    <w:tmpl w:val="7C06947D"/>
    <w:lvl w:ilvl="0" w:tentative="0">
      <w:start w:val="14"/>
      <w:numFmt w:val="chineseCounting"/>
      <w:suff w:val="nothing"/>
      <w:lvlText w:val="（%1）"/>
      <w:lvlJc w:val="left"/>
      <w:rPr>
        <w:rFonts w:hint="eastAsia"/>
      </w:rPr>
    </w:lvl>
  </w:abstractNum>
  <w:num w:numId="1">
    <w:abstractNumId w:val="10"/>
  </w:num>
  <w:num w:numId="2">
    <w:abstractNumId w:val="17"/>
  </w:num>
  <w:num w:numId="3">
    <w:abstractNumId w:val="11"/>
  </w:num>
  <w:num w:numId="4">
    <w:abstractNumId w:val="12"/>
  </w:num>
  <w:num w:numId="5">
    <w:abstractNumId w:val="0"/>
  </w:num>
  <w:num w:numId="6">
    <w:abstractNumId w:val="1"/>
  </w:num>
  <w:num w:numId="7">
    <w:abstractNumId w:val="18"/>
  </w:num>
  <w:num w:numId="8">
    <w:abstractNumId w:val="22"/>
  </w:num>
  <w:num w:numId="9">
    <w:abstractNumId w:val="5"/>
  </w:num>
  <w:num w:numId="10">
    <w:abstractNumId w:val="16"/>
  </w:num>
  <w:num w:numId="11">
    <w:abstractNumId w:val="9"/>
  </w:num>
  <w:num w:numId="12">
    <w:abstractNumId w:val="3"/>
  </w:num>
  <w:num w:numId="13">
    <w:abstractNumId w:val="4"/>
  </w:num>
  <w:num w:numId="14">
    <w:abstractNumId w:val="6"/>
  </w:num>
  <w:num w:numId="15">
    <w:abstractNumId w:val="21"/>
  </w:num>
  <w:num w:numId="16">
    <w:abstractNumId w:val="8"/>
  </w:num>
  <w:num w:numId="17">
    <w:abstractNumId w:val="15"/>
  </w:num>
  <w:num w:numId="18">
    <w:abstractNumId w:val="23"/>
  </w:num>
  <w:num w:numId="19">
    <w:abstractNumId w:val="20"/>
  </w:num>
  <w:num w:numId="20">
    <w:abstractNumId w:val="13"/>
  </w:num>
  <w:num w:numId="21">
    <w:abstractNumId w:val="14"/>
  </w:num>
  <w:num w:numId="22">
    <w:abstractNumId w:val="2"/>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6"/>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94398"/>
    <w:rsid w:val="003C419A"/>
    <w:rsid w:val="003D1EDA"/>
    <w:rsid w:val="003F33E7"/>
    <w:rsid w:val="00411488"/>
    <w:rsid w:val="00432143"/>
    <w:rsid w:val="0046019C"/>
    <w:rsid w:val="004772C0"/>
    <w:rsid w:val="004D1A53"/>
    <w:rsid w:val="00517D33"/>
    <w:rsid w:val="00527409"/>
    <w:rsid w:val="0053706A"/>
    <w:rsid w:val="00566766"/>
    <w:rsid w:val="005735D4"/>
    <w:rsid w:val="00575932"/>
    <w:rsid w:val="00576D88"/>
    <w:rsid w:val="005B2561"/>
    <w:rsid w:val="005D2392"/>
    <w:rsid w:val="005D7CBB"/>
    <w:rsid w:val="006769D2"/>
    <w:rsid w:val="0067730B"/>
    <w:rsid w:val="0069381A"/>
    <w:rsid w:val="006A54E5"/>
    <w:rsid w:val="006C069F"/>
    <w:rsid w:val="006E1D66"/>
    <w:rsid w:val="00761902"/>
    <w:rsid w:val="00774762"/>
    <w:rsid w:val="007838AB"/>
    <w:rsid w:val="007A5FB1"/>
    <w:rsid w:val="0082141B"/>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054B"/>
    <w:rsid w:val="00DE31F6"/>
    <w:rsid w:val="00E17C0E"/>
    <w:rsid w:val="00E352B5"/>
    <w:rsid w:val="00E6261D"/>
    <w:rsid w:val="00E849CB"/>
    <w:rsid w:val="00EA13C3"/>
    <w:rsid w:val="00EB7236"/>
    <w:rsid w:val="00F5673C"/>
    <w:rsid w:val="00FC0E0C"/>
    <w:rsid w:val="00FD1F62"/>
    <w:rsid w:val="00FD3231"/>
    <w:rsid w:val="00FD5088"/>
    <w:rsid w:val="01172614"/>
    <w:rsid w:val="01367B2E"/>
    <w:rsid w:val="013B6CDA"/>
    <w:rsid w:val="013B7FED"/>
    <w:rsid w:val="01477457"/>
    <w:rsid w:val="01483AE6"/>
    <w:rsid w:val="016171C3"/>
    <w:rsid w:val="0178463B"/>
    <w:rsid w:val="01833406"/>
    <w:rsid w:val="018B4463"/>
    <w:rsid w:val="018B6312"/>
    <w:rsid w:val="018E50CB"/>
    <w:rsid w:val="01921D31"/>
    <w:rsid w:val="019D0F86"/>
    <w:rsid w:val="019F1051"/>
    <w:rsid w:val="01B0280C"/>
    <w:rsid w:val="01CA7137"/>
    <w:rsid w:val="01CB7896"/>
    <w:rsid w:val="01E6238E"/>
    <w:rsid w:val="01F902EC"/>
    <w:rsid w:val="02226D7C"/>
    <w:rsid w:val="02227C57"/>
    <w:rsid w:val="022C7141"/>
    <w:rsid w:val="02347B0F"/>
    <w:rsid w:val="023777D9"/>
    <w:rsid w:val="023A5D18"/>
    <w:rsid w:val="023D5D3A"/>
    <w:rsid w:val="0257572E"/>
    <w:rsid w:val="027236E2"/>
    <w:rsid w:val="0276583F"/>
    <w:rsid w:val="02855076"/>
    <w:rsid w:val="02A254D3"/>
    <w:rsid w:val="02B053ED"/>
    <w:rsid w:val="02B16F47"/>
    <w:rsid w:val="02BB6203"/>
    <w:rsid w:val="02D35B8B"/>
    <w:rsid w:val="02D601CF"/>
    <w:rsid w:val="02DC73A5"/>
    <w:rsid w:val="02E45A48"/>
    <w:rsid w:val="02EE0490"/>
    <w:rsid w:val="02FA6999"/>
    <w:rsid w:val="03190F6E"/>
    <w:rsid w:val="031B5DA2"/>
    <w:rsid w:val="03522D6F"/>
    <w:rsid w:val="03537474"/>
    <w:rsid w:val="03563A14"/>
    <w:rsid w:val="0368561C"/>
    <w:rsid w:val="036E457D"/>
    <w:rsid w:val="037B55A1"/>
    <w:rsid w:val="037E752F"/>
    <w:rsid w:val="03D9691B"/>
    <w:rsid w:val="040E3633"/>
    <w:rsid w:val="042D27C9"/>
    <w:rsid w:val="04322750"/>
    <w:rsid w:val="048C0542"/>
    <w:rsid w:val="04A270F4"/>
    <w:rsid w:val="04BD332D"/>
    <w:rsid w:val="04C60BF6"/>
    <w:rsid w:val="04C64C86"/>
    <w:rsid w:val="04D04155"/>
    <w:rsid w:val="04D46BF9"/>
    <w:rsid w:val="04F856AF"/>
    <w:rsid w:val="0526784C"/>
    <w:rsid w:val="052E7492"/>
    <w:rsid w:val="05446C17"/>
    <w:rsid w:val="05563819"/>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6E51FD2"/>
    <w:rsid w:val="07011658"/>
    <w:rsid w:val="07255034"/>
    <w:rsid w:val="073C5E08"/>
    <w:rsid w:val="07404625"/>
    <w:rsid w:val="074155D6"/>
    <w:rsid w:val="074D6753"/>
    <w:rsid w:val="075258A9"/>
    <w:rsid w:val="075713E8"/>
    <w:rsid w:val="076C384E"/>
    <w:rsid w:val="078475F2"/>
    <w:rsid w:val="078B0666"/>
    <w:rsid w:val="07963322"/>
    <w:rsid w:val="07BD01C3"/>
    <w:rsid w:val="07BD4DD1"/>
    <w:rsid w:val="07D84AF8"/>
    <w:rsid w:val="08010237"/>
    <w:rsid w:val="080B3E19"/>
    <w:rsid w:val="080C1727"/>
    <w:rsid w:val="0811349E"/>
    <w:rsid w:val="08121A78"/>
    <w:rsid w:val="081F4806"/>
    <w:rsid w:val="08397BFF"/>
    <w:rsid w:val="08490850"/>
    <w:rsid w:val="085415DF"/>
    <w:rsid w:val="087C3B7A"/>
    <w:rsid w:val="087E432D"/>
    <w:rsid w:val="08873EAB"/>
    <w:rsid w:val="089116C8"/>
    <w:rsid w:val="08BA02CC"/>
    <w:rsid w:val="08CE65E6"/>
    <w:rsid w:val="08D614C7"/>
    <w:rsid w:val="08E30A55"/>
    <w:rsid w:val="0926027A"/>
    <w:rsid w:val="094C1DDF"/>
    <w:rsid w:val="09646610"/>
    <w:rsid w:val="097621BE"/>
    <w:rsid w:val="09782E97"/>
    <w:rsid w:val="09955B90"/>
    <w:rsid w:val="0996643B"/>
    <w:rsid w:val="09A1593F"/>
    <w:rsid w:val="09A6309D"/>
    <w:rsid w:val="09A76E52"/>
    <w:rsid w:val="09BA02F2"/>
    <w:rsid w:val="09CA79E9"/>
    <w:rsid w:val="09DD512F"/>
    <w:rsid w:val="09F0493D"/>
    <w:rsid w:val="09F55CE3"/>
    <w:rsid w:val="0A014875"/>
    <w:rsid w:val="0A0F6BF1"/>
    <w:rsid w:val="0A1A3BD9"/>
    <w:rsid w:val="0A405D2D"/>
    <w:rsid w:val="0A5A6458"/>
    <w:rsid w:val="0A6F663E"/>
    <w:rsid w:val="0A7C58C9"/>
    <w:rsid w:val="0A8054FA"/>
    <w:rsid w:val="0AC241A3"/>
    <w:rsid w:val="0AD00FE0"/>
    <w:rsid w:val="0AE21508"/>
    <w:rsid w:val="0AE73FAC"/>
    <w:rsid w:val="0AE77507"/>
    <w:rsid w:val="0AEF47FB"/>
    <w:rsid w:val="0AF9564E"/>
    <w:rsid w:val="0AFD64FB"/>
    <w:rsid w:val="0B033309"/>
    <w:rsid w:val="0B07100B"/>
    <w:rsid w:val="0B1B6B69"/>
    <w:rsid w:val="0B1C2A5E"/>
    <w:rsid w:val="0B235BF3"/>
    <w:rsid w:val="0B4D0516"/>
    <w:rsid w:val="0B8D10E4"/>
    <w:rsid w:val="0B942855"/>
    <w:rsid w:val="0B981026"/>
    <w:rsid w:val="0B997C0B"/>
    <w:rsid w:val="0BBC08C3"/>
    <w:rsid w:val="0BBC755F"/>
    <w:rsid w:val="0C0D3E59"/>
    <w:rsid w:val="0C3E6AC4"/>
    <w:rsid w:val="0C5E5EA1"/>
    <w:rsid w:val="0C620D79"/>
    <w:rsid w:val="0C6B59DB"/>
    <w:rsid w:val="0C7C3E7D"/>
    <w:rsid w:val="0C9A2D16"/>
    <w:rsid w:val="0C9B49FB"/>
    <w:rsid w:val="0C9E6B40"/>
    <w:rsid w:val="0CA61420"/>
    <w:rsid w:val="0CAC6AE8"/>
    <w:rsid w:val="0CC37BE2"/>
    <w:rsid w:val="0CC64DD0"/>
    <w:rsid w:val="0CE2121D"/>
    <w:rsid w:val="0CE41B37"/>
    <w:rsid w:val="0CF4329D"/>
    <w:rsid w:val="0D0750CB"/>
    <w:rsid w:val="0D086F79"/>
    <w:rsid w:val="0D0B7061"/>
    <w:rsid w:val="0D2A2B39"/>
    <w:rsid w:val="0D4E351D"/>
    <w:rsid w:val="0D6774D6"/>
    <w:rsid w:val="0D8D2290"/>
    <w:rsid w:val="0D9945DA"/>
    <w:rsid w:val="0D99769E"/>
    <w:rsid w:val="0DA07A20"/>
    <w:rsid w:val="0DD80D8A"/>
    <w:rsid w:val="0DE02318"/>
    <w:rsid w:val="0E007950"/>
    <w:rsid w:val="0E090B33"/>
    <w:rsid w:val="0E172A1B"/>
    <w:rsid w:val="0E1967C1"/>
    <w:rsid w:val="0E2F42D1"/>
    <w:rsid w:val="0E335405"/>
    <w:rsid w:val="0E3B2EEC"/>
    <w:rsid w:val="0E4D3146"/>
    <w:rsid w:val="0E6813FF"/>
    <w:rsid w:val="0E6F5851"/>
    <w:rsid w:val="0E770F0B"/>
    <w:rsid w:val="0EB52579"/>
    <w:rsid w:val="0ECB11B5"/>
    <w:rsid w:val="0ED22571"/>
    <w:rsid w:val="0ED7443F"/>
    <w:rsid w:val="0ED974C9"/>
    <w:rsid w:val="0EDB0F07"/>
    <w:rsid w:val="0EDF2B60"/>
    <w:rsid w:val="0EEE03B8"/>
    <w:rsid w:val="0EF512E5"/>
    <w:rsid w:val="0F167C07"/>
    <w:rsid w:val="0F2A62A0"/>
    <w:rsid w:val="0F501C07"/>
    <w:rsid w:val="0F507736"/>
    <w:rsid w:val="0F583E24"/>
    <w:rsid w:val="0F5A58B2"/>
    <w:rsid w:val="0F7449C0"/>
    <w:rsid w:val="0F973E9F"/>
    <w:rsid w:val="0FA82E1F"/>
    <w:rsid w:val="0FA96252"/>
    <w:rsid w:val="0FB03457"/>
    <w:rsid w:val="0FBC441C"/>
    <w:rsid w:val="0FC116A7"/>
    <w:rsid w:val="0FC95D8D"/>
    <w:rsid w:val="0FE576A4"/>
    <w:rsid w:val="0FEA2AA1"/>
    <w:rsid w:val="1019649C"/>
    <w:rsid w:val="103C0FFB"/>
    <w:rsid w:val="10404573"/>
    <w:rsid w:val="104352A2"/>
    <w:rsid w:val="104B7949"/>
    <w:rsid w:val="104F28D6"/>
    <w:rsid w:val="105C27FB"/>
    <w:rsid w:val="10632D51"/>
    <w:rsid w:val="10847FCD"/>
    <w:rsid w:val="1086577E"/>
    <w:rsid w:val="10980533"/>
    <w:rsid w:val="10A34487"/>
    <w:rsid w:val="10B601E9"/>
    <w:rsid w:val="10B72F5D"/>
    <w:rsid w:val="10BD3919"/>
    <w:rsid w:val="10C1206B"/>
    <w:rsid w:val="10E8007A"/>
    <w:rsid w:val="10F75CBD"/>
    <w:rsid w:val="10FE5ED8"/>
    <w:rsid w:val="110045A1"/>
    <w:rsid w:val="110643AE"/>
    <w:rsid w:val="110E4253"/>
    <w:rsid w:val="11442249"/>
    <w:rsid w:val="114D3221"/>
    <w:rsid w:val="114E2729"/>
    <w:rsid w:val="114E7E07"/>
    <w:rsid w:val="1150132F"/>
    <w:rsid w:val="11CE7DFC"/>
    <w:rsid w:val="11E95CE2"/>
    <w:rsid w:val="11E96D3A"/>
    <w:rsid w:val="11EA4504"/>
    <w:rsid w:val="120129C4"/>
    <w:rsid w:val="120301D5"/>
    <w:rsid w:val="122649FF"/>
    <w:rsid w:val="123B2C78"/>
    <w:rsid w:val="124219E9"/>
    <w:rsid w:val="1256132F"/>
    <w:rsid w:val="125C1D1E"/>
    <w:rsid w:val="125D168B"/>
    <w:rsid w:val="126B3ACC"/>
    <w:rsid w:val="12720074"/>
    <w:rsid w:val="127B5B8A"/>
    <w:rsid w:val="127C7A7B"/>
    <w:rsid w:val="12815604"/>
    <w:rsid w:val="12861902"/>
    <w:rsid w:val="1297465C"/>
    <w:rsid w:val="129E3A93"/>
    <w:rsid w:val="12AB251F"/>
    <w:rsid w:val="12E37BC0"/>
    <w:rsid w:val="12F234F4"/>
    <w:rsid w:val="12F31760"/>
    <w:rsid w:val="12F70183"/>
    <w:rsid w:val="12F75240"/>
    <w:rsid w:val="13153B92"/>
    <w:rsid w:val="132F60FE"/>
    <w:rsid w:val="13410E38"/>
    <w:rsid w:val="134E6871"/>
    <w:rsid w:val="136658C4"/>
    <w:rsid w:val="136A0629"/>
    <w:rsid w:val="136B4814"/>
    <w:rsid w:val="1377104B"/>
    <w:rsid w:val="137E50DC"/>
    <w:rsid w:val="138F504A"/>
    <w:rsid w:val="139103F2"/>
    <w:rsid w:val="13A64BAD"/>
    <w:rsid w:val="13B13EB8"/>
    <w:rsid w:val="13B25516"/>
    <w:rsid w:val="13B34CC6"/>
    <w:rsid w:val="13BA0ACF"/>
    <w:rsid w:val="13D705AF"/>
    <w:rsid w:val="13DA4BD2"/>
    <w:rsid w:val="13F906A1"/>
    <w:rsid w:val="140C65BF"/>
    <w:rsid w:val="14175C7D"/>
    <w:rsid w:val="141845CC"/>
    <w:rsid w:val="14272C54"/>
    <w:rsid w:val="14372245"/>
    <w:rsid w:val="143945FD"/>
    <w:rsid w:val="14497C26"/>
    <w:rsid w:val="144C1E1B"/>
    <w:rsid w:val="146A73ED"/>
    <w:rsid w:val="14744D84"/>
    <w:rsid w:val="1476244A"/>
    <w:rsid w:val="147D31D6"/>
    <w:rsid w:val="1487005D"/>
    <w:rsid w:val="148A1490"/>
    <w:rsid w:val="14970036"/>
    <w:rsid w:val="14A251C4"/>
    <w:rsid w:val="14AB5BA1"/>
    <w:rsid w:val="14AF4025"/>
    <w:rsid w:val="14D51C51"/>
    <w:rsid w:val="14E37F8F"/>
    <w:rsid w:val="15046A51"/>
    <w:rsid w:val="15431BD8"/>
    <w:rsid w:val="1544535D"/>
    <w:rsid w:val="15531B38"/>
    <w:rsid w:val="155C65D2"/>
    <w:rsid w:val="156231BF"/>
    <w:rsid w:val="157442E0"/>
    <w:rsid w:val="15772110"/>
    <w:rsid w:val="157D04F6"/>
    <w:rsid w:val="158762D8"/>
    <w:rsid w:val="158A61CC"/>
    <w:rsid w:val="15AA5AE6"/>
    <w:rsid w:val="15AD53FA"/>
    <w:rsid w:val="15B863E2"/>
    <w:rsid w:val="15C17AA5"/>
    <w:rsid w:val="15C336BD"/>
    <w:rsid w:val="15CB45F5"/>
    <w:rsid w:val="15D86AE1"/>
    <w:rsid w:val="15DD5050"/>
    <w:rsid w:val="15E11A76"/>
    <w:rsid w:val="15EC15CC"/>
    <w:rsid w:val="16053F66"/>
    <w:rsid w:val="16060B72"/>
    <w:rsid w:val="160A6351"/>
    <w:rsid w:val="160E6831"/>
    <w:rsid w:val="161367AB"/>
    <w:rsid w:val="16165FE6"/>
    <w:rsid w:val="16580A76"/>
    <w:rsid w:val="16634357"/>
    <w:rsid w:val="167D4F4F"/>
    <w:rsid w:val="16825E91"/>
    <w:rsid w:val="169822DD"/>
    <w:rsid w:val="16993D4F"/>
    <w:rsid w:val="16AC36D9"/>
    <w:rsid w:val="16BF72A7"/>
    <w:rsid w:val="16DF10FC"/>
    <w:rsid w:val="16E921F4"/>
    <w:rsid w:val="16EB36B3"/>
    <w:rsid w:val="16ED1D96"/>
    <w:rsid w:val="1708759E"/>
    <w:rsid w:val="170A75B6"/>
    <w:rsid w:val="1714786D"/>
    <w:rsid w:val="172743CE"/>
    <w:rsid w:val="17682F23"/>
    <w:rsid w:val="178017C5"/>
    <w:rsid w:val="17862DA8"/>
    <w:rsid w:val="178C35AF"/>
    <w:rsid w:val="17991B6E"/>
    <w:rsid w:val="17B02FF0"/>
    <w:rsid w:val="17B113C3"/>
    <w:rsid w:val="17B331B6"/>
    <w:rsid w:val="17CB4092"/>
    <w:rsid w:val="17D016D3"/>
    <w:rsid w:val="17D63E38"/>
    <w:rsid w:val="180E66C1"/>
    <w:rsid w:val="18256140"/>
    <w:rsid w:val="18274AC7"/>
    <w:rsid w:val="18294C2A"/>
    <w:rsid w:val="18363926"/>
    <w:rsid w:val="183752E1"/>
    <w:rsid w:val="18433E74"/>
    <w:rsid w:val="186D4C9B"/>
    <w:rsid w:val="187A0FF6"/>
    <w:rsid w:val="188651D5"/>
    <w:rsid w:val="189F70A8"/>
    <w:rsid w:val="18BB1E8F"/>
    <w:rsid w:val="18C37E50"/>
    <w:rsid w:val="18EB1198"/>
    <w:rsid w:val="18EB3D30"/>
    <w:rsid w:val="18F843A5"/>
    <w:rsid w:val="19075860"/>
    <w:rsid w:val="193A692A"/>
    <w:rsid w:val="19424471"/>
    <w:rsid w:val="194B5E15"/>
    <w:rsid w:val="194C631E"/>
    <w:rsid w:val="1968709D"/>
    <w:rsid w:val="198056E5"/>
    <w:rsid w:val="198236EE"/>
    <w:rsid w:val="19862474"/>
    <w:rsid w:val="198854CF"/>
    <w:rsid w:val="198E5062"/>
    <w:rsid w:val="19BA593C"/>
    <w:rsid w:val="19C76609"/>
    <w:rsid w:val="19CB2001"/>
    <w:rsid w:val="19D83891"/>
    <w:rsid w:val="19DA4BAF"/>
    <w:rsid w:val="19F75513"/>
    <w:rsid w:val="19FE5F9F"/>
    <w:rsid w:val="1A1E020D"/>
    <w:rsid w:val="1A233813"/>
    <w:rsid w:val="1A6B7E1C"/>
    <w:rsid w:val="1A8A2B1B"/>
    <w:rsid w:val="1AAD7C8B"/>
    <w:rsid w:val="1AB07BA3"/>
    <w:rsid w:val="1ADA7273"/>
    <w:rsid w:val="1AE63CDE"/>
    <w:rsid w:val="1AEE232C"/>
    <w:rsid w:val="1AF47D69"/>
    <w:rsid w:val="1B05081F"/>
    <w:rsid w:val="1B0C07E7"/>
    <w:rsid w:val="1B103B48"/>
    <w:rsid w:val="1B3215A8"/>
    <w:rsid w:val="1B3D67C6"/>
    <w:rsid w:val="1B3E5015"/>
    <w:rsid w:val="1B41002B"/>
    <w:rsid w:val="1B6E0CCB"/>
    <w:rsid w:val="1B7319FB"/>
    <w:rsid w:val="1B835053"/>
    <w:rsid w:val="1B956B43"/>
    <w:rsid w:val="1B9C3B8A"/>
    <w:rsid w:val="1BBC1D6E"/>
    <w:rsid w:val="1BC001BE"/>
    <w:rsid w:val="1BCE25D1"/>
    <w:rsid w:val="1BE94888"/>
    <w:rsid w:val="1C253871"/>
    <w:rsid w:val="1C4B064F"/>
    <w:rsid w:val="1C6B1C30"/>
    <w:rsid w:val="1CC0618E"/>
    <w:rsid w:val="1CC32179"/>
    <w:rsid w:val="1CDA24D0"/>
    <w:rsid w:val="1CEA0481"/>
    <w:rsid w:val="1CEF4CDC"/>
    <w:rsid w:val="1CF80043"/>
    <w:rsid w:val="1D0028D6"/>
    <w:rsid w:val="1D2A03E0"/>
    <w:rsid w:val="1D2C750D"/>
    <w:rsid w:val="1D3925B2"/>
    <w:rsid w:val="1D4072F6"/>
    <w:rsid w:val="1D5B00E9"/>
    <w:rsid w:val="1D7442DF"/>
    <w:rsid w:val="1D7C7E64"/>
    <w:rsid w:val="1D897F94"/>
    <w:rsid w:val="1D904EA6"/>
    <w:rsid w:val="1D9C3BA7"/>
    <w:rsid w:val="1DA03982"/>
    <w:rsid w:val="1DB117B6"/>
    <w:rsid w:val="1DC12E2D"/>
    <w:rsid w:val="1DCC1FD2"/>
    <w:rsid w:val="1DCD5344"/>
    <w:rsid w:val="1DD84FE2"/>
    <w:rsid w:val="1DD9314E"/>
    <w:rsid w:val="1DE514B9"/>
    <w:rsid w:val="1DE541A6"/>
    <w:rsid w:val="1E10357E"/>
    <w:rsid w:val="1E13128E"/>
    <w:rsid w:val="1E1A5F3A"/>
    <w:rsid w:val="1E1B3F90"/>
    <w:rsid w:val="1E45640A"/>
    <w:rsid w:val="1E590170"/>
    <w:rsid w:val="1E711D3D"/>
    <w:rsid w:val="1E7A7A7D"/>
    <w:rsid w:val="1EB44780"/>
    <w:rsid w:val="1EC36841"/>
    <w:rsid w:val="1EC74D10"/>
    <w:rsid w:val="1ED560B1"/>
    <w:rsid w:val="1EDA73E1"/>
    <w:rsid w:val="1F04210B"/>
    <w:rsid w:val="1F083EC3"/>
    <w:rsid w:val="1F091532"/>
    <w:rsid w:val="1F39229F"/>
    <w:rsid w:val="1F574973"/>
    <w:rsid w:val="1F7C6A96"/>
    <w:rsid w:val="1F9D5791"/>
    <w:rsid w:val="1F9E611E"/>
    <w:rsid w:val="1FB10B7E"/>
    <w:rsid w:val="1FB57903"/>
    <w:rsid w:val="1FC2047B"/>
    <w:rsid w:val="1FDC172F"/>
    <w:rsid w:val="1FF33CDA"/>
    <w:rsid w:val="1FFB5863"/>
    <w:rsid w:val="1FFC257E"/>
    <w:rsid w:val="20153B98"/>
    <w:rsid w:val="2024199B"/>
    <w:rsid w:val="20835D3C"/>
    <w:rsid w:val="20844FBF"/>
    <w:rsid w:val="20870B0E"/>
    <w:rsid w:val="20AE149D"/>
    <w:rsid w:val="20B45D5E"/>
    <w:rsid w:val="20B7137B"/>
    <w:rsid w:val="20DB381D"/>
    <w:rsid w:val="20E51521"/>
    <w:rsid w:val="20E62554"/>
    <w:rsid w:val="21014780"/>
    <w:rsid w:val="2108623C"/>
    <w:rsid w:val="21165399"/>
    <w:rsid w:val="211F3838"/>
    <w:rsid w:val="213C1F4F"/>
    <w:rsid w:val="214E32E4"/>
    <w:rsid w:val="21577A83"/>
    <w:rsid w:val="215D4DDE"/>
    <w:rsid w:val="21610A7A"/>
    <w:rsid w:val="216B37D0"/>
    <w:rsid w:val="217976A3"/>
    <w:rsid w:val="21854D0F"/>
    <w:rsid w:val="21B06DEE"/>
    <w:rsid w:val="21B827F2"/>
    <w:rsid w:val="21C46CEC"/>
    <w:rsid w:val="21D234BA"/>
    <w:rsid w:val="21D40159"/>
    <w:rsid w:val="2241166E"/>
    <w:rsid w:val="22495289"/>
    <w:rsid w:val="224A3975"/>
    <w:rsid w:val="22532129"/>
    <w:rsid w:val="2262123C"/>
    <w:rsid w:val="22652F4C"/>
    <w:rsid w:val="22712127"/>
    <w:rsid w:val="227600A8"/>
    <w:rsid w:val="227B49D3"/>
    <w:rsid w:val="2282753B"/>
    <w:rsid w:val="228E5FD0"/>
    <w:rsid w:val="22966B68"/>
    <w:rsid w:val="229C224B"/>
    <w:rsid w:val="229F7773"/>
    <w:rsid w:val="22AC7DCD"/>
    <w:rsid w:val="22AF1342"/>
    <w:rsid w:val="22CC59AF"/>
    <w:rsid w:val="22CD0B61"/>
    <w:rsid w:val="22EA0F92"/>
    <w:rsid w:val="231453D0"/>
    <w:rsid w:val="23160B35"/>
    <w:rsid w:val="231E6A95"/>
    <w:rsid w:val="231F0708"/>
    <w:rsid w:val="231F3121"/>
    <w:rsid w:val="23442187"/>
    <w:rsid w:val="2355113E"/>
    <w:rsid w:val="23561CF1"/>
    <w:rsid w:val="237B53EB"/>
    <w:rsid w:val="238064FD"/>
    <w:rsid w:val="23903082"/>
    <w:rsid w:val="2391601A"/>
    <w:rsid w:val="239A4148"/>
    <w:rsid w:val="23A25530"/>
    <w:rsid w:val="23CD38EE"/>
    <w:rsid w:val="23DE5801"/>
    <w:rsid w:val="24052EB3"/>
    <w:rsid w:val="240A3D34"/>
    <w:rsid w:val="241234A7"/>
    <w:rsid w:val="241F0CB3"/>
    <w:rsid w:val="24332838"/>
    <w:rsid w:val="24485949"/>
    <w:rsid w:val="244D4391"/>
    <w:rsid w:val="24710A0A"/>
    <w:rsid w:val="247A3095"/>
    <w:rsid w:val="247F7B7E"/>
    <w:rsid w:val="2487513F"/>
    <w:rsid w:val="24937AF5"/>
    <w:rsid w:val="24942F10"/>
    <w:rsid w:val="24B60F3A"/>
    <w:rsid w:val="24B95AB2"/>
    <w:rsid w:val="25024A59"/>
    <w:rsid w:val="250D78DC"/>
    <w:rsid w:val="25103F6B"/>
    <w:rsid w:val="252C2BB4"/>
    <w:rsid w:val="254E4CA3"/>
    <w:rsid w:val="255D7BED"/>
    <w:rsid w:val="25626910"/>
    <w:rsid w:val="25696BEC"/>
    <w:rsid w:val="257379EA"/>
    <w:rsid w:val="25823AF8"/>
    <w:rsid w:val="258D58DB"/>
    <w:rsid w:val="259D7AF5"/>
    <w:rsid w:val="25A352DC"/>
    <w:rsid w:val="25BD613A"/>
    <w:rsid w:val="25E30E41"/>
    <w:rsid w:val="25EE1A8D"/>
    <w:rsid w:val="25FD5076"/>
    <w:rsid w:val="260362D3"/>
    <w:rsid w:val="260531C3"/>
    <w:rsid w:val="260D5DE2"/>
    <w:rsid w:val="26103C4A"/>
    <w:rsid w:val="26614252"/>
    <w:rsid w:val="266734AD"/>
    <w:rsid w:val="267079A3"/>
    <w:rsid w:val="26750E3C"/>
    <w:rsid w:val="267968DD"/>
    <w:rsid w:val="2681167F"/>
    <w:rsid w:val="26974EBE"/>
    <w:rsid w:val="26A230F1"/>
    <w:rsid w:val="26AE7538"/>
    <w:rsid w:val="26BC1220"/>
    <w:rsid w:val="26C9354E"/>
    <w:rsid w:val="26E36D28"/>
    <w:rsid w:val="270A5328"/>
    <w:rsid w:val="270F7F7E"/>
    <w:rsid w:val="27173B22"/>
    <w:rsid w:val="271D10B1"/>
    <w:rsid w:val="27266254"/>
    <w:rsid w:val="272B06AF"/>
    <w:rsid w:val="273F795A"/>
    <w:rsid w:val="274330A7"/>
    <w:rsid w:val="274679B8"/>
    <w:rsid w:val="274C1A4C"/>
    <w:rsid w:val="274E0D59"/>
    <w:rsid w:val="27522728"/>
    <w:rsid w:val="27532D5A"/>
    <w:rsid w:val="27571C19"/>
    <w:rsid w:val="27591A0D"/>
    <w:rsid w:val="275A793D"/>
    <w:rsid w:val="27647129"/>
    <w:rsid w:val="27845067"/>
    <w:rsid w:val="27906AFD"/>
    <w:rsid w:val="279573FC"/>
    <w:rsid w:val="279B6F30"/>
    <w:rsid w:val="27C83924"/>
    <w:rsid w:val="27D17719"/>
    <w:rsid w:val="27D22A70"/>
    <w:rsid w:val="27DD3D8A"/>
    <w:rsid w:val="27F14FB6"/>
    <w:rsid w:val="27FC08D7"/>
    <w:rsid w:val="280005D9"/>
    <w:rsid w:val="28011091"/>
    <w:rsid w:val="280C219C"/>
    <w:rsid w:val="280E5E45"/>
    <w:rsid w:val="280F1C18"/>
    <w:rsid w:val="281B4F97"/>
    <w:rsid w:val="281C6476"/>
    <w:rsid w:val="28400D6D"/>
    <w:rsid w:val="28655342"/>
    <w:rsid w:val="289A2570"/>
    <w:rsid w:val="28AA32D9"/>
    <w:rsid w:val="28B962B7"/>
    <w:rsid w:val="28BE47BE"/>
    <w:rsid w:val="28C43CBF"/>
    <w:rsid w:val="28CC3A27"/>
    <w:rsid w:val="28E307C0"/>
    <w:rsid w:val="28FB727A"/>
    <w:rsid w:val="29111004"/>
    <w:rsid w:val="2916585E"/>
    <w:rsid w:val="292A57AC"/>
    <w:rsid w:val="29302A01"/>
    <w:rsid w:val="298E12C2"/>
    <w:rsid w:val="29B67DDC"/>
    <w:rsid w:val="29BC7983"/>
    <w:rsid w:val="29BF4C34"/>
    <w:rsid w:val="29C0639D"/>
    <w:rsid w:val="29CE7F54"/>
    <w:rsid w:val="29F678ED"/>
    <w:rsid w:val="2A0503EE"/>
    <w:rsid w:val="2A213403"/>
    <w:rsid w:val="2A37334A"/>
    <w:rsid w:val="2A6A01CF"/>
    <w:rsid w:val="2A763C3F"/>
    <w:rsid w:val="2A812209"/>
    <w:rsid w:val="2A9161AE"/>
    <w:rsid w:val="2AA208EC"/>
    <w:rsid w:val="2AA9729F"/>
    <w:rsid w:val="2AC6783D"/>
    <w:rsid w:val="2ADC4EDF"/>
    <w:rsid w:val="2AEC2DEC"/>
    <w:rsid w:val="2B0351AB"/>
    <w:rsid w:val="2BC0015D"/>
    <w:rsid w:val="2BC33263"/>
    <w:rsid w:val="2BC55D1D"/>
    <w:rsid w:val="2BD346BF"/>
    <w:rsid w:val="2C103E0B"/>
    <w:rsid w:val="2C1D0A52"/>
    <w:rsid w:val="2C406641"/>
    <w:rsid w:val="2C4E313C"/>
    <w:rsid w:val="2C595DDD"/>
    <w:rsid w:val="2C6C41B6"/>
    <w:rsid w:val="2C8D48A3"/>
    <w:rsid w:val="2C8E2D71"/>
    <w:rsid w:val="2C906D72"/>
    <w:rsid w:val="2CA57250"/>
    <w:rsid w:val="2CB32C76"/>
    <w:rsid w:val="2CB4229C"/>
    <w:rsid w:val="2CB92B18"/>
    <w:rsid w:val="2CBB6D89"/>
    <w:rsid w:val="2CBC0038"/>
    <w:rsid w:val="2CD262A2"/>
    <w:rsid w:val="2CF7361C"/>
    <w:rsid w:val="2CFA7496"/>
    <w:rsid w:val="2CFF6EF7"/>
    <w:rsid w:val="2D16157A"/>
    <w:rsid w:val="2D2C151F"/>
    <w:rsid w:val="2D2C1CEC"/>
    <w:rsid w:val="2D302CE5"/>
    <w:rsid w:val="2D3629D1"/>
    <w:rsid w:val="2D3D4090"/>
    <w:rsid w:val="2D4D04D3"/>
    <w:rsid w:val="2D760C43"/>
    <w:rsid w:val="2D7A3452"/>
    <w:rsid w:val="2DA53DE6"/>
    <w:rsid w:val="2DBE1E56"/>
    <w:rsid w:val="2DC710BF"/>
    <w:rsid w:val="2E06172C"/>
    <w:rsid w:val="2E162CEE"/>
    <w:rsid w:val="2E274498"/>
    <w:rsid w:val="2E2C6BEF"/>
    <w:rsid w:val="2E2D3233"/>
    <w:rsid w:val="2E8E0891"/>
    <w:rsid w:val="2EA760C8"/>
    <w:rsid w:val="2EBF18B7"/>
    <w:rsid w:val="2EC24D67"/>
    <w:rsid w:val="2ED66A2F"/>
    <w:rsid w:val="2EF14075"/>
    <w:rsid w:val="2EF933C4"/>
    <w:rsid w:val="2F4F2FBB"/>
    <w:rsid w:val="2F6616FB"/>
    <w:rsid w:val="2F6C68D2"/>
    <w:rsid w:val="2F70132B"/>
    <w:rsid w:val="2F7D7574"/>
    <w:rsid w:val="2F9B417A"/>
    <w:rsid w:val="2FAF6E10"/>
    <w:rsid w:val="2FC26088"/>
    <w:rsid w:val="2FD779F9"/>
    <w:rsid w:val="2FED4A2A"/>
    <w:rsid w:val="2FF93510"/>
    <w:rsid w:val="301C20C2"/>
    <w:rsid w:val="30245948"/>
    <w:rsid w:val="302C497D"/>
    <w:rsid w:val="302F78CB"/>
    <w:rsid w:val="304609FF"/>
    <w:rsid w:val="304D4243"/>
    <w:rsid w:val="30500FC1"/>
    <w:rsid w:val="30721654"/>
    <w:rsid w:val="30724CBD"/>
    <w:rsid w:val="309B676F"/>
    <w:rsid w:val="30B33417"/>
    <w:rsid w:val="30B75341"/>
    <w:rsid w:val="30B927A4"/>
    <w:rsid w:val="30C55BD7"/>
    <w:rsid w:val="30C673C6"/>
    <w:rsid w:val="30EA0C9B"/>
    <w:rsid w:val="30F04A33"/>
    <w:rsid w:val="30FA0D3D"/>
    <w:rsid w:val="31010608"/>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BB225F"/>
    <w:rsid w:val="31C00B70"/>
    <w:rsid w:val="31C04C8B"/>
    <w:rsid w:val="31F41846"/>
    <w:rsid w:val="320C1B00"/>
    <w:rsid w:val="322940DE"/>
    <w:rsid w:val="323C4A94"/>
    <w:rsid w:val="32480A64"/>
    <w:rsid w:val="324827C7"/>
    <w:rsid w:val="324F2948"/>
    <w:rsid w:val="324F7F9E"/>
    <w:rsid w:val="32581AE0"/>
    <w:rsid w:val="325B4AA4"/>
    <w:rsid w:val="32631746"/>
    <w:rsid w:val="327F49C9"/>
    <w:rsid w:val="32820D11"/>
    <w:rsid w:val="32897A58"/>
    <w:rsid w:val="32A45645"/>
    <w:rsid w:val="32B91B04"/>
    <w:rsid w:val="32D91938"/>
    <w:rsid w:val="32F31F65"/>
    <w:rsid w:val="32F442F8"/>
    <w:rsid w:val="32F73034"/>
    <w:rsid w:val="33031CA3"/>
    <w:rsid w:val="33100032"/>
    <w:rsid w:val="33177552"/>
    <w:rsid w:val="331B1158"/>
    <w:rsid w:val="3324428B"/>
    <w:rsid w:val="334D4B72"/>
    <w:rsid w:val="335E5632"/>
    <w:rsid w:val="33667F60"/>
    <w:rsid w:val="337136E5"/>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614F84"/>
    <w:rsid w:val="34776A27"/>
    <w:rsid w:val="34B52C24"/>
    <w:rsid w:val="34CB09E3"/>
    <w:rsid w:val="34D57484"/>
    <w:rsid w:val="34EF1945"/>
    <w:rsid w:val="35016370"/>
    <w:rsid w:val="350A6DBB"/>
    <w:rsid w:val="353064DB"/>
    <w:rsid w:val="35401164"/>
    <w:rsid w:val="35443611"/>
    <w:rsid w:val="35461E69"/>
    <w:rsid w:val="35695C04"/>
    <w:rsid w:val="357C2E1A"/>
    <w:rsid w:val="357F7A06"/>
    <w:rsid w:val="35946B47"/>
    <w:rsid w:val="359F63EE"/>
    <w:rsid w:val="35D27572"/>
    <w:rsid w:val="35E85002"/>
    <w:rsid w:val="360151C5"/>
    <w:rsid w:val="36112DD8"/>
    <w:rsid w:val="363A49EC"/>
    <w:rsid w:val="3640342D"/>
    <w:rsid w:val="36A16820"/>
    <w:rsid w:val="36A77B65"/>
    <w:rsid w:val="36B00264"/>
    <w:rsid w:val="36F43CD9"/>
    <w:rsid w:val="36F50FF0"/>
    <w:rsid w:val="370E6157"/>
    <w:rsid w:val="372D14D8"/>
    <w:rsid w:val="37351E78"/>
    <w:rsid w:val="373E147E"/>
    <w:rsid w:val="37440291"/>
    <w:rsid w:val="37616FF2"/>
    <w:rsid w:val="37756351"/>
    <w:rsid w:val="37774365"/>
    <w:rsid w:val="378A1189"/>
    <w:rsid w:val="379E19F4"/>
    <w:rsid w:val="37A503C1"/>
    <w:rsid w:val="37AB2367"/>
    <w:rsid w:val="37AE1114"/>
    <w:rsid w:val="37F4671D"/>
    <w:rsid w:val="3807791B"/>
    <w:rsid w:val="38107A88"/>
    <w:rsid w:val="381941D9"/>
    <w:rsid w:val="38230347"/>
    <w:rsid w:val="38245841"/>
    <w:rsid w:val="382F21F6"/>
    <w:rsid w:val="3838592B"/>
    <w:rsid w:val="3841192C"/>
    <w:rsid w:val="385722CC"/>
    <w:rsid w:val="385873D9"/>
    <w:rsid w:val="38595DF5"/>
    <w:rsid w:val="386D69C1"/>
    <w:rsid w:val="388616BA"/>
    <w:rsid w:val="388A1154"/>
    <w:rsid w:val="3899137B"/>
    <w:rsid w:val="389978B1"/>
    <w:rsid w:val="38AB7213"/>
    <w:rsid w:val="38BB74B3"/>
    <w:rsid w:val="38C026D8"/>
    <w:rsid w:val="38C212FE"/>
    <w:rsid w:val="38C93F0B"/>
    <w:rsid w:val="38F20527"/>
    <w:rsid w:val="38FD4BDC"/>
    <w:rsid w:val="391C30A1"/>
    <w:rsid w:val="391D4AA2"/>
    <w:rsid w:val="393343DF"/>
    <w:rsid w:val="39452871"/>
    <w:rsid w:val="39473146"/>
    <w:rsid w:val="3959196E"/>
    <w:rsid w:val="3960729B"/>
    <w:rsid w:val="39764C13"/>
    <w:rsid w:val="397D5852"/>
    <w:rsid w:val="398205C3"/>
    <w:rsid w:val="399105D0"/>
    <w:rsid w:val="39950593"/>
    <w:rsid w:val="39B62462"/>
    <w:rsid w:val="39BE0852"/>
    <w:rsid w:val="39D92EFE"/>
    <w:rsid w:val="39DE4367"/>
    <w:rsid w:val="39E264FC"/>
    <w:rsid w:val="39E72493"/>
    <w:rsid w:val="39EC4F48"/>
    <w:rsid w:val="39F31009"/>
    <w:rsid w:val="3A1B1537"/>
    <w:rsid w:val="3A283C67"/>
    <w:rsid w:val="3A3A68A8"/>
    <w:rsid w:val="3A41272A"/>
    <w:rsid w:val="3A551997"/>
    <w:rsid w:val="3A5B0712"/>
    <w:rsid w:val="3A5B2342"/>
    <w:rsid w:val="3A6A3CA7"/>
    <w:rsid w:val="3A6F37A7"/>
    <w:rsid w:val="3A732F0A"/>
    <w:rsid w:val="3A795124"/>
    <w:rsid w:val="3A7F32C6"/>
    <w:rsid w:val="3A8C69D8"/>
    <w:rsid w:val="3A9009FF"/>
    <w:rsid w:val="3A997359"/>
    <w:rsid w:val="3AA008D0"/>
    <w:rsid w:val="3AAD20A7"/>
    <w:rsid w:val="3AAD3EFA"/>
    <w:rsid w:val="3AAD5053"/>
    <w:rsid w:val="3AB72BEB"/>
    <w:rsid w:val="3AE47094"/>
    <w:rsid w:val="3AE71B63"/>
    <w:rsid w:val="3B2C5CE6"/>
    <w:rsid w:val="3B301DF4"/>
    <w:rsid w:val="3B344C46"/>
    <w:rsid w:val="3B5B6B36"/>
    <w:rsid w:val="3B6B0742"/>
    <w:rsid w:val="3B713E35"/>
    <w:rsid w:val="3B843773"/>
    <w:rsid w:val="3B8E4649"/>
    <w:rsid w:val="3BE81CC8"/>
    <w:rsid w:val="3C0122B4"/>
    <w:rsid w:val="3C0B47C3"/>
    <w:rsid w:val="3C0F2E5C"/>
    <w:rsid w:val="3C2301CF"/>
    <w:rsid w:val="3C232E49"/>
    <w:rsid w:val="3C294808"/>
    <w:rsid w:val="3C4C6AAE"/>
    <w:rsid w:val="3C5A1F12"/>
    <w:rsid w:val="3C662EDF"/>
    <w:rsid w:val="3C9B4D04"/>
    <w:rsid w:val="3CA72903"/>
    <w:rsid w:val="3CAE4F60"/>
    <w:rsid w:val="3CC9647F"/>
    <w:rsid w:val="3CDC2B0A"/>
    <w:rsid w:val="3CE14229"/>
    <w:rsid w:val="3CF96CA1"/>
    <w:rsid w:val="3D092504"/>
    <w:rsid w:val="3D1B751F"/>
    <w:rsid w:val="3D1D3010"/>
    <w:rsid w:val="3D212D9D"/>
    <w:rsid w:val="3D2D4894"/>
    <w:rsid w:val="3D320965"/>
    <w:rsid w:val="3D3246B3"/>
    <w:rsid w:val="3D4E790E"/>
    <w:rsid w:val="3D700D52"/>
    <w:rsid w:val="3D770A1E"/>
    <w:rsid w:val="3D78505A"/>
    <w:rsid w:val="3DA26D47"/>
    <w:rsid w:val="3DAD3632"/>
    <w:rsid w:val="3DB01E78"/>
    <w:rsid w:val="3DB24B0C"/>
    <w:rsid w:val="3DB270E9"/>
    <w:rsid w:val="3DBC092E"/>
    <w:rsid w:val="3DDD25C1"/>
    <w:rsid w:val="3DE9435F"/>
    <w:rsid w:val="3DF82797"/>
    <w:rsid w:val="3E053264"/>
    <w:rsid w:val="3E083B2C"/>
    <w:rsid w:val="3E0C40FA"/>
    <w:rsid w:val="3E1F0680"/>
    <w:rsid w:val="3E481A2D"/>
    <w:rsid w:val="3E4B0C50"/>
    <w:rsid w:val="3E5C4F6C"/>
    <w:rsid w:val="3E7660CC"/>
    <w:rsid w:val="3E7819B1"/>
    <w:rsid w:val="3E802B14"/>
    <w:rsid w:val="3EB021FA"/>
    <w:rsid w:val="3EC43DC1"/>
    <w:rsid w:val="3ED17795"/>
    <w:rsid w:val="3EE651EF"/>
    <w:rsid w:val="3F000F93"/>
    <w:rsid w:val="3F042F23"/>
    <w:rsid w:val="3F0C13B6"/>
    <w:rsid w:val="3F40400F"/>
    <w:rsid w:val="3F407B38"/>
    <w:rsid w:val="3F6B3B01"/>
    <w:rsid w:val="3F9A7607"/>
    <w:rsid w:val="3F9D1772"/>
    <w:rsid w:val="3F9E338F"/>
    <w:rsid w:val="3FAB63AE"/>
    <w:rsid w:val="3FAD2C56"/>
    <w:rsid w:val="40033BCB"/>
    <w:rsid w:val="400B3D58"/>
    <w:rsid w:val="402166A4"/>
    <w:rsid w:val="4039779C"/>
    <w:rsid w:val="403F4AD6"/>
    <w:rsid w:val="40471F6D"/>
    <w:rsid w:val="4055421F"/>
    <w:rsid w:val="407F379A"/>
    <w:rsid w:val="4098721B"/>
    <w:rsid w:val="40A30CB7"/>
    <w:rsid w:val="410D50E4"/>
    <w:rsid w:val="410E3226"/>
    <w:rsid w:val="411E1F5F"/>
    <w:rsid w:val="41287C6E"/>
    <w:rsid w:val="412C6073"/>
    <w:rsid w:val="41335E35"/>
    <w:rsid w:val="41625ED3"/>
    <w:rsid w:val="416A5C1B"/>
    <w:rsid w:val="416F2BBE"/>
    <w:rsid w:val="417144B1"/>
    <w:rsid w:val="4189511A"/>
    <w:rsid w:val="41A03E55"/>
    <w:rsid w:val="41B60441"/>
    <w:rsid w:val="41CB13D4"/>
    <w:rsid w:val="41D47FBA"/>
    <w:rsid w:val="41ED1B1E"/>
    <w:rsid w:val="4211574A"/>
    <w:rsid w:val="4216392F"/>
    <w:rsid w:val="421D7007"/>
    <w:rsid w:val="42264F86"/>
    <w:rsid w:val="425A401B"/>
    <w:rsid w:val="425B0051"/>
    <w:rsid w:val="42905AAA"/>
    <w:rsid w:val="429B3F8F"/>
    <w:rsid w:val="42CE6B71"/>
    <w:rsid w:val="42D71369"/>
    <w:rsid w:val="42DB7DEF"/>
    <w:rsid w:val="42DF0DF6"/>
    <w:rsid w:val="42E01D63"/>
    <w:rsid w:val="42E34D2A"/>
    <w:rsid w:val="42EA5C2A"/>
    <w:rsid w:val="42EB1A6F"/>
    <w:rsid w:val="42EB44C6"/>
    <w:rsid w:val="42F4186C"/>
    <w:rsid w:val="42F56A59"/>
    <w:rsid w:val="42F805B7"/>
    <w:rsid w:val="43017D07"/>
    <w:rsid w:val="4328593E"/>
    <w:rsid w:val="4346230B"/>
    <w:rsid w:val="43470790"/>
    <w:rsid w:val="43793D50"/>
    <w:rsid w:val="437B1757"/>
    <w:rsid w:val="43BB1045"/>
    <w:rsid w:val="43C91B45"/>
    <w:rsid w:val="43C96C82"/>
    <w:rsid w:val="43CC0A77"/>
    <w:rsid w:val="43F244DD"/>
    <w:rsid w:val="43F34F0A"/>
    <w:rsid w:val="43F67CAD"/>
    <w:rsid w:val="44197675"/>
    <w:rsid w:val="442134A5"/>
    <w:rsid w:val="446B0DA7"/>
    <w:rsid w:val="44896E05"/>
    <w:rsid w:val="449263B1"/>
    <w:rsid w:val="44A252E3"/>
    <w:rsid w:val="44CE05B1"/>
    <w:rsid w:val="44DE657A"/>
    <w:rsid w:val="44EC5492"/>
    <w:rsid w:val="44F5583F"/>
    <w:rsid w:val="44F642D5"/>
    <w:rsid w:val="45143E62"/>
    <w:rsid w:val="451963D2"/>
    <w:rsid w:val="45472394"/>
    <w:rsid w:val="45724740"/>
    <w:rsid w:val="45776E42"/>
    <w:rsid w:val="457B07D4"/>
    <w:rsid w:val="4584601C"/>
    <w:rsid w:val="45A17614"/>
    <w:rsid w:val="45A77792"/>
    <w:rsid w:val="45AC2C16"/>
    <w:rsid w:val="45B8521A"/>
    <w:rsid w:val="45CF386F"/>
    <w:rsid w:val="46056421"/>
    <w:rsid w:val="460C04D4"/>
    <w:rsid w:val="460E5C1F"/>
    <w:rsid w:val="46113C23"/>
    <w:rsid w:val="46215D1B"/>
    <w:rsid w:val="466331AA"/>
    <w:rsid w:val="466A1851"/>
    <w:rsid w:val="46787235"/>
    <w:rsid w:val="46885EC5"/>
    <w:rsid w:val="46887AEB"/>
    <w:rsid w:val="468930AE"/>
    <w:rsid w:val="46951251"/>
    <w:rsid w:val="46A176A3"/>
    <w:rsid w:val="46B27462"/>
    <w:rsid w:val="46BC31AA"/>
    <w:rsid w:val="46C637F7"/>
    <w:rsid w:val="46C93A01"/>
    <w:rsid w:val="46D404E0"/>
    <w:rsid w:val="46EA0B8E"/>
    <w:rsid w:val="46F31900"/>
    <w:rsid w:val="46F5741D"/>
    <w:rsid w:val="471E5360"/>
    <w:rsid w:val="472B3E49"/>
    <w:rsid w:val="473105C2"/>
    <w:rsid w:val="47692187"/>
    <w:rsid w:val="476F4169"/>
    <w:rsid w:val="476F45D2"/>
    <w:rsid w:val="4778041E"/>
    <w:rsid w:val="47890CE4"/>
    <w:rsid w:val="479E05BC"/>
    <w:rsid w:val="47B41CE4"/>
    <w:rsid w:val="47B47EEE"/>
    <w:rsid w:val="47BB12D0"/>
    <w:rsid w:val="47F77B0F"/>
    <w:rsid w:val="48071BA2"/>
    <w:rsid w:val="48111F72"/>
    <w:rsid w:val="483D2593"/>
    <w:rsid w:val="48676FF8"/>
    <w:rsid w:val="487A64E1"/>
    <w:rsid w:val="48842DA4"/>
    <w:rsid w:val="488525DC"/>
    <w:rsid w:val="488C3A69"/>
    <w:rsid w:val="488C7D67"/>
    <w:rsid w:val="488F6164"/>
    <w:rsid w:val="48997517"/>
    <w:rsid w:val="48A02163"/>
    <w:rsid w:val="48A67A6B"/>
    <w:rsid w:val="48AB7154"/>
    <w:rsid w:val="48B37A1C"/>
    <w:rsid w:val="48DB33FE"/>
    <w:rsid w:val="49230E35"/>
    <w:rsid w:val="492A0B4A"/>
    <w:rsid w:val="493F3170"/>
    <w:rsid w:val="49486A0E"/>
    <w:rsid w:val="49495705"/>
    <w:rsid w:val="494B6EB7"/>
    <w:rsid w:val="495513EB"/>
    <w:rsid w:val="497A03CE"/>
    <w:rsid w:val="49B74CC7"/>
    <w:rsid w:val="49C93046"/>
    <w:rsid w:val="49CB6EC3"/>
    <w:rsid w:val="49D2508E"/>
    <w:rsid w:val="49DF06B0"/>
    <w:rsid w:val="49E83ADC"/>
    <w:rsid w:val="4A086368"/>
    <w:rsid w:val="4A37247D"/>
    <w:rsid w:val="4A5D1A04"/>
    <w:rsid w:val="4A5D7DAA"/>
    <w:rsid w:val="4A641C09"/>
    <w:rsid w:val="4A6A29D9"/>
    <w:rsid w:val="4A724ECC"/>
    <w:rsid w:val="4A987EF3"/>
    <w:rsid w:val="4A995123"/>
    <w:rsid w:val="4AA0090F"/>
    <w:rsid w:val="4AA210C1"/>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3342E0"/>
    <w:rsid w:val="4C416776"/>
    <w:rsid w:val="4C451933"/>
    <w:rsid w:val="4C522EDB"/>
    <w:rsid w:val="4C53587C"/>
    <w:rsid w:val="4C565D4A"/>
    <w:rsid w:val="4C662841"/>
    <w:rsid w:val="4C6E2B8E"/>
    <w:rsid w:val="4C7C3B09"/>
    <w:rsid w:val="4C8205AE"/>
    <w:rsid w:val="4C9E7FD4"/>
    <w:rsid w:val="4CB9680F"/>
    <w:rsid w:val="4CC159EE"/>
    <w:rsid w:val="4CC954A2"/>
    <w:rsid w:val="4CCA2679"/>
    <w:rsid w:val="4CE84C22"/>
    <w:rsid w:val="4CED2485"/>
    <w:rsid w:val="4CEE55F9"/>
    <w:rsid w:val="4CF21B51"/>
    <w:rsid w:val="4D071B5B"/>
    <w:rsid w:val="4D0B1077"/>
    <w:rsid w:val="4D251A8D"/>
    <w:rsid w:val="4D2757CE"/>
    <w:rsid w:val="4D34309E"/>
    <w:rsid w:val="4D3B2402"/>
    <w:rsid w:val="4D4A5484"/>
    <w:rsid w:val="4D552535"/>
    <w:rsid w:val="4D73653A"/>
    <w:rsid w:val="4D8D7B77"/>
    <w:rsid w:val="4D9715DC"/>
    <w:rsid w:val="4D9F307A"/>
    <w:rsid w:val="4DB925D0"/>
    <w:rsid w:val="4DC0055C"/>
    <w:rsid w:val="4DD17A54"/>
    <w:rsid w:val="4DE76A72"/>
    <w:rsid w:val="4DED7B7B"/>
    <w:rsid w:val="4DF0776C"/>
    <w:rsid w:val="4DFC6F40"/>
    <w:rsid w:val="4E205AB9"/>
    <w:rsid w:val="4E346CAD"/>
    <w:rsid w:val="4E37492E"/>
    <w:rsid w:val="4E395D9C"/>
    <w:rsid w:val="4E467737"/>
    <w:rsid w:val="4E4F5A01"/>
    <w:rsid w:val="4E580033"/>
    <w:rsid w:val="4E5943BA"/>
    <w:rsid w:val="4E616A5C"/>
    <w:rsid w:val="4E693B74"/>
    <w:rsid w:val="4E6A4C09"/>
    <w:rsid w:val="4E6E3E0B"/>
    <w:rsid w:val="4E7534C5"/>
    <w:rsid w:val="4E76661A"/>
    <w:rsid w:val="4E7C7399"/>
    <w:rsid w:val="4E977205"/>
    <w:rsid w:val="4EB827B3"/>
    <w:rsid w:val="4EC90885"/>
    <w:rsid w:val="4ED3637B"/>
    <w:rsid w:val="4EE20D35"/>
    <w:rsid w:val="4EFC2AE7"/>
    <w:rsid w:val="4F0C05E8"/>
    <w:rsid w:val="4F1F345D"/>
    <w:rsid w:val="4F333B3B"/>
    <w:rsid w:val="4F622289"/>
    <w:rsid w:val="4F712C49"/>
    <w:rsid w:val="4F7B27D9"/>
    <w:rsid w:val="4F856D00"/>
    <w:rsid w:val="4F87770B"/>
    <w:rsid w:val="4F90601D"/>
    <w:rsid w:val="4FB82836"/>
    <w:rsid w:val="4FC56263"/>
    <w:rsid w:val="4FC9190E"/>
    <w:rsid w:val="4FD330DE"/>
    <w:rsid w:val="4FD82EBA"/>
    <w:rsid w:val="4FE0355B"/>
    <w:rsid w:val="4FE03B09"/>
    <w:rsid w:val="4FEA1DA8"/>
    <w:rsid w:val="4FED7E4A"/>
    <w:rsid w:val="5005319C"/>
    <w:rsid w:val="500F018A"/>
    <w:rsid w:val="500F0855"/>
    <w:rsid w:val="501248D5"/>
    <w:rsid w:val="504815B1"/>
    <w:rsid w:val="504E5BD3"/>
    <w:rsid w:val="505C1EA2"/>
    <w:rsid w:val="508B6AC9"/>
    <w:rsid w:val="508B799F"/>
    <w:rsid w:val="50995FE1"/>
    <w:rsid w:val="50A57F20"/>
    <w:rsid w:val="50B62894"/>
    <w:rsid w:val="50B630A1"/>
    <w:rsid w:val="50B6395E"/>
    <w:rsid w:val="50B8297E"/>
    <w:rsid w:val="50DA59F5"/>
    <w:rsid w:val="50E25EDC"/>
    <w:rsid w:val="51070192"/>
    <w:rsid w:val="51221EB8"/>
    <w:rsid w:val="512A162D"/>
    <w:rsid w:val="513A5742"/>
    <w:rsid w:val="514F6C05"/>
    <w:rsid w:val="515A6CD7"/>
    <w:rsid w:val="517109FA"/>
    <w:rsid w:val="51717A51"/>
    <w:rsid w:val="51781C23"/>
    <w:rsid w:val="519C32A5"/>
    <w:rsid w:val="51B035DC"/>
    <w:rsid w:val="51B404DB"/>
    <w:rsid w:val="51D54204"/>
    <w:rsid w:val="51EC12C8"/>
    <w:rsid w:val="51F67C2A"/>
    <w:rsid w:val="52030077"/>
    <w:rsid w:val="521A7F24"/>
    <w:rsid w:val="52200C03"/>
    <w:rsid w:val="52302068"/>
    <w:rsid w:val="52485217"/>
    <w:rsid w:val="525E02D9"/>
    <w:rsid w:val="52626214"/>
    <w:rsid w:val="52650E7F"/>
    <w:rsid w:val="52651E63"/>
    <w:rsid w:val="52931EA1"/>
    <w:rsid w:val="52A33D9C"/>
    <w:rsid w:val="52A50F59"/>
    <w:rsid w:val="52B61BC0"/>
    <w:rsid w:val="52BA5D97"/>
    <w:rsid w:val="52C21A5F"/>
    <w:rsid w:val="52DD11F2"/>
    <w:rsid w:val="52F45961"/>
    <w:rsid w:val="53715C89"/>
    <w:rsid w:val="53767BA3"/>
    <w:rsid w:val="53844150"/>
    <w:rsid w:val="538E3101"/>
    <w:rsid w:val="53955515"/>
    <w:rsid w:val="53B0479A"/>
    <w:rsid w:val="53B25A85"/>
    <w:rsid w:val="53C85EEB"/>
    <w:rsid w:val="53D86CEE"/>
    <w:rsid w:val="53F83D51"/>
    <w:rsid w:val="542B3576"/>
    <w:rsid w:val="542E33A9"/>
    <w:rsid w:val="54370630"/>
    <w:rsid w:val="543A749F"/>
    <w:rsid w:val="543E0450"/>
    <w:rsid w:val="543F7DF3"/>
    <w:rsid w:val="5468040B"/>
    <w:rsid w:val="547804C3"/>
    <w:rsid w:val="54874078"/>
    <w:rsid w:val="54967F9A"/>
    <w:rsid w:val="549B378E"/>
    <w:rsid w:val="549C1223"/>
    <w:rsid w:val="549F79B0"/>
    <w:rsid w:val="54A7060D"/>
    <w:rsid w:val="54B94A3F"/>
    <w:rsid w:val="54CB0AD8"/>
    <w:rsid w:val="54DC57FB"/>
    <w:rsid w:val="55063AA0"/>
    <w:rsid w:val="551B3C23"/>
    <w:rsid w:val="552B3541"/>
    <w:rsid w:val="553A6E72"/>
    <w:rsid w:val="554C2981"/>
    <w:rsid w:val="555173B6"/>
    <w:rsid w:val="555C44A6"/>
    <w:rsid w:val="557A3593"/>
    <w:rsid w:val="557F05FE"/>
    <w:rsid w:val="558148D7"/>
    <w:rsid w:val="55986395"/>
    <w:rsid w:val="55B01C76"/>
    <w:rsid w:val="55BB3B99"/>
    <w:rsid w:val="55D56AB5"/>
    <w:rsid w:val="55ED6EBD"/>
    <w:rsid w:val="55F112D3"/>
    <w:rsid w:val="560A3DED"/>
    <w:rsid w:val="561E74E0"/>
    <w:rsid w:val="565E25B5"/>
    <w:rsid w:val="5660004C"/>
    <w:rsid w:val="566019EA"/>
    <w:rsid w:val="566912B5"/>
    <w:rsid w:val="5679751E"/>
    <w:rsid w:val="56C204B1"/>
    <w:rsid w:val="56DC07B3"/>
    <w:rsid w:val="56E124D0"/>
    <w:rsid w:val="56E70EE9"/>
    <w:rsid w:val="56F11C95"/>
    <w:rsid w:val="56F65FA4"/>
    <w:rsid w:val="57085A5F"/>
    <w:rsid w:val="5712294D"/>
    <w:rsid w:val="57203CE2"/>
    <w:rsid w:val="57245E6C"/>
    <w:rsid w:val="5729516E"/>
    <w:rsid w:val="574A48FC"/>
    <w:rsid w:val="57516D3B"/>
    <w:rsid w:val="575B5170"/>
    <w:rsid w:val="576205A6"/>
    <w:rsid w:val="576B13D9"/>
    <w:rsid w:val="57716D4D"/>
    <w:rsid w:val="577F3A42"/>
    <w:rsid w:val="57957FA2"/>
    <w:rsid w:val="57A074AD"/>
    <w:rsid w:val="57A76B2E"/>
    <w:rsid w:val="57B80494"/>
    <w:rsid w:val="57CC2E79"/>
    <w:rsid w:val="57D54F13"/>
    <w:rsid w:val="57D868C5"/>
    <w:rsid w:val="57F31A73"/>
    <w:rsid w:val="580B6363"/>
    <w:rsid w:val="581500E7"/>
    <w:rsid w:val="581570D7"/>
    <w:rsid w:val="582C3328"/>
    <w:rsid w:val="58483122"/>
    <w:rsid w:val="58584D43"/>
    <w:rsid w:val="58585757"/>
    <w:rsid w:val="585F4ABD"/>
    <w:rsid w:val="586A54E0"/>
    <w:rsid w:val="58763C80"/>
    <w:rsid w:val="587A4F22"/>
    <w:rsid w:val="588D3903"/>
    <w:rsid w:val="58AD2A41"/>
    <w:rsid w:val="58CA22FD"/>
    <w:rsid w:val="58CB571C"/>
    <w:rsid w:val="58FA36DF"/>
    <w:rsid w:val="59185B23"/>
    <w:rsid w:val="591A0FF8"/>
    <w:rsid w:val="59224DFD"/>
    <w:rsid w:val="594413B6"/>
    <w:rsid w:val="5945092A"/>
    <w:rsid w:val="594E47FA"/>
    <w:rsid w:val="595D44CA"/>
    <w:rsid w:val="596229BA"/>
    <w:rsid w:val="5965407F"/>
    <w:rsid w:val="598D2DC2"/>
    <w:rsid w:val="598E76AC"/>
    <w:rsid w:val="598E798D"/>
    <w:rsid w:val="5A0B0F42"/>
    <w:rsid w:val="5A405D38"/>
    <w:rsid w:val="5A423CC1"/>
    <w:rsid w:val="5A4F77F7"/>
    <w:rsid w:val="5A540A75"/>
    <w:rsid w:val="5A5F3C5F"/>
    <w:rsid w:val="5A6B4B3B"/>
    <w:rsid w:val="5A74777A"/>
    <w:rsid w:val="5AC1451D"/>
    <w:rsid w:val="5B1B278B"/>
    <w:rsid w:val="5B356B4F"/>
    <w:rsid w:val="5B45668A"/>
    <w:rsid w:val="5B483D9D"/>
    <w:rsid w:val="5B4B4861"/>
    <w:rsid w:val="5B4F4307"/>
    <w:rsid w:val="5B514E4B"/>
    <w:rsid w:val="5B550F93"/>
    <w:rsid w:val="5B625BE5"/>
    <w:rsid w:val="5B743EDD"/>
    <w:rsid w:val="5B96174C"/>
    <w:rsid w:val="5BA302A1"/>
    <w:rsid w:val="5BA86868"/>
    <w:rsid w:val="5BAE772A"/>
    <w:rsid w:val="5BAF03D2"/>
    <w:rsid w:val="5BC72BD2"/>
    <w:rsid w:val="5BD137D6"/>
    <w:rsid w:val="5BDC4156"/>
    <w:rsid w:val="5BDF75DB"/>
    <w:rsid w:val="5BE565AF"/>
    <w:rsid w:val="5BF52022"/>
    <w:rsid w:val="5BF81582"/>
    <w:rsid w:val="5BFA45DF"/>
    <w:rsid w:val="5C01463C"/>
    <w:rsid w:val="5C027076"/>
    <w:rsid w:val="5C1B112A"/>
    <w:rsid w:val="5C306CA5"/>
    <w:rsid w:val="5C3830AD"/>
    <w:rsid w:val="5C4252F8"/>
    <w:rsid w:val="5C4C407B"/>
    <w:rsid w:val="5C4F7F3B"/>
    <w:rsid w:val="5C8B27FF"/>
    <w:rsid w:val="5C9D156D"/>
    <w:rsid w:val="5CA049EF"/>
    <w:rsid w:val="5CA13735"/>
    <w:rsid w:val="5CA14451"/>
    <w:rsid w:val="5CAD02F5"/>
    <w:rsid w:val="5CB56D9E"/>
    <w:rsid w:val="5CF30491"/>
    <w:rsid w:val="5CFA684E"/>
    <w:rsid w:val="5D2E1346"/>
    <w:rsid w:val="5D435AE7"/>
    <w:rsid w:val="5D4A1997"/>
    <w:rsid w:val="5D625B21"/>
    <w:rsid w:val="5D74299B"/>
    <w:rsid w:val="5DA50DB0"/>
    <w:rsid w:val="5DC90247"/>
    <w:rsid w:val="5E0A377C"/>
    <w:rsid w:val="5E230525"/>
    <w:rsid w:val="5E2324B5"/>
    <w:rsid w:val="5E265D92"/>
    <w:rsid w:val="5E316D7C"/>
    <w:rsid w:val="5E3A7444"/>
    <w:rsid w:val="5E4C71CC"/>
    <w:rsid w:val="5E4E0212"/>
    <w:rsid w:val="5E4E5FEC"/>
    <w:rsid w:val="5E7A4C32"/>
    <w:rsid w:val="5E82190F"/>
    <w:rsid w:val="5E8B02E6"/>
    <w:rsid w:val="5EA47F79"/>
    <w:rsid w:val="5EA7756C"/>
    <w:rsid w:val="5EAC7C32"/>
    <w:rsid w:val="5EBC35F3"/>
    <w:rsid w:val="5EC42360"/>
    <w:rsid w:val="5ECA7640"/>
    <w:rsid w:val="5ED57C67"/>
    <w:rsid w:val="5EF24B7B"/>
    <w:rsid w:val="5EF34571"/>
    <w:rsid w:val="5EFD5FFE"/>
    <w:rsid w:val="5F173A2B"/>
    <w:rsid w:val="5F243B32"/>
    <w:rsid w:val="5F25704F"/>
    <w:rsid w:val="5F2D64C4"/>
    <w:rsid w:val="5F302A42"/>
    <w:rsid w:val="5F676A86"/>
    <w:rsid w:val="5F816F30"/>
    <w:rsid w:val="5F95270F"/>
    <w:rsid w:val="5FBA092D"/>
    <w:rsid w:val="5FC35293"/>
    <w:rsid w:val="60033374"/>
    <w:rsid w:val="600D1887"/>
    <w:rsid w:val="601F39AC"/>
    <w:rsid w:val="60456E5A"/>
    <w:rsid w:val="60480474"/>
    <w:rsid w:val="606611F8"/>
    <w:rsid w:val="606A0927"/>
    <w:rsid w:val="60750A5B"/>
    <w:rsid w:val="607522E4"/>
    <w:rsid w:val="607934F6"/>
    <w:rsid w:val="607A0CA4"/>
    <w:rsid w:val="607F0D85"/>
    <w:rsid w:val="608D6203"/>
    <w:rsid w:val="60A7237F"/>
    <w:rsid w:val="60CA3909"/>
    <w:rsid w:val="60D914F9"/>
    <w:rsid w:val="60DC420F"/>
    <w:rsid w:val="60E129A8"/>
    <w:rsid w:val="60EA42BB"/>
    <w:rsid w:val="60FC1D03"/>
    <w:rsid w:val="610048E8"/>
    <w:rsid w:val="610B17B3"/>
    <w:rsid w:val="610E045B"/>
    <w:rsid w:val="6148513F"/>
    <w:rsid w:val="614900DA"/>
    <w:rsid w:val="614958AE"/>
    <w:rsid w:val="614B2C99"/>
    <w:rsid w:val="61501332"/>
    <w:rsid w:val="61517704"/>
    <w:rsid w:val="61A00D01"/>
    <w:rsid w:val="61CB0398"/>
    <w:rsid w:val="61E77F11"/>
    <w:rsid w:val="61FA2D57"/>
    <w:rsid w:val="62073131"/>
    <w:rsid w:val="620B5412"/>
    <w:rsid w:val="620F34E4"/>
    <w:rsid w:val="621D2C7D"/>
    <w:rsid w:val="62304F98"/>
    <w:rsid w:val="624C7762"/>
    <w:rsid w:val="62622680"/>
    <w:rsid w:val="62651F9B"/>
    <w:rsid w:val="62785189"/>
    <w:rsid w:val="627C2E83"/>
    <w:rsid w:val="628561B1"/>
    <w:rsid w:val="62884D5E"/>
    <w:rsid w:val="62936A2E"/>
    <w:rsid w:val="62B23C0C"/>
    <w:rsid w:val="62CF5395"/>
    <w:rsid w:val="62DF451C"/>
    <w:rsid w:val="62E479F1"/>
    <w:rsid w:val="62E75E06"/>
    <w:rsid w:val="62E84015"/>
    <w:rsid w:val="62EE7FBB"/>
    <w:rsid w:val="630E3028"/>
    <w:rsid w:val="632743B5"/>
    <w:rsid w:val="6337726C"/>
    <w:rsid w:val="633D728E"/>
    <w:rsid w:val="634127A3"/>
    <w:rsid w:val="63575E31"/>
    <w:rsid w:val="63593384"/>
    <w:rsid w:val="636A08A2"/>
    <w:rsid w:val="636B2783"/>
    <w:rsid w:val="63777684"/>
    <w:rsid w:val="639022D0"/>
    <w:rsid w:val="63D1144F"/>
    <w:rsid w:val="63DA603A"/>
    <w:rsid w:val="63E83945"/>
    <w:rsid w:val="64066321"/>
    <w:rsid w:val="642F23C5"/>
    <w:rsid w:val="64427CA3"/>
    <w:rsid w:val="645C4ED7"/>
    <w:rsid w:val="6478062F"/>
    <w:rsid w:val="648C53B3"/>
    <w:rsid w:val="649E03FE"/>
    <w:rsid w:val="64A47D9C"/>
    <w:rsid w:val="64BE53A3"/>
    <w:rsid w:val="64D1763C"/>
    <w:rsid w:val="64DB4A0D"/>
    <w:rsid w:val="64F3490E"/>
    <w:rsid w:val="64F475D0"/>
    <w:rsid w:val="64FB09DF"/>
    <w:rsid w:val="6502028F"/>
    <w:rsid w:val="650A4E00"/>
    <w:rsid w:val="65123550"/>
    <w:rsid w:val="6517300B"/>
    <w:rsid w:val="651960B3"/>
    <w:rsid w:val="65267D7D"/>
    <w:rsid w:val="654C0271"/>
    <w:rsid w:val="654D1FDF"/>
    <w:rsid w:val="657140B6"/>
    <w:rsid w:val="65743936"/>
    <w:rsid w:val="657630EF"/>
    <w:rsid w:val="65AC593A"/>
    <w:rsid w:val="65AC6C55"/>
    <w:rsid w:val="65B0610E"/>
    <w:rsid w:val="65DA6CA5"/>
    <w:rsid w:val="65DE07B2"/>
    <w:rsid w:val="65EC496C"/>
    <w:rsid w:val="65F1000E"/>
    <w:rsid w:val="660B002C"/>
    <w:rsid w:val="66200283"/>
    <w:rsid w:val="663F542A"/>
    <w:rsid w:val="664A78EC"/>
    <w:rsid w:val="664C0DCF"/>
    <w:rsid w:val="66724724"/>
    <w:rsid w:val="6675797D"/>
    <w:rsid w:val="66BB5299"/>
    <w:rsid w:val="66C759D2"/>
    <w:rsid w:val="66C8550E"/>
    <w:rsid w:val="66CD4FB4"/>
    <w:rsid w:val="66E35836"/>
    <w:rsid w:val="670747EC"/>
    <w:rsid w:val="671743C8"/>
    <w:rsid w:val="67301B6F"/>
    <w:rsid w:val="67493059"/>
    <w:rsid w:val="675672BB"/>
    <w:rsid w:val="675D6959"/>
    <w:rsid w:val="676E3F0B"/>
    <w:rsid w:val="67722BEE"/>
    <w:rsid w:val="678A77BE"/>
    <w:rsid w:val="67A14CCC"/>
    <w:rsid w:val="67A84C8D"/>
    <w:rsid w:val="67B0630D"/>
    <w:rsid w:val="67B853CF"/>
    <w:rsid w:val="67C83087"/>
    <w:rsid w:val="67DF74D4"/>
    <w:rsid w:val="67F37CEC"/>
    <w:rsid w:val="680F66F8"/>
    <w:rsid w:val="6816723B"/>
    <w:rsid w:val="6827226A"/>
    <w:rsid w:val="682C2940"/>
    <w:rsid w:val="683E75F2"/>
    <w:rsid w:val="68467ABC"/>
    <w:rsid w:val="6865718C"/>
    <w:rsid w:val="68680574"/>
    <w:rsid w:val="689602F4"/>
    <w:rsid w:val="68C15FD1"/>
    <w:rsid w:val="690C66BC"/>
    <w:rsid w:val="691122AE"/>
    <w:rsid w:val="695406E0"/>
    <w:rsid w:val="695A6274"/>
    <w:rsid w:val="697D5D48"/>
    <w:rsid w:val="697F2809"/>
    <w:rsid w:val="698F17E8"/>
    <w:rsid w:val="6991028E"/>
    <w:rsid w:val="699A1E01"/>
    <w:rsid w:val="69A52777"/>
    <w:rsid w:val="69C0298F"/>
    <w:rsid w:val="69CA4BCF"/>
    <w:rsid w:val="6A020F97"/>
    <w:rsid w:val="6A082292"/>
    <w:rsid w:val="6A13208F"/>
    <w:rsid w:val="6A227444"/>
    <w:rsid w:val="6A3D1A13"/>
    <w:rsid w:val="6A4673F3"/>
    <w:rsid w:val="6A472C58"/>
    <w:rsid w:val="6A51156E"/>
    <w:rsid w:val="6A6F5DBB"/>
    <w:rsid w:val="6A9B7DD8"/>
    <w:rsid w:val="6AA46897"/>
    <w:rsid w:val="6AAA418C"/>
    <w:rsid w:val="6ABD3077"/>
    <w:rsid w:val="6AD505F2"/>
    <w:rsid w:val="6AED38B0"/>
    <w:rsid w:val="6AF066C5"/>
    <w:rsid w:val="6B0D2E6C"/>
    <w:rsid w:val="6B1A18CC"/>
    <w:rsid w:val="6B1E47C4"/>
    <w:rsid w:val="6B385F86"/>
    <w:rsid w:val="6B393D38"/>
    <w:rsid w:val="6B3C1ADE"/>
    <w:rsid w:val="6B442E5D"/>
    <w:rsid w:val="6B507B81"/>
    <w:rsid w:val="6B611003"/>
    <w:rsid w:val="6B6E6074"/>
    <w:rsid w:val="6B7A7584"/>
    <w:rsid w:val="6B9337AD"/>
    <w:rsid w:val="6B9D5759"/>
    <w:rsid w:val="6BBE7F33"/>
    <w:rsid w:val="6BBF2471"/>
    <w:rsid w:val="6BC3620B"/>
    <w:rsid w:val="6BDF7F28"/>
    <w:rsid w:val="6BE6057A"/>
    <w:rsid w:val="6C340198"/>
    <w:rsid w:val="6C3B455C"/>
    <w:rsid w:val="6C404726"/>
    <w:rsid w:val="6C465105"/>
    <w:rsid w:val="6C61108B"/>
    <w:rsid w:val="6C627E5D"/>
    <w:rsid w:val="6C6A7B7C"/>
    <w:rsid w:val="6C6B76E4"/>
    <w:rsid w:val="6CDB6D49"/>
    <w:rsid w:val="6CE31E95"/>
    <w:rsid w:val="6CEA2506"/>
    <w:rsid w:val="6CFA02EB"/>
    <w:rsid w:val="6D0A2DFE"/>
    <w:rsid w:val="6D146220"/>
    <w:rsid w:val="6D2C4A4E"/>
    <w:rsid w:val="6D2D541D"/>
    <w:rsid w:val="6D2F26CC"/>
    <w:rsid w:val="6D3839A0"/>
    <w:rsid w:val="6D5E05B4"/>
    <w:rsid w:val="6D6340C5"/>
    <w:rsid w:val="6D6D4857"/>
    <w:rsid w:val="6D8952C4"/>
    <w:rsid w:val="6D9466CD"/>
    <w:rsid w:val="6D984603"/>
    <w:rsid w:val="6D9A2ED9"/>
    <w:rsid w:val="6DAC05E0"/>
    <w:rsid w:val="6DAF0687"/>
    <w:rsid w:val="6DC3749A"/>
    <w:rsid w:val="6DD06048"/>
    <w:rsid w:val="6DE2571C"/>
    <w:rsid w:val="6DE27B17"/>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825173"/>
    <w:rsid w:val="6E935534"/>
    <w:rsid w:val="6E9B3CBB"/>
    <w:rsid w:val="6EBB33FE"/>
    <w:rsid w:val="6EC93DAF"/>
    <w:rsid w:val="6ED23C2E"/>
    <w:rsid w:val="6EE07773"/>
    <w:rsid w:val="6EF675F4"/>
    <w:rsid w:val="6EFF0393"/>
    <w:rsid w:val="6F224A9A"/>
    <w:rsid w:val="6F2D2520"/>
    <w:rsid w:val="6F43582A"/>
    <w:rsid w:val="6F4E6A62"/>
    <w:rsid w:val="6F51727C"/>
    <w:rsid w:val="6F891938"/>
    <w:rsid w:val="6F93722C"/>
    <w:rsid w:val="6F99791C"/>
    <w:rsid w:val="6FD35B04"/>
    <w:rsid w:val="6FDE5BAB"/>
    <w:rsid w:val="6FF036DD"/>
    <w:rsid w:val="7001053D"/>
    <w:rsid w:val="702919CF"/>
    <w:rsid w:val="70321169"/>
    <w:rsid w:val="703F56BE"/>
    <w:rsid w:val="70461870"/>
    <w:rsid w:val="70574C0E"/>
    <w:rsid w:val="7066163C"/>
    <w:rsid w:val="7075449A"/>
    <w:rsid w:val="70957F22"/>
    <w:rsid w:val="70B42564"/>
    <w:rsid w:val="70CA434A"/>
    <w:rsid w:val="70D464A7"/>
    <w:rsid w:val="70D727DD"/>
    <w:rsid w:val="70DF51FC"/>
    <w:rsid w:val="70EF0410"/>
    <w:rsid w:val="70F11914"/>
    <w:rsid w:val="70F62BCC"/>
    <w:rsid w:val="70F71484"/>
    <w:rsid w:val="70FF136C"/>
    <w:rsid w:val="710010D9"/>
    <w:rsid w:val="71013CFA"/>
    <w:rsid w:val="711112DF"/>
    <w:rsid w:val="711F132C"/>
    <w:rsid w:val="7134426B"/>
    <w:rsid w:val="714A7EE7"/>
    <w:rsid w:val="716A1FBB"/>
    <w:rsid w:val="716E32F1"/>
    <w:rsid w:val="718772EB"/>
    <w:rsid w:val="718D7630"/>
    <w:rsid w:val="718F3C14"/>
    <w:rsid w:val="71910A05"/>
    <w:rsid w:val="71BF767B"/>
    <w:rsid w:val="71CE63D4"/>
    <w:rsid w:val="71D22D28"/>
    <w:rsid w:val="71D671D6"/>
    <w:rsid w:val="71E03E7D"/>
    <w:rsid w:val="71E12F48"/>
    <w:rsid w:val="71E44647"/>
    <w:rsid w:val="72290171"/>
    <w:rsid w:val="722A607A"/>
    <w:rsid w:val="724F4046"/>
    <w:rsid w:val="72730BC3"/>
    <w:rsid w:val="729749D4"/>
    <w:rsid w:val="72AE0C4A"/>
    <w:rsid w:val="72B375A2"/>
    <w:rsid w:val="72C0586E"/>
    <w:rsid w:val="72D04FBB"/>
    <w:rsid w:val="72F8181C"/>
    <w:rsid w:val="72FE0D2A"/>
    <w:rsid w:val="73163B23"/>
    <w:rsid w:val="731B3260"/>
    <w:rsid w:val="7334225F"/>
    <w:rsid w:val="734D438E"/>
    <w:rsid w:val="734E4B79"/>
    <w:rsid w:val="735C1BCC"/>
    <w:rsid w:val="735C2A7D"/>
    <w:rsid w:val="736F5EC2"/>
    <w:rsid w:val="73761D4B"/>
    <w:rsid w:val="737C5956"/>
    <w:rsid w:val="7382006E"/>
    <w:rsid w:val="73845FEE"/>
    <w:rsid w:val="73A91A87"/>
    <w:rsid w:val="73B10B9E"/>
    <w:rsid w:val="73E349D9"/>
    <w:rsid w:val="73F36DD0"/>
    <w:rsid w:val="74105E85"/>
    <w:rsid w:val="74186CF5"/>
    <w:rsid w:val="74280B5A"/>
    <w:rsid w:val="743E01B2"/>
    <w:rsid w:val="74492D05"/>
    <w:rsid w:val="745768E1"/>
    <w:rsid w:val="745A231B"/>
    <w:rsid w:val="74611604"/>
    <w:rsid w:val="74616FA7"/>
    <w:rsid w:val="747B74C6"/>
    <w:rsid w:val="74A244E1"/>
    <w:rsid w:val="74A93E82"/>
    <w:rsid w:val="74BD73CE"/>
    <w:rsid w:val="74BF628F"/>
    <w:rsid w:val="74CF24EA"/>
    <w:rsid w:val="74DF64DD"/>
    <w:rsid w:val="75017DB1"/>
    <w:rsid w:val="75044D2B"/>
    <w:rsid w:val="751A26FA"/>
    <w:rsid w:val="751A6AA1"/>
    <w:rsid w:val="751B5142"/>
    <w:rsid w:val="7526066C"/>
    <w:rsid w:val="753A2E76"/>
    <w:rsid w:val="75437EB4"/>
    <w:rsid w:val="75611536"/>
    <w:rsid w:val="757C338F"/>
    <w:rsid w:val="75906F35"/>
    <w:rsid w:val="75DB58CF"/>
    <w:rsid w:val="75EE0A32"/>
    <w:rsid w:val="75F61D4B"/>
    <w:rsid w:val="760714CE"/>
    <w:rsid w:val="76191871"/>
    <w:rsid w:val="76235D28"/>
    <w:rsid w:val="76290E42"/>
    <w:rsid w:val="763C49A2"/>
    <w:rsid w:val="764B4E40"/>
    <w:rsid w:val="767E55CF"/>
    <w:rsid w:val="76913910"/>
    <w:rsid w:val="7692221F"/>
    <w:rsid w:val="76944F51"/>
    <w:rsid w:val="76951C2D"/>
    <w:rsid w:val="76976122"/>
    <w:rsid w:val="769B4F81"/>
    <w:rsid w:val="76A50F7A"/>
    <w:rsid w:val="76B64AD8"/>
    <w:rsid w:val="76E621C3"/>
    <w:rsid w:val="76F81151"/>
    <w:rsid w:val="77395144"/>
    <w:rsid w:val="77417882"/>
    <w:rsid w:val="77616036"/>
    <w:rsid w:val="778E761C"/>
    <w:rsid w:val="77916499"/>
    <w:rsid w:val="77A96C0F"/>
    <w:rsid w:val="77AB3782"/>
    <w:rsid w:val="77C16D8A"/>
    <w:rsid w:val="77D31D57"/>
    <w:rsid w:val="77D53B7E"/>
    <w:rsid w:val="77E0692E"/>
    <w:rsid w:val="77F07BA5"/>
    <w:rsid w:val="77F35B67"/>
    <w:rsid w:val="78080864"/>
    <w:rsid w:val="780A05C0"/>
    <w:rsid w:val="78276BEA"/>
    <w:rsid w:val="78337AD6"/>
    <w:rsid w:val="783A2BBF"/>
    <w:rsid w:val="784B4388"/>
    <w:rsid w:val="7875031B"/>
    <w:rsid w:val="78840773"/>
    <w:rsid w:val="788A5245"/>
    <w:rsid w:val="78990D40"/>
    <w:rsid w:val="78B47DF0"/>
    <w:rsid w:val="78BD7CCE"/>
    <w:rsid w:val="78BF75CB"/>
    <w:rsid w:val="78C01776"/>
    <w:rsid w:val="78C0654C"/>
    <w:rsid w:val="78C748FE"/>
    <w:rsid w:val="78CF03ED"/>
    <w:rsid w:val="78D808F3"/>
    <w:rsid w:val="78D9272A"/>
    <w:rsid w:val="78E63BF6"/>
    <w:rsid w:val="78F61FAE"/>
    <w:rsid w:val="78FF12E8"/>
    <w:rsid w:val="791B1828"/>
    <w:rsid w:val="792A6FFF"/>
    <w:rsid w:val="792B2AD0"/>
    <w:rsid w:val="79330898"/>
    <w:rsid w:val="79362295"/>
    <w:rsid w:val="7946391D"/>
    <w:rsid w:val="796D406D"/>
    <w:rsid w:val="79717EC3"/>
    <w:rsid w:val="79760722"/>
    <w:rsid w:val="79A15A0C"/>
    <w:rsid w:val="79A278DB"/>
    <w:rsid w:val="79A32C7B"/>
    <w:rsid w:val="79A41C89"/>
    <w:rsid w:val="79A81FAE"/>
    <w:rsid w:val="79AC0891"/>
    <w:rsid w:val="79AC45E0"/>
    <w:rsid w:val="79AC4D82"/>
    <w:rsid w:val="79D336E1"/>
    <w:rsid w:val="79D9115C"/>
    <w:rsid w:val="79E97912"/>
    <w:rsid w:val="79FB0742"/>
    <w:rsid w:val="7A0213AE"/>
    <w:rsid w:val="7A0B0004"/>
    <w:rsid w:val="7A172839"/>
    <w:rsid w:val="7A306A90"/>
    <w:rsid w:val="7A8909C8"/>
    <w:rsid w:val="7A890A65"/>
    <w:rsid w:val="7A8F26A7"/>
    <w:rsid w:val="7A925C99"/>
    <w:rsid w:val="7A9961D7"/>
    <w:rsid w:val="7A9C34D6"/>
    <w:rsid w:val="7AAC76B9"/>
    <w:rsid w:val="7ABF51CD"/>
    <w:rsid w:val="7AE12202"/>
    <w:rsid w:val="7B022F10"/>
    <w:rsid w:val="7B0D2F9A"/>
    <w:rsid w:val="7B234D31"/>
    <w:rsid w:val="7B3B125D"/>
    <w:rsid w:val="7B3F013E"/>
    <w:rsid w:val="7B43183F"/>
    <w:rsid w:val="7B5226BF"/>
    <w:rsid w:val="7B590B76"/>
    <w:rsid w:val="7B6139F0"/>
    <w:rsid w:val="7B873792"/>
    <w:rsid w:val="7B8B5F71"/>
    <w:rsid w:val="7BAD2CDB"/>
    <w:rsid w:val="7BB14D15"/>
    <w:rsid w:val="7BD9713D"/>
    <w:rsid w:val="7BFB2649"/>
    <w:rsid w:val="7C02600A"/>
    <w:rsid w:val="7C153412"/>
    <w:rsid w:val="7C195509"/>
    <w:rsid w:val="7C400E30"/>
    <w:rsid w:val="7C511DFE"/>
    <w:rsid w:val="7C593EAE"/>
    <w:rsid w:val="7C8860C7"/>
    <w:rsid w:val="7C902283"/>
    <w:rsid w:val="7CBE0892"/>
    <w:rsid w:val="7CE55FBE"/>
    <w:rsid w:val="7CE80B33"/>
    <w:rsid w:val="7D134E44"/>
    <w:rsid w:val="7D171DDD"/>
    <w:rsid w:val="7D2A2F5A"/>
    <w:rsid w:val="7D3903EF"/>
    <w:rsid w:val="7D3F16EC"/>
    <w:rsid w:val="7D4679B5"/>
    <w:rsid w:val="7D5167D6"/>
    <w:rsid w:val="7D5E31AA"/>
    <w:rsid w:val="7D611DF2"/>
    <w:rsid w:val="7D6502C0"/>
    <w:rsid w:val="7D7C35F3"/>
    <w:rsid w:val="7D8B55FE"/>
    <w:rsid w:val="7D8D4931"/>
    <w:rsid w:val="7DAB1DCD"/>
    <w:rsid w:val="7DC3440A"/>
    <w:rsid w:val="7DDA027D"/>
    <w:rsid w:val="7DE201AC"/>
    <w:rsid w:val="7DE46520"/>
    <w:rsid w:val="7DF65060"/>
    <w:rsid w:val="7DFF0BB5"/>
    <w:rsid w:val="7E0702D8"/>
    <w:rsid w:val="7E1A1248"/>
    <w:rsid w:val="7E312E27"/>
    <w:rsid w:val="7E4013C8"/>
    <w:rsid w:val="7E611873"/>
    <w:rsid w:val="7E722E15"/>
    <w:rsid w:val="7E83663A"/>
    <w:rsid w:val="7E846634"/>
    <w:rsid w:val="7E8D2601"/>
    <w:rsid w:val="7EB31AB8"/>
    <w:rsid w:val="7EBB77C0"/>
    <w:rsid w:val="7EBC71FA"/>
    <w:rsid w:val="7ECB3119"/>
    <w:rsid w:val="7ED118F1"/>
    <w:rsid w:val="7ED3266C"/>
    <w:rsid w:val="7EEA70CD"/>
    <w:rsid w:val="7EEE218F"/>
    <w:rsid w:val="7EEE6B7F"/>
    <w:rsid w:val="7EF4144E"/>
    <w:rsid w:val="7EF71EEB"/>
    <w:rsid w:val="7EF7261F"/>
    <w:rsid w:val="7F15145C"/>
    <w:rsid w:val="7F18573F"/>
    <w:rsid w:val="7F3A7824"/>
    <w:rsid w:val="7F4360B6"/>
    <w:rsid w:val="7F46795F"/>
    <w:rsid w:val="7F4D7148"/>
    <w:rsid w:val="7F577569"/>
    <w:rsid w:val="7F627193"/>
    <w:rsid w:val="7FBC7702"/>
    <w:rsid w:val="7FDB6025"/>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114</TotalTime>
  <ScaleCrop>false</ScaleCrop>
  <LinksUpToDate>false</LinksUpToDate>
  <CharactersWithSpaces>31608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zhaobiao</cp:lastModifiedBy>
  <cp:lastPrinted>2019-10-15T06:02:00Z</cp:lastPrinted>
  <dcterms:modified xsi:type="dcterms:W3CDTF">2019-10-16T06:26:23Z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