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75pt;width:87.7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hint="eastAsia" w:ascii="宋体" w:hAnsi="宋体" w:eastAsia="宋体" w:cs="宋体"/>
          <w:b/>
          <w:sz w:val="72"/>
          <w:szCs w:val="32"/>
          <w:highlight w:val="none"/>
          <w:lang w:eastAsia="zh-CN"/>
        </w:rPr>
      </w:pPr>
      <w:r>
        <w:rPr>
          <w:rFonts w:hint="eastAsia" w:ascii="宋体" w:hAnsi="宋体" w:cs="宋体"/>
          <w:b/>
          <w:sz w:val="40"/>
          <w:szCs w:val="32"/>
          <w:highlight w:val="none"/>
        </w:rPr>
        <w:t>山东大学第二医院</w:t>
      </w:r>
      <w:r>
        <w:rPr>
          <w:rFonts w:hint="eastAsia" w:ascii="宋体" w:hAnsi="宋体" w:cs="宋体"/>
          <w:b/>
          <w:sz w:val="40"/>
          <w:szCs w:val="32"/>
          <w:highlight w:val="none"/>
          <w:lang w:eastAsia="zh-CN"/>
        </w:rPr>
        <w:t>互联互通标准化改造项目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rPr>
          <w:rFonts w:eastAsia="华文中宋"/>
          <w:b/>
          <w:sz w:val="52"/>
          <w:highlight w:val="none"/>
        </w:rPr>
      </w:pPr>
    </w:p>
    <w:p>
      <w:pPr>
        <w:tabs>
          <w:tab w:val="left" w:pos="1134"/>
          <w:tab w:val="left" w:pos="5481"/>
          <w:tab w:val="left" w:pos="5859"/>
        </w:tabs>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eastAsia="宋体"/>
          <w:b/>
          <w:sz w:val="32"/>
          <w:highlight w:val="none"/>
          <w:lang w:eastAsia="zh-CN"/>
        </w:rPr>
      </w:pPr>
      <w:r>
        <w:rPr>
          <w:rFonts w:hint="eastAsia" w:ascii="宋体" w:hAnsi="宋体"/>
          <w:b/>
          <w:sz w:val="32"/>
          <w:highlight w:val="none"/>
        </w:rPr>
        <w:t xml:space="preserve">         招标编号：</w:t>
      </w:r>
      <w:r>
        <w:rPr>
          <w:rFonts w:hint="eastAsia" w:ascii="宋体" w:hAnsi="宋体"/>
          <w:b/>
          <w:sz w:val="32"/>
          <w:highlight w:val="none"/>
          <w:lang w:eastAsia="zh-CN"/>
        </w:rPr>
        <w:t>0676-196010ZB018044</w:t>
      </w:r>
    </w:p>
    <w:p>
      <w:pPr>
        <w:spacing w:line="480" w:lineRule="auto"/>
        <w:rPr>
          <w:rFonts w:eastAsia="黑体"/>
          <w:b/>
          <w:sz w:val="32"/>
          <w:highlight w:val="none"/>
        </w:rPr>
      </w:pPr>
      <w:r>
        <w:rPr>
          <w:rFonts w:hint="eastAsia" w:ascii="宋体" w:hAnsi="宋体"/>
          <w:b/>
          <w:sz w:val="32"/>
          <w:highlight w:val="none"/>
        </w:rPr>
        <w:t xml:space="preserve">         招标内容：互联互通标准化改造</w:t>
      </w: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十一</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start="0"/>
          <w:cols w:space="0" w:num="1"/>
          <w:titlePg/>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bookmarkStart w:id="210" w:name="_GoBack"/>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rPr>
        <w:t>2</w:t>
      </w:r>
      <w:r>
        <w:rPr>
          <w:rFonts w:hint="eastAsia"/>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3</w:t>
      </w:r>
      <w:r>
        <w:rPr>
          <w:sz w:val="24"/>
          <w:szCs w:val="22"/>
          <w:highlight w:val="none"/>
        </w:rPr>
        <w:fldChar w:fldCharType="end"/>
      </w:r>
      <w:r>
        <w:rPr>
          <w:rFonts w:hint="eastAsia"/>
          <w:sz w:val="24"/>
          <w:szCs w:val="22"/>
          <w:highlight w:val="none"/>
          <w:lang w:val="en-US" w:eastAsia="zh-CN"/>
        </w:rPr>
        <w:t>5</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42</w:t>
      </w:r>
      <w:r>
        <w:rPr>
          <w:sz w:val="24"/>
          <w:szCs w:val="22"/>
          <w:highlight w:val="none"/>
        </w:rPr>
        <w:fldChar w:fldCharType="end"/>
      </w:r>
      <w:r>
        <w:rPr>
          <w:sz w:val="24"/>
          <w:szCs w:val="22"/>
          <w:highlight w:val="none"/>
        </w:rPr>
        <w:fldChar w:fldCharType="end"/>
      </w:r>
      <w:bookmarkEnd w:id="210"/>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numPr>
          <w:ilvl w:val="0"/>
          <w:numId w:val="1"/>
        </w:numPr>
        <w:spacing w:line="360" w:lineRule="auto"/>
        <w:jc w:val="center"/>
        <w:rPr>
          <w:rFonts w:hint="eastAsia" w:ascii="宋体" w:hAnsi="宋体"/>
          <w:b/>
          <w:sz w:val="36"/>
          <w:highlight w:val="none"/>
        </w:rPr>
      </w:pPr>
      <w:r>
        <w:rPr>
          <w:rFonts w:ascii="宋体"/>
          <w:bCs/>
          <w:highlight w:val="none"/>
        </w:rPr>
        <w:br w:type="page"/>
      </w:r>
      <w:bookmarkStart w:id="0" w:name="_Toc15243"/>
      <w:r>
        <w:rPr>
          <w:rFonts w:hint="eastAsia" w:ascii="宋体" w:hAnsi="宋体"/>
          <w:b/>
          <w:sz w:val="36"/>
          <w:highlight w:val="none"/>
        </w:rPr>
        <w:t xml:space="preserve">  招标公告</w:t>
      </w:r>
    </w:p>
    <w:p>
      <w:pPr>
        <w:pStyle w:val="19"/>
        <w:numPr>
          <w:ilvl w:val="0"/>
          <w:numId w:val="0"/>
        </w:numPr>
        <w:spacing w:line="360" w:lineRule="auto"/>
        <w:jc w:val="both"/>
        <w:rPr>
          <w:rFonts w:hint="eastAsia" w:ascii="宋体" w:hAnsi="宋体"/>
          <w:b/>
          <w:sz w:val="36"/>
          <w:highlight w:val="none"/>
        </w:rPr>
      </w:pP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联系方式：0531-83191865/83191895</w:t>
      </w:r>
    </w:p>
    <w:p>
      <w:pPr>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w:t>
      </w:r>
      <w:r>
        <w:rPr>
          <w:rFonts w:hint="eastAsia" w:ascii="宋体" w:hAnsi="宋体" w:cs="宋体"/>
          <w:sz w:val="24"/>
          <w:highlight w:val="none"/>
          <w:lang w:eastAsia="zh-CN"/>
        </w:rPr>
        <w:t>互联互通标准化改造项目</w:t>
      </w:r>
    </w:p>
    <w:p>
      <w:pPr>
        <w:adjustRightInd w:val="0"/>
        <w:snapToGrid w:val="0"/>
        <w:spacing w:line="360" w:lineRule="auto"/>
        <w:rPr>
          <w:rFonts w:hint="eastAsia" w:ascii="宋体" w:hAns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0676-196010ZB018044</w:t>
      </w:r>
    </w:p>
    <w:p>
      <w:pPr>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w:t>
      </w:r>
      <w:r>
        <w:rPr>
          <w:rFonts w:hint="eastAsia" w:ascii="宋体" w:hAnsi="宋体" w:cs="宋体"/>
          <w:sz w:val="24"/>
          <w:highlight w:val="none"/>
          <w:lang w:eastAsia="zh-CN"/>
        </w:rPr>
        <w:t>互联互通标准化改造项目</w:t>
      </w:r>
      <w:r>
        <w:rPr>
          <w:rFonts w:hint="eastAsia" w:ascii="宋体" w:hAnsi="宋体" w:cs="宋体"/>
          <w:sz w:val="24"/>
          <w:highlight w:val="none"/>
        </w:rPr>
        <w:t>，具体技术要求详见招标文件，共分1个包，分包情况如下：</w:t>
      </w:r>
    </w:p>
    <w:tbl>
      <w:tblPr>
        <w:tblStyle w:val="49"/>
        <w:tblW w:w="9442" w:type="dxa"/>
        <w:jc w:val="center"/>
        <w:tblLayout w:type="fixed"/>
        <w:tblCellMar>
          <w:top w:w="0" w:type="dxa"/>
          <w:left w:w="15" w:type="dxa"/>
          <w:bottom w:w="0" w:type="dxa"/>
          <w:right w:w="15" w:type="dxa"/>
        </w:tblCellMar>
      </w:tblPr>
      <w:tblGrid>
        <w:gridCol w:w="2653"/>
        <w:gridCol w:w="2432"/>
        <w:gridCol w:w="2140"/>
        <w:gridCol w:w="2217"/>
      </w:tblGrid>
      <w:tr>
        <w:tblPrEx>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招标内容</w:t>
            </w:r>
          </w:p>
        </w:tc>
        <w:tc>
          <w:tcPr>
            <w:tcW w:w="243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使用科室</w:t>
            </w: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s="宋体"/>
                <w:sz w:val="24"/>
                <w:highlight w:val="none"/>
                <w:lang w:eastAsia="zh-CN"/>
              </w:rPr>
              <w:t>互联互通标准化改造</w:t>
            </w:r>
          </w:p>
        </w:tc>
        <w:tc>
          <w:tcPr>
            <w:tcW w:w="243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cs="宋体"/>
                <w:color w:val="000000"/>
                <w:kern w:val="0"/>
                <w:sz w:val="24"/>
                <w:highlight w:val="none"/>
              </w:rPr>
            </w:pPr>
            <w:r>
              <w:rPr>
                <w:rFonts w:hint="eastAsia" w:ascii="宋体" w:cs="宋体"/>
                <w:color w:val="000000"/>
                <w:kern w:val="0"/>
                <w:sz w:val="24"/>
                <w:highlight w:val="none"/>
              </w:rPr>
              <w:t xml:space="preserve">全院 </w:t>
            </w: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200</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符合《中华人民共和国政府采购法》第二十二条规定的软件供应商；</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autoSpaceDN w:val="0"/>
        <w:adjustRightInd w:val="0"/>
        <w:snapToGrid w:val="0"/>
        <w:spacing w:line="360" w:lineRule="auto"/>
        <w:jc w:val="left"/>
        <w:textAlignment w:val="center"/>
        <w:rPr>
          <w:rFonts w:ascii="Tahoma"/>
          <w:b/>
          <w:color w:val="393939"/>
          <w:sz w:val="24"/>
          <w:highlight w:val="none"/>
          <w:shd w:val="clear" w:color="auto" w:fill="FFFFFF"/>
        </w:rPr>
      </w:pPr>
      <w:r>
        <w:rPr>
          <w:rFonts w:hint="eastAsia" w:ascii="宋体" w:hAnsi="宋体"/>
          <w:color w:val="000000"/>
          <w:sz w:val="24"/>
          <w:highlight w:val="none"/>
          <w:lang w:val="en-US" w:eastAsia="zh-CN"/>
        </w:rPr>
        <w:t>6.5</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rPr>
        <w:t>7、</w:t>
      </w:r>
      <w:r>
        <w:rPr>
          <w:rFonts w:hint="eastAsia" w:ascii="宋体" w:hAnsi="宋体" w:cs="宋体"/>
          <w:b/>
          <w:sz w:val="24"/>
          <w:highlight w:val="none"/>
        </w:rPr>
        <w:t>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rPr>
        <w:t xml:space="preserve"> </w:t>
      </w:r>
      <w:r>
        <w:rPr>
          <w:rFonts w:hint="eastAsia" w:ascii="宋体" w:hAnsi="宋体" w:cs="宋体"/>
          <w:bCs/>
          <w:kern w:val="0"/>
          <w:sz w:val="24"/>
          <w:highlight w:val="none"/>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时（北京时间，下同），持下列资料到山东省鲁成招标有限公司2407室（济南市经十路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lang w:val="en-US" w:eastAsia="zh-CN"/>
        </w:rPr>
        <w:t>2018</w:t>
      </w:r>
      <w:r>
        <w:rPr>
          <w:rFonts w:hint="eastAsia" w:ascii="宋体" w:hAnsi="宋体"/>
          <w:color w:val="000000"/>
          <w:sz w:val="24"/>
          <w:highlight w:val="none"/>
        </w:rPr>
        <w:t>年</w:t>
      </w:r>
      <w:r>
        <w:rPr>
          <w:rFonts w:hint="eastAsia" w:ascii="宋体" w:hAnsi="宋体"/>
          <w:color w:val="000000"/>
          <w:sz w:val="24"/>
          <w:highlight w:val="none"/>
          <w:lang w:eastAsia="zh-CN"/>
        </w:rPr>
        <w:t>度</w:t>
      </w:r>
      <w:r>
        <w:rPr>
          <w:rFonts w:hint="eastAsia" w:ascii="宋体" w:hAnsi="宋体"/>
          <w:color w:val="000000"/>
          <w:sz w:val="24"/>
          <w:highlight w:val="none"/>
        </w:rPr>
        <w:t>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autoSpaceDN w:val="0"/>
        <w:adjustRightInd w:val="0"/>
        <w:snapToGrid w:val="0"/>
        <w:spacing w:line="360" w:lineRule="auto"/>
        <w:ind w:firstLine="480"/>
        <w:jc w:val="left"/>
        <w:textAlignment w:val="center"/>
        <w:rPr>
          <w:rFonts w:ascii="宋体" w:hAnsi="宋体"/>
          <w:color w:val="000000"/>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adjustRightInd w:val="0"/>
        <w:snapToGrid w:val="0"/>
        <w:spacing w:line="360" w:lineRule="auto"/>
        <w:rPr>
          <w:rFonts w:ascii="宋体" w:hAnsi="宋体"/>
          <w:color w:val="000000"/>
          <w:sz w:val="24"/>
          <w:highlight w:val="none"/>
        </w:rPr>
      </w:pPr>
      <w:r>
        <w:rPr>
          <w:rFonts w:hint="eastAsia" w:ascii="宋体" w:hAnsi="宋体" w:cs="宋体"/>
          <w:b/>
          <w:sz w:val="24"/>
          <w:highlight w:val="none"/>
        </w:rPr>
        <w:t>8、公告期限：</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日（不含节假日）</w:t>
      </w:r>
    </w:p>
    <w:p>
      <w:pPr>
        <w:adjustRightInd w:val="0"/>
        <w:snapToGrid w:val="0"/>
        <w:spacing w:line="360" w:lineRule="auto"/>
        <w:rPr>
          <w:rFonts w:ascii="宋体" w:cs="宋体"/>
          <w:b/>
          <w:sz w:val="24"/>
          <w:highlight w:val="none"/>
        </w:rPr>
      </w:pPr>
      <w:r>
        <w:rPr>
          <w:rFonts w:hint="eastAsia" w:ascii="宋体" w:hAnsi="宋体" w:cs="宋体"/>
          <w:b/>
          <w:sz w:val="24"/>
          <w:highlight w:val="none"/>
        </w:rPr>
        <w:t>9、投标文件递交截止时间及开标时间：</w:t>
      </w:r>
    </w:p>
    <w:p>
      <w:pPr>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投标文件递交地点及开标地点：</w:t>
      </w:r>
      <w:bookmarkStart w:id="1" w:name="OLE_LINK1"/>
      <w:bookmarkStart w:id="2" w:name="OLE_LINK2"/>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rPr>
        <w:t>（如需变更另行通知）；</w:t>
      </w:r>
    </w:p>
    <w:p>
      <w:pPr>
        <w:widowControl/>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widowControl/>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widowControl/>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widowControl/>
        <w:adjustRightInd w:val="0"/>
        <w:snapToGrid w:val="0"/>
        <w:spacing w:line="360" w:lineRule="auto"/>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widowControl/>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rPr>
        <w:t>2、联系方式</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联系人：褚桐、李文华</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rPr>
        <w:t>83191895</w:t>
      </w:r>
    </w:p>
    <w:p>
      <w:pPr>
        <w:pStyle w:val="20"/>
        <w:tabs>
          <w:tab w:val="left" w:pos="0"/>
        </w:tabs>
        <w:spacing w:line="240" w:lineRule="auto"/>
        <w:ind w:left="0" w:leftChars="0" w:firstLine="0" w:firstLineChars="0"/>
        <w:jc w:val="center"/>
        <w:outlineLvl w:val="0"/>
        <w:rPr>
          <w:rFonts w:ascii="宋体" w:cs="宋体"/>
          <w:highlight w:val="none"/>
        </w:rPr>
      </w:pPr>
      <w:r>
        <w:rPr>
          <w:rFonts w:ascii="宋体" w:hAnsi="宋体"/>
          <w:color w:val="000000"/>
          <w:sz w:val="24"/>
          <w:highlight w:val="none"/>
        </w:rPr>
        <w:t xml:space="preserve">                      </w:t>
      </w:r>
      <w:r>
        <w:rPr>
          <w:rFonts w:ascii="宋体" w:hAnsi="宋体"/>
          <w:color w:val="000000"/>
          <w:highlight w:val="none"/>
        </w:rPr>
        <w:t xml:space="preserve"> </w:t>
      </w:r>
      <w:r>
        <w:rPr>
          <w:rFonts w:hint="eastAsia" w:ascii="宋体" w:hAnsi="宋体"/>
          <w:color w:val="000000"/>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highlight w:val="none"/>
        </w:rPr>
        <w:t>lczb08@126.com</w:t>
      </w:r>
      <w:r>
        <w:rPr>
          <w:rFonts w:ascii="宋体" w:hAnsi="宋体"/>
          <w:color w:val="000000"/>
          <w:highlight w:val="none"/>
        </w:rPr>
        <w:fldChar w:fldCharType="end"/>
      </w: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1284"/>
      <w:bookmarkStart w:id="4" w:name="_Toc243041162"/>
      <w:r>
        <w:rPr>
          <w:rFonts w:hint="eastAsia"/>
          <w:highlight w:val="none"/>
        </w:rPr>
        <w:t>投标人须知前附表</w:t>
      </w:r>
      <w:bookmarkEnd w:id="3"/>
      <w:bookmarkEnd w:id="4"/>
    </w:p>
    <w:tbl>
      <w:tblPr>
        <w:tblStyle w:val="4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项目名称：山东大学第二医院互联互通标准化改造项目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项目编号：0676-196010ZB018044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本项目为山东大学第二医院互联互通标准化改造项目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：200</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符合《中华人民共和国政府采购法》第二十二条规定的软件供应商；</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eastAsia="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合同生效后15个工作日内，甲方支付乙方合同额的10%。乙方先向甲方开具相同金额的发票。验收合格后1月内，甲方支付乙方合同额的80%，系统运行验收合格1年后，无服务和质量问题，在1个月内支付合同额的10%。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bCs/>
                <w:sz w:val="24"/>
                <w:highlight w:val="none"/>
              </w:rPr>
              <w:t>交付期</w:t>
            </w:r>
          </w:p>
        </w:tc>
        <w:tc>
          <w:tcPr>
            <w:tcW w:w="6569" w:type="dxa"/>
            <w:vAlign w:val="center"/>
          </w:tcPr>
          <w:p>
            <w:pPr>
              <w:pStyle w:val="111"/>
              <w:snapToGrid w:val="0"/>
              <w:spacing w:line="360" w:lineRule="auto"/>
              <w:jc w:val="left"/>
              <w:rPr>
                <w:rFonts w:hint="default" w:ascii="宋体" w:hAnsi="宋体" w:eastAsia="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3</w:t>
            </w:r>
            <w:r>
              <w:rPr>
                <w:rFonts w:hint="eastAsia" w:ascii="宋体" w:hAnsi="宋体" w:eastAsia="宋体" w:cs="宋体"/>
                <w:color w:val="000000"/>
                <w:spacing w:val="7"/>
                <w:sz w:val="24"/>
                <w:highlight w:val="none"/>
                <w:lang w:eastAsia="zh-CN"/>
              </w:rPr>
              <w:t>个月</w:t>
            </w:r>
            <w:r>
              <w:rPr>
                <w:rFonts w:hint="eastAsia" w:ascii="宋体" w:hAnsi="宋体" w:cs="宋体"/>
                <w:color w:val="000000"/>
                <w:spacing w:val="7"/>
                <w:sz w:val="24"/>
                <w:highlight w:val="none"/>
                <w:lang w:eastAsia="zh-CN"/>
              </w:rPr>
              <w:t>，</w:t>
            </w:r>
            <w:r>
              <w:rPr>
                <w:rFonts w:hint="eastAsia" w:ascii="宋体" w:hAnsi="宋体" w:cs="宋体"/>
                <w:color w:val="000000"/>
                <w:spacing w:val="7"/>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质保期</w:t>
            </w:r>
          </w:p>
        </w:tc>
        <w:tc>
          <w:tcPr>
            <w:tcW w:w="6569" w:type="dxa"/>
            <w:vAlign w:val="center"/>
          </w:tcPr>
          <w:p>
            <w:pPr>
              <w:pStyle w:val="111"/>
              <w:snapToGrid w:val="0"/>
              <w:spacing w:line="360" w:lineRule="auto"/>
              <w:jc w:val="left"/>
              <w:rPr>
                <w:rFonts w:hint="eastAsia" w:ascii="宋体" w:hAnsi="宋体" w:eastAsia="宋体" w:cs="宋体"/>
                <w:color w:val="000000"/>
                <w:spacing w:val="7"/>
                <w:sz w:val="24"/>
                <w:highlight w:val="none"/>
                <w:lang w:eastAsia="zh-CN"/>
              </w:rPr>
            </w:pPr>
            <w:r>
              <w:rPr>
                <w:rFonts w:hint="eastAsia" w:ascii="宋体" w:hAnsi="宋体" w:cs="宋体"/>
                <w:color w:val="000000"/>
                <w:spacing w:val="7"/>
                <w:sz w:val="24"/>
                <w:highlight w:val="none"/>
                <w:lang w:val="en-US" w:eastAsia="zh-CN"/>
              </w:rPr>
              <w:t>不低于</w:t>
            </w:r>
            <w:r>
              <w:rPr>
                <w:rFonts w:hint="eastAsia" w:ascii="宋体" w:hAnsi="宋体" w:eastAsia="宋体" w:cs="宋体"/>
                <w:color w:val="000000"/>
                <w:spacing w:val="7"/>
                <w:sz w:val="24"/>
                <w:highlight w:val="none"/>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spacing w:val="7"/>
                <w:sz w:val="24"/>
                <w:highlight w:val="none"/>
                <w:lang w:eastAsia="zh-CN"/>
              </w:rPr>
              <w:t>（</w:t>
            </w:r>
            <w:r>
              <w:rPr>
                <w:rFonts w:hint="eastAsia" w:ascii="宋体" w:hAnsi="宋体" w:cs="宋体"/>
                <w:b/>
                <w:spacing w:val="7"/>
                <w:sz w:val="24"/>
                <w:highlight w:val="none"/>
                <w:lang w:val="en-US" w:eastAsia="zh-CN"/>
              </w:rPr>
              <w:t>U</w:t>
            </w:r>
            <w:r>
              <w:rPr>
                <w:rFonts w:hint="eastAsia" w:ascii="宋体" w:hAnsi="宋体" w:cs="宋体"/>
                <w:b/>
                <w:spacing w:val="7"/>
                <w:sz w:val="24"/>
                <w:highlight w:val="none"/>
                <w:lang w:eastAsia="zh-CN"/>
              </w:rPr>
              <w:t>盘</w:t>
            </w:r>
            <w:r>
              <w:rPr>
                <w:rFonts w:hint="eastAsia" w:ascii="宋体" w:hAnsi="宋体" w:cs="宋体"/>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17</w:t>
            </w:r>
          </w:p>
        </w:tc>
        <w:tc>
          <w:tcPr>
            <w:tcW w:w="2432" w:type="dxa"/>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现场勘察</w:t>
            </w:r>
          </w:p>
        </w:tc>
        <w:tc>
          <w:tcPr>
            <w:tcW w:w="6569" w:type="dxa"/>
            <w:vAlign w:val="center"/>
          </w:tcPr>
          <w:p>
            <w:pPr>
              <w:pStyle w:val="134"/>
              <w:numPr>
                <w:ilvl w:val="0"/>
                <w:numId w:val="0"/>
              </w:numPr>
              <w:spacing w:line="360" w:lineRule="auto"/>
              <w:ind w:leftChars="0"/>
              <w:rPr>
                <w:rFonts w:hint="eastAsia" w:ascii="宋体" w:hAnsi="宋体"/>
                <w:sz w:val="24"/>
                <w:highlight w:val="none"/>
                <w:lang w:val="en-US" w:eastAsia="zh-CN"/>
              </w:rPr>
            </w:pPr>
            <w:r>
              <w:rPr>
                <w:rFonts w:hint="eastAsia" w:ascii="宋体" w:hAnsi="宋体"/>
                <w:sz w:val="24"/>
                <w:highlight w:val="none"/>
                <w:lang w:val="en-US" w:eastAsia="zh-CN"/>
              </w:rPr>
              <w:t>勘察时间：2019年11月12日9：00</w:t>
            </w:r>
          </w:p>
          <w:p>
            <w:pPr>
              <w:pStyle w:val="134"/>
              <w:numPr>
                <w:ilvl w:val="0"/>
                <w:numId w:val="0"/>
              </w:numPr>
              <w:spacing w:line="360" w:lineRule="auto"/>
              <w:ind w:leftChars="0"/>
              <w:rPr>
                <w:rFonts w:hint="default" w:ascii="宋体" w:hAnsi="宋体"/>
                <w:sz w:val="24"/>
                <w:highlight w:val="none"/>
                <w:lang w:val="en-US" w:eastAsia="zh-CN"/>
              </w:rPr>
            </w:pPr>
            <w:r>
              <w:rPr>
                <w:rFonts w:hint="eastAsia" w:ascii="宋体" w:hAnsi="宋体"/>
                <w:sz w:val="24"/>
                <w:highlight w:val="none"/>
                <w:lang w:val="en-US" w:eastAsia="zh-CN"/>
              </w:rPr>
              <w:t>勘察地点：山东大学第二医院</w:t>
            </w:r>
            <w:r>
              <w:rPr>
                <w:rFonts w:hint="eastAsia" w:ascii="宋体" w:hAnsi="宋体"/>
                <w:sz w:val="24"/>
                <w:highlight w:val="none"/>
                <w:lang w:val="en-US" w:eastAsia="zh-CN"/>
              </w:rPr>
              <w:br w:type="textWrapping"/>
            </w:r>
            <w:r>
              <w:rPr>
                <w:rFonts w:hint="eastAsia" w:ascii="宋体" w:hAnsi="宋体"/>
                <w:sz w:val="24"/>
                <w:highlight w:val="none"/>
                <w:lang w:val="en-US" w:eastAsia="zh-CN"/>
              </w:rPr>
              <w:t>联系人：</w:t>
            </w:r>
            <w:r>
              <w:rPr>
                <w:rFonts w:ascii="宋体" w:hAnsi="宋体" w:eastAsia="宋体" w:cs="宋体"/>
                <w:sz w:val="24"/>
                <w:szCs w:val="24"/>
                <w:highlight w:val="none"/>
              </w:rPr>
              <w:t>费工</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17660086966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snapToGrid w:val="0"/>
              <w:spacing w:line="360" w:lineRule="auto"/>
              <w:jc w:val="left"/>
              <w:rPr>
                <w:rFonts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30000元；大写：叁万元整。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-互联互通</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11</w:t>
            </w:r>
            <w:r>
              <w:rPr>
                <w:rFonts w:hint="eastAsia" w:ascii="宋体" w:hAnsi="宋体" w:cs="宋体"/>
                <w:b/>
                <w:bCs/>
                <w:highlight w:val="none"/>
                <w:lang w:eastAsia="zh-CN"/>
              </w:rPr>
              <w:t>月</w:t>
            </w:r>
            <w:r>
              <w:rPr>
                <w:rFonts w:hint="eastAsia" w:ascii="宋体" w:hAnsi="宋体" w:cs="宋体"/>
                <w:b/>
                <w:bCs/>
                <w:highlight w:val="none"/>
                <w:lang w:val="en-US" w:eastAsia="zh-CN"/>
              </w:rPr>
              <w:t>27</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hint="eastAsia" w:ascii="宋体" w:hAnsi="宋体" w:cs="宋体"/>
                <w:highlight w:val="none"/>
                <w:lang w:val="en-US" w:eastAsia="zh-CN"/>
              </w:rPr>
              <w:t>20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日08：00至09:00（超时不收）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ascii="宋体" w:hAnsi="宋体" w:cs="宋体"/>
                <w:highlight w:val="none"/>
              </w:rPr>
              <w:t>2</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highlight w:val="none"/>
                <w:lang w:val="en-US" w:eastAsia="zh-CN"/>
              </w:rPr>
            </w:pPr>
            <w:r>
              <w:rPr>
                <w:rFonts w:hint="eastAsia" w:ascii="宋体" w:cs="宋体"/>
                <w:highlight w:val="none"/>
                <w:lang w:val="en-US" w:eastAsia="zh-CN"/>
              </w:rPr>
              <w:t>24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0957"/>
      <w:bookmarkStart w:id="6" w:name="_Toc16191"/>
      <w:bookmarkStart w:id="7" w:name="_Toc12225"/>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32185"/>
      <w:bookmarkStart w:id="9" w:name="_Toc7693"/>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3.1.8</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3.6</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9430"/>
      <w:bookmarkStart w:id="12" w:name="_Toc10338"/>
      <w:bookmarkStart w:id="13" w:name="_Toc28524"/>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979"/>
      <w:bookmarkStart w:id="15" w:name="_Toc13517"/>
      <w:bookmarkStart w:id="16"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5995"/>
      <w:bookmarkStart w:id="18" w:name="_Toc17993"/>
      <w:bookmarkStart w:id="19"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6605"/>
      <w:bookmarkStart w:id="21" w:name="_Toc32728"/>
      <w:bookmarkStart w:id="22" w:name="_Toc30324"/>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7414"/>
      <w:bookmarkStart w:id="24" w:name="_Toc8916"/>
      <w:bookmarkStart w:id="25"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22107"/>
      <w:bookmarkStart w:id="28" w:name="_Toc7019"/>
      <w:bookmarkStart w:id="29" w:name="_Toc8225"/>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8798"/>
      <w:bookmarkStart w:id="31" w:name="_Toc29387"/>
      <w:bookmarkStart w:id="32" w:name="_Toc31893"/>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7616"/>
      <w:bookmarkStart w:id="34" w:name="_Toc29308"/>
      <w:bookmarkStart w:id="35" w:name="_Toc22244"/>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2328"/>
      <w:bookmarkStart w:id="37" w:name="_Toc22769"/>
      <w:bookmarkStart w:id="38" w:name="_Toc24847"/>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21707"/>
      <w:bookmarkStart w:id="40" w:name="_Toc30737"/>
      <w:bookmarkStart w:id="41" w:name="_Toc3662"/>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6061"/>
      <w:bookmarkStart w:id="43" w:name="_Toc25164"/>
      <w:bookmarkStart w:id="44" w:name="_Toc5592"/>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7874"/>
      <w:bookmarkStart w:id="46" w:name="_Toc26235"/>
      <w:bookmarkStart w:id="47" w:name="_Toc8921"/>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1085"/>
      <w:bookmarkStart w:id="49" w:name="_Toc23721"/>
      <w:bookmarkStart w:id="50" w:name="_Toc24995"/>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31858"/>
      <w:bookmarkStart w:id="52" w:name="_Toc27057"/>
      <w:bookmarkStart w:id="53" w:name="_Toc4919"/>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4329"/>
      <w:bookmarkStart w:id="55" w:name="_Toc32322"/>
      <w:bookmarkStart w:id="56"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7023"/>
      <w:bookmarkStart w:id="58" w:name="_Toc30033"/>
      <w:bookmarkStart w:id="59"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3881"/>
      <w:bookmarkStart w:id="61" w:name="_Toc6239"/>
      <w:bookmarkStart w:id="62"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ascii="宋体" w:hAnsi="宋体"/>
          <w:sz w:val="24"/>
          <w:highlight w:val="none"/>
        </w:rPr>
      </w:pPr>
      <w:bookmarkStart w:id="63" w:name="_Toc6905"/>
      <w:bookmarkStart w:id="64" w:name="_Toc17859"/>
      <w:bookmarkStart w:id="65"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600" w:firstLineChars="250"/>
        <w:rPr>
          <w:rFonts w:ascii="宋体"/>
          <w:bCs/>
          <w:color w:val="000000"/>
          <w:sz w:val="24"/>
          <w:highlight w:val="none"/>
        </w:rPr>
      </w:pPr>
      <w:r>
        <w:rPr>
          <w:rFonts w:hint="eastAsia" w:ascii="宋体"/>
          <w:bCs/>
          <w:color w:val="000000"/>
          <w:sz w:val="24"/>
          <w:highlight w:val="none"/>
        </w:rPr>
        <w:t>7.5  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20316"/>
      <w:bookmarkStart w:id="67" w:name="_Toc13670"/>
      <w:bookmarkStart w:id="68" w:name="_Toc21443"/>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hint="eastAsia" w:ascii="宋体" w:hAns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hint="default" w:ascii="宋体" w:hAnsi="宋体" w:eastAsia="宋体"/>
          <w:sz w:val="24"/>
          <w:highlight w:val="none"/>
          <w:lang w:val="en-US" w:eastAsia="zh-CN"/>
        </w:rPr>
      </w:pPr>
      <w:r>
        <w:rPr>
          <w:rFonts w:hint="eastAsia" w:ascii="宋体" w:hAnsi="宋体"/>
          <w:sz w:val="24"/>
          <w:highlight w:val="none"/>
          <w:lang w:val="en-US" w:eastAsia="zh-CN"/>
        </w:rPr>
        <w:t>2）报价明细表（附件四）；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rPr>
        <w:t>8年度财务状况报告（附件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rPr>
        <w:t>9）投标人认为需要提交的其他文件。</w:t>
      </w:r>
    </w:p>
    <w:p>
      <w:pPr>
        <w:pStyle w:val="12"/>
        <w:spacing w:line="480" w:lineRule="exact"/>
        <w:ind w:left="197" w:leftChars="94" w:firstLine="361" w:firstLineChars="150"/>
        <w:rPr>
          <w:rFonts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highlight w:val="none"/>
        </w:rPr>
      </w:pPr>
      <w:r>
        <w:rPr>
          <w:rFonts w:hint="eastAsia" w:ascii="宋体"/>
          <w:color w:val="000000"/>
          <w:sz w:val="24"/>
          <w:highlight w:val="none"/>
        </w:rPr>
        <w:t>9.4 其它证明文件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2"/>
        <w:spacing w:line="480" w:lineRule="exact"/>
        <w:ind w:left="197" w:leftChars="94" w:firstLine="360" w:firstLineChars="150"/>
        <w:rPr>
          <w:rFonts w:hint="eastAsia" w:ascii="宋体" w:hAnsi="宋体"/>
          <w:b/>
          <w:sz w:val="24"/>
          <w:highlight w:val="none"/>
        </w:rPr>
      </w:pPr>
      <w:r>
        <w:rPr>
          <w:rFonts w:hint="eastAsia" w:ascii="宋体" w:hAnsi="宋体"/>
          <w:color w:val="000000"/>
          <w:sz w:val="24"/>
          <w:highlight w:val="none"/>
        </w:rPr>
        <w:t>3）投标人认为需要提交的其他文件。</w:t>
      </w:r>
    </w:p>
    <w:p>
      <w:pPr>
        <w:pStyle w:val="12"/>
        <w:tabs>
          <w:tab w:val="left" w:pos="382"/>
        </w:tabs>
        <w:spacing w:line="480" w:lineRule="exact"/>
        <w:ind w:left="197" w:leftChars="94" w:firstLine="360" w:firstLineChars="150"/>
        <w:rPr>
          <w:rFonts w:hint="eastAsia" w:ascii="宋体" w:hAnsi="宋体"/>
          <w:sz w:val="24"/>
          <w:highlight w:val="none"/>
        </w:rPr>
      </w:pPr>
      <w:r>
        <w:rPr>
          <w:rFonts w:ascii="宋体" w:hAnsi="宋体"/>
          <w:sz w:val="24"/>
          <w:highlight w:val="none"/>
        </w:rPr>
        <w:t>9.</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技术文件</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1）产品介绍；</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2）实施方案，包括项目管理计划、实施计划、团队、实施内容等，和本招标文件第三部分“招标要求”要求的需投标人编制的内容；</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3）详细的培训计划，包括培训内容、培训方式、培训课时和次数、培训教材、授课教师、培训效果的保证措施等；</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4）拟参与本项目的项目班子成员；</w:t>
      </w:r>
    </w:p>
    <w:p>
      <w:pPr>
        <w:pStyle w:val="12"/>
        <w:tabs>
          <w:tab w:val="left" w:pos="382"/>
        </w:tabs>
        <w:spacing w:line="480" w:lineRule="exact"/>
        <w:ind w:left="197" w:leftChars="94" w:firstLine="360" w:firstLineChars="150"/>
        <w:rPr>
          <w:rFonts w:hint="default" w:ascii="宋体" w:hAnsi="宋体"/>
          <w:sz w:val="24"/>
          <w:highlight w:val="none"/>
          <w:lang w:val="en-US" w:eastAsia="zh-CN"/>
        </w:rPr>
      </w:pPr>
      <w:r>
        <w:rPr>
          <w:rFonts w:hint="eastAsia" w:ascii="宋体" w:hAnsi="宋体"/>
          <w:sz w:val="24"/>
          <w:highlight w:val="none"/>
          <w:lang w:val="en-US" w:eastAsia="zh-CN"/>
        </w:rPr>
        <w:t>5）优惠条件及合理化建议；</w:t>
      </w:r>
    </w:p>
    <w:p>
      <w:pPr>
        <w:pStyle w:val="12"/>
        <w:tabs>
          <w:tab w:val="left" w:pos="382"/>
        </w:tabs>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技术条款响应/偏离表（附件</w:t>
      </w:r>
      <w:r>
        <w:rPr>
          <w:rFonts w:hint="eastAsia" w:ascii="宋体" w:hAnsi="宋体"/>
          <w:color w:val="000000"/>
          <w:sz w:val="24"/>
          <w:highlight w:val="none"/>
          <w:lang w:val="en-US" w:eastAsia="zh-CN"/>
        </w:rPr>
        <w:t>五</w:t>
      </w:r>
      <w:r>
        <w:rPr>
          <w:rFonts w:hint="eastAsia" w:ascii="宋体" w:hAnsi="宋体"/>
          <w:color w:val="000000"/>
          <w:sz w:val="24"/>
          <w:highlight w:val="none"/>
        </w:rPr>
        <w:t>）；</w:t>
      </w:r>
    </w:p>
    <w:p>
      <w:pPr>
        <w:pStyle w:val="12"/>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投标人认为需要提交的其他技术文件。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9.6  商务文件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1）项目部人员配备表（附件</w:t>
      </w:r>
      <w:r>
        <w:rPr>
          <w:rFonts w:hint="eastAsia" w:ascii="宋体" w:hAnsi="宋体" w:cs="宋体"/>
          <w:kern w:val="0"/>
          <w:sz w:val="24"/>
          <w:highlight w:val="none"/>
          <w:lang w:val="en-US" w:eastAsia="zh-CN"/>
        </w:rPr>
        <w:t>七</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2）企业介绍及成功案例；</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3）售后服务（附件</w:t>
      </w:r>
      <w:r>
        <w:rPr>
          <w:rFonts w:hint="eastAsia" w:ascii="宋体" w:hAnsi="宋体" w:cs="宋体"/>
          <w:kern w:val="0"/>
          <w:sz w:val="24"/>
          <w:highlight w:val="none"/>
          <w:lang w:val="en-US" w:eastAsia="zh-CN"/>
        </w:rPr>
        <w:t>八</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）商务偏离表（附件</w:t>
      </w:r>
      <w:r>
        <w:rPr>
          <w:rFonts w:hint="eastAsia" w:ascii="宋体" w:hAnsi="宋体" w:cs="宋体"/>
          <w:kern w:val="0"/>
          <w:sz w:val="24"/>
          <w:highlight w:val="none"/>
          <w:lang w:val="en-US" w:eastAsia="zh-CN"/>
        </w:rPr>
        <w:t>六</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）投标人认为需要提交的其它资料。</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报价含软件开发、供应、安装调试、数据迁移费用、开发费用、缺陷处理，验收、培训、售后服务、检验及因购买软件和服务所需缴纳等的所有税、费。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5125"/>
      <w:bookmarkStart w:id="70" w:name="_Toc22972"/>
      <w:bookmarkStart w:id="71"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8600"/>
      <w:bookmarkStart w:id="73" w:name="_Toc14371"/>
      <w:bookmarkStart w:id="74"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9239"/>
      <w:bookmarkStart w:id="76" w:name="_Toc28358"/>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val="en-US" w:eastAsia="zh-CN"/>
        </w:rPr>
        <w:t>十</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9397"/>
      <w:bookmarkStart w:id="79" w:name="_Toc31899"/>
      <w:bookmarkStart w:id="80"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1930"/>
      <w:bookmarkStart w:id="82" w:name="_Toc3684"/>
      <w:bookmarkStart w:id="83" w:name="_Toc18910"/>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13548"/>
      <w:bookmarkStart w:id="85" w:name="_Toc22790"/>
      <w:bookmarkStart w:id="86" w:name="_Toc5371"/>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142"/>
      <w:bookmarkStart w:id="88" w:name="_Toc29966"/>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4408"/>
      <w:bookmarkStart w:id="90" w:name="_Toc6823"/>
      <w:bookmarkStart w:id="91" w:name="_Toc26178"/>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ascii="宋体" w:hAnsi="宋体"/>
          <w:bCs/>
          <w:highlight w:val="none"/>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2" w:name="_Toc2195"/>
      <w:bookmarkStart w:id="93" w:name="_Toc27597"/>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4)</w:t>
      </w:r>
      <w:r>
        <w:rPr>
          <w:rFonts w:hint="eastAsia" w:ascii="宋体" w:hAnsi="宋体"/>
          <w:bCs/>
          <w:highlight w:val="none"/>
        </w:rPr>
        <w:t xml:space="preserve"> 技术及商务有无偏离；</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19"/>
        <w:adjustRightInd w:val="0"/>
        <w:snapToGrid w:val="0"/>
        <w:spacing w:line="360" w:lineRule="auto"/>
        <w:ind w:firstLine="480" w:firstLineChars="200"/>
        <w:rPr>
          <w:rFonts w:ascii="宋体" w:hAnsi="宋体"/>
          <w:highlight w:val="yellow"/>
        </w:rPr>
      </w:pPr>
      <w:r>
        <w:rPr>
          <w:rFonts w:ascii="宋体" w:hAnsi="宋体"/>
          <w:bCs/>
          <w:highlight w:val="none"/>
        </w:rPr>
        <w:t>24.3</w:t>
      </w:r>
      <w:r>
        <w:rPr>
          <w:rFonts w:hint="eastAsia" w:ascii="宋体" w:hAnsi="宋体"/>
          <w:highlight w:val="none"/>
        </w:rPr>
        <w:t>评标方法：本项目采用综合评分法，评标委员会将对投标人的投标报价、</w:t>
      </w:r>
      <w:r>
        <w:rPr>
          <w:rFonts w:hint="eastAsia" w:ascii="宋体" w:hAnsi="宋体"/>
          <w:highlight w:val="none"/>
          <w:lang w:val="en-US" w:eastAsia="zh-CN"/>
        </w:rPr>
        <w:t>技术与服务方案</w:t>
      </w:r>
      <w:r>
        <w:rPr>
          <w:rFonts w:hint="eastAsia" w:ascii="宋体" w:hAnsi="宋体"/>
          <w:highlight w:val="none"/>
        </w:rPr>
        <w:t>、现场演示、售后维保服务、投标人业绩等综合评分，择优选择中标人。</w:t>
      </w:r>
    </w:p>
    <w:p>
      <w:pPr>
        <w:pStyle w:val="12"/>
        <w:spacing w:line="480" w:lineRule="exact"/>
        <w:ind w:left="0" w:leftChars="0" w:firstLine="0" w:firstLineChars="0"/>
        <w:jc w:val="center"/>
        <w:rPr>
          <w:rFonts w:ascii="宋体" w:hAnsi="宋体"/>
          <w:b/>
          <w:bCs/>
          <w:sz w:val="36"/>
          <w:szCs w:val="36"/>
          <w:highlight w:val="none"/>
        </w:rPr>
      </w:pPr>
      <w:bookmarkStart w:id="95" w:name="_Toc482367258"/>
      <w:bookmarkStart w:id="96" w:name="_Toc326"/>
      <w:r>
        <w:rPr>
          <w:rFonts w:hint="eastAsia" w:ascii="宋体" w:hAnsi="宋体"/>
          <w:b/>
          <w:bCs/>
          <w:sz w:val="36"/>
          <w:szCs w:val="36"/>
          <w:highlight w:val="none"/>
        </w:rPr>
        <w:t>评分细则</w:t>
      </w:r>
      <w:bookmarkEnd w:id="95"/>
      <w:bookmarkEnd w:id="96"/>
    </w:p>
    <w:tbl>
      <w:tblPr>
        <w:tblStyle w:val="50"/>
        <w:tblW w:w="1042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40"/>
        <w:gridCol w:w="136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40" w:type="dxa"/>
          </w:tcPr>
          <w:p>
            <w:pPr>
              <w:rPr>
                <w:rFonts w:hint="eastAsia" w:eastAsia="宋体"/>
                <w:highlight w:val="none"/>
                <w:vertAlign w:val="baseline"/>
                <w:lang w:val="en-US" w:eastAsia="zh-CN"/>
              </w:rPr>
            </w:pPr>
            <w:r>
              <w:rPr>
                <w:rFonts w:hint="eastAsia"/>
                <w:highlight w:val="none"/>
                <w:vertAlign w:val="baseline"/>
                <w:lang w:val="en-US" w:eastAsia="zh-CN"/>
              </w:rPr>
              <w:t>序号</w:t>
            </w:r>
          </w:p>
        </w:tc>
        <w:tc>
          <w:tcPr>
            <w:tcW w:w="1140" w:type="dxa"/>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评分项目</w:t>
            </w:r>
          </w:p>
        </w:tc>
        <w:tc>
          <w:tcPr>
            <w:tcW w:w="1365" w:type="dxa"/>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分项与分值</w:t>
            </w:r>
          </w:p>
        </w:tc>
        <w:tc>
          <w:tcPr>
            <w:tcW w:w="7380" w:type="dxa"/>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1</w:t>
            </w:r>
          </w:p>
        </w:tc>
        <w:tc>
          <w:tcPr>
            <w:tcW w:w="1140" w:type="dxa"/>
            <w:vAlign w:val="center"/>
          </w:tcPr>
          <w:p>
            <w:pPr>
              <w:adjustRightInd w:val="0"/>
              <w:snapToGrid w:val="0"/>
              <w:spacing w:line="240" w:lineRule="auto"/>
              <w:jc w:val="center"/>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报价</w:t>
            </w:r>
          </w:p>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rPr>
              <w:t>(10分)</w:t>
            </w:r>
          </w:p>
        </w:tc>
        <w:tc>
          <w:tcPr>
            <w:tcW w:w="1365" w:type="dxa"/>
            <w:vAlign w:val="center"/>
          </w:tcPr>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rPr>
              <w:t>报价</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10分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highlight w:val="none"/>
                <w:vertAlign w:val="baseline"/>
              </w:rPr>
            </w:pPr>
            <w:r>
              <w:rPr>
                <w:rFonts w:hint="eastAsia" w:ascii="宋体" w:hAnsi="宋体" w:eastAsia="宋体" w:cs="宋体"/>
                <w:b w:val="0"/>
                <w:bCs/>
                <w:sz w:val="21"/>
                <w:szCs w:val="21"/>
                <w:highlight w:val="none"/>
              </w:rPr>
              <w:t>满足招标文件要求且投标价格最低的报价为基准价，其价格分为满分。其他供应商的价格分统一按照下列公式计算：报价得分=(基准价／报价)* 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40" w:type="dxa"/>
            <w:vMerge w:val="restart"/>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2</w:t>
            </w:r>
          </w:p>
        </w:tc>
        <w:tc>
          <w:tcPr>
            <w:tcW w:w="1140" w:type="dxa"/>
            <w:vMerge w:val="restart"/>
            <w:vAlign w:val="center"/>
          </w:tcPr>
          <w:p>
            <w:pPr>
              <w:spacing w:line="240" w:lineRule="auto"/>
              <w:jc w:val="center"/>
              <w:rPr>
                <w:rFonts w:hint="eastAsia"/>
                <w:highlight w:val="none"/>
                <w:vertAlign w:val="baseline"/>
                <w:lang w:val="en-US" w:eastAsia="zh-CN"/>
              </w:rPr>
            </w:pPr>
            <w:r>
              <w:rPr>
                <w:rFonts w:hint="eastAsia"/>
                <w:highlight w:val="none"/>
                <w:vertAlign w:val="baseline"/>
                <w:lang w:val="en-US" w:eastAsia="zh-CN"/>
              </w:rPr>
              <w:t>商务分</w:t>
            </w:r>
          </w:p>
          <w:p>
            <w:pPr>
              <w:spacing w:line="240" w:lineRule="auto"/>
              <w:jc w:val="center"/>
              <w:rPr>
                <w:rFonts w:hint="default" w:eastAsia="宋体"/>
                <w:highlight w:val="none"/>
                <w:vertAlign w:val="baseline"/>
                <w:lang w:val="en-US" w:eastAsia="zh-CN"/>
              </w:rPr>
            </w:pPr>
            <w:r>
              <w:rPr>
                <w:rFonts w:hint="eastAsia"/>
                <w:highlight w:val="none"/>
                <w:vertAlign w:val="baseline"/>
                <w:lang w:val="en-US" w:eastAsia="zh-CN"/>
              </w:rPr>
              <w:t>（24分）</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技术、服务、商务要求</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rPr>
                <w:highlight w:val="none"/>
                <w:vertAlign w:val="baseline"/>
              </w:rPr>
            </w:pP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val="en-US" w:eastAsia="zh-CN"/>
              </w:rPr>
              <w:t>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highlight w:val="none"/>
                <w:vertAlign w:val="baseline"/>
              </w:rPr>
            </w:pPr>
            <w:r>
              <w:rPr>
                <w:rFonts w:hint="eastAsia" w:ascii="宋体" w:hAnsi="宋体" w:eastAsia="宋体" w:cs="宋体"/>
                <w:b w:val="0"/>
                <w:bCs/>
                <w:sz w:val="21"/>
                <w:szCs w:val="21"/>
                <w:highlight w:val="none"/>
              </w:rPr>
              <w:t>技术、服务、商务要求低于招标文件各章节要求的（负偏离），★号条款负偏离一项扣1分，一般条款负偏离一项扣0.5分，扣完为止。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40" w:type="dxa"/>
            <w:vMerge w:val="continue"/>
            <w:vAlign w:val="center"/>
          </w:tcPr>
          <w:p>
            <w:pPr>
              <w:jc w:val="center"/>
              <w:rPr>
                <w:highlight w:val="none"/>
                <w:vertAlign w:val="baseline"/>
              </w:rPr>
            </w:pPr>
          </w:p>
        </w:tc>
        <w:tc>
          <w:tcPr>
            <w:tcW w:w="1140" w:type="dxa"/>
            <w:vMerge w:val="continue"/>
            <w:vAlign w:val="center"/>
          </w:tcPr>
          <w:p>
            <w:pPr>
              <w:spacing w:line="240" w:lineRule="auto"/>
              <w:jc w:val="center"/>
              <w:rPr>
                <w:highlight w:val="none"/>
                <w:vertAlign w:val="baseline"/>
              </w:rPr>
            </w:pPr>
          </w:p>
        </w:tc>
        <w:tc>
          <w:tcPr>
            <w:tcW w:w="1365" w:type="dxa"/>
            <w:vAlign w:val="center"/>
          </w:tcPr>
          <w:p>
            <w:pPr>
              <w:adjustRightInd w:val="0"/>
              <w:snapToGrid w:val="0"/>
              <w:spacing w:line="240" w:lineRule="auto"/>
              <w:jc w:val="center"/>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软件著作权及自主开发能力证明</w:t>
            </w:r>
          </w:p>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5分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投标人需提供自有或代理厂商的：</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1)医院信息集成平台软件著作权与患者主索引软件著作权；</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2)临床数据中心软件著作权；</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3)主数据管理软件著作权；</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4)单点登录软件著作权；</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5)患者360软件著作权；</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涉及到证书要求的须提供证书扫描件并加盖投标人公章，换证期内的需提供颁发机构出具的换证证明。</w:t>
            </w:r>
          </w:p>
          <w:p>
            <w:pPr>
              <w:adjustRightInd w:val="0"/>
              <w:snapToGrid w:val="0"/>
              <w:spacing w:line="240" w:lineRule="auto"/>
              <w:textAlignment w:val="baseline"/>
              <w:rPr>
                <w:highlight w:val="none"/>
                <w:vertAlign w:val="baseline"/>
              </w:rPr>
            </w:pPr>
            <w:r>
              <w:rPr>
                <w:rFonts w:hint="eastAsia" w:ascii="宋体" w:hAnsi="宋体" w:eastAsia="宋体" w:cs="宋体"/>
                <w:b w:val="0"/>
                <w:bCs/>
                <w:sz w:val="21"/>
                <w:szCs w:val="21"/>
                <w:highlight w:val="none"/>
              </w:rPr>
              <w:t>评价机制：具有上述全部证书得5分，每少1个扣1分，扣完为止。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vMerge w:val="continue"/>
            <w:vAlign w:val="center"/>
          </w:tcPr>
          <w:p>
            <w:pPr>
              <w:jc w:val="center"/>
              <w:rPr>
                <w:highlight w:val="none"/>
                <w:vertAlign w:val="baseline"/>
              </w:rPr>
            </w:pPr>
          </w:p>
        </w:tc>
        <w:tc>
          <w:tcPr>
            <w:tcW w:w="1140" w:type="dxa"/>
            <w:vMerge w:val="continue"/>
            <w:vAlign w:val="center"/>
          </w:tcPr>
          <w:p>
            <w:pPr>
              <w:spacing w:line="240" w:lineRule="auto"/>
              <w:jc w:val="center"/>
              <w:rPr>
                <w:highlight w:val="none"/>
                <w:vertAlign w:val="baseline"/>
              </w:rPr>
            </w:pPr>
          </w:p>
        </w:tc>
        <w:tc>
          <w:tcPr>
            <w:tcW w:w="1365" w:type="dxa"/>
            <w:vAlign w:val="center"/>
          </w:tcPr>
          <w:p>
            <w:pPr>
              <w:adjustRightInd w:val="0"/>
              <w:snapToGrid w:val="0"/>
              <w:spacing w:line="240" w:lineRule="auto"/>
              <w:jc w:val="center"/>
              <w:textAlignment w:val="baseline"/>
              <w:rPr>
                <w:rFonts w:hint="eastAsia" w:ascii="宋体" w:hAnsi="宋体" w:eastAsia="仿宋" w:cs="宋体"/>
                <w:b w:val="0"/>
                <w:bCs/>
                <w:sz w:val="21"/>
                <w:szCs w:val="21"/>
                <w:highlight w:val="none"/>
                <w:lang w:eastAsia="zh-CN"/>
              </w:rPr>
            </w:pPr>
            <w:r>
              <w:rPr>
                <w:rFonts w:hint="eastAsia" w:ascii="宋体" w:hAnsi="宋体" w:eastAsia="宋体" w:cs="宋体"/>
                <w:b w:val="0"/>
                <w:bCs/>
                <w:sz w:val="21"/>
                <w:szCs w:val="21"/>
                <w:highlight w:val="none"/>
              </w:rPr>
              <w:t>核心业务系统授权函</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10分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投标人获得医院HIS系统、LIS系统、EMR系统、PACS系统厂商或维护商出具的系统配合改造的授权函</w:t>
            </w:r>
            <w:r>
              <w:rPr>
                <w:rFonts w:hint="eastAsia" w:ascii="宋体" w:hAnsi="宋体" w:cs="宋体"/>
                <w:b w:val="0"/>
                <w:bCs/>
                <w:sz w:val="21"/>
                <w:szCs w:val="21"/>
                <w:highlight w:val="none"/>
                <w:lang w:eastAsia="zh-CN"/>
              </w:rPr>
              <w:t>。</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评价机制：至少提供一份，提供得10分，不提供不得分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40" w:type="dxa"/>
            <w:vMerge w:val="restart"/>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1140" w:type="dxa"/>
            <w:vMerge w:val="restart"/>
            <w:vAlign w:val="center"/>
          </w:tcPr>
          <w:p>
            <w:pPr>
              <w:spacing w:line="240" w:lineRule="auto"/>
              <w:jc w:val="center"/>
              <w:rPr>
                <w:highlight w:val="none"/>
                <w:vertAlign w:val="baseline"/>
              </w:rPr>
            </w:pPr>
            <w:r>
              <w:rPr>
                <w:rFonts w:hint="eastAsia" w:ascii="宋体" w:hAnsi="宋体" w:eastAsia="宋体" w:cs="宋体"/>
                <w:b w:val="0"/>
                <w:bCs/>
                <w:sz w:val="21"/>
                <w:szCs w:val="21"/>
                <w:highlight w:val="none"/>
              </w:rPr>
              <w:t>技术与服务(</w:t>
            </w:r>
            <w:r>
              <w:rPr>
                <w:rFonts w:hint="eastAsia" w:ascii="宋体" w:hAnsi="宋体" w:cs="宋体"/>
                <w:b w:val="0"/>
                <w:bCs/>
                <w:sz w:val="21"/>
                <w:szCs w:val="21"/>
                <w:highlight w:val="none"/>
                <w:lang w:val="en-US" w:eastAsia="zh-CN"/>
              </w:rPr>
              <w:t>63</w:t>
            </w:r>
            <w:r>
              <w:rPr>
                <w:rFonts w:hint="eastAsia" w:ascii="宋体" w:hAnsi="宋体" w:eastAsia="宋体" w:cs="宋体"/>
                <w:b w:val="0"/>
                <w:bCs/>
                <w:sz w:val="21"/>
                <w:szCs w:val="21"/>
                <w:highlight w:val="none"/>
              </w:rPr>
              <w:t>分)</w:t>
            </w:r>
          </w:p>
        </w:tc>
        <w:tc>
          <w:tcPr>
            <w:tcW w:w="1365" w:type="dxa"/>
            <w:vAlign w:val="center"/>
          </w:tcPr>
          <w:p>
            <w:pPr>
              <w:jc w:val="center"/>
              <w:rPr>
                <w:highlight w:val="none"/>
                <w:vertAlign w:val="baseline"/>
              </w:rPr>
            </w:pPr>
            <w:r>
              <w:rPr>
                <w:rFonts w:hint="eastAsia" w:ascii="宋体" w:hAnsi="宋体" w:eastAsia="宋体" w:cs="宋体"/>
                <w:b w:val="0"/>
                <w:bCs/>
                <w:sz w:val="21"/>
                <w:szCs w:val="21"/>
                <w:highlight w:val="none"/>
              </w:rPr>
              <w:t>方案质量、技术先进性与合理性、实施规划、方案与需求对应程度评价</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28</w:t>
            </w:r>
            <w:r>
              <w:rPr>
                <w:rFonts w:hint="eastAsia" w:ascii="宋体" w:hAnsi="宋体" w:eastAsia="宋体" w:cs="宋体"/>
                <w:b w:val="0"/>
                <w:bCs/>
                <w:sz w:val="21"/>
                <w:szCs w:val="21"/>
                <w:highlight w:val="none"/>
                <w:lang w:val="en-US" w:eastAsia="zh-CN"/>
              </w:rPr>
              <w:t>分</w:t>
            </w:r>
            <w:r>
              <w:rPr>
                <w:rFonts w:hint="eastAsia" w:ascii="宋体" w:hAnsi="宋体" w:eastAsia="宋体" w:cs="宋体"/>
                <w:b w:val="0"/>
                <w:bCs/>
                <w:sz w:val="21"/>
                <w:szCs w:val="21"/>
                <w:highlight w:val="none"/>
                <w:lang w:eastAsia="zh-CN"/>
              </w:rPr>
              <w:t>）</w:t>
            </w:r>
          </w:p>
        </w:tc>
        <w:tc>
          <w:tcPr>
            <w:tcW w:w="7380" w:type="dxa"/>
            <w:vAlign w:val="center"/>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考察点1：</w:t>
            </w:r>
            <w:r>
              <w:rPr>
                <w:rFonts w:hint="eastAsia" w:ascii="宋体" w:hAnsi="宋体" w:eastAsia="宋体" w:cs="宋体"/>
                <w:b w:val="0"/>
                <w:bCs/>
                <w:sz w:val="21"/>
                <w:szCs w:val="21"/>
                <w:highlight w:val="none"/>
              </w:rPr>
              <w:t>对医院集成平台、全院数据中心及相应的临床业务集成对接改造建设、互联互通符合性改造及评审工作的任务范围和建设内容的完整程度、内容质量、合理性、时间规划进行综合评审。</w:t>
            </w:r>
          </w:p>
          <w:p>
            <w:pPr>
              <w:spacing w:line="240" w:lineRule="auto"/>
              <w:jc w:val="both"/>
              <w:rPr>
                <w:rFonts w:hint="eastAsia" w:ascii="宋体" w:hAnsi="宋体" w:eastAsia="宋体" w:cs="宋体"/>
                <w:b w:val="0"/>
                <w:bCs/>
                <w:sz w:val="21"/>
                <w:szCs w:val="21"/>
                <w:highlight w:val="none"/>
                <w:lang w:eastAsia="zh-CN"/>
              </w:rPr>
            </w:pPr>
            <w:r>
              <w:rPr>
                <w:rFonts w:hint="eastAsia" w:ascii="宋体" w:hAnsi="宋体" w:eastAsia="宋体" w:cs="宋体"/>
                <w:b w:val="0"/>
                <w:bCs/>
                <w:sz w:val="15"/>
                <w:szCs w:val="15"/>
                <w:highlight w:val="none"/>
              </w:rPr>
              <w:t>●</w:t>
            </w:r>
            <w:r>
              <w:rPr>
                <w:rFonts w:hint="eastAsia" w:ascii="宋体" w:hAnsi="宋体" w:eastAsia="宋体" w:cs="宋体"/>
                <w:b w:val="0"/>
                <w:bCs/>
                <w:sz w:val="21"/>
                <w:szCs w:val="21"/>
                <w:highlight w:val="none"/>
              </w:rPr>
              <w:t>主要考察标准：</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项目建设内容范围与任务范围</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需以时间计划形式对集成平台、全院数据中心、临床业务系统达标建设(系统模块级别粒度)、临床业务改造任务(系统模块级别粒度)给出具体规划</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③</w:t>
            </w:r>
            <w:r>
              <w:rPr>
                <w:rFonts w:hint="eastAsia" w:ascii="宋体" w:hAnsi="宋体" w:eastAsia="宋体" w:cs="宋体"/>
                <w:b w:val="0"/>
                <w:bCs/>
                <w:sz w:val="21"/>
                <w:szCs w:val="21"/>
                <w:highlight w:val="none"/>
              </w:rPr>
              <w:t>.方案内容质量与详尽程度：技术方案能很好的满足招标人实际需求；</w:t>
            </w:r>
            <w:r>
              <w:rPr>
                <w:rFonts w:hint="eastAsia" w:ascii="宋体" w:hAnsi="宋体" w:cs="宋体"/>
                <w:b w:val="0"/>
                <w:bCs/>
                <w:sz w:val="21"/>
                <w:szCs w:val="21"/>
                <w:highlight w:val="none"/>
                <w:lang w:val="en-US" w:eastAsia="zh-CN"/>
              </w:rPr>
              <w:t>④.</w:t>
            </w:r>
            <w:r>
              <w:rPr>
                <w:rFonts w:hint="eastAsia" w:ascii="宋体" w:hAnsi="宋体" w:eastAsia="宋体" w:cs="宋体"/>
                <w:b w:val="0"/>
                <w:bCs/>
                <w:sz w:val="21"/>
                <w:szCs w:val="21"/>
                <w:highlight w:val="none"/>
              </w:rPr>
              <w:t>互联互通过审评测咨询服务：基于国家卫键委互联互通标准化成熟度评测4甲过审标准，提出具体过审全流程咨询服务规划、过审改造任务分阶段时间规划、阶段性交付标准的详细进度计划与项目管理措施</w:t>
            </w:r>
            <w:r>
              <w:rPr>
                <w:rFonts w:hint="eastAsia" w:ascii="宋体" w:hAnsi="宋体" w:cs="宋体"/>
                <w:b w:val="0"/>
                <w:bCs/>
                <w:sz w:val="21"/>
                <w:szCs w:val="21"/>
                <w:highlight w:val="none"/>
                <w:lang w:eastAsia="zh-CN"/>
              </w:rPr>
              <w:t>。</w:t>
            </w:r>
          </w:p>
          <w:p>
            <w:pPr>
              <w:pStyle w:val="134"/>
              <w:numPr>
                <w:ilvl w:val="0"/>
                <w:numId w:val="0"/>
              </w:numPr>
              <w:adjustRightInd w:val="0"/>
              <w:snapToGrid w:val="0"/>
              <w:spacing w:after="0" w:line="240" w:lineRule="auto"/>
              <w:ind w:left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评价机制：方案能完整覆盖上述4点要求的，得4分，否则不得分。</w:t>
            </w:r>
          </w:p>
          <w:p>
            <w:pPr>
              <w:pStyle w:val="134"/>
              <w:numPr>
                <w:ilvl w:val="0"/>
                <w:numId w:val="0"/>
              </w:numPr>
              <w:adjustRightInd w:val="0"/>
              <w:snapToGrid w:val="0"/>
              <w:spacing w:after="0" w:line="240" w:lineRule="auto"/>
              <w:ind w:leftChars="0"/>
              <w:textAlignment w:val="baseline"/>
              <w:rPr>
                <w:rFonts w:hint="eastAsia" w:ascii="宋体" w:hAnsi="宋体" w:eastAsia="宋体" w:cs="宋体"/>
                <w:b w:val="0"/>
                <w:bCs/>
                <w:sz w:val="21"/>
                <w:szCs w:val="21"/>
                <w:highlight w:val="none"/>
              </w:rPr>
            </w:pP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考察点2：</w:t>
            </w:r>
            <w:r>
              <w:rPr>
                <w:rFonts w:hint="eastAsia" w:ascii="宋体" w:hAnsi="宋体" w:eastAsia="宋体" w:cs="宋体"/>
                <w:b w:val="0"/>
                <w:bCs/>
                <w:sz w:val="21"/>
                <w:szCs w:val="21"/>
                <w:highlight w:val="none"/>
              </w:rPr>
              <w:t>考察具体实施规划方案的内容质量、合理性与完善程度。</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主要考察标准：</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软件开发方案：需包含完整的开发计划、时间规划,阶段性任务交付功能,最终交付功能及验收标准</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项目实施方案：需包含软件部署、临床系统接口对接改造任务(任务级别粒度)的时间线规划，以及验收标准，且须满足互联互通过审时间流程</w:t>
            </w:r>
            <w:r>
              <w:rPr>
                <w:rFonts w:hint="eastAsia" w:ascii="宋体" w:hAnsi="宋体" w:cs="宋体"/>
                <w:b w:val="0"/>
                <w:bCs/>
                <w:sz w:val="21"/>
                <w:szCs w:val="21"/>
                <w:highlight w:val="none"/>
                <w:lang w:eastAsia="zh-CN"/>
              </w:rPr>
              <w:t>。</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评价机制：实施规划方案能完整覆盖上述2点要求，且项目实施过程中各类任务的时间规划能配合过审服务要求的，得4分，否则不得分。</w:t>
            </w:r>
          </w:p>
          <w:p>
            <w:pPr>
              <w:pStyle w:val="134"/>
              <w:numPr>
                <w:ilvl w:val="0"/>
                <w:numId w:val="0"/>
              </w:numPr>
              <w:adjustRightInd w:val="0"/>
              <w:snapToGrid w:val="0"/>
              <w:spacing w:after="0" w:line="240" w:lineRule="auto"/>
              <w:ind w:leftChars="0"/>
              <w:textAlignment w:val="baseline"/>
              <w:rPr>
                <w:rFonts w:hint="eastAsia" w:ascii="宋体" w:hAnsi="宋体" w:eastAsia="宋体" w:cs="宋体"/>
                <w:b w:val="0"/>
                <w:bCs/>
                <w:sz w:val="21"/>
                <w:szCs w:val="21"/>
                <w:highlight w:val="none"/>
              </w:rPr>
            </w:pP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考察点3：</w:t>
            </w:r>
            <w:r>
              <w:rPr>
                <w:rFonts w:hint="eastAsia" w:ascii="宋体" w:hAnsi="宋体" w:eastAsia="宋体" w:cs="宋体"/>
                <w:b w:val="0"/>
                <w:bCs/>
                <w:sz w:val="21"/>
                <w:szCs w:val="21"/>
                <w:highlight w:val="none"/>
              </w:rPr>
              <w:t>投标人根据项目建设要求，能够提供解决方案(包含自主研发的软件)对共享文档的逻辑性、规范性、电子病历基本数据集进行符合性验证，可现场用软件模拟展示符合性验证过程，也允许以提交文档资料形式展示符合性验证。</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主要考察标准：生成符合互联互通规范的CDA文档：</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展示条目，章节，元素约束的逻辑性，根据规范可以出现的次数</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 xml:space="preserve">展示元素执行的基础数据标准,元素基本定义的符合性； </w:t>
            </w:r>
            <w:r>
              <w:rPr>
                <w:rFonts w:hint="eastAsia" w:ascii="宋体" w:hAnsi="宋体" w:cs="宋体"/>
                <w:b w:val="0"/>
                <w:bCs/>
                <w:sz w:val="21"/>
                <w:szCs w:val="21"/>
                <w:highlight w:val="none"/>
                <w:lang w:val="en-US" w:eastAsia="zh-CN"/>
              </w:rPr>
              <w:t>③.</w:t>
            </w:r>
            <w:r>
              <w:rPr>
                <w:rFonts w:hint="eastAsia" w:ascii="宋体" w:hAnsi="宋体" w:eastAsia="宋体" w:cs="宋体"/>
                <w:b w:val="0"/>
                <w:bCs/>
                <w:sz w:val="21"/>
                <w:szCs w:val="21"/>
                <w:highlight w:val="none"/>
              </w:rPr>
              <w:t>可以动态执行共享文档生成的后台服务</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④.</w:t>
            </w:r>
            <w:r>
              <w:rPr>
                <w:rFonts w:hint="eastAsia" w:ascii="宋体" w:hAnsi="宋体" w:eastAsia="宋体" w:cs="宋体"/>
                <w:b w:val="0"/>
                <w:bCs/>
                <w:sz w:val="21"/>
                <w:szCs w:val="21"/>
                <w:highlight w:val="none"/>
              </w:rPr>
              <w:t>按照患者抽取当前患者的所有共享文档</w:t>
            </w: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 xml:space="preserve"> </w:t>
            </w:r>
            <w:r>
              <w:rPr>
                <w:rFonts w:hint="eastAsia" w:ascii="宋体" w:hAnsi="宋体" w:cs="宋体"/>
                <w:b w:val="0"/>
                <w:bCs/>
                <w:sz w:val="21"/>
                <w:szCs w:val="21"/>
                <w:highlight w:val="none"/>
                <w:lang w:val="en-US" w:eastAsia="zh-CN"/>
              </w:rPr>
              <w:t>⑤.</w:t>
            </w:r>
            <w:r>
              <w:rPr>
                <w:rFonts w:hint="eastAsia" w:ascii="宋体" w:hAnsi="宋体" w:eastAsia="宋体" w:cs="宋体"/>
                <w:b w:val="0"/>
                <w:bCs/>
                <w:sz w:val="21"/>
                <w:szCs w:val="21"/>
                <w:highlight w:val="none"/>
              </w:rPr>
              <w:t>按照特定类型进行共享文档的生成</w:t>
            </w:r>
            <w:r>
              <w:rPr>
                <w:rFonts w:hint="eastAsia" w:ascii="宋体" w:hAnsi="宋体" w:cs="宋体"/>
                <w:b w:val="0"/>
                <w:bCs/>
                <w:sz w:val="21"/>
                <w:szCs w:val="21"/>
                <w:highlight w:val="none"/>
                <w:lang w:eastAsia="zh-CN"/>
              </w:rPr>
              <w:t>。</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评价机制：投标人提供的解决方案能完整、流程化、动态得模拟展示上述全部5个功能点，且能够阐述符合性测试验证机制设计的合理性，得5分，否则不得分。</w:t>
            </w:r>
          </w:p>
          <w:p>
            <w:pPr>
              <w:pStyle w:val="134"/>
              <w:numPr>
                <w:ilvl w:val="0"/>
                <w:numId w:val="0"/>
              </w:numPr>
              <w:adjustRightInd w:val="0"/>
              <w:snapToGrid w:val="0"/>
              <w:spacing w:after="0" w:line="240" w:lineRule="auto"/>
              <w:ind w:leftChars="0"/>
              <w:textAlignment w:val="baseline"/>
              <w:rPr>
                <w:rFonts w:hint="eastAsia" w:ascii="宋体" w:hAnsi="宋体" w:eastAsia="宋体" w:cs="宋体"/>
                <w:b w:val="0"/>
                <w:bCs/>
                <w:sz w:val="21"/>
                <w:szCs w:val="21"/>
                <w:highlight w:val="none"/>
              </w:rPr>
            </w:pP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考察点4：</w:t>
            </w:r>
            <w:r>
              <w:rPr>
                <w:rFonts w:hint="eastAsia" w:ascii="宋体" w:hAnsi="宋体" w:eastAsia="宋体" w:cs="宋体"/>
                <w:b w:val="0"/>
                <w:bCs/>
                <w:sz w:val="21"/>
                <w:szCs w:val="21"/>
                <w:highlight w:val="none"/>
              </w:rPr>
              <w:t>符合性改造任务(含软件设计)的技术要求。</w:t>
            </w:r>
          </w:p>
          <w:p>
            <w:pPr>
              <w:adjustRightInd w:val="0"/>
              <w:snapToGrid w:val="0"/>
              <w:spacing w:line="240" w:lineRule="auto"/>
              <w:textAlignment w:val="baseline"/>
              <w:rPr>
                <w:rFonts w:hint="eastAsia" w:ascii="宋体" w:hAnsi="宋体" w:eastAsia="宋体" w:cs="宋体"/>
                <w:b w:val="0"/>
                <w:bCs/>
                <w:sz w:val="21"/>
                <w:szCs w:val="21"/>
                <w:highlight w:val="none"/>
                <w:lang w:eastAsia="zh-CN"/>
              </w:rPr>
            </w:pPr>
            <w:r>
              <w:rPr>
                <w:rFonts w:hint="eastAsia" w:ascii="宋体" w:hAnsi="宋体" w:eastAsia="宋体" w:cs="宋体"/>
                <w:b w:val="0"/>
                <w:bCs/>
                <w:sz w:val="15"/>
                <w:szCs w:val="15"/>
                <w:highlight w:val="none"/>
              </w:rPr>
              <w:t>●</w:t>
            </w:r>
            <w:r>
              <w:rPr>
                <w:rFonts w:hint="eastAsia" w:ascii="宋体" w:hAnsi="宋体" w:eastAsia="宋体" w:cs="宋体"/>
                <w:b w:val="0"/>
                <w:bCs/>
                <w:sz w:val="21"/>
                <w:szCs w:val="21"/>
                <w:highlight w:val="none"/>
              </w:rPr>
              <w:t>主要考察标准：</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支持列式数据库，实现高性能的查询功能</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支持归并计算，实现高性能并行网格计算；</w:t>
            </w:r>
            <w:r>
              <w:rPr>
                <w:rFonts w:hint="eastAsia" w:ascii="宋体" w:hAnsi="宋体" w:cs="宋体"/>
                <w:b w:val="0"/>
                <w:bCs/>
                <w:sz w:val="21"/>
                <w:szCs w:val="21"/>
                <w:highlight w:val="none"/>
                <w:lang w:val="en-US" w:eastAsia="zh-CN"/>
              </w:rPr>
              <w:t>③.</w:t>
            </w:r>
            <w:r>
              <w:rPr>
                <w:rFonts w:hint="eastAsia" w:ascii="宋体" w:hAnsi="宋体" w:eastAsia="宋体" w:cs="宋体"/>
                <w:b w:val="0"/>
                <w:bCs/>
                <w:sz w:val="21"/>
                <w:szCs w:val="21"/>
                <w:highlight w:val="none"/>
              </w:rPr>
              <w:t>支持内存计算，处理准实时数据</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④.</w:t>
            </w:r>
            <w:r>
              <w:rPr>
                <w:rFonts w:hint="eastAsia" w:ascii="宋体" w:hAnsi="宋体" w:eastAsia="宋体" w:cs="宋体"/>
                <w:b w:val="0"/>
                <w:bCs/>
                <w:sz w:val="21"/>
                <w:szCs w:val="21"/>
                <w:highlight w:val="none"/>
              </w:rPr>
              <w:t>支持任务自动迁移、重试和预测执行，不受计算节点故障影响</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⑤.</w:t>
            </w:r>
            <w:r>
              <w:rPr>
                <w:rFonts w:hint="eastAsia" w:ascii="宋体" w:hAnsi="宋体" w:eastAsia="宋体" w:cs="宋体"/>
                <w:b w:val="0"/>
                <w:bCs/>
                <w:sz w:val="21"/>
                <w:szCs w:val="21"/>
                <w:highlight w:val="none"/>
              </w:rPr>
              <w:t>分布式各节点下每分钟的查询请求数分布情况</w:t>
            </w:r>
            <w:r>
              <w:rPr>
                <w:rFonts w:hint="eastAsia" w:ascii="宋体" w:hAnsi="宋体" w:cs="宋体"/>
                <w:b w:val="0"/>
                <w:bCs/>
                <w:sz w:val="21"/>
                <w:szCs w:val="21"/>
                <w:highlight w:val="none"/>
                <w:lang w:eastAsia="zh-CN"/>
              </w:rPr>
              <w:t>。</w:t>
            </w:r>
          </w:p>
          <w:p>
            <w:pPr>
              <w:spacing w:line="240" w:lineRule="auto"/>
              <w:jc w:val="both"/>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15"/>
                <w:szCs w:val="15"/>
                <w:highlight w:val="none"/>
              </w:rPr>
              <w:t>●</w:t>
            </w:r>
            <w:r>
              <w:rPr>
                <w:rFonts w:hint="eastAsia" w:ascii="宋体" w:hAnsi="宋体" w:eastAsia="宋体" w:cs="宋体"/>
                <w:b w:val="0"/>
                <w:bCs/>
                <w:sz w:val="21"/>
                <w:szCs w:val="21"/>
                <w:highlight w:val="none"/>
              </w:rPr>
              <w:t>评价机制：解决方案能完全满足上述5个技术点要求，且能够详尽阐明各技术要求点的实现以及其应用场景、得15分，否则不得分。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540" w:type="dxa"/>
            <w:vMerge w:val="continue"/>
            <w:vAlign w:val="center"/>
          </w:tcPr>
          <w:p>
            <w:pPr>
              <w:jc w:val="center"/>
              <w:rPr>
                <w:highlight w:val="none"/>
                <w:vertAlign w:val="baseline"/>
              </w:rPr>
            </w:pPr>
          </w:p>
        </w:tc>
        <w:tc>
          <w:tcPr>
            <w:tcW w:w="1140" w:type="dxa"/>
            <w:vMerge w:val="continue"/>
            <w:vAlign w:val="center"/>
          </w:tcPr>
          <w:p>
            <w:pPr>
              <w:jc w:val="center"/>
              <w:rPr>
                <w:highlight w:val="none"/>
                <w:vertAlign w:val="baseline"/>
              </w:rPr>
            </w:pPr>
          </w:p>
        </w:tc>
        <w:tc>
          <w:tcPr>
            <w:tcW w:w="1365" w:type="dxa"/>
            <w:vAlign w:val="center"/>
          </w:tcPr>
          <w:p>
            <w:pPr>
              <w:adjustRightInd w:val="0"/>
              <w:snapToGrid w:val="0"/>
              <w:spacing w:line="240" w:lineRule="auto"/>
              <w:jc w:val="center"/>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实施团队关键人员项目资历与经验证明、实施交付人员</w:t>
            </w:r>
          </w:p>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10分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所派遣的项目建设关键人员(含项目经理)，必须具有帮助医院通过国家卫键委互联互通成熟度评测过审项目的经验，投标人须提供所派遣的项目建设关键人员(含项目经理)主导或参与医院通过上述评审项目案例的项目资历与经验证明材料。</w:t>
            </w: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证明材料要求：由医疗机构或医疗机构信息部门出具的书面说明并加盖公章，具体内容自拟，应至少包含具体派遣人员的姓名等信息。</w:t>
            </w:r>
          </w:p>
          <w:p>
            <w:pPr>
              <w:adjustRightInd w:val="0"/>
              <w:snapToGrid w:val="0"/>
              <w:spacing w:line="240" w:lineRule="auto"/>
              <w:textAlignment w:val="baseline"/>
              <w:rPr>
                <w:rFonts w:hint="eastAsia" w:ascii="宋体" w:hAnsi="宋体" w:eastAsia="宋体" w:cs="宋体"/>
                <w:b w:val="0"/>
                <w:bCs/>
                <w:sz w:val="21"/>
                <w:szCs w:val="21"/>
                <w:highlight w:val="none"/>
              </w:rPr>
            </w:pPr>
          </w:p>
          <w:p>
            <w:pPr>
              <w:adjustRightInd w:val="0"/>
              <w:snapToGrid w:val="0"/>
              <w:spacing w:line="240" w:lineRule="auto"/>
              <w:textAlignment w:val="baseline"/>
              <w:rPr>
                <w:highlight w:val="none"/>
                <w:vertAlign w:val="baseline"/>
              </w:rPr>
            </w:pPr>
            <w:r>
              <w:rPr>
                <w:rFonts w:hint="eastAsia" w:ascii="宋体" w:hAnsi="宋体" w:eastAsia="宋体" w:cs="宋体"/>
                <w:b w:val="0"/>
                <w:bCs/>
                <w:sz w:val="21"/>
                <w:szCs w:val="21"/>
                <w:highlight w:val="none"/>
              </w:rPr>
              <w:t>评价机制：提供项目经理主导或参与医院通过上述评审项目案例的资历证明材料，每提供一份案例资历证明材料得3分，</w:t>
            </w:r>
            <w:r>
              <w:rPr>
                <w:rFonts w:hint="eastAsia" w:ascii="宋体" w:hAnsi="宋体" w:cs="宋体"/>
                <w:b w:val="0"/>
                <w:bCs/>
                <w:sz w:val="21"/>
                <w:szCs w:val="21"/>
                <w:highlight w:val="none"/>
                <w:lang w:val="en-US" w:eastAsia="zh-CN"/>
              </w:rPr>
              <w:t>提供三份以上者得</w:t>
            </w:r>
            <w:r>
              <w:rPr>
                <w:rFonts w:hint="eastAsia" w:ascii="宋体" w:hAnsi="宋体" w:eastAsia="宋体" w:cs="宋体"/>
                <w:b w:val="0"/>
                <w:bCs/>
                <w:sz w:val="21"/>
                <w:szCs w:val="21"/>
                <w:highlight w:val="none"/>
              </w:rPr>
              <w:t>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trPr>
        <w:tc>
          <w:tcPr>
            <w:tcW w:w="540" w:type="dxa"/>
            <w:vMerge w:val="continue"/>
            <w:vAlign w:val="center"/>
          </w:tcPr>
          <w:p>
            <w:pPr>
              <w:jc w:val="center"/>
              <w:rPr>
                <w:highlight w:val="none"/>
                <w:vertAlign w:val="baseline"/>
              </w:rPr>
            </w:pPr>
          </w:p>
        </w:tc>
        <w:tc>
          <w:tcPr>
            <w:tcW w:w="1140" w:type="dxa"/>
            <w:vMerge w:val="continue"/>
            <w:vAlign w:val="center"/>
          </w:tcPr>
          <w:p>
            <w:pPr>
              <w:jc w:val="center"/>
              <w:rPr>
                <w:highlight w:val="none"/>
                <w:vertAlign w:val="baseline"/>
              </w:rPr>
            </w:pPr>
          </w:p>
        </w:tc>
        <w:tc>
          <w:tcPr>
            <w:tcW w:w="1365" w:type="dxa"/>
            <w:vAlign w:val="center"/>
          </w:tcPr>
          <w:p>
            <w:pPr>
              <w:adjustRightInd w:val="0"/>
              <w:snapToGrid w:val="0"/>
              <w:spacing w:line="360" w:lineRule="auto"/>
              <w:jc w:val="center"/>
              <w:textAlignment w:val="baseline"/>
              <w:rPr>
                <w:highlight w:val="none"/>
                <w:vertAlign w:val="baseline"/>
              </w:rPr>
            </w:pPr>
            <w:r>
              <w:rPr>
                <w:rFonts w:hint="eastAsia" w:ascii="宋体" w:hAnsi="宋体" w:eastAsia="宋体" w:cs="宋体"/>
                <w:b w:val="0"/>
                <w:bCs/>
                <w:sz w:val="21"/>
                <w:szCs w:val="21"/>
                <w:highlight w:val="none"/>
              </w:rPr>
              <w:t>现场演示与方案讲解</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20分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演示内容1</w:t>
            </w:r>
            <w:r>
              <w:rPr>
                <w:rFonts w:hint="eastAsia" w:ascii="宋体" w:hAnsi="宋体" w:eastAsia="宋体" w:cs="宋体"/>
                <w:b w:val="0"/>
                <w:bCs/>
                <w:sz w:val="21"/>
                <w:szCs w:val="21"/>
                <w:highlight w:val="none"/>
              </w:rPr>
              <w:t>：对集成平台监管工具进行演示。</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要求演示功能点：</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服务配置修改,服务流程失败重发配置</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厂商权限口配置功能</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③.</w:t>
            </w:r>
            <w:r>
              <w:rPr>
                <w:rFonts w:hint="eastAsia" w:ascii="宋体" w:hAnsi="宋体" w:eastAsia="宋体" w:cs="宋体"/>
                <w:b w:val="0"/>
                <w:bCs/>
                <w:sz w:val="21"/>
                <w:szCs w:val="21"/>
                <w:highlight w:val="none"/>
              </w:rPr>
              <w:t>查看业务调用日志，服务调用量</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④.</w:t>
            </w:r>
            <w:r>
              <w:rPr>
                <w:rFonts w:hint="eastAsia" w:ascii="宋体" w:hAnsi="宋体" w:eastAsia="宋体" w:cs="宋体"/>
                <w:b w:val="0"/>
                <w:bCs/>
                <w:sz w:val="21"/>
                <w:szCs w:val="21"/>
                <w:highlight w:val="none"/>
              </w:rPr>
              <w:t>性能展示；服务集成平台实时业务系统调用日志</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⑤.</w:t>
            </w:r>
            <w:r>
              <w:rPr>
                <w:rFonts w:hint="eastAsia" w:ascii="宋体" w:hAnsi="宋体" w:eastAsia="宋体" w:cs="宋体"/>
                <w:b w:val="0"/>
                <w:bCs/>
                <w:sz w:val="21"/>
                <w:szCs w:val="21"/>
                <w:highlight w:val="none"/>
              </w:rPr>
              <w:t>模拟应用系统申请患者类信息查询服务,在平台内查看该服务调用及返回情况 并核对患者相关信息正确性。</w:t>
            </w:r>
          </w:p>
          <w:p>
            <w:pPr>
              <w:adjustRightInd w:val="0"/>
              <w:snapToGrid w:val="0"/>
              <w:spacing w:line="360" w:lineRule="auto"/>
              <w:textAlignment w:val="baseline"/>
              <w:rPr>
                <w:rFonts w:hint="eastAsia" w:ascii="宋体" w:hAnsi="宋体" w:eastAsia="宋体" w:cs="宋体"/>
                <w:b w:val="0"/>
                <w:bCs/>
                <w:sz w:val="21"/>
                <w:szCs w:val="21"/>
                <w:highlight w:val="none"/>
              </w:rPr>
            </w:pPr>
          </w:p>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bCs w:val="0"/>
                <w:sz w:val="22"/>
                <w:szCs w:val="22"/>
                <w:highlight w:val="none"/>
              </w:rPr>
              <w:t>演示内容2</w:t>
            </w:r>
            <w:r>
              <w:rPr>
                <w:rFonts w:hint="eastAsia" w:ascii="宋体" w:hAnsi="宋体" w:eastAsia="宋体" w:cs="宋体"/>
                <w:b w:val="0"/>
                <w:bCs/>
                <w:sz w:val="21"/>
                <w:szCs w:val="21"/>
                <w:highlight w:val="none"/>
              </w:rPr>
              <w:t>：数据中心平台的数据抽取、数据历史查看演示。</w:t>
            </w:r>
          </w:p>
          <w:p>
            <w:pPr>
              <w:pStyle w:val="134"/>
              <w:numPr>
                <w:ilvl w:val="0"/>
                <w:numId w:val="3"/>
              </w:numPr>
              <w:adjustRightInd w:val="0"/>
              <w:snapToGrid w:val="0"/>
              <w:spacing w:after="0" w:line="240" w:lineRule="auto"/>
              <w:ind w:left="216" w:hanging="216" w:firstLineChars="0"/>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要求演示功能点：</w:t>
            </w:r>
            <w:r>
              <w:rPr>
                <w:rFonts w:hint="eastAsia" w:ascii="宋体" w:hAnsi="宋体" w:cs="宋体"/>
                <w:b w:val="0"/>
                <w:bCs/>
                <w:sz w:val="21"/>
                <w:szCs w:val="21"/>
                <w:highlight w:val="none"/>
                <w:lang w:val="en-US" w:eastAsia="zh-CN"/>
              </w:rPr>
              <w:t>①.</w:t>
            </w:r>
            <w:r>
              <w:rPr>
                <w:rFonts w:hint="eastAsia" w:ascii="宋体" w:hAnsi="宋体" w:eastAsia="宋体" w:cs="宋体"/>
                <w:b w:val="0"/>
                <w:bCs/>
                <w:sz w:val="21"/>
                <w:szCs w:val="21"/>
                <w:highlight w:val="none"/>
              </w:rPr>
              <w:t>在数据中心查看一个患者基本信息，在业务系统模拟更新患者基本信息，执行数据实时抽取脚本，在数据中心查变更后的信息；</w:t>
            </w:r>
            <w:r>
              <w:rPr>
                <w:rFonts w:hint="eastAsia" w:ascii="宋体" w:hAnsi="宋体" w:cs="宋体"/>
                <w:b w:val="0"/>
                <w:bCs/>
                <w:sz w:val="21"/>
                <w:szCs w:val="21"/>
                <w:highlight w:val="none"/>
                <w:lang w:val="en-US" w:eastAsia="zh-CN"/>
              </w:rPr>
              <w:t>②.</w:t>
            </w:r>
            <w:r>
              <w:rPr>
                <w:rFonts w:hint="eastAsia" w:ascii="宋体" w:hAnsi="宋体" w:eastAsia="宋体" w:cs="宋体"/>
                <w:b w:val="0"/>
                <w:bCs/>
                <w:sz w:val="21"/>
                <w:szCs w:val="21"/>
                <w:highlight w:val="none"/>
              </w:rPr>
              <w:t>对主数据管理系统总的元数据和值域管理进行演示。</w:t>
            </w:r>
            <w:r>
              <w:rPr>
                <w:rFonts w:hint="eastAsia" w:ascii="宋体" w:hAnsi="宋体" w:cs="宋体"/>
                <w:b w:val="0"/>
                <w:bCs/>
                <w:sz w:val="21"/>
                <w:szCs w:val="21"/>
                <w:highlight w:val="none"/>
                <w:lang w:val="en-US" w:eastAsia="zh-CN"/>
              </w:rPr>
              <w:t>③.</w:t>
            </w:r>
            <w:r>
              <w:rPr>
                <w:rFonts w:hint="eastAsia" w:ascii="宋体" w:hAnsi="宋体" w:eastAsia="宋体" w:cs="宋体"/>
                <w:b w:val="0"/>
                <w:bCs/>
                <w:sz w:val="21"/>
                <w:szCs w:val="21"/>
                <w:highlight w:val="none"/>
              </w:rPr>
              <w:t>元数据管理要求演示元数据维护，元数据检索。包括：标准术语管理、字典管理、业务主数据管理（科室、人员）</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④.</w:t>
            </w:r>
            <w:r>
              <w:rPr>
                <w:rFonts w:hint="eastAsia" w:ascii="宋体" w:hAnsi="宋体" w:eastAsia="宋体" w:cs="宋体"/>
                <w:b w:val="0"/>
                <w:bCs/>
                <w:sz w:val="21"/>
                <w:szCs w:val="21"/>
                <w:highlight w:val="none"/>
              </w:rPr>
              <w:t>支持患者主索引；对数据中心数据应用进行演示，演示当日就诊人次、当日出院人数的指标实时追踪分析，并能跟踪到患者的全息视图；</w:t>
            </w:r>
            <w:r>
              <w:rPr>
                <w:rFonts w:hint="eastAsia" w:ascii="宋体" w:hAnsi="宋体" w:cs="宋体"/>
                <w:b w:val="0"/>
                <w:bCs/>
                <w:sz w:val="21"/>
                <w:szCs w:val="21"/>
                <w:highlight w:val="none"/>
                <w:lang w:val="en-US" w:eastAsia="zh-CN"/>
              </w:rPr>
              <w:t>⑤.</w:t>
            </w:r>
            <w:r>
              <w:rPr>
                <w:rFonts w:hint="eastAsia" w:ascii="宋体" w:hAnsi="宋体" w:eastAsia="宋体" w:cs="宋体"/>
                <w:b w:val="0"/>
                <w:bCs/>
                <w:sz w:val="21"/>
                <w:szCs w:val="21"/>
                <w:highlight w:val="none"/>
              </w:rPr>
              <w:t>通过拖拽动态生成和组合指定数据，生成报表，并提供基本的分析功能。</w:t>
            </w:r>
          </w:p>
          <w:p>
            <w:pPr>
              <w:adjustRightInd w:val="0"/>
              <w:snapToGrid w:val="0"/>
              <w:spacing w:line="360" w:lineRule="auto"/>
              <w:textAlignment w:val="baseline"/>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16"/>
                <w:szCs w:val="16"/>
                <w:highlight w:val="none"/>
                <w:lang w:val="en-US" w:eastAsia="zh-CN"/>
              </w:rPr>
              <w:t>●</w:t>
            </w:r>
            <w:r>
              <w:rPr>
                <w:rFonts w:hint="eastAsia" w:ascii="宋体" w:hAnsi="宋体" w:cs="宋体"/>
                <w:b/>
                <w:bCs w:val="0"/>
                <w:sz w:val="21"/>
                <w:szCs w:val="21"/>
                <w:highlight w:val="none"/>
                <w:lang w:val="en-US" w:eastAsia="zh-CN"/>
              </w:rPr>
              <w:t>演示时间</w:t>
            </w:r>
            <w:r>
              <w:rPr>
                <w:rFonts w:hint="eastAsia" w:ascii="宋体" w:hAnsi="宋体" w:cs="宋体"/>
                <w:b w:val="0"/>
                <w:bCs/>
                <w:sz w:val="21"/>
                <w:szCs w:val="21"/>
                <w:highlight w:val="none"/>
                <w:lang w:val="en-US" w:eastAsia="zh-CN"/>
              </w:rPr>
              <w:t>：每投标人10分钟</w:t>
            </w:r>
          </w:p>
          <w:p>
            <w:pPr>
              <w:pStyle w:val="135"/>
              <w:numPr>
                <w:ilvl w:val="0"/>
                <w:numId w:val="3"/>
              </w:numPr>
              <w:spacing w:line="240" w:lineRule="auto"/>
              <w:ind w:left="216" w:hanging="216"/>
              <w:rPr>
                <w:highlight w:val="none"/>
                <w:vertAlign w:val="baseline"/>
              </w:rPr>
            </w:pPr>
            <w:r>
              <w:rPr>
                <w:rFonts w:hint="eastAsia" w:ascii="宋体" w:hAnsi="宋体" w:eastAsia="宋体" w:cs="宋体"/>
                <w:b w:val="0"/>
                <w:bCs/>
                <w:sz w:val="21"/>
                <w:szCs w:val="21"/>
                <w:highlight w:val="none"/>
              </w:rPr>
              <w:t>评价机制：</w:t>
            </w:r>
            <w:r>
              <w:rPr>
                <w:rFonts w:hint="eastAsia" w:ascii="宋体" w:hAnsi="宋体" w:eastAsia="宋体" w:cs="宋体"/>
                <w:b w:val="0"/>
                <w:bCs/>
                <w:kern w:val="2"/>
                <w:sz w:val="21"/>
                <w:szCs w:val="21"/>
                <w:highlight w:val="none"/>
                <w:lang w:val="en-US" w:eastAsia="zh-CN" w:bidi="ar-SA"/>
              </w:rPr>
              <w:t>1).考察评估投标人演示效果，和对业务流程的理解，根据上述10个演示功能点要求，满足一条得2分，最多得20分；2).上述所有功能点要求采用现场演示方式，须以动态形式演示软件流程的执行过程；凡是仅以图片\PPT\文字等静态形式、不能展示软件及场景业务流程的执行过程的，不得分</w:t>
            </w:r>
            <w:r>
              <w:rPr>
                <w:rFonts w:hint="eastAsia" w:ascii="宋体" w:hAnsi="宋体" w:cs="宋体"/>
                <w:b w:val="0"/>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dxa"/>
            <w:vMerge w:val="continue"/>
            <w:vAlign w:val="center"/>
          </w:tcPr>
          <w:p>
            <w:pPr>
              <w:jc w:val="center"/>
              <w:rPr>
                <w:highlight w:val="none"/>
                <w:vertAlign w:val="baseline"/>
              </w:rPr>
            </w:pPr>
          </w:p>
        </w:tc>
        <w:tc>
          <w:tcPr>
            <w:tcW w:w="1140" w:type="dxa"/>
            <w:vMerge w:val="continue"/>
            <w:vAlign w:val="center"/>
          </w:tcPr>
          <w:p>
            <w:pPr>
              <w:jc w:val="center"/>
              <w:rPr>
                <w:highlight w:val="none"/>
                <w:vertAlign w:val="baseline"/>
              </w:rPr>
            </w:pPr>
          </w:p>
        </w:tc>
        <w:tc>
          <w:tcPr>
            <w:tcW w:w="1365" w:type="dxa"/>
            <w:vAlign w:val="center"/>
          </w:tcPr>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rPr>
              <w:t>售后服务承诺</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3分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根据投标人提供的售后服务方案规划,包含售后响应时间、修复时间、应急预案等，售后服务人员配备及管理措施，培训、应急响应等服务措施.</w:t>
            </w:r>
          </w:p>
          <w:p>
            <w:pPr>
              <w:adjustRightInd w:val="0"/>
              <w:snapToGrid w:val="0"/>
              <w:spacing w:line="240" w:lineRule="auto"/>
              <w:textAlignment w:val="baseline"/>
              <w:rPr>
                <w:rFonts w:hint="default" w:eastAsia="宋体"/>
                <w:highlight w:val="none"/>
                <w:vertAlign w:val="baseline"/>
                <w:lang w:val="en-US" w:eastAsia="zh-CN"/>
              </w:rPr>
            </w:pPr>
            <w:r>
              <w:rPr>
                <w:rFonts w:hint="eastAsia" w:ascii="宋体" w:hAnsi="宋体" w:eastAsia="宋体" w:cs="宋体"/>
                <w:b w:val="0"/>
                <w:bCs/>
                <w:sz w:val="21"/>
                <w:szCs w:val="21"/>
                <w:highlight w:val="none"/>
              </w:rPr>
              <w:t>评价机制：完整提供上述方案的得3分,每缺少一项或该项内容阐述不够明确或服务响应等级与质量较差,该项扣1分。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40" w:type="dxa"/>
            <w:vMerge w:val="continue"/>
            <w:vAlign w:val="center"/>
          </w:tcPr>
          <w:p>
            <w:pPr>
              <w:jc w:val="center"/>
              <w:rPr>
                <w:highlight w:val="none"/>
                <w:vertAlign w:val="baseline"/>
              </w:rPr>
            </w:pPr>
          </w:p>
        </w:tc>
        <w:tc>
          <w:tcPr>
            <w:tcW w:w="1140" w:type="dxa"/>
            <w:vMerge w:val="continue"/>
            <w:vAlign w:val="center"/>
          </w:tcPr>
          <w:p>
            <w:pPr>
              <w:jc w:val="center"/>
              <w:rPr>
                <w:highlight w:val="none"/>
                <w:vertAlign w:val="baseline"/>
              </w:rPr>
            </w:pPr>
          </w:p>
        </w:tc>
        <w:tc>
          <w:tcPr>
            <w:tcW w:w="1365" w:type="dxa"/>
            <w:vAlign w:val="center"/>
          </w:tcPr>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sz w:val="21"/>
                <w:szCs w:val="21"/>
                <w:highlight w:val="none"/>
              </w:rPr>
              <w:t>投标文件编制</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2分</w:t>
            </w:r>
            <w:r>
              <w:rPr>
                <w:rFonts w:hint="eastAsia" w:ascii="宋体" w:hAnsi="宋体" w:eastAsia="宋体" w:cs="宋体"/>
                <w:b w:val="0"/>
                <w:bCs/>
                <w:sz w:val="21"/>
                <w:szCs w:val="21"/>
                <w:highlight w:val="none"/>
                <w:lang w:eastAsia="zh-CN"/>
              </w:rPr>
              <w:t>）</w:t>
            </w:r>
          </w:p>
        </w:tc>
        <w:tc>
          <w:tcPr>
            <w:tcW w:w="7380" w:type="dxa"/>
            <w:vAlign w:val="top"/>
          </w:tcPr>
          <w:p>
            <w:pPr>
              <w:adjustRightInd w:val="0"/>
              <w:snapToGrid w:val="0"/>
              <w:spacing w:line="240"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考察投标文件质量，是否内容完整、简洁明了、编排有序，是否存在内容缺漏、重复繁琐、文字或图片不清晰或者编排混乱。</w:t>
            </w:r>
          </w:p>
          <w:p>
            <w:pPr>
              <w:adjustRightInd w:val="0"/>
              <w:snapToGrid w:val="0"/>
              <w:spacing w:line="240" w:lineRule="auto"/>
              <w:textAlignment w:val="baseline"/>
              <w:rPr>
                <w:highlight w:val="none"/>
                <w:vertAlign w:val="baseline"/>
              </w:rPr>
            </w:pPr>
            <w:r>
              <w:rPr>
                <w:rFonts w:hint="eastAsia" w:ascii="宋体" w:hAnsi="宋体" w:eastAsia="宋体" w:cs="宋体"/>
                <w:b w:val="0"/>
                <w:bCs/>
                <w:sz w:val="21"/>
                <w:szCs w:val="21"/>
                <w:highlight w:val="none"/>
              </w:rPr>
              <w:t>评价机制：投标文件制作规范，没有细微偏差情形的得2分,有一项细微偏差扣0.5分，直至该项分值扣完为止。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1140" w:type="dxa"/>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业绩资质（3分）</w:t>
            </w:r>
          </w:p>
        </w:tc>
        <w:tc>
          <w:tcPr>
            <w:tcW w:w="1365" w:type="dxa"/>
            <w:vAlign w:val="center"/>
          </w:tcPr>
          <w:p>
            <w:pPr>
              <w:adjustRightInd w:val="0"/>
              <w:snapToGrid w:val="0"/>
              <w:spacing w:line="240" w:lineRule="auto"/>
              <w:jc w:val="center"/>
              <w:textAlignment w:val="baseline"/>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同类项目能力评价</w:t>
            </w:r>
          </w:p>
          <w:p>
            <w:pPr>
              <w:adjustRightInd w:val="0"/>
              <w:snapToGrid w:val="0"/>
              <w:spacing w:line="240" w:lineRule="auto"/>
              <w:jc w:val="center"/>
              <w:textAlignment w:val="baseline"/>
              <w:rPr>
                <w:highlight w:val="none"/>
                <w:vertAlign w:val="baseline"/>
              </w:rPr>
            </w:pPr>
            <w:r>
              <w:rPr>
                <w:rFonts w:hint="eastAsia" w:ascii="宋体" w:hAnsi="宋体" w:eastAsia="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en-US" w:eastAsia="zh-CN"/>
              </w:rPr>
              <w:t>分</w:t>
            </w:r>
            <w:r>
              <w:rPr>
                <w:rFonts w:hint="eastAsia" w:ascii="宋体" w:hAnsi="宋体" w:eastAsia="宋体" w:cs="宋体"/>
                <w:b w:val="0"/>
                <w:bCs/>
                <w:color w:val="000000"/>
                <w:sz w:val="21"/>
                <w:szCs w:val="21"/>
                <w:highlight w:val="none"/>
                <w:lang w:eastAsia="zh-CN"/>
              </w:rPr>
              <w:t>）</w:t>
            </w:r>
          </w:p>
        </w:tc>
        <w:tc>
          <w:tcPr>
            <w:tcW w:w="7380" w:type="dxa"/>
            <w:vAlign w:val="top"/>
          </w:tcPr>
          <w:p>
            <w:pPr>
              <w:adjustRightInd w:val="0"/>
              <w:snapToGrid w:val="0"/>
              <w:spacing w:line="240" w:lineRule="auto"/>
              <w:textAlignment w:val="baseline"/>
              <w:rPr>
                <w:highlight w:val="none"/>
                <w:vertAlign w:val="baseline"/>
              </w:rPr>
            </w:pPr>
            <w:r>
              <w:rPr>
                <w:rFonts w:hint="eastAsia" w:ascii="宋体" w:hAnsi="宋体" w:eastAsia="宋体" w:cs="宋体"/>
                <w:b w:val="0"/>
                <w:bCs/>
                <w:color w:val="000000"/>
                <w:sz w:val="21"/>
                <w:szCs w:val="21"/>
                <w:highlight w:val="none"/>
              </w:rPr>
              <w:t>提供投标人实施团队2016年</w:t>
            </w:r>
            <w:r>
              <w:rPr>
                <w:rFonts w:hint="eastAsia" w:ascii="宋体" w:hAnsi="宋体" w:cs="宋体"/>
                <w:b w:val="0"/>
                <w:bCs/>
                <w:color w:val="000000"/>
                <w:sz w:val="21"/>
                <w:szCs w:val="21"/>
                <w:highlight w:val="none"/>
                <w:lang w:val="en-US" w:eastAsia="zh-CN"/>
              </w:rPr>
              <w:t>11月1日至今</w:t>
            </w:r>
            <w:r>
              <w:rPr>
                <w:rFonts w:hint="eastAsia" w:ascii="宋体" w:hAnsi="宋体" w:eastAsia="宋体" w:cs="宋体"/>
                <w:b w:val="0"/>
                <w:bCs/>
                <w:color w:val="000000"/>
                <w:sz w:val="21"/>
                <w:szCs w:val="21"/>
                <w:highlight w:val="none"/>
              </w:rPr>
              <w:t>的</w:t>
            </w:r>
            <w:r>
              <w:rPr>
                <w:rFonts w:hint="eastAsia" w:ascii="宋体" w:hAnsi="宋体" w:cs="宋体"/>
                <w:b w:val="0"/>
                <w:bCs/>
                <w:color w:val="000000"/>
                <w:sz w:val="21"/>
                <w:szCs w:val="21"/>
                <w:highlight w:val="none"/>
                <w:lang w:val="en-US" w:eastAsia="zh-CN"/>
              </w:rPr>
              <w:t>同类项目业绩，业绩合同需在投标文件中附合同复印件并加盖投标人公章，合同复印件至少包括合同首页、建设内容以及签署页。</w:t>
            </w:r>
            <w:r>
              <w:rPr>
                <w:rFonts w:hint="eastAsia" w:ascii="宋体" w:hAnsi="宋体" w:eastAsia="宋体" w:cs="宋体"/>
                <w:b w:val="0"/>
                <w:bCs/>
                <w:color w:val="000000"/>
                <w:sz w:val="21"/>
                <w:szCs w:val="21"/>
                <w:highlight w:val="none"/>
              </w:rPr>
              <w:t>每提供一</w:t>
            </w:r>
            <w:r>
              <w:rPr>
                <w:rFonts w:hint="eastAsia" w:ascii="宋体" w:hAnsi="宋体" w:cs="宋体"/>
                <w:b w:val="0"/>
                <w:bCs/>
                <w:color w:val="000000"/>
                <w:sz w:val="21"/>
                <w:szCs w:val="21"/>
                <w:highlight w:val="none"/>
                <w:lang w:val="en-US" w:eastAsia="zh-CN"/>
              </w:rPr>
              <w:t>份合同</w:t>
            </w:r>
            <w:r>
              <w:rPr>
                <w:rFonts w:hint="eastAsia" w:ascii="宋体" w:hAnsi="宋体" w:eastAsia="宋体" w:cs="宋体"/>
                <w:b w:val="0"/>
                <w:bCs/>
                <w:color w:val="000000"/>
                <w:sz w:val="21"/>
                <w:szCs w:val="21"/>
                <w:highlight w:val="none"/>
              </w:rPr>
              <w:t>得1分，最多得3分。</w:t>
            </w:r>
          </w:p>
        </w:tc>
      </w:tr>
    </w:tbl>
    <w:p>
      <w:pPr>
        <w:pStyle w:val="19"/>
        <w:spacing w:line="360" w:lineRule="exact"/>
        <w:rPr>
          <w:rFonts w:ascii="宋体" w:hAnsi="宋体"/>
          <w:b/>
          <w:bCs/>
          <w:color w:val="000000"/>
          <w:sz w:val="21"/>
          <w:szCs w:val="21"/>
          <w:highlight w:val="none"/>
        </w:rPr>
      </w:pPr>
    </w:p>
    <w:p>
      <w:pPr>
        <w:pStyle w:val="19"/>
        <w:spacing w:line="360" w:lineRule="auto"/>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w:t>
      </w:r>
      <w:r>
        <w:rPr>
          <w:rFonts w:hint="eastAsia" w:ascii="宋体" w:hAnsi="宋体"/>
          <w:b/>
          <w:bCs/>
          <w:color w:val="000000"/>
          <w:sz w:val="21"/>
          <w:szCs w:val="21"/>
          <w:highlight w:val="none"/>
          <w:lang w:val="en-US" w:eastAsia="zh-CN"/>
        </w:rPr>
        <w:t>2016年11月1日至今</w:t>
      </w:r>
      <w:r>
        <w:rPr>
          <w:rFonts w:hint="eastAsia" w:ascii="宋体" w:hAnsi="宋体"/>
          <w:b/>
          <w:bCs/>
          <w:color w:val="000000"/>
          <w:sz w:val="21"/>
          <w:szCs w:val="21"/>
          <w:highlight w:val="none"/>
        </w:rPr>
        <w:t>。</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4"/>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30962"/>
      <w:bookmarkStart w:id="98" w:name="_Toc29202"/>
      <w:bookmarkStart w:id="99" w:name="_Toc10857"/>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7870"/>
      <w:bookmarkStart w:id="101" w:name="_Toc28609"/>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0952"/>
      <w:bookmarkStart w:id="103" w:name="_Toc13878"/>
      <w:bookmarkStart w:id="104" w:name="_Toc3157"/>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1876"/>
      <w:bookmarkStart w:id="106" w:name="_Toc1537"/>
      <w:bookmarkStart w:id="107" w:name="_Toc26147"/>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14534"/>
      <w:bookmarkStart w:id="109" w:name="_Toc28213"/>
      <w:bookmarkStart w:id="110" w:name="_Toc11927"/>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1386"/>
      <w:bookmarkStart w:id="112" w:name="_Toc9163"/>
      <w:bookmarkStart w:id="113" w:name="_Toc5288"/>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ascii="宋体" w:hAnsi="宋体"/>
          <w:bCs/>
          <w:highlight w:val="none"/>
        </w:rPr>
      </w:pPr>
      <w:r>
        <w:rPr>
          <w:rFonts w:hint="eastAsia" w:ascii="宋体" w:hAnsi="宋体"/>
          <w:bCs/>
          <w:highlight w:val="none"/>
        </w:rPr>
        <w:t>35.  解释权</w:t>
      </w:r>
    </w:p>
    <w:p>
      <w:pPr>
        <w:pStyle w:val="19"/>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27088"/>
      <w:bookmarkStart w:id="115" w:name="_Toc8805"/>
      <w:bookmarkStart w:id="116" w:name="_Toc1488"/>
      <w:r>
        <w:rPr>
          <w:rFonts w:hint="eastAsia" w:ascii="宋体" w:hAnsi="宋体"/>
          <w:b/>
          <w:bCs/>
          <w:sz w:val="24"/>
          <w:highlight w:val="none"/>
        </w:rPr>
        <w:t>十一、其他</w:t>
      </w:r>
      <w:bookmarkEnd w:id="114"/>
      <w:bookmarkEnd w:id="115"/>
      <w:bookmarkEnd w:id="116"/>
    </w:p>
    <w:p>
      <w:pPr>
        <w:pStyle w:val="21"/>
        <w:numPr>
          <w:ilvl w:val="0"/>
          <w:numId w:val="5"/>
        </w:numPr>
        <w:snapToGrid w:val="0"/>
        <w:spacing w:line="480" w:lineRule="auto"/>
        <w:ind w:leftChars="0" w:firstLineChars="0"/>
        <w:outlineLvl w:val="0"/>
        <w:rPr>
          <w:rFonts w:ascii="宋体"/>
          <w:bCs/>
          <w:sz w:val="24"/>
          <w:highlight w:val="none"/>
        </w:rPr>
      </w:pPr>
      <w:bookmarkStart w:id="117" w:name="_Toc17247"/>
      <w:bookmarkStart w:id="118" w:name="_Toc19127"/>
      <w:bookmarkStart w:id="119" w:name="_Toc30190"/>
      <w:r>
        <w:rPr>
          <w:rFonts w:hint="eastAsia" w:ascii="宋体" w:hAnsi="宋体"/>
          <w:bCs/>
          <w:sz w:val="24"/>
          <w:highlight w:val="none"/>
        </w:rPr>
        <w:t>其他</w:t>
      </w:r>
      <w:bookmarkEnd w:id="117"/>
      <w:bookmarkEnd w:id="118"/>
      <w:bookmarkEnd w:id="119"/>
    </w:p>
    <w:p>
      <w:pPr>
        <w:pStyle w:val="21"/>
        <w:snapToGrid w:val="0"/>
        <w:spacing w:line="480" w:lineRule="auto"/>
        <w:ind w:left="570" w:leftChars="0" w:firstLine="0" w:firstLineChars="0"/>
        <w:outlineLvl w:val="0"/>
        <w:rPr>
          <w:rFonts w:ascii="宋体"/>
          <w:bCs/>
          <w:sz w:val="24"/>
          <w:highlight w:val="none"/>
        </w:rPr>
      </w:pPr>
      <w:bookmarkStart w:id="120" w:name="_Toc7890"/>
      <w:bookmarkStart w:id="121" w:name="_Toc4557"/>
      <w:bookmarkStart w:id="122"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480" w:lineRule="auto"/>
        <w:ind w:left="570" w:leftChars="0" w:firstLine="0" w:firstLineChars="0"/>
        <w:outlineLvl w:val="0"/>
        <w:rPr>
          <w:rFonts w:ascii="宋体"/>
          <w:bCs/>
          <w:sz w:val="24"/>
          <w:highlight w:val="none"/>
        </w:rPr>
      </w:pPr>
      <w:bookmarkStart w:id="123" w:name="_Toc20220"/>
      <w:bookmarkStart w:id="124" w:name="_Toc30966"/>
      <w:bookmarkStart w:id="125"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pStyle w:val="3"/>
        <w:spacing w:before="80" w:after="80" w:line="360" w:lineRule="auto"/>
        <w:rPr>
          <w:rFonts w:hint="eastAsia" w:ascii="黑体" w:hAnsi="黑体" w:cs="黑体"/>
          <w:b w:val="0"/>
          <w:bCs/>
          <w:sz w:val="21"/>
          <w:szCs w:val="21"/>
        </w:rPr>
      </w:pPr>
      <w:bookmarkStart w:id="127" w:name="_Toc527187922"/>
      <w:bookmarkStart w:id="128" w:name="_Toc527189053"/>
      <w:bookmarkStart w:id="129" w:name="_Toc2031"/>
      <w:r>
        <w:rPr>
          <w:rFonts w:hint="eastAsia" w:ascii="黑体" w:hAnsi="黑体" w:cs="黑体"/>
          <w:b w:val="0"/>
          <w:bCs/>
          <w:sz w:val="21"/>
          <w:szCs w:val="21"/>
        </w:rPr>
        <w:t xml:space="preserve">一、技术参数 </w:t>
      </w:r>
    </w:p>
    <w:p>
      <w:pPr>
        <w:pStyle w:val="3"/>
        <w:spacing w:before="80" w:after="80" w:line="360" w:lineRule="auto"/>
        <w:rPr>
          <w:rFonts w:hint="eastAsia" w:ascii="黑体" w:hAnsi="黑体" w:cs="黑体"/>
          <w:b w:val="0"/>
          <w:bCs/>
          <w:sz w:val="21"/>
          <w:szCs w:val="21"/>
        </w:rPr>
      </w:pPr>
      <w:r>
        <w:rPr>
          <w:rFonts w:hint="eastAsia" w:ascii="黑体" w:hAnsi="黑体" w:cs="黑体"/>
          <w:b w:val="0"/>
          <w:bCs/>
          <w:sz w:val="21"/>
          <w:szCs w:val="21"/>
        </w:rPr>
        <w:t>1.1建设目标</w:t>
      </w:r>
    </w:p>
    <w:p>
      <w:pPr>
        <w:spacing w:line="360" w:lineRule="auto"/>
        <w:ind w:firstLine="420" w:firstLineChars="200"/>
        <w:rPr>
          <w:rFonts w:hint="eastAsia" w:ascii="仿宋" w:hAnsi="仿宋"/>
          <w:color w:val="000000"/>
          <w:sz w:val="21"/>
          <w:szCs w:val="21"/>
        </w:rPr>
      </w:pPr>
      <w:r>
        <w:rPr>
          <w:rFonts w:hint="eastAsia" w:ascii="仿宋" w:hAnsi="仿宋"/>
          <w:color w:val="000000"/>
          <w:sz w:val="21"/>
          <w:szCs w:val="21"/>
        </w:rPr>
        <w:t>山东大学第二医院于2017年启动设计、论证与建设的“数据及应用集成平台”项目，作为医院医疗信息系统运行的综合服务平台，承载临床、教育、科研及管理系统的部署和运行，完成医院信息集成平台的基础建设、实现医院信息系统功能指引的功能，主要包括集成平台、全院数据中心平台、运营管理、临床质控管理、病历文书模块、远程医疗及信息安全…等多方面的建设。</w:t>
      </w:r>
    </w:p>
    <w:p>
      <w:pPr>
        <w:spacing w:line="360" w:lineRule="auto"/>
        <w:ind w:firstLine="420" w:firstLineChars="200"/>
        <w:rPr>
          <w:rFonts w:hint="eastAsia" w:ascii="仿宋" w:hAnsi="仿宋"/>
          <w:color w:val="000000"/>
          <w:sz w:val="21"/>
          <w:szCs w:val="21"/>
        </w:rPr>
      </w:pPr>
      <w:r>
        <w:rPr>
          <w:rFonts w:hint="eastAsia" w:ascii="仿宋" w:hAnsi="仿宋"/>
          <w:color w:val="000000"/>
          <w:sz w:val="21"/>
          <w:szCs w:val="21"/>
        </w:rPr>
        <w:t>通过平台的建设，将优化医疗资源配置，实现诊疗流程再造，提高医院运作效率；提高数据挖掘、分析能力，深度体现数据价值，提升医院智能化水平；最大限度地方便病人就医、方便医院一线医护人员工作，帮助管理者进行科学管理决策，帮助医生进行基于循证的医疗决策和医疗计划的制定，支持临床应用科研的顺利开展；推动惠及全民的健康信息服务和智慧医疗服务，推动健康大数据的应用，逐步转变医院服务模式，提高医院服务能力和管理水平。探索出一套适合我国口腔专科医院的数字化医院管理模型与工作流程，在业务应用上达到国内领先水平。</w:t>
      </w:r>
    </w:p>
    <w:p>
      <w:pPr>
        <w:spacing w:line="360" w:lineRule="auto"/>
        <w:ind w:firstLine="420" w:firstLineChars="200"/>
        <w:rPr>
          <w:rFonts w:ascii="仿宋" w:hAnsi="仿宋"/>
          <w:color w:val="000000"/>
          <w:sz w:val="21"/>
          <w:szCs w:val="21"/>
        </w:rPr>
      </w:pPr>
      <w:r>
        <w:rPr>
          <w:rFonts w:hint="eastAsia" w:ascii="仿宋" w:hAnsi="仿宋"/>
          <w:color w:val="000000"/>
          <w:sz w:val="21"/>
          <w:szCs w:val="21"/>
        </w:rPr>
        <w:t>为了进一步加强卫生信息标准推广与应用，积极响应国家卫键委统计信息中心在委规划与信息司的领导下组织开展医疗健康信息互联互通标准化成熟度测评项目工作，从数据资源标准化建设、互联互通标准化建设、基础设施建设和互联互通应用效果等四个方面对医院信息平台进行综合全面的评估。为了通过国家卫计委组织的评审工作，医院需要对院内现有的应用系统进行数据和接口的改造工作</w:t>
      </w:r>
    </w:p>
    <w:p>
      <w:pPr>
        <w:spacing w:line="360" w:lineRule="auto"/>
        <w:ind w:firstLine="420" w:firstLineChars="200"/>
        <w:rPr>
          <w:rFonts w:hint="eastAsia" w:ascii="仿宋" w:hAnsi="仿宋"/>
          <w:color w:val="000000"/>
          <w:sz w:val="21"/>
          <w:szCs w:val="21"/>
        </w:rPr>
      </w:pPr>
      <w:r>
        <w:rPr>
          <w:rFonts w:hint="eastAsia" w:ascii="仿宋" w:hAnsi="仿宋"/>
          <w:color w:val="000000"/>
          <w:sz w:val="21"/>
          <w:szCs w:val="21"/>
        </w:rPr>
        <w:t xml:space="preserve"> </w:t>
      </w:r>
    </w:p>
    <w:p>
      <w:pPr>
        <w:pStyle w:val="3"/>
        <w:spacing w:before="80" w:after="80" w:line="360" w:lineRule="auto"/>
        <w:rPr>
          <w:rFonts w:hint="eastAsia" w:ascii="黑体" w:hAnsi="黑体" w:cs="黑体"/>
          <w:b w:val="0"/>
          <w:bCs/>
          <w:sz w:val="21"/>
          <w:szCs w:val="21"/>
        </w:rPr>
      </w:pPr>
      <w:r>
        <w:rPr>
          <w:rFonts w:hint="eastAsia" w:ascii="黑体" w:hAnsi="黑体" w:cs="黑体"/>
          <w:b w:val="0"/>
          <w:bCs/>
          <w:sz w:val="21"/>
          <w:szCs w:val="21"/>
        </w:rPr>
        <w:t xml:space="preserve"> </w:t>
      </w:r>
      <w:bookmarkEnd w:id="127"/>
      <w:bookmarkEnd w:id="128"/>
      <w:r>
        <w:rPr>
          <w:rFonts w:hint="eastAsia" w:ascii="黑体" w:hAnsi="黑体" w:cs="黑体"/>
          <w:b w:val="0"/>
          <w:bCs/>
          <w:sz w:val="21"/>
          <w:szCs w:val="21"/>
        </w:rPr>
        <w:t>1.2建设内容</w:t>
      </w:r>
    </w:p>
    <w:p>
      <w:pPr>
        <w:spacing w:line="360" w:lineRule="auto"/>
        <w:ind w:firstLine="420" w:firstLineChars="200"/>
        <w:rPr>
          <w:rFonts w:ascii="仿宋" w:hAnsi="仿宋"/>
          <w:color w:val="000000"/>
          <w:sz w:val="21"/>
          <w:szCs w:val="21"/>
        </w:rPr>
      </w:pPr>
      <w:r>
        <w:rPr>
          <w:rFonts w:hint="eastAsia" w:ascii="仿宋" w:hAnsi="仿宋"/>
          <w:color w:val="000000"/>
          <w:sz w:val="21"/>
          <w:szCs w:val="21"/>
          <w:lang w:eastAsia="zh-CN"/>
        </w:rPr>
        <w:t>互</w:t>
      </w:r>
      <w:r>
        <w:rPr>
          <w:rFonts w:hint="eastAsia" w:ascii="仿宋" w:hAnsi="仿宋"/>
          <w:color w:val="000000"/>
          <w:sz w:val="21"/>
          <w:szCs w:val="21"/>
        </w:rPr>
        <w:t>联互通标准化改造项目应用软件采购列表</w:t>
      </w:r>
      <w:r>
        <w:rPr>
          <w:rFonts w:hint="eastAsia" w:ascii="仿宋" w:hAnsi="仿宋"/>
          <w:color w:val="000000"/>
          <w:sz w:val="21"/>
          <w:szCs w:val="21"/>
          <w:lang w:eastAsia="zh-CN"/>
        </w:rPr>
        <w:t>如下</w:t>
      </w:r>
      <w:r>
        <w:rPr>
          <w:rFonts w:hint="eastAsia" w:ascii="仿宋" w:hAnsi="仿宋"/>
          <w:color w:val="000000"/>
          <w:sz w:val="21"/>
          <w:szCs w:val="21"/>
        </w:rPr>
        <w:t xml:space="preserve">： </w:t>
      </w:r>
    </w:p>
    <w:tbl>
      <w:tblPr>
        <w:tblStyle w:val="49"/>
        <w:tblW w:w="85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9"/>
        <w:gridCol w:w="1227"/>
        <w:gridCol w:w="1890"/>
        <w:gridCol w:w="4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b/>
                <w:color w:val="auto"/>
                <w:kern w:val="0"/>
                <w:sz w:val="21"/>
                <w:szCs w:val="21"/>
                <w:shd w:val="clear" w:color="auto" w:fill="auto"/>
              </w:rPr>
            </w:pPr>
            <w:r>
              <w:rPr>
                <w:rFonts w:ascii="Calibri" w:hAnsi="Calibri" w:eastAsia="宋体" w:cs="Calibri"/>
                <w:b/>
                <w:color w:val="auto"/>
                <w:kern w:val="0"/>
                <w:sz w:val="21"/>
                <w:szCs w:val="21"/>
                <w:shd w:val="clear" w:color="auto" w:fill="auto"/>
              </w:rPr>
              <w:t>大类</w:t>
            </w:r>
          </w:p>
        </w:tc>
        <w:tc>
          <w:tcPr>
            <w:tcW w:w="1227" w:type="dxa"/>
            <w:noWrap w:val="0"/>
            <w:vAlign w:val="center"/>
          </w:tcPr>
          <w:p>
            <w:pPr>
              <w:widowControl/>
              <w:spacing w:line="276" w:lineRule="auto"/>
              <w:jc w:val="center"/>
              <w:rPr>
                <w:rFonts w:ascii="Calibri" w:hAnsi="Calibri" w:eastAsia="宋体" w:cs="Calibri"/>
                <w:b/>
                <w:color w:val="auto"/>
                <w:kern w:val="0"/>
                <w:sz w:val="21"/>
                <w:szCs w:val="21"/>
                <w:shd w:val="clear" w:color="auto" w:fill="auto"/>
              </w:rPr>
            </w:pPr>
            <w:r>
              <w:rPr>
                <w:rFonts w:ascii="Calibri" w:hAnsi="Calibri" w:eastAsia="宋体" w:cs="Calibri"/>
                <w:b/>
                <w:color w:val="auto"/>
                <w:kern w:val="0"/>
                <w:sz w:val="21"/>
                <w:szCs w:val="21"/>
                <w:shd w:val="clear" w:color="auto" w:fill="auto"/>
              </w:rPr>
              <w:t>小类</w:t>
            </w:r>
          </w:p>
        </w:tc>
        <w:tc>
          <w:tcPr>
            <w:tcW w:w="1890" w:type="dxa"/>
            <w:noWrap w:val="0"/>
            <w:vAlign w:val="center"/>
          </w:tcPr>
          <w:p>
            <w:pPr>
              <w:widowControl/>
              <w:spacing w:line="276" w:lineRule="auto"/>
              <w:jc w:val="center"/>
              <w:rPr>
                <w:rFonts w:ascii="Calibri" w:hAnsi="Calibri" w:eastAsia="宋体" w:cs="Calibri"/>
                <w:b/>
                <w:color w:val="auto"/>
                <w:kern w:val="0"/>
                <w:sz w:val="21"/>
                <w:szCs w:val="21"/>
                <w:shd w:val="clear" w:color="auto" w:fill="auto"/>
              </w:rPr>
            </w:pPr>
            <w:r>
              <w:rPr>
                <w:rFonts w:ascii="Calibri" w:hAnsi="Calibri" w:eastAsia="宋体" w:cs="Calibri"/>
                <w:b/>
                <w:color w:val="auto"/>
                <w:kern w:val="0"/>
                <w:sz w:val="21"/>
                <w:szCs w:val="21"/>
                <w:shd w:val="clear" w:color="auto" w:fill="auto"/>
              </w:rPr>
              <w:t>项目</w:t>
            </w:r>
          </w:p>
        </w:tc>
        <w:tc>
          <w:tcPr>
            <w:tcW w:w="4590" w:type="dxa"/>
            <w:noWrap w:val="0"/>
            <w:vAlign w:val="center"/>
          </w:tcPr>
          <w:p>
            <w:pPr>
              <w:widowControl/>
              <w:spacing w:line="276" w:lineRule="auto"/>
              <w:jc w:val="center"/>
              <w:rPr>
                <w:rFonts w:ascii="Calibri" w:hAnsi="Calibri" w:eastAsia="宋体" w:cs="Calibri"/>
                <w:b/>
                <w:color w:val="auto"/>
                <w:kern w:val="0"/>
                <w:sz w:val="21"/>
                <w:szCs w:val="21"/>
                <w:shd w:val="clear" w:color="auto" w:fill="auto"/>
              </w:rPr>
            </w:pPr>
            <w:r>
              <w:rPr>
                <w:rFonts w:ascii="Calibri" w:hAnsi="Calibri" w:eastAsia="宋体" w:cs="Calibri"/>
                <w:b/>
                <w:color w:val="auto"/>
                <w:kern w:val="0"/>
                <w:sz w:val="21"/>
                <w:szCs w:val="21"/>
                <w:shd w:val="clear" w:color="auto" w:fill="auto"/>
              </w:rPr>
              <w:t>规格说明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改造服务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1</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w:t>
            </w:r>
            <w:r>
              <w:rPr>
                <w:rFonts w:ascii="Calibri" w:hAnsi="Calibri" w:eastAsia="宋体" w:cs="Calibri"/>
                <w:color w:val="auto"/>
                <w:kern w:val="0"/>
                <w:sz w:val="21"/>
                <w:szCs w:val="21"/>
              </w:rPr>
              <w:t>接口改造服务</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集成标准的互联互通33个服务</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可以查看24小时内服务的调用情况</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可以查看当前维护的厂商和接口，服务的情况</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可以查看服务调用的数据流转明细内容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改造服务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2</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w:t>
            </w:r>
            <w:r>
              <w:rPr>
                <w:rFonts w:ascii="Calibri" w:hAnsi="Calibri" w:eastAsia="宋体" w:cs="Calibri"/>
                <w:color w:val="auto"/>
                <w:kern w:val="0"/>
                <w:sz w:val="21"/>
                <w:szCs w:val="21"/>
              </w:rPr>
              <w:t>文档改造服务</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对医院需要进行测评得共享文档集进行标准化改造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校验服务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3</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w:t>
            </w:r>
            <w:r>
              <w:rPr>
                <w:rFonts w:ascii="Calibri" w:hAnsi="Calibri" w:eastAsia="宋体" w:cs="Calibri"/>
                <w:color w:val="auto"/>
                <w:kern w:val="0"/>
                <w:sz w:val="21"/>
                <w:szCs w:val="21"/>
              </w:rPr>
              <w:t>标准校验</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根据院内系统改造结果进行校验，同时根据测评工具进行校验和调试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改造服务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4</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临床业务集成对接：服务总线改造</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hint="eastAsia" w:ascii="Calibri" w:hAnsi="Calibri" w:eastAsia="宋体" w:cs="Calibri"/>
                <w:color w:val="auto"/>
                <w:kern w:val="0"/>
                <w:sz w:val="21"/>
                <w:szCs w:val="21"/>
              </w:rPr>
              <w:t xml:space="preserve">可以查看24小时内服务的调用情况； </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hint="eastAsia" w:ascii="Calibri" w:hAnsi="Calibri" w:eastAsia="宋体" w:cs="Calibri"/>
                <w:color w:val="auto"/>
                <w:kern w:val="0"/>
                <w:sz w:val="21"/>
                <w:szCs w:val="21"/>
              </w:rPr>
              <w:t xml:space="preserve">可以查看当前维护的厂商和接口，服务的情况； </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hint="eastAsia" w:ascii="Calibri" w:hAnsi="Calibri" w:eastAsia="宋体" w:cs="Calibri"/>
                <w:color w:val="auto"/>
                <w:kern w:val="0"/>
                <w:sz w:val="21"/>
                <w:szCs w:val="21"/>
              </w:rPr>
              <w:t>可以查看服务调用的数据流转明细内容；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改造服务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5</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w:t>
            </w:r>
            <w:r>
              <w:rPr>
                <w:rFonts w:ascii="Calibri" w:hAnsi="Calibri" w:eastAsia="宋体" w:cs="Calibri"/>
                <w:color w:val="auto"/>
                <w:kern w:val="0"/>
                <w:sz w:val="21"/>
                <w:szCs w:val="21"/>
              </w:rPr>
              <w:t>CDR改造</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对医院CDR模型进行基于互联互通</w:t>
            </w:r>
            <w:r>
              <w:rPr>
                <w:rFonts w:hint="eastAsia" w:ascii="Calibri" w:hAnsi="Calibri" w:eastAsia="宋体" w:cs="Calibri"/>
                <w:color w:val="auto"/>
                <w:kern w:val="0"/>
                <w:sz w:val="21"/>
                <w:szCs w:val="21"/>
              </w:rPr>
              <w:t>要求的</w:t>
            </w:r>
            <w:r>
              <w:rPr>
                <w:rFonts w:ascii="Calibri" w:hAnsi="Calibri" w:eastAsia="宋体" w:cs="Calibri"/>
                <w:color w:val="auto"/>
                <w:kern w:val="0"/>
                <w:sz w:val="21"/>
                <w:szCs w:val="21"/>
              </w:rPr>
              <w:t>标准化改造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技术服务</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改造服务</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hint="eastAsia" w:ascii="Calibri" w:hAnsi="Calibri" w:eastAsia="宋体" w:cs="Calibri"/>
                <w:color w:val="auto"/>
                <w:kern w:val="0"/>
                <w:sz w:val="21"/>
                <w:szCs w:val="21"/>
              </w:rPr>
              <w:t>6</w:t>
            </w:r>
            <w:r>
              <w:rPr>
                <w:rFonts w:ascii="Calibri" w:hAnsi="Calibri" w:eastAsia="宋体" w:cs="Calibri"/>
                <w:color w:val="auto"/>
                <w:kern w:val="0"/>
                <w:sz w:val="21"/>
                <w:szCs w:val="21"/>
              </w:rPr>
              <w:t>.</w:t>
            </w:r>
            <w:r>
              <w:rPr>
                <w:rFonts w:hint="eastAsia" w:ascii="Calibri" w:hAnsi="Calibri" w:eastAsia="宋体" w:cs="Calibri"/>
                <w:color w:val="auto"/>
                <w:kern w:val="0"/>
                <w:sz w:val="21"/>
                <w:szCs w:val="21"/>
              </w:rPr>
              <w:t>临床业务集成对接：</w:t>
            </w:r>
            <w:r>
              <w:rPr>
                <w:rFonts w:ascii="Calibri" w:hAnsi="Calibri" w:eastAsia="宋体" w:cs="Calibri"/>
                <w:color w:val="auto"/>
                <w:kern w:val="0"/>
                <w:sz w:val="21"/>
                <w:szCs w:val="21"/>
              </w:rPr>
              <w:t>EMPI改造</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对医院EMPI服务基于互联互通要求的标准化改造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829"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产品软件</w:t>
            </w:r>
          </w:p>
        </w:tc>
        <w:tc>
          <w:tcPr>
            <w:tcW w:w="1227"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测试工具</w:t>
            </w:r>
          </w:p>
        </w:tc>
        <w:tc>
          <w:tcPr>
            <w:tcW w:w="1890" w:type="dxa"/>
            <w:noWrap w:val="0"/>
            <w:vAlign w:val="center"/>
          </w:tcPr>
          <w:p>
            <w:pPr>
              <w:widowControl/>
              <w:spacing w:line="276" w:lineRule="auto"/>
              <w:jc w:val="center"/>
              <w:rPr>
                <w:rFonts w:ascii="Calibri" w:hAnsi="Calibri" w:eastAsia="宋体" w:cs="Calibri"/>
                <w:color w:val="auto"/>
                <w:kern w:val="0"/>
                <w:sz w:val="21"/>
                <w:szCs w:val="21"/>
              </w:rPr>
            </w:pPr>
            <w:r>
              <w:rPr>
                <w:rFonts w:ascii="Calibri" w:hAnsi="Calibri" w:eastAsia="宋体" w:cs="Calibri"/>
                <w:color w:val="auto"/>
                <w:kern w:val="0"/>
                <w:sz w:val="21"/>
                <w:szCs w:val="21"/>
              </w:rPr>
              <w:t>7.符合国家卫计委互联互通要求的标准化测试工具</w:t>
            </w:r>
          </w:p>
        </w:tc>
        <w:tc>
          <w:tcPr>
            <w:tcW w:w="4590" w:type="dxa"/>
            <w:noWrap w:val="0"/>
            <w:vAlign w:val="center"/>
          </w:tcPr>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可以执行24个对内服务的标准测试</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可以执行9个区域调用的服务可执行标准的测试</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可以针对每一份共享文档进行样例测试</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可以针对历史数据进行转储</w:t>
            </w:r>
          </w:p>
          <w:p>
            <w:pPr>
              <w:pStyle w:val="134"/>
              <w:widowControl/>
              <w:numPr>
                <w:ilvl w:val="0"/>
                <w:numId w:val="6"/>
              </w:numPr>
              <w:spacing w:line="276" w:lineRule="auto"/>
              <w:ind w:firstLineChars="0"/>
              <w:jc w:val="left"/>
              <w:rPr>
                <w:rFonts w:ascii="Calibri" w:hAnsi="Calibri" w:eastAsia="宋体" w:cs="Calibri"/>
                <w:color w:val="auto"/>
                <w:kern w:val="0"/>
                <w:sz w:val="21"/>
                <w:szCs w:val="21"/>
              </w:rPr>
            </w:pPr>
            <w:r>
              <w:rPr>
                <w:rFonts w:ascii="Calibri" w:hAnsi="Calibri" w:eastAsia="宋体" w:cs="Calibri"/>
                <w:color w:val="auto"/>
                <w:kern w:val="0"/>
                <w:sz w:val="21"/>
                <w:szCs w:val="21"/>
              </w:rPr>
              <w:t>可以按照患者标识进行指定的文书输出</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可以查看文档的构成情况</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可以查看基础数据的构成情况</w:t>
            </w:r>
          </w:p>
          <w:p>
            <w:pPr>
              <w:pStyle w:val="134"/>
              <w:widowControl/>
              <w:numPr>
                <w:ilvl w:val="0"/>
                <w:numId w:val="6"/>
              </w:numPr>
              <w:spacing w:line="276" w:lineRule="auto"/>
              <w:ind w:firstLineChars="0"/>
              <w:rPr>
                <w:rFonts w:ascii="Calibri" w:hAnsi="Calibri" w:eastAsia="宋体" w:cs="Calibri"/>
                <w:color w:val="auto"/>
                <w:kern w:val="0"/>
                <w:sz w:val="21"/>
                <w:szCs w:val="21"/>
              </w:rPr>
            </w:pPr>
            <w:r>
              <w:rPr>
                <w:rFonts w:ascii="Calibri" w:hAnsi="Calibri" w:eastAsia="宋体" w:cs="Calibri"/>
                <w:color w:val="auto"/>
                <w:kern w:val="0"/>
                <w:sz w:val="21"/>
                <w:szCs w:val="21"/>
              </w:rPr>
              <w:t>可以查看数据元的构成情况</w:t>
            </w:r>
          </w:p>
          <w:p>
            <w:pPr>
              <w:pStyle w:val="134"/>
              <w:widowControl/>
              <w:numPr>
                <w:ilvl w:val="0"/>
                <w:numId w:val="6"/>
              </w:numPr>
              <w:spacing w:line="276" w:lineRule="auto"/>
              <w:ind w:firstLineChars="0"/>
              <w:jc w:val="left"/>
              <w:rPr>
                <w:rFonts w:ascii="Calibri" w:hAnsi="Calibri" w:eastAsia="宋体" w:cs="Calibri"/>
                <w:color w:val="auto"/>
                <w:kern w:val="0"/>
                <w:sz w:val="21"/>
                <w:szCs w:val="21"/>
              </w:rPr>
            </w:pPr>
            <w:r>
              <w:rPr>
                <w:rFonts w:ascii="Calibri" w:hAnsi="Calibri" w:eastAsia="宋体" w:cs="Calibri"/>
                <w:color w:val="auto"/>
                <w:kern w:val="0"/>
                <w:sz w:val="21"/>
                <w:szCs w:val="21"/>
              </w:rPr>
              <w:t>可以查看OID数据的构成情况</w:t>
            </w:r>
          </w:p>
        </w:tc>
      </w:tr>
    </w:tbl>
    <w:p>
      <w:pPr>
        <w:spacing w:line="360" w:lineRule="auto"/>
        <w:rPr>
          <w:rFonts w:hint="eastAsia"/>
          <w:sz w:val="21"/>
          <w:szCs w:val="21"/>
        </w:rPr>
      </w:pPr>
      <w:r>
        <w:rPr>
          <w:rFonts w:hint="eastAsia"/>
          <w:sz w:val="21"/>
          <w:szCs w:val="21"/>
        </w:rPr>
        <w:t>在此基础上允许增添软件项目，增添的软件项目将作为重要考虑因素</w:t>
      </w:r>
    </w:p>
    <w:p>
      <w:pPr>
        <w:pStyle w:val="3"/>
        <w:spacing w:before="80" w:after="80" w:line="360" w:lineRule="auto"/>
        <w:rPr>
          <w:rFonts w:hint="eastAsia" w:ascii="黑体" w:hAnsi="黑体" w:cs="黑体"/>
          <w:b w:val="0"/>
          <w:bCs/>
          <w:sz w:val="21"/>
          <w:szCs w:val="21"/>
        </w:rPr>
      </w:pPr>
      <w:r>
        <w:rPr>
          <w:rFonts w:hint="eastAsia" w:ascii="黑体" w:hAnsi="黑体" w:cs="黑体"/>
          <w:b w:val="0"/>
          <w:bCs/>
          <w:sz w:val="21"/>
          <w:szCs w:val="21"/>
        </w:rPr>
        <w:t>1.3其他要求</w:t>
      </w:r>
    </w:p>
    <w:p>
      <w:pPr>
        <w:pStyle w:val="134"/>
        <w:numPr>
          <w:ilvl w:val="0"/>
          <w:numId w:val="7"/>
        </w:numPr>
        <w:spacing w:line="360" w:lineRule="auto"/>
        <w:ind w:left="420" w:leftChars="200" w:firstLineChars="0"/>
        <w:rPr>
          <w:rFonts w:hint="eastAsia" w:ascii="宋体" w:hAnsi="宋体" w:cs="宋体"/>
          <w:sz w:val="21"/>
          <w:szCs w:val="21"/>
        </w:rPr>
      </w:pPr>
      <w:r>
        <w:rPr>
          <w:rFonts w:hint="eastAsia" w:ascii="宋体" w:hAnsi="宋体" w:cs="宋体"/>
          <w:sz w:val="21"/>
          <w:szCs w:val="21"/>
        </w:rPr>
        <w:t xml:space="preserve"> </w:t>
      </w:r>
    </w:p>
    <w:p>
      <w:pPr>
        <w:spacing w:line="360" w:lineRule="auto"/>
        <w:ind w:left="420" w:firstLine="420" w:firstLineChars="200"/>
        <w:rPr>
          <w:rFonts w:hint="eastAsia" w:eastAsia="宋体"/>
          <w:sz w:val="21"/>
          <w:szCs w:val="21"/>
          <w:lang w:val="en-US" w:eastAsia="zh-CN"/>
        </w:rPr>
      </w:pPr>
      <w:r>
        <w:rPr>
          <w:rFonts w:hint="eastAsia"/>
          <w:sz w:val="21"/>
          <w:szCs w:val="21"/>
        </w:rPr>
        <w:t>投标人应在投标文件中详细提供实施</w:t>
      </w:r>
      <w:r>
        <w:rPr>
          <w:rFonts w:hint="eastAsia"/>
          <w:sz w:val="21"/>
          <w:szCs w:val="21"/>
          <w:lang w:val="en-US" w:eastAsia="zh-CN"/>
        </w:rPr>
        <w:t>1.2</w:t>
      </w:r>
      <w:r>
        <w:rPr>
          <w:rFonts w:hint="eastAsia"/>
          <w:sz w:val="21"/>
          <w:szCs w:val="21"/>
        </w:rPr>
        <w:t>节所列医院应用软件所需的服务器、存储和系统软件（操作系统、数据库及其它中间件等）运行环境及其集成设计方案，否则其投标文件的技术分将作零分处理</w:t>
      </w:r>
      <w:r>
        <w:rPr>
          <w:rFonts w:hint="eastAsia"/>
          <w:sz w:val="21"/>
          <w:szCs w:val="21"/>
          <w:lang w:eastAsia="zh-CN"/>
        </w:rPr>
        <w:t>。</w:t>
      </w:r>
    </w:p>
    <w:p>
      <w:pPr>
        <w:pStyle w:val="134"/>
        <w:numPr>
          <w:ilvl w:val="0"/>
          <w:numId w:val="7"/>
        </w:numPr>
        <w:spacing w:line="360" w:lineRule="auto"/>
        <w:ind w:left="420" w:leftChars="200" w:firstLineChars="0"/>
        <w:rPr>
          <w:rFonts w:hint="eastAsia" w:ascii="宋体" w:hAnsi="宋体" w:cs="宋体"/>
          <w:sz w:val="21"/>
          <w:szCs w:val="21"/>
        </w:rPr>
      </w:pPr>
      <w:r>
        <w:rPr>
          <w:rFonts w:hint="eastAsia" w:ascii="宋体" w:hAnsi="宋体" w:cs="宋体"/>
          <w:sz w:val="21"/>
          <w:szCs w:val="21"/>
        </w:rPr>
        <w:t xml:space="preserve"> </w:t>
      </w:r>
    </w:p>
    <w:p>
      <w:pPr>
        <w:spacing w:line="360" w:lineRule="auto"/>
        <w:ind w:left="420" w:firstLine="420" w:firstLineChars="200"/>
        <w:rPr>
          <w:rFonts w:hint="eastAsia" w:eastAsia="宋体"/>
          <w:sz w:val="21"/>
          <w:szCs w:val="21"/>
          <w:lang w:val="en-US" w:eastAsia="zh-CN"/>
        </w:rPr>
      </w:pPr>
      <w:r>
        <w:rPr>
          <w:rFonts w:hint="eastAsia"/>
          <w:sz w:val="21"/>
          <w:szCs w:val="21"/>
        </w:rPr>
        <w:t>实施内容包括</w:t>
      </w:r>
      <w:r>
        <w:rPr>
          <w:rFonts w:hint="eastAsia"/>
          <w:sz w:val="21"/>
          <w:szCs w:val="21"/>
          <w:lang w:val="en-US" w:eastAsia="zh-CN"/>
        </w:rPr>
        <w:t>1.2</w:t>
      </w:r>
      <w:r>
        <w:rPr>
          <w:rFonts w:hint="eastAsia"/>
          <w:sz w:val="21"/>
          <w:szCs w:val="21"/>
        </w:rPr>
        <w:t>节所列具有合法知识产权的应用软件，以及为满足采购人实际应用需求所必须的应用软件客户化工作，包括对应用软件的功能扩充、接口调试、修改、维护，基础数据准备，人员培训，售后服务和技术支持等内容</w:t>
      </w:r>
      <w:r>
        <w:rPr>
          <w:rFonts w:hint="eastAsia"/>
          <w:sz w:val="21"/>
          <w:szCs w:val="21"/>
          <w:lang w:eastAsia="zh-CN"/>
        </w:rPr>
        <w:t>。</w:t>
      </w:r>
    </w:p>
    <w:p>
      <w:pPr>
        <w:pStyle w:val="134"/>
        <w:numPr>
          <w:ilvl w:val="0"/>
          <w:numId w:val="7"/>
        </w:numPr>
        <w:spacing w:line="360" w:lineRule="auto"/>
        <w:ind w:left="420" w:leftChars="20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部署上线前，相关服务器、客户端安装的应用软件需通过我院杀毒及其他安全软件系统的检测。</w:t>
      </w:r>
    </w:p>
    <w:p>
      <w:pPr>
        <w:pStyle w:val="134"/>
        <w:numPr>
          <w:ilvl w:val="0"/>
          <w:numId w:val="7"/>
        </w:numPr>
        <w:spacing w:line="360" w:lineRule="auto"/>
        <w:ind w:left="420" w:leftChars="20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投标人需进行现场考察，详细了解本院情况。</w:t>
      </w:r>
    </w:p>
    <w:p>
      <w:pPr>
        <w:pStyle w:val="134"/>
        <w:numPr>
          <w:ilvl w:val="0"/>
          <w:numId w:val="7"/>
        </w:numPr>
        <w:spacing w:line="360" w:lineRule="auto"/>
        <w:ind w:left="420" w:leftChars="200" w:firstLineChars="0"/>
        <w:rPr>
          <w:rFonts w:ascii="宋体" w:hAnsi="宋体" w:cs="宋体"/>
          <w:sz w:val="21"/>
          <w:szCs w:val="21"/>
        </w:rPr>
      </w:pPr>
    </w:p>
    <w:p>
      <w:pPr>
        <w:pStyle w:val="134"/>
        <w:spacing w:line="360" w:lineRule="auto"/>
        <w:ind w:left="420" w:firstLine="560"/>
        <w:rPr>
          <w:rFonts w:ascii="宋体" w:hAnsi="宋体" w:cs="宋体"/>
          <w:sz w:val="21"/>
          <w:szCs w:val="21"/>
        </w:rPr>
      </w:pPr>
      <w:r>
        <w:rPr>
          <w:rFonts w:hint="eastAsia" w:ascii="宋体" w:hAnsi="宋体" w:cs="宋体"/>
          <w:sz w:val="21"/>
          <w:szCs w:val="21"/>
        </w:rPr>
        <w:t>本次采购的软件必须为无限期使用。</w:t>
      </w:r>
    </w:p>
    <w:p>
      <w:pPr>
        <w:pStyle w:val="134"/>
        <w:numPr>
          <w:ilvl w:val="0"/>
          <w:numId w:val="7"/>
        </w:numPr>
        <w:spacing w:line="360" w:lineRule="auto"/>
        <w:ind w:left="351" w:leftChars="167" w:firstLineChars="0"/>
        <w:rPr>
          <w:rFonts w:hint="eastAsia" w:ascii="宋体" w:hAnsi="宋体" w:cs="宋体"/>
          <w:sz w:val="21"/>
          <w:szCs w:val="21"/>
        </w:rPr>
      </w:pPr>
      <w:r>
        <w:rPr>
          <w:rFonts w:ascii="宋体" w:hAnsi="宋体" w:cs="宋体"/>
          <w:sz w:val="21"/>
          <w:szCs w:val="21"/>
        </w:rPr>
        <w:br w:type="textWrapping"/>
      </w:r>
      <w:r>
        <w:rPr>
          <w:rFonts w:hint="eastAsia" w:ascii="宋体" w:hAnsi="宋体" w:cs="宋体"/>
          <w:sz w:val="21"/>
          <w:szCs w:val="21"/>
        </w:rPr>
        <w:t xml:space="preserve">  </w:t>
      </w:r>
      <w:r>
        <w:rPr>
          <w:rFonts w:hint="eastAsia" w:ascii="宋体" w:hAnsi="宋体" w:cs="宋体"/>
          <w:b/>
          <w:bCs/>
          <w:sz w:val="21"/>
          <w:szCs w:val="21"/>
          <w:lang w:eastAsia="zh-CN"/>
        </w:rPr>
        <w:t>资质要求：</w:t>
      </w:r>
    </w:p>
    <w:p>
      <w:pPr>
        <w:pStyle w:val="1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67"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投标产品通过卫计委指定的测评机构测试的可在评标中适当优先考虑</w:t>
      </w:r>
      <w:r>
        <w:rPr>
          <w:rFonts w:hint="eastAsia" w:ascii="宋体" w:hAnsi="宋体" w:cs="宋体"/>
          <w:sz w:val="21"/>
          <w:szCs w:val="21"/>
          <w:lang w:eastAsia="zh-CN"/>
        </w:rPr>
        <w:t>；</w:t>
      </w:r>
    </w:p>
    <w:p>
      <w:pPr>
        <w:pStyle w:val="1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67"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实施队伍有协助医院进行改造后通过国家卫计委测评经验的可在评标中适当优先考虑。</w:t>
      </w:r>
    </w:p>
    <w:p>
      <w:pPr>
        <w:pStyle w:val="134"/>
        <w:numPr>
          <w:ilvl w:val="0"/>
          <w:numId w:val="7"/>
        </w:numPr>
        <w:spacing w:line="360" w:lineRule="auto"/>
        <w:ind w:left="420" w:leftChars="200" w:firstLineChars="0"/>
        <w:rPr>
          <w:rFonts w:hint="eastAsia" w:ascii="宋体" w:hAnsi="宋体" w:cs="宋体"/>
          <w:sz w:val="21"/>
          <w:szCs w:val="21"/>
        </w:rPr>
      </w:pPr>
    </w:p>
    <w:p>
      <w:pPr>
        <w:pStyle w:val="134"/>
        <w:spacing w:line="360" w:lineRule="auto"/>
        <w:ind w:left="420" w:firstLine="560"/>
        <w:rPr>
          <w:rFonts w:hint="eastAsia" w:ascii="宋体" w:hAnsi="宋体" w:cs="宋体"/>
          <w:sz w:val="21"/>
          <w:szCs w:val="21"/>
          <w:lang w:eastAsia="zh-CN"/>
        </w:rPr>
      </w:pPr>
      <w:r>
        <w:rPr>
          <w:rFonts w:hint="eastAsia" w:ascii="宋体" w:hAnsi="宋体" w:cs="宋体"/>
          <w:sz w:val="21"/>
          <w:szCs w:val="21"/>
          <w:lang w:eastAsia="zh-CN"/>
        </w:rPr>
        <w:t>技术要求：</w:t>
      </w:r>
    </w:p>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临床业务集成对接：接口改造服务。需要对下列接口进行标准化改造：</w:t>
      </w:r>
    </w:p>
    <w:tbl>
      <w:tblPr>
        <w:tblStyle w:val="49"/>
        <w:tblW w:w="8450" w:type="dxa"/>
        <w:tblInd w:w="0" w:type="dxa"/>
        <w:tblLayout w:type="fixed"/>
        <w:tblCellMar>
          <w:top w:w="0" w:type="dxa"/>
          <w:left w:w="0" w:type="dxa"/>
          <w:bottom w:w="0" w:type="dxa"/>
          <w:right w:w="0" w:type="dxa"/>
        </w:tblCellMar>
      </w:tblPr>
      <w:tblGrid>
        <w:gridCol w:w="1540"/>
        <w:gridCol w:w="5060"/>
        <w:gridCol w:w="1850"/>
      </w:tblGrid>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24" w:space="0"/>
              <w:right w:val="single" w:color="FFFFFF" w:sz="8" w:space="0"/>
            </w:tcBorders>
            <w:shd w:val="clear" w:color="auto" w:fill="5191C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序号</w:t>
            </w:r>
          </w:p>
        </w:tc>
        <w:tc>
          <w:tcPr>
            <w:tcW w:w="5060" w:type="dxa"/>
            <w:tcBorders>
              <w:top w:val="single" w:color="FFFFFF" w:sz="8" w:space="0"/>
              <w:left w:val="single" w:color="FFFFFF" w:sz="8" w:space="0"/>
              <w:bottom w:val="single" w:color="FFFFFF" w:sz="24" w:space="0"/>
              <w:right w:val="single" w:color="FFFFFF" w:sz="8" w:space="0"/>
            </w:tcBorders>
            <w:shd w:val="clear" w:color="auto" w:fill="5191C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服务</w:t>
            </w:r>
          </w:p>
        </w:tc>
        <w:tc>
          <w:tcPr>
            <w:tcW w:w="1850" w:type="dxa"/>
            <w:tcBorders>
              <w:top w:val="single" w:color="FFFFFF" w:sz="8" w:space="0"/>
              <w:left w:val="single" w:color="FFFFFF" w:sz="8" w:space="0"/>
              <w:bottom w:val="single" w:color="FFFFFF" w:sz="24" w:space="0"/>
              <w:right w:val="single" w:color="FFFFFF" w:sz="8" w:space="0"/>
            </w:tcBorders>
            <w:shd w:val="clear" w:color="auto" w:fill="5191C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范围</w:t>
            </w:r>
          </w:p>
        </w:tc>
      </w:tr>
      <w:tr>
        <w:tblPrEx>
          <w:tblCellMar>
            <w:top w:w="0" w:type="dxa"/>
            <w:left w:w="0" w:type="dxa"/>
            <w:bottom w:w="0" w:type="dxa"/>
            <w:right w:w="0" w:type="dxa"/>
          </w:tblCellMar>
        </w:tblPrEx>
        <w:trPr>
          <w:trHeight w:val="277" w:hRule="atLeast"/>
        </w:trPr>
        <w:tc>
          <w:tcPr>
            <w:tcW w:w="1540" w:type="dxa"/>
            <w:tcBorders>
              <w:top w:val="single" w:color="FFFFFF" w:sz="24"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w:t>
            </w:r>
          </w:p>
        </w:tc>
        <w:tc>
          <w:tcPr>
            <w:tcW w:w="5060" w:type="dxa"/>
            <w:tcBorders>
              <w:top w:val="single" w:color="FFFFFF" w:sz="24"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新增个人身份注册</w:t>
            </w:r>
          </w:p>
        </w:tc>
        <w:tc>
          <w:tcPr>
            <w:tcW w:w="1850" w:type="dxa"/>
            <w:tcBorders>
              <w:top w:val="single" w:color="FFFFFF" w:sz="24"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个人信息更新</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个人身份失效</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个人基本信息查询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新增医护人员</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6</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医护人员信息更新</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7</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医护人员信息查询</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8</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新增医疗卫生机构（科室）注册</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9</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医疗卫生机构（科室）信息更新</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10</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医疗卫生机构（科室）信息查询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11</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电子病历文档注册</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12</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电子病历文档检索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13</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电子病历文档调阅</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14</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医嘱接收</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15</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医嘱查询</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16</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申请单接收</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17</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申请单查询</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18</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医疗卫生人员注册服务调用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19</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医疗卫生人员更新服务调用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20</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医疗卫生机构注册服务调用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21</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医疗卫生机构更新服务调用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22</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调用区域个人身份注册服务</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23</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调用区域个人基本信息查询服务</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24</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病历文档上传服务调用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25</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病历数据检索服务调用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376"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26</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病历数据查询服务调用</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区域</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27</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门诊就诊登记服务</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28</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门诊就诊查询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29</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住院就诊登记服务</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30</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住院就诊查询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31</w:t>
            </w:r>
          </w:p>
        </w:tc>
        <w:tc>
          <w:tcPr>
            <w:tcW w:w="506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出院登记服务</w:t>
            </w:r>
          </w:p>
        </w:tc>
        <w:tc>
          <w:tcPr>
            <w:tcW w:w="1850" w:type="dxa"/>
            <w:tcBorders>
              <w:top w:val="single" w:color="FFFFFF" w:sz="8" w:space="0"/>
              <w:left w:val="single" w:color="FFFFFF" w:sz="8" w:space="0"/>
              <w:bottom w:val="single" w:color="FFFFFF" w:sz="8" w:space="0"/>
              <w:right w:val="single" w:color="FFFFFF" w:sz="8" w:space="0"/>
            </w:tcBorders>
            <w:shd w:val="clear" w:color="auto" w:fill="D0DCED"/>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32</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出院信息查询</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院内</w:t>
            </w:r>
          </w:p>
        </w:tc>
      </w:tr>
      <w:tr>
        <w:tblPrEx>
          <w:tblCellMar>
            <w:top w:w="0" w:type="dxa"/>
            <w:left w:w="0" w:type="dxa"/>
            <w:bottom w:w="0" w:type="dxa"/>
            <w:right w:w="0" w:type="dxa"/>
          </w:tblCellMar>
        </w:tblPrEx>
        <w:trPr>
          <w:trHeight w:val="277" w:hRule="atLeast"/>
        </w:trPr>
        <w:tc>
          <w:tcPr>
            <w:tcW w:w="154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24"/>
                <w:sz w:val="21"/>
                <w:szCs w:val="21"/>
              </w:rPr>
            </w:pPr>
            <w:r>
              <w:rPr>
                <w:rFonts w:ascii="Calibri" w:hAnsi="Calibri" w:eastAsia="宋体" w:cs="Calibri"/>
                <w:color w:val="auto"/>
                <w:kern w:val="24"/>
                <w:sz w:val="21"/>
                <w:szCs w:val="21"/>
              </w:rPr>
              <w:t>33</w:t>
            </w:r>
          </w:p>
        </w:tc>
        <w:tc>
          <w:tcPr>
            <w:tcW w:w="506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left"/>
              <w:textAlignment w:val="center"/>
              <w:rPr>
                <w:rFonts w:ascii="Calibri" w:hAnsi="Calibri" w:eastAsia="宋体" w:cs="Calibri"/>
                <w:color w:val="auto"/>
                <w:kern w:val="24"/>
                <w:sz w:val="21"/>
                <w:szCs w:val="21"/>
              </w:rPr>
            </w:pPr>
            <w:r>
              <w:rPr>
                <w:rFonts w:ascii="Calibri" w:hAnsi="Calibri" w:eastAsia="宋体" w:cs="Calibri"/>
                <w:color w:val="auto"/>
                <w:kern w:val="24"/>
                <w:sz w:val="21"/>
                <w:szCs w:val="21"/>
              </w:rPr>
              <w:t>术语和字典注册服务</w:t>
            </w:r>
          </w:p>
        </w:tc>
        <w:tc>
          <w:tcPr>
            <w:tcW w:w="1850" w:type="dxa"/>
            <w:tcBorders>
              <w:top w:val="single" w:color="FFFFFF" w:sz="8" w:space="0"/>
              <w:left w:val="single" w:color="FFFFFF" w:sz="8" w:space="0"/>
              <w:bottom w:val="single" w:color="FFFFFF" w:sz="8" w:space="0"/>
              <w:right w:val="single" w:color="FFFFFF" w:sz="8" w:space="0"/>
            </w:tcBorders>
            <w:shd w:val="clear" w:color="auto" w:fill="E9EEF6"/>
            <w:noWrap w:val="0"/>
            <w:tcMar>
              <w:top w:w="4" w:type="dxa"/>
              <w:left w:w="4" w:type="dxa"/>
              <w:bottom w:w="20" w:type="dxa"/>
              <w:right w:w="4" w:type="dxa"/>
            </w:tcMar>
            <w:vAlign w:val="center"/>
          </w:tcPr>
          <w:p>
            <w:pPr>
              <w:widowControl/>
              <w:jc w:val="center"/>
              <w:textAlignment w:val="center"/>
              <w:rPr>
                <w:rFonts w:ascii="Calibri" w:hAnsi="Calibri" w:eastAsia="宋体" w:cs="Calibri"/>
                <w:color w:val="auto"/>
                <w:kern w:val="24"/>
                <w:sz w:val="21"/>
                <w:szCs w:val="21"/>
              </w:rPr>
            </w:pPr>
            <w:r>
              <w:rPr>
                <w:rFonts w:ascii="Calibri" w:hAnsi="Calibri" w:eastAsia="宋体" w:cs="Calibri"/>
                <w:color w:val="auto"/>
                <w:kern w:val="24"/>
                <w:sz w:val="21"/>
                <w:szCs w:val="21"/>
              </w:rPr>
              <w:t>院内</w:t>
            </w:r>
          </w:p>
        </w:tc>
      </w:tr>
    </w:tbl>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临床业务集成对接：文档改造服务。需要对下列文档进行标准化改造：</w:t>
      </w:r>
    </w:p>
    <w:tbl>
      <w:tblPr>
        <w:tblStyle w:val="49"/>
        <w:tblW w:w="8450" w:type="dxa"/>
        <w:tblInd w:w="0" w:type="dxa"/>
        <w:tblLayout w:type="fixed"/>
        <w:tblCellMar>
          <w:top w:w="0" w:type="dxa"/>
          <w:left w:w="0" w:type="dxa"/>
          <w:bottom w:w="0" w:type="dxa"/>
          <w:right w:w="0" w:type="dxa"/>
        </w:tblCellMar>
      </w:tblPr>
      <w:tblGrid>
        <w:gridCol w:w="760"/>
        <w:gridCol w:w="3040"/>
        <w:gridCol w:w="800"/>
        <w:gridCol w:w="3850"/>
      </w:tblGrid>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24" w:space="0"/>
              <w:right w:val="single" w:color="FFFFFF" w:sz="8" w:space="0"/>
            </w:tcBorders>
            <w:shd w:val="clear" w:color="auto" w:fill="5191C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b/>
                <w:bCs/>
                <w:color w:val="auto"/>
                <w:kern w:val="24"/>
                <w:sz w:val="21"/>
                <w:szCs w:val="21"/>
              </w:rPr>
              <w:t>序号</w:t>
            </w:r>
          </w:p>
        </w:tc>
        <w:tc>
          <w:tcPr>
            <w:tcW w:w="3040" w:type="dxa"/>
            <w:tcBorders>
              <w:top w:val="single" w:color="FFFFFF" w:sz="8" w:space="0"/>
              <w:left w:val="single" w:color="FFFFFF" w:sz="8" w:space="0"/>
              <w:bottom w:val="single" w:color="FFFFFF" w:sz="24" w:space="0"/>
              <w:right w:val="single" w:color="FFFFFF" w:sz="8" w:space="0"/>
            </w:tcBorders>
            <w:shd w:val="clear" w:color="auto" w:fill="5191C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b/>
                <w:bCs/>
                <w:color w:val="auto"/>
                <w:kern w:val="24"/>
                <w:sz w:val="21"/>
                <w:szCs w:val="21"/>
              </w:rPr>
              <w:t>文档名</w:t>
            </w:r>
          </w:p>
        </w:tc>
        <w:tc>
          <w:tcPr>
            <w:tcW w:w="800" w:type="dxa"/>
            <w:tcBorders>
              <w:top w:val="single" w:color="FFFFFF" w:sz="8" w:space="0"/>
              <w:left w:val="single" w:color="FFFFFF" w:sz="8" w:space="0"/>
              <w:bottom w:val="single" w:color="FFFFFF" w:sz="24" w:space="0"/>
              <w:right w:val="single" w:color="FFFFFF" w:sz="8" w:space="0"/>
            </w:tcBorders>
            <w:shd w:val="clear" w:color="auto" w:fill="5191C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b/>
                <w:bCs/>
                <w:color w:val="auto"/>
                <w:kern w:val="24"/>
                <w:sz w:val="21"/>
                <w:szCs w:val="21"/>
              </w:rPr>
              <w:t>序号</w:t>
            </w:r>
          </w:p>
        </w:tc>
        <w:tc>
          <w:tcPr>
            <w:tcW w:w="3850" w:type="dxa"/>
            <w:tcBorders>
              <w:top w:val="single" w:color="FFFFFF" w:sz="8" w:space="0"/>
              <w:left w:val="single" w:color="FFFFFF" w:sz="8" w:space="0"/>
              <w:bottom w:val="single" w:color="FFFFFF" w:sz="24" w:space="0"/>
              <w:right w:val="single" w:color="FFFFFF" w:sz="8" w:space="0"/>
            </w:tcBorders>
            <w:shd w:val="clear" w:color="auto" w:fill="5191C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b/>
                <w:bCs/>
                <w:color w:val="auto"/>
                <w:kern w:val="24"/>
                <w:sz w:val="21"/>
                <w:szCs w:val="21"/>
              </w:rPr>
              <w:t>文档名</w:t>
            </w:r>
          </w:p>
        </w:tc>
      </w:tr>
      <w:tr>
        <w:tblPrEx>
          <w:tblCellMar>
            <w:top w:w="0" w:type="dxa"/>
            <w:left w:w="0" w:type="dxa"/>
            <w:bottom w:w="0" w:type="dxa"/>
            <w:right w:w="0" w:type="dxa"/>
          </w:tblCellMar>
        </w:tblPrEx>
        <w:trPr>
          <w:trHeight w:val="363" w:hRule="atLeast"/>
        </w:trPr>
        <w:tc>
          <w:tcPr>
            <w:tcW w:w="760" w:type="dxa"/>
            <w:tcBorders>
              <w:top w:val="single" w:color="FFFFFF" w:sz="24"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w:t>
            </w:r>
          </w:p>
        </w:tc>
        <w:tc>
          <w:tcPr>
            <w:tcW w:w="3040" w:type="dxa"/>
            <w:tcBorders>
              <w:top w:val="single" w:color="FFFFFF" w:sz="24"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病历摘要</w:t>
            </w:r>
          </w:p>
        </w:tc>
        <w:tc>
          <w:tcPr>
            <w:tcW w:w="800" w:type="dxa"/>
            <w:tcBorders>
              <w:top w:val="single" w:color="FFFFFF" w:sz="24"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28</w:t>
            </w:r>
          </w:p>
        </w:tc>
        <w:tc>
          <w:tcPr>
            <w:tcW w:w="3850" w:type="dxa"/>
            <w:tcBorders>
              <w:top w:val="single" w:color="FFFFFF" w:sz="24"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输血治疗同意书</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门（急）诊病历</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29</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特殊检查及特殊治疗同意书</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急诊留观病历</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30</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病危（重）通知书</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西药处方</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31</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其他知情告知同意书</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中药处方</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32</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住院病案首页</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6</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检查报告</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33</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中医住院病案首页</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7</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检验报告</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34</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入院记录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8</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治疗记录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35</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24小时内入出院</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9</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一般手术记录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36</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24小时内入院死亡记录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10</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麻醉术前访视记录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37</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首次病程记录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11</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麻醉记录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38</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日常病程记录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12</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麻醉术后访视记录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39</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上级医师查房记录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13</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输血记录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40</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疑难病例讨论记录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14</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待产记录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41</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交接班记录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15</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阴道分娩记录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42</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转科记录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16</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剖宫产记录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43</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阶段小结</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17</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一般护理记录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44</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抢救记录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18</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病重（病危）护理记录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45</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会诊记录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19</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手术护理记录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46</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术前小结</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20</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生命体征测量记录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47</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术前讨论</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21</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出入量记录</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48</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术后首次病程记录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22</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高值耗材使用记录</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49</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出院记录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23</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入院评估</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50</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死亡记录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24</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护理计划</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51</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住院病程记录 死亡病例讨论记录</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25</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出院评估与指导</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52</w:t>
            </w: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住院医嘱</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26</w:t>
            </w:r>
          </w:p>
        </w:tc>
        <w:tc>
          <w:tcPr>
            <w:tcW w:w="304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手术同意书</w:t>
            </w:r>
          </w:p>
        </w:tc>
        <w:tc>
          <w:tcPr>
            <w:tcW w:w="80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53</w:t>
            </w:r>
          </w:p>
        </w:tc>
        <w:tc>
          <w:tcPr>
            <w:tcW w:w="3850" w:type="dxa"/>
            <w:tcBorders>
              <w:top w:val="single" w:color="FFFFFF" w:sz="8" w:space="0"/>
              <w:left w:val="single" w:color="FFFFFF" w:sz="8" w:space="0"/>
              <w:bottom w:val="single" w:color="FFFFFF" w:sz="8" w:space="0"/>
              <w:right w:val="single" w:color="FFFFFF" w:sz="8" w:space="0"/>
            </w:tcBorders>
            <w:shd w:val="clear" w:color="auto" w:fill="E9EEF6"/>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出院小结</w:t>
            </w:r>
          </w:p>
        </w:tc>
      </w:tr>
      <w:tr>
        <w:tblPrEx>
          <w:tblCellMar>
            <w:top w:w="0" w:type="dxa"/>
            <w:left w:w="0" w:type="dxa"/>
            <w:bottom w:w="0" w:type="dxa"/>
            <w:right w:w="0" w:type="dxa"/>
          </w:tblCellMar>
        </w:tblPrEx>
        <w:trPr>
          <w:trHeight w:val="363" w:hRule="atLeast"/>
        </w:trPr>
        <w:tc>
          <w:tcPr>
            <w:tcW w:w="76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center"/>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27</w:t>
            </w:r>
          </w:p>
        </w:tc>
        <w:tc>
          <w:tcPr>
            <w:tcW w:w="304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textAlignment w:val="center"/>
              <w:rPr>
                <w:rFonts w:ascii="Calibri" w:hAnsi="Calibri" w:eastAsia="宋体" w:cs="Calibri"/>
                <w:color w:val="auto"/>
                <w:kern w:val="0"/>
                <w:sz w:val="21"/>
                <w:szCs w:val="21"/>
              </w:rPr>
            </w:pPr>
            <w:r>
              <w:rPr>
                <w:rFonts w:ascii="Calibri" w:hAnsi="Calibri" w:eastAsia="宋体" w:cs="Calibri"/>
                <w:color w:val="auto"/>
                <w:kern w:val="24"/>
                <w:sz w:val="21"/>
                <w:szCs w:val="21"/>
              </w:rPr>
              <w:t>麻醉知情同意书</w:t>
            </w:r>
          </w:p>
        </w:tc>
        <w:tc>
          <w:tcPr>
            <w:tcW w:w="80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rPr>
                <w:rFonts w:ascii="Calibri" w:hAnsi="Calibri" w:eastAsia="宋体" w:cs="Calibri"/>
                <w:color w:val="auto"/>
                <w:kern w:val="0"/>
                <w:sz w:val="21"/>
                <w:szCs w:val="21"/>
              </w:rPr>
            </w:pPr>
          </w:p>
        </w:tc>
        <w:tc>
          <w:tcPr>
            <w:tcW w:w="3850" w:type="dxa"/>
            <w:tcBorders>
              <w:top w:val="single" w:color="FFFFFF" w:sz="8" w:space="0"/>
              <w:left w:val="single" w:color="FFFFFF" w:sz="8" w:space="0"/>
              <w:bottom w:val="single" w:color="FFFFFF" w:sz="8" w:space="0"/>
              <w:right w:val="single" w:color="FFFFFF" w:sz="8" w:space="0"/>
            </w:tcBorders>
            <w:shd w:val="clear" w:color="auto" w:fill="D0DCED"/>
            <w:noWrap w:val="0"/>
            <w:tcMar>
              <w:top w:w="5" w:type="dxa"/>
              <w:left w:w="5" w:type="dxa"/>
              <w:bottom w:w="24" w:type="dxa"/>
              <w:right w:w="5" w:type="dxa"/>
            </w:tcMar>
            <w:vAlign w:val="center"/>
          </w:tcPr>
          <w:p>
            <w:pPr>
              <w:widowControl/>
              <w:jc w:val="left"/>
              <w:rPr>
                <w:rFonts w:ascii="Calibri" w:hAnsi="Calibri" w:eastAsia="宋体" w:cs="Calibri"/>
                <w:color w:val="auto"/>
                <w:kern w:val="0"/>
                <w:sz w:val="21"/>
                <w:szCs w:val="21"/>
              </w:rPr>
            </w:pPr>
          </w:p>
        </w:tc>
      </w:tr>
    </w:tbl>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临床业务集成对接：标准校验服务</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需要在上述改造过程中对产生的共享文档和集成接口进行校验，查找不符合项目的产生原因并且进行调试和修复；评审时根据测评单位提供的标准化测试工具，对医院产生的标准化文档和接口进行最终校验。</w:t>
      </w:r>
    </w:p>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临床业务集成对接：服务总线改造</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需要对总线服务平台功能进行扩展，在临床业务系统或模块通过标准接口挂接后，其服务调用的交互情况，总线平台可追踪及统计：</w:t>
      </w:r>
    </w:p>
    <w:p>
      <w:pPr>
        <w:pStyle w:val="134"/>
        <w:keepNext w:val="0"/>
        <w:keepLines w:val="0"/>
        <w:pageBreakBefore w:val="0"/>
        <w:widowControl w:val="0"/>
        <w:numPr>
          <w:ilvl w:val="0"/>
          <w:numId w:val="9"/>
        </w:numPr>
        <w:kinsoku/>
        <w:wordWrap/>
        <w:overflowPunct/>
        <w:topLinePunct w:val="0"/>
        <w:autoSpaceDE/>
        <w:autoSpaceDN/>
        <w:bidi w:val="0"/>
        <w:adjustRightInd/>
        <w:snapToGrid/>
        <w:spacing w:line="360" w:lineRule="auto"/>
        <w:ind w:left="922" w:leftChars="239" w:hanging="420" w:firstLineChars="0"/>
        <w:textAlignment w:val="auto"/>
        <w:rPr>
          <w:rFonts w:hint="eastAsia" w:ascii="宋体" w:hAnsi="宋体" w:cs="宋体"/>
          <w:sz w:val="21"/>
          <w:szCs w:val="21"/>
        </w:rPr>
      </w:pPr>
      <w:r>
        <w:rPr>
          <w:rFonts w:hint="eastAsia" w:ascii="宋体" w:hAnsi="宋体" w:cs="宋体"/>
          <w:sz w:val="21"/>
          <w:szCs w:val="21"/>
        </w:rPr>
        <w:t>可以查看24小时内服务的调用情况；</w:t>
      </w:r>
    </w:p>
    <w:p>
      <w:pPr>
        <w:pStyle w:val="134"/>
        <w:keepNext w:val="0"/>
        <w:keepLines w:val="0"/>
        <w:pageBreakBefore w:val="0"/>
        <w:widowControl w:val="0"/>
        <w:numPr>
          <w:ilvl w:val="0"/>
          <w:numId w:val="9"/>
        </w:numPr>
        <w:kinsoku/>
        <w:wordWrap/>
        <w:overflowPunct/>
        <w:topLinePunct w:val="0"/>
        <w:autoSpaceDE/>
        <w:autoSpaceDN/>
        <w:bidi w:val="0"/>
        <w:adjustRightInd/>
        <w:snapToGrid/>
        <w:spacing w:line="360" w:lineRule="auto"/>
        <w:ind w:left="922" w:leftChars="239" w:hanging="420" w:firstLineChars="0"/>
        <w:textAlignment w:val="auto"/>
        <w:rPr>
          <w:rFonts w:hint="eastAsia" w:ascii="宋体" w:hAnsi="宋体" w:cs="宋体"/>
          <w:sz w:val="21"/>
          <w:szCs w:val="21"/>
        </w:rPr>
      </w:pPr>
      <w:r>
        <w:rPr>
          <w:rFonts w:hint="eastAsia" w:ascii="宋体" w:hAnsi="宋体" w:cs="宋体"/>
          <w:sz w:val="21"/>
          <w:szCs w:val="21"/>
        </w:rPr>
        <w:t>可以查看当前维护的厂商和接口，服务的情况</w:t>
      </w:r>
      <w:r>
        <w:rPr>
          <w:rFonts w:hint="eastAsia" w:ascii="宋体" w:hAnsi="宋体" w:cs="宋体"/>
          <w:sz w:val="21"/>
          <w:szCs w:val="21"/>
          <w:lang w:eastAsia="zh-CN"/>
        </w:rPr>
        <w:t>；</w:t>
      </w:r>
    </w:p>
    <w:p>
      <w:pPr>
        <w:pStyle w:val="134"/>
        <w:keepNext w:val="0"/>
        <w:keepLines w:val="0"/>
        <w:pageBreakBefore w:val="0"/>
        <w:widowControl w:val="0"/>
        <w:numPr>
          <w:ilvl w:val="0"/>
          <w:numId w:val="9"/>
        </w:numPr>
        <w:kinsoku/>
        <w:wordWrap/>
        <w:overflowPunct/>
        <w:topLinePunct w:val="0"/>
        <w:autoSpaceDE/>
        <w:autoSpaceDN/>
        <w:bidi w:val="0"/>
        <w:adjustRightInd/>
        <w:snapToGrid/>
        <w:spacing w:line="360" w:lineRule="auto"/>
        <w:ind w:left="922" w:leftChars="239" w:hanging="420" w:firstLineChars="0"/>
        <w:textAlignment w:val="auto"/>
        <w:rPr>
          <w:rFonts w:hint="eastAsia" w:ascii="宋体" w:hAnsi="宋体" w:cs="宋体"/>
          <w:sz w:val="21"/>
          <w:szCs w:val="21"/>
        </w:rPr>
      </w:pPr>
      <w:r>
        <w:rPr>
          <w:rFonts w:hint="eastAsia" w:ascii="宋体" w:hAnsi="宋体" w:cs="宋体"/>
          <w:sz w:val="21"/>
          <w:szCs w:val="21"/>
        </w:rPr>
        <w:t>可以查看服务调用的数据流转明细内容</w:t>
      </w:r>
    </w:p>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临床业务集成对接：CDR改造</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对医院CDR数据域与数据模型基于互联互通要求的标准化改造。</w:t>
      </w:r>
    </w:p>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临床业务集成对接：EMPI改造</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对医院EMPI服务进行基于互联互通要求的标准化改造。</w:t>
      </w:r>
    </w:p>
    <w:p>
      <w:pPr>
        <w:pStyle w:val="134"/>
        <w:numPr>
          <w:ilvl w:val="0"/>
          <w:numId w:val="8"/>
        </w:numPr>
        <w:spacing w:line="360" w:lineRule="auto"/>
        <w:ind w:left="420" w:firstLine="560"/>
        <w:rPr>
          <w:rFonts w:hint="eastAsia" w:ascii="宋体" w:hAnsi="宋体" w:cs="宋体"/>
          <w:sz w:val="21"/>
          <w:szCs w:val="21"/>
          <w:lang w:val="en-US" w:eastAsia="zh-CN"/>
        </w:rPr>
      </w:pPr>
      <w:r>
        <w:rPr>
          <w:rFonts w:hint="eastAsia" w:ascii="宋体" w:hAnsi="宋体" w:cs="宋体"/>
          <w:sz w:val="21"/>
          <w:szCs w:val="21"/>
          <w:lang w:val="en-US" w:eastAsia="zh-CN"/>
        </w:rPr>
        <w:t>互联互通标准化测试工具</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互联互通标准化测试工具需要具备如下技术要求：</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患者文书列表，根据批量转储的患者文书数据，进行页面展示，通过该列表展示，可以清晰的查看，患者的标识，患者的姓名，共享文档数据的标识，共享文档的名称等明细数据；当点击患者标识，可以查看该份文档的表格化数据展示；</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共享文档管理-文档管理，申请测评机构可以通过该功能，查看当前对应申请的等级，需要完成哪些共享文档</w:t>
      </w:r>
      <w:r>
        <w:rPr>
          <w:rFonts w:hint="eastAsia" w:ascii="宋体" w:hAnsi="宋体" w:cs="宋体"/>
          <w:sz w:val="21"/>
          <w:szCs w:val="21"/>
          <w:lang w:eastAsia="zh-CN"/>
        </w:rPr>
        <w:t>；</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共享文档管理-章节管理，选择任一一份共享文档，可以通过该功能，查看到该份共享文档，一共包含哪些章节，其中，可以查看每一个章节的基数，约束等明细</w:t>
      </w:r>
      <w:r>
        <w:rPr>
          <w:rFonts w:hint="eastAsia" w:ascii="宋体" w:hAnsi="宋体" w:cs="宋体"/>
          <w:sz w:val="21"/>
          <w:szCs w:val="21"/>
          <w:lang w:eastAsia="zh-CN"/>
        </w:rPr>
        <w:t>；</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共享文档管理-条目管理，选择任一一份共享文档，再选择该共享文档的任一章节，可以通过该功能，查看该章节，一共包含哪些条目，其中，可以查看每一个条目的基数，约束等明细</w:t>
      </w:r>
      <w:r>
        <w:rPr>
          <w:rFonts w:hint="eastAsia" w:ascii="宋体" w:hAnsi="宋体" w:cs="宋体"/>
          <w:sz w:val="21"/>
          <w:szCs w:val="21"/>
          <w:lang w:eastAsia="zh-CN"/>
        </w:rPr>
        <w:t>；</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共享文档管理-元素管理，选择任一一份共享文档，再选择该共享文档的任一章节，再选择该章节下的任一条目，可以通过该功能，查看该条目，一共包含哪些元素</w:t>
      </w:r>
      <w:r>
        <w:rPr>
          <w:rFonts w:hint="eastAsia" w:ascii="宋体" w:hAnsi="宋体" w:cs="宋体"/>
          <w:sz w:val="21"/>
          <w:szCs w:val="21"/>
          <w:lang w:eastAsia="zh-CN"/>
        </w:rPr>
        <w:t>；</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模版管理，任何一份共享文档，都是有Header和Body两部分组成的完整的节点树；可以通过该功能，对每一个节点本身或者该节点的属性进行修改或者删除的操作，同时，还可以增加新的同级节点或者子级节点；</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数据元管理</w:t>
      </w:r>
      <w:r>
        <w:rPr>
          <w:rFonts w:hint="eastAsia" w:ascii="宋体" w:hAnsi="宋体" w:cs="宋体"/>
          <w:sz w:val="21"/>
          <w:szCs w:val="21"/>
        </w:rPr>
        <w:tab/>
      </w:r>
      <w:r>
        <w:rPr>
          <w:rFonts w:hint="eastAsia" w:ascii="宋体" w:hAnsi="宋体" w:cs="宋体"/>
          <w:sz w:val="21"/>
          <w:szCs w:val="21"/>
        </w:rPr>
        <w:t>通过该功能，可以对互联互通中使用的数据元进行增加，删除，修改，查询等操作，同时，该页面可以查询到每一个数据元的数据集名称，数据集范围，子集名称，内部标识符，数据元标识符，数据元类型，表示格式等信息；</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OID类别管理，通过该功能，可以对互联互通中使用的OID类别进行增加，删除，修改，查询等操作；同时，该页面可以查询到每一个OID类别的编码，描述，是否可为何，版本等信息；</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OID类别明细管理，通过该功能，可以对互联互通中使用的OID类别对应的明细进行增加，删除，修改，查询等操作；同时，该页面可以查询到每一个OID类别明细的编码，明细描述，备注等信息；</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服务和共享文档明细，通过该功能，可以查询每一份共享文档或者服务对应的标准编码，标准名称，标准显示名称，类型等数据</w:t>
      </w:r>
      <w:r>
        <w:rPr>
          <w:rFonts w:hint="eastAsia" w:ascii="宋体" w:hAnsi="宋体" w:cs="宋体"/>
          <w:sz w:val="21"/>
          <w:szCs w:val="21"/>
          <w:lang w:eastAsia="zh-CN"/>
        </w:rPr>
        <w:t>；</w:t>
      </w:r>
    </w:p>
    <w:p>
      <w:pPr>
        <w:pStyle w:val="134"/>
        <w:numPr>
          <w:ilvl w:val="0"/>
          <w:numId w:val="10"/>
        </w:numPr>
        <w:spacing w:line="360" w:lineRule="auto"/>
        <w:ind w:left="420" w:leftChars="0" w:hanging="420" w:firstLineChars="0"/>
        <w:rPr>
          <w:rFonts w:hint="eastAsia" w:ascii="宋体" w:hAnsi="宋体" w:cs="宋体"/>
          <w:sz w:val="21"/>
          <w:szCs w:val="21"/>
        </w:rPr>
      </w:pPr>
      <w:r>
        <w:rPr>
          <w:rFonts w:hint="eastAsia" w:ascii="宋体" w:hAnsi="宋体" w:cs="宋体"/>
          <w:sz w:val="21"/>
          <w:szCs w:val="21"/>
        </w:rPr>
        <w:t>共享文档元素明细，通过该功能，可以查询到每一份视图对应的元素明细，包括该元素的各种版本数据库的名词，数据类型，保留小数点位数，是否需要关联主数据，关联的主数据类别等数据。</w:t>
      </w:r>
    </w:p>
    <w:p>
      <w:pPr>
        <w:pStyle w:val="134"/>
        <w:numPr>
          <w:ilvl w:val="0"/>
          <w:numId w:val="7"/>
        </w:numPr>
        <w:spacing w:line="360" w:lineRule="auto"/>
        <w:ind w:left="420" w:leftChars="20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总体要求</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投标人应具有帮助医院进行标准化改造并获得互联互通四级甲等及以上评级(国家卫键委授牌为准)的经验。</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投标人应本着认真负责态度，组织技术队伍，认真做好项目的实施工作。在签订合同前，提出具体实施、服务、维护以及今后技术支持的措施计划和承诺。</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投标人必须提供项目实施计划，经用户方同意后，严格执行。如果遇到问题，由项目组提出项目变更说明，经医院和投标人确定后，修改计划。</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投标人应负责在项目验收时将系统的全部有关技术文件、资料、及安装、测试、验收报告等文档汇集成册交付用户方。</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结合医院实际情况，拟定详细的系统实施计划，包括同医院现有信息系统的对接、个性化化定制、测试、试运行、培训及上线计划。承诺保证在合同规定时间内上线及上线后系统平稳运行。</w:t>
      </w:r>
    </w:p>
    <w:p>
      <w:pPr>
        <w:pStyle w:val="134"/>
        <w:numPr>
          <w:ilvl w:val="0"/>
          <w:numId w:val="7"/>
        </w:numPr>
        <w:spacing w:line="360" w:lineRule="auto"/>
        <w:ind w:left="420" w:leftChars="20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投标方应负责使用人员的培训及考核。并在项目实施后继续按照医院要求继续定期培训和考核。培训对象包括信息部门系统管理员、日常维护人员、技术层面人员（包括系统开发、程序版本控制、数据库维护）；实际应用部门的管理人员、操作人员。</w:t>
      </w:r>
    </w:p>
    <w:p>
      <w:pPr>
        <w:pStyle w:val="134"/>
        <w:numPr>
          <w:ilvl w:val="0"/>
          <w:numId w:val="7"/>
        </w:numPr>
        <w:spacing w:line="360" w:lineRule="auto"/>
        <w:ind w:left="420" w:leftChars="20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eastAsia="宋体" w:cs="宋体"/>
          <w:sz w:val="21"/>
          <w:szCs w:val="21"/>
          <w:lang w:eastAsia="zh-CN"/>
        </w:rPr>
      </w:pPr>
      <w:r>
        <w:rPr>
          <w:rFonts w:hint="eastAsia" w:ascii="宋体" w:hAnsi="宋体" w:cs="宋体"/>
          <w:sz w:val="21"/>
          <w:szCs w:val="21"/>
        </w:rPr>
        <w:t>对实施人员的要求</w:t>
      </w:r>
      <w:r>
        <w:rPr>
          <w:rFonts w:hint="eastAsia" w:ascii="宋体" w:hAnsi="宋体" w:cs="宋体"/>
          <w:sz w:val="21"/>
          <w:szCs w:val="21"/>
          <w:lang w:eastAsia="zh-CN"/>
        </w:rPr>
        <w:t>：</w:t>
      </w:r>
    </w:p>
    <w:p>
      <w:pPr>
        <w:pStyle w:val="134"/>
        <w:keepNext w:val="0"/>
        <w:keepLines w:val="0"/>
        <w:pageBreakBefore w:val="0"/>
        <w:widowControl w:val="0"/>
        <w:kinsoku/>
        <w:wordWrap/>
        <w:overflowPunct/>
        <w:topLinePunct w:val="0"/>
        <w:autoSpaceDE/>
        <w:autoSpaceDN/>
        <w:bidi w:val="0"/>
        <w:adjustRightInd/>
        <w:snapToGrid/>
        <w:spacing w:line="360" w:lineRule="auto"/>
        <w:ind w:left="420" w:firstLine="56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系统在通过验收前必须现场留驻足够的实施人员。</w:t>
      </w:r>
    </w:p>
    <w:p>
      <w:pPr>
        <w:pStyle w:val="134"/>
        <w:keepNext w:val="0"/>
        <w:keepLines w:val="0"/>
        <w:pageBreakBefore w:val="0"/>
        <w:widowControl w:val="0"/>
        <w:kinsoku/>
        <w:wordWrap/>
        <w:overflowPunct/>
        <w:topLinePunct w:val="0"/>
        <w:autoSpaceDE/>
        <w:autoSpaceDN/>
        <w:bidi w:val="0"/>
        <w:adjustRightInd/>
        <w:snapToGrid/>
        <w:spacing w:line="360" w:lineRule="auto"/>
        <w:ind w:left="420" w:firstLine="56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医院有权根据实施情况要求更换项目经理和实施人员。</w:t>
      </w:r>
    </w:p>
    <w:p>
      <w:pPr>
        <w:pStyle w:val="134"/>
        <w:keepNext w:val="0"/>
        <w:keepLines w:val="0"/>
        <w:pageBreakBefore w:val="0"/>
        <w:widowControl w:val="0"/>
        <w:kinsoku/>
        <w:wordWrap/>
        <w:overflowPunct/>
        <w:topLinePunct w:val="0"/>
        <w:autoSpaceDE/>
        <w:autoSpaceDN/>
        <w:bidi w:val="0"/>
        <w:adjustRightInd/>
        <w:snapToGrid/>
        <w:spacing w:line="360" w:lineRule="auto"/>
        <w:ind w:left="420" w:firstLine="560"/>
        <w:textAlignment w:val="auto"/>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对投标人项目经理等级基本要求：要求投标人针对本项目成立项目小组，在投标书中提供书面名单，人员一旦得到医院确认，无特殊理由不得随意变动，</w:t>
      </w:r>
      <w:r>
        <w:rPr>
          <w:rFonts w:hint="eastAsia" w:ascii="宋体" w:hAnsi="宋体" w:cs="宋体"/>
          <w:sz w:val="21"/>
          <w:szCs w:val="21"/>
          <w:highlight w:val="none"/>
        </w:rPr>
        <w:t>其中项目经理应具有相当资质并有同类产品实施经验，</w:t>
      </w:r>
      <w:r>
        <w:rPr>
          <w:rFonts w:hint="eastAsia" w:ascii="宋体" w:hAnsi="宋体" w:cs="宋体"/>
          <w:sz w:val="21"/>
          <w:szCs w:val="21"/>
        </w:rPr>
        <w:t>且项目经理未得到医院同意的情况下不得随意更换。</w:t>
      </w:r>
    </w:p>
    <w:p>
      <w:pPr>
        <w:pStyle w:val="134"/>
        <w:numPr>
          <w:ilvl w:val="0"/>
          <w:numId w:val="7"/>
        </w:numPr>
        <w:spacing w:line="360" w:lineRule="auto"/>
        <w:ind w:left="351" w:leftChars="167" w:firstLineChars="0"/>
        <w:rPr>
          <w:rFonts w:ascii="宋体" w:hAnsi="宋体" w:cs="宋体"/>
          <w:sz w:val="21"/>
          <w:szCs w:val="21"/>
        </w:rPr>
      </w:pPr>
    </w:p>
    <w:p>
      <w:pPr>
        <w:pStyle w:val="134"/>
        <w:spacing w:line="360" w:lineRule="auto"/>
        <w:ind w:left="420" w:firstLine="560"/>
        <w:rPr>
          <w:rFonts w:ascii="宋体" w:hAnsi="宋体" w:cs="宋体"/>
          <w:sz w:val="21"/>
          <w:szCs w:val="21"/>
        </w:rPr>
      </w:pPr>
      <w:r>
        <w:rPr>
          <w:rFonts w:hint="eastAsia" w:ascii="宋体" w:hAnsi="宋体" w:cs="宋体"/>
          <w:sz w:val="21"/>
          <w:szCs w:val="21"/>
        </w:rPr>
        <w:t>系统后台数据为非加密数据；若为加密数据，需提供数据解密工具，且支持批量、完整的数据解密处理；</w:t>
      </w:r>
    </w:p>
    <w:p>
      <w:pPr>
        <w:pStyle w:val="134"/>
        <w:numPr>
          <w:ilvl w:val="0"/>
          <w:numId w:val="7"/>
        </w:numPr>
        <w:spacing w:line="360" w:lineRule="auto"/>
        <w:ind w:left="0" w:firstLine="420" w:firstLineChars="0"/>
        <w:rPr>
          <w:rFonts w:ascii="宋体" w:hAnsi="宋体" w:cs="宋体"/>
          <w:sz w:val="21"/>
          <w:szCs w:val="21"/>
        </w:rPr>
      </w:pPr>
      <w:r>
        <w:rPr>
          <w:rFonts w:hint="eastAsia" w:ascii="宋体" w:hAnsi="宋体" w:cs="宋体"/>
          <w:sz w:val="21"/>
          <w:szCs w:val="21"/>
        </w:rPr>
        <w:t xml:space="preserve"> </w:t>
      </w:r>
    </w:p>
    <w:p>
      <w:pPr>
        <w:pStyle w:val="134"/>
        <w:spacing w:line="360" w:lineRule="auto"/>
        <w:ind w:left="420" w:firstLine="560"/>
        <w:rPr>
          <w:rFonts w:hint="eastAsia" w:ascii="宋体" w:hAnsi="宋体" w:cs="宋体"/>
          <w:sz w:val="21"/>
          <w:szCs w:val="21"/>
        </w:rPr>
      </w:pPr>
      <w:r>
        <w:rPr>
          <w:rFonts w:hint="eastAsia" w:ascii="宋体" w:hAnsi="宋体" w:cs="宋体"/>
          <w:sz w:val="21"/>
          <w:szCs w:val="21"/>
        </w:rPr>
        <w:t>系统验收后投标方须提供详细的软件相关技术文档、使用说明书、维护手册等文档资料。提供系统应急方案，提供维护和二次开发所需要的源代码及技术支持工具。</w:t>
      </w:r>
    </w:p>
    <w:p>
      <w:pPr>
        <w:numPr>
          <w:ilvl w:val="0"/>
          <w:numId w:val="7"/>
        </w:numPr>
        <w:adjustRightInd w:val="0"/>
        <w:spacing w:line="360" w:lineRule="auto"/>
        <w:ind w:left="420" w:leftChars="200"/>
        <w:textAlignment w:val="baseline"/>
        <w:rPr>
          <w:rFonts w:ascii="宋体" w:hAnsi="宋体" w:cs="宋体"/>
          <w:sz w:val="21"/>
          <w:szCs w:val="21"/>
        </w:rPr>
      </w:pPr>
      <w:r>
        <w:rPr>
          <w:rFonts w:hint="eastAsia" w:ascii="宋体" w:hAnsi="宋体" w:cs="宋体"/>
          <w:sz w:val="21"/>
          <w:szCs w:val="21"/>
        </w:rPr>
        <w:t xml:space="preserve"> </w:t>
      </w:r>
    </w:p>
    <w:p>
      <w:pPr>
        <w:adjustRightInd w:val="0"/>
        <w:spacing w:line="360" w:lineRule="auto"/>
        <w:ind w:left="420" w:firstLine="420" w:firstLineChars="200"/>
        <w:textAlignment w:val="baseline"/>
        <w:rPr>
          <w:rFonts w:hint="eastAsia" w:ascii="宋体" w:hAnsi="宋体" w:eastAsia="宋体" w:cs="宋体"/>
          <w:sz w:val="21"/>
          <w:szCs w:val="21"/>
          <w:lang w:eastAsia="zh-CN"/>
        </w:rPr>
      </w:pPr>
      <w:r>
        <w:rPr>
          <w:rFonts w:hint="eastAsia" w:ascii="宋体" w:hAnsi="宋体" w:cs="宋体"/>
          <w:sz w:val="21"/>
          <w:szCs w:val="21"/>
        </w:rPr>
        <w:t>系统的功能、性能应符合申明的标准，承诺若所提供系统经测试不能达到提出的功能或性能要求，应免费进行软硬件增加、变更或升级，直至满足要求为止</w:t>
      </w:r>
      <w:bookmarkStart w:id="130" w:name="_Toc494376574"/>
      <w:r>
        <w:rPr>
          <w:rFonts w:hint="eastAsia" w:ascii="宋体" w:hAnsi="宋体" w:cs="宋体"/>
          <w:sz w:val="21"/>
          <w:szCs w:val="21"/>
          <w:lang w:eastAsia="zh-CN"/>
        </w:rPr>
        <w:t>。</w:t>
      </w:r>
    </w:p>
    <w:bookmarkEnd w:id="130"/>
    <w:p>
      <w:pPr>
        <w:numPr>
          <w:ilvl w:val="0"/>
          <w:numId w:val="7"/>
        </w:numPr>
        <w:adjustRightInd w:val="0"/>
        <w:spacing w:line="360" w:lineRule="auto"/>
        <w:ind w:left="420" w:leftChars="200"/>
        <w:textAlignment w:val="baseline"/>
        <w:rPr>
          <w:rFonts w:ascii="宋体" w:hAnsi="宋体" w:cs="宋体"/>
          <w:sz w:val="21"/>
          <w:szCs w:val="21"/>
        </w:rPr>
      </w:pPr>
      <w:r>
        <w:rPr>
          <w:rFonts w:hint="eastAsia" w:ascii="宋体" w:hAnsi="宋体" w:cs="宋体"/>
          <w:sz w:val="21"/>
          <w:szCs w:val="21"/>
        </w:rPr>
        <w:t xml:space="preserve"> </w:t>
      </w:r>
    </w:p>
    <w:p>
      <w:pPr>
        <w:adjustRightIn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应提供所开发项目的程序源码、开发文档、表结构说明文档及二次开发接口等相关资料，医院可利用上述资料进行该项目的后续开发维护。所有由供应方提供的产品所引发的知识产权纠纷由供应方负责。双方合作中涉及的所有业务、技术资料，均有责任对第三方保密。如其中一方擅自将涉及另一方的商业和技术秘密的资料透漏给第三方，则另一方将保留追究对方法律责任的权利。</w:t>
      </w:r>
    </w:p>
    <w:p>
      <w:pPr>
        <w:numPr>
          <w:ilvl w:val="0"/>
          <w:numId w:val="7"/>
        </w:numPr>
        <w:adjustRightInd w:val="0"/>
        <w:spacing w:line="360" w:lineRule="auto"/>
        <w:ind w:left="420" w:leftChars="200"/>
        <w:textAlignment w:val="baseline"/>
        <w:rPr>
          <w:rFonts w:hint="eastAsia" w:ascii="宋体" w:hAnsi="宋体" w:cs="宋体"/>
          <w:sz w:val="21"/>
          <w:szCs w:val="21"/>
        </w:rPr>
      </w:pPr>
    </w:p>
    <w:p>
      <w:pPr>
        <w:adjustRightIn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验收标准：终验节点验收结束后，以验收文件签字之日起，进入为期1年的免费维护期，1年维护期到期后，如不存在以下项：未完结任务、系统故障未修复，则可申请维护期结束验收节点。</w:t>
      </w:r>
    </w:p>
    <w:p>
      <w:pPr>
        <w:adjustRightInd w:val="0"/>
        <w:spacing w:line="360" w:lineRule="auto"/>
        <w:ind w:firstLine="420" w:firstLineChars="200"/>
        <w:textAlignment w:val="baseline"/>
        <w:rPr>
          <w:rFonts w:hint="eastAsia" w:ascii="宋体" w:hAnsi="宋体" w:eastAsia="宋体" w:cs="宋体"/>
          <w:sz w:val="21"/>
          <w:szCs w:val="21"/>
          <w:lang w:eastAsia="zh-CN"/>
        </w:rPr>
      </w:pPr>
      <w:r>
        <w:rPr>
          <w:rFonts w:hint="eastAsia" w:ascii="宋体" w:hAnsi="宋体" w:cs="宋体"/>
          <w:sz w:val="21"/>
          <w:szCs w:val="21"/>
        </w:rPr>
        <w:t>以终验节点验收文件签字之日算起，为期1年的免费维护期</w:t>
      </w:r>
      <w:r>
        <w:rPr>
          <w:rFonts w:hint="eastAsia" w:ascii="宋体" w:hAnsi="宋体" w:cs="宋体"/>
          <w:sz w:val="21"/>
          <w:szCs w:val="21"/>
          <w:lang w:eastAsia="zh-CN"/>
        </w:rPr>
        <w:t>。</w:t>
      </w:r>
    </w:p>
    <w:p>
      <w:pPr>
        <w:numPr>
          <w:ilvl w:val="0"/>
          <w:numId w:val="7"/>
        </w:numPr>
        <w:adjustRightInd w:val="0"/>
        <w:spacing w:line="360" w:lineRule="auto"/>
        <w:ind w:left="420" w:leftChars="200"/>
        <w:textAlignment w:val="baseline"/>
        <w:rPr>
          <w:rFonts w:hint="eastAsia" w:ascii="宋体" w:hAnsi="宋体" w:cs="宋体"/>
          <w:sz w:val="21"/>
          <w:szCs w:val="21"/>
        </w:rPr>
      </w:pPr>
    </w:p>
    <w:p>
      <w:pPr>
        <w:adjustRightInd w:val="0"/>
        <w:spacing w:line="360" w:lineRule="auto"/>
        <w:ind w:firstLine="420" w:firstLineChars="200"/>
        <w:textAlignment w:val="baseline"/>
        <w:rPr>
          <w:rFonts w:hint="eastAsia" w:ascii="宋体" w:hAnsi="宋体" w:cs="宋体"/>
          <w:sz w:val="21"/>
          <w:szCs w:val="21"/>
          <w:lang w:eastAsia="zh-CN"/>
        </w:rPr>
      </w:pPr>
      <w:r>
        <w:rPr>
          <w:rFonts w:hint="eastAsia" w:ascii="宋体" w:hAnsi="宋体" w:cs="宋体"/>
          <w:sz w:val="21"/>
          <w:szCs w:val="21"/>
        </w:rPr>
        <w:t>在维护期内中标方应向采购方提供以下服务：在产品扩容及数据上报系统产品升级时，中标方应派专业技术人员到场指导。同时，承诺保修期内为用户提供的数据上报系统产品功能完善与修改服务，若因政策法规等变更涉及的业务系统改造费用和接口费用由中标方承担</w:t>
      </w:r>
      <w:r>
        <w:rPr>
          <w:rFonts w:hint="eastAsia" w:ascii="宋体" w:hAnsi="宋体" w:cs="宋体"/>
          <w:sz w:val="21"/>
          <w:szCs w:val="21"/>
          <w:lang w:eastAsia="zh-CN"/>
        </w:rPr>
        <w:t>。</w:t>
      </w:r>
    </w:p>
    <w:p>
      <w:pPr>
        <w:numPr>
          <w:ilvl w:val="0"/>
          <w:numId w:val="7"/>
        </w:numPr>
        <w:adjustRightInd w:val="0"/>
        <w:spacing w:line="360" w:lineRule="auto"/>
        <w:ind w:left="420" w:leftChars="200"/>
        <w:textAlignment w:val="baseline"/>
        <w:rPr>
          <w:rFonts w:hint="eastAsia" w:ascii="宋体" w:hAnsi="宋体" w:cs="宋体"/>
          <w:sz w:val="21"/>
          <w:szCs w:val="21"/>
          <w:lang w:eastAsia="zh-CN"/>
        </w:rPr>
      </w:pPr>
    </w:p>
    <w:p>
      <w:pPr>
        <w:adjustRightInd w:val="0"/>
        <w:spacing w:line="360" w:lineRule="auto"/>
        <w:ind w:firstLine="420" w:firstLineChars="200"/>
        <w:textAlignment w:val="baseline"/>
        <w:rPr>
          <w:rFonts w:hint="eastAsia" w:ascii="宋体" w:hAnsi="宋体" w:cs="宋体"/>
          <w:sz w:val="21"/>
          <w:szCs w:val="21"/>
          <w:lang w:eastAsia="zh-CN"/>
        </w:rPr>
      </w:pPr>
      <w:r>
        <w:rPr>
          <w:rFonts w:hint="eastAsia" w:ascii="宋体" w:hAnsi="宋体" w:cs="宋体"/>
          <w:sz w:val="21"/>
          <w:szCs w:val="21"/>
          <w:lang w:eastAsia="zh-CN"/>
        </w:rPr>
        <w:t>维护服务保证期后，中标方有责任对所供产品进行定期维护和升级，采购人可自行选择是否继续签订维保合同。</w:t>
      </w:r>
    </w:p>
    <w:p>
      <w:pPr>
        <w:numPr>
          <w:ilvl w:val="0"/>
          <w:numId w:val="7"/>
        </w:numPr>
        <w:adjustRightInd w:val="0"/>
        <w:spacing w:line="360" w:lineRule="auto"/>
        <w:ind w:left="420" w:leftChars="200"/>
        <w:textAlignment w:val="baseline"/>
        <w:rPr>
          <w:rFonts w:hint="eastAsia" w:ascii="宋体" w:hAnsi="宋体" w:cs="宋体"/>
          <w:sz w:val="21"/>
          <w:szCs w:val="21"/>
          <w:lang w:eastAsia="zh-CN"/>
        </w:rPr>
      </w:pPr>
    </w:p>
    <w:p>
      <w:pPr>
        <w:adjustRightInd w:val="0"/>
        <w:spacing w:line="360" w:lineRule="auto"/>
        <w:ind w:firstLine="420" w:firstLineChars="200"/>
        <w:textAlignment w:val="baseline"/>
        <w:rPr>
          <w:rFonts w:hint="eastAsia" w:ascii="宋体" w:hAnsi="宋体" w:cs="宋体"/>
          <w:sz w:val="21"/>
          <w:szCs w:val="21"/>
          <w:lang w:eastAsia="zh-CN"/>
        </w:rPr>
      </w:pPr>
      <w:r>
        <w:rPr>
          <w:rFonts w:hint="eastAsia" w:ascii="宋体" w:hAnsi="宋体" w:cs="宋体"/>
          <w:sz w:val="21"/>
          <w:szCs w:val="21"/>
          <w:lang w:eastAsia="zh-CN"/>
        </w:rPr>
        <w:t>采购人使用的第三方软件需与本系统连接时，供应商应承担开发或协助开发接口软件的工作，并提供标准接口，向采购方技术部门提供接口源代码及数据库结构说明书、系统维护手册、操作手册等。</w:t>
      </w:r>
    </w:p>
    <w:p>
      <w:pPr>
        <w:numPr>
          <w:ilvl w:val="0"/>
          <w:numId w:val="7"/>
        </w:numPr>
        <w:adjustRightInd w:val="0"/>
        <w:spacing w:line="360" w:lineRule="auto"/>
        <w:ind w:left="420" w:leftChars="200"/>
        <w:textAlignment w:val="baseline"/>
        <w:rPr>
          <w:rFonts w:hint="eastAsia" w:ascii="宋体" w:hAnsi="宋体" w:cs="宋体"/>
          <w:sz w:val="21"/>
          <w:szCs w:val="21"/>
          <w:lang w:eastAsia="zh-CN"/>
        </w:rPr>
      </w:pPr>
    </w:p>
    <w:p>
      <w:pPr>
        <w:adjustRightInd w:val="0"/>
        <w:spacing w:line="360" w:lineRule="auto"/>
        <w:ind w:firstLine="420" w:firstLineChars="200"/>
        <w:textAlignment w:val="baseline"/>
        <w:rPr>
          <w:rFonts w:hint="eastAsia" w:ascii="宋体" w:hAnsi="宋体" w:cs="宋体"/>
          <w:sz w:val="21"/>
          <w:szCs w:val="21"/>
          <w:lang w:eastAsia="zh-CN"/>
        </w:rPr>
      </w:pPr>
      <w:r>
        <w:rPr>
          <w:rFonts w:hint="eastAsia" w:ascii="宋体" w:hAnsi="宋体" w:cs="宋体"/>
          <w:sz w:val="21"/>
          <w:szCs w:val="21"/>
          <w:lang w:eastAsia="zh-CN"/>
        </w:rPr>
        <w:t>在实施期内（即系统终验合格前），有常驻的服务人员，保障系统的正常运行，在出现故障时及时响应。在实施结束进入免费运维期后，提供每周7天/每天24小时不间断的电话支持服务，解答院方在系统使用、维护过程中遇到的问题，及时提出解决问题的建议和操作方法；影响系统正常运行的故障响应时间不得超过1小时，日常维护响应时间不得超过4小时。对于电话咨询无法解决的问题，经采购人信息中心授权通过远程登录到检验中心网络系统进行的故障诊断和排除。远程登录也未能排除故障的，尽全力安排人员提供上门服务。</w:t>
      </w:r>
    </w:p>
    <w:p>
      <w:pPr>
        <w:rPr>
          <w:sz w:val="24"/>
          <w:szCs w:val="24"/>
          <w:highlight w:val="none"/>
        </w:rPr>
      </w:pPr>
    </w:p>
    <w:p>
      <w:pPr>
        <w:spacing w:line="360" w:lineRule="auto"/>
        <w:jc w:val="center"/>
        <w:rPr>
          <w:rFonts w:ascii="宋体"/>
          <w:b/>
          <w:sz w:val="36"/>
          <w:highlight w:val="none"/>
        </w:rPr>
      </w:pPr>
      <w:r>
        <w:rPr>
          <w:rFonts w:hint="eastAsia" w:ascii="宋体" w:hAnsi="宋体" w:cs="宋体"/>
          <w:b/>
          <w:sz w:val="24"/>
          <w:highlight w:val="none"/>
        </w:rPr>
        <w:br w:type="page"/>
      </w:r>
      <w:r>
        <w:rPr>
          <w:rFonts w:hint="eastAsia" w:ascii="宋体" w:hAnsi="宋体"/>
          <w:b/>
          <w:sz w:val="36"/>
          <w:highlight w:val="none"/>
        </w:rPr>
        <w:t>第四部分合同条款及格式</w:t>
      </w:r>
      <w:bookmarkEnd w:id="129"/>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付款方式：</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合同生效后15个工作日内，甲方支付乙方合同额的10%。乙方先向甲方开具相同金额的发票。验收合格后1月内，甲方支付乙方合同额的80%，系统运行验收合格1年后，无服务和质量问题，在1个月内支付合同额的10%。</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31" w:name="_Toc487900361"/>
      <w:r>
        <w:rPr>
          <w:rFonts w:ascii="宋体" w:hAnsi="宋体"/>
          <w:bCs/>
          <w:highlight w:val="none"/>
        </w:rPr>
        <w:t>11</w:t>
      </w:r>
      <w:r>
        <w:rPr>
          <w:rFonts w:hint="eastAsia" w:ascii="宋体" w:hAnsi="宋体"/>
          <w:bCs/>
          <w:highlight w:val="none"/>
        </w:rPr>
        <w:t>、索赔</w:t>
      </w:r>
      <w:bookmarkEnd w:id="131"/>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2"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2"/>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3"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spacing w:line="420" w:lineRule="exact"/>
        <w:ind w:left="1"/>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spacing w:line="420" w:lineRule="exact"/>
        <w:ind w:left="763" w:hanging="763" w:hangingChars="318"/>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spacing w:line="420" w:lineRule="exact"/>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3"/>
    </w:p>
    <w:p>
      <w:pPr>
        <w:pStyle w:val="19"/>
        <w:spacing w:line="420" w:lineRule="exact"/>
        <w:ind w:left="763" w:hanging="763" w:hangingChars="318"/>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Cs/>
          <w:highlight w:val="none"/>
        </w:rPr>
      </w:pPr>
      <w:bookmarkStart w:id="134" w:name="_Toc487900369"/>
      <w:r>
        <w:rPr>
          <w:rFonts w:ascii="宋体" w:hAnsi="宋体"/>
          <w:bCs/>
          <w:highlight w:val="none"/>
        </w:rPr>
        <w:t xml:space="preserve">18   </w:t>
      </w:r>
      <w:r>
        <w:rPr>
          <w:rFonts w:hint="eastAsia" w:ascii="宋体" w:hAnsi="宋体"/>
          <w:bCs/>
          <w:highlight w:val="none"/>
        </w:rPr>
        <w:t>转让和分包</w:t>
      </w:r>
      <w:bookmarkEnd w:id="134"/>
    </w:p>
    <w:p>
      <w:pPr>
        <w:pStyle w:val="19"/>
        <w:keepNext w:val="0"/>
        <w:keepLines w:val="0"/>
        <w:pageBreakBefore w:val="0"/>
        <w:widowControl w:val="0"/>
        <w:kinsoku/>
        <w:wordWrap/>
        <w:overflowPunct/>
        <w:topLinePunct w:val="0"/>
        <w:autoSpaceDE/>
        <w:autoSpaceDN/>
        <w:bidi w:val="0"/>
        <w:adjustRightInd w:val="0"/>
        <w:snapToGrid w:val="0"/>
        <w:spacing w:line="400" w:lineRule="exact"/>
        <w:ind w:left="763" w:hanging="763" w:hangingChars="318"/>
        <w:textAlignment w:val="auto"/>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Cs/>
          <w:highlight w:val="none"/>
        </w:rPr>
      </w:pPr>
      <w:bookmarkStart w:id="135" w:name="_Toc487900371"/>
      <w:r>
        <w:rPr>
          <w:rFonts w:ascii="宋体" w:hAnsi="宋体"/>
          <w:bCs/>
          <w:highlight w:val="none"/>
        </w:rPr>
        <w:t xml:space="preserve">19   </w:t>
      </w:r>
      <w:r>
        <w:rPr>
          <w:rFonts w:hint="eastAsia" w:ascii="宋体" w:hAnsi="宋体"/>
          <w:bCs/>
          <w:highlight w:val="none"/>
        </w:rPr>
        <w:t>通知</w:t>
      </w:r>
      <w:bookmarkEnd w:id="135"/>
    </w:p>
    <w:p>
      <w:pPr>
        <w:pStyle w:val="19"/>
        <w:keepNext w:val="0"/>
        <w:keepLines w:val="0"/>
        <w:pageBreakBefore w:val="0"/>
        <w:widowControl w:val="0"/>
        <w:kinsoku/>
        <w:wordWrap/>
        <w:overflowPunct/>
        <w:topLinePunct w:val="0"/>
        <w:autoSpaceDE/>
        <w:autoSpaceDN/>
        <w:bidi w:val="0"/>
        <w:adjustRightInd w:val="0"/>
        <w:snapToGrid w:val="0"/>
        <w:spacing w:line="400" w:lineRule="exact"/>
        <w:ind w:left="1"/>
        <w:textAlignment w:val="auto"/>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val="0"/>
        <w:snapToGrid w:val="0"/>
        <w:spacing w:line="400" w:lineRule="exact"/>
        <w:ind w:left="703" w:leftChars="200" w:hanging="283" w:hangingChars="118"/>
        <w:textAlignment w:val="auto"/>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6" w:name="_Toc27021"/>
      <w:bookmarkStart w:id="137" w:name="_Toc15550"/>
      <w:bookmarkStart w:id="138" w:name="_Toc15866"/>
      <w:r>
        <w:rPr>
          <w:rFonts w:hint="eastAsia" w:ascii="宋体" w:hAnsi="宋体"/>
          <w:b/>
          <w:bCs/>
          <w:sz w:val="24"/>
          <w:highlight w:val="none"/>
        </w:rPr>
        <w:t>一、本合同由合同文本和下列文件组成</w:t>
      </w:r>
      <w:bookmarkEnd w:id="136"/>
      <w:bookmarkEnd w:id="137"/>
      <w:bookmarkEnd w:id="138"/>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9" w:name="_Toc9903"/>
      <w:bookmarkStart w:id="140" w:name="_Toc16073"/>
      <w:bookmarkStart w:id="141" w:name="_Toc9153"/>
      <w:r>
        <w:rPr>
          <w:rFonts w:hint="eastAsia" w:ascii="宋体" w:hAnsi="宋体"/>
          <w:b/>
          <w:bCs/>
          <w:sz w:val="24"/>
          <w:highlight w:val="none"/>
        </w:rPr>
        <w:t>二、货物的名称、数量</w:t>
      </w:r>
      <w:bookmarkEnd w:id="139"/>
      <w:bookmarkEnd w:id="140"/>
      <w:bookmarkEnd w:id="141"/>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2" w:name="_Toc4618"/>
      <w:bookmarkStart w:id="143" w:name="_Toc14263"/>
      <w:bookmarkStart w:id="144" w:name="_Toc1690"/>
      <w:r>
        <w:rPr>
          <w:rFonts w:hint="eastAsia" w:ascii="宋体" w:hAnsi="宋体"/>
          <w:b/>
          <w:bCs/>
          <w:sz w:val="24"/>
          <w:highlight w:val="none"/>
        </w:rPr>
        <w:t>三、合同金额</w:t>
      </w:r>
      <w:bookmarkEnd w:id="142"/>
      <w:bookmarkEnd w:id="143"/>
      <w:bookmarkEnd w:id="144"/>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outlineLvl w:val="0"/>
        <w:rPr>
          <w:rFonts w:ascii="宋体"/>
          <w:b/>
          <w:sz w:val="24"/>
          <w:highlight w:val="none"/>
        </w:rPr>
      </w:pPr>
      <w:bookmarkStart w:id="145" w:name="_Toc10675"/>
      <w:bookmarkStart w:id="146" w:name="_Toc19878"/>
      <w:bookmarkStart w:id="147" w:name="_Toc23604"/>
      <w:r>
        <w:rPr>
          <w:rFonts w:hint="eastAsia" w:ascii="宋体" w:hAnsi="宋体"/>
          <w:b/>
          <w:bCs/>
          <w:sz w:val="24"/>
          <w:highlight w:val="none"/>
        </w:rPr>
        <w:t>四、</w:t>
      </w:r>
      <w:bookmarkEnd w:id="145"/>
      <w:bookmarkEnd w:id="146"/>
      <w:bookmarkEnd w:id="147"/>
      <w:r>
        <w:rPr>
          <w:rFonts w:hint="eastAsia" w:ascii="宋体" w:hAnsi="宋体"/>
          <w:b/>
          <w:sz w:val="24"/>
          <w:highlight w:val="none"/>
        </w:rPr>
        <w:t>付款方式：</w:t>
      </w:r>
    </w:p>
    <w:p>
      <w:pPr>
        <w:tabs>
          <w:tab w:val="left" w:pos="764"/>
        </w:tabs>
        <w:snapToGrid w:val="0"/>
        <w:spacing w:line="480" w:lineRule="exact"/>
        <w:ind w:firstLine="357" w:firstLineChars="15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合同生效后15个工作日内，甲方支付乙方合同额的10%。乙方先向甲方开具相同金额的发票。验收合格后1月内，甲方支付乙方合同额的80%，系统运行验收合格1年后，无服务和质量问题，在1个月内支付合同额的10%。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五、交付时间、地点、验收方式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8" w:name="_Toc12280"/>
      <w:bookmarkStart w:id="149" w:name="_Toc28907"/>
      <w:bookmarkStart w:id="150" w:name="_Toc28569"/>
      <w:r>
        <w:rPr>
          <w:rFonts w:hint="eastAsia" w:ascii="宋体" w:hAnsi="宋体"/>
          <w:b/>
          <w:bCs/>
          <w:sz w:val="24"/>
          <w:highlight w:val="none"/>
        </w:rPr>
        <w:t>六、履约保证金</w:t>
      </w:r>
      <w:bookmarkEnd w:id="148"/>
      <w:bookmarkEnd w:id="149"/>
      <w:bookmarkEnd w:id="150"/>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51" w:name="_Toc609"/>
      <w:bookmarkStart w:id="152" w:name="_Toc24320"/>
      <w:bookmarkStart w:id="153" w:name="_Toc29637"/>
      <w:r>
        <w:rPr>
          <w:rFonts w:hint="eastAsia" w:ascii="宋体" w:hAnsi="宋体"/>
          <w:b/>
          <w:bCs/>
          <w:sz w:val="24"/>
          <w:highlight w:val="none"/>
        </w:rPr>
        <w:t>七、合同生效</w:t>
      </w:r>
      <w:bookmarkEnd w:id="151"/>
      <w:bookmarkEnd w:id="152"/>
      <w:bookmarkEnd w:id="153"/>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4" w:name="_Toc28312"/>
      <w:bookmarkStart w:id="155" w:name="_Toc20385"/>
      <w:bookmarkStart w:id="156" w:name="_Toc10585"/>
      <w:r>
        <w:rPr>
          <w:rFonts w:hint="eastAsia" w:ascii="宋体" w:hAnsi="宋体"/>
          <w:b/>
          <w:bCs/>
          <w:sz w:val="24"/>
          <w:highlight w:val="none"/>
        </w:rPr>
        <w:t>八、合同保存</w:t>
      </w:r>
      <w:bookmarkEnd w:id="154"/>
      <w:bookmarkEnd w:id="155"/>
      <w:bookmarkEnd w:id="156"/>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7" w:name="_Toc23003"/>
      <w:bookmarkStart w:id="158" w:name="_Toc14149"/>
      <w:bookmarkStart w:id="159" w:name="_Toc17788"/>
      <w:r>
        <w:rPr>
          <w:rFonts w:hint="eastAsia" w:ascii="宋体" w:hAnsi="宋体"/>
          <w:b/>
          <w:bCs/>
          <w:sz w:val="24"/>
          <w:highlight w:val="none"/>
        </w:rPr>
        <w:t>九、违约条款</w:t>
      </w:r>
      <w:bookmarkEnd w:id="157"/>
      <w:bookmarkEnd w:id="158"/>
      <w:bookmarkEnd w:id="159"/>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60" w:name="_Toc4944"/>
      <w:bookmarkStart w:id="161" w:name="_Toc25277"/>
      <w:bookmarkStart w:id="162"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60"/>
      <w:bookmarkEnd w:id="161"/>
      <w:bookmarkEnd w:id="162"/>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3" w:name="_Toc4921"/>
      <w:r>
        <w:rPr>
          <w:rFonts w:hint="eastAsia" w:ascii="宋体" w:hAnsi="宋体"/>
          <w:b/>
          <w:kern w:val="0"/>
          <w:sz w:val="36"/>
          <w:szCs w:val="20"/>
          <w:highlight w:val="none"/>
        </w:rPr>
        <w:t>第五部分附件</w:t>
      </w:r>
      <w:bookmarkEnd w:id="163"/>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投标报价</w:t>
            </w:r>
          </w:p>
        </w:tc>
        <w:tc>
          <w:tcPr>
            <w:tcW w:w="7121"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highlight w:val="none"/>
              </w:rPr>
              <w:t>合同生效之日起</w:t>
            </w:r>
            <w:r>
              <w:rPr>
                <w:color w:val="000000"/>
                <w:sz w:val="24"/>
                <w:highlight w:val="none"/>
                <w:u w:val="single"/>
              </w:rPr>
              <w:t xml:space="preserve">    </w:t>
            </w:r>
            <w:r>
              <w:rPr>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cols w:space="720" w:num="1"/>
          <w:titlePg/>
          <w:docGrid w:type="lines" w:linePitch="290" w:charSpace="-3931"/>
        </w:sectPr>
      </w:pPr>
    </w:p>
    <w:p>
      <w:pPr>
        <w:pStyle w:val="15"/>
        <w:spacing w:line="480" w:lineRule="exact"/>
        <w:rPr>
          <w:rFonts w:hint="eastAsia" w:ascii="宋体" w:hAnsi="宋体" w:eastAsia="宋体" w:cs="Times New Roman"/>
          <w:sz w:val="24"/>
          <w:szCs w:val="24"/>
          <w:highlight w:val="none"/>
        </w:rPr>
        <w:sectPr>
          <w:type w:val="continuous"/>
          <w:pgSz w:w="11907" w:h="16840"/>
          <w:pgMar w:top="1304" w:right="1418" w:bottom="1157" w:left="1418" w:header="851" w:footer="851" w:gutter="0"/>
          <w:cols w:space="720" w:num="1"/>
          <w:docGrid w:type="lines" w:linePitch="290" w:charSpace="-3931"/>
        </w:sectPr>
      </w:pPr>
    </w:p>
    <w:p>
      <w:pPr>
        <w:pStyle w:val="19"/>
        <w:spacing w:after="0" w:afterLines="0" w:line="480" w:lineRule="exact"/>
        <w:jc w:val="left"/>
        <w:outlineLvl w:val="0"/>
        <w:rPr>
          <w:rFonts w:ascii="宋体"/>
          <w:b/>
          <w:sz w:val="32"/>
          <w:szCs w:val="32"/>
          <w:highlight w:val="none"/>
        </w:rPr>
      </w:pPr>
      <w:bookmarkStart w:id="164" w:name="_Toc32015"/>
      <w:bookmarkStart w:id="165" w:name="_Toc5221"/>
      <w:bookmarkStart w:id="166" w:name="_Toc14774"/>
      <w:r>
        <w:rPr>
          <w:rFonts w:hint="eastAsia" w:ascii="宋体" w:hAnsi="宋体"/>
          <w:highlight w:val="none"/>
        </w:rPr>
        <w:t>附件四：</w:t>
      </w:r>
      <w:bookmarkEnd w:id="164"/>
      <w:bookmarkEnd w:id="165"/>
      <w:bookmarkEnd w:id="166"/>
      <w:r>
        <w:rPr>
          <w:rFonts w:hint="eastAsia" w:ascii="宋体" w:hAnsi="宋体"/>
          <w:highlight w:val="none"/>
          <w:lang w:val="en-US" w:eastAsia="zh-CN"/>
        </w:rPr>
        <w:t xml:space="preserve"> </w:t>
      </w:r>
      <w:bookmarkStart w:id="167" w:name="_Toc17048"/>
      <w:bookmarkStart w:id="168" w:name="_Toc27446"/>
      <w:r>
        <w:rPr>
          <w:rFonts w:hint="eastAsia" w:ascii="宋体" w:hAnsi="宋体"/>
          <w:highlight w:val="none"/>
          <w:lang w:val="en-US" w:eastAsia="zh-CN"/>
        </w:rPr>
        <w:t xml:space="preserve">                                                  </w:t>
      </w:r>
      <w:r>
        <w:rPr>
          <w:rFonts w:hint="eastAsia" w:ascii="宋体" w:hAnsi="宋体"/>
          <w:b/>
          <w:sz w:val="32"/>
          <w:szCs w:val="32"/>
          <w:highlight w:val="none"/>
        </w:rPr>
        <w:t>报价明细表</w:t>
      </w:r>
      <w:bookmarkEnd w:id="167"/>
      <w:bookmarkEnd w:id="168"/>
    </w:p>
    <w:p>
      <w:pPr>
        <w:tabs>
          <w:tab w:val="left" w:pos="1785"/>
        </w:tabs>
        <w:spacing w:line="480" w:lineRule="exact"/>
        <w:rPr>
          <w:rFonts w:ascii="宋体"/>
          <w:sz w:val="24"/>
          <w:highlight w:val="none"/>
        </w:rPr>
      </w:pPr>
      <w:r>
        <w:rPr>
          <w:rFonts w:hint="eastAsia" w:ascii="宋体" w:hAnsi="宋体"/>
          <w:b/>
          <w:sz w:val="24"/>
          <w:highlight w:val="none"/>
        </w:rPr>
        <w:t xml:space="preserve">  </w:t>
      </w:r>
      <w:r>
        <w:rPr>
          <w:rFonts w:hint="eastAsia" w:ascii="宋体" w:hAnsi="宋体"/>
          <w:b/>
          <w:sz w:val="24"/>
          <w:highlight w:val="none"/>
          <w:lang w:val="en-US" w:eastAsia="zh-CN"/>
        </w:rPr>
        <w:t>招标</w:t>
      </w:r>
      <w:r>
        <w:rPr>
          <w:rFonts w:hint="eastAsia" w:ascii="宋体" w:hAnsi="宋体"/>
          <w:b/>
          <w:sz w:val="24"/>
          <w:highlight w:val="none"/>
        </w:rPr>
        <w:t>内容</w:t>
      </w:r>
      <w:r>
        <w:rPr>
          <w:rFonts w:ascii="宋体" w:hAnsi="宋体"/>
          <w:b/>
          <w:sz w:val="24"/>
          <w:highlight w:val="none"/>
        </w:rPr>
        <w:t xml:space="preserve"> :                                                                     </w:t>
      </w:r>
      <w:r>
        <w:rPr>
          <w:rFonts w:hint="eastAsia" w:ascii="宋体" w:hAnsi="宋体"/>
          <w:b/>
          <w:sz w:val="24"/>
          <w:highlight w:val="none"/>
        </w:rPr>
        <w:t>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noWrap w:val="0"/>
            <w:vAlign w:val="center"/>
          </w:tcPr>
          <w:p>
            <w:pPr>
              <w:spacing w:line="480" w:lineRule="exact"/>
              <w:jc w:val="center"/>
              <w:rPr>
                <w:rFonts w:ascii="宋体"/>
                <w:sz w:val="24"/>
                <w:highlight w:val="none"/>
              </w:rPr>
            </w:pPr>
          </w:p>
        </w:tc>
        <w:tc>
          <w:tcPr>
            <w:tcW w:w="1164" w:type="dxa"/>
            <w:vMerge w:val="continue"/>
            <w:noWrap w:val="0"/>
            <w:vAlign w:val="center"/>
          </w:tcPr>
          <w:p>
            <w:pPr>
              <w:spacing w:line="480" w:lineRule="exact"/>
              <w:jc w:val="center"/>
              <w:rPr>
                <w:rFonts w:ascii="宋体"/>
                <w:sz w:val="24"/>
                <w:highlight w:val="none"/>
              </w:rPr>
            </w:pPr>
          </w:p>
        </w:tc>
        <w:tc>
          <w:tcPr>
            <w:tcW w:w="1566" w:type="dxa"/>
            <w:vMerge w:val="continue"/>
            <w:noWrap w:val="0"/>
            <w:vAlign w:val="top"/>
          </w:tcPr>
          <w:p>
            <w:pPr>
              <w:spacing w:line="480" w:lineRule="exact"/>
              <w:rPr>
                <w:rFonts w:ascii="宋体"/>
                <w:sz w:val="24"/>
                <w:highlight w:val="none"/>
              </w:rPr>
            </w:pPr>
          </w:p>
        </w:tc>
        <w:tc>
          <w:tcPr>
            <w:tcW w:w="1602" w:type="dxa"/>
            <w:vMerge w:val="continue"/>
            <w:noWrap w:val="0"/>
            <w:vAlign w:val="top"/>
          </w:tcPr>
          <w:p>
            <w:pPr>
              <w:spacing w:line="480" w:lineRule="exact"/>
              <w:rPr>
                <w:rFonts w:ascii="宋体"/>
                <w:sz w:val="24"/>
                <w:highlight w:val="none"/>
              </w:rPr>
            </w:pPr>
          </w:p>
        </w:tc>
        <w:tc>
          <w:tcPr>
            <w:tcW w:w="1056" w:type="dxa"/>
            <w:vMerge w:val="continue"/>
            <w:noWrap w:val="0"/>
            <w:vAlign w:val="top"/>
          </w:tcPr>
          <w:p>
            <w:pPr>
              <w:spacing w:line="480" w:lineRule="exact"/>
              <w:rPr>
                <w:rFonts w:ascii="宋体"/>
                <w:sz w:val="24"/>
                <w:highlight w:val="none"/>
              </w:rPr>
            </w:pPr>
          </w:p>
        </w:tc>
        <w:tc>
          <w:tcPr>
            <w:tcW w:w="702"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noWrap w:val="0"/>
            <w:vAlign w:val="top"/>
          </w:tcPr>
          <w:p>
            <w:pPr>
              <w:spacing w:line="480" w:lineRule="exact"/>
              <w:jc w:val="center"/>
              <w:rPr>
                <w:rFonts w:ascii="宋体"/>
                <w:sz w:val="24"/>
                <w:highlight w:val="none"/>
              </w:rPr>
            </w:pPr>
          </w:p>
        </w:tc>
        <w:tc>
          <w:tcPr>
            <w:tcW w:w="1260" w:type="dxa"/>
            <w:vMerge w:val="continue"/>
            <w:noWrap w:val="0"/>
            <w:vAlign w:val="top"/>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noWrap w:val="0"/>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noWrap w:val="0"/>
            <w:vAlign w:val="top"/>
          </w:tcPr>
          <w:p>
            <w:pPr>
              <w:widowControl/>
              <w:spacing w:line="480" w:lineRule="exact"/>
              <w:jc w:val="left"/>
              <w:rPr>
                <w:rFonts w:ascii="宋体"/>
                <w:sz w:val="24"/>
                <w:highlight w:val="none"/>
              </w:rPr>
            </w:pPr>
          </w:p>
        </w:tc>
      </w:tr>
    </w:tbl>
    <w:p>
      <w:pPr>
        <w:pStyle w:val="96"/>
        <w:spacing w:before="240" w:beforeLines="0" w:line="480" w:lineRule="exact"/>
        <w:ind w:firstLine="0" w:firstLineChars="0"/>
        <w:rPr>
          <w:rFonts w:ascii="宋体"/>
          <w:highlight w:val="none"/>
        </w:rPr>
      </w:pPr>
      <w:r>
        <w:rPr>
          <w:rFonts w:hint="eastAsia" w:ascii="宋体" w:hAnsi="宋体"/>
          <w:highlight w:val="none"/>
          <w:lang w:val="en-US" w:eastAsia="zh-CN"/>
        </w:rPr>
        <w:t>投标企业</w:t>
      </w:r>
      <w:r>
        <w:rPr>
          <w:rFonts w:hint="eastAsia" w:ascii="宋体" w:hAnsi="宋体"/>
          <w:highlight w:val="none"/>
        </w:rPr>
        <w:t>名称（盖章）：</w:t>
      </w:r>
    </w:p>
    <w:p>
      <w:pPr>
        <w:pStyle w:val="96"/>
        <w:spacing w:before="240" w:beforeLines="0" w:line="480" w:lineRule="exact"/>
        <w:ind w:firstLine="0" w:firstLineChars="0"/>
        <w:rPr>
          <w:rFonts w:hint="eastAsia" w:ascii="宋体" w:hAnsi="宋体"/>
          <w:highlight w:val="none"/>
        </w:rPr>
      </w:pPr>
      <w:r>
        <w:rPr>
          <w:rFonts w:hint="eastAsia" w:ascii="宋体" w:hAnsi="宋体"/>
          <w:highlight w:val="none"/>
        </w:rPr>
        <w:t xml:space="preserve">授权代表（签字或盖章）：                                    </w:t>
      </w:r>
    </w:p>
    <w:p>
      <w:pPr>
        <w:pStyle w:val="96"/>
        <w:spacing w:before="240" w:beforeLines="0" w:line="480" w:lineRule="exact"/>
        <w:ind w:firstLine="10485" w:firstLineChars="4500"/>
        <w:rPr>
          <w:rFonts w:ascii="宋体"/>
          <w:highlight w:val="none"/>
        </w:rPr>
      </w:pP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月</w:t>
      </w:r>
      <w:r>
        <w:rPr>
          <w:rFonts w:hint="eastAsia" w:ascii="宋体" w:hAnsi="宋体"/>
          <w:highlight w:val="none"/>
          <w:lang w:val="en-US" w:eastAsia="zh-CN"/>
        </w:rPr>
        <w:t xml:space="preserve">   </w:t>
      </w:r>
      <w:r>
        <w:rPr>
          <w:rFonts w:hint="eastAsia" w:ascii="宋体" w:hAnsi="宋体"/>
          <w:highlight w:val="none"/>
        </w:rPr>
        <w:t>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hint="eastAsia" w:ascii="宋体" w:hAnsi="宋体"/>
          <w:sz w:val="24"/>
          <w:highlight w:val="none"/>
        </w:rPr>
        <w:sectPr>
          <w:pgSz w:w="16840" w:h="11907" w:orient="landscape"/>
          <w:pgMar w:top="1418" w:right="1157" w:bottom="1418" w:left="1304" w:header="851" w:footer="851" w:gutter="0"/>
          <w:cols w:space="720" w:num="1"/>
          <w:titlePg/>
          <w:docGrid w:type="linesAndChars" w:linePitch="290" w:charSpace="-3931"/>
        </w:sect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ascii="宋体" w:hAnsi="宋体" w:eastAsia="宋体" w:cs="Times New Roman"/>
          <w:sz w:val="24"/>
          <w:szCs w:val="24"/>
          <w:highlight w:val="none"/>
        </w:rPr>
      </w:pPr>
      <w:bookmarkStart w:id="169" w:name="_Toc13424"/>
      <w:bookmarkStart w:id="170" w:name="_Toc29000"/>
      <w:bookmarkStart w:id="171" w:name="_Toc13100"/>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w:t>
      </w:r>
    </w:p>
    <w:p>
      <w:pPr>
        <w:pStyle w:val="2"/>
        <w:spacing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5"/>
        <w:wordWrap w:val="0"/>
        <w:spacing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w:t>
      </w:r>
      <w:r>
        <w:rPr>
          <w:rFonts w:hint="eastAsia" w:ascii="宋体" w:hAnsi="宋体"/>
          <w:sz w:val="24"/>
          <w:highlight w:val="none"/>
          <w:lang w:val="en-US" w:eastAsia="zh-CN"/>
        </w:rPr>
        <w:t>八</w:t>
      </w:r>
      <w:r>
        <w:rPr>
          <w:rFonts w:hint="eastAsia" w:ascii="宋体" w:hAnsi="宋体"/>
          <w:sz w:val="24"/>
          <w:highlight w:val="none"/>
        </w:rPr>
        <w:t>：</w:t>
      </w:r>
      <w:r>
        <w:rPr>
          <w:rFonts w:hint="eastAsia" w:ascii="宋体" w:hAnsi="宋体"/>
          <w:b/>
          <w:sz w:val="28"/>
          <w:highlight w:val="none"/>
        </w:rPr>
        <w:t>售后服务及其它优惠条件</w:t>
      </w:r>
      <w:bookmarkEnd w:id="169"/>
      <w:bookmarkEnd w:id="170"/>
      <w:bookmarkEnd w:id="171"/>
    </w:p>
    <w:p>
      <w:pPr>
        <w:spacing w:line="480" w:lineRule="exact"/>
        <w:jc w:val="center"/>
        <w:outlineLvl w:val="0"/>
        <w:rPr>
          <w:rFonts w:ascii="宋体"/>
          <w:bCs/>
          <w:sz w:val="28"/>
          <w:szCs w:val="28"/>
          <w:highlight w:val="none"/>
        </w:rPr>
      </w:pPr>
      <w:bookmarkStart w:id="172" w:name="_Toc13684"/>
      <w:bookmarkStart w:id="173" w:name="_Toc24720"/>
      <w:bookmarkStart w:id="174" w:name="_Toc22463"/>
      <w:r>
        <w:rPr>
          <w:rFonts w:hint="eastAsia" w:ascii="宋体" w:hAnsi="宋体"/>
          <w:bCs/>
          <w:sz w:val="28"/>
          <w:szCs w:val="28"/>
          <w:highlight w:val="none"/>
        </w:rPr>
        <w:t>（格式自定）</w:t>
      </w:r>
      <w:bookmarkEnd w:id="172"/>
      <w:bookmarkEnd w:id="173"/>
      <w:bookmarkEnd w:id="174"/>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75" w:name="_Toc14611"/>
      <w:bookmarkStart w:id="176" w:name="_Toc15805"/>
      <w:bookmarkStart w:id="177" w:name="_Toc14477"/>
      <w:r>
        <w:rPr>
          <w:rFonts w:hint="eastAsia" w:ascii="宋体" w:hAnsi="宋体"/>
          <w:sz w:val="24"/>
          <w:highlight w:val="none"/>
        </w:rPr>
        <w:t>附件</w:t>
      </w:r>
      <w:r>
        <w:rPr>
          <w:rFonts w:hint="eastAsia" w:ascii="宋体" w:hAnsi="宋体"/>
          <w:sz w:val="24"/>
          <w:highlight w:val="none"/>
          <w:lang w:val="en-US" w:eastAsia="zh-CN"/>
        </w:rPr>
        <w:t>九</w:t>
      </w:r>
      <w:r>
        <w:rPr>
          <w:rFonts w:hint="eastAsia" w:ascii="宋体" w:hAnsi="宋体"/>
          <w:sz w:val="24"/>
          <w:highlight w:val="none"/>
        </w:rPr>
        <w:t>：</w:t>
      </w:r>
      <w:r>
        <w:rPr>
          <w:rFonts w:hint="eastAsia" w:ascii="宋体" w:hAnsi="宋体"/>
          <w:b/>
          <w:sz w:val="28"/>
          <w:highlight w:val="none"/>
        </w:rPr>
        <w:t>证明文件格式</w:t>
      </w:r>
      <w:bookmarkEnd w:id="175"/>
      <w:bookmarkEnd w:id="176"/>
      <w:bookmarkEnd w:id="177"/>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8" w:name="_Toc5230"/>
      <w:bookmarkStart w:id="179" w:name="_Toc28149"/>
      <w:bookmarkStart w:id="180" w:name="_Toc19508"/>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近三年无不良信誉证明</w:t>
      </w:r>
      <w:bookmarkEnd w:id="178"/>
      <w:bookmarkEnd w:id="179"/>
      <w:bookmarkEnd w:id="180"/>
    </w:p>
    <w:p>
      <w:pPr>
        <w:spacing w:line="480" w:lineRule="exact"/>
        <w:jc w:val="center"/>
        <w:outlineLvl w:val="0"/>
        <w:rPr>
          <w:rFonts w:ascii="宋体"/>
          <w:sz w:val="24"/>
          <w:highlight w:val="none"/>
        </w:rPr>
      </w:pPr>
      <w:bookmarkStart w:id="181" w:name="_Toc16969"/>
      <w:bookmarkStart w:id="182" w:name="_Toc29571"/>
      <w:bookmarkStart w:id="183"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81"/>
      <w:bookmarkEnd w:id="182"/>
      <w:bookmarkEnd w:id="18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4" w:name="_Toc1781"/>
      <w:bookmarkStart w:id="185" w:name="_Toc5573"/>
      <w:bookmarkStart w:id="186"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8年度财务状况报告</w:t>
      </w:r>
      <w:bookmarkEnd w:id="184"/>
      <w:bookmarkEnd w:id="185"/>
      <w:bookmarkEnd w:id="186"/>
    </w:p>
    <w:p>
      <w:pPr>
        <w:spacing w:line="480" w:lineRule="exact"/>
        <w:jc w:val="center"/>
        <w:outlineLvl w:val="0"/>
        <w:rPr>
          <w:rFonts w:ascii="宋体"/>
          <w:sz w:val="24"/>
          <w:highlight w:val="none"/>
        </w:rPr>
      </w:pPr>
      <w:bookmarkStart w:id="187" w:name="_Toc3211"/>
      <w:bookmarkStart w:id="188" w:name="_Toc24571"/>
      <w:bookmarkStart w:id="189" w:name="_Toc29391"/>
      <w:r>
        <w:rPr>
          <w:rFonts w:hint="eastAsia" w:ascii="宋体" w:hAnsi="宋体"/>
          <w:sz w:val="24"/>
          <w:highlight w:val="none"/>
        </w:rPr>
        <w:t>（附财务报表（含资产负债表、现金流量表、利润表的复印件），或其基本开户银行出具的资信证明）</w:t>
      </w:r>
      <w:bookmarkEnd w:id="187"/>
      <w:bookmarkEnd w:id="188"/>
      <w:bookmarkEnd w:id="189"/>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0" w:name="_Toc23494"/>
      <w:bookmarkStart w:id="191" w:name="_Toc13521"/>
      <w:bookmarkStart w:id="192"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90"/>
      <w:bookmarkEnd w:id="191"/>
      <w:bookmarkEnd w:id="192"/>
    </w:p>
    <w:p>
      <w:pPr>
        <w:spacing w:line="480" w:lineRule="exact"/>
        <w:jc w:val="center"/>
        <w:outlineLvl w:val="0"/>
        <w:rPr>
          <w:rFonts w:ascii="宋体" w:hAnsi="宋体"/>
          <w:sz w:val="24"/>
          <w:highlight w:val="none"/>
        </w:rPr>
      </w:pPr>
      <w:bookmarkStart w:id="193" w:name="_Toc20732"/>
      <w:bookmarkStart w:id="194" w:name="_Toc1183"/>
      <w:bookmarkStart w:id="195" w:name="_Toc16451"/>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93"/>
    <w:bookmarkEnd w:id="194"/>
    <w:bookmarkEnd w:id="195"/>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6" w:name="_Toc31328"/>
      <w:bookmarkStart w:id="197" w:name="_Toc3815"/>
      <w:bookmarkStart w:id="198"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6"/>
      <w:bookmarkEnd w:id="197"/>
      <w:bookmarkEnd w:id="198"/>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9" w:name="_Toc15082"/>
      <w:bookmarkStart w:id="200" w:name="_Toc11678"/>
      <w:bookmarkStart w:id="201"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9"/>
      <w:bookmarkEnd w:id="200"/>
      <w:bookmarkEnd w:id="201"/>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02" w:name="_Toc14964"/>
      <w:bookmarkStart w:id="203" w:name="_Toc170"/>
      <w:bookmarkStart w:id="204"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02"/>
      <w:bookmarkEnd w:id="203"/>
      <w:bookmarkEnd w:id="204"/>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05" w:name="_Toc492372156"/>
      <w:bookmarkStart w:id="206" w:name="_Toc503943637"/>
      <w:bookmarkStart w:id="207" w:name="_Toc499831025"/>
      <w:bookmarkStart w:id="208" w:name="_Toc15306"/>
      <w:bookmarkStart w:id="209" w:name="_Toc499827580"/>
      <w:r>
        <w:rPr>
          <w:rFonts w:hint="eastAsia"/>
          <w:sz w:val="28"/>
          <w:szCs w:val="28"/>
          <w:highlight w:val="none"/>
        </w:rPr>
        <w:t>格式</w:t>
      </w:r>
      <w:r>
        <w:rPr>
          <w:sz w:val="28"/>
          <w:szCs w:val="28"/>
          <w:highlight w:val="none"/>
        </w:rPr>
        <w:t xml:space="preserve">7  </w:t>
      </w:r>
      <w:bookmarkEnd w:id="205"/>
      <w:r>
        <w:rPr>
          <w:rFonts w:hint="eastAsia"/>
          <w:sz w:val="28"/>
          <w:szCs w:val="28"/>
          <w:highlight w:val="none"/>
        </w:rPr>
        <w:t>残疾人福利性单位声明函</w:t>
      </w:r>
      <w:bookmarkEnd w:id="206"/>
      <w:bookmarkEnd w:id="207"/>
      <w:bookmarkEnd w:id="208"/>
      <w:bookmarkEnd w:id="209"/>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val="en-US" w:eastAsia="zh-CN"/>
        </w:rPr>
        <w:t>十</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75pt;width:10.7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7866A"/>
    <w:multiLevelType w:val="singleLevel"/>
    <w:tmpl w:val="8A27866A"/>
    <w:lvl w:ilvl="0" w:tentative="0">
      <w:start w:val="1"/>
      <w:numFmt w:val="bullet"/>
      <w:lvlText w:val=""/>
      <w:lvlJc w:val="left"/>
      <w:pPr>
        <w:ind w:left="420" w:hanging="420"/>
      </w:pPr>
      <w:rPr>
        <w:rFonts w:hint="default" w:ascii="Wingdings" w:hAnsi="Wingdings"/>
      </w:rPr>
    </w:lvl>
  </w:abstractNum>
  <w:abstractNum w:abstractNumId="1">
    <w:nsid w:val="99B6E4CF"/>
    <w:multiLevelType w:val="singleLevel"/>
    <w:tmpl w:val="99B6E4CF"/>
    <w:lvl w:ilvl="0" w:tentative="0">
      <w:start w:val="1"/>
      <w:numFmt w:val="decimal"/>
      <w:suff w:val="nothing"/>
      <w:lvlText w:val="%1）"/>
      <w:lvlJc w:val="left"/>
    </w:lvl>
  </w:abstractNum>
  <w:abstractNum w:abstractNumId="2">
    <w:nsid w:val="A3293EEA"/>
    <w:multiLevelType w:val="singleLevel"/>
    <w:tmpl w:val="A3293EEA"/>
    <w:lvl w:ilvl="0" w:tentative="0">
      <w:start w:val="1"/>
      <w:numFmt w:val="decimal"/>
      <w:lvlText w:val="1.3.%1"/>
      <w:lvlJc w:val="left"/>
      <w:pPr>
        <w:ind w:left="420" w:hanging="420"/>
      </w:pPr>
      <w:rPr>
        <w:rFonts w:hint="eastAsia"/>
      </w:rPr>
    </w:lvl>
  </w:abstractNum>
  <w:abstractNum w:abstractNumId="3">
    <w:nsid w:val="EC85D133"/>
    <w:multiLevelType w:val="singleLevel"/>
    <w:tmpl w:val="EC85D133"/>
    <w:lvl w:ilvl="0" w:tentative="0">
      <w:start w:val="1"/>
      <w:numFmt w:val="chineseCounting"/>
      <w:suff w:val="space"/>
      <w:lvlText w:val="第%1部分"/>
      <w:lvlJc w:val="left"/>
      <w:rPr>
        <w:rFonts w:hint="eastAsia"/>
      </w:rPr>
    </w:lvl>
  </w:abstractNum>
  <w:abstractNum w:abstractNumId="4">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5">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6">
    <w:nsid w:val="3EDA8C19"/>
    <w:multiLevelType w:val="singleLevel"/>
    <w:tmpl w:val="3EDA8C19"/>
    <w:lvl w:ilvl="0" w:tentative="0">
      <w:start w:val="1"/>
      <w:numFmt w:val="bullet"/>
      <w:lvlText w:val=""/>
      <w:lvlJc w:val="left"/>
      <w:pPr>
        <w:ind w:left="420" w:hanging="420"/>
      </w:pPr>
      <w:rPr>
        <w:rFonts w:hint="default" w:ascii="Wingdings" w:hAnsi="Wingdings"/>
      </w:rPr>
    </w:lvl>
  </w:abstractNum>
  <w:abstractNum w:abstractNumId="7">
    <w:nsid w:val="4ED50868"/>
    <w:multiLevelType w:val="multilevel"/>
    <w:tmpl w:val="4ED508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AE0118E"/>
    <w:multiLevelType w:val="singleLevel"/>
    <w:tmpl w:val="5AE0118E"/>
    <w:lvl w:ilvl="0" w:tentative="0">
      <w:start w:val="5"/>
      <w:numFmt w:val="decimal"/>
      <w:suff w:val="nothing"/>
      <w:lvlText w:val="%1、"/>
      <w:lvlJc w:val="left"/>
      <w:rPr>
        <w:rFonts w:cs="Times New Roman"/>
      </w:rPr>
    </w:lvl>
  </w:abstractNum>
  <w:abstractNum w:abstractNumId="9">
    <w:nsid w:val="64486BC4"/>
    <w:multiLevelType w:val="multilevel"/>
    <w:tmpl w:val="64486B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7"/>
  </w:num>
  <w:num w:numId="4">
    <w:abstractNumId w:val="8"/>
  </w:num>
  <w:num w:numId="5">
    <w:abstractNumId w:val="5"/>
  </w:num>
  <w:num w:numId="6">
    <w:abstractNumId w:val="9"/>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82A74"/>
    <w:rsid w:val="001914BD"/>
    <w:rsid w:val="00194DBA"/>
    <w:rsid w:val="00195DA1"/>
    <w:rsid w:val="00205145"/>
    <w:rsid w:val="00243E3D"/>
    <w:rsid w:val="00246731"/>
    <w:rsid w:val="00276B8B"/>
    <w:rsid w:val="002C1BB4"/>
    <w:rsid w:val="002D5FC0"/>
    <w:rsid w:val="002F4ECD"/>
    <w:rsid w:val="002F5066"/>
    <w:rsid w:val="00302DBF"/>
    <w:rsid w:val="00305EEA"/>
    <w:rsid w:val="00323006"/>
    <w:rsid w:val="00356D4F"/>
    <w:rsid w:val="00370188"/>
    <w:rsid w:val="00386985"/>
    <w:rsid w:val="003C419A"/>
    <w:rsid w:val="003D1EDA"/>
    <w:rsid w:val="003F33E7"/>
    <w:rsid w:val="00423430"/>
    <w:rsid w:val="00432143"/>
    <w:rsid w:val="0046019C"/>
    <w:rsid w:val="00465637"/>
    <w:rsid w:val="00471882"/>
    <w:rsid w:val="004772C0"/>
    <w:rsid w:val="004D1A53"/>
    <w:rsid w:val="00517D33"/>
    <w:rsid w:val="00527409"/>
    <w:rsid w:val="0053706A"/>
    <w:rsid w:val="00566766"/>
    <w:rsid w:val="005735D4"/>
    <w:rsid w:val="00575932"/>
    <w:rsid w:val="00576D88"/>
    <w:rsid w:val="005B2561"/>
    <w:rsid w:val="005D2392"/>
    <w:rsid w:val="006519FF"/>
    <w:rsid w:val="006769D2"/>
    <w:rsid w:val="0067730B"/>
    <w:rsid w:val="0069381A"/>
    <w:rsid w:val="006B69AC"/>
    <w:rsid w:val="006C069F"/>
    <w:rsid w:val="006E1D66"/>
    <w:rsid w:val="00761902"/>
    <w:rsid w:val="00774762"/>
    <w:rsid w:val="007838AB"/>
    <w:rsid w:val="0082141B"/>
    <w:rsid w:val="008F5DC5"/>
    <w:rsid w:val="00920411"/>
    <w:rsid w:val="00991453"/>
    <w:rsid w:val="00995536"/>
    <w:rsid w:val="009A405D"/>
    <w:rsid w:val="009B1504"/>
    <w:rsid w:val="009D2573"/>
    <w:rsid w:val="009D5D9A"/>
    <w:rsid w:val="009F1C91"/>
    <w:rsid w:val="00A35668"/>
    <w:rsid w:val="00A457A3"/>
    <w:rsid w:val="00A45B84"/>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37280"/>
    <w:rsid w:val="00C42EEE"/>
    <w:rsid w:val="00CE6A2C"/>
    <w:rsid w:val="00CF633E"/>
    <w:rsid w:val="00D0384D"/>
    <w:rsid w:val="00D20821"/>
    <w:rsid w:val="00D2184F"/>
    <w:rsid w:val="00D262AB"/>
    <w:rsid w:val="00D76286"/>
    <w:rsid w:val="00D90AF6"/>
    <w:rsid w:val="00DB598B"/>
    <w:rsid w:val="00DD5723"/>
    <w:rsid w:val="00DE31F6"/>
    <w:rsid w:val="00E17C0E"/>
    <w:rsid w:val="00E352B5"/>
    <w:rsid w:val="00E5162D"/>
    <w:rsid w:val="00E6261D"/>
    <w:rsid w:val="00E849CB"/>
    <w:rsid w:val="00EA13C3"/>
    <w:rsid w:val="00EB7236"/>
    <w:rsid w:val="00F5673C"/>
    <w:rsid w:val="00FC0E0C"/>
    <w:rsid w:val="00FD1F62"/>
    <w:rsid w:val="00FD3231"/>
    <w:rsid w:val="00FD5088"/>
    <w:rsid w:val="01056EDE"/>
    <w:rsid w:val="012347B7"/>
    <w:rsid w:val="01267FBC"/>
    <w:rsid w:val="01367B2E"/>
    <w:rsid w:val="013B7FED"/>
    <w:rsid w:val="01477457"/>
    <w:rsid w:val="01483AE6"/>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2E1051"/>
    <w:rsid w:val="03522D6F"/>
    <w:rsid w:val="036E457D"/>
    <w:rsid w:val="03741D26"/>
    <w:rsid w:val="037B55A1"/>
    <w:rsid w:val="037E752F"/>
    <w:rsid w:val="03920AE8"/>
    <w:rsid w:val="03B865B7"/>
    <w:rsid w:val="03D9691B"/>
    <w:rsid w:val="03E35D9F"/>
    <w:rsid w:val="03F0148C"/>
    <w:rsid w:val="04052A76"/>
    <w:rsid w:val="040E3633"/>
    <w:rsid w:val="041626B7"/>
    <w:rsid w:val="042D27C9"/>
    <w:rsid w:val="044010E0"/>
    <w:rsid w:val="046E0BCD"/>
    <w:rsid w:val="048F2EAC"/>
    <w:rsid w:val="04A813F0"/>
    <w:rsid w:val="04BD332D"/>
    <w:rsid w:val="04C60BF6"/>
    <w:rsid w:val="04C64C86"/>
    <w:rsid w:val="04D04155"/>
    <w:rsid w:val="04D46BF9"/>
    <w:rsid w:val="04D83675"/>
    <w:rsid w:val="04E1682E"/>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F3069"/>
    <w:rsid w:val="06893342"/>
    <w:rsid w:val="069444F0"/>
    <w:rsid w:val="06AB0347"/>
    <w:rsid w:val="06B35D6A"/>
    <w:rsid w:val="06C26570"/>
    <w:rsid w:val="06D23153"/>
    <w:rsid w:val="06D31C3C"/>
    <w:rsid w:val="06D80483"/>
    <w:rsid w:val="06FD7E11"/>
    <w:rsid w:val="07011658"/>
    <w:rsid w:val="07255034"/>
    <w:rsid w:val="07277572"/>
    <w:rsid w:val="072E64EA"/>
    <w:rsid w:val="074D6753"/>
    <w:rsid w:val="075258A9"/>
    <w:rsid w:val="075713E8"/>
    <w:rsid w:val="076700FF"/>
    <w:rsid w:val="076C384E"/>
    <w:rsid w:val="077924D4"/>
    <w:rsid w:val="078475F2"/>
    <w:rsid w:val="078B0666"/>
    <w:rsid w:val="07963322"/>
    <w:rsid w:val="07BD01C3"/>
    <w:rsid w:val="07BD0F68"/>
    <w:rsid w:val="07BD4DD1"/>
    <w:rsid w:val="07CF0358"/>
    <w:rsid w:val="07D1221B"/>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5B245E"/>
    <w:rsid w:val="09646610"/>
    <w:rsid w:val="09654F95"/>
    <w:rsid w:val="09782E97"/>
    <w:rsid w:val="098A0D6C"/>
    <w:rsid w:val="09955B90"/>
    <w:rsid w:val="0996643B"/>
    <w:rsid w:val="09A1593F"/>
    <w:rsid w:val="09A3603A"/>
    <w:rsid w:val="09CA79E9"/>
    <w:rsid w:val="09E9599C"/>
    <w:rsid w:val="09F55CE3"/>
    <w:rsid w:val="0A014875"/>
    <w:rsid w:val="0A0F1EA6"/>
    <w:rsid w:val="0A0F6BF1"/>
    <w:rsid w:val="0A1A3BD9"/>
    <w:rsid w:val="0A405D2D"/>
    <w:rsid w:val="0A5A6458"/>
    <w:rsid w:val="0A6F663E"/>
    <w:rsid w:val="0A7C58C9"/>
    <w:rsid w:val="0A8054FA"/>
    <w:rsid w:val="0A844C62"/>
    <w:rsid w:val="0AC241A3"/>
    <w:rsid w:val="0AC63BD6"/>
    <w:rsid w:val="0AD00FE0"/>
    <w:rsid w:val="0AE21508"/>
    <w:rsid w:val="0AE73FAC"/>
    <w:rsid w:val="0AE77507"/>
    <w:rsid w:val="0AEF47FB"/>
    <w:rsid w:val="0AF9564E"/>
    <w:rsid w:val="0B07100B"/>
    <w:rsid w:val="0B1812C3"/>
    <w:rsid w:val="0B1B6B69"/>
    <w:rsid w:val="0B790DB1"/>
    <w:rsid w:val="0B8D10E4"/>
    <w:rsid w:val="0B981026"/>
    <w:rsid w:val="0BBC755F"/>
    <w:rsid w:val="0C3E6AC4"/>
    <w:rsid w:val="0C3F09BC"/>
    <w:rsid w:val="0C4D1511"/>
    <w:rsid w:val="0C620D79"/>
    <w:rsid w:val="0C6B59DB"/>
    <w:rsid w:val="0C7916CB"/>
    <w:rsid w:val="0C993171"/>
    <w:rsid w:val="0C9A2D16"/>
    <w:rsid w:val="0C9E7308"/>
    <w:rsid w:val="0CA61420"/>
    <w:rsid w:val="0CAB22B6"/>
    <w:rsid w:val="0CAC6AE8"/>
    <w:rsid w:val="0CC37BE2"/>
    <w:rsid w:val="0CC64DD0"/>
    <w:rsid w:val="0CE95F5F"/>
    <w:rsid w:val="0CF4329D"/>
    <w:rsid w:val="0D086F79"/>
    <w:rsid w:val="0D0B7061"/>
    <w:rsid w:val="0D2A2B39"/>
    <w:rsid w:val="0D3E6C92"/>
    <w:rsid w:val="0D4E351D"/>
    <w:rsid w:val="0D507D0D"/>
    <w:rsid w:val="0D5A688D"/>
    <w:rsid w:val="0D6774D6"/>
    <w:rsid w:val="0D791322"/>
    <w:rsid w:val="0D853DE8"/>
    <w:rsid w:val="0D8D2290"/>
    <w:rsid w:val="0D9945DA"/>
    <w:rsid w:val="0D99769E"/>
    <w:rsid w:val="0DA8171B"/>
    <w:rsid w:val="0DCE62FF"/>
    <w:rsid w:val="0DD80D8A"/>
    <w:rsid w:val="0DE02318"/>
    <w:rsid w:val="0E007950"/>
    <w:rsid w:val="0E090B33"/>
    <w:rsid w:val="0E150C48"/>
    <w:rsid w:val="0E172A1B"/>
    <w:rsid w:val="0E1967C1"/>
    <w:rsid w:val="0E2F42D1"/>
    <w:rsid w:val="0E3B2EEC"/>
    <w:rsid w:val="0E4500FA"/>
    <w:rsid w:val="0E4D3146"/>
    <w:rsid w:val="0E6F5851"/>
    <w:rsid w:val="0E770F0B"/>
    <w:rsid w:val="0E772D56"/>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06CBD"/>
    <w:rsid w:val="10A34487"/>
    <w:rsid w:val="10B72F5D"/>
    <w:rsid w:val="10BC57A4"/>
    <w:rsid w:val="10BD3919"/>
    <w:rsid w:val="10C1206B"/>
    <w:rsid w:val="10C95AA0"/>
    <w:rsid w:val="10CF6159"/>
    <w:rsid w:val="10F46299"/>
    <w:rsid w:val="10F75CBD"/>
    <w:rsid w:val="10FE5ED8"/>
    <w:rsid w:val="110045A1"/>
    <w:rsid w:val="110E4253"/>
    <w:rsid w:val="11421803"/>
    <w:rsid w:val="11442249"/>
    <w:rsid w:val="114D3221"/>
    <w:rsid w:val="117D1A08"/>
    <w:rsid w:val="119C6B9F"/>
    <w:rsid w:val="11AF39F6"/>
    <w:rsid w:val="11E95CE2"/>
    <w:rsid w:val="11E96D3A"/>
    <w:rsid w:val="11EA4504"/>
    <w:rsid w:val="120129C4"/>
    <w:rsid w:val="120301D5"/>
    <w:rsid w:val="124219E9"/>
    <w:rsid w:val="12496D2B"/>
    <w:rsid w:val="12510410"/>
    <w:rsid w:val="125D168B"/>
    <w:rsid w:val="126B3ACC"/>
    <w:rsid w:val="127B5B8A"/>
    <w:rsid w:val="12815604"/>
    <w:rsid w:val="12861902"/>
    <w:rsid w:val="128B4771"/>
    <w:rsid w:val="1297465C"/>
    <w:rsid w:val="129E3A93"/>
    <w:rsid w:val="12E37BC0"/>
    <w:rsid w:val="12F234F4"/>
    <w:rsid w:val="12F31760"/>
    <w:rsid w:val="12F75240"/>
    <w:rsid w:val="13111C23"/>
    <w:rsid w:val="13153B92"/>
    <w:rsid w:val="132F60FE"/>
    <w:rsid w:val="13410E38"/>
    <w:rsid w:val="136658C4"/>
    <w:rsid w:val="136B4814"/>
    <w:rsid w:val="136E164A"/>
    <w:rsid w:val="13734AB8"/>
    <w:rsid w:val="1377104B"/>
    <w:rsid w:val="137E50DC"/>
    <w:rsid w:val="138F504A"/>
    <w:rsid w:val="139103F2"/>
    <w:rsid w:val="13963CB0"/>
    <w:rsid w:val="13A64BAD"/>
    <w:rsid w:val="13B449C3"/>
    <w:rsid w:val="13BA0ACF"/>
    <w:rsid w:val="13CE3C39"/>
    <w:rsid w:val="13D705AF"/>
    <w:rsid w:val="13E55A02"/>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14786D"/>
    <w:rsid w:val="17172E9F"/>
    <w:rsid w:val="1721333A"/>
    <w:rsid w:val="17507554"/>
    <w:rsid w:val="175F1414"/>
    <w:rsid w:val="17682F23"/>
    <w:rsid w:val="178017C5"/>
    <w:rsid w:val="17862DA8"/>
    <w:rsid w:val="178C35AF"/>
    <w:rsid w:val="17B02FF0"/>
    <w:rsid w:val="17B113C3"/>
    <w:rsid w:val="17B331B6"/>
    <w:rsid w:val="17CB4092"/>
    <w:rsid w:val="17D016D3"/>
    <w:rsid w:val="17D63E38"/>
    <w:rsid w:val="17F41C17"/>
    <w:rsid w:val="1803064D"/>
    <w:rsid w:val="18047FD8"/>
    <w:rsid w:val="180E66C1"/>
    <w:rsid w:val="1815778F"/>
    <w:rsid w:val="18236CCC"/>
    <w:rsid w:val="18274AC7"/>
    <w:rsid w:val="18294C2A"/>
    <w:rsid w:val="183752E1"/>
    <w:rsid w:val="18392ECC"/>
    <w:rsid w:val="18433E74"/>
    <w:rsid w:val="185264A3"/>
    <w:rsid w:val="18616FBC"/>
    <w:rsid w:val="187A0FF6"/>
    <w:rsid w:val="18831711"/>
    <w:rsid w:val="188651D5"/>
    <w:rsid w:val="189F70A8"/>
    <w:rsid w:val="18C37E50"/>
    <w:rsid w:val="18CB405A"/>
    <w:rsid w:val="18EB1198"/>
    <w:rsid w:val="18EB3D30"/>
    <w:rsid w:val="18EF7421"/>
    <w:rsid w:val="18FE2E17"/>
    <w:rsid w:val="19142D5E"/>
    <w:rsid w:val="19194C0B"/>
    <w:rsid w:val="191C17C0"/>
    <w:rsid w:val="193478C4"/>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A8346A"/>
    <w:rsid w:val="1AAD7C8B"/>
    <w:rsid w:val="1AB07BA3"/>
    <w:rsid w:val="1ADA7273"/>
    <w:rsid w:val="1ADE7EC1"/>
    <w:rsid w:val="1AE16342"/>
    <w:rsid w:val="1AE63CDE"/>
    <w:rsid w:val="1AF47D69"/>
    <w:rsid w:val="1B0765B6"/>
    <w:rsid w:val="1B3D67C6"/>
    <w:rsid w:val="1B3E5015"/>
    <w:rsid w:val="1B440C4F"/>
    <w:rsid w:val="1B4E6B3F"/>
    <w:rsid w:val="1B4F3787"/>
    <w:rsid w:val="1B650452"/>
    <w:rsid w:val="1B6B0C3C"/>
    <w:rsid w:val="1B6E0CCB"/>
    <w:rsid w:val="1B6F386A"/>
    <w:rsid w:val="1B7319FB"/>
    <w:rsid w:val="1B7F3A95"/>
    <w:rsid w:val="1B835053"/>
    <w:rsid w:val="1B9C3B8A"/>
    <w:rsid w:val="1BBC1D6E"/>
    <w:rsid w:val="1BCE25D1"/>
    <w:rsid w:val="1BE94888"/>
    <w:rsid w:val="1C676D69"/>
    <w:rsid w:val="1C6B1C30"/>
    <w:rsid w:val="1C960BD9"/>
    <w:rsid w:val="1CDA24D0"/>
    <w:rsid w:val="1CEA0481"/>
    <w:rsid w:val="1CEF4CDC"/>
    <w:rsid w:val="1CF80043"/>
    <w:rsid w:val="1CF84FA8"/>
    <w:rsid w:val="1D044471"/>
    <w:rsid w:val="1D0B688C"/>
    <w:rsid w:val="1D2A03E0"/>
    <w:rsid w:val="1D4072F6"/>
    <w:rsid w:val="1D7442DF"/>
    <w:rsid w:val="1D7C7E64"/>
    <w:rsid w:val="1D897F94"/>
    <w:rsid w:val="1D904EA6"/>
    <w:rsid w:val="1D9C3BA7"/>
    <w:rsid w:val="1DA03982"/>
    <w:rsid w:val="1DA6482E"/>
    <w:rsid w:val="1DC72E00"/>
    <w:rsid w:val="1DCC1FD2"/>
    <w:rsid w:val="1DCD5344"/>
    <w:rsid w:val="1DD1520B"/>
    <w:rsid w:val="1DD84FE2"/>
    <w:rsid w:val="1DD9314E"/>
    <w:rsid w:val="1DE514B9"/>
    <w:rsid w:val="1DE60D34"/>
    <w:rsid w:val="1E10357E"/>
    <w:rsid w:val="1E1B3F90"/>
    <w:rsid w:val="1E711D3D"/>
    <w:rsid w:val="1E7A7A7D"/>
    <w:rsid w:val="1EA8499D"/>
    <w:rsid w:val="1EC36841"/>
    <w:rsid w:val="1EC91419"/>
    <w:rsid w:val="1ED46122"/>
    <w:rsid w:val="1EDA73E1"/>
    <w:rsid w:val="1EE7441B"/>
    <w:rsid w:val="1F083EC3"/>
    <w:rsid w:val="1F091532"/>
    <w:rsid w:val="1F363982"/>
    <w:rsid w:val="1F39229F"/>
    <w:rsid w:val="1F542A5A"/>
    <w:rsid w:val="1F574973"/>
    <w:rsid w:val="1F9E611E"/>
    <w:rsid w:val="1FB10B7E"/>
    <w:rsid w:val="1FB57903"/>
    <w:rsid w:val="1FC2047B"/>
    <w:rsid w:val="1FF33CDA"/>
    <w:rsid w:val="1FFB5863"/>
    <w:rsid w:val="1FFC257E"/>
    <w:rsid w:val="20093F38"/>
    <w:rsid w:val="20153B98"/>
    <w:rsid w:val="205D5DD0"/>
    <w:rsid w:val="20AE149D"/>
    <w:rsid w:val="20B45D5E"/>
    <w:rsid w:val="20B7137B"/>
    <w:rsid w:val="20DB381D"/>
    <w:rsid w:val="20E51521"/>
    <w:rsid w:val="20E62554"/>
    <w:rsid w:val="214E32E4"/>
    <w:rsid w:val="21577A83"/>
    <w:rsid w:val="215D4DDE"/>
    <w:rsid w:val="21610A7A"/>
    <w:rsid w:val="216B37D0"/>
    <w:rsid w:val="217976A3"/>
    <w:rsid w:val="218F17F3"/>
    <w:rsid w:val="21B827F2"/>
    <w:rsid w:val="21C46CEC"/>
    <w:rsid w:val="21C5415A"/>
    <w:rsid w:val="21D234BA"/>
    <w:rsid w:val="21D40159"/>
    <w:rsid w:val="21E532BD"/>
    <w:rsid w:val="21E978A8"/>
    <w:rsid w:val="221832B0"/>
    <w:rsid w:val="22336D8E"/>
    <w:rsid w:val="22495289"/>
    <w:rsid w:val="224A3975"/>
    <w:rsid w:val="2262123C"/>
    <w:rsid w:val="22652F4C"/>
    <w:rsid w:val="22712127"/>
    <w:rsid w:val="2282753B"/>
    <w:rsid w:val="228E5FD0"/>
    <w:rsid w:val="229C224B"/>
    <w:rsid w:val="229F7773"/>
    <w:rsid w:val="22AF1342"/>
    <w:rsid w:val="22CC59AF"/>
    <w:rsid w:val="22CD0B61"/>
    <w:rsid w:val="22D17F2B"/>
    <w:rsid w:val="22EA0F92"/>
    <w:rsid w:val="22F102A2"/>
    <w:rsid w:val="231E6A95"/>
    <w:rsid w:val="231F0708"/>
    <w:rsid w:val="231F3121"/>
    <w:rsid w:val="23247FCD"/>
    <w:rsid w:val="233D269C"/>
    <w:rsid w:val="23442187"/>
    <w:rsid w:val="234E6121"/>
    <w:rsid w:val="23A25530"/>
    <w:rsid w:val="23CD38EE"/>
    <w:rsid w:val="23DD4EC5"/>
    <w:rsid w:val="23DE5801"/>
    <w:rsid w:val="23EF24BF"/>
    <w:rsid w:val="240A3D34"/>
    <w:rsid w:val="241234A7"/>
    <w:rsid w:val="241F0CB3"/>
    <w:rsid w:val="244D4391"/>
    <w:rsid w:val="24710A0A"/>
    <w:rsid w:val="247A3095"/>
    <w:rsid w:val="2487513F"/>
    <w:rsid w:val="24937AF5"/>
    <w:rsid w:val="24942F10"/>
    <w:rsid w:val="24B60F3A"/>
    <w:rsid w:val="24C15E8D"/>
    <w:rsid w:val="24D875D1"/>
    <w:rsid w:val="24EB025D"/>
    <w:rsid w:val="25024A59"/>
    <w:rsid w:val="250D78DC"/>
    <w:rsid w:val="25103F6B"/>
    <w:rsid w:val="252C2BB4"/>
    <w:rsid w:val="255D7BED"/>
    <w:rsid w:val="25696BEC"/>
    <w:rsid w:val="257379EA"/>
    <w:rsid w:val="2593318A"/>
    <w:rsid w:val="259D7AF5"/>
    <w:rsid w:val="25BD613A"/>
    <w:rsid w:val="25CA1020"/>
    <w:rsid w:val="25E30E41"/>
    <w:rsid w:val="25EE1A8D"/>
    <w:rsid w:val="25F83CB3"/>
    <w:rsid w:val="25FD5076"/>
    <w:rsid w:val="260362D3"/>
    <w:rsid w:val="260531C3"/>
    <w:rsid w:val="260D5DE2"/>
    <w:rsid w:val="26136C30"/>
    <w:rsid w:val="26187716"/>
    <w:rsid w:val="2645772C"/>
    <w:rsid w:val="26614252"/>
    <w:rsid w:val="26750E3C"/>
    <w:rsid w:val="267968DD"/>
    <w:rsid w:val="2681167F"/>
    <w:rsid w:val="26A230F1"/>
    <w:rsid w:val="26BC1220"/>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790815"/>
    <w:rsid w:val="279573FC"/>
    <w:rsid w:val="279B6F30"/>
    <w:rsid w:val="27A12971"/>
    <w:rsid w:val="27C50EE8"/>
    <w:rsid w:val="27C83924"/>
    <w:rsid w:val="27D17719"/>
    <w:rsid w:val="27D22A70"/>
    <w:rsid w:val="27DA0AFE"/>
    <w:rsid w:val="27DA67B5"/>
    <w:rsid w:val="27DD3D8A"/>
    <w:rsid w:val="27E25F95"/>
    <w:rsid w:val="27EF2467"/>
    <w:rsid w:val="27F14FB6"/>
    <w:rsid w:val="27F70BA9"/>
    <w:rsid w:val="27FC08D7"/>
    <w:rsid w:val="28011091"/>
    <w:rsid w:val="280C219C"/>
    <w:rsid w:val="280E5E45"/>
    <w:rsid w:val="280F1C18"/>
    <w:rsid w:val="281B4F97"/>
    <w:rsid w:val="281C6476"/>
    <w:rsid w:val="28376F70"/>
    <w:rsid w:val="28400D6D"/>
    <w:rsid w:val="28655342"/>
    <w:rsid w:val="288C01D5"/>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425F8A"/>
    <w:rsid w:val="2A6A01CF"/>
    <w:rsid w:val="2A763C3F"/>
    <w:rsid w:val="2A9161AE"/>
    <w:rsid w:val="2AA208EC"/>
    <w:rsid w:val="2AC6783D"/>
    <w:rsid w:val="2ADC4EDF"/>
    <w:rsid w:val="2AEC2DEC"/>
    <w:rsid w:val="2AFE0462"/>
    <w:rsid w:val="2B0351AB"/>
    <w:rsid w:val="2B3F1BCC"/>
    <w:rsid w:val="2BC0015D"/>
    <w:rsid w:val="2BC33263"/>
    <w:rsid w:val="2BC55D1D"/>
    <w:rsid w:val="2BD346BF"/>
    <w:rsid w:val="2BF0645F"/>
    <w:rsid w:val="2C103E0B"/>
    <w:rsid w:val="2C1110DE"/>
    <w:rsid w:val="2C1D0A52"/>
    <w:rsid w:val="2C406641"/>
    <w:rsid w:val="2C566D0E"/>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96578C"/>
    <w:rsid w:val="2DA47447"/>
    <w:rsid w:val="2DA53DE6"/>
    <w:rsid w:val="2DBE1E56"/>
    <w:rsid w:val="2DC376DD"/>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00211B"/>
    <w:rsid w:val="2F295C24"/>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F78CB"/>
    <w:rsid w:val="304609FF"/>
    <w:rsid w:val="304D4243"/>
    <w:rsid w:val="30721654"/>
    <w:rsid w:val="30745A30"/>
    <w:rsid w:val="30A84180"/>
    <w:rsid w:val="30AD5059"/>
    <w:rsid w:val="30C55BD7"/>
    <w:rsid w:val="30C673C6"/>
    <w:rsid w:val="30DF0B95"/>
    <w:rsid w:val="30E3098B"/>
    <w:rsid w:val="30EA0C9B"/>
    <w:rsid w:val="30F04A33"/>
    <w:rsid w:val="30FA0D3D"/>
    <w:rsid w:val="31147393"/>
    <w:rsid w:val="3122396B"/>
    <w:rsid w:val="31241474"/>
    <w:rsid w:val="31285C96"/>
    <w:rsid w:val="312E4C4B"/>
    <w:rsid w:val="31312938"/>
    <w:rsid w:val="313E0E7B"/>
    <w:rsid w:val="31560D46"/>
    <w:rsid w:val="31630E8C"/>
    <w:rsid w:val="316E1F56"/>
    <w:rsid w:val="319C0A2C"/>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820D11"/>
    <w:rsid w:val="32A45645"/>
    <w:rsid w:val="32B91B04"/>
    <w:rsid w:val="32D91938"/>
    <w:rsid w:val="33100032"/>
    <w:rsid w:val="33177552"/>
    <w:rsid w:val="3324428B"/>
    <w:rsid w:val="334D4B72"/>
    <w:rsid w:val="33537E87"/>
    <w:rsid w:val="33562A7C"/>
    <w:rsid w:val="335E5632"/>
    <w:rsid w:val="33626D58"/>
    <w:rsid w:val="33667F60"/>
    <w:rsid w:val="33701250"/>
    <w:rsid w:val="338259C2"/>
    <w:rsid w:val="33876BF0"/>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506B4F"/>
    <w:rsid w:val="345E5704"/>
    <w:rsid w:val="34756888"/>
    <w:rsid w:val="34776A27"/>
    <w:rsid w:val="347A4027"/>
    <w:rsid w:val="34823126"/>
    <w:rsid w:val="34986296"/>
    <w:rsid w:val="34CB09E3"/>
    <w:rsid w:val="34D57484"/>
    <w:rsid w:val="34D60E8A"/>
    <w:rsid w:val="34EF1945"/>
    <w:rsid w:val="35016370"/>
    <w:rsid w:val="350A6DBB"/>
    <w:rsid w:val="35401164"/>
    <w:rsid w:val="35443611"/>
    <w:rsid w:val="35695C04"/>
    <w:rsid w:val="357B0814"/>
    <w:rsid w:val="357F7A06"/>
    <w:rsid w:val="35873F02"/>
    <w:rsid w:val="358E5E0A"/>
    <w:rsid w:val="35CA73B7"/>
    <w:rsid w:val="35D27572"/>
    <w:rsid w:val="35D73AC3"/>
    <w:rsid w:val="36112DD8"/>
    <w:rsid w:val="36240901"/>
    <w:rsid w:val="362A08E9"/>
    <w:rsid w:val="3640342D"/>
    <w:rsid w:val="367819D7"/>
    <w:rsid w:val="369D76FA"/>
    <w:rsid w:val="36A16820"/>
    <w:rsid w:val="36A77B65"/>
    <w:rsid w:val="36AB4C46"/>
    <w:rsid w:val="36B00264"/>
    <w:rsid w:val="36CA22C9"/>
    <w:rsid w:val="36CD27DD"/>
    <w:rsid w:val="36F43CD9"/>
    <w:rsid w:val="36F50FF0"/>
    <w:rsid w:val="370E6157"/>
    <w:rsid w:val="37285211"/>
    <w:rsid w:val="373E147E"/>
    <w:rsid w:val="37440291"/>
    <w:rsid w:val="375F1B63"/>
    <w:rsid w:val="37616FF2"/>
    <w:rsid w:val="376F4B60"/>
    <w:rsid w:val="37774365"/>
    <w:rsid w:val="379E19F4"/>
    <w:rsid w:val="37A503C1"/>
    <w:rsid w:val="37AB2367"/>
    <w:rsid w:val="37AB3C35"/>
    <w:rsid w:val="37AE1114"/>
    <w:rsid w:val="37DE3958"/>
    <w:rsid w:val="38107A88"/>
    <w:rsid w:val="381941D9"/>
    <w:rsid w:val="381C4496"/>
    <w:rsid w:val="38230347"/>
    <w:rsid w:val="38245841"/>
    <w:rsid w:val="382F21F6"/>
    <w:rsid w:val="3838592B"/>
    <w:rsid w:val="385873D9"/>
    <w:rsid w:val="386D69C1"/>
    <w:rsid w:val="387A4994"/>
    <w:rsid w:val="388A1154"/>
    <w:rsid w:val="389978B1"/>
    <w:rsid w:val="38AB7213"/>
    <w:rsid w:val="38BB74B3"/>
    <w:rsid w:val="38C026D8"/>
    <w:rsid w:val="38C212FE"/>
    <w:rsid w:val="38CC444E"/>
    <w:rsid w:val="38DF7E29"/>
    <w:rsid w:val="38E721FE"/>
    <w:rsid w:val="38F106D1"/>
    <w:rsid w:val="38F20527"/>
    <w:rsid w:val="38FD4BDC"/>
    <w:rsid w:val="390E2E0B"/>
    <w:rsid w:val="391C30A1"/>
    <w:rsid w:val="3959196E"/>
    <w:rsid w:val="395B5BCC"/>
    <w:rsid w:val="3960729B"/>
    <w:rsid w:val="39764C13"/>
    <w:rsid w:val="397D18BF"/>
    <w:rsid w:val="397D5852"/>
    <w:rsid w:val="398205C3"/>
    <w:rsid w:val="399105D0"/>
    <w:rsid w:val="39955A42"/>
    <w:rsid w:val="39B62462"/>
    <w:rsid w:val="39BE0852"/>
    <w:rsid w:val="39D92EFE"/>
    <w:rsid w:val="39DE4367"/>
    <w:rsid w:val="39E264FC"/>
    <w:rsid w:val="39E419AE"/>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250B8"/>
    <w:rsid w:val="3AE47094"/>
    <w:rsid w:val="3AE954D2"/>
    <w:rsid w:val="3B2C5CE6"/>
    <w:rsid w:val="3B5B6B36"/>
    <w:rsid w:val="3B6B0742"/>
    <w:rsid w:val="3B713E35"/>
    <w:rsid w:val="3B843773"/>
    <w:rsid w:val="3BB872AC"/>
    <w:rsid w:val="3BE81CC8"/>
    <w:rsid w:val="3BEB250F"/>
    <w:rsid w:val="3C0122B4"/>
    <w:rsid w:val="3C087D51"/>
    <w:rsid w:val="3C0B47C3"/>
    <w:rsid w:val="3C0F2E5C"/>
    <w:rsid w:val="3C232E49"/>
    <w:rsid w:val="3C5A1F12"/>
    <w:rsid w:val="3C662EDF"/>
    <w:rsid w:val="3C873654"/>
    <w:rsid w:val="3C9A241A"/>
    <w:rsid w:val="3CA72903"/>
    <w:rsid w:val="3CAE4F60"/>
    <w:rsid w:val="3CC10947"/>
    <w:rsid w:val="3CC30F28"/>
    <w:rsid w:val="3CC909FC"/>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7031D"/>
    <w:rsid w:val="3E481A2D"/>
    <w:rsid w:val="3E490253"/>
    <w:rsid w:val="3E4B0C50"/>
    <w:rsid w:val="3E802B14"/>
    <w:rsid w:val="3EA4318E"/>
    <w:rsid w:val="3EB021FA"/>
    <w:rsid w:val="3ECA523B"/>
    <w:rsid w:val="3EE651EF"/>
    <w:rsid w:val="3F000F93"/>
    <w:rsid w:val="3F042F23"/>
    <w:rsid w:val="3F40400F"/>
    <w:rsid w:val="3F6B3B01"/>
    <w:rsid w:val="3F9A7607"/>
    <w:rsid w:val="3F9D1772"/>
    <w:rsid w:val="3FAB63AE"/>
    <w:rsid w:val="3FFC0E5C"/>
    <w:rsid w:val="400B3D58"/>
    <w:rsid w:val="402166A4"/>
    <w:rsid w:val="4039779C"/>
    <w:rsid w:val="403F4AD6"/>
    <w:rsid w:val="4055421F"/>
    <w:rsid w:val="405D685D"/>
    <w:rsid w:val="407F379A"/>
    <w:rsid w:val="4098721B"/>
    <w:rsid w:val="40A30CB7"/>
    <w:rsid w:val="410D50E4"/>
    <w:rsid w:val="411E2A30"/>
    <w:rsid w:val="41335E35"/>
    <w:rsid w:val="41625ED3"/>
    <w:rsid w:val="416A5C1B"/>
    <w:rsid w:val="417144B1"/>
    <w:rsid w:val="4189511A"/>
    <w:rsid w:val="41940565"/>
    <w:rsid w:val="41A03E55"/>
    <w:rsid w:val="41CB13D4"/>
    <w:rsid w:val="41D47FBA"/>
    <w:rsid w:val="42042B32"/>
    <w:rsid w:val="4211574A"/>
    <w:rsid w:val="4216392F"/>
    <w:rsid w:val="421D7007"/>
    <w:rsid w:val="42264F86"/>
    <w:rsid w:val="425A401B"/>
    <w:rsid w:val="425B0051"/>
    <w:rsid w:val="426E18B4"/>
    <w:rsid w:val="427B75A2"/>
    <w:rsid w:val="42881A27"/>
    <w:rsid w:val="428F1C25"/>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4A7ACB"/>
    <w:rsid w:val="43686F28"/>
    <w:rsid w:val="43746231"/>
    <w:rsid w:val="43793D50"/>
    <w:rsid w:val="43C6296C"/>
    <w:rsid w:val="43C91B45"/>
    <w:rsid w:val="43C96C82"/>
    <w:rsid w:val="43F244DD"/>
    <w:rsid w:val="43F67CAD"/>
    <w:rsid w:val="43F862A5"/>
    <w:rsid w:val="44197675"/>
    <w:rsid w:val="442134A5"/>
    <w:rsid w:val="443F4550"/>
    <w:rsid w:val="44502944"/>
    <w:rsid w:val="446B0DA7"/>
    <w:rsid w:val="44896E05"/>
    <w:rsid w:val="448F23C8"/>
    <w:rsid w:val="449263B1"/>
    <w:rsid w:val="44A252E3"/>
    <w:rsid w:val="44C66392"/>
    <w:rsid w:val="44CE05B1"/>
    <w:rsid w:val="44EC5492"/>
    <w:rsid w:val="44FE1790"/>
    <w:rsid w:val="45143E62"/>
    <w:rsid w:val="451963D2"/>
    <w:rsid w:val="451A4C4E"/>
    <w:rsid w:val="45472394"/>
    <w:rsid w:val="457B07D4"/>
    <w:rsid w:val="4584601C"/>
    <w:rsid w:val="45A17614"/>
    <w:rsid w:val="45A77792"/>
    <w:rsid w:val="45AC2C16"/>
    <w:rsid w:val="45B8521A"/>
    <w:rsid w:val="45C922E6"/>
    <w:rsid w:val="45CF386F"/>
    <w:rsid w:val="46056421"/>
    <w:rsid w:val="460C04D4"/>
    <w:rsid w:val="46113C23"/>
    <w:rsid w:val="46544454"/>
    <w:rsid w:val="465A02C0"/>
    <w:rsid w:val="466331AA"/>
    <w:rsid w:val="466A1851"/>
    <w:rsid w:val="46885EC5"/>
    <w:rsid w:val="46951251"/>
    <w:rsid w:val="46A0248D"/>
    <w:rsid w:val="46A176A3"/>
    <w:rsid w:val="46B27462"/>
    <w:rsid w:val="46B8097F"/>
    <w:rsid w:val="46BC31AA"/>
    <w:rsid w:val="46C93A01"/>
    <w:rsid w:val="46CB4BBC"/>
    <w:rsid w:val="46D404E0"/>
    <w:rsid w:val="46EA0B8E"/>
    <w:rsid w:val="46F31900"/>
    <w:rsid w:val="46F5741D"/>
    <w:rsid w:val="470019E5"/>
    <w:rsid w:val="471E5360"/>
    <w:rsid w:val="472B3E49"/>
    <w:rsid w:val="473105C2"/>
    <w:rsid w:val="47636BC0"/>
    <w:rsid w:val="4767390C"/>
    <w:rsid w:val="476B423D"/>
    <w:rsid w:val="476C60EE"/>
    <w:rsid w:val="476F4169"/>
    <w:rsid w:val="476F45D2"/>
    <w:rsid w:val="4778041E"/>
    <w:rsid w:val="47890CE4"/>
    <w:rsid w:val="47BB12D0"/>
    <w:rsid w:val="47F77B0F"/>
    <w:rsid w:val="48071BA2"/>
    <w:rsid w:val="48111F72"/>
    <w:rsid w:val="48225EBE"/>
    <w:rsid w:val="48327A14"/>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D51A7"/>
    <w:rsid w:val="493F3170"/>
    <w:rsid w:val="49486A0E"/>
    <w:rsid w:val="49495705"/>
    <w:rsid w:val="494B6EB7"/>
    <w:rsid w:val="495513EB"/>
    <w:rsid w:val="497A03CE"/>
    <w:rsid w:val="49B74CC7"/>
    <w:rsid w:val="49C93046"/>
    <w:rsid w:val="49CB6EC3"/>
    <w:rsid w:val="49D2508E"/>
    <w:rsid w:val="49FE04E0"/>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27C6E"/>
    <w:rsid w:val="4AFD678E"/>
    <w:rsid w:val="4B052AF1"/>
    <w:rsid w:val="4B434C80"/>
    <w:rsid w:val="4B64732E"/>
    <w:rsid w:val="4B81274F"/>
    <w:rsid w:val="4B831C66"/>
    <w:rsid w:val="4B8D15C7"/>
    <w:rsid w:val="4B8E09DB"/>
    <w:rsid w:val="4BA24E4F"/>
    <w:rsid w:val="4BB73E18"/>
    <w:rsid w:val="4BB8514A"/>
    <w:rsid w:val="4BD56841"/>
    <w:rsid w:val="4BE139FD"/>
    <w:rsid w:val="4BE50026"/>
    <w:rsid w:val="4BEE2D4D"/>
    <w:rsid w:val="4BF519A8"/>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B1077"/>
    <w:rsid w:val="4D2224BC"/>
    <w:rsid w:val="4D2757CE"/>
    <w:rsid w:val="4D34309E"/>
    <w:rsid w:val="4D3867E9"/>
    <w:rsid w:val="4D3B2402"/>
    <w:rsid w:val="4D4A5484"/>
    <w:rsid w:val="4D52527B"/>
    <w:rsid w:val="4D552535"/>
    <w:rsid w:val="4D73653A"/>
    <w:rsid w:val="4D7F1F43"/>
    <w:rsid w:val="4D7F63E0"/>
    <w:rsid w:val="4D816CE7"/>
    <w:rsid w:val="4D8D072A"/>
    <w:rsid w:val="4D8D7B77"/>
    <w:rsid w:val="4D8E0557"/>
    <w:rsid w:val="4D9715DC"/>
    <w:rsid w:val="4D9F307A"/>
    <w:rsid w:val="4DB025C4"/>
    <w:rsid w:val="4DB925D0"/>
    <w:rsid w:val="4DE76A72"/>
    <w:rsid w:val="4DFC6F40"/>
    <w:rsid w:val="4E0323E8"/>
    <w:rsid w:val="4E346CAD"/>
    <w:rsid w:val="4E37492E"/>
    <w:rsid w:val="4E4F5A01"/>
    <w:rsid w:val="4E580033"/>
    <w:rsid w:val="4E616A5C"/>
    <w:rsid w:val="4E693B74"/>
    <w:rsid w:val="4E6A4C09"/>
    <w:rsid w:val="4E6E3E0B"/>
    <w:rsid w:val="4E7C7399"/>
    <w:rsid w:val="4E977205"/>
    <w:rsid w:val="4EB827B3"/>
    <w:rsid w:val="4ED3637B"/>
    <w:rsid w:val="4EE20D35"/>
    <w:rsid w:val="4EF8689A"/>
    <w:rsid w:val="4F06340E"/>
    <w:rsid w:val="4F0C05E8"/>
    <w:rsid w:val="4F333B3B"/>
    <w:rsid w:val="4F622289"/>
    <w:rsid w:val="4F712C49"/>
    <w:rsid w:val="4F731E97"/>
    <w:rsid w:val="4F7B27D9"/>
    <w:rsid w:val="4F87770B"/>
    <w:rsid w:val="4F90601D"/>
    <w:rsid w:val="4FB47145"/>
    <w:rsid w:val="4FC56263"/>
    <w:rsid w:val="4FD330DE"/>
    <w:rsid w:val="4FD82EBA"/>
    <w:rsid w:val="4FE0355B"/>
    <w:rsid w:val="4FE03B09"/>
    <w:rsid w:val="4FEA1DA8"/>
    <w:rsid w:val="4FEE437C"/>
    <w:rsid w:val="5005319C"/>
    <w:rsid w:val="500F018A"/>
    <w:rsid w:val="500F0855"/>
    <w:rsid w:val="502D6368"/>
    <w:rsid w:val="50374ECA"/>
    <w:rsid w:val="503D0E74"/>
    <w:rsid w:val="504815B1"/>
    <w:rsid w:val="504E5BD3"/>
    <w:rsid w:val="505C1EA2"/>
    <w:rsid w:val="508729FC"/>
    <w:rsid w:val="508B6AC9"/>
    <w:rsid w:val="50A57F20"/>
    <w:rsid w:val="50B62894"/>
    <w:rsid w:val="50B630A1"/>
    <w:rsid w:val="50B6395E"/>
    <w:rsid w:val="50B8297E"/>
    <w:rsid w:val="50BA3090"/>
    <w:rsid w:val="50D35018"/>
    <w:rsid w:val="50DA59F5"/>
    <w:rsid w:val="50E25EDC"/>
    <w:rsid w:val="50E814E0"/>
    <w:rsid w:val="510A7B76"/>
    <w:rsid w:val="51221EB8"/>
    <w:rsid w:val="512A162D"/>
    <w:rsid w:val="514F6C05"/>
    <w:rsid w:val="515A6CD7"/>
    <w:rsid w:val="516900B3"/>
    <w:rsid w:val="516E725E"/>
    <w:rsid w:val="517109FA"/>
    <w:rsid w:val="51781C23"/>
    <w:rsid w:val="519C32A5"/>
    <w:rsid w:val="51B404DB"/>
    <w:rsid w:val="51CC0E85"/>
    <w:rsid w:val="51F43559"/>
    <w:rsid w:val="51F67C2A"/>
    <w:rsid w:val="52030077"/>
    <w:rsid w:val="52066282"/>
    <w:rsid w:val="52200C03"/>
    <w:rsid w:val="52302068"/>
    <w:rsid w:val="52362800"/>
    <w:rsid w:val="525A6558"/>
    <w:rsid w:val="525E02D9"/>
    <w:rsid w:val="52626214"/>
    <w:rsid w:val="5271161E"/>
    <w:rsid w:val="52931EA1"/>
    <w:rsid w:val="52937669"/>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01364C"/>
    <w:rsid w:val="542B3576"/>
    <w:rsid w:val="542E33A9"/>
    <w:rsid w:val="5433271B"/>
    <w:rsid w:val="54370630"/>
    <w:rsid w:val="543A749F"/>
    <w:rsid w:val="543E0450"/>
    <w:rsid w:val="543F7DF3"/>
    <w:rsid w:val="5468040B"/>
    <w:rsid w:val="546D7420"/>
    <w:rsid w:val="547804C3"/>
    <w:rsid w:val="547F7402"/>
    <w:rsid w:val="54967F9A"/>
    <w:rsid w:val="549B378E"/>
    <w:rsid w:val="549C1223"/>
    <w:rsid w:val="54A7060D"/>
    <w:rsid w:val="54CB0AD8"/>
    <w:rsid w:val="54FB6F2A"/>
    <w:rsid w:val="55063AA0"/>
    <w:rsid w:val="552B3541"/>
    <w:rsid w:val="553306C0"/>
    <w:rsid w:val="553A6E72"/>
    <w:rsid w:val="555C44A6"/>
    <w:rsid w:val="557A3593"/>
    <w:rsid w:val="557F05FE"/>
    <w:rsid w:val="55986395"/>
    <w:rsid w:val="55B01C76"/>
    <w:rsid w:val="55BB3B99"/>
    <w:rsid w:val="55C0767F"/>
    <w:rsid w:val="55D56AB5"/>
    <w:rsid w:val="55DE6836"/>
    <w:rsid w:val="55F112D3"/>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31F6D"/>
    <w:rsid w:val="58483122"/>
    <w:rsid w:val="58584D43"/>
    <w:rsid w:val="58585757"/>
    <w:rsid w:val="585F4ABD"/>
    <w:rsid w:val="586A54E0"/>
    <w:rsid w:val="586E7AAE"/>
    <w:rsid w:val="58763C80"/>
    <w:rsid w:val="58AD2A41"/>
    <w:rsid w:val="58C571DD"/>
    <w:rsid w:val="58CA22FD"/>
    <w:rsid w:val="58CB571C"/>
    <w:rsid w:val="591A0FF8"/>
    <w:rsid w:val="594413B6"/>
    <w:rsid w:val="5945092A"/>
    <w:rsid w:val="595D44CA"/>
    <w:rsid w:val="5965407F"/>
    <w:rsid w:val="59691876"/>
    <w:rsid w:val="59717397"/>
    <w:rsid w:val="59730464"/>
    <w:rsid w:val="598D2DC2"/>
    <w:rsid w:val="598E798D"/>
    <w:rsid w:val="5A0B0F42"/>
    <w:rsid w:val="5A3A5D6A"/>
    <w:rsid w:val="5A405D38"/>
    <w:rsid w:val="5A423CC1"/>
    <w:rsid w:val="5A4F77F7"/>
    <w:rsid w:val="5A5227E0"/>
    <w:rsid w:val="5A540A75"/>
    <w:rsid w:val="5A5F3C5F"/>
    <w:rsid w:val="5A6B4B3B"/>
    <w:rsid w:val="5A74777A"/>
    <w:rsid w:val="5AA306AC"/>
    <w:rsid w:val="5AAF006E"/>
    <w:rsid w:val="5AC228FF"/>
    <w:rsid w:val="5ADF3265"/>
    <w:rsid w:val="5AF43670"/>
    <w:rsid w:val="5B0E6006"/>
    <w:rsid w:val="5B1B278B"/>
    <w:rsid w:val="5B356B4F"/>
    <w:rsid w:val="5B45668A"/>
    <w:rsid w:val="5B483D9D"/>
    <w:rsid w:val="5B4B4861"/>
    <w:rsid w:val="5B4E0C31"/>
    <w:rsid w:val="5B4F4307"/>
    <w:rsid w:val="5B514E4B"/>
    <w:rsid w:val="5B550F93"/>
    <w:rsid w:val="5B743EDD"/>
    <w:rsid w:val="5B910EA8"/>
    <w:rsid w:val="5BA302A1"/>
    <w:rsid w:val="5BAE772A"/>
    <w:rsid w:val="5BAF03D2"/>
    <w:rsid w:val="5BC373A6"/>
    <w:rsid w:val="5BD137D6"/>
    <w:rsid w:val="5BDF75DB"/>
    <w:rsid w:val="5BE145D4"/>
    <w:rsid w:val="5BE565AF"/>
    <w:rsid w:val="5BF52022"/>
    <w:rsid w:val="5C027076"/>
    <w:rsid w:val="5C034A92"/>
    <w:rsid w:val="5C2F5441"/>
    <w:rsid w:val="5C306CA5"/>
    <w:rsid w:val="5C3830AD"/>
    <w:rsid w:val="5C4252F8"/>
    <w:rsid w:val="5C67046F"/>
    <w:rsid w:val="5C733A40"/>
    <w:rsid w:val="5CA049EF"/>
    <w:rsid w:val="5CA13735"/>
    <w:rsid w:val="5CA476AC"/>
    <w:rsid w:val="5CAD02F5"/>
    <w:rsid w:val="5CC542C1"/>
    <w:rsid w:val="5CCD1C46"/>
    <w:rsid w:val="5CF30491"/>
    <w:rsid w:val="5CFA684E"/>
    <w:rsid w:val="5D2E1346"/>
    <w:rsid w:val="5D435AE7"/>
    <w:rsid w:val="5D4A1997"/>
    <w:rsid w:val="5D5C65F9"/>
    <w:rsid w:val="5D632C47"/>
    <w:rsid w:val="5D74299B"/>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B02E6"/>
    <w:rsid w:val="5EA47F79"/>
    <w:rsid w:val="5EA7756C"/>
    <w:rsid w:val="5EAC7C32"/>
    <w:rsid w:val="5EBC35F3"/>
    <w:rsid w:val="5ECA7640"/>
    <w:rsid w:val="5EEB0455"/>
    <w:rsid w:val="5EFD5FFE"/>
    <w:rsid w:val="5F173A2B"/>
    <w:rsid w:val="5F243B32"/>
    <w:rsid w:val="5F25704F"/>
    <w:rsid w:val="5F2D64C4"/>
    <w:rsid w:val="5F302A42"/>
    <w:rsid w:val="5F676A86"/>
    <w:rsid w:val="5F792A0A"/>
    <w:rsid w:val="5F816F30"/>
    <w:rsid w:val="5F95270F"/>
    <w:rsid w:val="5FE553A1"/>
    <w:rsid w:val="5FEC0829"/>
    <w:rsid w:val="600D1887"/>
    <w:rsid w:val="601F39AC"/>
    <w:rsid w:val="60456E5A"/>
    <w:rsid w:val="606611F8"/>
    <w:rsid w:val="606A0927"/>
    <w:rsid w:val="60750A5B"/>
    <w:rsid w:val="607522E4"/>
    <w:rsid w:val="607934F6"/>
    <w:rsid w:val="607A0CA4"/>
    <w:rsid w:val="607C032F"/>
    <w:rsid w:val="607F0D85"/>
    <w:rsid w:val="608A400B"/>
    <w:rsid w:val="608D6203"/>
    <w:rsid w:val="608E2BC6"/>
    <w:rsid w:val="60A7237F"/>
    <w:rsid w:val="60A91285"/>
    <w:rsid w:val="60D914F9"/>
    <w:rsid w:val="60DC420F"/>
    <w:rsid w:val="60EA42BB"/>
    <w:rsid w:val="610B17B3"/>
    <w:rsid w:val="6148513F"/>
    <w:rsid w:val="614900DA"/>
    <w:rsid w:val="614958AE"/>
    <w:rsid w:val="614B2C99"/>
    <w:rsid w:val="61517704"/>
    <w:rsid w:val="616E69F3"/>
    <w:rsid w:val="61851DF7"/>
    <w:rsid w:val="61A00D01"/>
    <w:rsid w:val="61A57406"/>
    <w:rsid w:val="61CB0398"/>
    <w:rsid w:val="61D4569F"/>
    <w:rsid w:val="61E77F11"/>
    <w:rsid w:val="61EC2C51"/>
    <w:rsid w:val="62073131"/>
    <w:rsid w:val="620B5412"/>
    <w:rsid w:val="621D1177"/>
    <w:rsid w:val="621D2C7D"/>
    <w:rsid w:val="62304F98"/>
    <w:rsid w:val="624F14BF"/>
    <w:rsid w:val="62622680"/>
    <w:rsid w:val="62651F9B"/>
    <w:rsid w:val="62785189"/>
    <w:rsid w:val="627C2E83"/>
    <w:rsid w:val="628561B1"/>
    <w:rsid w:val="62936A2E"/>
    <w:rsid w:val="62B23C0C"/>
    <w:rsid w:val="62B5222E"/>
    <w:rsid w:val="62B90F27"/>
    <w:rsid w:val="62DF451C"/>
    <w:rsid w:val="62E479F1"/>
    <w:rsid w:val="62E75E06"/>
    <w:rsid w:val="630F53DD"/>
    <w:rsid w:val="632743B5"/>
    <w:rsid w:val="63367260"/>
    <w:rsid w:val="6337726C"/>
    <w:rsid w:val="634216B9"/>
    <w:rsid w:val="63544525"/>
    <w:rsid w:val="63672307"/>
    <w:rsid w:val="636A08A2"/>
    <w:rsid w:val="636B2783"/>
    <w:rsid w:val="63777684"/>
    <w:rsid w:val="63880C2C"/>
    <w:rsid w:val="639022D0"/>
    <w:rsid w:val="63917EF3"/>
    <w:rsid w:val="639904AE"/>
    <w:rsid w:val="63DA603A"/>
    <w:rsid w:val="63DE307D"/>
    <w:rsid w:val="63E83945"/>
    <w:rsid w:val="63F46C6B"/>
    <w:rsid w:val="640335EA"/>
    <w:rsid w:val="642F23C5"/>
    <w:rsid w:val="64427CA3"/>
    <w:rsid w:val="64836005"/>
    <w:rsid w:val="649A0EAA"/>
    <w:rsid w:val="649E03FE"/>
    <w:rsid w:val="64A40894"/>
    <w:rsid w:val="64A47D9C"/>
    <w:rsid w:val="64BE53A3"/>
    <w:rsid w:val="64CC5E85"/>
    <w:rsid w:val="64CE1606"/>
    <w:rsid w:val="64D1763C"/>
    <w:rsid w:val="64ED4DEA"/>
    <w:rsid w:val="64F3490E"/>
    <w:rsid w:val="64F475D0"/>
    <w:rsid w:val="64FB09DF"/>
    <w:rsid w:val="650A4E00"/>
    <w:rsid w:val="65123550"/>
    <w:rsid w:val="6517300B"/>
    <w:rsid w:val="65267D7D"/>
    <w:rsid w:val="65441D80"/>
    <w:rsid w:val="654C0271"/>
    <w:rsid w:val="654D1FDF"/>
    <w:rsid w:val="657140B6"/>
    <w:rsid w:val="65743936"/>
    <w:rsid w:val="657630EF"/>
    <w:rsid w:val="6582032C"/>
    <w:rsid w:val="65AC593A"/>
    <w:rsid w:val="65B0610E"/>
    <w:rsid w:val="65C36A89"/>
    <w:rsid w:val="65D7004F"/>
    <w:rsid w:val="65EE54D2"/>
    <w:rsid w:val="65F1000E"/>
    <w:rsid w:val="65F261EA"/>
    <w:rsid w:val="660B002C"/>
    <w:rsid w:val="66200283"/>
    <w:rsid w:val="663F542A"/>
    <w:rsid w:val="664C0DCF"/>
    <w:rsid w:val="66724724"/>
    <w:rsid w:val="66BB5299"/>
    <w:rsid w:val="66C8550E"/>
    <w:rsid w:val="66E35836"/>
    <w:rsid w:val="66FA4194"/>
    <w:rsid w:val="670747EC"/>
    <w:rsid w:val="67151307"/>
    <w:rsid w:val="67301B6F"/>
    <w:rsid w:val="67493059"/>
    <w:rsid w:val="675672BB"/>
    <w:rsid w:val="675D6959"/>
    <w:rsid w:val="678A77BE"/>
    <w:rsid w:val="67A14CCC"/>
    <w:rsid w:val="67B0630D"/>
    <w:rsid w:val="67C83087"/>
    <w:rsid w:val="67F00122"/>
    <w:rsid w:val="67F37CEC"/>
    <w:rsid w:val="680345BA"/>
    <w:rsid w:val="680F66F8"/>
    <w:rsid w:val="6816723B"/>
    <w:rsid w:val="6827226A"/>
    <w:rsid w:val="682C2940"/>
    <w:rsid w:val="683E75F2"/>
    <w:rsid w:val="68543939"/>
    <w:rsid w:val="6865718C"/>
    <w:rsid w:val="68680574"/>
    <w:rsid w:val="686B07B1"/>
    <w:rsid w:val="6873650C"/>
    <w:rsid w:val="689602F4"/>
    <w:rsid w:val="690C66BC"/>
    <w:rsid w:val="69110FDA"/>
    <w:rsid w:val="692846B8"/>
    <w:rsid w:val="693076D3"/>
    <w:rsid w:val="695A6274"/>
    <w:rsid w:val="69663D9B"/>
    <w:rsid w:val="698F17E8"/>
    <w:rsid w:val="699A1E01"/>
    <w:rsid w:val="69A52777"/>
    <w:rsid w:val="69B56A40"/>
    <w:rsid w:val="69BA0C35"/>
    <w:rsid w:val="69CA4BCF"/>
    <w:rsid w:val="69F14805"/>
    <w:rsid w:val="6A020F97"/>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C1ADE"/>
    <w:rsid w:val="6B442E5D"/>
    <w:rsid w:val="6B600994"/>
    <w:rsid w:val="6B611003"/>
    <w:rsid w:val="6B6E6074"/>
    <w:rsid w:val="6B9337AD"/>
    <w:rsid w:val="6B97285F"/>
    <w:rsid w:val="6B982ABA"/>
    <w:rsid w:val="6B9D5759"/>
    <w:rsid w:val="6BBE7F33"/>
    <w:rsid w:val="6BBF2471"/>
    <w:rsid w:val="6BC3620B"/>
    <w:rsid w:val="6BF41357"/>
    <w:rsid w:val="6C01378A"/>
    <w:rsid w:val="6C465105"/>
    <w:rsid w:val="6C4B5BE2"/>
    <w:rsid w:val="6C61108B"/>
    <w:rsid w:val="6C6A7B7C"/>
    <w:rsid w:val="6C6B76E4"/>
    <w:rsid w:val="6C6C4836"/>
    <w:rsid w:val="6C9963D6"/>
    <w:rsid w:val="6CD30E22"/>
    <w:rsid w:val="6CDA56EB"/>
    <w:rsid w:val="6CE31E95"/>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AA7198"/>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3F56BE"/>
    <w:rsid w:val="70417F03"/>
    <w:rsid w:val="70461870"/>
    <w:rsid w:val="70574C0E"/>
    <w:rsid w:val="7066163C"/>
    <w:rsid w:val="70677AA3"/>
    <w:rsid w:val="7075449A"/>
    <w:rsid w:val="70957F22"/>
    <w:rsid w:val="70B910CE"/>
    <w:rsid w:val="70CA434A"/>
    <w:rsid w:val="70D464A7"/>
    <w:rsid w:val="70D727DD"/>
    <w:rsid w:val="70EF0410"/>
    <w:rsid w:val="70F62BCC"/>
    <w:rsid w:val="70FF136C"/>
    <w:rsid w:val="710010D9"/>
    <w:rsid w:val="71013CFA"/>
    <w:rsid w:val="711112DF"/>
    <w:rsid w:val="711F132C"/>
    <w:rsid w:val="716A1FBB"/>
    <w:rsid w:val="716E32F1"/>
    <w:rsid w:val="71902876"/>
    <w:rsid w:val="71910A05"/>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F8181C"/>
    <w:rsid w:val="72FC0A86"/>
    <w:rsid w:val="72FE0D2A"/>
    <w:rsid w:val="730A0482"/>
    <w:rsid w:val="73163B23"/>
    <w:rsid w:val="73171C1D"/>
    <w:rsid w:val="731B3260"/>
    <w:rsid w:val="7334225F"/>
    <w:rsid w:val="734D438E"/>
    <w:rsid w:val="734E4B79"/>
    <w:rsid w:val="735C2A7D"/>
    <w:rsid w:val="735C7677"/>
    <w:rsid w:val="736F5EC2"/>
    <w:rsid w:val="737C5956"/>
    <w:rsid w:val="73AD02F2"/>
    <w:rsid w:val="73B10B9E"/>
    <w:rsid w:val="73C51173"/>
    <w:rsid w:val="73C92EBD"/>
    <w:rsid w:val="73E349D9"/>
    <w:rsid w:val="73F36DD0"/>
    <w:rsid w:val="73FA0C14"/>
    <w:rsid w:val="73FB2A0A"/>
    <w:rsid w:val="73FD2A87"/>
    <w:rsid w:val="74105E85"/>
    <w:rsid w:val="74280B5A"/>
    <w:rsid w:val="742F5403"/>
    <w:rsid w:val="743E01B2"/>
    <w:rsid w:val="74492D05"/>
    <w:rsid w:val="745768E1"/>
    <w:rsid w:val="7458670C"/>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295C55"/>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2E5ACD"/>
    <w:rsid w:val="763C49A2"/>
    <w:rsid w:val="76496042"/>
    <w:rsid w:val="764B4E40"/>
    <w:rsid w:val="768A4630"/>
    <w:rsid w:val="76913910"/>
    <w:rsid w:val="7692221F"/>
    <w:rsid w:val="76944F51"/>
    <w:rsid w:val="76976122"/>
    <w:rsid w:val="769B4F81"/>
    <w:rsid w:val="76A306C3"/>
    <w:rsid w:val="76A50F7A"/>
    <w:rsid w:val="76B64AD8"/>
    <w:rsid w:val="76E621C3"/>
    <w:rsid w:val="76F94B98"/>
    <w:rsid w:val="77175A71"/>
    <w:rsid w:val="771C5DE3"/>
    <w:rsid w:val="773311A3"/>
    <w:rsid w:val="77417882"/>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306A90"/>
    <w:rsid w:val="7A346593"/>
    <w:rsid w:val="7A354A57"/>
    <w:rsid w:val="7A861E03"/>
    <w:rsid w:val="7A8F26A7"/>
    <w:rsid w:val="7A925C99"/>
    <w:rsid w:val="7A9861A1"/>
    <w:rsid w:val="7A9961D7"/>
    <w:rsid w:val="7A9C34D6"/>
    <w:rsid w:val="7AAC76B9"/>
    <w:rsid w:val="7ABF51CD"/>
    <w:rsid w:val="7B0D2F9A"/>
    <w:rsid w:val="7B2358AF"/>
    <w:rsid w:val="7B264856"/>
    <w:rsid w:val="7B3B125D"/>
    <w:rsid w:val="7B3F013E"/>
    <w:rsid w:val="7B43183F"/>
    <w:rsid w:val="7B590B76"/>
    <w:rsid w:val="7B6139F0"/>
    <w:rsid w:val="7B692624"/>
    <w:rsid w:val="7B873792"/>
    <w:rsid w:val="7B877386"/>
    <w:rsid w:val="7BB14D15"/>
    <w:rsid w:val="7BB15E62"/>
    <w:rsid w:val="7BD701FC"/>
    <w:rsid w:val="7BD9713D"/>
    <w:rsid w:val="7BFB2649"/>
    <w:rsid w:val="7C02600A"/>
    <w:rsid w:val="7C0A4B17"/>
    <w:rsid w:val="7C153412"/>
    <w:rsid w:val="7C195509"/>
    <w:rsid w:val="7C382FC8"/>
    <w:rsid w:val="7C400E30"/>
    <w:rsid w:val="7C8860C7"/>
    <w:rsid w:val="7CBB4466"/>
    <w:rsid w:val="7D2A2F5A"/>
    <w:rsid w:val="7D3F16EC"/>
    <w:rsid w:val="7D534451"/>
    <w:rsid w:val="7D5C74DE"/>
    <w:rsid w:val="7D5E31AA"/>
    <w:rsid w:val="7D611DF2"/>
    <w:rsid w:val="7D7C35F3"/>
    <w:rsid w:val="7D8B55FE"/>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A5742C"/>
    <w:rsid w:val="7EB31AB8"/>
    <w:rsid w:val="7EB95A8B"/>
    <w:rsid w:val="7EB96119"/>
    <w:rsid w:val="7EBB77C0"/>
    <w:rsid w:val="7EBC557E"/>
    <w:rsid w:val="7EBC71FA"/>
    <w:rsid w:val="7EEE218F"/>
    <w:rsid w:val="7EEE6B7F"/>
    <w:rsid w:val="7EF4144E"/>
    <w:rsid w:val="7EF7261F"/>
    <w:rsid w:val="7EFA63EB"/>
    <w:rsid w:val="7F084B9C"/>
    <w:rsid w:val="7F3A7824"/>
    <w:rsid w:val="7F4360B6"/>
    <w:rsid w:val="7F4D7148"/>
    <w:rsid w:val="7F577569"/>
    <w:rsid w:val="7F627193"/>
    <w:rsid w:val="7F6F4377"/>
    <w:rsid w:val="7F78526F"/>
    <w:rsid w:val="7F9431AB"/>
    <w:rsid w:val="7FBC7702"/>
    <w:rsid w:val="7FC64347"/>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9">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2"/>
    <w:qFormat/>
    <w:locked/>
    <w:uiPriority w:val="99"/>
    <w:rPr>
      <w:rFonts w:eastAsia="宋体" w:cs="Times New Roman"/>
      <w:b/>
      <w:kern w:val="44"/>
      <w:sz w:val="44"/>
      <w:lang w:val="en-US" w:eastAsia="zh-CN"/>
    </w:rPr>
  </w:style>
  <w:style w:type="character" w:customStyle="1" w:styleId="59">
    <w:name w:val="标题 2 Char"/>
    <w:link w:val="3"/>
    <w:qFormat/>
    <w:locked/>
    <w:uiPriority w:val="99"/>
    <w:rPr>
      <w:rFonts w:ascii="Cambria" w:hAnsi="Cambria" w:eastAsia="宋体" w:cs="Times New Roman"/>
      <w:b/>
      <w:sz w:val="32"/>
    </w:rPr>
  </w:style>
  <w:style w:type="character" w:customStyle="1" w:styleId="60">
    <w:name w:val="标题 3 Char"/>
    <w:link w:val="4"/>
    <w:qFormat/>
    <w:locked/>
    <w:uiPriority w:val="99"/>
    <w:rPr>
      <w:rFonts w:cs="Times New Roman"/>
      <w:b/>
      <w:sz w:val="32"/>
    </w:rPr>
  </w:style>
  <w:style w:type="character" w:customStyle="1" w:styleId="61">
    <w:name w:val="标题 4 Char"/>
    <w:link w:val="5"/>
    <w:qFormat/>
    <w:locked/>
    <w:uiPriority w:val="99"/>
    <w:rPr>
      <w:rFonts w:ascii="Cambria" w:hAnsi="Cambria" w:eastAsia="宋体" w:cs="Times New Roman"/>
      <w:b/>
      <w:sz w:val="28"/>
    </w:rPr>
  </w:style>
  <w:style w:type="character" w:customStyle="1" w:styleId="62">
    <w:name w:val="标题 5 Char"/>
    <w:link w:val="6"/>
    <w:qFormat/>
    <w:locked/>
    <w:uiPriority w:val="99"/>
    <w:rPr>
      <w:rFonts w:cs="Times New Roman"/>
      <w:b/>
      <w:sz w:val="28"/>
    </w:rPr>
  </w:style>
  <w:style w:type="character" w:customStyle="1" w:styleId="63">
    <w:name w:val="标题 6 Char"/>
    <w:link w:val="7"/>
    <w:qFormat/>
    <w:locked/>
    <w:uiPriority w:val="99"/>
    <w:rPr>
      <w:rFonts w:ascii="Cambria" w:hAnsi="Cambria" w:eastAsia="宋体" w:cs="Times New Roman"/>
      <w:b/>
      <w:sz w:val="24"/>
    </w:rPr>
  </w:style>
  <w:style w:type="character" w:customStyle="1" w:styleId="64">
    <w:name w:val="标题 7 Char"/>
    <w:link w:val="8"/>
    <w:qFormat/>
    <w:locked/>
    <w:uiPriority w:val="99"/>
    <w:rPr>
      <w:rFonts w:cs="Times New Roman"/>
      <w:b/>
      <w:sz w:val="24"/>
    </w:rPr>
  </w:style>
  <w:style w:type="character" w:customStyle="1" w:styleId="65">
    <w:name w:val="标题 8 Char"/>
    <w:link w:val="9"/>
    <w:qFormat/>
    <w:locked/>
    <w:uiPriority w:val="99"/>
    <w:rPr>
      <w:rFonts w:ascii="Cambria" w:hAnsi="Cambria" w:eastAsia="宋体" w:cs="Times New Roman"/>
      <w:sz w:val="24"/>
    </w:rPr>
  </w:style>
  <w:style w:type="character" w:customStyle="1" w:styleId="66">
    <w:name w:val="标题 9 Char"/>
    <w:link w:val="11"/>
    <w:qFormat/>
    <w:locked/>
    <w:uiPriority w:val="99"/>
    <w:rPr>
      <w:rFonts w:ascii="Cambria" w:hAnsi="Cambria" w:eastAsia="宋体" w:cs="Times New Roman"/>
      <w:sz w:val="21"/>
    </w:rPr>
  </w:style>
  <w:style w:type="character" w:customStyle="1" w:styleId="67">
    <w:name w:val="批注文字 Char"/>
    <w:link w:val="17"/>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6"/>
    <w:qFormat/>
    <w:locked/>
    <w:uiPriority w:val="99"/>
    <w:rPr>
      <w:rFonts w:cs="Times New Roman"/>
      <w:sz w:val="2"/>
    </w:rPr>
  </w:style>
  <w:style w:type="character" w:customStyle="1" w:styleId="70">
    <w:name w:val="正文文本 3 Char"/>
    <w:link w:val="18"/>
    <w:qFormat/>
    <w:locked/>
    <w:uiPriority w:val="99"/>
    <w:rPr>
      <w:rFonts w:cs="Times New Roman"/>
      <w:sz w:val="16"/>
    </w:rPr>
  </w:style>
  <w:style w:type="character" w:customStyle="1" w:styleId="71">
    <w:name w:val="正文文本 Char"/>
    <w:link w:val="19"/>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styleId="133">
    <w:name w:val="No Spacing"/>
    <w:basedOn w:val="1"/>
    <w:qFormat/>
    <w:uiPriority w:val="1"/>
    <w:pPr>
      <w:spacing w:after="0" w:line="240" w:lineRule="auto"/>
    </w:pPr>
  </w:style>
  <w:style w:type="paragraph" w:styleId="134">
    <w:name w:val="List Paragraph"/>
    <w:basedOn w:val="1"/>
    <w:qFormat/>
    <w:uiPriority w:val="0"/>
    <w:pPr>
      <w:ind w:left="720"/>
      <w:contextualSpacing/>
    </w:pPr>
  </w:style>
  <w:style w:type="paragraph" w:customStyle="1" w:styleId="135">
    <w:name w:val="无间隔2"/>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1</Pages>
  <Words>5317</Words>
  <Characters>30311</Characters>
  <Lines>252</Lines>
  <Paragraphs>71</Paragraphs>
  <TotalTime>26</TotalTime>
  <ScaleCrop>false</ScaleCrop>
  <LinksUpToDate>false</LinksUpToDate>
  <CharactersWithSpaces>35557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2019-08-30T06:51:00Z</cp:lastPrinted>
  <dcterms:modified xsi:type="dcterms:W3CDTF">2019-11-04T03:41:15Z</dcterms:modified>
  <dc:title>招标文件目录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