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line="240" w:lineRule="auto"/>
        <w:ind w:firstLine="0" w:firstLineChars="0"/>
        <w:jc w:val="left"/>
        <w:rPr>
          <w:rFonts w:eastAsia="黑体"/>
          <w:sz w:val="52"/>
          <w:highlight w:val="none"/>
        </w:rPr>
      </w:pPr>
      <w:r>
        <w:rPr>
          <w:rFonts w:eastAsia="黑体"/>
          <w:sz w:val="52"/>
          <w:highlight w:val="none"/>
        </w:rPr>
        <w:drawing>
          <wp:inline distT="0" distB="0" distL="114300" distR="114300">
            <wp:extent cx="1114425" cy="438150"/>
            <wp:effectExtent l="0" t="0" r="9525"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8"/>
                    <a:stretch>
                      <a:fillRect/>
                    </a:stretch>
                  </pic:blipFill>
                  <pic:spPr>
                    <a:xfrm>
                      <a:off x="0" y="0"/>
                      <a:ext cx="1114425" cy="438150"/>
                    </a:xfrm>
                    <a:prstGeom prst="rect">
                      <a:avLst/>
                    </a:prstGeom>
                    <a:noFill/>
                    <a:ln>
                      <a:noFill/>
                    </a:ln>
                  </pic:spPr>
                </pic:pic>
              </a:graphicData>
            </a:graphic>
          </wp:inline>
        </w:drawing>
      </w:r>
    </w:p>
    <w:p>
      <w:pPr>
        <w:pStyle w:val="40"/>
        <w:spacing w:line="240" w:lineRule="auto"/>
        <w:ind w:firstLine="0" w:firstLineChars="0"/>
        <w:jc w:val="center"/>
        <w:rPr>
          <w:sz w:val="52"/>
          <w:highlight w:val="none"/>
        </w:rPr>
      </w:pPr>
      <w:r>
        <w:rPr>
          <w:sz w:val="5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249" w:firstLineChars="700"/>
        <w:textAlignment w:val="auto"/>
        <w:outlineLvl w:val="9"/>
        <w:rPr>
          <w:rFonts w:ascii="宋体" w:hAnsi="宋体"/>
          <w:b/>
          <w:sz w:val="32"/>
          <w:szCs w:val="24"/>
          <w:highlight w:val="none"/>
        </w:rPr>
      </w:pPr>
      <w:r>
        <w:rPr>
          <w:rFonts w:hint="eastAsia" w:ascii="宋体" w:hAnsi="宋体"/>
          <w:b/>
          <w:sz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eastAsia" w:ascii="宋体" w:hAnsi="宋体" w:eastAsia="华文中宋"/>
          <w:b/>
          <w:sz w:val="48"/>
          <w:szCs w:val="40"/>
          <w:highlight w:val="none"/>
          <w:lang w:eastAsia="zh-CN"/>
        </w:rPr>
      </w:pPr>
      <w:r>
        <w:rPr>
          <w:rFonts w:hint="eastAsia" w:ascii="宋体" w:hAnsi="宋体" w:eastAsia="华文中宋"/>
          <w:b/>
          <w:sz w:val="48"/>
          <w:szCs w:val="40"/>
          <w:highlight w:val="none"/>
          <w:lang w:eastAsia="zh-CN"/>
        </w:rPr>
        <w:t>山东大学第二医院</w:t>
      </w:r>
    </w:p>
    <w:p>
      <w:pPr>
        <w:tabs>
          <w:tab w:val="left" w:pos="1134"/>
          <w:tab w:val="left" w:pos="5481"/>
          <w:tab w:val="left" w:pos="5859"/>
        </w:tabs>
        <w:jc w:val="center"/>
        <w:rPr>
          <w:rFonts w:hint="default" w:eastAsia="华文中宋"/>
          <w:b/>
          <w:sz w:val="96"/>
          <w:szCs w:val="36"/>
          <w:highlight w:val="none"/>
          <w:lang w:val="en-US"/>
        </w:rPr>
      </w:pPr>
      <w:r>
        <w:rPr>
          <w:rFonts w:hint="eastAsia" w:asciiTheme="minorEastAsia" w:hAnsiTheme="minorEastAsia" w:eastAsiaTheme="minorEastAsia" w:cstheme="minorEastAsia"/>
          <w:b/>
          <w:sz w:val="56"/>
          <w:szCs w:val="48"/>
          <w:highlight w:val="none"/>
          <w:lang w:eastAsia="zh-CN"/>
        </w:rPr>
        <w:t>实验类设备采购项目</w:t>
      </w:r>
    </w:p>
    <w:p>
      <w:pPr>
        <w:tabs>
          <w:tab w:val="left" w:pos="1134"/>
          <w:tab w:val="left" w:pos="5481"/>
          <w:tab w:val="left" w:pos="5859"/>
        </w:tabs>
        <w:jc w:val="center"/>
        <w:rPr>
          <w:rFonts w:eastAsia="华文中宋"/>
          <w:b/>
          <w:sz w:val="52"/>
          <w:highlight w:val="none"/>
        </w:rPr>
      </w:pPr>
    </w:p>
    <w:p>
      <w:pPr>
        <w:tabs>
          <w:tab w:val="left" w:pos="1134"/>
          <w:tab w:val="left" w:pos="5481"/>
          <w:tab w:val="left" w:pos="5859"/>
        </w:tabs>
        <w:jc w:val="both"/>
        <w:rPr>
          <w:rFonts w:eastAsia="华文中宋"/>
          <w:b/>
          <w:sz w:val="52"/>
          <w:highlight w:val="none"/>
        </w:rPr>
      </w:pPr>
    </w:p>
    <w:p>
      <w:pPr>
        <w:pStyle w:val="19"/>
        <w:ind w:left="-11" w:leftChars="-95" w:hanging="188" w:hangingChars="13"/>
        <w:jc w:val="center"/>
        <w:rPr>
          <w:rFonts w:ascii="宋体"/>
          <w:b/>
          <w:sz w:val="144"/>
          <w:szCs w:val="144"/>
          <w:highlight w:val="none"/>
        </w:rPr>
      </w:pPr>
      <w:r>
        <w:rPr>
          <w:rFonts w:hint="eastAsia" w:ascii="宋体" w:hAnsi="宋体"/>
          <w:b/>
          <w:sz w:val="144"/>
          <w:szCs w:val="144"/>
          <w:highlight w:val="none"/>
        </w:rPr>
        <w:t>招标文件</w:t>
      </w:r>
    </w:p>
    <w:p>
      <w:pPr>
        <w:tabs>
          <w:tab w:val="left" w:pos="1134"/>
          <w:tab w:val="left" w:pos="5160"/>
        </w:tabs>
        <w:jc w:val="center"/>
        <w:rPr>
          <w:rFonts w:eastAsia="黑体"/>
          <w:b/>
          <w:sz w:val="32"/>
          <w:highlight w:val="none"/>
        </w:rPr>
      </w:pPr>
      <w:r>
        <w:rPr>
          <w:rFonts w:eastAsia="黑体"/>
          <w:b/>
          <w:sz w:val="36"/>
          <w:highlight w:val="none"/>
        </w:rPr>
        <w:t xml:space="preserve"> </w:t>
      </w:r>
    </w:p>
    <w:p>
      <w:pPr>
        <w:spacing w:line="480" w:lineRule="auto"/>
        <w:rPr>
          <w:rFonts w:hint="eastAsia" w:ascii="宋体" w:hAnsi="宋体"/>
          <w:b/>
          <w:sz w:val="32"/>
          <w:highlight w:val="none"/>
          <w:lang w:val="en-US" w:eastAsia="zh-CN"/>
        </w:rPr>
      </w:pPr>
      <w:r>
        <w:rPr>
          <w:rFonts w:hint="eastAsia" w:ascii="宋体" w:hAnsi="宋体"/>
          <w:b/>
          <w:sz w:val="32"/>
          <w:highlight w:val="none"/>
          <w:lang w:val="en-US" w:eastAsia="zh-CN"/>
        </w:rPr>
        <w:t xml:space="preserve">          </w:t>
      </w:r>
      <w:r>
        <w:rPr>
          <w:rFonts w:hint="eastAsia" w:ascii="宋体" w:hAnsi="宋体"/>
          <w:b/>
          <w:sz w:val="32"/>
          <w:highlight w:val="none"/>
          <w:lang w:eastAsia="zh-CN"/>
        </w:rPr>
        <w:t>招标</w:t>
      </w:r>
      <w:r>
        <w:rPr>
          <w:rFonts w:hint="eastAsia" w:ascii="宋体" w:hAnsi="宋体"/>
          <w:b/>
          <w:sz w:val="32"/>
          <w:highlight w:val="none"/>
        </w:rPr>
        <w:t>编号</w:t>
      </w:r>
      <w:r>
        <w:rPr>
          <w:rFonts w:hint="eastAsia" w:ascii="宋体" w:hAnsi="宋体"/>
          <w:b/>
          <w:sz w:val="32"/>
          <w:highlight w:val="none"/>
          <w:lang w:val="en-US" w:eastAsia="zh-CN"/>
        </w:rPr>
        <w:t>：</w:t>
      </w:r>
      <w:r>
        <w:rPr>
          <w:rFonts w:hint="eastAsia" w:ascii="宋体" w:hAnsi="宋体"/>
          <w:b/>
          <w:sz w:val="32"/>
          <w:highlight w:val="none"/>
          <w:lang w:eastAsia="zh-CN"/>
        </w:rPr>
        <w:t>0676-196012ZB018058</w:t>
      </w:r>
    </w:p>
    <w:p>
      <w:pPr>
        <w:spacing w:line="480" w:lineRule="auto"/>
        <w:rPr>
          <w:rFonts w:hint="eastAsia" w:ascii="宋体" w:hAnsi="宋体" w:cs="Times New Roman"/>
          <w:b/>
          <w:sz w:val="32"/>
          <w:highlight w:val="none"/>
          <w:lang w:val="en-US" w:eastAsia="zh-CN"/>
        </w:rPr>
      </w:pPr>
      <w:r>
        <w:rPr>
          <w:rFonts w:hint="eastAsia" w:ascii="宋体" w:hAnsi="宋体"/>
          <w:b/>
          <w:sz w:val="32"/>
          <w:highlight w:val="none"/>
          <w:lang w:val="en-US" w:eastAsia="zh-CN"/>
        </w:rPr>
        <w:t xml:space="preserve">          招标内容：实验室类设备</w:t>
      </w:r>
    </w:p>
    <w:p>
      <w:pPr>
        <w:tabs>
          <w:tab w:val="left" w:pos="1134"/>
          <w:tab w:val="left" w:pos="5481"/>
          <w:tab w:val="left" w:pos="5859"/>
        </w:tabs>
        <w:jc w:val="center"/>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spacing w:line="480" w:lineRule="auto"/>
        <w:jc w:val="center"/>
        <w:rPr>
          <w:rFonts w:ascii="宋体"/>
          <w:b/>
          <w:sz w:val="32"/>
          <w:szCs w:val="32"/>
          <w:highlight w:val="none"/>
        </w:rPr>
      </w:pPr>
      <w:r>
        <w:rPr>
          <w:rFonts w:hint="eastAsia" w:ascii="宋体" w:hAnsi="宋体"/>
          <w:b/>
          <w:sz w:val="32"/>
          <w:szCs w:val="32"/>
          <w:highlight w:val="none"/>
        </w:rPr>
        <w:t>山东省鲁成招标有限公司</w:t>
      </w:r>
    </w:p>
    <w:p>
      <w:pPr>
        <w:spacing w:line="480" w:lineRule="auto"/>
        <w:jc w:val="center"/>
        <w:rPr>
          <w:rFonts w:eastAsia="黑体"/>
          <w:b/>
          <w:sz w:val="36"/>
          <w:highlight w:val="none"/>
        </w:rPr>
      </w:pPr>
      <w:r>
        <w:rPr>
          <w:rFonts w:hint="eastAsia" w:ascii="宋体" w:hAnsi="宋体"/>
          <w:b/>
          <w:sz w:val="32"/>
          <w:szCs w:val="32"/>
          <w:highlight w:val="none"/>
        </w:rPr>
        <w:t>二</w:t>
      </w:r>
      <w:r>
        <w:rPr>
          <w:rFonts w:hint="eastAsia" w:ascii="宋体"/>
          <w:b/>
          <w:sz w:val="32"/>
          <w:szCs w:val="32"/>
          <w:highlight w:val="none"/>
          <w:lang w:eastAsia="zh-CN"/>
        </w:rPr>
        <w:t>〇</w:t>
      </w:r>
      <w:r>
        <w:rPr>
          <w:rFonts w:hint="eastAsia" w:ascii="宋体" w:hAnsi="宋体"/>
          <w:b/>
          <w:sz w:val="32"/>
          <w:szCs w:val="32"/>
          <w:highlight w:val="none"/>
        </w:rPr>
        <w:t>一九年</w:t>
      </w:r>
      <w:r>
        <w:rPr>
          <w:rFonts w:hint="eastAsia" w:ascii="宋体" w:hAnsi="宋体"/>
          <w:b/>
          <w:sz w:val="32"/>
          <w:szCs w:val="32"/>
          <w:highlight w:val="none"/>
          <w:lang w:eastAsia="zh-CN"/>
        </w:rPr>
        <w:t>十</w:t>
      </w:r>
      <w:r>
        <w:rPr>
          <w:rFonts w:hint="eastAsia" w:ascii="宋体" w:hAnsi="宋体"/>
          <w:b/>
          <w:sz w:val="32"/>
          <w:szCs w:val="32"/>
          <w:highlight w:val="none"/>
          <w:lang w:val="en-US" w:eastAsia="zh-CN"/>
        </w:rPr>
        <w:t>二</w:t>
      </w:r>
      <w:r>
        <w:rPr>
          <w:rFonts w:hint="eastAsia" w:ascii="宋体" w:hAnsi="宋体"/>
          <w:b/>
          <w:sz w:val="32"/>
          <w:szCs w:val="32"/>
          <w:highlight w:val="none"/>
        </w:rPr>
        <w:t>月</w:t>
      </w:r>
    </w:p>
    <w:p>
      <w:pPr>
        <w:pStyle w:val="19"/>
        <w:spacing w:line="360" w:lineRule="auto"/>
        <w:jc w:val="center"/>
        <w:rPr>
          <w:rFonts w:ascii="宋体"/>
          <w:sz w:val="30"/>
          <w:szCs w:val="30"/>
          <w:highlight w:val="none"/>
        </w:rPr>
        <w:sectPr>
          <w:headerReference r:id="rId4" w:type="first"/>
          <w:headerReference r:id="rId3" w:type="default"/>
          <w:type w:val="continuous"/>
          <w:pgSz w:w="11906" w:h="16838"/>
          <w:pgMar w:top="1440" w:right="1800" w:bottom="1440" w:left="1800" w:header="851" w:footer="992" w:gutter="0"/>
          <w:pgNumType w:fmt="decimal" w:start="0"/>
          <w:cols w:space="0" w:num="1"/>
          <w:titlePg/>
          <w:rtlGutter w:val="0"/>
          <w:docGrid w:type="lines" w:linePitch="312" w:charSpace="0"/>
        </w:sectPr>
      </w:pPr>
    </w:p>
    <w:p>
      <w:pPr>
        <w:pStyle w:val="19"/>
        <w:spacing w:line="360" w:lineRule="auto"/>
        <w:jc w:val="center"/>
        <w:rPr>
          <w:rFonts w:ascii="宋体"/>
          <w:sz w:val="30"/>
          <w:szCs w:val="30"/>
          <w:highlight w:val="none"/>
        </w:rPr>
      </w:pPr>
    </w:p>
    <w:p>
      <w:pPr>
        <w:pStyle w:val="19"/>
        <w:spacing w:line="360" w:lineRule="auto"/>
        <w:jc w:val="center"/>
        <w:rPr>
          <w:b/>
          <w:bCs/>
          <w:sz w:val="40"/>
          <w:szCs w:val="40"/>
          <w:highlight w:val="none"/>
        </w:rPr>
      </w:pPr>
      <w:r>
        <w:rPr>
          <w:rFonts w:hint="eastAsia"/>
          <w:b/>
          <w:bCs/>
          <w:sz w:val="40"/>
          <w:szCs w:val="40"/>
          <w:highlight w:val="none"/>
        </w:rPr>
        <w:t>目</w:t>
      </w:r>
      <w:r>
        <w:rPr>
          <w:b/>
          <w:bCs/>
          <w:sz w:val="40"/>
          <w:szCs w:val="40"/>
          <w:highlight w:val="none"/>
        </w:rPr>
        <w:t xml:space="preserve">   </w:t>
      </w:r>
      <w:r>
        <w:rPr>
          <w:rFonts w:hint="eastAsia"/>
          <w:b/>
          <w:bCs/>
          <w:sz w:val="40"/>
          <w:szCs w:val="40"/>
          <w:highlight w:val="none"/>
        </w:rPr>
        <w:t>录</w:t>
      </w:r>
    </w:p>
    <w:p>
      <w:pPr>
        <w:pStyle w:val="34"/>
        <w:tabs>
          <w:tab w:val="right" w:leader="dot" w:pos="9276"/>
        </w:tabs>
        <w:spacing w:line="360" w:lineRule="auto"/>
        <w:rPr>
          <w:sz w:val="24"/>
          <w:szCs w:val="22"/>
          <w:highlight w:val="none"/>
        </w:rPr>
      </w:pPr>
      <w:r>
        <w:rPr>
          <w:rFonts w:ascii="宋体"/>
          <w:bCs/>
          <w:highlight w:val="none"/>
        </w:rPr>
        <w:fldChar w:fldCharType="begin"/>
      </w:r>
      <w:r>
        <w:rPr>
          <w:rFonts w:ascii="宋体"/>
          <w:bCs/>
          <w:highlight w:val="none"/>
        </w:rPr>
        <w:instrText xml:space="preserve">TOC \o "1-3" \h \u </w:instrText>
      </w:r>
      <w:r>
        <w:rPr>
          <w:rFonts w:ascii="宋体"/>
          <w:bCs/>
          <w:highlight w:val="none"/>
        </w:rPr>
        <w:fldChar w:fldCharType="separate"/>
      </w:r>
      <w:r>
        <w:rPr>
          <w:highlight w:val="none"/>
        </w:rPr>
        <w:fldChar w:fldCharType="begin"/>
      </w:r>
      <w:r>
        <w:rPr>
          <w:highlight w:val="none"/>
        </w:rPr>
        <w:instrText xml:space="preserve"> HYPERLINK \l "_Toc15040" </w:instrText>
      </w:r>
      <w:r>
        <w:rPr>
          <w:highlight w:val="none"/>
        </w:rPr>
        <w:fldChar w:fldCharType="separate"/>
      </w:r>
      <w:r>
        <w:rPr>
          <w:rFonts w:hint="eastAsia" w:ascii="宋体" w:hAnsi="宋体"/>
          <w:sz w:val="24"/>
          <w:szCs w:val="22"/>
          <w:highlight w:val="none"/>
        </w:rPr>
        <w:t>第一部分</w:t>
      </w:r>
      <w:r>
        <w:rPr>
          <w:rFonts w:ascii="宋体" w:hAnsi="宋体"/>
          <w:sz w:val="24"/>
          <w:szCs w:val="22"/>
          <w:highlight w:val="none"/>
        </w:rPr>
        <w:t xml:space="preserve"> </w:t>
      </w:r>
      <w:r>
        <w:rPr>
          <w:rFonts w:hint="eastAsia" w:ascii="宋体" w:hAnsi="宋体"/>
          <w:sz w:val="24"/>
          <w:szCs w:val="22"/>
          <w:highlight w:val="none"/>
        </w:rPr>
        <w:t>招标公告</w:t>
      </w:r>
      <w:r>
        <w:rPr>
          <w:sz w:val="24"/>
          <w:szCs w:val="22"/>
          <w:highlight w:val="none"/>
        </w:rPr>
        <w:tab/>
      </w:r>
      <w:r>
        <w:rPr>
          <w:sz w:val="24"/>
          <w:szCs w:val="22"/>
          <w:highlight w:val="none"/>
        </w:rPr>
        <w:fldChar w:fldCharType="begin"/>
      </w:r>
      <w:r>
        <w:rPr>
          <w:sz w:val="24"/>
          <w:szCs w:val="22"/>
          <w:highlight w:val="none"/>
        </w:rPr>
        <w:instrText xml:space="preserve"> PAGEREF _Toc15040 </w:instrText>
      </w:r>
      <w:r>
        <w:rPr>
          <w:sz w:val="24"/>
          <w:szCs w:val="22"/>
          <w:highlight w:val="none"/>
        </w:rPr>
        <w:fldChar w:fldCharType="separate"/>
      </w:r>
      <w:r>
        <w:rPr>
          <w:sz w:val="24"/>
          <w:szCs w:val="22"/>
          <w:highlight w:val="none"/>
        </w:rPr>
        <w:t>2</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"_Toc15243" </w:instrText>
      </w:r>
      <w:r>
        <w:rPr>
          <w:highlight w:val="none"/>
        </w:rPr>
        <w:fldChar w:fldCharType="separate"/>
      </w:r>
      <w:r>
        <w:rPr>
          <w:rFonts w:hint="eastAsia" w:ascii="宋体" w:hAnsi="宋体"/>
          <w:sz w:val="24"/>
          <w:szCs w:val="22"/>
          <w:highlight w:val="none"/>
        </w:rPr>
        <w:t>第二部分</w:t>
      </w:r>
      <w:r>
        <w:rPr>
          <w:rFonts w:ascii="宋体" w:hAnsi="宋体"/>
          <w:sz w:val="24"/>
          <w:szCs w:val="22"/>
          <w:highlight w:val="none"/>
        </w:rPr>
        <w:t xml:space="preserve"> </w:t>
      </w:r>
      <w:r>
        <w:rPr>
          <w:rFonts w:hint="eastAsia" w:ascii="宋体" w:hAnsi="宋体"/>
          <w:sz w:val="24"/>
          <w:szCs w:val="22"/>
          <w:highlight w:val="none"/>
        </w:rPr>
        <w:t>投标人须知</w:t>
      </w:r>
      <w:r>
        <w:rPr>
          <w:sz w:val="24"/>
          <w:szCs w:val="22"/>
          <w:highlight w:val="none"/>
        </w:rPr>
        <w:tab/>
      </w:r>
      <w:r>
        <w:rPr>
          <w:sz w:val="24"/>
          <w:szCs w:val="22"/>
          <w:highlight w:val="none"/>
        </w:rPr>
        <w:fldChar w:fldCharType="begin"/>
      </w:r>
      <w:r>
        <w:rPr>
          <w:sz w:val="24"/>
          <w:szCs w:val="22"/>
          <w:highlight w:val="none"/>
        </w:rPr>
        <w:instrText xml:space="preserve"> PAGEREF _Toc15243 </w:instrText>
      </w:r>
      <w:r>
        <w:rPr>
          <w:sz w:val="24"/>
          <w:szCs w:val="22"/>
          <w:highlight w:val="none"/>
        </w:rPr>
        <w:fldChar w:fldCharType="separate"/>
      </w:r>
      <w:r>
        <w:rPr>
          <w:sz w:val="24"/>
          <w:szCs w:val="22"/>
          <w:highlight w:val="none"/>
        </w:rPr>
        <w:t>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"_Toc1284" </w:instrText>
      </w:r>
      <w:r>
        <w:rPr>
          <w:highlight w:val="none"/>
        </w:rPr>
        <w:fldChar w:fldCharType="separate"/>
      </w:r>
      <w:r>
        <w:rPr>
          <w:rFonts w:hint="eastAsia"/>
          <w:sz w:val="24"/>
          <w:szCs w:val="22"/>
          <w:highlight w:val="none"/>
        </w:rPr>
        <w:t>投标人须知前附表</w:t>
      </w:r>
      <w:r>
        <w:rPr>
          <w:sz w:val="24"/>
          <w:szCs w:val="22"/>
          <w:highlight w:val="none"/>
        </w:rPr>
        <w:tab/>
      </w:r>
      <w:r>
        <w:rPr>
          <w:sz w:val="24"/>
          <w:szCs w:val="22"/>
          <w:highlight w:val="none"/>
        </w:rPr>
        <w:fldChar w:fldCharType="begin"/>
      </w:r>
      <w:r>
        <w:rPr>
          <w:sz w:val="24"/>
          <w:szCs w:val="22"/>
          <w:highlight w:val="none"/>
        </w:rPr>
        <w:instrText xml:space="preserve"> PAGEREF _Toc1284 </w:instrText>
      </w:r>
      <w:r>
        <w:rPr>
          <w:sz w:val="24"/>
          <w:szCs w:val="22"/>
          <w:highlight w:val="none"/>
        </w:rPr>
        <w:fldChar w:fldCharType="separate"/>
      </w:r>
      <w:r>
        <w:rPr>
          <w:sz w:val="24"/>
          <w:szCs w:val="22"/>
          <w:highlight w:val="none"/>
        </w:rPr>
        <w:t>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"_Toc16191" </w:instrText>
      </w:r>
      <w:r>
        <w:rPr>
          <w:highlight w:val="none"/>
        </w:rPr>
        <w:fldChar w:fldCharType="separate"/>
      </w:r>
      <w:r>
        <w:rPr>
          <w:rFonts w:hint="eastAsia" w:ascii="宋体" w:hAnsi="宋体"/>
          <w:sz w:val="24"/>
          <w:szCs w:val="22"/>
          <w:highlight w:val="none"/>
        </w:rPr>
        <w:t>一、说明</w:t>
      </w:r>
      <w:r>
        <w:rPr>
          <w:sz w:val="24"/>
          <w:szCs w:val="22"/>
          <w:highlight w:val="none"/>
        </w:rPr>
        <w:tab/>
      </w:r>
      <w:r>
        <w:rPr>
          <w:sz w:val="24"/>
          <w:szCs w:val="22"/>
          <w:highlight w:val="none"/>
        </w:rPr>
        <w:fldChar w:fldCharType="begin"/>
      </w:r>
      <w:r>
        <w:rPr>
          <w:sz w:val="24"/>
          <w:szCs w:val="22"/>
          <w:highlight w:val="none"/>
        </w:rPr>
        <w:instrText xml:space="preserve"> PAGEREF _Toc16191 </w:instrText>
      </w:r>
      <w:r>
        <w:rPr>
          <w:sz w:val="24"/>
          <w:szCs w:val="22"/>
          <w:highlight w:val="none"/>
        </w:rPr>
        <w:fldChar w:fldCharType="separate"/>
      </w:r>
      <w:r>
        <w:rPr>
          <w:sz w:val="24"/>
          <w:szCs w:val="22"/>
          <w:highlight w:val="none"/>
        </w:rPr>
        <w:t>7</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"_Toc7019" </w:instrText>
      </w:r>
      <w:r>
        <w:rPr>
          <w:highlight w:val="none"/>
        </w:rPr>
        <w:fldChar w:fldCharType="separate"/>
      </w:r>
      <w:r>
        <w:rPr>
          <w:rFonts w:hint="eastAsia" w:ascii="宋体" w:hAnsi="宋体"/>
          <w:sz w:val="24"/>
          <w:szCs w:val="22"/>
          <w:highlight w:val="none"/>
        </w:rPr>
        <w:t>二、招标文件</w:t>
      </w:r>
      <w:r>
        <w:rPr>
          <w:sz w:val="24"/>
          <w:szCs w:val="22"/>
          <w:highlight w:val="none"/>
        </w:rPr>
        <w:tab/>
      </w:r>
      <w:r>
        <w:rPr>
          <w:sz w:val="24"/>
          <w:szCs w:val="22"/>
          <w:highlight w:val="none"/>
        </w:rPr>
        <w:fldChar w:fldCharType="begin"/>
      </w:r>
      <w:r>
        <w:rPr>
          <w:sz w:val="24"/>
          <w:szCs w:val="22"/>
          <w:highlight w:val="none"/>
        </w:rPr>
        <w:instrText xml:space="preserve"> PAGEREF _Toc7019 </w:instrText>
      </w:r>
      <w:r>
        <w:rPr>
          <w:sz w:val="24"/>
          <w:szCs w:val="22"/>
          <w:highlight w:val="none"/>
        </w:rPr>
        <w:fldChar w:fldCharType="separate"/>
      </w:r>
      <w:r>
        <w:rPr>
          <w:sz w:val="24"/>
          <w:szCs w:val="22"/>
          <w:highlight w:val="none"/>
        </w:rPr>
        <w:t>8</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"_Toc21443" </w:instrText>
      </w:r>
      <w:r>
        <w:rPr>
          <w:highlight w:val="none"/>
        </w:rPr>
        <w:fldChar w:fldCharType="separate"/>
      </w:r>
      <w:r>
        <w:rPr>
          <w:rFonts w:hint="eastAsia" w:ascii="宋体" w:hAnsi="宋体"/>
          <w:sz w:val="24"/>
          <w:szCs w:val="22"/>
          <w:highlight w:val="none"/>
        </w:rPr>
        <w:t>三、投标文件编制</w:t>
      </w:r>
      <w:r>
        <w:rPr>
          <w:sz w:val="24"/>
          <w:szCs w:val="22"/>
          <w:highlight w:val="none"/>
        </w:rPr>
        <w:tab/>
      </w:r>
      <w:r>
        <w:rPr>
          <w:sz w:val="24"/>
          <w:szCs w:val="22"/>
          <w:highlight w:val="none"/>
        </w:rPr>
        <w:fldChar w:fldCharType="begin"/>
      </w:r>
      <w:r>
        <w:rPr>
          <w:sz w:val="24"/>
          <w:szCs w:val="22"/>
          <w:highlight w:val="none"/>
        </w:rPr>
        <w:instrText xml:space="preserve"> PAGEREF _Toc21443 </w:instrText>
      </w:r>
      <w:r>
        <w:rPr>
          <w:sz w:val="24"/>
          <w:szCs w:val="22"/>
          <w:highlight w:val="none"/>
        </w:rPr>
        <w:fldChar w:fldCharType="separate"/>
      </w:r>
      <w:r>
        <w:rPr>
          <w:sz w:val="24"/>
          <w:szCs w:val="22"/>
          <w:highlight w:val="none"/>
        </w:rPr>
        <w:t>8</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"_Toc3684" </w:instrText>
      </w:r>
      <w:r>
        <w:rPr>
          <w:highlight w:val="none"/>
        </w:rPr>
        <w:fldChar w:fldCharType="separate"/>
      </w:r>
      <w:r>
        <w:rPr>
          <w:rFonts w:hint="eastAsia" w:ascii="宋体" w:hAnsi="宋体"/>
          <w:bCs/>
          <w:sz w:val="24"/>
          <w:szCs w:val="22"/>
          <w:highlight w:val="none"/>
        </w:rPr>
        <w:t>四、投标文件递交</w:t>
      </w:r>
      <w:r>
        <w:rPr>
          <w:sz w:val="24"/>
          <w:szCs w:val="22"/>
          <w:highlight w:val="none"/>
        </w:rPr>
        <w:tab/>
      </w:r>
      <w:r>
        <w:rPr>
          <w:sz w:val="24"/>
          <w:szCs w:val="22"/>
          <w:highlight w:val="none"/>
        </w:rPr>
        <w:fldChar w:fldCharType="begin"/>
      </w:r>
      <w:r>
        <w:rPr>
          <w:sz w:val="24"/>
          <w:szCs w:val="22"/>
          <w:highlight w:val="none"/>
        </w:rPr>
        <w:instrText xml:space="preserve"> PAGEREF _Toc3684 </w:instrText>
      </w:r>
      <w:r>
        <w:rPr>
          <w:sz w:val="24"/>
          <w:szCs w:val="22"/>
          <w:highlight w:val="none"/>
        </w:rPr>
        <w:fldChar w:fldCharType="separate"/>
      </w:r>
      <w:r>
        <w:rPr>
          <w:sz w:val="24"/>
          <w:szCs w:val="22"/>
          <w:highlight w:val="none"/>
        </w:rPr>
        <w:t>15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"_Toc142" </w:instrText>
      </w:r>
      <w:r>
        <w:rPr>
          <w:highlight w:val="none"/>
        </w:rPr>
        <w:fldChar w:fldCharType="separate"/>
      </w:r>
      <w:r>
        <w:rPr>
          <w:rFonts w:hint="eastAsia" w:ascii="宋体" w:hAnsi="宋体"/>
          <w:bCs/>
          <w:sz w:val="24"/>
          <w:szCs w:val="22"/>
          <w:highlight w:val="none"/>
        </w:rPr>
        <w:t>五、开标与评标</w:t>
      </w:r>
      <w:r>
        <w:rPr>
          <w:sz w:val="24"/>
          <w:szCs w:val="22"/>
          <w:highlight w:val="none"/>
        </w:rPr>
        <w:tab/>
      </w:r>
      <w:r>
        <w:rPr>
          <w:sz w:val="24"/>
          <w:szCs w:val="22"/>
          <w:highlight w:val="none"/>
        </w:rPr>
        <w:fldChar w:fldCharType="begin"/>
      </w:r>
      <w:r>
        <w:rPr>
          <w:sz w:val="24"/>
          <w:szCs w:val="22"/>
          <w:highlight w:val="none"/>
        </w:rPr>
        <w:instrText xml:space="preserve"> PAGEREF _Toc142 </w:instrText>
      </w:r>
      <w:r>
        <w:rPr>
          <w:sz w:val="24"/>
          <w:szCs w:val="22"/>
          <w:highlight w:val="none"/>
        </w:rPr>
        <w:fldChar w:fldCharType="separate"/>
      </w:r>
      <w:r>
        <w:rPr>
          <w:sz w:val="24"/>
          <w:szCs w:val="22"/>
          <w:highlight w:val="none"/>
        </w:rPr>
        <w:t>15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"_Toc7870" </w:instrText>
      </w:r>
      <w:r>
        <w:rPr>
          <w:highlight w:val="none"/>
        </w:rPr>
        <w:fldChar w:fldCharType="separate"/>
      </w:r>
      <w:r>
        <w:rPr>
          <w:rFonts w:hint="eastAsia" w:ascii="宋体" w:hAnsi="宋体"/>
          <w:bCs/>
          <w:sz w:val="24"/>
          <w:szCs w:val="22"/>
          <w:highlight w:val="none"/>
        </w:rPr>
        <w:t>六、合同签订</w:t>
      </w:r>
      <w:r>
        <w:rPr>
          <w:sz w:val="24"/>
          <w:szCs w:val="22"/>
          <w:highlight w:val="none"/>
        </w:rPr>
        <w:tab/>
      </w:r>
      <w:r>
        <w:rPr>
          <w:sz w:val="24"/>
          <w:szCs w:val="22"/>
          <w:highlight w:val="none"/>
        </w:rPr>
        <w:fldChar w:fldCharType="begin"/>
      </w:r>
      <w:r>
        <w:rPr>
          <w:sz w:val="24"/>
          <w:szCs w:val="22"/>
          <w:highlight w:val="none"/>
        </w:rPr>
        <w:instrText xml:space="preserve"> PAGEREF _Toc7870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"_Toc13878" </w:instrText>
      </w:r>
      <w:r>
        <w:rPr>
          <w:highlight w:val="none"/>
        </w:rPr>
        <w:fldChar w:fldCharType="separate"/>
      </w:r>
      <w:r>
        <w:rPr>
          <w:rFonts w:hint="eastAsia" w:ascii="宋体" w:hAnsi="宋体"/>
          <w:bCs/>
          <w:sz w:val="24"/>
          <w:szCs w:val="22"/>
          <w:highlight w:val="none"/>
        </w:rPr>
        <w:t>七、处罚、质疑</w:t>
      </w:r>
      <w:r>
        <w:rPr>
          <w:sz w:val="24"/>
          <w:szCs w:val="22"/>
          <w:highlight w:val="none"/>
        </w:rPr>
        <w:tab/>
      </w:r>
      <w:r>
        <w:rPr>
          <w:sz w:val="24"/>
          <w:szCs w:val="22"/>
          <w:highlight w:val="none"/>
        </w:rPr>
        <w:fldChar w:fldCharType="begin"/>
      </w:r>
      <w:r>
        <w:rPr>
          <w:sz w:val="24"/>
          <w:szCs w:val="22"/>
          <w:highlight w:val="none"/>
        </w:rPr>
        <w:instrText xml:space="preserve"> PAGEREF _Toc13878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"_Toc1876" </w:instrText>
      </w:r>
      <w:r>
        <w:rPr>
          <w:highlight w:val="none"/>
        </w:rPr>
        <w:fldChar w:fldCharType="separate"/>
      </w:r>
      <w:r>
        <w:rPr>
          <w:rFonts w:hint="eastAsia" w:ascii="宋体" w:hAnsi="宋体"/>
          <w:bCs/>
          <w:sz w:val="24"/>
          <w:szCs w:val="22"/>
          <w:highlight w:val="none"/>
        </w:rPr>
        <w:t>八、保密</w:t>
      </w:r>
      <w:r>
        <w:rPr>
          <w:sz w:val="24"/>
          <w:szCs w:val="22"/>
          <w:highlight w:val="none"/>
        </w:rPr>
        <w:tab/>
      </w:r>
      <w:r>
        <w:rPr>
          <w:sz w:val="24"/>
          <w:szCs w:val="22"/>
          <w:highlight w:val="none"/>
        </w:rPr>
        <w:fldChar w:fldCharType="begin"/>
      </w:r>
      <w:r>
        <w:rPr>
          <w:sz w:val="24"/>
          <w:szCs w:val="22"/>
          <w:highlight w:val="none"/>
        </w:rPr>
        <w:instrText xml:space="preserve"> PAGEREF _Toc1876 </w:instrText>
      </w:r>
      <w:r>
        <w:rPr>
          <w:sz w:val="24"/>
          <w:szCs w:val="22"/>
          <w:highlight w:val="none"/>
        </w:rPr>
        <w:fldChar w:fldCharType="separate"/>
      </w:r>
      <w:r>
        <w:rPr>
          <w:sz w:val="24"/>
          <w:szCs w:val="22"/>
          <w:highlight w:val="none"/>
        </w:rPr>
        <w:t>27</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"_Toc11927" </w:instrText>
      </w:r>
      <w:r>
        <w:rPr>
          <w:highlight w:val="none"/>
        </w:rPr>
        <w:fldChar w:fldCharType="separate"/>
      </w:r>
      <w:r>
        <w:rPr>
          <w:rFonts w:hint="eastAsia" w:ascii="宋体" w:hAnsi="宋体"/>
          <w:bCs/>
          <w:sz w:val="24"/>
          <w:szCs w:val="22"/>
          <w:highlight w:val="none"/>
        </w:rPr>
        <w:t>九、专利权</w:t>
      </w:r>
      <w:r>
        <w:rPr>
          <w:sz w:val="24"/>
          <w:szCs w:val="22"/>
          <w:highlight w:val="none"/>
        </w:rPr>
        <w:tab/>
      </w:r>
      <w:r>
        <w:rPr>
          <w:sz w:val="24"/>
          <w:szCs w:val="22"/>
          <w:highlight w:val="none"/>
        </w:rPr>
        <w:fldChar w:fldCharType="begin"/>
      </w:r>
      <w:r>
        <w:rPr>
          <w:sz w:val="24"/>
          <w:szCs w:val="22"/>
          <w:highlight w:val="none"/>
        </w:rPr>
        <w:instrText xml:space="preserve"> PAGEREF _Toc11927 </w:instrText>
      </w:r>
      <w:r>
        <w:rPr>
          <w:sz w:val="24"/>
          <w:szCs w:val="22"/>
          <w:highlight w:val="none"/>
        </w:rPr>
        <w:fldChar w:fldCharType="separate"/>
      </w:r>
      <w:r>
        <w:rPr>
          <w:sz w:val="24"/>
          <w:szCs w:val="22"/>
          <w:highlight w:val="none"/>
        </w:rPr>
        <w:t>27</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"_Toc1386" </w:instrText>
      </w:r>
      <w:r>
        <w:rPr>
          <w:highlight w:val="none"/>
        </w:rPr>
        <w:fldChar w:fldCharType="separate"/>
      </w:r>
      <w:r>
        <w:rPr>
          <w:rFonts w:hint="eastAsia" w:ascii="宋体" w:hAnsi="宋体"/>
          <w:bCs/>
          <w:sz w:val="24"/>
          <w:szCs w:val="22"/>
          <w:highlight w:val="none"/>
        </w:rPr>
        <w:t>十、解释权</w:t>
      </w:r>
      <w:r>
        <w:rPr>
          <w:sz w:val="24"/>
          <w:szCs w:val="22"/>
          <w:highlight w:val="none"/>
        </w:rPr>
        <w:tab/>
      </w:r>
      <w:r>
        <w:rPr>
          <w:sz w:val="24"/>
          <w:szCs w:val="22"/>
          <w:highlight w:val="none"/>
        </w:rPr>
        <w:fldChar w:fldCharType="begin"/>
      </w:r>
      <w:r>
        <w:rPr>
          <w:sz w:val="24"/>
          <w:szCs w:val="22"/>
          <w:highlight w:val="none"/>
        </w:rPr>
        <w:instrText xml:space="preserve"> PAGEREF _Toc1386 </w:instrText>
      </w:r>
      <w:r>
        <w:rPr>
          <w:sz w:val="24"/>
          <w:szCs w:val="22"/>
          <w:highlight w:val="none"/>
        </w:rPr>
        <w:fldChar w:fldCharType="separate"/>
      </w:r>
      <w:r>
        <w:rPr>
          <w:sz w:val="24"/>
          <w:szCs w:val="22"/>
          <w:highlight w:val="none"/>
        </w:rPr>
        <w:t>27</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"_Toc1488" </w:instrText>
      </w:r>
      <w:r>
        <w:rPr>
          <w:highlight w:val="none"/>
        </w:rPr>
        <w:fldChar w:fldCharType="separate"/>
      </w:r>
      <w:r>
        <w:rPr>
          <w:rFonts w:hint="eastAsia" w:ascii="宋体" w:hAnsi="宋体"/>
          <w:bCs/>
          <w:sz w:val="24"/>
          <w:szCs w:val="22"/>
          <w:highlight w:val="none"/>
        </w:rPr>
        <w:t>十一、其他</w:t>
      </w:r>
      <w:r>
        <w:rPr>
          <w:sz w:val="24"/>
          <w:szCs w:val="22"/>
          <w:highlight w:val="none"/>
        </w:rPr>
        <w:tab/>
      </w:r>
      <w:r>
        <w:rPr>
          <w:sz w:val="24"/>
          <w:szCs w:val="22"/>
          <w:highlight w:val="none"/>
        </w:rPr>
        <w:fldChar w:fldCharType="begin"/>
      </w:r>
      <w:r>
        <w:rPr>
          <w:sz w:val="24"/>
          <w:szCs w:val="22"/>
          <w:highlight w:val="none"/>
        </w:rPr>
        <w:instrText xml:space="preserve"> PAGEREF _Toc1488 </w:instrText>
      </w:r>
      <w:r>
        <w:rPr>
          <w:sz w:val="24"/>
          <w:szCs w:val="22"/>
          <w:highlight w:val="none"/>
        </w:rPr>
        <w:fldChar w:fldCharType="separate"/>
      </w:r>
      <w:r>
        <w:rPr>
          <w:sz w:val="24"/>
          <w:szCs w:val="22"/>
          <w:highlight w:val="none"/>
        </w:rPr>
        <w:t>27</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"_Toc21726" </w:instrText>
      </w:r>
      <w:r>
        <w:rPr>
          <w:highlight w:val="none"/>
        </w:rPr>
        <w:fldChar w:fldCharType="separate"/>
      </w:r>
      <w:r>
        <w:rPr>
          <w:rFonts w:hint="eastAsia" w:ascii="宋体" w:hAnsi="宋体"/>
          <w:sz w:val="24"/>
          <w:szCs w:val="22"/>
          <w:highlight w:val="none"/>
        </w:rPr>
        <w:t>第三部分</w:t>
      </w:r>
      <w:r>
        <w:rPr>
          <w:rFonts w:ascii="宋体" w:hAnsi="宋体"/>
          <w:sz w:val="24"/>
          <w:szCs w:val="22"/>
          <w:highlight w:val="none"/>
        </w:rPr>
        <w:t xml:space="preserve"> </w:t>
      </w:r>
      <w:r>
        <w:rPr>
          <w:rFonts w:hint="eastAsia" w:ascii="宋体" w:hAnsi="宋体"/>
          <w:sz w:val="24"/>
          <w:szCs w:val="22"/>
          <w:highlight w:val="none"/>
        </w:rPr>
        <w:t>招标要求</w:t>
      </w:r>
      <w:r>
        <w:rPr>
          <w:sz w:val="24"/>
          <w:szCs w:val="22"/>
          <w:highlight w:val="none"/>
        </w:rPr>
        <w:tab/>
      </w:r>
      <w:r>
        <w:rPr>
          <w:sz w:val="24"/>
          <w:szCs w:val="22"/>
          <w:highlight w:val="none"/>
        </w:rPr>
        <w:fldChar w:fldCharType="begin"/>
      </w:r>
      <w:r>
        <w:rPr>
          <w:sz w:val="24"/>
          <w:szCs w:val="22"/>
          <w:highlight w:val="none"/>
        </w:rPr>
        <w:instrText xml:space="preserve"> PAGEREF _Toc21726 </w:instrText>
      </w:r>
      <w:r>
        <w:rPr>
          <w:sz w:val="24"/>
          <w:szCs w:val="22"/>
          <w:highlight w:val="none"/>
        </w:rPr>
        <w:fldChar w:fldCharType="separate"/>
      </w:r>
      <w:r>
        <w:rPr>
          <w:sz w:val="24"/>
          <w:szCs w:val="22"/>
          <w:highlight w:val="none"/>
        </w:rPr>
        <w:t>28</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rFonts w:hint="eastAsia" w:eastAsia="宋体"/>
          <w:sz w:val="24"/>
          <w:szCs w:val="22"/>
          <w:highlight w:val="none"/>
          <w:lang w:val="en-US" w:eastAsia="zh-CN"/>
        </w:rPr>
      </w:pPr>
      <w:r>
        <w:rPr>
          <w:highlight w:val="none"/>
        </w:rPr>
        <w:fldChar w:fldCharType="begin"/>
      </w:r>
      <w:r>
        <w:rPr>
          <w:highlight w:val="none"/>
        </w:rPr>
        <w:instrText xml:space="preserve"> HYPERLINK \l "_Toc2031" </w:instrText>
      </w:r>
      <w:r>
        <w:rPr>
          <w:highlight w:val="none"/>
        </w:rPr>
        <w:fldChar w:fldCharType="separate"/>
      </w:r>
      <w:r>
        <w:rPr>
          <w:rFonts w:hint="eastAsia" w:ascii="宋体" w:hAnsi="宋体"/>
          <w:sz w:val="24"/>
          <w:szCs w:val="22"/>
          <w:highlight w:val="none"/>
        </w:rPr>
        <w:t>第四部分</w:t>
      </w:r>
      <w:r>
        <w:rPr>
          <w:rFonts w:ascii="宋体" w:hAnsi="宋体"/>
          <w:sz w:val="24"/>
          <w:szCs w:val="22"/>
          <w:highlight w:val="none"/>
        </w:rPr>
        <w:t xml:space="preserve"> </w:t>
      </w:r>
      <w:r>
        <w:rPr>
          <w:rFonts w:hint="eastAsia" w:ascii="宋体" w:hAnsi="宋体"/>
          <w:sz w:val="24"/>
          <w:szCs w:val="22"/>
          <w:highlight w:val="none"/>
        </w:rPr>
        <w:t>合同条款及格式</w:t>
      </w:r>
      <w:r>
        <w:rPr>
          <w:sz w:val="24"/>
          <w:szCs w:val="22"/>
          <w:highlight w:val="none"/>
        </w:rPr>
        <w:tab/>
      </w:r>
      <w:r>
        <w:rPr>
          <w:rFonts w:hint="eastAsia"/>
          <w:sz w:val="24"/>
          <w:szCs w:val="22"/>
          <w:highlight w:val="none"/>
          <w:lang w:val="en-US" w:eastAsia="zh-CN"/>
        </w:rPr>
        <w:t>4</w:t>
      </w:r>
      <w:r>
        <w:rPr>
          <w:sz w:val="24"/>
          <w:szCs w:val="22"/>
          <w:highlight w:val="none"/>
        </w:rPr>
        <w:fldChar w:fldCharType="end"/>
      </w:r>
      <w:r>
        <w:rPr>
          <w:rFonts w:hint="eastAsia"/>
          <w:sz w:val="24"/>
          <w:szCs w:val="22"/>
          <w:highlight w:val="none"/>
          <w:lang w:val="en-US" w:eastAsia="zh-CN"/>
        </w:rPr>
        <w:t>4</w:t>
      </w:r>
    </w:p>
    <w:p>
      <w:pPr>
        <w:pStyle w:val="34"/>
        <w:tabs>
          <w:tab w:val="right" w:leader="dot" w:pos="9276"/>
        </w:tabs>
        <w:spacing w:line="360" w:lineRule="auto"/>
        <w:rPr>
          <w:szCs w:val="20"/>
          <w:highlight w:val="none"/>
        </w:rPr>
      </w:pPr>
      <w:r>
        <w:rPr>
          <w:highlight w:val="none"/>
        </w:rPr>
        <w:fldChar w:fldCharType="begin"/>
      </w:r>
      <w:r>
        <w:rPr>
          <w:highlight w:val="none"/>
        </w:rPr>
        <w:instrText xml:space="preserve"> HYPERLINK \l "_Toc4921" </w:instrText>
      </w:r>
      <w:r>
        <w:rPr>
          <w:highlight w:val="none"/>
        </w:rPr>
        <w:fldChar w:fldCharType="separate"/>
      </w:r>
      <w:r>
        <w:rPr>
          <w:rFonts w:hint="eastAsia" w:ascii="宋体" w:hAnsi="宋体"/>
          <w:kern w:val="0"/>
          <w:sz w:val="24"/>
          <w:szCs w:val="22"/>
          <w:highlight w:val="none"/>
        </w:rPr>
        <w:t>第五部分</w:t>
      </w:r>
      <w:r>
        <w:rPr>
          <w:rFonts w:ascii="宋体" w:hAnsi="宋体"/>
          <w:kern w:val="0"/>
          <w:sz w:val="24"/>
          <w:szCs w:val="22"/>
          <w:highlight w:val="none"/>
        </w:rPr>
        <w:t xml:space="preserve"> </w:t>
      </w:r>
      <w:r>
        <w:rPr>
          <w:rFonts w:hint="eastAsia" w:ascii="宋体" w:hAnsi="宋体"/>
          <w:kern w:val="0"/>
          <w:sz w:val="24"/>
          <w:szCs w:val="22"/>
          <w:highlight w:val="none"/>
        </w:rPr>
        <w:t>附件</w:t>
      </w:r>
      <w:r>
        <w:rPr>
          <w:sz w:val="24"/>
          <w:szCs w:val="22"/>
          <w:highlight w:val="none"/>
        </w:rPr>
        <w:tab/>
      </w:r>
      <w:r>
        <w:rPr>
          <w:sz w:val="24"/>
          <w:szCs w:val="22"/>
          <w:highlight w:val="none"/>
        </w:rPr>
        <w:fldChar w:fldCharType="begin"/>
      </w:r>
      <w:r>
        <w:rPr>
          <w:sz w:val="24"/>
          <w:szCs w:val="22"/>
          <w:highlight w:val="none"/>
        </w:rPr>
        <w:instrText xml:space="preserve"> PAGEREF _Toc4921 </w:instrText>
      </w:r>
      <w:r>
        <w:rPr>
          <w:sz w:val="24"/>
          <w:szCs w:val="22"/>
          <w:highlight w:val="none"/>
        </w:rPr>
        <w:fldChar w:fldCharType="separate"/>
      </w:r>
      <w:r>
        <w:rPr>
          <w:sz w:val="24"/>
          <w:szCs w:val="22"/>
          <w:highlight w:val="none"/>
        </w:rPr>
        <w:t>47</w:t>
      </w:r>
      <w:r>
        <w:rPr>
          <w:sz w:val="24"/>
          <w:szCs w:val="22"/>
          <w:highlight w:val="none"/>
        </w:rPr>
        <w:fldChar w:fldCharType="end"/>
      </w:r>
      <w:r>
        <w:rPr>
          <w:sz w:val="24"/>
          <w:szCs w:val="22"/>
          <w:highlight w:val="none"/>
        </w:rPr>
        <w:fldChar w:fldCharType="end"/>
      </w:r>
    </w:p>
    <w:p>
      <w:pPr>
        <w:pStyle w:val="34"/>
        <w:tabs>
          <w:tab w:val="right" w:leader="dot" w:pos="9276"/>
        </w:tabs>
        <w:rPr>
          <w:szCs w:val="20"/>
          <w:highlight w:val="none"/>
        </w:rPr>
      </w:pPr>
    </w:p>
    <w:p>
      <w:pPr>
        <w:pStyle w:val="19"/>
        <w:spacing w:line="360" w:lineRule="auto"/>
        <w:jc w:val="center"/>
        <w:rPr>
          <w:rFonts w:ascii="宋体"/>
          <w:bCs/>
          <w:highlight w:val="none"/>
        </w:rPr>
      </w:pPr>
      <w:r>
        <w:rPr>
          <w:rFonts w:ascii="宋体"/>
          <w:bCs/>
          <w:highlight w:val="none"/>
        </w:rPr>
        <w:fldChar w:fldCharType="end"/>
      </w:r>
    </w:p>
    <w:p>
      <w:pPr>
        <w:pStyle w:val="19"/>
        <w:spacing w:line="360" w:lineRule="auto"/>
        <w:jc w:val="both"/>
        <w:rPr>
          <w:rFonts w:ascii="宋体"/>
          <w:b/>
          <w:sz w:val="36"/>
          <w:highlight w:val="none"/>
        </w:rPr>
      </w:pPr>
    </w:p>
    <w:p>
      <w:pPr>
        <w:pStyle w:val="20"/>
        <w:tabs>
          <w:tab w:val="left" w:pos="0"/>
        </w:tabs>
        <w:spacing w:line="440" w:lineRule="exact"/>
        <w:ind w:left="0" w:leftChars="0" w:firstLine="0" w:firstLineChars="0"/>
        <w:jc w:val="center"/>
        <w:outlineLvl w:val="0"/>
        <w:rPr>
          <w:rFonts w:hint="eastAsia" w:ascii="宋体" w:hAnsi="宋体"/>
          <w:b/>
          <w:sz w:val="36"/>
          <w:highlight w:val="none"/>
        </w:rPr>
      </w:pPr>
      <w:bookmarkStart w:id="0" w:name="_Toc15040"/>
      <w:r>
        <w:rPr>
          <w:rFonts w:hint="eastAsia" w:ascii="宋体" w:hAnsi="宋体"/>
          <w:b/>
          <w:sz w:val="36"/>
          <w:highlight w:val="none"/>
        </w:rPr>
        <w:br w:type="page"/>
      </w:r>
    </w:p>
    <w:p>
      <w:pPr>
        <w:pStyle w:val="20"/>
        <w:tabs>
          <w:tab w:val="left" w:pos="0"/>
        </w:tabs>
        <w:spacing w:line="440" w:lineRule="exact"/>
        <w:ind w:left="0" w:leftChars="0" w:firstLine="0" w:firstLineChars="0"/>
        <w:jc w:val="center"/>
        <w:outlineLvl w:val="0"/>
        <w:rPr>
          <w:rFonts w:hint="eastAsia" w:ascii="宋体" w:hAnsi="宋体"/>
          <w:b/>
          <w:sz w:val="36"/>
          <w:highlight w:val="none"/>
        </w:rPr>
      </w:pPr>
      <w:r>
        <w:rPr>
          <w:rFonts w:hint="eastAsia" w:ascii="宋体" w:hAnsi="宋体"/>
          <w:b/>
          <w:sz w:val="36"/>
          <w:highlight w:val="none"/>
        </w:rPr>
        <w:t>第一部分</w:t>
      </w:r>
      <w:r>
        <w:rPr>
          <w:rFonts w:hint="eastAsia" w:ascii="宋体" w:hAnsi="宋体"/>
          <w:b/>
          <w:sz w:val="36"/>
          <w:highlight w:val="none"/>
          <w:lang w:val="en-US" w:eastAsia="zh-CN"/>
        </w:rPr>
        <w:t xml:space="preserve">   </w:t>
      </w:r>
      <w:r>
        <w:rPr>
          <w:rFonts w:hint="eastAsia" w:ascii="宋体" w:hAnsi="宋体"/>
          <w:b/>
          <w:sz w:val="36"/>
          <w:highlight w:val="none"/>
        </w:rPr>
        <w:t>招标公告</w:t>
      </w:r>
      <w:bookmarkEnd w:id="0"/>
    </w:p>
    <w:p>
      <w:pPr>
        <w:pStyle w:val="20"/>
        <w:tabs>
          <w:tab w:val="left" w:pos="0"/>
        </w:tabs>
        <w:spacing w:line="440" w:lineRule="exact"/>
        <w:ind w:left="0" w:leftChars="0" w:firstLine="0" w:firstLineChars="0"/>
        <w:jc w:val="both"/>
        <w:outlineLvl w:val="0"/>
        <w:rPr>
          <w:rFonts w:hint="eastAsia" w:ascii="宋体" w:hAnsi="宋体"/>
          <w:b/>
          <w:color w:val="000000"/>
          <w:sz w:val="30"/>
          <w:szCs w:val="30"/>
          <w:highlight w:val="none"/>
        </w:rPr>
      </w:pPr>
    </w:p>
    <w:p>
      <w:pPr>
        <w:pStyle w:val="132"/>
        <w:keepNext w:val="0"/>
        <w:keepLines w:val="0"/>
        <w:pageBreakBefore w:val="0"/>
        <w:kinsoku/>
        <w:wordWrap/>
        <w:overflowPunct/>
        <w:topLinePunct w:val="0"/>
        <w:autoSpaceDE/>
        <w:bidi w:val="0"/>
        <w:adjustRightInd w:val="0"/>
        <w:snapToGrid w:val="0"/>
        <w:spacing w:line="360" w:lineRule="auto"/>
        <w:ind w:firstLine="0" w:firstLineChars="0"/>
        <w:rPr>
          <w:rFonts w:ascii="宋体" w:cs="宋体"/>
          <w:sz w:val="24"/>
          <w:highlight w:val="none"/>
        </w:rPr>
      </w:pPr>
      <w:r>
        <w:rPr>
          <w:rFonts w:ascii="宋体" w:hAnsi="宋体" w:cs="宋体"/>
          <w:b/>
          <w:sz w:val="24"/>
          <w:highlight w:val="none"/>
        </w:rPr>
        <w:t>1</w:t>
      </w:r>
      <w:r>
        <w:rPr>
          <w:rFonts w:hint="eastAsia" w:ascii="宋体" w:hAnsi="宋体" w:cs="宋体"/>
          <w:b/>
          <w:sz w:val="24"/>
          <w:highlight w:val="none"/>
        </w:rPr>
        <w:t>、</w:t>
      </w:r>
      <w:r>
        <w:rPr>
          <w:rFonts w:hint="eastAsia" w:ascii="宋体" w:hAnsi="宋体" w:cs="宋体"/>
          <w:b/>
          <w:sz w:val="24"/>
          <w:highlight w:val="none"/>
          <w:lang w:eastAsia="zh-CN"/>
        </w:rPr>
        <w:t>采购人</w:t>
      </w:r>
      <w:r>
        <w:rPr>
          <w:rFonts w:hint="eastAsia" w:ascii="宋体" w:hAnsi="宋体" w:cs="宋体"/>
          <w:b/>
          <w:sz w:val="24"/>
          <w:highlight w:val="none"/>
        </w:rPr>
        <w:t>名称：</w:t>
      </w:r>
      <w:r>
        <w:rPr>
          <w:rFonts w:hint="eastAsia" w:ascii="宋体" w:hAnsi="宋体" w:cs="宋体"/>
          <w:sz w:val="24"/>
          <w:highlight w:val="none"/>
        </w:rPr>
        <w:t>山东大学第二医院</w:t>
      </w:r>
    </w:p>
    <w:p>
      <w:pPr>
        <w:keepNext w:val="0"/>
        <w:keepLines w:val="0"/>
        <w:pageBreakBefore w:val="0"/>
        <w:kinsoku/>
        <w:wordWrap/>
        <w:overflowPunct/>
        <w:topLinePunct w:val="0"/>
        <w:autoSpaceDE/>
        <w:bidi w:val="0"/>
        <w:adjustRightInd w:val="0"/>
        <w:snapToGrid w:val="0"/>
        <w:spacing w:line="360" w:lineRule="auto"/>
        <w:ind w:firstLine="420" w:firstLineChars="175"/>
        <w:rPr>
          <w:rFonts w:ascii="宋体" w:cs="宋体"/>
          <w:sz w:val="24"/>
          <w:highlight w:val="none"/>
        </w:rPr>
      </w:pPr>
      <w:r>
        <w:rPr>
          <w:rFonts w:hint="eastAsia" w:ascii="宋体" w:hAnsi="宋体" w:cs="宋体"/>
          <w:sz w:val="24"/>
          <w:highlight w:val="none"/>
        </w:rPr>
        <w:t>地址：济南市天桥区北园路</w:t>
      </w:r>
      <w:r>
        <w:rPr>
          <w:rFonts w:ascii="宋体" w:hAnsi="宋体" w:cs="宋体"/>
          <w:sz w:val="24"/>
          <w:highlight w:val="none"/>
        </w:rPr>
        <w:t>247</w:t>
      </w:r>
      <w:r>
        <w:rPr>
          <w:rFonts w:hint="eastAsia" w:ascii="宋体" w:hAnsi="宋体" w:cs="宋体"/>
          <w:sz w:val="24"/>
          <w:highlight w:val="none"/>
        </w:rPr>
        <w:t>号</w:t>
      </w:r>
    </w:p>
    <w:p>
      <w:pPr>
        <w:keepNext w:val="0"/>
        <w:keepLines w:val="0"/>
        <w:pageBreakBefore w:val="0"/>
        <w:kinsoku/>
        <w:wordWrap/>
        <w:overflowPunct/>
        <w:topLinePunct w:val="0"/>
        <w:autoSpaceDE/>
        <w:bidi w:val="0"/>
        <w:adjustRightInd w:val="0"/>
        <w:snapToGrid w:val="0"/>
        <w:spacing w:line="360" w:lineRule="auto"/>
        <w:ind w:firstLine="420" w:firstLineChars="175"/>
        <w:rPr>
          <w:rFonts w:ascii="宋体" w:cs="宋体"/>
          <w:sz w:val="24"/>
          <w:highlight w:val="none"/>
        </w:rPr>
      </w:pPr>
      <w:r>
        <w:rPr>
          <w:rFonts w:hint="eastAsia" w:ascii="宋体" w:hAnsi="宋体" w:cs="宋体"/>
          <w:sz w:val="24"/>
          <w:highlight w:val="none"/>
        </w:rPr>
        <w:t>联系方式：</w:t>
      </w:r>
      <w:r>
        <w:rPr>
          <w:rFonts w:ascii="宋体" w:hAnsi="宋体" w:cs="宋体"/>
          <w:sz w:val="24"/>
          <w:highlight w:val="none"/>
        </w:rPr>
        <w:t>0531-85875076</w:t>
      </w:r>
    </w:p>
    <w:p>
      <w:pPr>
        <w:pStyle w:val="132"/>
        <w:keepNext w:val="0"/>
        <w:keepLines w:val="0"/>
        <w:pageBreakBefore w:val="0"/>
        <w:kinsoku/>
        <w:wordWrap/>
        <w:overflowPunct/>
        <w:topLinePunct w:val="0"/>
        <w:autoSpaceDE/>
        <w:bidi w:val="0"/>
        <w:adjustRightInd w:val="0"/>
        <w:snapToGrid w:val="0"/>
        <w:spacing w:line="360" w:lineRule="auto"/>
        <w:ind w:firstLine="0" w:firstLineChars="0"/>
        <w:rPr>
          <w:rFonts w:ascii="宋体" w:cs="宋体"/>
          <w:sz w:val="24"/>
          <w:highlight w:val="none"/>
        </w:rPr>
      </w:pPr>
      <w:r>
        <w:rPr>
          <w:rFonts w:ascii="宋体" w:hAnsi="宋体" w:cs="宋体"/>
          <w:b/>
          <w:sz w:val="24"/>
          <w:highlight w:val="none"/>
        </w:rPr>
        <w:t>2</w:t>
      </w:r>
      <w:r>
        <w:rPr>
          <w:rFonts w:hint="eastAsia" w:ascii="宋体" w:hAnsi="宋体" w:cs="宋体"/>
          <w:b/>
          <w:sz w:val="24"/>
          <w:highlight w:val="none"/>
        </w:rPr>
        <w:t>、</w:t>
      </w:r>
      <w:r>
        <w:rPr>
          <w:rFonts w:hint="eastAsia" w:ascii="宋体" w:hAnsi="宋体" w:cs="宋体"/>
          <w:b/>
          <w:sz w:val="24"/>
          <w:highlight w:val="none"/>
          <w:lang w:eastAsia="zh-CN"/>
        </w:rPr>
        <w:t>采购代理</w:t>
      </w:r>
      <w:r>
        <w:rPr>
          <w:rFonts w:hint="eastAsia" w:ascii="宋体" w:hAnsi="宋体" w:cs="宋体"/>
          <w:b/>
          <w:sz w:val="24"/>
          <w:highlight w:val="none"/>
        </w:rPr>
        <w:t>机构名称：</w:t>
      </w:r>
      <w:r>
        <w:rPr>
          <w:rFonts w:hint="eastAsia" w:ascii="宋体" w:hAnsi="宋体" w:cs="宋体"/>
          <w:sz w:val="24"/>
          <w:highlight w:val="none"/>
        </w:rPr>
        <w:t>山东省鲁成招标有限公司</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ascii="宋体" w:cs="宋体"/>
          <w:sz w:val="24"/>
          <w:highlight w:val="none"/>
        </w:rPr>
      </w:pPr>
      <w:r>
        <w:rPr>
          <w:rFonts w:hint="eastAsia" w:ascii="宋体" w:hAnsi="宋体" w:cs="宋体"/>
          <w:sz w:val="24"/>
          <w:highlight w:val="none"/>
        </w:rPr>
        <w:t>地址：济南市经十路</w:t>
      </w:r>
      <w:r>
        <w:rPr>
          <w:rFonts w:ascii="宋体" w:hAnsi="宋体" w:cs="宋体"/>
          <w:sz w:val="24"/>
          <w:highlight w:val="none"/>
        </w:rPr>
        <w:t>10567</w:t>
      </w:r>
      <w:r>
        <w:rPr>
          <w:rFonts w:hint="eastAsia" w:ascii="宋体" w:hAnsi="宋体" w:cs="宋体"/>
          <w:sz w:val="24"/>
          <w:highlight w:val="none"/>
        </w:rPr>
        <w:t>号成城大厦</w:t>
      </w:r>
      <w:r>
        <w:rPr>
          <w:rFonts w:ascii="宋体" w:hAnsi="宋体" w:cs="宋体"/>
          <w:sz w:val="24"/>
          <w:highlight w:val="none"/>
        </w:rPr>
        <w:t>A</w:t>
      </w:r>
      <w:r>
        <w:rPr>
          <w:rFonts w:hint="eastAsia" w:ascii="宋体" w:hAnsi="宋体" w:cs="宋体"/>
          <w:sz w:val="24"/>
          <w:highlight w:val="none"/>
        </w:rPr>
        <w:t>座</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ascii="宋体" w:hAnsi="宋体" w:cs="宋体"/>
          <w:sz w:val="24"/>
          <w:highlight w:val="none"/>
        </w:rPr>
      </w:pPr>
      <w:r>
        <w:rPr>
          <w:rFonts w:hint="eastAsia" w:ascii="宋体" w:hAnsi="宋体" w:cs="宋体"/>
          <w:sz w:val="24"/>
          <w:highlight w:val="none"/>
        </w:rPr>
        <w:t>联系方式：0531-83191865</w:t>
      </w:r>
      <w:r>
        <w:rPr>
          <w:rFonts w:hint="eastAsia" w:ascii="宋体" w:hAnsi="宋体" w:cs="宋体"/>
          <w:sz w:val="24"/>
          <w:highlight w:val="none"/>
          <w:lang w:val="en-US" w:eastAsia="zh-CN"/>
        </w:rPr>
        <w:t>/83191895</w:t>
      </w:r>
    </w:p>
    <w:p>
      <w:pPr>
        <w:keepNext w:val="0"/>
        <w:keepLines w:val="0"/>
        <w:pageBreakBefore w:val="0"/>
        <w:numPr>
          <w:ilvl w:val="0"/>
          <w:numId w:val="1"/>
        </w:numPr>
        <w:kinsoku/>
        <w:wordWrap/>
        <w:overflowPunct/>
        <w:topLinePunct w:val="0"/>
        <w:autoSpaceDE/>
        <w:bidi w:val="0"/>
        <w:adjustRightInd w:val="0"/>
        <w:snapToGrid w:val="0"/>
        <w:spacing w:line="360" w:lineRule="auto"/>
        <w:rPr>
          <w:rFonts w:hint="eastAsia" w:ascii="宋体" w:hAnsi="宋体" w:cs="宋体"/>
          <w:sz w:val="24"/>
          <w:highlight w:val="none"/>
          <w:lang w:eastAsia="zh-CN"/>
        </w:rPr>
      </w:pPr>
      <w:r>
        <w:rPr>
          <w:rFonts w:hint="eastAsia" w:ascii="宋体" w:hAnsi="宋体" w:cs="宋体"/>
          <w:b/>
          <w:sz w:val="24"/>
          <w:highlight w:val="none"/>
        </w:rPr>
        <w:t>项目名称：</w:t>
      </w:r>
      <w:r>
        <w:rPr>
          <w:rFonts w:hint="eastAsia" w:ascii="宋体" w:hAnsi="宋体" w:cs="宋体"/>
          <w:sz w:val="24"/>
          <w:highlight w:val="none"/>
          <w:lang w:eastAsia="zh-CN"/>
        </w:rPr>
        <w:t>山东大学第二医院实验类设备采购项目</w:t>
      </w:r>
    </w:p>
    <w:p>
      <w:pPr>
        <w:keepNext w:val="0"/>
        <w:keepLines w:val="0"/>
        <w:pageBreakBefore w:val="0"/>
        <w:numPr>
          <w:ilvl w:val="0"/>
          <w:numId w:val="0"/>
        </w:numPr>
        <w:kinsoku/>
        <w:wordWrap/>
        <w:overflowPunct/>
        <w:topLinePunct w:val="0"/>
        <w:autoSpaceDE/>
        <w:bidi w:val="0"/>
        <w:adjustRightInd w:val="0"/>
        <w:snapToGrid w:val="0"/>
        <w:spacing w:line="360" w:lineRule="auto"/>
        <w:rPr>
          <w:rFonts w:hint="eastAsia" w:ascii="宋体" w:hAnsi="宋体" w:cs="宋体"/>
          <w:sz w:val="24"/>
          <w:highlight w:val="none"/>
          <w:lang w:eastAsia="zh-CN"/>
        </w:rPr>
      </w:pPr>
      <w:r>
        <w:rPr>
          <w:rFonts w:ascii="宋体" w:hAnsi="宋体" w:cs="宋体"/>
          <w:b/>
          <w:sz w:val="24"/>
          <w:highlight w:val="none"/>
        </w:rPr>
        <w:t>4</w:t>
      </w:r>
      <w:r>
        <w:rPr>
          <w:rFonts w:hint="eastAsia" w:ascii="宋体" w:hAnsi="宋体" w:cs="宋体"/>
          <w:b/>
          <w:sz w:val="24"/>
          <w:highlight w:val="none"/>
        </w:rPr>
        <w:t>、招标编号：</w:t>
      </w:r>
      <w:r>
        <w:rPr>
          <w:rFonts w:hint="eastAsia" w:ascii="宋体" w:hAnsi="宋体" w:cs="宋体"/>
          <w:sz w:val="24"/>
          <w:highlight w:val="none"/>
          <w:lang w:eastAsia="zh-CN"/>
        </w:rPr>
        <w:t>0676-196012ZB018058</w:t>
      </w:r>
    </w:p>
    <w:p>
      <w:pPr>
        <w:keepNext w:val="0"/>
        <w:keepLines w:val="0"/>
        <w:pageBreakBefore w:val="0"/>
        <w:kinsoku/>
        <w:wordWrap/>
        <w:overflowPunct/>
        <w:topLinePunct w:val="0"/>
        <w:autoSpaceDE/>
        <w:bidi w:val="0"/>
        <w:adjustRightInd w:val="0"/>
        <w:snapToGrid w:val="0"/>
        <w:spacing w:line="360" w:lineRule="auto"/>
        <w:rPr>
          <w:rFonts w:ascii="宋体" w:cs="宋体"/>
          <w:sz w:val="24"/>
          <w:highlight w:val="none"/>
        </w:rPr>
      </w:pPr>
      <w:r>
        <w:rPr>
          <w:rFonts w:ascii="宋体" w:hAnsi="宋体" w:cs="宋体"/>
          <w:b/>
          <w:sz w:val="24"/>
          <w:highlight w:val="none"/>
        </w:rPr>
        <w:t>5</w:t>
      </w:r>
      <w:r>
        <w:rPr>
          <w:rFonts w:hint="eastAsia" w:ascii="宋体" w:hAnsi="宋体" w:cs="宋体"/>
          <w:b/>
          <w:sz w:val="24"/>
          <w:highlight w:val="none"/>
        </w:rPr>
        <w:t>、</w:t>
      </w:r>
      <w:r>
        <w:rPr>
          <w:rFonts w:hint="eastAsia" w:ascii="宋体" w:hAnsi="宋体" w:cs="宋体"/>
          <w:b/>
          <w:sz w:val="24"/>
          <w:highlight w:val="none"/>
          <w:lang w:eastAsia="zh-CN"/>
        </w:rPr>
        <w:t>采购项目分包情况</w:t>
      </w:r>
      <w:r>
        <w:rPr>
          <w:rFonts w:hint="eastAsia" w:ascii="宋体" w:hAnsi="宋体" w:cs="宋体"/>
          <w:b/>
          <w:sz w:val="24"/>
          <w:highlight w:val="none"/>
        </w:rPr>
        <w:t>：</w:t>
      </w:r>
      <w:r>
        <w:rPr>
          <w:rFonts w:hint="eastAsia" w:ascii="宋体" w:hAnsi="宋体" w:cs="宋体"/>
          <w:sz w:val="24"/>
          <w:highlight w:val="none"/>
        </w:rPr>
        <w:t>本次招标为</w:t>
      </w:r>
      <w:r>
        <w:rPr>
          <w:rFonts w:hint="eastAsia" w:ascii="宋体" w:hAnsi="宋体" w:cs="宋体"/>
          <w:sz w:val="24"/>
          <w:highlight w:val="none"/>
          <w:lang w:eastAsia="zh-CN"/>
        </w:rPr>
        <w:t>山东大学第二医院实验类设备采购项目</w:t>
      </w:r>
      <w:r>
        <w:rPr>
          <w:rFonts w:hint="eastAsia" w:ascii="宋体" w:hAnsi="宋体" w:cs="宋体"/>
          <w:sz w:val="24"/>
          <w:highlight w:val="none"/>
        </w:rPr>
        <w:t>，具体技术要求详见招标文件，共分</w:t>
      </w:r>
      <w:r>
        <w:rPr>
          <w:rFonts w:hint="eastAsia" w:ascii="宋体" w:hAnsi="宋体" w:cs="宋体"/>
          <w:sz w:val="24"/>
          <w:highlight w:val="none"/>
          <w:lang w:val="en-US" w:eastAsia="zh-CN"/>
        </w:rPr>
        <w:t>1</w:t>
      </w:r>
      <w:r>
        <w:rPr>
          <w:rFonts w:hint="eastAsia" w:ascii="宋体" w:hAnsi="宋体" w:cs="宋体"/>
          <w:sz w:val="24"/>
          <w:highlight w:val="none"/>
        </w:rPr>
        <w:t>个包，分包情况如下：</w:t>
      </w:r>
    </w:p>
    <w:tbl>
      <w:tblPr>
        <w:tblStyle w:val="49"/>
        <w:tblW w:w="8204" w:type="dxa"/>
        <w:jc w:val="center"/>
        <w:tblLayout w:type="fixed"/>
        <w:tblCellMar>
          <w:top w:w="0" w:type="dxa"/>
          <w:left w:w="15" w:type="dxa"/>
          <w:bottom w:w="0" w:type="dxa"/>
          <w:right w:w="15" w:type="dxa"/>
        </w:tblCellMar>
      </w:tblPr>
      <w:tblGrid>
        <w:gridCol w:w="1847"/>
        <w:gridCol w:w="1170"/>
        <w:gridCol w:w="1520"/>
        <w:gridCol w:w="1752"/>
        <w:gridCol w:w="1915"/>
      </w:tblGrid>
      <w:tr>
        <w:tblPrEx>
          <w:tblCellMar>
            <w:top w:w="0" w:type="dxa"/>
            <w:left w:w="15" w:type="dxa"/>
            <w:bottom w:w="0" w:type="dxa"/>
            <w:right w:w="15" w:type="dxa"/>
          </w:tblCellMar>
        </w:tblPrEx>
        <w:trPr>
          <w:trHeight w:val="388" w:hRule="atLeast"/>
          <w:jc w:val="center"/>
        </w:trPr>
        <w:tc>
          <w:tcPr>
            <w:tcW w:w="18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设备名称</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eastAsia="宋体"/>
                <w:color w:val="000000"/>
                <w:sz w:val="24"/>
                <w:highlight w:val="none"/>
                <w:lang w:eastAsia="zh-CN"/>
              </w:rPr>
            </w:pPr>
            <w:r>
              <w:rPr>
                <w:rFonts w:hint="eastAsia" w:ascii="宋体" w:hAnsi="宋体"/>
                <w:color w:val="000000"/>
                <w:sz w:val="24"/>
                <w:highlight w:val="none"/>
              </w:rPr>
              <w:t>数量</w:t>
            </w:r>
          </w:p>
        </w:tc>
        <w:tc>
          <w:tcPr>
            <w:tcW w:w="1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预算金额</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hAnsi="宋体"/>
                <w:color w:val="000000"/>
                <w:sz w:val="24"/>
                <w:highlight w:val="none"/>
              </w:rPr>
            </w:pPr>
            <w:r>
              <w:rPr>
                <w:rFonts w:hint="eastAsia" w:ascii="宋体" w:hAnsi="宋体"/>
                <w:color w:val="000000"/>
                <w:sz w:val="24"/>
                <w:highlight w:val="none"/>
              </w:rPr>
              <w:t>简要技术规格</w:t>
            </w:r>
          </w:p>
        </w:tc>
        <w:tc>
          <w:tcPr>
            <w:tcW w:w="1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eastAsia="宋体"/>
                <w:color w:val="000000"/>
                <w:sz w:val="24"/>
                <w:highlight w:val="none"/>
                <w:lang w:eastAsia="zh-CN"/>
              </w:rPr>
            </w:pPr>
            <w:r>
              <w:rPr>
                <w:rFonts w:hint="eastAsia" w:ascii="宋体" w:hAnsi="宋体"/>
                <w:color w:val="000000"/>
                <w:sz w:val="24"/>
                <w:highlight w:val="none"/>
                <w:lang w:eastAsia="zh-CN"/>
              </w:rPr>
              <w:t>是否可采进口</w:t>
            </w:r>
          </w:p>
        </w:tc>
      </w:tr>
      <w:tr>
        <w:tblPrEx>
          <w:tblCellMar>
            <w:top w:w="0" w:type="dxa"/>
            <w:left w:w="15" w:type="dxa"/>
            <w:bottom w:w="0" w:type="dxa"/>
            <w:right w:w="15" w:type="dxa"/>
          </w:tblCellMar>
        </w:tblPrEx>
        <w:trPr>
          <w:trHeight w:val="783" w:hRule="atLeast"/>
          <w:jc w:val="center"/>
        </w:trPr>
        <w:tc>
          <w:tcPr>
            <w:tcW w:w="18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default" w:ascii="宋体" w:hAnsi="Times New Roman" w:cs="Times New Roman"/>
                <w:color w:val="000000"/>
                <w:sz w:val="24"/>
                <w:highlight w:val="none"/>
                <w:lang w:val="en-US" w:eastAsia="zh-CN"/>
              </w:rPr>
            </w:pPr>
            <w:r>
              <w:rPr>
                <w:rFonts w:hint="eastAsia" w:ascii="宋体" w:cs="Times New Roman"/>
                <w:color w:val="000000"/>
                <w:sz w:val="24"/>
                <w:highlight w:val="none"/>
                <w:lang w:val="en-US" w:eastAsia="zh-CN"/>
              </w:rPr>
              <w:t>实验类设备</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default" w:ascii="宋体" w:cs="Times New Roman"/>
                <w:color w:val="000000"/>
                <w:sz w:val="24"/>
                <w:highlight w:val="none"/>
                <w:lang w:val="en-US" w:eastAsia="zh-CN"/>
              </w:rPr>
            </w:pPr>
            <w:r>
              <w:rPr>
                <w:rFonts w:hint="eastAsia" w:ascii="宋体" w:cs="Times New Roman"/>
                <w:color w:val="000000"/>
                <w:sz w:val="24"/>
                <w:highlight w:val="none"/>
                <w:lang w:val="en-US" w:eastAsia="zh-CN"/>
              </w:rPr>
              <w:t>1批</w:t>
            </w:r>
          </w:p>
        </w:tc>
        <w:tc>
          <w:tcPr>
            <w:tcW w:w="1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95</w:t>
            </w:r>
            <w:r>
              <w:rPr>
                <w:rFonts w:hint="eastAsia" w:ascii="宋体" w:cs="宋体"/>
                <w:color w:val="000000"/>
                <w:kern w:val="0"/>
                <w:sz w:val="24"/>
                <w:highlight w:val="none"/>
                <w:lang w:val="en-US" w:eastAsia="zh-CN"/>
              </w:rPr>
              <w:t>万元</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color w:val="000000"/>
                <w:sz w:val="24"/>
                <w:highlight w:val="none"/>
              </w:rPr>
            </w:pPr>
            <w:r>
              <w:rPr>
                <w:rFonts w:hint="eastAsia" w:ascii="宋体" w:hAnsi="宋体"/>
                <w:color w:val="000000"/>
                <w:sz w:val="24"/>
                <w:highlight w:val="none"/>
              </w:rPr>
              <w:t>详见招标文件</w:t>
            </w:r>
          </w:p>
        </w:tc>
        <w:tc>
          <w:tcPr>
            <w:tcW w:w="1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color w:val="000000"/>
                <w:sz w:val="24"/>
                <w:highlight w:val="none"/>
                <w:lang w:eastAsia="zh-CN"/>
              </w:rPr>
            </w:pPr>
            <w:r>
              <w:rPr>
                <w:rFonts w:hint="eastAsia" w:ascii="宋体" w:hAnsi="宋体"/>
                <w:color w:val="000000"/>
                <w:sz w:val="24"/>
                <w:highlight w:val="none"/>
                <w:lang w:eastAsia="zh-CN"/>
              </w:rPr>
              <w:t>部分设备可采进口，详见招标要求</w:t>
            </w:r>
          </w:p>
        </w:tc>
      </w:tr>
    </w:tbl>
    <w:p>
      <w:pPr>
        <w:keepNext w:val="0"/>
        <w:keepLines w:val="0"/>
        <w:pageBreakBefore w:val="0"/>
        <w:shd w:val="solid" w:color="FFFFFF" w:fill="auto"/>
        <w:kinsoku/>
        <w:wordWrap/>
        <w:overflowPunct/>
        <w:topLinePunct w:val="0"/>
        <w:autoSpaceDE/>
        <w:autoSpaceDN w:val="0"/>
        <w:bidi w:val="0"/>
        <w:adjustRightInd w:val="0"/>
        <w:snapToGrid w:val="0"/>
        <w:spacing w:line="360" w:lineRule="auto"/>
        <w:jc w:val="left"/>
        <w:rPr>
          <w:rFonts w:ascii="Tahoma"/>
          <w:color w:val="393939"/>
          <w:sz w:val="24"/>
          <w:highlight w:val="none"/>
          <w:shd w:val="clear" w:color="auto" w:fill="FFFFFF"/>
        </w:rPr>
      </w:pPr>
      <w:r>
        <w:rPr>
          <w:rFonts w:ascii="Tahoma"/>
          <w:color w:val="393939"/>
          <w:sz w:val="24"/>
          <w:highlight w:val="none"/>
          <w:shd w:val="clear" w:color="auto" w:fill="FFFFFF"/>
        </w:rPr>
        <w:t xml:space="preserve"> </w:t>
      </w:r>
      <w:r>
        <w:rPr>
          <w:rFonts w:hint="eastAsia" w:ascii="宋体" w:hAnsi="宋体"/>
          <w:color w:val="000000"/>
          <w:sz w:val="24"/>
          <w:highlight w:val="none"/>
        </w:rPr>
        <w:t>投标企业对本项目进行报价必须整包响应。具体技术要求、数量等内容详见招标文件。</w:t>
      </w:r>
    </w:p>
    <w:p>
      <w:pPr>
        <w:keepNext w:val="0"/>
        <w:keepLines w:val="0"/>
        <w:pageBreakBefore w:val="0"/>
        <w:kinsoku/>
        <w:wordWrap/>
        <w:overflowPunct/>
        <w:topLinePunct w:val="0"/>
        <w:autoSpaceDE/>
        <w:bidi w:val="0"/>
        <w:adjustRightInd w:val="0"/>
        <w:snapToGrid w:val="0"/>
        <w:spacing w:line="360" w:lineRule="auto"/>
        <w:rPr>
          <w:rFonts w:hint="eastAsia" w:ascii="宋体" w:hAnsi="宋体" w:cs="宋体"/>
          <w:b/>
          <w:sz w:val="24"/>
          <w:highlight w:val="none"/>
        </w:rPr>
      </w:pPr>
      <w:r>
        <w:rPr>
          <w:rFonts w:hint="eastAsia" w:ascii="宋体" w:hAnsi="宋体" w:cs="宋体"/>
          <w:b/>
          <w:sz w:val="24"/>
          <w:highlight w:val="none"/>
          <w:lang w:val="en-US" w:eastAsia="zh-CN"/>
        </w:rPr>
        <w:t>6</w:t>
      </w:r>
      <w:r>
        <w:rPr>
          <w:rFonts w:hint="eastAsia" w:ascii="宋体" w:hAnsi="宋体" w:cs="宋体"/>
          <w:b/>
          <w:sz w:val="24"/>
          <w:highlight w:val="none"/>
        </w:rPr>
        <w:t>、投标人资格要求</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lang w:val="en-US" w:eastAsia="zh-CN"/>
        </w:rPr>
        <w:t xml:space="preserve"> 6</w:t>
      </w:r>
      <w:r>
        <w:rPr>
          <w:rFonts w:ascii="宋体" w:hAnsi="宋体"/>
          <w:color w:val="000000"/>
          <w:sz w:val="24"/>
          <w:highlight w:val="none"/>
        </w:rPr>
        <w:t>.1</w:t>
      </w:r>
      <w:r>
        <w:rPr>
          <w:rFonts w:hint="eastAsia" w:ascii="宋体" w:hAnsi="宋体"/>
          <w:color w:val="000000"/>
          <w:sz w:val="24"/>
          <w:highlight w:val="none"/>
        </w:rPr>
        <w:t>符合《中华人民共和国政府采购法》第二十二条规定；</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hint="eastAsia" w:ascii="宋体" w:hAnsi="宋体"/>
          <w:color w:val="000000"/>
          <w:sz w:val="24"/>
          <w:highlight w:val="none"/>
          <w:lang w:eastAsia="zh-CN"/>
        </w:rPr>
      </w:pPr>
      <w:r>
        <w:rPr>
          <w:rFonts w:ascii="宋体" w:hAnsi="宋体"/>
          <w:color w:val="000000"/>
          <w:sz w:val="24"/>
          <w:highlight w:val="none"/>
        </w:rPr>
        <w:t xml:space="preserve"> </w:t>
      </w:r>
      <w:r>
        <w:rPr>
          <w:rFonts w:hint="eastAsia" w:ascii="宋体" w:hAnsi="宋体"/>
          <w:color w:val="000000"/>
          <w:sz w:val="24"/>
          <w:highlight w:val="none"/>
          <w:lang w:val="en-US" w:eastAsia="zh-CN"/>
        </w:rPr>
        <w:t xml:space="preserve"> 6</w:t>
      </w:r>
      <w:r>
        <w:rPr>
          <w:rFonts w:ascii="宋体" w:hAnsi="宋体"/>
          <w:color w:val="000000"/>
          <w:sz w:val="24"/>
          <w:highlight w:val="none"/>
        </w:rPr>
        <w:t>.2</w:t>
      </w:r>
      <w:r>
        <w:rPr>
          <w:rFonts w:hint="eastAsia" w:ascii="宋体" w:hAnsi="宋体"/>
          <w:color w:val="000000"/>
          <w:sz w:val="24"/>
          <w:highlight w:val="none"/>
        </w:rPr>
        <w:t>投标人须是在中国境内注册具有独立法人资格的法人单位，营业执照经营范围包含本次采购内容；</w:t>
      </w:r>
    </w:p>
    <w:p>
      <w:pPr>
        <w:keepNext w:val="0"/>
        <w:keepLines w:val="0"/>
        <w:pageBreakBefore w:val="0"/>
        <w:kinsoku/>
        <w:wordWrap/>
        <w:overflowPunct/>
        <w:topLinePunct w:val="0"/>
        <w:autoSpaceDE/>
        <w:bidi w:val="0"/>
        <w:adjustRightInd w:val="0"/>
        <w:snapToGrid w:val="0"/>
        <w:spacing w:line="360" w:lineRule="auto"/>
        <w:rPr>
          <w:rFonts w:ascii="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lang w:val="en-US" w:eastAsia="zh-CN"/>
        </w:rPr>
        <w:t>6.</w:t>
      </w:r>
      <w:r>
        <w:rPr>
          <w:rFonts w:hint="eastAsia" w:ascii="宋体" w:hAnsi="宋体" w:cs="宋体"/>
          <w:sz w:val="24"/>
          <w:highlight w:val="none"/>
          <w:lang w:val="en-US" w:eastAsia="zh-CN"/>
        </w:rPr>
        <w:t>3</w:t>
      </w:r>
      <w:r>
        <w:rPr>
          <w:rFonts w:hint="eastAsia" w:ascii="宋体" w:hAnsi="宋体" w:eastAsia="宋体" w:cs="宋体"/>
          <w:sz w:val="24"/>
          <w:highlight w:val="none"/>
        </w:rPr>
        <w:t>必须为未列入“信用中国”、“中国政府采购网”失信被执行人、重大税收违法</w:t>
      </w:r>
      <w:r>
        <w:rPr>
          <w:rFonts w:hint="eastAsia" w:ascii="宋体" w:hAnsi="宋体" w:cs="宋体"/>
          <w:sz w:val="24"/>
          <w:highlight w:val="none"/>
        </w:rPr>
        <w:t>案件当事人名单、政府采购严重违法失信名单的企业；</w:t>
      </w:r>
    </w:p>
    <w:p>
      <w:pPr>
        <w:keepNext w:val="0"/>
        <w:keepLines w:val="0"/>
        <w:pageBreakBefore w:val="0"/>
        <w:kinsoku/>
        <w:wordWrap/>
        <w:overflowPunct/>
        <w:topLinePunct w:val="0"/>
        <w:autoSpaceDE/>
        <w:autoSpaceDN w:val="0"/>
        <w:bidi w:val="0"/>
        <w:adjustRightInd w:val="0"/>
        <w:snapToGrid w:val="0"/>
        <w:spacing w:line="360" w:lineRule="auto"/>
        <w:ind w:left="0" w:leftChars="0" w:firstLine="240" w:firstLineChars="100"/>
        <w:jc w:val="left"/>
        <w:textAlignment w:val="center"/>
        <w:rPr>
          <w:rFonts w:ascii="宋体"/>
          <w:color w:val="000000"/>
          <w:sz w:val="24"/>
          <w:highlight w:val="none"/>
        </w:rPr>
      </w:pPr>
      <w:r>
        <w:rPr>
          <w:rFonts w:hint="eastAsia" w:ascii="宋体" w:hAnsi="宋体" w:eastAsia="宋体" w:cs="宋体"/>
          <w:sz w:val="24"/>
          <w:highlight w:val="none"/>
          <w:lang w:val="en-US" w:eastAsia="zh-CN"/>
        </w:rPr>
        <w:t>6.</w:t>
      </w:r>
      <w:r>
        <w:rPr>
          <w:rFonts w:hint="eastAsia" w:ascii="宋体" w:hAnsi="宋体"/>
          <w:color w:val="000000"/>
          <w:sz w:val="24"/>
          <w:highlight w:val="none"/>
          <w:lang w:val="en-US" w:eastAsia="zh-CN"/>
        </w:rPr>
        <w:t>4</w:t>
      </w:r>
      <w:r>
        <w:rPr>
          <w:rFonts w:hint="eastAsia" w:ascii="宋体" w:hAnsi="宋体"/>
          <w:color w:val="000000"/>
          <w:sz w:val="24"/>
          <w:highlight w:val="none"/>
        </w:rPr>
        <w:t>单位负责人为同一人或者存在直接控股、管理关系的不同投标人，不得参加同一合同项下的采购活动；</w:t>
      </w:r>
    </w:p>
    <w:p>
      <w:pPr>
        <w:keepNext w:val="0"/>
        <w:keepLines w:val="0"/>
        <w:pageBreakBefore w:val="0"/>
        <w:kinsoku/>
        <w:wordWrap/>
        <w:overflowPunct/>
        <w:topLinePunct w:val="0"/>
        <w:autoSpaceDE/>
        <w:autoSpaceDN w:val="0"/>
        <w:bidi w:val="0"/>
        <w:adjustRightInd w:val="0"/>
        <w:snapToGrid w:val="0"/>
        <w:spacing w:line="360" w:lineRule="auto"/>
        <w:ind w:firstLine="240" w:firstLineChars="100"/>
        <w:jc w:val="left"/>
        <w:textAlignment w:val="center"/>
        <w:rPr>
          <w:rFonts w:ascii="宋体"/>
          <w:color w:val="000000"/>
          <w:sz w:val="24"/>
          <w:highlight w:val="none"/>
        </w:rPr>
      </w:pPr>
      <w:r>
        <w:rPr>
          <w:rFonts w:hint="eastAsia" w:ascii="宋体" w:hAnsi="宋体"/>
          <w:color w:val="000000"/>
          <w:sz w:val="24"/>
          <w:highlight w:val="none"/>
          <w:lang w:val="en-US" w:eastAsia="zh-CN"/>
        </w:rPr>
        <w:t>6</w:t>
      </w:r>
      <w:r>
        <w:rPr>
          <w:rFonts w:ascii="宋体" w:hAnsi="宋体"/>
          <w:color w:val="000000"/>
          <w:sz w:val="24"/>
          <w:highlight w:val="none"/>
        </w:rPr>
        <w:t>.</w:t>
      </w:r>
      <w:r>
        <w:rPr>
          <w:rFonts w:hint="eastAsia" w:ascii="宋体" w:hAnsi="宋体"/>
          <w:color w:val="000000"/>
          <w:sz w:val="24"/>
          <w:highlight w:val="none"/>
          <w:lang w:val="en-US" w:eastAsia="zh-CN"/>
        </w:rPr>
        <w:t>5</w:t>
      </w:r>
      <w:r>
        <w:rPr>
          <w:rFonts w:hint="eastAsia" w:ascii="宋体" w:hAnsi="宋体"/>
          <w:color w:val="000000"/>
          <w:sz w:val="24"/>
          <w:highlight w:val="none"/>
        </w:rPr>
        <w:t>本次采购不接受联合体报价；</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Tahoma"/>
          <w:color w:val="393939"/>
          <w:sz w:val="24"/>
          <w:highlight w:val="none"/>
          <w:shd w:val="clear" w:color="auto" w:fill="FFFFFF"/>
        </w:rPr>
      </w:pPr>
      <w:r>
        <w:rPr>
          <w:rFonts w:ascii="宋体" w:hAnsi="宋体"/>
          <w:color w:val="000000"/>
          <w:sz w:val="24"/>
          <w:highlight w:val="none"/>
        </w:rPr>
        <w:t xml:space="preserve"> </w:t>
      </w:r>
      <w:r>
        <w:rPr>
          <w:rFonts w:hint="eastAsia" w:ascii="宋体" w:hAnsi="宋体"/>
          <w:color w:val="000000"/>
          <w:sz w:val="24"/>
          <w:highlight w:val="none"/>
          <w:lang w:val="en-US" w:eastAsia="zh-CN"/>
        </w:rPr>
        <w:t xml:space="preserve"> 6.6</w:t>
      </w:r>
      <w:r>
        <w:rPr>
          <w:rFonts w:hint="eastAsia" w:ascii="宋体" w:hAnsi="宋体"/>
          <w:color w:val="000000"/>
          <w:sz w:val="24"/>
          <w:highlight w:val="none"/>
        </w:rPr>
        <w:t>未尽事宜，遵照国家相关规定执行。</w:t>
      </w:r>
      <w:r>
        <w:rPr>
          <w:rFonts w:ascii="宋体" w:hAnsi="宋体"/>
          <w:color w:val="000000"/>
          <w:sz w:val="24"/>
          <w:highlight w:val="none"/>
        </w:rPr>
        <w:t xml:space="preserve"> </w:t>
      </w:r>
    </w:p>
    <w:p>
      <w:pPr>
        <w:keepNext w:val="0"/>
        <w:keepLines w:val="0"/>
        <w:pageBreakBefore w:val="0"/>
        <w:kinsoku/>
        <w:wordWrap/>
        <w:overflowPunct/>
        <w:topLinePunct w:val="0"/>
        <w:autoSpaceDE/>
        <w:bidi w:val="0"/>
        <w:adjustRightInd w:val="0"/>
        <w:snapToGrid w:val="0"/>
        <w:spacing w:line="360" w:lineRule="auto"/>
        <w:rPr>
          <w:rFonts w:ascii="Tahoma"/>
          <w:b/>
          <w:color w:val="393939"/>
          <w:sz w:val="24"/>
          <w:highlight w:val="none"/>
          <w:shd w:val="clear" w:color="auto" w:fill="FFFFFF"/>
        </w:rPr>
      </w:pPr>
      <w:r>
        <w:rPr>
          <w:rFonts w:hint="eastAsia" w:ascii="Tahoma"/>
          <w:b/>
          <w:color w:val="393939"/>
          <w:sz w:val="24"/>
          <w:highlight w:val="none"/>
          <w:shd w:val="clear" w:color="auto" w:fill="FFFFFF"/>
          <w:lang w:val="en-US" w:eastAsia="zh-CN"/>
        </w:rPr>
        <w:t>7、</w:t>
      </w:r>
      <w:r>
        <w:rPr>
          <w:rFonts w:hint="eastAsia" w:ascii="宋体" w:hAnsi="宋体" w:cs="宋体"/>
          <w:b/>
          <w:sz w:val="24"/>
          <w:highlight w:val="none"/>
        </w:rPr>
        <w:t>获取招标文件的时间期限、地点、方式及招标文件售价：</w:t>
      </w:r>
    </w:p>
    <w:p>
      <w:pPr>
        <w:keepNext w:val="0"/>
        <w:keepLines w:val="0"/>
        <w:pageBreakBefore w:val="0"/>
        <w:kinsoku/>
        <w:wordWrap/>
        <w:overflowPunct/>
        <w:topLinePunct w:val="0"/>
        <w:autoSpaceDE/>
        <w:autoSpaceDN w:val="0"/>
        <w:bidi w:val="0"/>
        <w:adjustRightInd w:val="0"/>
        <w:snapToGrid w:val="0"/>
        <w:spacing w:line="360" w:lineRule="auto"/>
        <w:ind w:left="0" w:leftChars="-95" w:hanging="199" w:hangingChars="83"/>
        <w:jc w:val="left"/>
        <w:textAlignment w:val="center"/>
        <w:rPr>
          <w:rFonts w:hint="eastAsia" w:ascii="宋体" w:hAnsi="宋体"/>
          <w:color w:val="000000"/>
          <w:sz w:val="24"/>
          <w:highlight w:val="none"/>
        </w:rPr>
      </w:pPr>
      <w:r>
        <w:rPr>
          <w:rFonts w:ascii="Tahoma"/>
          <w:color w:val="393939"/>
          <w:sz w:val="24"/>
          <w:highlight w:val="none"/>
          <w:shd w:val="clear" w:color="auto" w:fill="FFFFFF"/>
        </w:rPr>
        <w:t xml:space="preserve"> </w:t>
      </w:r>
      <w:r>
        <w:rPr>
          <w:rFonts w:hint="eastAsia" w:ascii="Tahoma"/>
          <w:color w:val="393939"/>
          <w:sz w:val="24"/>
          <w:highlight w:val="none"/>
          <w:shd w:val="clear" w:color="auto" w:fill="FFFFFF"/>
          <w:lang w:val="en-US" w:eastAsia="zh-CN"/>
        </w:rPr>
        <w:t xml:space="preserve"> </w:t>
      </w:r>
      <w:r>
        <w:rPr>
          <w:rFonts w:hint="eastAsia" w:ascii="宋体" w:hAnsi="宋体" w:cs="宋体"/>
          <w:bCs/>
          <w:kern w:val="0"/>
          <w:sz w:val="24"/>
          <w:highlight w:val="none"/>
          <w:lang w:val="en-US" w:eastAsia="zh-CN"/>
        </w:rPr>
        <w:t xml:space="preserve">   7.1</w:t>
      </w:r>
      <w:r>
        <w:rPr>
          <w:rFonts w:hint="eastAsia" w:ascii="宋体" w:hAnsi="宋体"/>
          <w:sz w:val="24"/>
          <w:highlight w:val="none"/>
        </w:rPr>
        <w:t>凡有意参加投标者，请于</w:t>
      </w:r>
      <w:r>
        <w:rPr>
          <w:rFonts w:hint="eastAsia" w:ascii="宋体" w:hAnsi="宋体" w:cs="宋体"/>
          <w:b/>
          <w:bCs/>
          <w:sz w:val="24"/>
          <w:highlight w:val="none"/>
          <w:shd w:val="clear" w:color="auto" w:fill="FFFFFF"/>
        </w:rPr>
        <w:t>2019年</w:t>
      </w:r>
      <w:r>
        <w:rPr>
          <w:rFonts w:hint="eastAsia" w:ascii="宋体" w:hAnsi="宋体" w:cs="宋体"/>
          <w:b/>
          <w:bCs/>
          <w:sz w:val="24"/>
          <w:highlight w:val="none"/>
          <w:shd w:val="clear" w:color="auto" w:fill="FFFFFF"/>
          <w:lang w:val="en-US" w:eastAsia="zh-CN"/>
        </w:rPr>
        <w:t>12</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9</w:t>
      </w:r>
      <w:r>
        <w:rPr>
          <w:rFonts w:hint="eastAsia" w:ascii="宋体" w:hAnsi="宋体" w:cs="宋体"/>
          <w:b/>
          <w:bCs/>
          <w:sz w:val="24"/>
          <w:highlight w:val="none"/>
          <w:shd w:val="clear" w:color="auto" w:fill="FFFFFF"/>
        </w:rPr>
        <w:t>日-2019年</w:t>
      </w:r>
      <w:r>
        <w:rPr>
          <w:rFonts w:hint="eastAsia" w:ascii="宋体" w:hAnsi="宋体" w:cs="宋体"/>
          <w:b/>
          <w:bCs/>
          <w:sz w:val="24"/>
          <w:highlight w:val="none"/>
          <w:shd w:val="clear" w:color="auto" w:fill="FFFFFF"/>
          <w:lang w:val="en-US" w:eastAsia="zh-CN"/>
        </w:rPr>
        <w:t>12</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16</w:t>
      </w:r>
      <w:r>
        <w:rPr>
          <w:rFonts w:hint="eastAsia" w:ascii="宋体" w:hAnsi="宋体" w:cs="宋体"/>
          <w:b/>
          <w:bCs/>
          <w:sz w:val="24"/>
          <w:highlight w:val="none"/>
          <w:shd w:val="clear" w:color="auto" w:fill="FFFFFF"/>
        </w:rPr>
        <w:t>日</w:t>
      </w:r>
      <w:r>
        <w:rPr>
          <w:rFonts w:hint="eastAsia" w:ascii="宋体" w:hAnsi="宋体"/>
          <w:sz w:val="24"/>
          <w:highlight w:val="none"/>
        </w:rPr>
        <w:t>（不含节假日），每日上午</w:t>
      </w:r>
      <w:r>
        <w:rPr>
          <w:rFonts w:ascii="宋体" w:hAnsi="宋体"/>
          <w:sz w:val="24"/>
          <w:highlight w:val="none"/>
        </w:rPr>
        <w:t>9:00</w:t>
      </w:r>
      <w:r>
        <w:rPr>
          <w:rFonts w:hint="eastAsia" w:ascii="宋体" w:hAnsi="宋体"/>
          <w:sz w:val="24"/>
          <w:highlight w:val="none"/>
        </w:rPr>
        <w:t>时至</w:t>
      </w:r>
      <w:r>
        <w:rPr>
          <w:rFonts w:ascii="宋体" w:hAnsi="宋体"/>
          <w:sz w:val="24"/>
          <w:highlight w:val="none"/>
        </w:rPr>
        <w:t>11:30</w:t>
      </w:r>
      <w:r>
        <w:rPr>
          <w:rFonts w:hint="eastAsia" w:ascii="宋体" w:hAnsi="宋体"/>
          <w:sz w:val="24"/>
          <w:highlight w:val="none"/>
        </w:rPr>
        <w:t>时，下午</w:t>
      </w:r>
      <w:r>
        <w:rPr>
          <w:rFonts w:ascii="宋体" w:hAnsi="宋体"/>
          <w:sz w:val="24"/>
          <w:highlight w:val="none"/>
        </w:rPr>
        <w:t>13:30</w:t>
      </w:r>
      <w:r>
        <w:rPr>
          <w:rFonts w:hint="eastAsia" w:ascii="宋体" w:hAnsi="宋体"/>
          <w:sz w:val="24"/>
          <w:highlight w:val="none"/>
        </w:rPr>
        <w:t>时至</w:t>
      </w:r>
      <w:r>
        <w:rPr>
          <w:rFonts w:ascii="宋体" w:hAnsi="宋体"/>
          <w:sz w:val="24"/>
          <w:highlight w:val="none"/>
        </w:rPr>
        <w:t>16:30</w:t>
      </w:r>
      <w:r>
        <w:rPr>
          <w:rFonts w:hint="eastAsia" w:ascii="宋体" w:hAnsi="宋体"/>
          <w:sz w:val="24"/>
          <w:highlight w:val="none"/>
        </w:rPr>
        <w:t>时（北京时间，下同），持下列资料到山东省鲁成招标有限公司</w:t>
      </w:r>
      <w:r>
        <w:rPr>
          <w:rFonts w:hint="eastAsia" w:ascii="宋体" w:hAnsi="宋体"/>
          <w:sz w:val="24"/>
          <w:highlight w:val="none"/>
          <w:lang w:val="en-US" w:eastAsia="zh-CN"/>
        </w:rPr>
        <w:t>2407</w:t>
      </w:r>
      <w:r>
        <w:rPr>
          <w:rFonts w:hint="eastAsia" w:ascii="宋体" w:hAnsi="宋体"/>
          <w:sz w:val="24"/>
          <w:highlight w:val="none"/>
        </w:rPr>
        <w:t>室（济南市经十路</w:t>
      </w:r>
      <w:r>
        <w:rPr>
          <w:rFonts w:ascii="宋体" w:hAnsi="宋体"/>
          <w:sz w:val="24"/>
          <w:highlight w:val="none"/>
        </w:rPr>
        <w:t>10567</w:t>
      </w:r>
      <w:r>
        <w:rPr>
          <w:rFonts w:hint="eastAsia" w:ascii="宋体" w:hAnsi="宋体"/>
          <w:sz w:val="24"/>
          <w:highlight w:val="none"/>
        </w:rPr>
        <w:t>号成城大厦</w:t>
      </w:r>
      <w:r>
        <w:rPr>
          <w:rFonts w:ascii="宋体" w:hAnsi="宋体"/>
          <w:sz w:val="24"/>
          <w:highlight w:val="none"/>
        </w:rPr>
        <w:t>A</w:t>
      </w:r>
      <w:r>
        <w:rPr>
          <w:rFonts w:hint="eastAsia" w:ascii="宋体" w:hAnsi="宋体"/>
          <w:sz w:val="24"/>
          <w:highlight w:val="none"/>
        </w:rPr>
        <w:t>座）报名并购买招标文件（报名审核不代表资格审查的最终通过或合格）：</w:t>
      </w: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lang w:eastAsia="zh-CN"/>
        </w:rPr>
        <w:t>）</w:t>
      </w:r>
      <w:r>
        <w:rPr>
          <w:rFonts w:hint="eastAsia" w:ascii="宋体" w:hAnsi="宋体"/>
          <w:color w:val="000000"/>
          <w:sz w:val="24"/>
          <w:highlight w:val="none"/>
        </w:rPr>
        <w:t>法定代表人证书或法人授权委托书</w:t>
      </w:r>
      <w:r>
        <w:rPr>
          <w:rFonts w:ascii="宋体" w:hAnsi="宋体"/>
          <w:color w:val="000000"/>
          <w:sz w:val="24"/>
          <w:highlight w:val="none"/>
        </w:rPr>
        <w:t>(</w:t>
      </w:r>
      <w:r>
        <w:rPr>
          <w:rFonts w:hint="eastAsia" w:ascii="宋体" w:hAnsi="宋体"/>
          <w:color w:val="000000"/>
          <w:sz w:val="24"/>
          <w:highlight w:val="none"/>
        </w:rPr>
        <w:t>原件</w:t>
      </w:r>
      <w:r>
        <w:rPr>
          <w:rFonts w:ascii="宋体" w:hAnsi="宋体"/>
          <w:color w:val="000000"/>
          <w:sz w:val="24"/>
          <w:highlight w:val="none"/>
        </w:rPr>
        <w:t>)</w:t>
      </w:r>
      <w:r>
        <w:rPr>
          <w:rFonts w:hint="eastAsia" w:ascii="宋体" w:hAnsi="宋体"/>
          <w:color w:val="000000"/>
          <w:sz w:val="24"/>
          <w:highlight w:val="none"/>
        </w:rPr>
        <w:t>、法定代表人或授权代表身份证；</w:t>
      </w:r>
      <w:r>
        <w:rPr>
          <w:rFonts w:hint="eastAsia" w:ascii="宋体"/>
          <w:color w:val="000000"/>
          <w:sz w:val="24"/>
          <w:highlight w:val="none"/>
          <w:lang w:eastAsia="zh-CN"/>
        </w:rPr>
        <w:t>（</w:t>
      </w:r>
      <w:r>
        <w:rPr>
          <w:rFonts w:hint="eastAsia" w:ascii="宋体"/>
          <w:color w:val="000000"/>
          <w:sz w:val="24"/>
          <w:highlight w:val="none"/>
          <w:lang w:val="en-US" w:eastAsia="zh-CN"/>
        </w:rPr>
        <w:t>2</w:t>
      </w:r>
      <w:r>
        <w:rPr>
          <w:rFonts w:hint="eastAsia" w:ascii="宋体"/>
          <w:color w:val="000000"/>
          <w:sz w:val="24"/>
          <w:highlight w:val="none"/>
          <w:lang w:eastAsia="zh-CN"/>
        </w:rPr>
        <w:t>）</w:t>
      </w:r>
      <w:r>
        <w:rPr>
          <w:rFonts w:hint="eastAsia" w:ascii="宋体" w:hAnsi="宋体"/>
          <w:color w:val="000000"/>
          <w:sz w:val="24"/>
          <w:highlight w:val="none"/>
        </w:rPr>
        <w:t>企业法人《营业执照》副本；</w:t>
      </w:r>
      <w:r>
        <w:rPr>
          <w:rFonts w:hint="eastAsia" w:ascii="宋体"/>
          <w:color w:val="000000"/>
          <w:sz w:val="24"/>
          <w:highlight w:val="none"/>
          <w:lang w:eastAsia="zh-CN"/>
        </w:rPr>
        <w:t>（</w:t>
      </w:r>
      <w:r>
        <w:rPr>
          <w:rFonts w:hint="eastAsia" w:ascii="宋体"/>
          <w:color w:val="000000"/>
          <w:sz w:val="24"/>
          <w:highlight w:val="none"/>
          <w:lang w:val="en-US" w:eastAsia="zh-CN"/>
        </w:rPr>
        <w:t>3</w:t>
      </w:r>
      <w:r>
        <w:rPr>
          <w:rFonts w:hint="eastAsia" w:ascii="宋体"/>
          <w:color w:val="000000"/>
          <w:sz w:val="24"/>
          <w:highlight w:val="none"/>
          <w:lang w:eastAsia="zh-CN"/>
        </w:rPr>
        <w:t>）</w:t>
      </w:r>
      <w:r>
        <w:rPr>
          <w:rFonts w:hint="eastAsia" w:ascii="宋体" w:hAnsi="宋体"/>
          <w:color w:val="000000"/>
          <w:sz w:val="24"/>
          <w:highlight w:val="none"/>
        </w:rPr>
        <w:t>参加政府采购活动前三年内，在经营活动中没有重大违法记录相关证明资料；</w:t>
      </w:r>
    </w:p>
    <w:p>
      <w:pPr>
        <w:keepNext w:val="0"/>
        <w:keepLines w:val="0"/>
        <w:pageBreakBefore w:val="0"/>
        <w:kinsoku/>
        <w:wordWrap/>
        <w:overflowPunct/>
        <w:topLinePunct w:val="0"/>
        <w:autoSpaceDE/>
        <w:bidi w:val="0"/>
        <w:adjustRightInd w:val="0"/>
        <w:snapToGrid w:val="0"/>
        <w:spacing w:line="360" w:lineRule="auto"/>
        <w:ind w:firstLine="480" w:firstLineChars="200"/>
        <w:rPr>
          <w:rFonts w:ascii="宋体"/>
          <w:sz w:val="24"/>
          <w:highlight w:val="none"/>
        </w:rPr>
      </w:pPr>
      <w:r>
        <w:rPr>
          <w:rFonts w:hint="eastAsia" w:ascii="宋体"/>
          <w:sz w:val="24"/>
          <w:highlight w:val="none"/>
        </w:rPr>
        <w:t>根据财库〔</w:t>
      </w:r>
      <w:r>
        <w:rPr>
          <w:rFonts w:ascii="宋体"/>
          <w:sz w:val="24"/>
          <w:highlight w:val="none"/>
        </w:rPr>
        <w:t>2016</w:t>
      </w:r>
      <w:r>
        <w:rPr>
          <w:rFonts w:hint="eastAsia" w:ascii="宋体"/>
          <w:sz w:val="24"/>
          <w:highlight w:val="none"/>
        </w:rPr>
        <w:t>〕</w:t>
      </w:r>
      <w:r>
        <w:rPr>
          <w:rFonts w:ascii="宋体"/>
          <w:sz w:val="24"/>
          <w:highlight w:val="none"/>
        </w:rPr>
        <w:t>125</w:t>
      </w:r>
      <w:r>
        <w:rPr>
          <w:rFonts w:hint="eastAsia" w:ascii="宋体"/>
          <w:sz w:val="24"/>
          <w:highlight w:val="none"/>
        </w:rPr>
        <w:t>号文的规定，采购代理机构应当通过“信用中国”网站</w:t>
      </w:r>
      <w:r>
        <w:rPr>
          <w:rFonts w:ascii="宋体"/>
          <w:sz w:val="24"/>
          <w:highlight w:val="none"/>
        </w:rPr>
        <w:t>(www.creditchina.gov.cn)</w:t>
      </w:r>
      <w:r>
        <w:rPr>
          <w:rFonts w:hint="eastAsia" w:ascii="宋体"/>
          <w:sz w:val="24"/>
          <w:highlight w:val="none"/>
        </w:rPr>
        <w:t>、中国政府采购网</w:t>
      </w:r>
      <w:r>
        <w:rPr>
          <w:rFonts w:ascii="宋体"/>
          <w:sz w:val="24"/>
          <w:highlight w:val="none"/>
        </w:rPr>
        <w:t>(www.ccgp.gov.cn)</w:t>
      </w:r>
      <w:r>
        <w:rPr>
          <w:rFonts w:hint="eastAsia" w:ascii="宋体"/>
          <w:sz w:val="24"/>
          <w:highlight w:val="none"/>
        </w:rPr>
        <w:t>等渠道查询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pPr>
        <w:keepNext w:val="0"/>
        <w:keepLines w:val="0"/>
        <w:pageBreakBefore w:val="0"/>
        <w:kinsoku/>
        <w:wordWrap/>
        <w:overflowPunct/>
        <w:topLinePunct w:val="0"/>
        <w:autoSpaceDE/>
        <w:bidi w:val="0"/>
        <w:adjustRightInd w:val="0"/>
        <w:snapToGrid w:val="0"/>
        <w:spacing w:line="360" w:lineRule="auto"/>
        <w:ind w:firstLine="482" w:firstLineChars="200"/>
        <w:rPr>
          <w:rFonts w:ascii="宋体"/>
          <w:b/>
          <w:sz w:val="24"/>
          <w:highlight w:val="none"/>
        </w:rPr>
      </w:pPr>
      <w:r>
        <w:rPr>
          <w:rFonts w:hint="eastAsia" w:ascii="宋体" w:hAnsi="宋体"/>
          <w:b/>
          <w:sz w:val="24"/>
          <w:highlight w:val="none"/>
        </w:rPr>
        <w:t>上述资料需加盖公章复印件</w:t>
      </w:r>
      <w:r>
        <w:rPr>
          <w:rFonts w:ascii="宋体" w:hAnsi="宋体"/>
          <w:b/>
          <w:sz w:val="24"/>
          <w:highlight w:val="none"/>
        </w:rPr>
        <w:t>1</w:t>
      </w:r>
      <w:r>
        <w:rPr>
          <w:rFonts w:hint="eastAsia" w:ascii="宋体" w:hAnsi="宋体"/>
          <w:b/>
          <w:sz w:val="24"/>
          <w:highlight w:val="none"/>
        </w:rPr>
        <w:t>套，简单装订。</w:t>
      </w:r>
    </w:p>
    <w:p>
      <w:pPr>
        <w:keepNext w:val="0"/>
        <w:keepLines w:val="0"/>
        <w:pageBreakBefore w:val="0"/>
        <w:kinsoku/>
        <w:wordWrap/>
        <w:overflowPunct/>
        <w:topLinePunct w:val="0"/>
        <w:autoSpaceDE/>
        <w:autoSpaceDN w:val="0"/>
        <w:bidi w:val="0"/>
        <w:adjustRightInd w:val="0"/>
        <w:snapToGrid w:val="0"/>
        <w:spacing w:line="360" w:lineRule="auto"/>
        <w:ind w:firstLine="480"/>
        <w:jc w:val="left"/>
        <w:textAlignment w:val="center"/>
        <w:rPr>
          <w:rFonts w:hint="eastAsia" w:ascii="宋体" w:hAnsi="宋体"/>
          <w:color w:val="000000"/>
          <w:sz w:val="24"/>
          <w:highlight w:val="none"/>
        </w:rPr>
      </w:pPr>
      <w:r>
        <w:rPr>
          <w:rFonts w:hint="eastAsia" w:ascii="宋体" w:hAnsi="宋体" w:cs="宋体"/>
          <w:bCs/>
          <w:kern w:val="0"/>
          <w:sz w:val="24"/>
          <w:highlight w:val="none"/>
          <w:lang w:val="en-US" w:eastAsia="zh-CN"/>
        </w:rPr>
        <w:t>7</w:t>
      </w:r>
      <w:r>
        <w:rPr>
          <w:rFonts w:ascii="宋体" w:hAnsi="宋体" w:cs="宋体"/>
          <w:bCs/>
          <w:kern w:val="0"/>
          <w:sz w:val="24"/>
          <w:highlight w:val="none"/>
        </w:rPr>
        <w:t>.2</w:t>
      </w:r>
      <w:r>
        <w:rPr>
          <w:rFonts w:hint="eastAsia" w:ascii="宋体" w:hAnsi="宋体" w:cs="宋体"/>
          <w:sz w:val="24"/>
          <w:highlight w:val="none"/>
        </w:rPr>
        <w:t>招标文件</w:t>
      </w:r>
      <w:r>
        <w:rPr>
          <w:rFonts w:hint="eastAsia" w:ascii="宋体" w:hAnsi="宋体" w:cs="宋体"/>
          <w:bCs/>
          <w:kern w:val="0"/>
          <w:sz w:val="24"/>
          <w:highlight w:val="none"/>
        </w:rPr>
        <w:t>工本费：</w:t>
      </w:r>
      <w:r>
        <w:rPr>
          <w:rFonts w:ascii="宋体" w:hAnsi="宋体" w:cs="宋体"/>
          <w:bCs/>
          <w:kern w:val="0"/>
          <w:sz w:val="24"/>
          <w:highlight w:val="none"/>
        </w:rPr>
        <w:t>300</w:t>
      </w:r>
      <w:r>
        <w:rPr>
          <w:rFonts w:hint="eastAsia" w:ascii="宋体" w:hAnsi="宋体" w:cs="宋体"/>
          <w:bCs/>
          <w:kern w:val="0"/>
          <w:sz w:val="24"/>
          <w:highlight w:val="none"/>
        </w:rPr>
        <w:t>元</w:t>
      </w:r>
      <w:r>
        <w:rPr>
          <w:rFonts w:ascii="宋体" w:hAnsi="宋体" w:cs="宋体"/>
          <w:bCs/>
          <w:kern w:val="0"/>
          <w:sz w:val="24"/>
          <w:highlight w:val="none"/>
        </w:rPr>
        <w:t>/</w:t>
      </w:r>
      <w:r>
        <w:rPr>
          <w:rFonts w:hint="eastAsia" w:ascii="宋体" w:hAnsi="宋体" w:cs="宋体"/>
          <w:bCs/>
          <w:kern w:val="0"/>
          <w:sz w:val="24"/>
          <w:highlight w:val="none"/>
        </w:rPr>
        <w:t>本，</w:t>
      </w:r>
      <w:r>
        <w:rPr>
          <w:rFonts w:hint="eastAsia" w:ascii="宋体" w:hAnsi="宋体" w:cs="宋体"/>
          <w:sz w:val="24"/>
          <w:highlight w:val="none"/>
        </w:rPr>
        <w:t>招标文件</w:t>
      </w:r>
      <w:r>
        <w:rPr>
          <w:rFonts w:hint="eastAsia" w:ascii="宋体" w:hAnsi="宋体" w:cs="宋体"/>
          <w:bCs/>
          <w:kern w:val="0"/>
          <w:sz w:val="24"/>
          <w:highlight w:val="none"/>
        </w:rPr>
        <w:t>售后不退。</w:t>
      </w:r>
      <w:r>
        <w:rPr>
          <w:rFonts w:hint="eastAsia" w:ascii="宋体" w:hAnsi="宋体"/>
          <w:color w:val="000000"/>
          <w:sz w:val="24"/>
          <w:highlight w:val="none"/>
        </w:rPr>
        <w:t>汇款信息</w:t>
      </w:r>
      <w:r>
        <w:rPr>
          <w:rFonts w:ascii="宋体"/>
          <w:color w:val="000000"/>
          <w:sz w:val="24"/>
          <w:highlight w:val="none"/>
        </w:rPr>
        <w:t>-</w:t>
      </w:r>
      <w:r>
        <w:rPr>
          <w:rFonts w:hint="eastAsia" w:ascii="宋体" w:hAnsi="宋体"/>
          <w:color w:val="000000"/>
          <w:sz w:val="24"/>
          <w:highlight w:val="none"/>
        </w:rPr>
        <w:t>单位名称：山东省鲁成招标有限公司；开户行：中国农业银行济南分行；账号：</w:t>
      </w:r>
      <w:r>
        <w:rPr>
          <w:rFonts w:ascii="宋体" w:hAnsi="宋体"/>
          <w:color w:val="000000"/>
          <w:sz w:val="24"/>
          <w:highlight w:val="none"/>
        </w:rPr>
        <w:t>15110101040001136</w:t>
      </w:r>
      <w:r>
        <w:rPr>
          <w:rFonts w:hint="eastAsia" w:ascii="宋体" w:hAnsi="宋体"/>
          <w:color w:val="000000"/>
          <w:sz w:val="24"/>
          <w:highlight w:val="none"/>
        </w:rPr>
        <w:t>；行号：</w:t>
      </w:r>
      <w:r>
        <w:rPr>
          <w:rFonts w:ascii="宋体" w:hAnsi="宋体"/>
          <w:color w:val="000000"/>
          <w:sz w:val="24"/>
          <w:highlight w:val="none"/>
        </w:rPr>
        <w:t>103451011106</w:t>
      </w:r>
      <w:r>
        <w:rPr>
          <w:rFonts w:hint="eastAsia" w:ascii="宋体" w:hAnsi="宋体"/>
          <w:color w:val="000000"/>
          <w:sz w:val="24"/>
          <w:highlight w:val="none"/>
        </w:rPr>
        <w:t>；招标代理机构将不对邮寄过程中可能发生的延误或丢失负责。</w:t>
      </w:r>
    </w:p>
    <w:p>
      <w:pPr>
        <w:keepNext w:val="0"/>
        <w:keepLines w:val="0"/>
        <w:pageBreakBefore w:val="0"/>
        <w:kinsoku/>
        <w:wordWrap/>
        <w:overflowPunct/>
        <w:topLinePunct w:val="0"/>
        <w:autoSpaceDE/>
        <w:bidi w:val="0"/>
        <w:adjustRightInd w:val="0"/>
        <w:snapToGrid w:val="0"/>
        <w:spacing w:line="360" w:lineRule="auto"/>
        <w:rPr>
          <w:rFonts w:hint="eastAsia" w:ascii="宋体" w:hAnsi="宋体"/>
          <w:color w:val="000000"/>
          <w:sz w:val="24"/>
          <w:highlight w:val="none"/>
        </w:rPr>
      </w:pPr>
      <w:r>
        <w:rPr>
          <w:rFonts w:hint="eastAsia" w:ascii="宋体" w:hAnsi="宋体" w:cs="宋体"/>
          <w:b/>
          <w:sz w:val="24"/>
          <w:highlight w:val="none"/>
          <w:lang w:val="en-US" w:eastAsia="zh-CN"/>
        </w:rPr>
        <w:t>8</w:t>
      </w:r>
      <w:r>
        <w:rPr>
          <w:rFonts w:hint="eastAsia" w:ascii="宋体" w:hAnsi="宋体" w:cs="宋体"/>
          <w:b/>
          <w:sz w:val="24"/>
          <w:highlight w:val="none"/>
        </w:rPr>
        <w:t>、公告期限：</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9</w:t>
      </w:r>
      <w:r>
        <w:rPr>
          <w:rFonts w:hint="eastAsia" w:ascii="宋体" w:hAnsi="宋体"/>
          <w:sz w:val="24"/>
          <w:highlight w:val="none"/>
        </w:rPr>
        <w:t>日至</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16</w:t>
      </w:r>
      <w:r>
        <w:rPr>
          <w:rFonts w:hint="eastAsia" w:ascii="宋体" w:hAnsi="宋体"/>
          <w:sz w:val="24"/>
          <w:highlight w:val="none"/>
        </w:rPr>
        <w:t>日（不含节假日）</w:t>
      </w:r>
    </w:p>
    <w:p>
      <w:pPr>
        <w:keepNext w:val="0"/>
        <w:keepLines w:val="0"/>
        <w:pageBreakBefore w:val="0"/>
        <w:kinsoku/>
        <w:wordWrap/>
        <w:overflowPunct/>
        <w:topLinePunct w:val="0"/>
        <w:autoSpaceDE/>
        <w:bidi w:val="0"/>
        <w:adjustRightInd w:val="0"/>
        <w:snapToGrid w:val="0"/>
        <w:spacing w:line="360" w:lineRule="auto"/>
        <w:rPr>
          <w:rFonts w:ascii="宋体" w:cs="宋体"/>
          <w:b/>
          <w:sz w:val="24"/>
          <w:highlight w:val="none"/>
        </w:rPr>
      </w:pPr>
      <w:r>
        <w:rPr>
          <w:rFonts w:hint="eastAsia" w:ascii="宋体" w:hAnsi="宋体" w:cs="宋体"/>
          <w:b/>
          <w:sz w:val="24"/>
          <w:highlight w:val="none"/>
          <w:lang w:val="en-US" w:eastAsia="zh-CN"/>
        </w:rPr>
        <w:t>9</w:t>
      </w:r>
      <w:r>
        <w:rPr>
          <w:rFonts w:hint="eastAsia" w:ascii="宋体" w:hAnsi="宋体" w:cs="宋体"/>
          <w:b/>
          <w:sz w:val="24"/>
          <w:highlight w:val="none"/>
        </w:rPr>
        <w:t>、投标文件递交截止时间及</w:t>
      </w:r>
      <w:r>
        <w:rPr>
          <w:rFonts w:hint="eastAsia" w:ascii="宋体" w:hAnsi="宋体" w:cs="宋体"/>
          <w:b/>
          <w:sz w:val="24"/>
          <w:highlight w:val="none"/>
          <w:lang w:eastAsia="zh-CN"/>
        </w:rPr>
        <w:t>开标</w:t>
      </w:r>
      <w:r>
        <w:rPr>
          <w:rFonts w:hint="eastAsia" w:ascii="宋体" w:hAnsi="宋体" w:cs="宋体"/>
          <w:b/>
          <w:sz w:val="24"/>
          <w:highlight w:val="none"/>
        </w:rPr>
        <w:t>时间：</w:t>
      </w:r>
    </w:p>
    <w:p>
      <w:pPr>
        <w:keepNext w:val="0"/>
        <w:keepLines w:val="0"/>
        <w:pageBreakBefore w:val="0"/>
        <w:kinsoku/>
        <w:wordWrap/>
        <w:overflowPunct/>
        <w:topLinePunct w:val="0"/>
        <w:autoSpaceDE/>
        <w:bidi w:val="0"/>
        <w:adjustRightInd w:val="0"/>
        <w:snapToGrid w:val="0"/>
        <w:spacing w:line="360" w:lineRule="auto"/>
        <w:ind w:firstLine="480" w:firstLineChars="200"/>
        <w:rPr>
          <w:rFonts w:ascii="宋体" w:cs="宋体"/>
          <w:kern w:val="0"/>
          <w:sz w:val="24"/>
          <w:highlight w:val="none"/>
        </w:rPr>
      </w:pPr>
      <w:r>
        <w:rPr>
          <w:rFonts w:hint="eastAsia" w:ascii="宋体" w:hAnsi="宋体" w:cs="宋体"/>
          <w:kern w:val="0"/>
          <w:sz w:val="24"/>
          <w:highlight w:val="none"/>
          <w:lang w:val="en-US" w:eastAsia="zh-CN"/>
        </w:rPr>
        <w:t>9</w:t>
      </w:r>
      <w:r>
        <w:rPr>
          <w:rFonts w:ascii="宋体" w:hAnsi="宋体" w:cs="宋体"/>
          <w:kern w:val="0"/>
          <w:sz w:val="24"/>
          <w:highlight w:val="none"/>
        </w:rPr>
        <w:t>.1</w:t>
      </w:r>
      <w:r>
        <w:rPr>
          <w:rFonts w:hint="eastAsia" w:ascii="宋体" w:hAnsi="宋体" w:cs="宋体"/>
          <w:kern w:val="0"/>
          <w:sz w:val="24"/>
          <w:highlight w:val="none"/>
        </w:rPr>
        <w:t>投标文件递交截止时间及开标时间：</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31</w:t>
      </w:r>
      <w:r>
        <w:rPr>
          <w:rFonts w:hint="eastAsia" w:ascii="宋体" w:hAnsi="宋体"/>
          <w:sz w:val="24"/>
          <w:highlight w:val="none"/>
        </w:rPr>
        <w:t>日</w:t>
      </w:r>
      <w:r>
        <w:rPr>
          <w:rFonts w:ascii="宋体" w:hAnsi="宋体"/>
          <w:sz w:val="24"/>
          <w:highlight w:val="none"/>
        </w:rPr>
        <w:t>9:00</w:t>
      </w:r>
      <w:r>
        <w:rPr>
          <w:rFonts w:hint="eastAsia" w:ascii="宋体" w:hAnsi="宋体"/>
          <w:sz w:val="24"/>
          <w:highlight w:val="none"/>
        </w:rPr>
        <w:t>时（北京时间）；</w:t>
      </w:r>
    </w:p>
    <w:p>
      <w:pPr>
        <w:keepNext w:val="0"/>
        <w:keepLines w:val="0"/>
        <w:pageBreakBefore w:val="0"/>
        <w:kinsoku/>
        <w:wordWrap/>
        <w:overflowPunct/>
        <w:topLinePunct w:val="0"/>
        <w:autoSpaceDE/>
        <w:bidi w:val="0"/>
        <w:adjustRightInd w:val="0"/>
        <w:snapToGrid w:val="0"/>
        <w:spacing w:line="360" w:lineRule="auto"/>
        <w:rPr>
          <w:rFonts w:ascii="宋体" w:cs="宋体"/>
          <w:kern w:val="0"/>
          <w:sz w:val="24"/>
          <w:highlight w:val="none"/>
        </w:rPr>
      </w:pP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投标文件递交地点及开标地点：</w:t>
      </w:r>
      <w:bookmarkStart w:id="1" w:name="OLE_LINK2"/>
      <w:bookmarkStart w:id="2" w:name="OLE_LINK1"/>
      <w:r>
        <w:rPr>
          <w:rFonts w:hint="eastAsia" w:ascii="宋体" w:hAnsi="宋体"/>
          <w:color w:val="000000"/>
          <w:sz w:val="24"/>
          <w:highlight w:val="none"/>
        </w:rPr>
        <w:t>山东大学第二医院办公楼</w:t>
      </w:r>
      <w:r>
        <w:rPr>
          <w:rFonts w:hint="eastAsia" w:ascii="宋体" w:hAnsi="宋体"/>
          <w:color w:val="000000"/>
          <w:sz w:val="24"/>
          <w:highlight w:val="none"/>
          <w:lang w:eastAsia="zh-CN"/>
        </w:rPr>
        <w:t>五</w:t>
      </w:r>
      <w:r>
        <w:rPr>
          <w:rFonts w:hint="eastAsia" w:ascii="宋体" w:hAnsi="宋体"/>
          <w:color w:val="000000"/>
          <w:sz w:val="24"/>
          <w:highlight w:val="none"/>
        </w:rPr>
        <w:t>楼会议室（地址：济南市天桥区北园大街</w:t>
      </w:r>
      <w:r>
        <w:rPr>
          <w:rFonts w:ascii="宋体" w:hAnsi="宋体"/>
          <w:color w:val="000000"/>
          <w:sz w:val="24"/>
          <w:highlight w:val="none"/>
        </w:rPr>
        <w:t>247</w:t>
      </w:r>
      <w:r>
        <w:rPr>
          <w:rFonts w:hint="eastAsia" w:ascii="宋体" w:hAnsi="宋体"/>
          <w:color w:val="000000"/>
          <w:sz w:val="24"/>
          <w:highlight w:val="none"/>
        </w:rPr>
        <w:t>号）</w:t>
      </w:r>
      <w:bookmarkEnd w:id="1"/>
      <w:bookmarkEnd w:id="2"/>
      <w:r>
        <w:rPr>
          <w:rFonts w:hint="eastAsia" w:ascii="宋体" w:hAnsi="宋体"/>
          <w:color w:val="000000"/>
          <w:sz w:val="24"/>
          <w:highlight w:val="none"/>
          <w:lang w:eastAsia="zh-CN"/>
        </w:rPr>
        <w:t>（如需变更另行通知）</w:t>
      </w:r>
      <w:r>
        <w:rPr>
          <w:rFonts w:hint="eastAsia" w:ascii="宋体" w:hAnsi="宋体"/>
          <w:color w:val="000000"/>
          <w:sz w:val="24"/>
          <w:highlight w:val="none"/>
        </w:rPr>
        <w:t>；</w:t>
      </w:r>
    </w:p>
    <w:p>
      <w:pPr>
        <w:keepNext w:val="0"/>
        <w:keepLines w:val="0"/>
        <w:pageBreakBefore w:val="0"/>
        <w:widowControl/>
        <w:kinsoku/>
        <w:wordWrap/>
        <w:overflowPunct/>
        <w:topLinePunct w:val="0"/>
        <w:autoSpaceDE/>
        <w:bidi w:val="0"/>
        <w:adjustRightInd w:val="0"/>
        <w:snapToGrid w:val="0"/>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lang w:val="en-US" w:eastAsia="zh-CN"/>
        </w:rPr>
        <w:t>9</w:t>
      </w:r>
      <w:r>
        <w:rPr>
          <w:rFonts w:ascii="宋体" w:hAnsi="宋体" w:cs="宋体"/>
          <w:kern w:val="0"/>
          <w:sz w:val="24"/>
          <w:highlight w:val="none"/>
        </w:rPr>
        <w:t>.2</w:t>
      </w:r>
      <w:r>
        <w:rPr>
          <w:rFonts w:hint="eastAsia" w:ascii="宋体" w:hAnsi="宋体" w:cs="宋体"/>
          <w:kern w:val="0"/>
          <w:sz w:val="24"/>
          <w:highlight w:val="none"/>
        </w:rPr>
        <w:t>逾期送达的或者未送达指定地点的投标文件，</w:t>
      </w:r>
      <w:r>
        <w:rPr>
          <w:rFonts w:hint="eastAsia" w:ascii="宋体" w:hAnsi="宋体" w:cs="宋体"/>
          <w:kern w:val="0"/>
          <w:sz w:val="24"/>
          <w:highlight w:val="none"/>
          <w:lang w:eastAsia="zh-CN"/>
        </w:rPr>
        <w:t>采购人</w:t>
      </w:r>
      <w:r>
        <w:rPr>
          <w:rFonts w:hint="eastAsia" w:ascii="宋体" w:hAnsi="宋体" w:cs="宋体"/>
          <w:kern w:val="0"/>
          <w:sz w:val="24"/>
          <w:highlight w:val="none"/>
        </w:rPr>
        <w:t>不予受理。</w:t>
      </w:r>
    </w:p>
    <w:p>
      <w:pPr>
        <w:keepNext w:val="0"/>
        <w:keepLines w:val="0"/>
        <w:pageBreakBefore w:val="0"/>
        <w:widowControl/>
        <w:kinsoku/>
        <w:wordWrap/>
        <w:overflowPunct/>
        <w:topLinePunct w:val="0"/>
        <w:autoSpaceDE/>
        <w:bidi w:val="0"/>
        <w:adjustRightInd w:val="0"/>
        <w:snapToGrid w:val="0"/>
        <w:spacing w:line="360" w:lineRule="auto"/>
        <w:jc w:val="left"/>
        <w:rPr>
          <w:rFonts w:ascii="宋体" w:cs="宋体"/>
          <w:kern w:val="0"/>
          <w:sz w:val="18"/>
          <w:szCs w:val="18"/>
          <w:highlight w:val="none"/>
        </w:rPr>
      </w:pPr>
      <w:r>
        <w:rPr>
          <w:rFonts w:ascii="宋体" w:hAnsi="宋体" w:cs="宋体"/>
          <w:b/>
          <w:sz w:val="24"/>
          <w:highlight w:val="none"/>
        </w:rPr>
        <w:t>1</w:t>
      </w:r>
      <w:r>
        <w:rPr>
          <w:rFonts w:hint="eastAsia" w:ascii="宋体" w:hAnsi="宋体" w:cs="宋体"/>
          <w:b/>
          <w:sz w:val="24"/>
          <w:highlight w:val="none"/>
          <w:lang w:val="en-US" w:eastAsia="zh-CN"/>
        </w:rPr>
        <w:t>0</w:t>
      </w:r>
      <w:r>
        <w:rPr>
          <w:rFonts w:hint="eastAsia" w:ascii="宋体" w:hAnsi="宋体" w:cs="宋体"/>
          <w:b/>
          <w:sz w:val="24"/>
          <w:highlight w:val="none"/>
        </w:rPr>
        <w:t>、</w:t>
      </w:r>
      <w:r>
        <w:rPr>
          <w:rFonts w:hint="eastAsia" w:ascii="宋体" w:hAnsi="宋体" w:cs="宋体"/>
          <w:b/>
          <w:bCs/>
          <w:kern w:val="0"/>
          <w:sz w:val="24"/>
          <w:highlight w:val="none"/>
        </w:rPr>
        <w:t>发布公告的媒介</w:t>
      </w:r>
    </w:p>
    <w:p>
      <w:pPr>
        <w:keepNext w:val="0"/>
        <w:keepLines w:val="0"/>
        <w:pageBreakBefore w:val="0"/>
        <w:widowControl/>
        <w:kinsoku/>
        <w:wordWrap/>
        <w:overflowPunct/>
        <w:topLinePunct w:val="0"/>
        <w:autoSpaceDE/>
        <w:bidi w:val="0"/>
        <w:adjustRightInd w:val="0"/>
        <w:snapToGrid w:val="0"/>
        <w:spacing w:line="360" w:lineRule="auto"/>
        <w:ind w:firstLine="410"/>
        <w:jc w:val="left"/>
        <w:rPr>
          <w:rFonts w:hint="eastAsia" w:ascii="宋体" w:hAnsi="宋体" w:cs="宋体"/>
          <w:kern w:val="0"/>
          <w:sz w:val="24"/>
          <w:highlight w:val="none"/>
        </w:rPr>
      </w:pPr>
      <w:r>
        <w:rPr>
          <w:rFonts w:hint="eastAsia" w:ascii="宋体" w:hAnsi="宋体" w:cs="宋体"/>
          <w:kern w:val="0"/>
          <w:sz w:val="24"/>
          <w:highlight w:val="none"/>
        </w:rPr>
        <w:t>本次招标公告在中国政府采购网、中国招标投标公共服务平台、山东大学第二医院官方网站同时发布。</w:t>
      </w:r>
    </w:p>
    <w:p>
      <w:pPr>
        <w:keepNext w:val="0"/>
        <w:keepLines w:val="0"/>
        <w:pageBreakBefore w:val="0"/>
        <w:widowControl/>
        <w:kinsoku/>
        <w:wordWrap/>
        <w:overflowPunct/>
        <w:topLinePunct w:val="0"/>
        <w:autoSpaceDE/>
        <w:bidi w:val="0"/>
        <w:adjustRightInd w:val="0"/>
        <w:snapToGrid w:val="0"/>
        <w:spacing w:line="360" w:lineRule="auto"/>
        <w:jc w:val="left"/>
        <w:rPr>
          <w:rFonts w:ascii="宋体" w:hAnsi="宋体" w:cs="宋体"/>
          <w:b/>
          <w:bCs/>
          <w:kern w:val="0"/>
          <w:sz w:val="24"/>
          <w:highlight w:val="none"/>
        </w:rPr>
      </w:pPr>
      <w:r>
        <w:rPr>
          <w:rFonts w:ascii="宋体" w:hAnsi="宋体" w:cs="宋体"/>
          <w:b/>
          <w:bCs/>
          <w:kern w:val="0"/>
          <w:sz w:val="24"/>
          <w:highlight w:val="none"/>
        </w:rPr>
        <w:t>1</w:t>
      </w:r>
      <w:r>
        <w:rPr>
          <w:rFonts w:hint="eastAsia" w:ascii="宋体" w:hAnsi="宋体" w:cs="宋体"/>
          <w:b/>
          <w:bCs/>
          <w:kern w:val="0"/>
          <w:sz w:val="24"/>
          <w:highlight w:val="none"/>
          <w:lang w:val="en-US" w:eastAsia="zh-CN"/>
        </w:rPr>
        <w:t>1</w:t>
      </w:r>
      <w:r>
        <w:rPr>
          <w:rFonts w:hint="eastAsia" w:ascii="宋体" w:hAnsi="宋体" w:cs="宋体"/>
          <w:b/>
          <w:bCs/>
          <w:kern w:val="0"/>
          <w:sz w:val="24"/>
          <w:highlight w:val="none"/>
        </w:rPr>
        <w:t>、采购项目需要落实的政府采购政策：</w:t>
      </w:r>
    </w:p>
    <w:p>
      <w:pPr>
        <w:keepNext w:val="0"/>
        <w:keepLines w:val="0"/>
        <w:pageBreakBefore w:val="0"/>
        <w:widowControl/>
        <w:kinsoku/>
        <w:wordWrap/>
        <w:overflowPunct/>
        <w:topLinePunct w:val="0"/>
        <w:autoSpaceDE/>
        <w:bidi w:val="0"/>
        <w:adjustRightInd w:val="0"/>
        <w:snapToGrid w:val="0"/>
        <w:spacing w:line="360" w:lineRule="auto"/>
        <w:ind w:firstLine="410"/>
        <w:jc w:val="left"/>
        <w:rPr>
          <w:rFonts w:ascii="宋体" w:hAnsi="宋体" w:cs="宋体"/>
          <w:kern w:val="0"/>
          <w:sz w:val="24"/>
          <w:highlight w:val="none"/>
        </w:rPr>
      </w:pPr>
      <w:r>
        <w:rPr>
          <w:rFonts w:hint="eastAsia" w:ascii="宋体" w:hAnsi="宋体" w:cs="宋体"/>
          <w:kern w:val="0"/>
          <w:sz w:val="24"/>
          <w:highlight w:val="none"/>
        </w:rPr>
        <w:t xml:space="preserve"> 本采购项目需落实节能产品、环境标志产品、中小型企业、监狱企业及残疾人福利性单位的优惠政策和办法，具体要求详见招标文件。</w:t>
      </w:r>
    </w:p>
    <w:p>
      <w:pPr>
        <w:keepNext w:val="0"/>
        <w:keepLines w:val="0"/>
        <w:pageBreakBefore w:val="0"/>
        <w:widowControl/>
        <w:kinsoku/>
        <w:wordWrap/>
        <w:overflowPunct/>
        <w:topLinePunct w:val="0"/>
        <w:autoSpaceDE/>
        <w:bidi w:val="0"/>
        <w:adjustRightInd w:val="0"/>
        <w:snapToGrid w:val="0"/>
        <w:spacing w:line="360" w:lineRule="auto"/>
        <w:jc w:val="left"/>
        <w:rPr>
          <w:rFonts w:ascii="宋体" w:cs="宋体"/>
          <w:kern w:val="0"/>
          <w:sz w:val="18"/>
          <w:szCs w:val="18"/>
          <w:highlight w:val="none"/>
        </w:rPr>
      </w:pPr>
      <w:r>
        <w:rPr>
          <w:rFonts w:ascii="宋体" w:hAnsi="宋体" w:cs="宋体"/>
          <w:b/>
          <w:bCs/>
          <w:kern w:val="0"/>
          <w:sz w:val="24"/>
          <w:highlight w:val="none"/>
        </w:rPr>
        <w:t>1</w:t>
      </w:r>
      <w:r>
        <w:rPr>
          <w:rFonts w:hint="eastAsia" w:ascii="宋体" w:hAnsi="宋体" w:cs="宋体"/>
          <w:b/>
          <w:bCs/>
          <w:kern w:val="0"/>
          <w:sz w:val="24"/>
          <w:highlight w:val="none"/>
          <w:lang w:val="en-US" w:eastAsia="zh-CN"/>
        </w:rPr>
        <w:t>2</w:t>
      </w:r>
      <w:r>
        <w:rPr>
          <w:rFonts w:hint="eastAsia" w:ascii="宋体" w:hAnsi="宋体" w:cs="宋体"/>
          <w:b/>
          <w:bCs/>
          <w:kern w:val="0"/>
          <w:sz w:val="24"/>
          <w:highlight w:val="none"/>
        </w:rPr>
        <w:t>、联系方式</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rPr>
        <w:t>招标人：山东大学第二医院</w:t>
      </w:r>
      <w:r>
        <w:rPr>
          <w:rFonts w:ascii="宋体" w:hAnsi="宋体"/>
          <w:color w:val="000000"/>
          <w:sz w:val="24"/>
          <w:highlight w:val="none"/>
        </w:rPr>
        <w:t xml:space="preserve">              </w:t>
      </w:r>
      <w:r>
        <w:rPr>
          <w:rFonts w:hint="eastAsia" w:ascii="宋体" w:hAnsi="宋体"/>
          <w:color w:val="000000"/>
          <w:sz w:val="24"/>
          <w:highlight w:val="none"/>
        </w:rPr>
        <w:t>招标代理：山东省鲁成招标有限公司</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址：济南市天桥区北园路</w:t>
      </w:r>
      <w:r>
        <w:rPr>
          <w:rFonts w:ascii="宋体" w:hAnsi="宋体"/>
          <w:color w:val="000000"/>
          <w:sz w:val="24"/>
          <w:highlight w:val="none"/>
        </w:rPr>
        <w:t>247</w:t>
      </w:r>
      <w:r>
        <w:rPr>
          <w:rFonts w:hint="eastAsia" w:ascii="宋体" w:hAnsi="宋体"/>
          <w:color w:val="000000"/>
          <w:sz w:val="24"/>
          <w:highlight w:val="none"/>
        </w:rPr>
        <w:t>号</w:t>
      </w:r>
      <w:r>
        <w:rPr>
          <w:rFonts w:ascii="宋体" w:hAnsi="宋体"/>
          <w:color w:val="000000"/>
          <w:sz w:val="24"/>
          <w:highlight w:val="none"/>
        </w:rPr>
        <w:t xml:space="preserve">        </w:t>
      </w: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址：济南经十路</w:t>
      </w:r>
      <w:r>
        <w:rPr>
          <w:rFonts w:ascii="宋体" w:hAnsi="宋体"/>
          <w:color w:val="000000"/>
          <w:sz w:val="24"/>
          <w:highlight w:val="none"/>
        </w:rPr>
        <w:t>10567</w:t>
      </w:r>
      <w:r>
        <w:rPr>
          <w:rFonts w:hint="eastAsia" w:ascii="宋体" w:hAnsi="宋体"/>
          <w:color w:val="000000"/>
          <w:sz w:val="24"/>
          <w:highlight w:val="none"/>
        </w:rPr>
        <w:t>号成城大厦</w:t>
      </w:r>
      <w:r>
        <w:rPr>
          <w:rFonts w:ascii="宋体" w:hAnsi="宋体"/>
          <w:color w:val="000000"/>
          <w:sz w:val="24"/>
          <w:highlight w:val="none"/>
        </w:rPr>
        <w:t>A</w:t>
      </w:r>
      <w:r>
        <w:rPr>
          <w:rFonts w:hint="eastAsia" w:ascii="宋体" w:hAnsi="宋体"/>
          <w:color w:val="000000"/>
          <w:sz w:val="24"/>
          <w:highlight w:val="none"/>
        </w:rPr>
        <w:t>座</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rPr>
        <w:t>电</w:t>
      </w:r>
      <w:r>
        <w:rPr>
          <w:rFonts w:ascii="宋体" w:hAnsi="宋体"/>
          <w:color w:val="000000"/>
          <w:sz w:val="24"/>
          <w:highlight w:val="none"/>
        </w:rPr>
        <w:t xml:space="preserve"> </w:t>
      </w:r>
      <w:r>
        <w:rPr>
          <w:rFonts w:hint="eastAsia" w:ascii="宋体" w:hAnsi="宋体"/>
          <w:color w:val="000000"/>
          <w:sz w:val="24"/>
          <w:highlight w:val="none"/>
        </w:rPr>
        <w:t>话：</w:t>
      </w:r>
      <w:r>
        <w:rPr>
          <w:rFonts w:ascii="宋体" w:hAnsi="宋体"/>
          <w:color w:val="000000"/>
          <w:sz w:val="24"/>
          <w:highlight w:val="none"/>
        </w:rPr>
        <w:t xml:space="preserve">0531-85875076                  </w:t>
      </w:r>
      <w:r>
        <w:rPr>
          <w:rFonts w:hint="eastAsia" w:ascii="宋体" w:hAnsi="宋体"/>
          <w:color w:val="000000"/>
          <w:sz w:val="24"/>
          <w:highlight w:val="none"/>
        </w:rPr>
        <w:t>邮</w:t>
      </w:r>
      <w:r>
        <w:rPr>
          <w:rFonts w:ascii="宋体" w:hAnsi="宋体"/>
          <w:color w:val="000000"/>
          <w:sz w:val="24"/>
          <w:highlight w:val="none"/>
        </w:rPr>
        <w:t xml:space="preserve"> </w:t>
      </w:r>
      <w:r>
        <w:rPr>
          <w:rFonts w:hint="eastAsia" w:ascii="宋体" w:hAnsi="宋体"/>
          <w:color w:val="000000"/>
          <w:sz w:val="24"/>
          <w:highlight w:val="none"/>
        </w:rPr>
        <w:t>编：</w:t>
      </w:r>
      <w:r>
        <w:rPr>
          <w:rFonts w:ascii="宋体" w:hAnsi="宋体"/>
          <w:color w:val="000000"/>
          <w:sz w:val="24"/>
          <w:highlight w:val="none"/>
        </w:rPr>
        <w:t>250014</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传</w:t>
      </w:r>
      <w:r>
        <w:rPr>
          <w:rFonts w:ascii="宋体" w:hAnsi="宋体"/>
          <w:color w:val="000000"/>
          <w:sz w:val="24"/>
          <w:highlight w:val="none"/>
        </w:rPr>
        <w:t xml:space="preserve"> </w:t>
      </w:r>
      <w:r>
        <w:rPr>
          <w:rFonts w:hint="eastAsia" w:ascii="宋体" w:hAnsi="宋体"/>
          <w:color w:val="000000"/>
          <w:sz w:val="24"/>
          <w:highlight w:val="none"/>
        </w:rPr>
        <w:t>真：</w:t>
      </w:r>
      <w:r>
        <w:rPr>
          <w:rFonts w:ascii="宋体" w:hAnsi="宋体"/>
          <w:color w:val="000000"/>
          <w:sz w:val="24"/>
          <w:highlight w:val="none"/>
        </w:rPr>
        <w:t>0531-83191895</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hint="eastAsia" w:ascii="宋体" w:hAnsi="宋体" w:eastAsia="宋体"/>
          <w:color w:val="000000"/>
          <w:sz w:val="24"/>
          <w:highlight w:val="none"/>
          <w:lang w:val="en-US" w:eastAsia="zh-CN"/>
        </w:rPr>
      </w:pPr>
      <w:r>
        <w:rPr>
          <w:rFonts w:ascii="宋体" w:hAnsi="宋体"/>
          <w:color w:val="000000"/>
          <w:sz w:val="24"/>
          <w:highlight w:val="none"/>
        </w:rPr>
        <w:t xml:space="preserve">                                      </w:t>
      </w:r>
      <w:r>
        <w:rPr>
          <w:rFonts w:hint="eastAsia" w:ascii="宋体" w:hAnsi="宋体"/>
          <w:color w:val="000000"/>
          <w:sz w:val="24"/>
          <w:highlight w:val="none"/>
        </w:rPr>
        <w:t>电子邮件：</w:t>
      </w:r>
      <w:r>
        <w:rPr>
          <w:highlight w:val="none"/>
        </w:rPr>
        <w:fldChar w:fldCharType="begin"/>
      </w:r>
      <w:r>
        <w:rPr>
          <w:highlight w:val="none"/>
        </w:rPr>
        <w:instrText xml:space="preserve"> HYPERLINK "mailto:lc83191789@126.com" </w:instrText>
      </w:r>
      <w:r>
        <w:rPr>
          <w:highlight w:val="none"/>
        </w:rPr>
        <w:fldChar w:fldCharType="separate"/>
      </w:r>
      <w:r>
        <w:rPr>
          <w:rFonts w:ascii="宋体" w:hAnsi="宋体"/>
          <w:color w:val="000000"/>
          <w:sz w:val="24"/>
          <w:highlight w:val="none"/>
        </w:rPr>
        <w:t>lczb08@126.com</w:t>
      </w:r>
      <w:r>
        <w:rPr>
          <w:rFonts w:ascii="宋体" w:hAnsi="宋体"/>
          <w:color w:val="000000"/>
          <w:sz w:val="24"/>
          <w:highlight w:val="none"/>
        </w:rPr>
        <w:fldChar w:fldCharType="end"/>
      </w:r>
    </w:p>
    <w:p>
      <w:pPr>
        <w:rPr>
          <w:rFonts w:hint="eastAsia" w:ascii="宋体" w:hAnsi="宋体"/>
          <w:b/>
          <w:sz w:val="36"/>
          <w:highlight w:val="none"/>
        </w:rPr>
      </w:pPr>
      <w:bookmarkStart w:id="3" w:name="_Toc15243"/>
      <w:r>
        <w:rPr>
          <w:rFonts w:hint="eastAsia" w:ascii="宋体" w:hAnsi="宋体"/>
          <w:b/>
          <w:sz w:val="36"/>
          <w:highlight w:val="none"/>
        </w:rPr>
        <w:br w:type="page"/>
      </w:r>
    </w:p>
    <w:p>
      <w:pPr>
        <w:pStyle w:val="20"/>
        <w:tabs>
          <w:tab w:val="left" w:pos="0"/>
        </w:tabs>
        <w:spacing w:line="480" w:lineRule="exact"/>
        <w:ind w:left="0" w:leftChars="0" w:firstLine="0" w:firstLineChars="0"/>
        <w:jc w:val="center"/>
        <w:outlineLvl w:val="0"/>
        <w:rPr>
          <w:rFonts w:ascii="宋体" w:cs="宋体"/>
          <w:highlight w:val="none"/>
        </w:rPr>
      </w:pPr>
      <w:r>
        <w:rPr>
          <w:rFonts w:hint="eastAsia" w:ascii="宋体" w:hAnsi="宋体"/>
          <w:b/>
          <w:sz w:val="36"/>
          <w:highlight w:val="none"/>
        </w:rPr>
        <w:t>第二部分投标人须知</w:t>
      </w:r>
      <w:bookmarkEnd w:id="3"/>
    </w:p>
    <w:p>
      <w:pPr>
        <w:pStyle w:val="88"/>
        <w:spacing w:before="240"/>
        <w:outlineLvl w:val="1"/>
        <w:rPr>
          <w:highlight w:val="none"/>
        </w:rPr>
      </w:pPr>
      <w:bookmarkStart w:id="4" w:name="_Toc243041162"/>
      <w:bookmarkStart w:id="5" w:name="_Toc1284"/>
      <w:r>
        <w:rPr>
          <w:rFonts w:hint="eastAsia"/>
          <w:highlight w:val="none"/>
        </w:rPr>
        <w:t>投标人须知前附表</w:t>
      </w:r>
      <w:bookmarkEnd w:id="4"/>
      <w:bookmarkEnd w:id="5"/>
    </w:p>
    <w:tbl>
      <w:tblPr>
        <w:tblStyle w:val="49"/>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514"/>
        <w:gridCol w:w="6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序号</w:t>
            </w:r>
          </w:p>
        </w:tc>
        <w:tc>
          <w:tcPr>
            <w:tcW w:w="2514" w:type="dxa"/>
            <w:vAlign w:val="center"/>
          </w:tcPr>
          <w:p>
            <w:pPr>
              <w:pStyle w:val="20"/>
              <w:tabs>
                <w:tab w:val="left" w:pos="0"/>
                <w:tab w:val="left" w:pos="955"/>
              </w:tabs>
              <w:snapToGrid w:val="0"/>
              <w:spacing w:line="360" w:lineRule="auto"/>
              <w:ind w:left="0" w:leftChars="0" w:firstLine="0" w:firstLineChars="0"/>
              <w:rPr>
                <w:rFonts w:ascii="宋体" w:cs="宋体"/>
                <w:spacing w:val="0"/>
                <w:highlight w:val="none"/>
              </w:rPr>
            </w:pPr>
            <w:r>
              <w:rPr>
                <w:rFonts w:ascii="宋体" w:hAnsi="宋体" w:cs="宋体"/>
                <w:spacing w:val="0"/>
                <w:highlight w:val="none"/>
              </w:rPr>
              <w:t xml:space="preserve">    </w:t>
            </w:r>
            <w:r>
              <w:rPr>
                <w:rFonts w:hint="eastAsia" w:ascii="宋体" w:hAnsi="宋体" w:cs="宋体"/>
                <w:spacing w:val="0"/>
                <w:highlight w:val="none"/>
              </w:rPr>
              <w:t>项</w:t>
            </w:r>
            <w:r>
              <w:rPr>
                <w:rFonts w:ascii="宋体" w:hAnsi="宋体" w:cs="宋体"/>
                <w:spacing w:val="0"/>
                <w:highlight w:val="none"/>
              </w:rPr>
              <w:t xml:space="preserve">    </w:t>
            </w:r>
            <w:r>
              <w:rPr>
                <w:rFonts w:hint="eastAsia" w:ascii="宋体" w:hAnsi="宋体" w:cs="宋体"/>
                <w:spacing w:val="0"/>
                <w:highlight w:val="none"/>
              </w:rPr>
              <w:t>目</w:t>
            </w:r>
          </w:p>
        </w:tc>
        <w:tc>
          <w:tcPr>
            <w:tcW w:w="6757" w:type="dxa"/>
            <w:vAlign w:val="center"/>
          </w:tcPr>
          <w:p>
            <w:pPr>
              <w:pStyle w:val="20"/>
              <w:tabs>
                <w:tab w:val="left" w:pos="0"/>
                <w:tab w:val="left" w:pos="955"/>
              </w:tabs>
              <w:snapToGrid w:val="0"/>
              <w:spacing w:line="360" w:lineRule="auto"/>
              <w:ind w:left="0" w:leftChars="0" w:firstLine="960" w:firstLineChars="400"/>
              <w:rPr>
                <w:rFonts w:ascii="宋体" w:cs="宋体"/>
                <w:spacing w:val="0"/>
                <w:highlight w:val="none"/>
              </w:rPr>
            </w:pPr>
            <w:r>
              <w:rPr>
                <w:rFonts w:ascii="宋体" w:hAnsi="宋体" w:cs="宋体"/>
                <w:spacing w:val="0"/>
                <w:highlight w:val="none"/>
              </w:rPr>
              <w:t xml:space="preserve">            </w:t>
            </w:r>
            <w:r>
              <w:rPr>
                <w:rFonts w:hint="eastAsia" w:ascii="宋体" w:hAnsi="宋体" w:cs="宋体"/>
                <w:spacing w:val="0"/>
                <w:highlight w:val="none"/>
              </w:rPr>
              <w:t>内</w:t>
            </w:r>
            <w:r>
              <w:rPr>
                <w:rFonts w:ascii="宋体" w:hAnsi="宋体" w:cs="宋体"/>
                <w:spacing w:val="0"/>
                <w:highlight w:val="none"/>
              </w:rPr>
              <w:t xml:space="preserve">       </w:t>
            </w:r>
            <w:r>
              <w:rPr>
                <w:rFonts w:hint="eastAsia" w:ascii="宋体" w:hAnsi="宋体" w:cs="宋体"/>
                <w:spacing w:val="0"/>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招标人</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招标人：山东大学第二医院</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地</w:t>
            </w:r>
            <w:r>
              <w:rPr>
                <w:rFonts w:ascii="宋体" w:hAnsi="宋体" w:cs="宋体"/>
                <w:color w:val="000000"/>
                <w:spacing w:val="0"/>
                <w:sz w:val="24"/>
                <w:highlight w:val="none"/>
                <w:lang w:val="en-US" w:eastAsia="zh-CN"/>
              </w:rPr>
              <w:t xml:space="preserve">  </w:t>
            </w:r>
            <w:r>
              <w:rPr>
                <w:rFonts w:hint="eastAsia" w:ascii="宋体" w:hAnsi="宋体" w:cs="宋体"/>
                <w:color w:val="000000"/>
                <w:spacing w:val="0"/>
                <w:sz w:val="24"/>
                <w:highlight w:val="none"/>
                <w:lang w:eastAsia="zh-CN"/>
              </w:rPr>
              <w:t>址：济南市天桥区北园路</w:t>
            </w:r>
            <w:r>
              <w:rPr>
                <w:rFonts w:ascii="宋体" w:hAnsi="宋体" w:cs="宋体"/>
                <w:color w:val="000000"/>
                <w:spacing w:val="0"/>
                <w:sz w:val="24"/>
                <w:highlight w:val="none"/>
                <w:lang w:eastAsia="zh-CN"/>
              </w:rPr>
              <w:t>247</w:t>
            </w:r>
            <w:r>
              <w:rPr>
                <w:rFonts w:hint="eastAsia" w:ascii="宋体" w:hAnsi="宋体" w:cs="宋体"/>
                <w:color w:val="000000"/>
                <w:spacing w:val="0"/>
                <w:sz w:val="24"/>
                <w:highlight w:val="none"/>
                <w:lang w:eastAsia="zh-CN"/>
              </w:rPr>
              <w:t>号</w:t>
            </w:r>
          </w:p>
          <w:p>
            <w:pPr>
              <w:pStyle w:val="111"/>
              <w:snapToGrid w:val="0"/>
              <w:spacing w:line="360" w:lineRule="auto"/>
              <w:jc w:val="left"/>
              <w:rPr>
                <w:rFonts w:ascii="宋体" w:cs="宋体"/>
                <w:spacing w:val="0"/>
                <w:highlight w:val="none"/>
              </w:rPr>
            </w:pPr>
            <w:r>
              <w:rPr>
                <w:rFonts w:hint="eastAsia" w:ascii="宋体" w:hAnsi="宋体" w:cs="宋体"/>
                <w:color w:val="000000"/>
                <w:spacing w:val="0"/>
                <w:sz w:val="24"/>
                <w:highlight w:val="none"/>
                <w:lang w:eastAsia="zh-CN"/>
              </w:rPr>
              <w:t>联系方式：</w:t>
            </w:r>
            <w:r>
              <w:rPr>
                <w:rFonts w:ascii="宋体" w:hAnsi="宋体" w:cs="宋体"/>
                <w:color w:val="000000"/>
                <w:spacing w:val="0"/>
                <w:sz w:val="24"/>
                <w:highlight w:val="none"/>
                <w:lang w:eastAsia="zh-CN"/>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2</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招标代理机构</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名</w:t>
            </w:r>
            <w:r>
              <w:rPr>
                <w:rFonts w:ascii="宋体" w:hAnsi="宋体" w:cs="宋体"/>
                <w:color w:val="000000"/>
                <w:spacing w:val="0"/>
                <w:sz w:val="24"/>
                <w:highlight w:val="none"/>
                <w:lang w:eastAsia="zh-CN"/>
              </w:rPr>
              <w:t xml:space="preserve">  </w:t>
            </w:r>
            <w:r>
              <w:rPr>
                <w:rFonts w:hint="eastAsia" w:ascii="宋体" w:hAnsi="宋体" w:cs="宋体"/>
                <w:color w:val="000000"/>
                <w:spacing w:val="0"/>
                <w:sz w:val="24"/>
                <w:highlight w:val="none"/>
                <w:lang w:eastAsia="zh-CN"/>
              </w:rPr>
              <w:t>称：山东省鲁成招标有限公司</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地</w:t>
            </w:r>
            <w:r>
              <w:rPr>
                <w:rFonts w:ascii="宋体" w:hAnsi="宋体" w:cs="宋体"/>
                <w:color w:val="000000"/>
                <w:spacing w:val="0"/>
                <w:sz w:val="24"/>
                <w:highlight w:val="none"/>
                <w:lang w:val="en-US" w:eastAsia="zh-CN"/>
              </w:rPr>
              <w:t xml:space="preserve">  </w:t>
            </w:r>
            <w:r>
              <w:rPr>
                <w:rFonts w:hint="eastAsia" w:ascii="宋体" w:hAnsi="宋体" w:cs="宋体"/>
                <w:color w:val="000000"/>
                <w:spacing w:val="0"/>
                <w:sz w:val="24"/>
                <w:highlight w:val="none"/>
                <w:lang w:eastAsia="zh-CN"/>
              </w:rPr>
              <w:t>址：济南市经十东路</w:t>
            </w:r>
            <w:r>
              <w:rPr>
                <w:rFonts w:ascii="宋体" w:hAnsi="宋体" w:cs="宋体"/>
                <w:color w:val="000000"/>
                <w:spacing w:val="0"/>
                <w:sz w:val="24"/>
                <w:highlight w:val="none"/>
                <w:lang w:eastAsia="zh-CN"/>
              </w:rPr>
              <w:t>10567</w:t>
            </w:r>
            <w:r>
              <w:rPr>
                <w:rFonts w:hint="eastAsia" w:ascii="宋体" w:hAnsi="宋体" w:cs="宋体"/>
                <w:color w:val="000000"/>
                <w:spacing w:val="0"/>
                <w:sz w:val="24"/>
                <w:highlight w:val="none"/>
                <w:lang w:eastAsia="zh-CN"/>
              </w:rPr>
              <w:t>号成城大厦</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联系人：褚桐、李文华</w:t>
            </w:r>
          </w:p>
          <w:p>
            <w:pPr>
              <w:pStyle w:val="111"/>
              <w:snapToGrid w:val="0"/>
              <w:spacing w:line="360" w:lineRule="auto"/>
              <w:jc w:val="left"/>
              <w:rPr>
                <w:rFonts w:ascii="宋体" w:cs="宋体"/>
                <w:color w:val="000000"/>
                <w:spacing w:val="0"/>
                <w:sz w:val="24"/>
                <w:highlight w:val="none"/>
                <w:lang w:val="en-US" w:eastAsia="zh-CN"/>
              </w:rPr>
            </w:pPr>
            <w:r>
              <w:rPr>
                <w:rFonts w:hint="eastAsia" w:ascii="宋体" w:hAnsi="宋体" w:cs="宋体"/>
                <w:color w:val="000000"/>
                <w:spacing w:val="0"/>
                <w:sz w:val="24"/>
                <w:highlight w:val="none"/>
                <w:lang w:eastAsia="zh-CN"/>
              </w:rPr>
              <w:t>联系方式：</w:t>
            </w:r>
            <w:r>
              <w:rPr>
                <w:rFonts w:ascii="宋体" w:hAnsi="宋体" w:cs="宋体"/>
                <w:color w:val="000000"/>
                <w:spacing w:val="0"/>
                <w:sz w:val="24"/>
                <w:highlight w:val="none"/>
                <w:lang w:eastAsia="zh-CN"/>
              </w:rPr>
              <w:t>0531-83191865</w:t>
            </w:r>
            <w:r>
              <w:rPr>
                <w:rFonts w:hint="eastAsia" w:ascii="宋体" w:hAnsi="宋体" w:cs="宋体"/>
                <w:color w:val="000000"/>
                <w:spacing w:val="0"/>
                <w:sz w:val="24"/>
                <w:highlight w:val="none"/>
                <w:lang w:eastAsia="zh-CN"/>
              </w:rPr>
              <w:t>、</w:t>
            </w:r>
            <w:r>
              <w:rPr>
                <w:rFonts w:ascii="宋体" w:hAnsi="宋体" w:cs="宋体"/>
                <w:color w:val="000000"/>
                <w:spacing w:val="0"/>
                <w:sz w:val="24"/>
                <w:highlight w:val="none"/>
                <w:lang w:val="en-US" w:eastAsia="zh-CN"/>
              </w:rPr>
              <w:t>83191895</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邮箱：</w:t>
            </w:r>
            <w:r>
              <w:rPr>
                <w:rFonts w:ascii="宋体" w:hAnsi="宋体" w:cs="宋体"/>
                <w:color w:val="000000"/>
                <w:spacing w:val="0"/>
                <w:sz w:val="24"/>
                <w:highlight w:val="none"/>
                <w:lang w:eastAsia="zh-CN"/>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3</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项目名称</w:t>
            </w:r>
          </w:p>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项目编号</w:t>
            </w:r>
          </w:p>
        </w:tc>
        <w:tc>
          <w:tcPr>
            <w:tcW w:w="6757" w:type="dxa"/>
            <w:vAlign w:val="center"/>
          </w:tcPr>
          <w:p>
            <w:pPr>
              <w:pStyle w:val="111"/>
              <w:snapToGrid w:val="0"/>
              <w:spacing w:line="360" w:lineRule="auto"/>
              <w:jc w:val="left"/>
              <w:rPr>
                <w:rFonts w:hint="default" w:ascii="宋体" w:hAnsi="宋体" w:cs="宋体"/>
                <w:color w:val="000000"/>
                <w:spacing w:val="0"/>
                <w:sz w:val="24"/>
                <w:highlight w:val="none"/>
                <w:lang w:val="en-US" w:eastAsia="zh-CN"/>
              </w:rPr>
            </w:pPr>
            <w:r>
              <w:rPr>
                <w:rFonts w:hint="eastAsia" w:ascii="宋体" w:hAnsi="宋体" w:cs="宋体"/>
                <w:color w:val="000000"/>
                <w:spacing w:val="0"/>
                <w:sz w:val="24"/>
                <w:highlight w:val="none"/>
                <w:lang w:eastAsia="zh-CN"/>
              </w:rPr>
              <w:t>项目名称：山东大学第二医院实验类设备采购项目</w:t>
            </w:r>
          </w:p>
          <w:p>
            <w:pPr>
              <w:pStyle w:val="111"/>
              <w:snapToGrid w:val="0"/>
              <w:spacing w:line="360" w:lineRule="auto"/>
              <w:jc w:val="left"/>
              <w:rPr>
                <w:rFonts w:ascii="宋体" w:cs="宋体"/>
                <w:color w:val="000000"/>
                <w:spacing w:val="0"/>
                <w:sz w:val="24"/>
                <w:highlight w:val="none"/>
                <w:lang w:val="en-US" w:eastAsia="zh-CN"/>
              </w:rPr>
            </w:pPr>
            <w:r>
              <w:rPr>
                <w:rFonts w:hint="eastAsia" w:ascii="宋体" w:hAnsi="宋体" w:cs="宋体"/>
                <w:color w:val="000000"/>
                <w:spacing w:val="0"/>
                <w:sz w:val="24"/>
                <w:highlight w:val="none"/>
                <w:lang w:eastAsia="zh-CN"/>
              </w:rPr>
              <w:t>项目编号：0676-196012ZB018058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4</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招标范围</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本项目分为山东大学第二医院实验类设备采购项目，具体要求详见招标文件第三部分招标要求。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5</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项目预算</w:t>
            </w:r>
          </w:p>
        </w:tc>
        <w:tc>
          <w:tcPr>
            <w:tcW w:w="6757" w:type="dxa"/>
            <w:vAlign w:val="center"/>
          </w:tcPr>
          <w:p>
            <w:pPr>
              <w:pStyle w:val="111"/>
              <w:snapToGrid w:val="0"/>
              <w:spacing w:line="360" w:lineRule="auto"/>
              <w:jc w:val="left"/>
              <w:rPr>
                <w:rFonts w:hint="eastAsia" w:ascii="宋体" w:hAnsi="宋体" w:cs="宋体"/>
                <w:color w:val="000000"/>
                <w:spacing w:val="0"/>
                <w:sz w:val="24"/>
                <w:highlight w:val="none"/>
                <w:lang w:eastAsia="zh-CN"/>
              </w:rPr>
            </w:pPr>
            <w:r>
              <w:rPr>
                <w:rFonts w:hint="eastAsia" w:ascii="宋体" w:hAnsi="宋体" w:cs="宋体"/>
                <w:color w:val="000000"/>
                <w:spacing w:val="0"/>
                <w:sz w:val="24"/>
                <w:highlight w:val="none"/>
                <w:lang w:eastAsia="zh-CN"/>
              </w:rPr>
              <w:t>预算金额</w:t>
            </w:r>
            <w:r>
              <w:rPr>
                <w:rFonts w:hint="eastAsia" w:ascii="宋体" w:hAnsi="宋体" w:cs="宋体"/>
                <w:color w:val="000000"/>
                <w:spacing w:val="0"/>
                <w:sz w:val="24"/>
                <w:highlight w:val="none"/>
                <w:lang w:val="en-US" w:eastAsia="zh-CN"/>
              </w:rPr>
              <w:t>：95万元</w:t>
            </w:r>
            <w:r>
              <w:rPr>
                <w:rFonts w:hint="eastAsia" w:ascii="宋体" w:hAnsi="宋体" w:cs="宋体"/>
                <w:color w:val="000000"/>
                <w:spacing w:val="0"/>
                <w:sz w:val="24"/>
                <w:lang w:eastAsia="zh-CN"/>
              </w:rPr>
              <w:t>（包含税费</w:t>
            </w:r>
            <w:r>
              <w:rPr>
                <w:rFonts w:ascii="宋体" w:hAnsi="宋体" w:cs="宋体"/>
                <w:color w:val="000000"/>
                <w:spacing w:val="0"/>
                <w:sz w:val="24"/>
                <w:lang w:val="en-US" w:eastAsia="zh-CN"/>
              </w:rPr>
              <w:t>)</w:t>
            </w:r>
            <w:r>
              <w:rPr>
                <w:rFonts w:hint="eastAsia" w:ascii="宋体" w:hAnsi="宋体" w:cs="宋体"/>
                <w:color w:val="000000"/>
                <w:spacing w:val="0"/>
                <w:sz w:val="24"/>
                <w:highlight w:val="none"/>
                <w:lang w:eastAsia="zh-CN"/>
              </w:rPr>
              <w:t>。</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投标人的报价不得高于预算，投标人报价高于预算的作无效报价处理。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6</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投标人资格要求</w:t>
            </w:r>
          </w:p>
        </w:tc>
        <w:tc>
          <w:tcPr>
            <w:tcW w:w="6757" w:type="dxa"/>
            <w:vAlign w:val="center"/>
          </w:tcPr>
          <w:p>
            <w:pPr>
              <w:autoSpaceDN w:val="0"/>
              <w:spacing w:line="360" w:lineRule="auto"/>
              <w:jc w:val="left"/>
              <w:textAlignment w:val="center"/>
              <w:rPr>
                <w:rFonts w:ascii="宋体"/>
                <w:color w:val="000000"/>
                <w:spacing w:val="0"/>
                <w:sz w:val="24"/>
                <w:highlight w:val="none"/>
              </w:rPr>
            </w:pPr>
            <w:r>
              <w:rPr>
                <w:rFonts w:ascii="宋体" w:hAnsi="宋体"/>
                <w:color w:val="000000"/>
                <w:spacing w:val="0"/>
                <w:sz w:val="24"/>
                <w:highlight w:val="none"/>
              </w:rPr>
              <w:t>1</w:t>
            </w:r>
            <w:r>
              <w:rPr>
                <w:rFonts w:hint="eastAsia" w:ascii="宋体" w:hAnsi="宋体"/>
                <w:color w:val="000000"/>
                <w:spacing w:val="0"/>
                <w:sz w:val="24"/>
                <w:highlight w:val="none"/>
                <w:lang w:eastAsia="zh-CN"/>
              </w:rPr>
              <w:t>、</w:t>
            </w:r>
            <w:r>
              <w:rPr>
                <w:rFonts w:hint="eastAsia" w:ascii="宋体" w:hAnsi="宋体"/>
                <w:color w:val="000000"/>
                <w:spacing w:val="0"/>
                <w:sz w:val="24"/>
                <w:highlight w:val="none"/>
              </w:rPr>
              <w:t>符合《中华人民共和国政府采购法》第二十二条规定；</w:t>
            </w:r>
          </w:p>
          <w:p>
            <w:pPr>
              <w:autoSpaceDN w:val="0"/>
              <w:spacing w:line="360" w:lineRule="auto"/>
              <w:jc w:val="left"/>
              <w:textAlignment w:val="center"/>
              <w:rPr>
                <w:rFonts w:hint="eastAsia" w:ascii="宋体" w:hAnsi="宋体"/>
                <w:color w:val="000000"/>
                <w:spacing w:val="0"/>
                <w:sz w:val="24"/>
                <w:highlight w:val="none"/>
                <w:lang w:eastAsia="zh-CN"/>
              </w:rPr>
            </w:pPr>
            <w:r>
              <w:rPr>
                <w:rFonts w:ascii="宋体" w:hAnsi="宋体"/>
                <w:color w:val="000000"/>
                <w:spacing w:val="0"/>
                <w:sz w:val="24"/>
                <w:highlight w:val="none"/>
              </w:rPr>
              <w:t>2</w:t>
            </w:r>
            <w:r>
              <w:rPr>
                <w:rFonts w:hint="eastAsia" w:ascii="宋体" w:hAnsi="宋体"/>
                <w:color w:val="000000"/>
                <w:spacing w:val="0"/>
                <w:sz w:val="24"/>
                <w:highlight w:val="none"/>
                <w:lang w:eastAsia="zh-CN"/>
              </w:rPr>
              <w:t>、</w:t>
            </w:r>
            <w:r>
              <w:rPr>
                <w:rFonts w:hint="eastAsia" w:ascii="宋体" w:hAnsi="宋体"/>
                <w:color w:val="000000"/>
                <w:spacing w:val="0"/>
                <w:sz w:val="24"/>
                <w:highlight w:val="none"/>
              </w:rPr>
              <w:t>投标人须是在中国境内注册具有独立法人资格的法人单位，营业执照经营范围包含本次采购内容；</w:t>
            </w:r>
          </w:p>
          <w:p>
            <w:pPr>
              <w:spacing w:line="360" w:lineRule="auto"/>
              <w:rPr>
                <w:rFonts w:ascii="宋体" w:cs="宋体"/>
                <w:spacing w:val="0"/>
                <w:sz w:val="24"/>
                <w:highlight w:val="none"/>
              </w:rPr>
            </w:pPr>
            <w:r>
              <w:rPr>
                <w:rFonts w:hint="eastAsia" w:ascii="宋体" w:hAnsi="宋体" w:cs="宋体"/>
                <w:spacing w:val="0"/>
                <w:sz w:val="24"/>
                <w:highlight w:val="none"/>
                <w:lang w:val="en-US" w:eastAsia="zh-CN"/>
              </w:rPr>
              <w:t>3</w:t>
            </w:r>
            <w:r>
              <w:rPr>
                <w:rFonts w:hint="eastAsia" w:ascii="宋体" w:hAnsi="宋体" w:eastAsia="宋体" w:cs="宋体"/>
                <w:spacing w:val="0"/>
                <w:sz w:val="24"/>
                <w:highlight w:val="none"/>
                <w:lang w:val="en-US" w:eastAsia="zh-CN"/>
              </w:rPr>
              <w:t>、</w:t>
            </w:r>
            <w:r>
              <w:rPr>
                <w:rFonts w:hint="eastAsia" w:ascii="宋体" w:hAnsi="宋体" w:eastAsia="宋体" w:cs="宋体"/>
                <w:spacing w:val="0"/>
                <w:sz w:val="24"/>
                <w:highlight w:val="none"/>
              </w:rPr>
              <w:t>必须为未列入“信用中国”、“中国政府采购网”失信被执行人、重大税收违法</w:t>
            </w:r>
            <w:r>
              <w:rPr>
                <w:rFonts w:hint="eastAsia" w:ascii="宋体" w:hAnsi="宋体" w:cs="宋体"/>
                <w:spacing w:val="0"/>
                <w:sz w:val="24"/>
                <w:highlight w:val="none"/>
              </w:rPr>
              <w:t>案件当事人名单、政府采购严重违法失信名单的企业；</w:t>
            </w:r>
          </w:p>
          <w:p>
            <w:pPr>
              <w:autoSpaceDN w:val="0"/>
              <w:spacing w:line="360" w:lineRule="auto"/>
              <w:jc w:val="left"/>
              <w:textAlignment w:val="center"/>
              <w:rPr>
                <w:rFonts w:ascii="宋体"/>
                <w:color w:val="000000"/>
                <w:spacing w:val="0"/>
                <w:sz w:val="24"/>
                <w:highlight w:val="none"/>
              </w:rPr>
            </w:pPr>
            <w:r>
              <w:rPr>
                <w:rFonts w:hint="eastAsia" w:ascii="宋体" w:hAnsi="宋体"/>
                <w:color w:val="000000"/>
                <w:spacing w:val="0"/>
                <w:sz w:val="24"/>
                <w:highlight w:val="none"/>
                <w:lang w:val="en-US" w:eastAsia="zh-CN"/>
              </w:rPr>
              <w:t>4、</w:t>
            </w:r>
            <w:r>
              <w:rPr>
                <w:rFonts w:hint="eastAsia" w:ascii="宋体" w:hAnsi="宋体"/>
                <w:color w:val="000000"/>
                <w:spacing w:val="0"/>
                <w:sz w:val="24"/>
                <w:highlight w:val="none"/>
              </w:rPr>
              <w:t>单位负责人为同一人或者存在直接控股、管理关系的不同投标人，不得参加同一合同项下的采购活动；</w:t>
            </w:r>
          </w:p>
          <w:p>
            <w:pPr>
              <w:autoSpaceDN w:val="0"/>
              <w:spacing w:line="360" w:lineRule="auto"/>
              <w:jc w:val="left"/>
              <w:textAlignment w:val="center"/>
              <w:rPr>
                <w:rFonts w:ascii="宋体"/>
                <w:color w:val="000000"/>
                <w:spacing w:val="0"/>
                <w:sz w:val="24"/>
                <w:highlight w:val="none"/>
              </w:rPr>
            </w:pPr>
            <w:r>
              <w:rPr>
                <w:rFonts w:hint="eastAsia" w:ascii="宋体" w:hAnsi="宋体"/>
                <w:color w:val="000000"/>
                <w:spacing w:val="0"/>
                <w:sz w:val="24"/>
                <w:highlight w:val="none"/>
                <w:lang w:val="en-US" w:eastAsia="zh-CN"/>
              </w:rPr>
              <w:t>5、</w:t>
            </w:r>
            <w:r>
              <w:rPr>
                <w:rFonts w:hint="eastAsia" w:ascii="宋体" w:hAnsi="宋体"/>
                <w:color w:val="000000"/>
                <w:spacing w:val="0"/>
                <w:sz w:val="24"/>
                <w:highlight w:val="none"/>
              </w:rPr>
              <w:t>本次采购不接受联合体报价；</w:t>
            </w:r>
          </w:p>
          <w:p>
            <w:pPr>
              <w:autoSpaceDN w:val="0"/>
              <w:spacing w:line="360" w:lineRule="auto"/>
              <w:ind w:left="0" w:leftChars="0" w:firstLine="0" w:firstLineChars="0"/>
              <w:jc w:val="left"/>
              <w:textAlignment w:val="center"/>
              <w:rPr>
                <w:rFonts w:ascii="宋体" w:cs="宋体"/>
                <w:color w:val="000000"/>
                <w:spacing w:val="0"/>
                <w:sz w:val="24"/>
                <w:highlight w:val="none"/>
                <w:lang w:eastAsia="zh-CN"/>
              </w:rPr>
            </w:pPr>
            <w:r>
              <w:rPr>
                <w:rFonts w:hint="eastAsia" w:ascii="宋体" w:hAnsi="宋体"/>
                <w:color w:val="000000"/>
                <w:spacing w:val="0"/>
                <w:sz w:val="24"/>
                <w:highlight w:val="none"/>
                <w:lang w:val="en-US" w:eastAsia="zh-CN"/>
              </w:rPr>
              <w:t>6、</w:t>
            </w:r>
            <w:r>
              <w:rPr>
                <w:rFonts w:hint="eastAsia" w:ascii="宋体" w:hAnsi="宋体"/>
                <w:color w:val="000000"/>
                <w:spacing w:val="0"/>
                <w:sz w:val="24"/>
                <w:highlight w:val="none"/>
              </w:rPr>
              <w:t>未尽事宜，遵照国家相关规定执行。</w:t>
            </w:r>
            <w:r>
              <w:rPr>
                <w:rFonts w:ascii="宋体" w:hAnsi="宋体"/>
                <w:color w:val="000000"/>
                <w:spacing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7</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资格审查方式</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8</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付款方式</w:t>
            </w:r>
          </w:p>
        </w:tc>
        <w:tc>
          <w:tcPr>
            <w:tcW w:w="6757" w:type="dxa"/>
            <w:vAlign w:val="center"/>
          </w:tcPr>
          <w:p>
            <w:pPr>
              <w:pStyle w:val="111"/>
              <w:snapToGrid w:val="0"/>
              <w:spacing w:line="360" w:lineRule="auto"/>
              <w:jc w:val="left"/>
              <w:rPr>
                <w:rFonts w:ascii="宋体" w:cs="宋体"/>
                <w:color w:val="000000"/>
                <w:spacing w:val="0"/>
                <w:sz w:val="24"/>
                <w:highlight w:val="none"/>
                <w:lang w:val="en-US" w:eastAsia="zh-CN"/>
              </w:rPr>
            </w:pPr>
            <w:r>
              <w:rPr>
                <w:rFonts w:hint="eastAsia" w:ascii="宋体" w:hAnsi="宋体" w:cs="宋体"/>
                <w:color w:val="000000"/>
                <w:spacing w:val="0"/>
                <w:sz w:val="24"/>
                <w:highlight w:val="none"/>
                <w:lang w:eastAsia="zh-CN"/>
              </w:rPr>
              <w:t>货物交付后，经双方验收合格签字且财务入账三个月内，支付合同总金额90%，余款作为质量保证金，自财务入账之日起满12个月后，无质量问题，付清总金额的10%。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9</w:t>
            </w:r>
          </w:p>
        </w:tc>
        <w:tc>
          <w:tcPr>
            <w:tcW w:w="2514" w:type="dxa"/>
            <w:vAlign w:val="center"/>
          </w:tcPr>
          <w:p>
            <w:pPr>
              <w:pStyle w:val="20"/>
              <w:tabs>
                <w:tab w:val="left" w:pos="0"/>
                <w:tab w:val="left" w:pos="955"/>
                <w:tab w:val="center" w:pos="1168"/>
                <w:tab w:val="right" w:pos="2216"/>
              </w:tabs>
              <w:snapToGrid w:val="0"/>
              <w:spacing w:line="360" w:lineRule="auto"/>
              <w:ind w:left="0" w:leftChars="0" w:firstLine="0" w:firstLineChars="0"/>
              <w:jc w:val="center"/>
              <w:rPr>
                <w:rFonts w:hint="eastAsia" w:ascii="宋体" w:eastAsia="宋体" w:cs="宋体"/>
                <w:spacing w:val="0"/>
                <w:highlight w:val="none"/>
                <w:lang w:eastAsia="zh-CN"/>
              </w:rPr>
            </w:pPr>
            <w:r>
              <w:rPr>
                <w:rFonts w:hint="eastAsia" w:ascii="宋体" w:hAnsi="宋体" w:cs="宋体"/>
                <w:spacing w:val="0"/>
                <w:highlight w:val="none"/>
              </w:rPr>
              <w:t>投标文件</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投标文件共</w:t>
            </w:r>
            <w:r>
              <w:rPr>
                <w:rFonts w:hint="eastAsia" w:ascii="宋体" w:hAnsi="宋体" w:cs="宋体"/>
                <w:color w:val="000000"/>
                <w:spacing w:val="0"/>
                <w:sz w:val="24"/>
                <w:highlight w:val="none"/>
                <w:lang w:val="en-US" w:eastAsia="zh-CN"/>
              </w:rPr>
              <w:t>5</w:t>
            </w:r>
            <w:r>
              <w:rPr>
                <w:rFonts w:hint="eastAsia" w:ascii="宋体" w:hAnsi="宋体" w:cs="宋体"/>
                <w:color w:val="000000"/>
                <w:spacing w:val="0"/>
                <w:sz w:val="24"/>
                <w:highlight w:val="none"/>
                <w:lang w:eastAsia="zh-CN"/>
              </w:rPr>
              <w:t>份，正本</w:t>
            </w:r>
            <w:r>
              <w:rPr>
                <w:rFonts w:ascii="宋体" w:hAnsi="宋体" w:cs="宋体"/>
                <w:color w:val="000000"/>
                <w:spacing w:val="0"/>
                <w:sz w:val="24"/>
                <w:highlight w:val="none"/>
                <w:lang w:eastAsia="zh-CN"/>
              </w:rPr>
              <w:t>1</w:t>
            </w:r>
            <w:r>
              <w:rPr>
                <w:rFonts w:hint="eastAsia" w:ascii="宋体" w:hAnsi="宋体" w:cs="宋体"/>
                <w:color w:val="000000"/>
                <w:spacing w:val="0"/>
                <w:sz w:val="24"/>
                <w:highlight w:val="none"/>
                <w:lang w:eastAsia="zh-CN"/>
              </w:rPr>
              <w:t>份，副本</w:t>
            </w:r>
            <w:r>
              <w:rPr>
                <w:rFonts w:hint="eastAsia" w:ascii="宋体" w:hAnsi="宋体" w:cs="宋体"/>
                <w:color w:val="000000"/>
                <w:spacing w:val="0"/>
                <w:sz w:val="24"/>
                <w:highlight w:val="none"/>
                <w:lang w:val="en-US" w:eastAsia="zh-CN"/>
              </w:rPr>
              <w:t>4</w:t>
            </w:r>
            <w:r>
              <w:rPr>
                <w:rFonts w:hint="eastAsia" w:ascii="宋体" w:hAnsi="宋体" w:cs="宋体"/>
                <w:color w:val="000000"/>
                <w:spacing w:val="0"/>
                <w:sz w:val="24"/>
                <w:highlight w:val="none"/>
                <w:lang w:eastAsia="zh-CN"/>
              </w:rPr>
              <w:t>份；电子文档</w:t>
            </w:r>
            <w:r>
              <w:rPr>
                <w:rFonts w:hint="eastAsia" w:ascii="宋体" w:hAnsi="宋体" w:cs="宋体"/>
                <w:color w:val="auto"/>
                <w:spacing w:val="0"/>
                <w:sz w:val="24"/>
                <w:highlight w:val="none"/>
                <w:lang w:eastAsia="zh-CN"/>
              </w:rPr>
              <w:t>（</w:t>
            </w:r>
            <w:r>
              <w:rPr>
                <w:rFonts w:hint="eastAsia" w:ascii="宋体" w:hAnsi="宋体" w:cs="宋体"/>
                <w:b/>
                <w:color w:val="auto"/>
                <w:spacing w:val="0"/>
                <w:sz w:val="24"/>
                <w:highlight w:val="none"/>
                <w:lang w:val="en-US" w:eastAsia="zh-CN"/>
              </w:rPr>
              <w:t>U</w:t>
            </w:r>
            <w:r>
              <w:rPr>
                <w:rFonts w:hint="eastAsia" w:ascii="宋体" w:hAnsi="宋体" w:cs="宋体"/>
                <w:b/>
                <w:color w:val="auto"/>
                <w:spacing w:val="0"/>
                <w:sz w:val="24"/>
                <w:highlight w:val="none"/>
                <w:lang w:eastAsia="zh-CN"/>
              </w:rPr>
              <w:t>盘</w:t>
            </w:r>
            <w:r>
              <w:rPr>
                <w:rFonts w:hint="eastAsia" w:ascii="宋体" w:hAnsi="宋体" w:cs="宋体"/>
                <w:color w:val="auto"/>
                <w:spacing w:val="0"/>
                <w:sz w:val="24"/>
                <w:highlight w:val="none"/>
                <w:lang w:eastAsia="zh-CN"/>
              </w:rPr>
              <w:t>）</w:t>
            </w:r>
            <w:r>
              <w:rPr>
                <w:rFonts w:hint="eastAsia" w:ascii="宋体" w:hAnsi="宋体" w:cs="宋体"/>
                <w:color w:val="000000"/>
                <w:spacing w:val="0"/>
                <w:sz w:val="24"/>
                <w:highlight w:val="none"/>
                <w:lang w:eastAsia="zh-CN"/>
              </w:rPr>
              <w:t>投标文件一份，采用</w:t>
            </w:r>
            <w:r>
              <w:rPr>
                <w:rFonts w:ascii="宋体" w:hAnsi="宋体" w:cs="宋体"/>
                <w:color w:val="000000"/>
                <w:spacing w:val="0"/>
                <w:sz w:val="24"/>
                <w:highlight w:val="none"/>
                <w:lang w:val="en-US" w:eastAsia="zh-CN"/>
              </w:rPr>
              <w:t>PDF</w:t>
            </w:r>
            <w:r>
              <w:rPr>
                <w:rFonts w:hint="eastAsia" w:ascii="宋体" w:hAnsi="宋体" w:cs="宋体"/>
                <w:color w:val="000000"/>
                <w:spacing w:val="0"/>
                <w:sz w:val="24"/>
                <w:highlight w:val="none"/>
                <w:lang w:eastAsia="zh-CN"/>
              </w:rPr>
              <w:t>中文版，与纸质投标文件一致。</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b/>
                <w:bCs/>
                <w:color w:val="000000"/>
                <w:spacing w:val="0"/>
                <w:sz w:val="24"/>
                <w:highlight w:val="none"/>
                <w:lang w:eastAsia="zh-CN"/>
              </w:rPr>
              <w:t>（装订方式：为节约成本，投标文件封皮请勿使用硬版纸，每页均应标注页码，装订应牢固、不易拆散和换页。投标文件每册不超过4.5厘米，如超过请分册。</w:t>
            </w:r>
            <w:r>
              <w:rPr>
                <w:rFonts w:hint="eastAsia" w:ascii="宋体" w:hAnsi="宋体" w:cs="宋体"/>
                <w:color w:val="000000"/>
                <w:spacing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10</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开标一览表</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1. </w:t>
            </w:r>
            <w:r>
              <w:rPr>
                <w:rFonts w:hint="eastAsia" w:ascii="宋体" w:hAnsi="宋体" w:cs="宋体"/>
                <w:color w:val="000000"/>
                <w:spacing w:val="0"/>
                <w:sz w:val="24"/>
                <w:highlight w:val="none"/>
                <w:lang w:eastAsia="zh-CN"/>
              </w:rPr>
              <w:t>投标人应将“开标一览表”单独密封，并标明“开标一览表”字样，在报价时单独递交。</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2. </w:t>
            </w:r>
            <w:r>
              <w:rPr>
                <w:rFonts w:hint="eastAsia" w:ascii="宋体" w:hAnsi="宋体" w:cs="宋体"/>
                <w:color w:val="000000"/>
                <w:spacing w:val="0"/>
                <w:sz w:val="24"/>
                <w:highlight w:val="none"/>
                <w:lang w:eastAsia="zh-CN"/>
              </w:rPr>
              <w:t>开标一览表应由投标人法定代表人或授权代理人签字和加盖投标人公章，如无法定代表人或授权代理人签字和投标人公章将被判为无效投标。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11</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密封和标记</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1. </w:t>
            </w:r>
            <w:r>
              <w:rPr>
                <w:rFonts w:hint="eastAsia" w:ascii="宋体" w:hAnsi="宋体" w:cs="宋体"/>
                <w:color w:val="000000"/>
                <w:spacing w:val="0"/>
                <w:sz w:val="24"/>
                <w:highlight w:val="none"/>
                <w:lang w:eastAsia="zh-CN"/>
              </w:rPr>
              <w:t>投标人的投标文件和开标一览表必须密封，封口处加盖投标人单位公章。封皮上写明投标人的名称。</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2. </w:t>
            </w:r>
            <w:r>
              <w:rPr>
                <w:rFonts w:hint="eastAsia" w:ascii="宋体" w:hAnsi="宋体" w:cs="宋体"/>
                <w:color w:val="000000"/>
                <w:spacing w:val="0"/>
                <w:sz w:val="24"/>
                <w:highlight w:val="none"/>
                <w:lang w:eastAsia="zh-CN"/>
              </w:rPr>
              <w:t>未按要求密封的投标文件和开标一览表不予接收。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12</w:t>
            </w:r>
          </w:p>
        </w:tc>
        <w:tc>
          <w:tcPr>
            <w:tcW w:w="2514" w:type="dxa"/>
            <w:vAlign w:val="center"/>
          </w:tcPr>
          <w:p>
            <w:pPr>
              <w:snapToGrid w:val="0"/>
              <w:spacing w:line="360" w:lineRule="auto"/>
              <w:jc w:val="center"/>
              <w:rPr>
                <w:rFonts w:ascii="宋体"/>
                <w:spacing w:val="0"/>
                <w:sz w:val="24"/>
                <w:highlight w:val="none"/>
              </w:rPr>
            </w:pPr>
            <w:r>
              <w:rPr>
                <w:rFonts w:hint="eastAsia" w:ascii="宋体" w:hAnsi="宋体"/>
                <w:spacing w:val="0"/>
                <w:sz w:val="24"/>
                <w:highlight w:val="none"/>
              </w:rPr>
              <w:t>投标人提出问题的</w:t>
            </w:r>
          </w:p>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spacing w:val="0"/>
                <w:highlight w:val="none"/>
              </w:rPr>
              <w:t>截止时间</w:t>
            </w:r>
          </w:p>
        </w:tc>
        <w:tc>
          <w:tcPr>
            <w:tcW w:w="6757" w:type="dxa"/>
            <w:vAlign w:val="center"/>
          </w:tcPr>
          <w:p>
            <w:pPr>
              <w:snapToGrid w:val="0"/>
              <w:spacing w:line="360" w:lineRule="auto"/>
              <w:ind w:right="113"/>
              <w:rPr>
                <w:rFonts w:ascii="宋体" w:cs="宋体"/>
                <w:color w:val="000000"/>
                <w:spacing w:val="0"/>
                <w:sz w:val="24"/>
                <w:highlight w:val="none"/>
              </w:rPr>
            </w:pPr>
            <w:r>
              <w:rPr>
                <w:rFonts w:ascii="宋体" w:hAnsi="宋体"/>
                <w:spacing w:val="0"/>
                <w:sz w:val="24"/>
                <w:highlight w:val="none"/>
              </w:rPr>
              <w:t>201</w:t>
            </w:r>
            <w:r>
              <w:rPr>
                <w:rFonts w:hint="eastAsia" w:ascii="宋体" w:hAnsi="宋体"/>
                <w:spacing w:val="0"/>
                <w:sz w:val="24"/>
                <w:highlight w:val="none"/>
              </w:rPr>
              <w:t>9年</w:t>
            </w:r>
            <w:r>
              <w:rPr>
                <w:rFonts w:hint="eastAsia" w:ascii="宋体" w:hAnsi="宋体"/>
                <w:spacing w:val="0"/>
                <w:sz w:val="24"/>
                <w:highlight w:val="none"/>
                <w:lang w:val="en-US" w:eastAsia="zh-CN"/>
              </w:rPr>
              <w:t>12</w:t>
            </w:r>
            <w:r>
              <w:rPr>
                <w:rFonts w:hint="eastAsia" w:ascii="宋体" w:hAnsi="宋体"/>
                <w:spacing w:val="0"/>
                <w:sz w:val="24"/>
                <w:highlight w:val="none"/>
              </w:rPr>
              <w:t>月</w:t>
            </w:r>
            <w:r>
              <w:rPr>
                <w:rFonts w:hint="eastAsia" w:ascii="宋体" w:hAnsi="宋体"/>
                <w:spacing w:val="0"/>
                <w:sz w:val="24"/>
                <w:highlight w:val="none"/>
                <w:lang w:val="en-US" w:eastAsia="zh-CN"/>
              </w:rPr>
              <w:t>16</w:t>
            </w:r>
            <w:r>
              <w:rPr>
                <w:rFonts w:hint="eastAsia" w:ascii="宋体" w:hAnsi="宋体"/>
                <w:spacing w:val="0"/>
                <w:sz w:val="24"/>
                <w:highlight w:val="none"/>
              </w:rPr>
              <w:t>日</w:t>
            </w:r>
            <w:r>
              <w:rPr>
                <w:rFonts w:hint="eastAsia" w:ascii="宋体" w:hAnsi="宋体"/>
                <w:spacing w:val="0"/>
                <w:sz w:val="24"/>
                <w:highlight w:val="none"/>
                <w:lang w:val="en-US" w:eastAsia="zh-CN"/>
              </w:rPr>
              <w:t>17</w:t>
            </w:r>
            <w:r>
              <w:rPr>
                <w:rFonts w:hint="eastAsia" w:ascii="宋体" w:hAnsi="宋体"/>
                <w:spacing w:val="0"/>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13</w:t>
            </w:r>
          </w:p>
        </w:tc>
        <w:tc>
          <w:tcPr>
            <w:tcW w:w="2514" w:type="dxa"/>
            <w:vAlign w:val="center"/>
          </w:tcPr>
          <w:p>
            <w:pPr>
              <w:snapToGrid w:val="0"/>
              <w:spacing w:line="360" w:lineRule="auto"/>
              <w:jc w:val="center"/>
              <w:rPr>
                <w:rFonts w:ascii="宋体"/>
                <w:spacing w:val="0"/>
                <w:sz w:val="24"/>
                <w:highlight w:val="none"/>
              </w:rPr>
            </w:pPr>
            <w:r>
              <w:rPr>
                <w:rFonts w:hint="eastAsia" w:ascii="宋体" w:hAnsi="宋体"/>
                <w:spacing w:val="0"/>
                <w:sz w:val="24"/>
                <w:highlight w:val="none"/>
              </w:rPr>
              <w:t>投标人要求澄清</w:t>
            </w:r>
          </w:p>
          <w:p>
            <w:pPr>
              <w:snapToGrid w:val="0"/>
              <w:spacing w:line="360" w:lineRule="auto"/>
              <w:jc w:val="center"/>
              <w:rPr>
                <w:rFonts w:ascii="宋体"/>
                <w:spacing w:val="0"/>
                <w:sz w:val="24"/>
                <w:highlight w:val="none"/>
              </w:rPr>
            </w:pPr>
            <w:r>
              <w:rPr>
                <w:rFonts w:hint="eastAsia" w:ascii="宋体" w:hAnsi="宋体"/>
                <w:spacing w:val="0"/>
                <w:sz w:val="24"/>
                <w:highlight w:val="none"/>
              </w:rPr>
              <w:t>招标文件的截止时间</w:t>
            </w:r>
          </w:p>
        </w:tc>
        <w:tc>
          <w:tcPr>
            <w:tcW w:w="6757" w:type="dxa"/>
            <w:vAlign w:val="center"/>
          </w:tcPr>
          <w:p>
            <w:pPr>
              <w:snapToGrid w:val="0"/>
              <w:spacing w:line="360" w:lineRule="auto"/>
              <w:rPr>
                <w:rFonts w:ascii="宋体"/>
                <w:spacing w:val="0"/>
                <w:sz w:val="24"/>
                <w:highlight w:val="none"/>
              </w:rPr>
            </w:pPr>
            <w:r>
              <w:rPr>
                <w:rFonts w:ascii="宋体" w:hAnsi="宋体"/>
                <w:spacing w:val="0"/>
                <w:sz w:val="24"/>
                <w:highlight w:val="none"/>
              </w:rPr>
              <w:t>201</w:t>
            </w:r>
            <w:r>
              <w:rPr>
                <w:rFonts w:hint="eastAsia" w:ascii="宋体" w:hAnsi="宋体"/>
                <w:spacing w:val="0"/>
                <w:sz w:val="24"/>
                <w:highlight w:val="none"/>
              </w:rPr>
              <w:t>9年</w:t>
            </w:r>
            <w:r>
              <w:rPr>
                <w:rFonts w:hint="eastAsia" w:ascii="宋体" w:hAnsi="宋体"/>
                <w:spacing w:val="0"/>
                <w:sz w:val="24"/>
                <w:highlight w:val="none"/>
                <w:lang w:val="en-US" w:eastAsia="zh-CN"/>
              </w:rPr>
              <w:t>12</w:t>
            </w:r>
            <w:r>
              <w:rPr>
                <w:rFonts w:hint="eastAsia" w:ascii="宋体" w:hAnsi="宋体"/>
                <w:spacing w:val="0"/>
                <w:sz w:val="24"/>
                <w:highlight w:val="none"/>
              </w:rPr>
              <w:t>月</w:t>
            </w:r>
            <w:r>
              <w:rPr>
                <w:rFonts w:hint="eastAsia" w:ascii="宋体" w:hAnsi="宋体"/>
                <w:spacing w:val="0"/>
                <w:sz w:val="24"/>
                <w:highlight w:val="none"/>
                <w:lang w:val="en-US" w:eastAsia="zh-CN"/>
              </w:rPr>
              <w:t>17</w:t>
            </w:r>
            <w:r>
              <w:rPr>
                <w:rFonts w:hint="eastAsia" w:ascii="宋体" w:hAnsi="宋体"/>
                <w:spacing w:val="0"/>
                <w:sz w:val="24"/>
                <w:highlight w:val="none"/>
              </w:rPr>
              <w:t>日</w:t>
            </w:r>
            <w:r>
              <w:rPr>
                <w:rFonts w:hint="eastAsia" w:ascii="宋体" w:hAnsi="宋体"/>
                <w:spacing w:val="0"/>
                <w:sz w:val="24"/>
                <w:highlight w:val="none"/>
                <w:lang w:val="en-US" w:eastAsia="zh-CN"/>
              </w:rPr>
              <w:t>9</w:t>
            </w:r>
            <w:r>
              <w:rPr>
                <w:rFonts w:hint="eastAsia" w:ascii="宋体" w:hAnsi="宋体"/>
                <w:spacing w:val="0"/>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14</w:t>
            </w:r>
          </w:p>
        </w:tc>
        <w:tc>
          <w:tcPr>
            <w:tcW w:w="2514" w:type="dxa"/>
            <w:vAlign w:val="center"/>
          </w:tcPr>
          <w:p>
            <w:pPr>
              <w:snapToGrid w:val="0"/>
              <w:spacing w:line="360" w:lineRule="auto"/>
              <w:jc w:val="center"/>
              <w:rPr>
                <w:rFonts w:ascii="宋体"/>
                <w:spacing w:val="0"/>
                <w:sz w:val="24"/>
                <w:highlight w:val="none"/>
              </w:rPr>
            </w:pPr>
            <w:r>
              <w:rPr>
                <w:rFonts w:hint="eastAsia" w:ascii="宋体" w:hAnsi="宋体"/>
                <w:spacing w:val="0"/>
                <w:sz w:val="24"/>
                <w:highlight w:val="none"/>
              </w:rPr>
              <w:t>招标人书面澄清的时间</w:t>
            </w:r>
          </w:p>
        </w:tc>
        <w:tc>
          <w:tcPr>
            <w:tcW w:w="6757" w:type="dxa"/>
            <w:vAlign w:val="center"/>
          </w:tcPr>
          <w:p>
            <w:pPr>
              <w:snapToGrid w:val="0"/>
              <w:spacing w:line="360" w:lineRule="auto"/>
              <w:rPr>
                <w:rFonts w:ascii="宋体" w:cs="宋体"/>
                <w:color w:val="000000"/>
                <w:spacing w:val="0"/>
                <w:sz w:val="24"/>
                <w:highlight w:val="none"/>
              </w:rPr>
            </w:pPr>
            <w:r>
              <w:rPr>
                <w:rFonts w:ascii="宋体" w:hAnsi="宋体"/>
                <w:spacing w:val="0"/>
                <w:sz w:val="24"/>
                <w:highlight w:val="none"/>
              </w:rPr>
              <w:t>201</w:t>
            </w:r>
            <w:r>
              <w:rPr>
                <w:rFonts w:hint="eastAsia" w:ascii="宋体" w:hAnsi="宋体"/>
                <w:spacing w:val="0"/>
                <w:sz w:val="24"/>
                <w:highlight w:val="none"/>
              </w:rPr>
              <w:t>9年</w:t>
            </w:r>
            <w:r>
              <w:rPr>
                <w:rFonts w:hint="eastAsia" w:ascii="宋体" w:hAnsi="宋体"/>
                <w:spacing w:val="0"/>
                <w:sz w:val="24"/>
                <w:highlight w:val="none"/>
                <w:lang w:val="en-US" w:eastAsia="zh-CN"/>
              </w:rPr>
              <w:t>12</w:t>
            </w:r>
            <w:r>
              <w:rPr>
                <w:rFonts w:hint="eastAsia" w:ascii="宋体" w:hAnsi="宋体"/>
                <w:spacing w:val="0"/>
                <w:sz w:val="24"/>
                <w:highlight w:val="none"/>
              </w:rPr>
              <w:t>月</w:t>
            </w:r>
            <w:r>
              <w:rPr>
                <w:rFonts w:hint="eastAsia" w:ascii="宋体" w:hAnsi="宋体"/>
                <w:spacing w:val="0"/>
                <w:sz w:val="24"/>
                <w:highlight w:val="none"/>
                <w:lang w:val="en-US" w:eastAsia="zh-CN"/>
              </w:rPr>
              <w:t>17</w:t>
            </w:r>
            <w:r>
              <w:rPr>
                <w:rFonts w:hint="eastAsia" w:ascii="宋体" w:hAnsi="宋体"/>
                <w:spacing w:val="0"/>
                <w:sz w:val="24"/>
                <w:highlight w:val="none"/>
              </w:rPr>
              <w:t>日</w:t>
            </w:r>
            <w:r>
              <w:rPr>
                <w:rFonts w:hint="eastAsia" w:ascii="宋体" w:hAnsi="宋体"/>
                <w:spacing w:val="0"/>
                <w:sz w:val="24"/>
                <w:highlight w:val="none"/>
                <w:lang w:val="en-US" w:eastAsia="zh-CN"/>
              </w:rPr>
              <w:t>9</w:t>
            </w:r>
            <w:r>
              <w:rPr>
                <w:rFonts w:hint="eastAsia" w:ascii="宋体" w:hAnsi="宋体"/>
                <w:spacing w:val="0"/>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15</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投标有效期</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90</w:t>
            </w:r>
            <w:r>
              <w:rPr>
                <w:rFonts w:hint="eastAsia" w:ascii="宋体" w:hAnsi="宋体" w:cs="宋体"/>
                <w:color w:val="000000"/>
                <w:spacing w:val="0"/>
                <w:sz w:val="24"/>
                <w:highlight w:val="none"/>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宋体" w:cs="宋体"/>
                <w:spacing w:val="0"/>
                <w:highlight w:val="none"/>
              </w:rPr>
            </w:pPr>
            <w:r>
              <w:rPr>
                <w:rFonts w:ascii="宋体" w:hAnsi="宋体" w:cs="宋体"/>
                <w:spacing w:val="0"/>
                <w:highlight w:val="none"/>
              </w:rPr>
              <w:t>16</w:t>
            </w:r>
          </w:p>
        </w:tc>
        <w:tc>
          <w:tcPr>
            <w:tcW w:w="2514"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cs="宋体"/>
                <w:spacing w:val="0"/>
                <w:highlight w:val="none"/>
              </w:rPr>
            </w:pPr>
            <w:r>
              <w:rPr>
                <w:rFonts w:hint="eastAsia" w:ascii="宋体" w:hAnsi="宋体" w:cs="宋体"/>
                <w:spacing w:val="0"/>
                <w:highlight w:val="none"/>
              </w:rPr>
              <w:t>投标保证金交纳</w:t>
            </w:r>
          </w:p>
        </w:tc>
        <w:tc>
          <w:tcPr>
            <w:tcW w:w="6757" w:type="dxa"/>
            <w:vAlign w:val="center"/>
          </w:tcPr>
          <w:p>
            <w:pPr>
              <w:pStyle w:val="111"/>
              <w:numPr>
                <w:ilvl w:val="0"/>
                <w:numId w:val="0"/>
              </w:numPr>
              <w:snapToGrid w:val="0"/>
              <w:spacing w:line="360" w:lineRule="auto"/>
              <w:jc w:val="left"/>
              <w:rPr>
                <w:rFonts w:hint="default" w:ascii="宋体" w:hAnsi="宋体" w:cs="宋体"/>
                <w:b/>
                <w:bCs/>
                <w:color w:val="000000"/>
                <w:spacing w:val="0"/>
                <w:sz w:val="24"/>
                <w:highlight w:val="none"/>
                <w:lang w:val="en-US" w:eastAsia="zh-CN"/>
              </w:rPr>
            </w:pPr>
            <w:r>
              <w:rPr>
                <w:rFonts w:hint="eastAsia" w:ascii="宋体" w:hAnsi="宋体" w:cs="宋体"/>
                <w:color w:val="000000"/>
                <w:spacing w:val="0"/>
                <w:sz w:val="24"/>
                <w:highlight w:val="none"/>
                <w:lang w:val="en-US" w:eastAsia="zh-CN"/>
              </w:rPr>
              <w:t>1、</w:t>
            </w:r>
            <w:r>
              <w:rPr>
                <w:rFonts w:hint="eastAsia" w:ascii="宋体" w:hAnsi="宋体" w:cs="宋体"/>
                <w:color w:val="000000"/>
                <w:spacing w:val="0"/>
                <w:sz w:val="24"/>
                <w:highlight w:val="none"/>
                <w:lang w:eastAsia="zh-CN"/>
              </w:rPr>
              <w:t>投标保证金的金额</w:t>
            </w:r>
            <w:r>
              <w:rPr>
                <w:rFonts w:hint="eastAsia" w:ascii="宋体" w:hAnsi="宋体" w:cs="宋体"/>
                <w:color w:val="000000"/>
                <w:spacing w:val="0"/>
                <w:sz w:val="24"/>
                <w:highlight w:val="none"/>
                <w:lang w:val="en-US" w:eastAsia="zh-CN"/>
              </w:rPr>
              <w:t>:</w:t>
            </w:r>
            <w:r>
              <w:rPr>
                <w:rFonts w:hint="eastAsia" w:ascii="宋体" w:hAnsi="宋体" w:cs="宋体"/>
                <w:color w:val="000000"/>
                <w:spacing w:val="0"/>
                <w:sz w:val="24"/>
                <w:highlight w:val="none"/>
                <w:lang w:eastAsia="zh-CN"/>
              </w:rPr>
              <w:t>小写：</w:t>
            </w:r>
            <w:r>
              <w:rPr>
                <w:rFonts w:hint="eastAsia" w:ascii="宋体" w:hAnsi="宋体" w:cs="宋体"/>
                <w:b/>
                <w:bCs/>
                <w:color w:val="000000"/>
                <w:spacing w:val="0"/>
                <w:sz w:val="24"/>
                <w:highlight w:val="none"/>
                <w:lang w:val="en-US" w:eastAsia="zh-CN"/>
              </w:rPr>
              <w:t>10000元；大写：壹万元整。</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2</w:t>
            </w:r>
            <w:r>
              <w:rPr>
                <w:rFonts w:hint="eastAsia" w:ascii="宋体" w:hAnsi="宋体" w:cs="宋体"/>
                <w:color w:val="000000"/>
                <w:spacing w:val="0"/>
                <w:sz w:val="24"/>
                <w:highlight w:val="none"/>
                <w:lang w:eastAsia="zh-CN"/>
              </w:rPr>
              <w:t>、递交方式：电汇（电汇时需备注：山大二院</w:t>
            </w:r>
            <w:r>
              <w:rPr>
                <w:rFonts w:hint="eastAsia" w:ascii="宋体" w:hAnsi="宋体" w:cs="宋体"/>
                <w:color w:val="000000"/>
                <w:spacing w:val="0"/>
                <w:sz w:val="24"/>
                <w:highlight w:val="none"/>
                <w:lang w:val="en-US" w:eastAsia="zh-CN"/>
              </w:rPr>
              <w:t>--</w:t>
            </w:r>
            <w:r>
              <w:rPr>
                <w:rFonts w:hint="eastAsia" w:ascii="宋体" w:hAnsi="宋体" w:cs="宋体"/>
                <w:color w:val="000000"/>
                <w:spacing w:val="0"/>
                <w:sz w:val="24"/>
                <w:highlight w:val="none"/>
                <w:lang w:eastAsia="zh-CN"/>
              </w:rPr>
              <w:t>招标八部）</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3</w:t>
            </w:r>
            <w:r>
              <w:rPr>
                <w:rFonts w:hint="eastAsia" w:ascii="宋体" w:hAnsi="宋体" w:cs="宋体"/>
                <w:color w:val="000000"/>
                <w:spacing w:val="0"/>
                <w:sz w:val="24"/>
                <w:highlight w:val="none"/>
                <w:lang w:eastAsia="zh-CN"/>
              </w:rPr>
              <w:t>、投标保证金汇入银行及账号：</w:t>
            </w:r>
          </w:p>
          <w:p>
            <w:pPr>
              <w:pStyle w:val="111"/>
              <w:snapToGrid w:val="0"/>
              <w:spacing w:line="360" w:lineRule="auto"/>
              <w:jc w:val="left"/>
              <w:rPr>
                <w:rFonts w:ascii="宋体" w:cs="宋体"/>
                <w:color w:val="000000"/>
                <w:spacing w:val="0"/>
                <w:sz w:val="24"/>
                <w:highlight w:val="none"/>
                <w:lang w:eastAsia="zh-CN"/>
              </w:rPr>
            </w:pPr>
            <w:r>
              <w:rPr>
                <w:rFonts w:ascii="宋体" w:cs="宋体"/>
                <w:color w:val="000000"/>
                <w:spacing w:val="0"/>
                <w:sz w:val="24"/>
                <w:highlight w:val="none"/>
                <w:lang w:eastAsia="zh-CN"/>
              </w:rPr>
              <w:t> </w:t>
            </w:r>
            <w:r>
              <w:rPr>
                <w:rFonts w:ascii="宋体" w:hAnsi="宋体" w:cs="宋体"/>
                <w:color w:val="000000"/>
                <w:spacing w:val="0"/>
                <w:sz w:val="24"/>
                <w:highlight w:val="none"/>
                <w:lang w:eastAsia="zh-CN"/>
              </w:rPr>
              <w:t xml:space="preserve"> </w:t>
            </w:r>
            <w:r>
              <w:rPr>
                <w:rFonts w:hint="eastAsia" w:ascii="宋体" w:hAnsi="宋体" w:cs="宋体"/>
                <w:color w:val="000000"/>
                <w:spacing w:val="0"/>
                <w:sz w:val="24"/>
                <w:highlight w:val="none"/>
                <w:lang w:val="en-US" w:eastAsia="zh-CN"/>
              </w:rPr>
              <w:t xml:space="preserve"> </w:t>
            </w:r>
            <w:r>
              <w:rPr>
                <w:rFonts w:hint="eastAsia" w:ascii="宋体" w:hAnsi="宋体" w:cs="宋体"/>
                <w:color w:val="000000"/>
                <w:spacing w:val="0"/>
                <w:sz w:val="24"/>
                <w:highlight w:val="none"/>
                <w:lang w:eastAsia="zh-CN"/>
              </w:rPr>
              <w:t>开户名称：山东省鲁成招标有限公司</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  </w:t>
            </w:r>
            <w:r>
              <w:rPr>
                <w:rFonts w:hint="eastAsia" w:ascii="宋体" w:hAnsi="宋体" w:cs="宋体"/>
                <w:color w:val="000000"/>
                <w:spacing w:val="0"/>
                <w:sz w:val="24"/>
                <w:highlight w:val="none"/>
                <w:lang w:val="en-US" w:eastAsia="zh-CN"/>
              </w:rPr>
              <w:t xml:space="preserve"> </w:t>
            </w:r>
            <w:r>
              <w:rPr>
                <w:rFonts w:hint="eastAsia" w:ascii="宋体" w:hAnsi="宋体" w:cs="宋体"/>
                <w:color w:val="000000"/>
                <w:spacing w:val="0"/>
                <w:sz w:val="24"/>
                <w:highlight w:val="none"/>
                <w:lang w:eastAsia="zh-CN"/>
              </w:rPr>
              <w:t>开户银行：中国农业银行济南分行</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   </w:t>
            </w:r>
            <w:r>
              <w:rPr>
                <w:rFonts w:hint="eastAsia" w:ascii="宋体" w:hAnsi="宋体" w:cs="宋体"/>
                <w:color w:val="000000"/>
                <w:spacing w:val="0"/>
                <w:sz w:val="24"/>
                <w:highlight w:val="none"/>
                <w:lang w:eastAsia="zh-CN"/>
              </w:rPr>
              <w:t>银行账号：</w:t>
            </w:r>
            <w:r>
              <w:rPr>
                <w:rFonts w:ascii="宋体" w:hAnsi="宋体" w:cs="宋体"/>
                <w:color w:val="000000"/>
                <w:spacing w:val="0"/>
                <w:sz w:val="24"/>
                <w:highlight w:val="none"/>
                <w:lang w:eastAsia="zh-CN"/>
              </w:rPr>
              <w:t>15110101040001136</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  </w:t>
            </w:r>
            <w:r>
              <w:rPr>
                <w:rFonts w:hint="eastAsia" w:ascii="宋体" w:hAnsi="宋体" w:cs="宋体"/>
                <w:color w:val="000000"/>
                <w:spacing w:val="0"/>
                <w:sz w:val="24"/>
                <w:highlight w:val="none"/>
                <w:lang w:eastAsia="zh-CN"/>
              </w:rPr>
              <w:t>（行号：</w:t>
            </w:r>
            <w:r>
              <w:rPr>
                <w:rFonts w:ascii="宋体" w:hAnsi="宋体" w:cs="宋体"/>
                <w:color w:val="000000"/>
                <w:spacing w:val="0"/>
                <w:sz w:val="24"/>
                <w:highlight w:val="none"/>
                <w:lang w:eastAsia="zh-CN"/>
              </w:rPr>
              <w:t>103451011106</w:t>
            </w:r>
            <w:r>
              <w:rPr>
                <w:rFonts w:hint="eastAsia" w:ascii="宋体" w:hAnsi="宋体" w:cs="宋体"/>
                <w:color w:val="000000"/>
                <w:spacing w:val="0"/>
                <w:sz w:val="24"/>
                <w:highlight w:val="none"/>
                <w:lang w:eastAsia="zh-CN"/>
              </w:rPr>
              <w:t>）</w:t>
            </w:r>
          </w:p>
          <w:p>
            <w:pPr>
              <w:pStyle w:val="111"/>
              <w:snapToGrid w:val="0"/>
              <w:spacing w:line="360" w:lineRule="auto"/>
              <w:jc w:val="left"/>
              <w:rPr>
                <w:rFonts w:ascii="宋体" w:hAnsi="宋体" w:cs="宋体"/>
                <w:color w:val="000000"/>
                <w:spacing w:val="0"/>
                <w:sz w:val="24"/>
                <w:highlight w:val="none"/>
                <w:lang w:eastAsia="zh-CN"/>
              </w:rPr>
            </w:pPr>
            <w:r>
              <w:rPr>
                <w:rFonts w:hint="eastAsia" w:ascii="宋体" w:hAnsi="宋体" w:cs="宋体"/>
                <w:color w:val="000000"/>
                <w:spacing w:val="0"/>
                <w:sz w:val="24"/>
                <w:highlight w:val="none"/>
                <w:lang w:eastAsia="zh-CN"/>
              </w:rPr>
              <w:t>投标保证金应当在</w:t>
            </w:r>
            <w:r>
              <w:rPr>
                <w:rFonts w:hint="eastAsia" w:ascii="宋体" w:hAnsi="宋体" w:cs="宋体"/>
                <w:b/>
                <w:bCs/>
                <w:spacing w:val="0"/>
                <w:highlight w:val="none"/>
                <w:lang w:eastAsia="zh-CN"/>
              </w:rPr>
              <w:t>2019年</w:t>
            </w:r>
            <w:r>
              <w:rPr>
                <w:rFonts w:hint="eastAsia" w:ascii="宋体" w:hAnsi="宋体" w:cs="宋体"/>
                <w:b/>
                <w:bCs/>
                <w:spacing w:val="0"/>
                <w:highlight w:val="none"/>
                <w:lang w:val="en-US" w:eastAsia="zh-CN"/>
              </w:rPr>
              <w:t>12</w:t>
            </w:r>
            <w:r>
              <w:rPr>
                <w:rFonts w:hint="eastAsia" w:ascii="宋体" w:hAnsi="宋体" w:cs="宋体"/>
                <w:b/>
                <w:bCs/>
                <w:spacing w:val="0"/>
                <w:highlight w:val="none"/>
                <w:lang w:eastAsia="zh-CN"/>
              </w:rPr>
              <w:t>月</w:t>
            </w:r>
            <w:r>
              <w:rPr>
                <w:rFonts w:hint="eastAsia" w:ascii="宋体" w:hAnsi="宋体" w:cs="宋体"/>
                <w:b/>
                <w:bCs/>
                <w:spacing w:val="0"/>
                <w:highlight w:val="none"/>
                <w:lang w:val="en-US" w:eastAsia="zh-CN"/>
              </w:rPr>
              <w:t>31</w:t>
            </w:r>
            <w:r>
              <w:rPr>
                <w:rFonts w:hint="eastAsia" w:ascii="宋体" w:hAnsi="宋体" w:cs="宋体"/>
                <w:b/>
                <w:bCs/>
                <w:spacing w:val="0"/>
                <w:highlight w:val="none"/>
                <w:lang w:eastAsia="zh-CN"/>
              </w:rPr>
              <w:t>日</w:t>
            </w:r>
            <w:r>
              <w:rPr>
                <w:rFonts w:hint="eastAsia" w:ascii="宋体" w:hAnsi="宋体" w:cs="宋体"/>
                <w:b/>
                <w:bCs/>
                <w:spacing w:val="0"/>
                <w:highlight w:val="none"/>
                <w:lang w:val="en-US" w:eastAsia="zh-CN"/>
              </w:rPr>
              <w:t>9</w:t>
            </w:r>
            <w:r>
              <w:rPr>
                <w:rFonts w:hint="eastAsia" w:ascii="宋体" w:hAnsi="宋体" w:cs="宋体"/>
                <w:b/>
                <w:bCs/>
                <w:spacing w:val="0"/>
                <w:highlight w:val="none"/>
                <w:lang w:eastAsia="zh-CN"/>
              </w:rPr>
              <w:t>:00</w:t>
            </w:r>
            <w:r>
              <w:rPr>
                <w:rFonts w:hint="eastAsia" w:ascii="宋体" w:hAnsi="宋体" w:cs="宋体"/>
                <w:color w:val="000000"/>
                <w:spacing w:val="0"/>
                <w:sz w:val="24"/>
                <w:highlight w:val="none"/>
                <w:lang w:eastAsia="zh-CN"/>
              </w:rPr>
              <w:t>之前到达上述帐户，逾期不予受理。并将开户许可证及投标保证金电汇凭证扫描版发送邮件至</w:t>
            </w:r>
            <w:r>
              <w:rPr>
                <w:rFonts w:hint="eastAsia" w:ascii="宋体" w:hAnsi="宋体" w:cs="宋体"/>
                <w:color w:val="000000"/>
                <w:spacing w:val="0"/>
                <w:sz w:val="24"/>
                <w:highlight w:val="none"/>
                <w:lang w:val="en-US" w:eastAsia="zh-CN"/>
              </w:rPr>
              <w:t>lczb08@126.com</w:t>
            </w:r>
            <w:r>
              <w:rPr>
                <w:rFonts w:hint="eastAsia" w:ascii="宋体" w:hAnsi="宋体" w:cs="宋体"/>
                <w:color w:val="000000"/>
                <w:spacing w:val="0"/>
                <w:sz w:val="24"/>
                <w:highlight w:val="none"/>
                <w:lang w:eastAsia="zh-CN"/>
              </w:rPr>
              <w:t>，同时电话通知招标代理机构负责人。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17</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投标文件递交时间</w:t>
            </w:r>
          </w:p>
        </w:tc>
        <w:tc>
          <w:tcPr>
            <w:tcW w:w="6757" w:type="dxa"/>
            <w:vAlign w:val="center"/>
          </w:tcPr>
          <w:p>
            <w:pPr>
              <w:pStyle w:val="20"/>
              <w:tabs>
                <w:tab w:val="left" w:pos="0"/>
                <w:tab w:val="left" w:pos="955"/>
              </w:tabs>
              <w:spacing w:line="360" w:lineRule="auto"/>
              <w:ind w:left="0" w:leftChars="0" w:firstLine="0" w:firstLineChars="0"/>
              <w:rPr>
                <w:rFonts w:ascii="宋体" w:cs="宋体"/>
                <w:color w:val="000000"/>
                <w:spacing w:val="0"/>
                <w:sz w:val="24"/>
                <w:highlight w:val="none"/>
                <w:lang w:eastAsia="zh-CN"/>
              </w:rPr>
            </w:pPr>
            <w:r>
              <w:rPr>
                <w:rFonts w:hint="eastAsia" w:ascii="宋体" w:hAnsi="宋体" w:cs="宋体"/>
                <w:b/>
                <w:bCs/>
                <w:spacing w:val="0"/>
                <w:highlight w:val="none"/>
              </w:rPr>
              <w:t>2019年</w:t>
            </w:r>
            <w:r>
              <w:rPr>
                <w:rFonts w:hint="eastAsia" w:ascii="宋体" w:hAnsi="宋体" w:cs="宋体"/>
                <w:b/>
                <w:bCs/>
                <w:spacing w:val="0"/>
                <w:highlight w:val="none"/>
                <w:lang w:val="en-US" w:eastAsia="zh-CN"/>
              </w:rPr>
              <w:t>12</w:t>
            </w:r>
            <w:r>
              <w:rPr>
                <w:rFonts w:hint="eastAsia" w:ascii="宋体" w:hAnsi="宋体" w:cs="宋体"/>
                <w:b/>
                <w:bCs/>
                <w:spacing w:val="0"/>
                <w:highlight w:val="none"/>
              </w:rPr>
              <w:t>月</w:t>
            </w:r>
            <w:r>
              <w:rPr>
                <w:rFonts w:hint="eastAsia" w:ascii="宋体" w:hAnsi="宋体" w:cs="宋体"/>
                <w:b/>
                <w:bCs/>
                <w:spacing w:val="0"/>
                <w:highlight w:val="none"/>
                <w:lang w:val="en-US" w:eastAsia="zh-CN"/>
              </w:rPr>
              <w:t>31</w:t>
            </w:r>
            <w:r>
              <w:rPr>
                <w:rFonts w:hint="eastAsia" w:ascii="宋体" w:hAnsi="宋体" w:cs="宋体"/>
                <w:b/>
                <w:bCs/>
                <w:spacing w:val="0"/>
                <w:highlight w:val="none"/>
              </w:rPr>
              <w:t>日8：00至9:00（超时不收）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18</w:t>
            </w:r>
          </w:p>
        </w:tc>
        <w:tc>
          <w:tcPr>
            <w:tcW w:w="2514"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投标文件递交的</w:t>
            </w:r>
          </w:p>
          <w:p>
            <w:pPr>
              <w:pStyle w:val="111"/>
              <w:snapToGrid w:val="0"/>
              <w:spacing w:line="360" w:lineRule="auto"/>
              <w:ind w:firstLine="480" w:firstLineChars="200"/>
              <w:rPr>
                <w:rFonts w:ascii="宋体" w:cs="宋体"/>
                <w:spacing w:val="0"/>
                <w:highlight w:val="none"/>
              </w:rPr>
            </w:pPr>
            <w:r>
              <w:rPr>
                <w:rFonts w:hint="eastAsia" w:ascii="宋体" w:hAnsi="宋体" w:cs="宋体"/>
                <w:color w:val="000000"/>
                <w:spacing w:val="0"/>
                <w:sz w:val="24"/>
                <w:highlight w:val="none"/>
                <w:lang w:eastAsia="zh-CN"/>
              </w:rPr>
              <w:t>截止时间</w:t>
            </w:r>
          </w:p>
        </w:tc>
        <w:tc>
          <w:tcPr>
            <w:tcW w:w="6757" w:type="dxa"/>
            <w:vAlign w:val="center"/>
          </w:tcPr>
          <w:p>
            <w:pPr>
              <w:pStyle w:val="20"/>
              <w:tabs>
                <w:tab w:val="left" w:pos="0"/>
                <w:tab w:val="left" w:pos="955"/>
              </w:tabs>
              <w:spacing w:line="360" w:lineRule="auto"/>
              <w:ind w:left="0" w:leftChars="0" w:firstLine="0" w:firstLineChars="0"/>
              <w:rPr>
                <w:rFonts w:ascii="宋体" w:cs="宋体"/>
                <w:color w:val="000000"/>
                <w:spacing w:val="0"/>
                <w:highlight w:val="none"/>
              </w:rPr>
            </w:pPr>
            <w:r>
              <w:rPr>
                <w:rFonts w:hint="eastAsia" w:ascii="宋体" w:hAnsi="宋体" w:cs="宋体"/>
                <w:b/>
                <w:bCs/>
                <w:spacing w:val="0"/>
                <w:highlight w:val="none"/>
              </w:rPr>
              <w:t>2019年</w:t>
            </w:r>
            <w:r>
              <w:rPr>
                <w:rFonts w:hint="eastAsia" w:ascii="宋体" w:hAnsi="宋体" w:cs="宋体"/>
                <w:b/>
                <w:bCs/>
                <w:spacing w:val="0"/>
                <w:highlight w:val="none"/>
                <w:lang w:val="en-US" w:eastAsia="zh-CN"/>
              </w:rPr>
              <w:t>12</w:t>
            </w:r>
            <w:r>
              <w:rPr>
                <w:rFonts w:hint="eastAsia" w:ascii="宋体" w:hAnsi="宋体" w:cs="宋体"/>
                <w:b/>
                <w:bCs/>
                <w:spacing w:val="0"/>
                <w:highlight w:val="none"/>
              </w:rPr>
              <w:t>月</w:t>
            </w:r>
            <w:r>
              <w:rPr>
                <w:rFonts w:hint="eastAsia" w:ascii="宋体" w:hAnsi="宋体" w:cs="宋体"/>
                <w:b/>
                <w:bCs/>
                <w:spacing w:val="0"/>
                <w:highlight w:val="none"/>
                <w:lang w:val="en-US" w:eastAsia="zh-CN"/>
              </w:rPr>
              <w:t>31</w:t>
            </w:r>
            <w:r>
              <w:rPr>
                <w:rFonts w:hint="eastAsia" w:ascii="宋体" w:hAnsi="宋体" w:cs="宋体"/>
                <w:b/>
                <w:bCs/>
                <w:spacing w:val="0"/>
                <w:highlight w:val="none"/>
              </w:rPr>
              <w:t>日9：00时整(北京时间)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19</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lang w:eastAsia="zh-CN"/>
              </w:rPr>
            </w:pPr>
            <w:r>
              <w:rPr>
                <w:rFonts w:hint="eastAsia" w:ascii="宋体" w:hAnsi="宋体" w:cs="宋体"/>
                <w:spacing w:val="0"/>
                <w:highlight w:val="none"/>
              </w:rPr>
              <w:t>递交投标文件地点</w:t>
            </w:r>
          </w:p>
        </w:tc>
        <w:tc>
          <w:tcPr>
            <w:tcW w:w="6757" w:type="dxa"/>
            <w:vAlign w:val="center"/>
          </w:tcPr>
          <w:p>
            <w:pPr>
              <w:pStyle w:val="111"/>
              <w:snapToGrid w:val="0"/>
              <w:spacing w:line="360" w:lineRule="auto"/>
              <w:jc w:val="left"/>
              <w:rPr>
                <w:rFonts w:ascii="宋体" w:cs="宋体"/>
                <w:color w:val="000000"/>
                <w:spacing w:val="0"/>
                <w:highlight w:val="none"/>
              </w:rPr>
            </w:pPr>
            <w:r>
              <w:rPr>
                <w:rFonts w:hint="eastAsia" w:ascii="宋体" w:hAnsi="宋体" w:cs="宋体"/>
                <w:color w:val="000000"/>
                <w:spacing w:val="0"/>
                <w:sz w:val="24"/>
                <w:highlight w:val="none"/>
                <w:lang w:eastAsia="zh-CN"/>
              </w:rPr>
              <w:t>山东大学第二医院办公楼五楼会议室（济南市天桥区北园大街</w:t>
            </w:r>
            <w:r>
              <w:rPr>
                <w:rFonts w:ascii="宋体" w:hAnsi="宋体" w:cs="宋体"/>
                <w:color w:val="000000"/>
                <w:spacing w:val="0"/>
                <w:sz w:val="24"/>
                <w:highlight w:val="none"/>
                <w:lang w:eastAsia="zh-CN"/>
              </w:rPr>
              <w:t>247</w:t>
            </w:r>
            <w:r>
              <w:rPr>
                <w:rFonts w:hint="eastAsia" w:ascii="宋体" w:hAnsi="宋体" w:cs="宋体"/>
                <w:color w:val="000000"/>
                <w:spacing w:val="0"/>
                <w:sz w:val="24"/>
                <w:highlight w:val="none"/>
                <w:lang w:eastAsia="zh-CN"/>
              </w:rPr>
              <w:t>号）</w:t>
            </w:r>
            <w:r>
              <w:rPr>
                <w:rFonts w:hint="eastAsia" w:ascii="宋体" w:cs="宋体"/>
                <w:spacing w:val="0"/>
                <w:sz w:val="24"/>
                <w:highlight w:val="none"/>
                <w:lang w:eastAsia="zh-CN"/>
              </w:rPr>
              <w:t>（如有变动临时通知）</w:t>
            </w:r>
            <w:r>
              <w:rPr>
                <w:rFonts w:hint="eastAsia" w:ascii="宋体" w:hAnsi="宋体" w:cs="宋体"/>
                <w:color w:val="000000"/>
                <w:spacing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20</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评审方法</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21</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同品牌产品</w:t>
            </w:r>
          </w:p>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投标说明</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提供相同品牌产品且通过资格审查、符合性审查的不同投标人参加同一合同项下投标的，按一家投标人计算，评审后得分最高的同品牌投标人获得中标人推荐资格；评审得分相同的，投标价格最低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hint="default" w:ascii="宋体" w:eastAsia="宋体" w:cs="宋体"/>
                <w:spacing w:val="0"/>
                <w:highlight w:val="none"/>
                <w:lang w:val="en-US" w:eastAsia="zh-CN"/>
              </w:rPr>
            </w:pPr>
            <w:r>
              <w:rPr>
                <w:rFonts w:hint="eastAsia" w:ascii="宋体" w:cs="宋体"/>
                <w:spacing w:val="0"/>
                <w:highlight w:val="none"/>
                <w:lang w:val="en-US" w:eastAsia="zh-CN"/>
              </w:rPr>
              <w:t>22</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投标费用</w:t>
            </w:r>
          </w:p>
        </w:tc>
        <w:tc>
          <w:tcPr>
            <w:tcW w:w="6757" w:type="dxa"/>
            <w:vAlign w:val="center"/>
          </w:tcPr>
          <w:p>
            <w:pPr>
              <w:pStyle w:val="20"/>
              <w:tabs>
                <w:tab w:val="left" w:pos="0"/>
                <w:tab w:val="left" w:pos="840"/>
                <w:tab w:val="left" w:pos="955"/>
              </w:tabs>
              <w:snapToGrid w:val="0"/>
              <w:spacing w:line="360" w:lineRule="auto"/>
              <w:ind w:left="0" w:leftChars="0" w:firstLine="0" w:firstLineChars="0"/>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中标服务费：按国家计委计价格</w:t>
            </w:r>
            <w:r>
              <w:rPr>
                <w:rFonts w:ascii="宋体" w:hAnsi="宋体" w:cs="宋体"/>
                <w:color w:val="000000"/>
                <w:spacing w:val="0"/>
                <w:sz w:val="24"/>
                <w:highlight w:val="none"/>
                <w:lang w:eastAsia="zh-CN"/>
              </w:rPr>
              <w:t>[2002]1980</w:t>
            </w:r>
            <w:r>
              <w:rPr>
                <w:rFonts w:hint="eastAsia" w:ascii="宋体" w:hAnsi="宋体" w:cs="宋体"/>
                <w:color w:val="000000"/>
                <w:spacing w:val="0"/>
                <w:sz w:val="24"/>
                <w:highlight w:val="none"/>
                <w:lang w:eastAsia="zh-CN"/>
              </w:rPr>
              <w:t>号文收费标准下浮</w:t>
            </w:r>
            <w:r>
              <w:rPr>
                <w:rFonts w:ascii="宋体" w:hAnsi="宋体" w:cs="宋体"/>
                <w:color w:val="000000"/>
                <w:spacing w:val="0"/>
                <w:sz w:val="24"/>
                <w:highlight w:val="none"/>
                <w:lang w:val="en-US" w:eastAsia="zh-CN"/>
              </w:rPr>
              <w:t>30%</w:t>
            </w:r>
            <w:r>
              <w:rPr>
                <w:rFonts w:hint="eastAsia" w:ascii="宋体" w:hAnsi="宋体" w:cs="宋体"/>
                <w:color w:val="000000"/>
                <w:spacing w:val="0"/>
                <w:sz w:val="24"/>
                <w:highlight w:val="none"/>
                <w:lang w:eastAsia="zh-CN"/>
              </w:rPr>
              <w:t>向代理招标人交纳中标服务费。中标服务费由中标人支付。无论投标过程中的方法和结果如何，投标人自行承担所有与参加投标有关的费用。</w:t>
            </w:r>
          </w:p>
        </w:tc>
      </w:tr>
    </w:tbl>
    <w:p>
      <w:pPr>
        <w:pStyle w:val="21"/>
        <w:spacing w:line="480" w:lineRule="exact"/>
        <w:ind w:left="0" w:leftChars="0" w:firstLine="0" w:firstLineChars="0"/>
        <w:outlineLvl w:val="0"/>
        <w:rPr>
          <w:rFonts w:ascii="宋体"/>
          <w:sz w:val="24"/>
          <w:highlight w:val="none"/>
        </w:rPr>
      </w:pPr>
      <w:r>
        <w:rPr>
          <w:rFonts w:ascii="宋体"/>
          <w:sz w:val="24"/>
          <w:highlight w:val="none"/>
        </w:rPr>
        <w:br w:type="page"/>
      </w:r>
    </w:p>
    <w:p>
      <w:pPr>
        <w:pStyle w:val="21"/>
        <w:spacing w:line="480" w:lineRule="exact"/>
        <w:ind w:left="98" w:leftChars="0" w:hanging="98" w:hangingChars="35"/>
        <w:outlineLvl w:val="1"/>
        <w:rPr>
          <w:rFonts w:ascii="宋体"/>
          <w:b/>
          <w:sz w:val="28"/>
          <w:highlight w:val="none"/>
        </w:rPr>
      </w:pPr>
      <w:bookmarkStart w:id="6" w:name="_Toc10957"/>
      <w:bookmarkStart w:id="7" w:name="_Toc16191"/>
      <w:bookmarkStart w:id="8" w:name="_Toc12225"/>
      <w:r>
        <w:rPr>
          <w:rFonts w:hint="eastAsia" w:ascii="宋体" w:hAnsi="宋体"/>
          <w:b/>
          <w:sz w:val="28"/>
          <w:highlight w:val="none"/>
        </w:rPr>
        <w:t>一、说明</w:t>
      </w:r>
      <w:bookmarkEnd w:id="6"/>
      <w:bookmarkEnd w:id="7"/>
      <w:bookmarkEnd w:id="8"/>
    </w:p>
    <w:p>
      <w:pPr>
        <w:pStyle w:val="12"/>
        <w:tabs>
          <w:tab w:val="left" w:pos="1146"/>
        </w:tabs>
        <w:spacing w:line="480" w:lineRule="exact"/>
        <w:ind w:left="195" w:leftChars="93" w:firstLine="361" w:firstLineChars="150"/>
        <w:rPr>
          <w:rFonts w:ascii="宋体"/>
          <w:b/>
          <w:sz w:val="24"/>
          <w:highlight w:val="none"/>
        </w:rPr>
      </w:pPr>
      <w:r>
        <w:rPr>
          <w:rFonts w:ascii="宋体" w:hAnsi="宋体"/>
          <w:b/>
          <w:sz w:val="24"/>
          <w:highlight w:val="none"/>
        </w:rPr>
        <w:t xml:space="preserve">1.  </w:t>
      </w:r>
      <w:r>
        <w:rPr>
          <w:rFonts w:hint="eastAsia" w:ascii="宋体" w:hAnsi="宋体"/>
          <w:b/>
          <w:sz w:val="24"/>
          <w:highlight w:val="none"/>
        </w:rPr>
        <w:t>招标人</w:t>
      </w:r>
    </w:p>
    <w:p>
      <w:pPr>
        <w:pStyle w:val="12"/>
        <w:tabs>
          <w:tab w:val="left" w:pos="1146"/>
        </w:tabs>
        <w:spacing w:line="480" w:lineRule="exact"/>
        <w:ind w:left="99" w:leftChars="47" w:firstLine="960" w:firstLineChars="400"/>
        <w:rPr>
          <w:rFonts w:ascii="宋体"/>
          <w:sz w:val="24"/>
          <w:highlight w:val="none"/>
        </w:rPr>
      </w:pPr>
      <w:r>
        <w:rPr>
          <w:rFonts w:hint="eastAsia" w:ascii="宋体" w:hAnsi="宋体"/>
          <w:sz w:val="24"/>
          <w:highlight w:val="none"/>
        </w:rPr>
        <w:t>系指山东大学第二医院</w:t>
      </w:r>
    </w:p>
    <w:p>
      <w:pPr>
        <w:pStyle w:val="12"/>
        <w:tabs>
          <w:tab w:val="left" w:pos="1146"/>
        </w:tabs>
        <w:spacing w:line="480" w:lineRule="exact"/>
        <w:ind w:left="953" w:leftChars="272" w:hanging="382" w:firstLineChars="0"/>
        <w:rPr>
          <w:rFonts w:ascii="宋体"/>
          <w:b/>
          <w:sz w:val="24"/>
          <w:highlight w:val="none"/>
        </w:rPr>
      </w:pPr>
      <w:r>
        <w:rPr>
          <w:rFonts w:ascii="宋体" w:hAnsi="宋体"/>
          <w:b/>
          <w:sz w:val="24"/>
          <w:highlight w:val="none"/>
        </w:rPr>
        <w:t xml:space="preserve">2.  </w:t>
      </w:r>
      <w:r>
        <w:rPr>
          <w:rFonts w:hint="eastAsia" w:ascii="宋体" w:hAnsi="宋体"/>
          <w:b/>
          <w:sz w:val="24"/>
          <w:highlight w:val="none"/>
        </w:rPr>
        <w:t>招标代理</w:t>
      </w:r>
    </w:p>
    <w:p>
      <w:pPr>
        <w:pStyle w:val="12"/>
        <w:tabs>
          <w:tab w:val="left" w:pos="1146"/>
        </w:tabs>
        <w:spacing w:line="480" w:lineRule="exact"/>
        <w:ind w:left="195" w:leftChars="93" w:firstLine="840" w:firstLineChars="350"/>
        <w:rPr>
          <w:rFonts w:ascii="宋体"/>
          <w:sz w:val="24"/>
          <w:highlight w:val="none"/>
        </w:rPr>
      </w:pPr>
      <w:r>
        <w:rPr>
          <w:rFonts w:hint="eastAsia" w:ascii="宋体" w:hAnsi="宋体"/>
          <w:sz w:val="24"/>
          <w:highlight w:val="none"/>
        </w:rPr>
        <w:t>系指山东省鲁成招标有限公司</w:t>
      </w:r>
    </w:p>
    <w:p>
      <w:pPr>
        <w:pStyle w:val="21"/>
        <w:tabs>
          <w:tab w:val="left" w:pos="573"/>
          <w:tab w:val="left" w:pos="1146"/>
        </w:tabs>
        <w:spacing w:line="480" w:lineRule="exact"/>
        <w:ind w:left="953" w:leftChars="272" w:hanging="382" w:firstLineChars="0"/>
        <w:outlineLvl w:val="0"/>
        <w:rPr>
          <w:rFonts w:ascii="宋体"/>
          <w:b/>
          <w:sz w:val="24"/>
          <w:highlight w:val="none"/>
        </w:rPr>
      </w:pPr>
      <w:bookmarkStart w:id="9" w:name="_Toc7693"/>
      <w:bookmarkStart w:id="10" w:name="_Toc6481"/>
      <w:bookmarkStart w:id="11" w:name="_Toc32185"/>
      <w:r>
        <w:rPr>
          <w:rFonts w:ascii="宋体" w:hAnsi="宋体"/>
          <w:b/>
          <w:sz w:val="24"/>
          <w:highlight w:val="none"/>
        </w:rPr>
        <w:t xml:space="preserve">3.  </w:t>
      </w:r>
      <w:r>
        <w:rPr>
          <w:rFonts w:hint="eastAsia" w:ascii="宋体" w:hAnsi="宋体"/>
          <w:b/>
          <w:sz w:val="24"/>
          <w:highlight w:val="none"/>
        </w:rPr>
        <w:t>合格投标人</w:t>
      </w:r>
      <w:bookmarkEnd w:id="9"/>
      <w:bookmarkEnd w:id="10"/>
      <w:bookmarkEnd w:id="11"/>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3.1</w:t>
      </w:r>
      <w:r>
        <w:rPr>
          <w:rFonts w:hint="eastAsia" w:ascii="宋体" w:hAnsi="宋体"/>
          <w:sz w:val="24"/>
          <w:highlight w:val="none"/>
        </w:rPr>
        <w:t>具备本招标公告规定的投标人资格要求；</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3.1.1</w:t>
      </w:r>
      <w:r>
        <w:rPr>
          <w:rFonts w:hint="eastAsia" w:ascii="宋体"/>
          <w:sz w:val="24"/>
          <w:highlight w:val="none"/>
        </w:rPr>
        <w:t>具有独立承担民事责任的能力；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3.1.2</w:t>
      </w:r>
      <w:r>
        <w:rPr>
          <w:rFonts w:hint="eastAsia" w:ascii="宋体"/>
          <w:sz w:val="24"/>
          <w:highlight w:val="none"/>
        </w:rPr>
        <w:t>具有良好的商业信誉和健全的财务会计制度；</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3.1.3</w:t>
      </w:r>
      <w:r>
        <w:rPr>
          <w:rFonts w:hint="eastAsia" w:ascii="宋体"/>
          <w:sz w:val="24"/>
          <w:highlight w:val="none"/>
        </w:rPr>
        <w:t>具有履行合同所必需的设备和专业技术能力；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3.1.4</w:t>
      </w:r>
      <w:r>
        <w:rPr>
          <w:rFonts w:hint="eastAsia" w:ascii="宋体"/>
          <w:sz w:val="24"/>
          <w:highlight w:val="none"/>
        </w:rPr>
        <w:t>有依法缴纳税收和社会保障资金的良好纪录；</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3.1.5</w:t>
      </w:r>
      <w:r>
        <w:rPr>
          <w:rFonts w:hint="eastAsia" w:ascii="宋体"/>
          <w:sz w:val="24"/>
          <w:highlight w:val="none"/>
        </w:rPr>
        <w:t>参加政府采购活动前三年内，未发生重大质量安全事故；无弄虚作假和重大违法违纪行为；无医药购销领域商业贿赂方面的不良记录；</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3.1.6</w:t>
      </w:r>
      <w:r>
        <w:rPr>
          <w:rFonts w:hint="eastAsia" w:ascii="宋体"/>
          <w:sz w:val="24"/>
          <w:highlight w:val="none"/>
        </w:rPr>
        <w:t>在以往的政府采购活动中无违法、违规、违纪、违约行为；</w:t>
      </w:r>
    </w:p>
    <w:p>
      <w:pPr>
        <w:pStyle w:val="12"/>
        <w:tabs>
          <w:tab w:val="left" w:pos="1146"/>
        </w:tabs>
        <w:spacing w:line="480" w:lineRule="exact"/>
        <w:ind w:left="197" w:leftChars="94" w:firstLine="360" w:firstLineChars="150"/>
        <w:rPr>
          <w:rFonts w:hint="eastAsia" w:ascii="宋体" w:eastAsia="宋体"/>
          <w:sz w:val="24"/>
          <w:highlight w:val="none"/>
          <w:lang w:eastAsia="zh-CN"/>
        </w:rPr>
      </w:pPr>
      <w:r>
        <w:rPr>
          <w:rFonts w:ascii="宋体"/>
          <w:sz w:val="24"/>
          <w:highlight w:val="none"/>
        </w:rPr>
        <w:t>3.1.7</w:t>
      </w:r>
      <w:r>
        <w:rPr>
          <w:rFonts w:hint="eastAsia" w:ascii="宋体"/>
          <w:sz w:val="24"/>
          <w:highlight w:val="none"/>
        </w:rPr>
        <w:t>法律、行政法规规定的其他条件</w:t>
      </w:r>
      <w:r>
        <w:rPr>
          <w:rFonts w:hint="eastAsia" w:ascii="宋体"/>
          <w:sz w:val="24"/>
          <w:highlight w:val="none"/>
          <w:lang w:eastAsia="zh-CN"/>
        </w:rPr>
        <w:t>；</w:t>
      </w:r>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3.2</w:t>
      </w:r>
      <w:r>
        <w:rPr>
          <w:rFonts w:hint="eastAsia" w:ascii="宋体" w:hAnsi="宋体"/>
          <w:sz w:val="24"/>
          <w:highlight w:val="none"/>
        </w:rPr>
        <w:t>提供的资格资质证明文件均真实有效；</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3.3</w:t>
      </w:r>
      <w:r>
        <w:rPr>
          <w:rFonts w:hint="eastAsia" w:ascii="宋体" w:hAnsi="宋体"/>
          <w:bCs/>
          <w:sz w:val="24"/>
          <w:highlight w:val="none"/>
        </w:rPr>
        <w:t>向招标代理购买招标文件并登记备案；</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3.4</w:t>
      </w:r>
      <w:r>
        <w:rPr>
          <w:rFonts w:hint="eastAsia" w:ascii="宋体" w:hAnsi="宋体"/>
          <w:bCs/>
          <w:sz w:val="24"/>
          <w:highlight w:val="none"/>
        </w:rPr>
        <w:t>在以往的招标活动中没有违法、违规、违纪、违约行为；</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3.5</w:t>
      </w:r>
      <w:r>
        <w:rPr>
          <w:rFonts w:hint="eastAsia" w:ascii="宋体" w:hAnsi="宋体"/>
          <w:bCs/>
          <w:sz w:val="24"/>
          <w:highlight w:val="none"/>
        </w:rPr>
        <w:t>遵守《中华人民共和国政府采购法》及实施条例、其他有关的中国法律、法规和规定；</w:t>
      </w:r>
    </w:p>
    <w:p>
      <w:pPr>
        <w:pStyle w:val="12"/>
        <w:tabs>
          <w:tab w:val="left" w:pos="1146"/>
        </w:tabs>
        <w:spacing w:line="480" w:lineRule="exact"/>
        <w:ind w:left="197" w:leftChars="94" w:firstLine="360" w:firstLineChars="150"/>
        <w:rPr>
          <w:rFonts w:hint="eastAsia" w:ascii="宋体" w:eastAsia="宋体"/>
          <w:bCs/>
          <w:sz w:val="24"/>
          <w:highlight w:val="none"/>
          <w:lang w:eastAsia="zh-CN"/>
        </w:rPr>
      </w:pPr>
      <w:r>
        <w:rPr>
          <w:rFonts w:ascii="宋体" w:hAnsi="宋体"/>
          <w:bCs/>
          <w:sz w:val="24"/>
          <w:highlight w:val="none"/>
        </w:rPr>
        <w:t xml:space="preserve">3.6 </w:t>
      </w:r>
      <w:r>
        <w:rPr>
          <w:rFonts w:hint="eastAsia" w:ascii="宋体" w:hAnsi="宋体"/>
          <w:bCs/>
          <w:sz w:val="24"/>
          <w:highlight w:val="none"/>
        </w:rPr>
        <w:t>本次招标不接受联合体投标</w:t>
      </w:r>
      <w:r>
        <w:rPr>
          <w:rFonts w:hint="eastAsia" w:ascii="宋体" w:hAnsi="宋体"/>
          <w:bCs/>
          <w:sz w:val="24"/>
          <w:highlight w:val="none"/>
          <w:lang w:eastAsia="zh-CN"/>
        </w:rPr>
        <w:t>。</w:t>
      </w:r>
    </w:p>
    <w:p>
      <w:pPr>
        <w:pStyle w:val="21"/>
        <w:tabs>
          <w:tab w:val="left" w:pos="1146"/>
        </w:tabs>
        <w:spacing w:line="480" w:lineRule="exact"/>
        <w:ind w:left="1144" w:leftChars="272" w:hanging="573" w:hangingChars="238"/>
        <w:outlineLvl w:val="0"/>
        <w:rPr>
          <w:rFonts w:ascii="宋体"/>
          <w:b/>
          <w:sz w:val="24"/>
          <w:highlight w:val="none"/>
        </w:rPr>
      </w:pPr>
      <w:bookmarkStart w:id="12" w:name="_Toc9430"/>
      <w:bookmarkStart w:id="13" w:name="_Toc10338"/>
      <w:bookmarkStart w:id="14" w:name="_Toc28524"/>
      <w:r>
        <w:rPr>
          <w:rFonts w:ascii="宋体" w:hAnsi="宋体"/>
          <w:b/>
          <w:sz w:val="24"/>
          <w:highlight w:val="none"/>
        </w:rPr>
        <w:t xml:space="preserve">4  </w:t>
      </w:r>
      <w:r>
        <w:rPr>
          <w:rFonts w:hint="eastAsia" w:ascii="宋体" w:hAnsi="宋体"/>
          <w:b/>
          <w:sz w:val="24"/>
          <w:highlight w:val="none"/>
        </w:rPr>
        <w:t>货物定义</w:t>
      </w:r>
      <w:bookmarkEnd w:id="12"/>
      <w:bookmarkEnd w:id="13"/>
      <w:bookmarkEnd w:id="14"/>
    </w:p>
    <w:p>
      <w:pPr>
        <w:pStyle w:val="21"/>
        <w:tabs>
          <w:tab w:val="left" w:pos="1146"/>
        </w:tabs>
        <w:spacing w:line="480" w:lineRule="exact"/>
        <w:ind w:left="128" w:leftChars="61" w:firstLine="480" w:firstLineChars="200"/>
        <w:outlineLvl w:val="0"/>
        <w:rPr>
          <w:rFonts w:ascii="宋体"/>
          <w:sz w:val="24"/>
          <w:highlight w:val="none"/>
        </w:rPr>
      </w:pPr>
      <w:bookmarkStart w:id="15" w:name="_Toc13517"/>
      <w:bookmarkStart w:id="16" w:name="_Toc979"/>
      <w:bookmarkStart w:id="17" w:name="_Toc1705"/>
      <w:r>
        <w:rPr>
          <w:rFonts w:ascii="宋体" w:hAnsi="宋体"/>
          <w:sz w:val="24"/>
          <w:highlight w:val="none"/>
        </w:rPr>
        <w:t xml:space="preserve">4.1 </w:t>
      </w:r>
      <w:r>
        <w:rPr>
          <w:rFonts w:hint="eastAsia" w:ascii="宋体" w:hAnsi="宋体"/>
          <w:sz w:val="24"/>
          <w:highlight w:val="none"/>
        </w:rPr>
        <w:t>“招标货物”指本招标文件中所述产品及相关服务。</w:t>
      </w:r>
      <w:bookmarkEnd w:id="15"/>
      <w:bookmarkEnd w:id="16"/>
      <w:bookmarkEnd w:id="17"/>
    </w:p>
    <w:p>
      <w:pPr>
        <w:pStyle w:val="21"/>
        <w:tabs>
          <w:tab w:val="left" w:pos="1146"/>
        </w:tabs>
        <w:spacing w:line="480" w:lineRule="exact"/>
        <w:ind w:left="128" w:leftChars="61" w:firstLine="480" w:firstLineChars="200"/>
        <w:outlineLvl w:val="0"/>
        <w:rPr>
          <w:rFonts w:ascii="宋体"/>
          <w:sz w:val="24"/>
          <w:highlight w:val="none"/>
        </w:rPr>
      </w:pPr>
      <w:bookmarkStart w:id="18" w:name="_Toc17993"/>
      <w:bookmarkStart w:id="19" w:name="_Toc15995"/>
      <w:bookmarkStart w:id="20" w:name="_Toc13825"/>
      <w:r>
        <w:rPr>
          <w:rFonts w:ascii="宋体" w:hAnsi="宋体"/>
          <w:sz w:val="24"/>
          <w:highlight w:val="none"/>
        </w:rPr>
        <w:t xml:space="preserve">4.2  </w:t>
      </w:r>
      <w:r>
        <w:rPr>
          <w:rFonts w:hint="eastAsia" w:ascii="宋体" w:hAnsi="宋体"/>
          <w:sz w:val="24"/>
          <w:highlight w:val="none"/>
        </w:rPr>
        <w:t>进口产品是指通过中国海关报关验放进入中国境内且产自关境外的产品。</w:t>
      </w:r>
      <w:bookmarkEnd w:id="18"/>
      <w:bookmarkEnd w:id="19"/>
      <w:bookmarkEnd w:id="20"/>
    </w:p>
    <w:p>
      <w:pPr>
        <w:pStyle w:val="21"/>
        <w:tabs>
          <w:tab w:val="left" w:pos="955"/>
        </w:tabs>
        <w:spacing w:line="480" w:lineRule="exact"/>
        <w:ind w:left="571" w:leftChars="272" w:firstLine="2" w:firstLineChars="0"/>
        <w:outlineLvl w:val="0"/>
        <w:rPr>
          <w:rFonts w:ascii="宋体"/>
          <w:b/>
          <w:sz w:val="24"/>
          <w:highlight w:val="none"/>
        </w:rPr>
      </w:pPr>
      <w:bookmarkStart w:id="21" w:name="_Toc6605"/>
      <w:bookmarkStart w:id="22" w:name="_Toc32728"/>
      <w:bookmarkStart w:id="23" w:name="_Toc30324"/>
      <w:r>
        <w:rPr>
          <w:rFonts w:ascii="宋体" w:hAnsi="宋体"/>
          <w:b/>
          <w:sz w:val="24"/>
          <w:highlight w:val="none"/>
        </w:rPr>
        <w:t xml:space="preserve">5.  </w:t>
      </w:r>
      <w:r>
        <w:rPr>
          <w:rFonts w:hint="eastAsia" w:ascii="宋体" w:hAnsi="宋体"/>
          <w:b/>
          <w:sz w:val="24"/>
          <w:highlight w:val="none"/>
        </w:rPr>
        <w:t>投标费用</w:t>
      </w:r>
      <w:bookmarkEnd w:id="21"/>
      <w:bookmarkEnd w:id="22"/>
      <w:bookmarkEnd w:id="23"/>
    </w:p>
    <w:p>
      <w:pPr>
        <w:pStyle w:val="21"/>
        <w:spacing w:line="480" w:lineRule="exact"/>
        <w:ind w:left="48" w:leftChars="23" w:firstLine="480" w:firstLineChars="200"/>
        <w:outlineLvl w:val="0"/>
        <w:rPr>
          <w:rFonts w:ascii="宋体"/>
          <w:sz w:val="24"/>
          <w:highlight w:val="none"/>
        </w:rPr>
      </w:pPr>
      <w:bookmarkStart w:id="24" w:name="_Toc7414"/>
      <w:bookmarkStart w:id="25" w:name="_Toc8916"/>
      <w:bookmarkStart w:id="26" w:name="_Toc17097"/>
      <w:r>
        <w:rPr>
          <w:rFonts w:ascii="宋体" w:hAnsi="宋体"/>
          <w:sz w:val="24"/>
          <w:highlight w:val="none"/>
        </w:rPr>
        <w:t>5.1</w:t>
      </w:r>
      <w:r>
        <w:rPr>
          <w:rFonts w:hint="eastAsia" w:ascii="宋体" w:hAnsi="宋体"/>
          <w:sz w:val="24"/>
          <w:highlight w:val="none"/>
        </w:rPr>
        <w:t>无论投标报价过程的实施或结果如何，投标人均应承担与投标文件制作和投标报价相关的所有费用。招标人和招标代理在任何情况下都不担负这些费用。</w:t>
      </w:r>
      <w:bookmarkEnd w:id="24"/>
      <w:bookmarkEnd w:id="25"/>
      <w:bookmarkEnd w:id="26"/>
    </w:p>
    <w:p>
      <w:pPr>
        <w:pStyle w:val="21"/>
        <w:spacing w:line="480" w:lineRule="exact"/>
        <w:ind w:left="48" w:leftChars="23" w:firstLine="480" w:firstLineChars="200"/>
        <w:outlineLvl w:val="0"/>
        <w:rPr>
          <w:rFonts w:ascii="宋体"/>
          <w:sz w:val="24"/>
          <w:highlight w:val="none"/>
        </w:rPr>
      </w:pPr>
      <w:bookmarkStart w:id="27" w:name="_Toc15482"/>
      <w:r>
        <w:rPr>
          <w:rFonts w:ascii="宋体" w:hAnsi="宋体"/>
          <w:sz w:val="24"/>
          <w:highlight w:val="none"/>
        </w:rPr>
        <w:t>5.2</w:t>
      </w:r>
      <w:r>
        <w:rPr>
          <w:rFonts w:hint="eastAsia"/>
          <w:sz w:val="24"/>
          <w:szCs w:val="22"/>
          <w:highlight w:val="none"/>
        </w:rPr>
        <w:t>中标服务费：按国家计委计价格</w:t>
      </w:r>
      <w:r>
        <w:rPr>
          <w:sz w:val="24"/>
          <w:szCs w:val="22"/>
          <w:highlight w:val="none"/>
        </w:rPr>
        <w:t>[2002]1980</w:t>
      </w:r>
      <w:r>
        <w:rPr>
          <w:rFonts w:hint="eastAsia"/>
          <w:sz w:val="24"/>
          <w:szCs w:val="22"/>
          <w:highlight w:val="none"/>
        </w:rPr>
        <w:t>号文收费标准下浮</w:t>
      </w:r>
      <w:r>
        <w:rPr>
          <w:sz w:val="24"/>
          <w:szCs w:val="22"/>
          <w:highlight w:val="none"/>
        </w:rPr>
        <w:t>30%</w:t>
      </w:r>
      <w:r>
        <w:rPr>
          <w:rFonts w:hint="eastAsia"/>
          <w:sz w:val="24"/>
          <w:szCs w:val="22"/>
          <w:highlight w:val="none"/>
        </w:rPr>
        <w:t>向代理招标人交纳中标服务费。中标服务费由中标人支付。无论投标过程中的方法和结果如何，投标人自行承担所有与参加投标有关的费用。</w:t>
      </w:r>
      <w:bookmarkEnd w:id="27"/>
    </w:p>
    <w:p>
      <w:pPr>
        <w:pStyle w:val="21"/>
        <w:spacing w:line="480" w:lineRule="exact"/>
        <w:ind w:left="0" w:leftChars="0" w:firstLine="0" w:firstLineChars="0"/>
        <w:outlineLvl w:val="1"/>
        <w:rPr>
          <w:rFonts w:ascii="宋体"/>
          <w:b/>
          <w:sz w:val="28"/>
          <w:highlight w:val="none"/>
        </w:rPr>
      </w:pPr>
      <w:bookmarkStart w:id="28" w:name="_Toc7019"/>
      <w:bookmarkStart w:id="29" w:name="_Toc22107"/>
      <w:bookmarkStart w:id="30" w:name="_Toc8225"/>
      <w:r>
        <w:rPr>
          <w:rFonts w:hint="eastAsia" w:ascii="宋体" w:hAnsi="宋体"/>
          <w:b/>
          <w:sz w:val="28"/>
          <w:highlight w:val="none"/>
        </w:rPr>
        <w:t>二、招标文件</w:t>
      </w:r>
      <w:bookmarkEnd w:id="28"/>
      <w:bookmarkEnd w:id="29"/>
      <w:bookmarkEnd w:id="30"/>
    </w:p>
    <w:p>
      <w:pPr>
        <w:pStyle w:val="21"/>
        <w:spacing w:line="480" w:lineRule="exact"/>
        <w:ind w:left="569" w:leftChars="271" w:firstLine="2" w:firstLineChars="1"/>
        <w:outlineLvl w:val="0"/>
        <w:rPr>
          <w:rFonts w:ascii="宋体"/>
          <w:b/>
          <w:sz w:val="24"/>
          <w:highlight w:val="none"/>
        </w:rPr>
      </w:pPr>
      <w:bookmarkStart w:id="31" w:name="_Toc31893"/>
      <w:bookmarkStart w:id="32" w:name="_Toc8798"/>
      <w:bookmarkStart w:id="33" w:name="_Toc29387"/>
      <w:r>
        <w:rPr>
          <w:rFonts w:ascii="宋体" w:hAnsi="宋体"/>
          <w:b/>
          <w:sz w:val="24"/>
          <w:highlight w:val="none"/>
        </w:rPr>
        <w:t xml:space="preserve">6.  </w:t>
      </w:r>
      <w:r>
        <w:rPr>
          <w:rFonts w:hint="eastAsia" w:ascii="宋体" w:hAnsi="宋体"/>
          <w:b/>
          <w:sz w:val="24"/>
          <w:highlight w:val="none"/>
        </w:rPr>
        <w:t>招标文件构成</w:t>
      </w:r>
      <w:bookmarkEnd w:id="31"/>
      <w:bookmarkEnd w:id="32"/>
      <w:bookmarkEnd w:id="33"/>
    </w:p>
    <w:p>
      <w:pPr>
        <w:pStyle w:val="21"/>
        <w:spacing w:line="480" w:lineRule="exact"/>
        <w:ind w:left="197" w:leftChars="94" w:firstLine="360" w:firstLineChars="150"/>
        <w:outlineLvl w:val="0"/>
        <w:rPr>
          <w:rFonts w:ascii="宋体"/>
          <w:sz w:val="24"/>
          <w:highlight w:val="none"/>
        </w:rPr>
      </w:pPr>
      <w:bookmarkStart w:id="34" w:name="_Toc27616"/>
      <w:bookmarkStart w:id="35" w:name="_Toc22244"/>
      <w:bookmarkStart w:id="36" w:name="_Toc29308"/>
      <w:r>
        <w:rPr>
          <w:rFonts w:hint="eastAsia" w:ascii="宋体" w:hAnsi="宋体"/>
          <w:sz w:val="24"/>
          <w:highlight w:val="none"/>
        </w:rPr>
        <w:t>本招标文件共分五部分，内容如下：</w:t>
      </w:r>
      <w:bookmarkEnd w:id="34"/>
      <w:bookmarkEnd w:id="35"/>
      <w:bookmarkEnd w:id="36"/>
    </w:p>
    <w:p>
      <w:pPr>
        <w:pStyle w:val="21"/>
        <w:spacing w:line="480" w:lineRule="exact"/>
        <w:ind w:left="199" w:leftChars="95" w:firstLine="840" w:firstLineChars="350"/>
        <w:outlineLvl w:val="0"/>
        <w:rPr>
          <w:rFonts w:ascii="宋体"/>
          <w:sz w:val="24"/>
          <w:highlight w:val="none"/>
        </w:rPr>
      </w:pPr>
      <w:bookmarkStart w:id="37" w:name="_Toc22328"/>
      <w:bookmarkStart w:id="38" w:name="_Toc24847"/>
      <w:bookmarkStart w:id="39" w:name="_Toc22769"/>
      <w:r>
        <w:rPr>
          <w:rFonts w:hint="eastAsia" w:ascii="宋体" w:hAnsi="宋体"/>
          <w:sz w:val="24"/>
          <w:highlight w:val="none"/>
        </w:rPr>
        <w:t>第一部分招标公告</w:t>
      </w:r>
      <w:bookmarkEnd w:id="37"/>
      <w:bookmarkEnd w:id="38"/>
      <w:bookmarkEnd w:id="39"/>
    </w:p>
    <w:p>
      <w:pPr>
        <w:pStyle w:val="21"/>
        <w:spacing w:line="480" w:lineRule="exact"/>
        <w:ind w:left="199" w:leftChars="95" w:firstLine="840" w:firstLineChars="350"/>
        <w:outlineLvl w:val="0"/>
        <w:rPr>
          <w:rFonts w:ascii="宋体"/>
          <w:sz w:val="24"/>
          <w:highlight w:val="none"/>
        </w:rPr>
      </w:pPr>
      <w:bookmarkStart w:id="40" w:name="_Toc30737"/>
      <w:bookmarkStart w:id="41" w:name="_Toc21707"/>
      <w:bookmarkStart w:id="42" w:name="_Toc3662"/>
      <w:r>
        <w:rPr>
          <w:rFonts w:hint="eastAsia" w:ascii="宋体" w:hAnsi="宋体"/>
          <w:sz w:val="24"/>
          <w:highlight w:val="none"/>
        </w:rPr>
        <w:t>第二部分投标人须知</w:t>
      </w:r>
      <w:bookmarkEnd w:id="40"/>
      <w:bookmarkEnd w:id="41"/>
      <w:bookmarkEnd w:id="42"/>
    </w:p>
    <w:p>
      <w:pPr>
        <w:pStyle w:val="21"/>
        <w:spacing w:line="480" w:lineRule="exact"/>
        <w:ind w:left="199" w:leftChars="95" w:firstLine="840" w:firstLineChars="350"/>
        <w:outlineLvl w:val="0"/>
        <w:rPr>
          <w:rFonts w:ascii="宋体"/>
          <w:sz w:val="24"/>
          <w:highlight w:val="none"/>
        </w:rPr>
      </w:pPr>
      <w:bookmarkStart w:id="43" w:name="_Toc5592"/>
      <w:bookmarkStart w:id="44" w:name="_Toc6061"/>
      <w:bookmarkStart w:id="45" w:name="_Toc25164"/>
      <w:r>
        <w:rPr>
          <w:rFonts w:hint="eastAsia" w:ascii="宋体" w:hAnsi="宋体"/>
          <w:sz w:val="24"/>
          <w:highlight w:val="none"/>
        </w:rPr>
        <w:t>第三部分招标要求</w:t>
      </w:r>
      <w:bookmarkEnd w:id="43"/>
      <w:bookmarkEnd w:id="44"/>
      <w:bookmarkEnd w:id="45"/>
    </w:p>
    <w:p>
      <w:pPr>
        <w:pStyle w:val="21"/>
        <w:spacing w:line="480" w:lineRule="exact"/>
        <w:ind w:left="199" w:leftChars="95" w:firstLine="840" w:firstLineChars="350"/>
        <w:outlineLvl w:val="0"/>
        <w:rPr>
          <w:rFonts w:ascii="宋体"/>
          <w:sz w:val="24"/>
          <w:highlight w:val="none"/>
        </w:rPr>
      </w:pPr>
      <w:bookmarkStart w:id="46" w:name="_Toc26235"/>
      <w:bookmarkStart w:id="47" w:name="_Toc27874"/>
      <w:bookmarkStart w:id="48" w:name="_Toc8921"/>
      <w:r>
        <w:rPr>
          <w:rFonts w:hint="eastAsia" w:ascii="宋体" w:hAnsi="宋体"/>
          <w:sz w:val="24"/>
          <w:highlight w:val="none"/>
        </w:rPr>
        <w:t>第四部分合同条款及格式</w:t>
      </w:r>
      <w:bookmarkEnd w:id="46"/>
      <w:bookmarkEnd w:id="47"/>
      <w:bookmarkEnd w:id="48"/>
    </w:p>
    <w:p>
      <w:pPr>
        <w:pStyle w:val="21"/>
        <w:spacing w:line="480" w:lineRule="exact"/>
        <w:ind w:left="199" w:leftChars="95" w:firstLine="840" w:firstLineChars="350"/>
        <w:outlineLvl w:val="0"/>
        <w:rPr>
          <w:rFonts w:ascii="宋体"/>
          <w:sz w:val="24"/>
          <w:highlight w:val="none"/>
        </w:rPr>
      </w:pPr>
      <w:bookmarkStart w:id="49" w:name="_Toc23721"/>
      <w:bookmarkStart w:id="50" w:name="_Toc1085"/>
      <w:bookmarkStart w:id="51" w:name="_Toc24995"/>
      <w:r>
        <w:rPr>
          <w:rFonts w:hint="eastAsia" w:ascii="宋体" w:hAnsi="宋体"/>
          <w:sz w:val="24"/>
          <w:highlight w:val="none"/>
        </w:rPr>
        <w:t>第五部分附件</w:t>
      </w:r>
      <w:bookmarkEnd w:id="49"/>
      <w:bookmarkEnd w:id="50"/>
      <w:bookmarkEnd w:id="51"/>
    </w:p>
    <w:p>
      <w:pPr>
        <w:pStyle w:val="21"/>
        <w:spacing w:line="480" w:lineRule="exact"/>
        <w:ind w:left="197" w:leftChars="94" w:firstLine="376" w:firstLineChars="156"/>
        <w:outlineLvl w:val="0"/>
        <w:rPr>
          <w:rFonts w:ascii="宋体"/>
          <w:b/>
          <w:sz w:val="24"/>
          <w:highlight w:val="none"/>
        </w:rPr>
      </w:pPr>
      <w:bookmarkStart w:id="52" w:name="_Toc4919"/>
      <w:bookmarkStart w:id="53" w:name="_Toc31858"/>
      <w:bookmarkStart w:id="54" w:name="_Toc27057"/>
      <w:r>
        <w:rPr>
          <w:rFonts w:ascii="宋体" w:hAnsi="宋体"/>
          <w:b/>
          <w:sz w:val="24"/>
          <w:highlight w:val="none"/>
        </w:rPr>
        <w:t xml:space="preserve">7.  </w:t>
      </w:r>
      <w:r>
        <w:rPr>
          <w:rFonts w:hint="eastAsia" w:ascii="宋体" w:hAnsi="宋体"/>
          <w:b/>
          <w:sz w:val="24"/>
          <w:highlight w:val="none"/>
        </w:rPr>
        <w:t>招标文件澄清和修改</w:t>
      </w:r>
      <w:bookmarkEnd w:id="52"/>
      <w:bookmarkEnd w:id="53"/>
      <w:bookmarkEnd w:id="54"/>
    </w:p>
    <w:p>
      <w:pPr>
        <w:pStyle w:val="21"/>
        <w:spacing w:line="480" w:lineRule="exact"/>
        <w:ind w:left="286" w:leftChars="136" w:firstLine="480" w:firstLineChars="200"/>
        <w:outlineLvl w:val="0"/>
        <w:rPr>
          <w:rFonts w:ascii="宋体"/>
          <w:sz w:val="24"/>
          <w:highlight w:val="none"/>
        </w:rPr>
      </w:pPr>
      <w:bookmarkStart w:id="55" w:name="_Toc32322"/>
      <w:bookmarkStart w:id="56" w:name="_Toc14329"/>
      <w:bookmarkStart w:id="57" w:name="_Toc15456"/>
      <w:r>
        <w:rPr>
          <w:rFonts w:ascii="宋体" w:hAnsi="宋体"/>
          <w:sz w:val="24"/>
          <w:highlight w:val="none"/>
        </w:rPr>
        <w:t xml:space="preserve">7.1  </w:t>
      </w:r>
      <w:r>
        <w:rPr>
          <w:rFonts w:hint="eastAsia" w:ascii="宋体" w:hAnsi="宋体"/>
          <w:sz w:val="24"/>
          <w:highlight w:val="none"/>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5"/>
      <w:bookmarkEnd w:id="56"/>
      <w:bookmarkEnd w:id="57"/>
    </w:p>
    <w:p>
      <w:pPr>
        <w:pStyle w:val="21"/>
        <w:spacing w:line="480" w:lineRule="exact"/>
        <w:ind w:left="286" w:leftChars="136" w:firstLine="480" w:firstLineChars="200"/>
        <w:outlineLvl w:val="0"/>
        <w:rPr>
          <w:rFonts w:ascii="宋体"/>
          <w:sz w:val="24"/>
          <w:highlight w:val="none"/>
        </w:rPr>
      </w:pPr>
      <w:bookmarkStart w:id="58" w:name="_Toc7023"/>
      <w:bookmarkStart w:id="59" w:name="_Toc2503"/>
      <w:bookmarkStart w:id="60" w:name="_Toc30033"/>
      <w:r>
        <w:rPr>
          <w:rFonts w:ascii="宋体" w:hAnsi="宋体"/>
          <w:sz w:val="24"/>
          <w:highlight w:val="none"/>
        </w:rPr>
        <w:t xml:space="preserve">7.2  </w:t>
      </w:r>
      <w:r>
        <w:rPr>
          <w:rFonts w:hint="eastAsia" w:ascii="宋体" w:hAnsi="宋体"/>
          <w:sz w:val="24"/>
          <w:highlight w:val="none"/>
        </w:rPr>
        <w:t>在提交投标文件截止时间</w:t>
      </w:r>
      <w:r>
        <w:rPr>
          <w:rFonts w:ascii="宋体" w:hAnsi="宋体"/>
          <w:sz w:val="24"/>
          <w:highlight w:val="none"/>
        </w:rPr>
        <w:t>15</w:t>
      </w:r>
      <w:r>
        <w:rPr>
          <w:rFonts w:hint="eastAsia" w:ascii="宋体" w:hAnsi="宋体"/>
          <w:sz w:val="24"/>
          <w:highlight w:val="none"/>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8"/>
      <w:bookmarkEnd w:id="59"/>
      <w:bookmarkEnd w:id="60"/>
    </w:p>
    <w:p>
      <w:pPr>
        <w:pStyle w:val="21"/>
        <w:spacing w:line="480" w:lineRule="exact"/>
        <w:ind w:left="286" w:leftChars="136" w:firstLine="480" w:firstLineChars="200"/>
        <w:outlineLvl w:val="0"/>
        <w:rPr>
          <w:rFonts w:ascii="宋体"/>
          <w:sz w:val="24"/>
          <w:highlight w:val="none"/>
        </w:rPr>
      </w:pPr>
      <w:bookmarkStart w:id="61" w:name="_Toc27548"/>
      <w:bookmarkStart w:id="62" w:name="_Toc6239"/>
      <w:bookmarkStart w:id="63" w:name="_Toc23881"/>
      <w:r>
        <w:rPr>
          <w:rFonts w:ascii="宋体" w:hAnsi="宋体"/>
          <w:sz w:val="24"/>
          <w:highlight w:val="none"/>
        </w:rPr>
        <w:t xml:space="preserve">7.3  </w:t>
      </w:r>
      <w:r>
        <w:rPr>
          <w:rFonts w:hint="eastAsia" w:ascii="宋体" w:hAnsi="宋体"/>
          <w:sz w:val="24"/>
          <w:highlight w:val="none"/>
        </w:rPr>
        <w:t>投标人在收到澄清后，应在投标人须知前附表规定的时间内以书面形式通知招标人，确认已收到该澄清。</w:t>
      </w:r>
      <w:bookmarkEnd w:id="61"/>
      <w:bookmarkEnd w:id="62"/>
      <w:bookmarkEnd w:id="63"/>
    </w:p>
    <w:p>
      <w:pPr>
        <w:pStyle w:val="21"/>
        <w:spacing w:line="480" w:lineRule="exact"/>
        <w:ind w:left="286" w:leftChars="136" w:firstLine="480" w:firstLineChars="200"/>
        <w:outlineLvl w:val="0"/>
        <w:rPr>
          <w:rFonts w:ascii="宋体"/>
          <w:sz w:val="24"/>
          <w:highlight w:val="none"/>
        </w:rPr>
      </w:pPr>
      <w:bookmarkStart w:id="64" w:name="_Toc17859"/>
      <w:bookmarkStart w:id="65" w:name="_Toc6905"/>
      <w:bookmarkStart w:id="66" w:name="_Toc17449"/>
      <w:r>
        <w:rPr>
          <w:rFonts w:ascii="宋体" w:hAnsi="宋体"/>
          <w:sz w:val="24"/>
          <w:highlight w:val="none"/>
        </w:rPr>
        <w:t xml:space="preserve">7.4  </w:t>
      </w:r>
      <w:r>
        <w:rPr>
          <w:rFonts w:hint="eastAsia" w:ascii="宋体" w:hAnsi="宋体"/>
          <w:sz w:val="24"/>
          <w:highlight w:val="none"/>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bookmarkEnd w:id="64"/>
      <w:bookmarkEnd w:id="65"/>
      <w:bookmarkEnd w:id="66"/>
    </w:p>
    <w:p>
      <w:pPr>
        <w:pStyle w:val="21"/>
        <w:spacing w:line="480" w:lineRule="exact"/>
        <w:ind w:left="0" w:leftChars="0" w:firstLine="0" w:firstLineChars="0"/>
        <w:outlineLvl w:val="1"/>
        <w:rPr>
          <w:rFonts w:ascii="宋体"/>
          <w:b/>
          <w:sz w:val="28"/>
          <w:highlight w:val="none"/>
        </w:rPr>
      </w:pPr>
      <w:bookmarkStart w:id="67" w:name="_Toc13670"/>
      <w:bookmarkStart w:id="68" w:name="_Toc21443"/>
      <w:bookmarkStart w:id="69" w:name="_Toc20316"/>
      <w:r>
        <w:rPr>
          <w:rFonts w:hint="eastAsia" w:ascii="宋体" w:hAnsi="宋体"/>
          <w:b/>
          <w:sz w:val="28"/>
          <w:highlight w:val="none"/>
        </w:rPr>
        <w:t>三、投标文件编制</w:t>
      </w:r>
      <w:bookmarkEnd w:id="67"/>
      <w:bookmarkEnd w:id="68"/>
      <w:bookmarkEnd w:id="69"/>
    </w:p>
    <w:p>
      <w:pPr>
        <w:pStyle w:val="19"/>
        <w:spacing w:line="480" w:lineRule="exact"/>
        <w:ind w:left="1146" w:hanging="573"/>
        <w:rPr>
          <w:rFonts w:ascii="宋体"/>
          <w:b/>
          <w:highlight w:val="none"/>
        </w:rPr>
      </w:pPr>
      <w:r>
        <w:rPr>
          <w:rFonts w:ascii="宋体" w:hAnsi="宋体"/>
          <w:b/>
          <w:highlight w:val="none"/>
        </w:rPr>
        <w:t xml:space="preserve">8.  </w:t>
      </w:r>
      <w:r>
        <w:rPr>
          <w:rFonts w:hint="eastAsia" w:ascii="宋体" w:hAnsi="宋体"/>
          <w:b/>
          <w:highlight w:val="none"/>
        </w:rPr>
        <w:t>投标语言及计量单位</w:t>
      </w:r>
    </w:p>
    <w:p>
      <w:pPr>
        <w:pStyle w:val="29"/>
        <w:spacing w:line="480" w:lineRule="exact"/>
        <w:ind w:firstLine="561" w:firstLineChars="234"/>
        <w:rPr>
          <w:rFonts w:ascii="宋体"/>
          <w:highlight w:val="none"/>
        </w:rPr>
      </w:pPr>
      <w:r>
        <w:rPr>
          <w:rFonts w:ascii="宋体" w:hAnsi="宋体"/>
          <w:highlight w:val="none"/>
        </w:rPr>
        <w:t xml:space="preserve">8.1 </w:t>
      </w:r>
      <w:r>
        <w:rPr>
          <w:rFonts w:hint="eastAsia" w:ascii="宋体" w:hAnsi="宋体"/>
          <w:highlight w:val="none"/>
        </w:rPr>
        <w:t>投标人提交的投标文件以及投标人与招标代理就有关投标的所有来往函电均应使用中文简体字。</w:t>
      </w:r>
    </w:p>
    <w:p>
      <w:pPr>
        <w:pStyle w:val="29"/>
        <w:spacing w:line="480" w:lineRule="exact"/>
        <w:ind w:firstLine="561" w:firstLineChars="234"/>
        <w:rPr>
          <w:rFonts w:ascii="宋体"/>
          <w:highlight w:val="none"/>
        </w:rPr>
      </w:pPr>
      <w:r>
        <w:rPr>
          <w:rFonts w:ascii="宋体" w:hAnsi="宋体"/>
          <w:highlight w:val="none"/>
        </w:rPr>
        <w:t xml:space="preserve">8.2 </w:t>
      </w:r>
      <w:r>
        <w:rPr>
          <w:rFonts w:hint="eastAsia" w:ascii="宋体" w:hAnsi="宋体"/>
          <w:highlight w:val="none"/>
        </w:rPr>
        <w:t>投标人所提供的技术文件和资料，包括图纸中的说明，应使用中文简体字。</w:t>
      </w:r>
    </w:p>
    <w:p>
      <w:pPr>
        <w:pStyle w:val="29"/>
        <w:spacing w:line="480" w:lineRule="exact"/>
        <w:ind w:firstLine="561" w:firstLineChars="234"/>
        <w:rPr>
          <w:rFonts w:ascii="宋体"/>
          <w:highlight w:val="none"/>
        </w:rPr>
      </w:pPr>
      <w:r>
        <w:rPr>
          <w:rFonts w:ascii="宋体" w:hAnsi="宋体"/>
          <w:highlight w:val="none"/>
        </w:rPr>
        <w:t xml:space="preserve">8.3 </w:t>
      </w:r>
      <w:r>
        <w:rPr>
          <w:rFonts w:hint="eastAsia" w:ascii="宋体" w:hAnsi="宋体"/>
          <w:highlight w:val="none"/>
        </w:rPr>
        <w:t>原版为外文的证书类文件，以及由外国人做出的本人签名、外国公司的名称或外国印章等可以是外文，但招标代理可以要求投标人提供翻译文件，必要时可以要求提供附有公证书的翻译文件。</w:t>
      </w:r>
    </w:p>
    <w:p>
      <w:pPr>
        <w:pStyle w:val="29"/>
        <w:spacing w:line="480" w:lineRule="exact"/>
        <w:ind w:firstLine="561" w:firstLineChars="234"/>
        <w:rPr>
          <w:rFonts w:ascii="宋体"/>
          <w:highlight w:val="none"/>
        </w:rPr>
      </w:pPr>
      <w:r>
        <w:rPr>
          <w:rFonts w:ascii="宋体" w:hAnsi="宋体"/>
          <w:highlight w:val="none"/>
        </w:rPr>
        <w:t>8.</w:t>
      </w:r>
      <w:r>
        <w:rPr>
          <w:rFonts w:hint="eastAsia" w:ascii="宋体" w:hAnsi="宋体"/>
          <w:highlight w:val="none"/>
          <w:lang w:val="en-US" w:eastAsia="zh-CN"/>
        </w:rPr>
        <w:t>4</w:t>
      </w:r>
      <w:r>
        <w:rPr>
          <w:rFonts w:hint="eastAsia" w:ascii="宋体" w:hAnsi="宋体"/>
          <w:highlight w:val="none"/>
        </w:rPr>
        <w:t>除招标文件的技术规格中另有规定外，投标文件中所使用的计量单位应使用中华人民共和国法定计量单位。</w:t>
      </w:r>
    </w:p>
    <w:p>
      <w:pPr>
        <w:pStyle w:val="29"/>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对违反上述规定情形的，评标委员会有权要求其限期提供加盖公章的翻译文件或取消其投标资格。</w:t>
      </w:r>
    </w:p>
    <w:p>
      <w:pPr>
        <w:pStyle w:val="19"/>
        <w:spacing w:line="480" w:lineRule="exact"/>
        <w:ind w:left="1146" w:hanging="573"/>
        <w:rPr>
          <w:rFonts w:ascii="宋体"/>
          <w:b/>
          <w:highlight w:val="none"/>
        </w:rPr>
      </w:pPr>
      <w:r>
        <w:rPr>
          <w:rFonts w:ascii="宋体" w:hAnsi="宋体"/>
          <w:b/>
          <w:highlight w:val="none"/>
        </w:rPr>
        <w:t xml:space="preserve">9.  </w:t>
      </w:r>
      <w:r>
        <w:rPr>
          <w:rFonts w:hint="eastAsia" w:ascii="宋体" w:hAnsi="宋体"/>
          <w:b/>
          <w:highlight w:val="none"/>
        </w:rPr>
        <w:t>投标文件构成</w:t>
      </w:r>
    </w:p>
    <w:p>
      <w:pPr>
        <w:pStyle w:val="19"/>
        <w:spacing w:line="480" w:lineRule="exact"/>
        <w:rPr>
          <w:rFonts w:ascii="宋体"/>
          <w:b/>
          <w:highlight w:val="none"/>
        </w:rPr>
      </w:pPr>
      <w:r>
        <w:rPr>
          <w:rFonts w:ascii="宋体" w:hAnsi="宋体"/>
          <w:b/>
          <w:highlight w:val="none"/>
        </w:rPr>
        <w:t xml:space="preserve">    </w:t>
      </w:r>
      <w:r>
        <w:rPr>
          <w:rFonts w:hint="eastAsia" w:ascii="宋体" w:hAnsi="宋体"/>
          <w:b/>
          <w:highlight w:val="none"/>
        </w:rPr>
        <w:t>投标文件由投标函、投标报价、资格证明文件（无需单独装订）、技术文件、商务文件组成。</w:t>
      </w:r>
    </w:p>
    <w:p>
      <w:pPr>
        <w:pStyle w:val="19"/>
        <w:spacing w:line="480" w:lineRule="exact"/>
        <w:ind w:firstLine="480" w:firstLineChars="200"/>
        <w:rPr>
          <w:rFonts w:ascii="宋体"/>
          <w:highlight w:val="none"/>
        </w:rPr>
      </w:pPr>
      <w:r>
        <w:rPr>
          <w:rFonts w:hint="eastAsia" w:ascii="宋体" w:hAnsi="宋体"/>
          <w:highlight w:val="none"/>
        </w:rPr>
        <w:t>投标人应按招标文件的要求编写投标文件，提交证明其有资格进行报价和有能力履行合同的文件。投标文件包括以下内容，并按下列顺序编制，以方便评标。</w:t>
      </w:r>
    </w:p>
    <w:p>
      <w:pPr>
        <w:pStyle w:val="19"/>
        <w:spacing w:line="480" w:lineRule="exact"/>
        <w:ind w:left="1144" w:leftChars="272" w:hanging="573" w:hangingChars="239"/>
        <w:rPr>
          <w:rFonts w:ascii="宋体"/>
          <w:highlight w:val="none"/>
        </w:rPr>
      </w:pPr>
      <w:r>
        <w:rPr>
          <w:rFonts w:ascii="宋体" w:hAnsi="宋体"/>
          <w:highlight w:val="none"/>
        </w:rPr>
        <w:t xml:space="preserve">9.1  </w:t>
      </w:r>
      <w:r>
        <w:rPr>
          <w:rFonts w:hint="eastAsia" w:ascii="宋体" w:hAnsi="宋体"/>
          <w:highlight w:val="none"/>
        </w:rPr>
        <w:t>投标函（附件一）</w:t>
      </w:r>
    </w:p>
    <w:p>
      <w:pPr>
        <w:pStyle w:val="12"/>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9.2  </w:t>
      </w:r>
      <w:r>
        <w:rPr>
          <w:rFonts w:hint="eastAsia" w:ascii="宋体" w:hAnsi="宋体"/>
          <w:sz w:val="24"/>
          <w:highlight w:val="none"/>
        </w:rPr>
        <w:t>投标报价</w:t>
      </w:r>
    </w:p>
    <w:p>
      <w:pPr>
        <w:pStyle w:val="12"/>
        <w:spacing w:line="480" w:lineRule="exact"/>
        <w:ind w:left="197" w:leftChars="94" w:firstLine="720" w:firstLineChars="300"/>
        <w:rPr>
          <w:rFonts w:ascii="宋体"/>
          <w:sz w:val="24"/>
          <w:highlight w:val="none"/>
        </w:rPr>
      </w:pPr>
      <w:r>
        <w:rPr>
          <w:rFonts w:ascii="宋体" w:hAnsi="宋体"/>
          <w:sz w:val="24"/>
          <w:highlight w:val="none"/>
        </w:rPr>
        <w:t>1</w:t>
      </w:r>
      <w:r>
        <w:rPr>
          <w:rFonts w:hint="eastAsia" w:ascii="宋体" w:hAnsi="宋体"/>
          <w:sz w:val="24"/>
          <w:highlight w:val="none"/>
        </w:rPr>
        <w:t>）开标一览表（附件三）；</w:t>
      </w:r>
    </w:p>
    <w:p>
      <w:pPr>
        <w:pStyle w:val="12"/>
        <w:spacing w:line="480" w:lineRule="exact"/>
        <w:ind w:left="197" w:leftChars="94" w:firstLine="720" w:firstLineChars="300"/>
        <w:rPr>
          <w:rFonts w:ascii="宋体"/>
          <w:sz w:val="24"/>
          <w:highlight w:val="none"/>
        </w:rPr>
      </w:pPr>
      <w:r>
        <w:rPr>
          <w:rFonts w:ascii="宋体" w:hAnsi="宋体"/>
          <w:sz w:val="24"/>
          <w:highlight w:val="none"/>
        </w:rPr>
        <w:t>2</w:t>
      </w:r>
      <w:r>
        <w:rPr>
          <w:rFonts w:hint="eastAsia" w:ascii="宋体" w:hAnsi="宋体"/>
          <w:sz w:val="24"/>
          <w:highlight w:val="none"/>
        </w:rPr>
        <w:t>）投标明细表（附件四）；</w:t>
      </w:r>
    </w:p>
    <w:p>
      <w:pPr>
        <w:pStyle w:val="19"/>
        <w:spacing w:line="480" w:lineRule="exact"/>
        <w:ind w:left="-2" w:firstLine="573" w:firstLineChars="239"/>
        <w:rPr>
          <w:rFonts w:ascii="宋体"/>
          <w:highlight w:val="none"/>
        </w:rPr>
      </w:pPr>
      <w:r>
        <w:rPr>
          <w:rFonts w:ascii="宋体" w:hAnsi="宋体"/>
          <w:highlight w:val="none"/>
        </w:rPr>
        <w:t xml:space="preserve">9.3  </w:t>
      </w:r>
      <w:r>
        <w:rPr>
          <w:rFonts w:hint="eastAsia" w:ascii="宋体" w:hAnsi="宋体"/>
          <w:highlight w:val="none"/>
        </w:rPr>
        <w:t>资格证明文件（注：</w:t>
      </w:r>
      <w:r>
        <w:rPr>
          <w:rFonts w:hint="eastAsia" w:ascii="宋体" w:hAnsi="宋体"/>
          <w:b/>
          <w:highlight w:val="none"/>
        </w:rPr>
        <w:t>无需单独装订</w:t>
      </w:r>
      <w:r>
        <w:rPr>
          <w:rFonts w:hint="eastAsia" w:ascii="宋体" w:hAnsi="宋体"/>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rPr>
        <w:t>营业执照副本、税务登记证副本（三证合一除外）复印件；</w:t>
      </w:r>
    </w:p>
    <w:p>
      <w:pPr>
        <w:pStyle w:val="12"/>
        <w:spacing w:line="480" w:lineRule="exact"/>
        <w:ind w:left="197" w:leftChars="94" w:firstLine="360" w:firstLineChars="150"/>
        <w:rPr>
          <w:rFonts w:ascii="宋体"/>
          <w:sz w:val="24"/>
          <w:highlight w:val="none"/>
        </w:rPr>
      </w:pPr>
      <w:r>
        <w:rPr>
          <w:rFonts w:ascii="宋体" w:hAnsi="宋体"/>
          <w:sz w:val="24"/>
          <w:highlight w:val="none"/>
        </w:rPr>
        <w:t>2)</w:t>
      </w:r>
      <w:r>
        <w:rPr>
          <w:rFonts w:hint="eastAsia" w:ascii="宋体" w:hAnsi="宋体"/>
          <w:sz w:val="24"/>
          <w:highlight w:val="none"/>
        </w:rPr>
        <w:t>授权委托书原件（附件二），投标人授权代表须提供身份证复印件；</w:t>
      </w:r>
    </w:p>
    <w:p>
      <w:pPr>
        <w:pStyle w:val="12"/>
        <w:spacing w:line="480" w:lineRule="exact"/>
        <w:ind w:left="197" w:leftChars="94" w:firstLine="360" w:firstLineChars="150"/>
        <w:rPr>
          <w:rFonts w:hint="eastAsia" w:ascii="宋体" w:hAnsi="宋体"/>
          <w:sz w:val="24"/>
          <w:highlight w:val="none"/>
        </w:rPr>
      </w:pPr>
      <w:r>
        <w:rPr>
          <w:rFonts w:ascii="宋体" w:hAnsi="宋体"/>
          <w:sz w:val="24"/>
          <w:highlight w:val="none"/>
        </w:rPr>
        <w:t>3</w:t>
      </w:r>
      <w:r>
        <w:rPr>
          <w:rFonts w:hint="eastAsia" w:ascii="宋体" w:hAnsi="宋体"/>
          <w:sz w:val="24"/>
          <w:highlight w:val="none"/>
        </w:rPr>
        <w:t>）采购设备标注为可采进口的，所投设备为进口产品需提供生产厂家授权书或代理证书复印件；</w:t>
      </w:r>
    </w:p>
    <w:p>
      <w:pPr>
        <w:pStyle w:val="12"/>
        <w:spacing w:line="480" w:lineRule="exact"/>
        <w:ind w:left="197" w:leftChars="94" w:firstLine="360" w:firstLineChars="150"/>
        <w:rPr>
          <w:rFonts w:ascii="宋体"/>
          <w:sz w:val="24"/>
          <w:highlight w:val="none"/>
        </w:rPr>
      </w:pPr>
      <w:r>
        <w:rPr>
          <w:rFonts w:ascii="宋体" w:hAnsi="宋体" w:cs="宋体"/>
          <w:kern w:val="0"/>
          <w:sz w:val="24"/>
          <w:highlight w:val="none"/>
        </w:rPr>
        <w:t>4</w:t>
      </w:r>
      <w:r>
        <w:rPr>
          <w:rFonts w:hint="eastAsia" w:ascii="宋体" w:hAnsi="宋体" w:cs="宋体"/>
          <w:kern w:val="0"/>
          <w:sz w:val="24"/>
          <w:highlight w:val="none"/>
        </w:rPr>
        <w:t>）</w:t>
      </w:r>
      <w:r>
        <w:rPr>
          <w:rFonts w:hint="eastAsia" w:ascii="宋体" w:hAnsi="宋体"/>
          <w:sz w:val="24"/>
          <w:highlight w:val="none"/>
        </w:rPr>
        <w:t>近三年（</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1</w:t>
      </w:r>
      <w:r>
        <w:rPr>
          <w:rFonts w:hint="eastAsia" w:ascii="宋体" w:hAnsi="宋体"/>
          <w:sz w:val="24"/>
          <w:highlight w:val="none"/>
        </w:rPr>
        <w:t>日至今）无不良信誉证明，“信用中国”网站（</w:t>
      </w:r>
      <w:r>
        <w:rPr>
          <w:rFonts w:ascii="宋体" w:hAnsi="宋体"/>
          <w:sz w:val="24"/>
          <w:highlight w:val="none"/>
        </w:rPr>
        <w:t>www.creditchina.gov.cn）、中国政府采购网（www.ccgp.gov.cn）等渠道查询截图</w:t>
      </w:r>
      <w:r>
        <w:rPr>
          <w:rFonts w:hint="eastAsia" w:ascii="宋体" w:hAnsi="宋体"/>
          <w:sz w:val="24"/>
          <w:highlight w:val="none"/>
        </w:rPr>
        <w:t>，经</w:t>
      </w:r>
      <w:r>
        <w:rPr>
          <w:rFonts w:ascii="宋体" w:hAnsi="宋体"/>
          <w:sz w:val="24"/>
          <w:highlight w:val="none"/>
        </w:rPr>
        <w:t>查询，在本项目开标日前，</w:t>
      </w:r>
      <w:r>
        <w:rPr>
          <w:rFonts w:hint="eastAsia" w:ascii="宋体" w:hAnsi="宋体"/>
          <w:sz w:val="24"/>
          <w:highlight w:val="none"/>
        </w:rPr>
        <w:t>若供应商</w:t>
      </w:r>
      <w:r>
        <w:rPr>
          <w:rFonts w:ascii="宋体" w:hAnsi="宋体"/>
          <w:sz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sz w:val="24"/>
          <w:highlight w:val="none"/>
        </w:rPr>
        <w:t>供应商</w:t>
      </w:r>
      <w:r>
        <w:rPr>
          <w:rFonts w:ascii="宋体" w:hAnsi="宋体"/>
          <w:sz w:val="24"/>
          <w:highlight w:val="none"/>
        </w:rPr>
        <w:t>，其投标将被拒绝。</w:t>
      </w:r>
      <w:r>
        <w:rPr>
          <w:rFonts w:hint="eastAsia" w:ascii="宋体" w:hAnsi="宋体"/>
          <w:sz w:val="24"/>
          <w:highlight w:val="none"/>
        </w:rPr>
        <w:t>如投标单位成立不足三年供应商需提供自成立至今的。（附件十一的格式</w:t>
      </w:r>
      <w:r>
        <w:rPr>
          <w:rFonts w:ascii="宋体" w:hAnsi="宋体"/>
          <w:sz w:val="24"/>
          <w:highlight w:val="none"/>
        </w:rPr>
        <w:t>1</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hint="eastAsia" w:ascii="宋体" w:hAnsi="宋体"/>
          <w:sz w:val="24"/>
          <w:highlight w:val="none"/>
          <w:lang w:val="en-US" w:eastAsia="zh-CN"/>
        </w:rPr>
        <w:t>5</w:t>
      </w:r>
      <w:r>
        <w:rPr>
          <w:rFonts w:hint="eastAsia" w:ascii="宋体" w:hAnsi="宋体"/>
          <w:sz w:val="24"/>
          <w:highlight w:val="none"/>
        </w:rPr>
        <w:t>）近两年（</w:t>
      </w:r>
      <w:r>
        <w:rPr>
          <w:rFonts w:ascii="宋体" w:hAnsi="宋体"/>
          <w:sz w:val="24"/>
          <w:highlight w:val="none"/>
        </w:rPr>
        <w:t>201</w:t>
      </w:r>
      <w:r>
        <w:rPr>
          <w:rFonts w:hint="eastAsia" w:ascii="宋体" w:hAnsi="宋体"/>
          <w:sz w:val="24"/>
          <w:highlight w:val="none"/>
          <w:lang w:val="en-US" w:eastAsia="zh-CN"/>
        </w:rPr>
        <w:t>7</w:t>
      </w:r>
      <w:r>
        <w:rPr>
          <w:rFonts w:hint="eastAsia" w:ascii="宋体" w:hAnsi="宋体"/>
          <w:sz w:val="24"/>
          <w:highlight w:val="none"/>
        </w:rPr>
        <w:t>年、</w:t>
      </w:r>
      <w:r>
        <w:rPr>
          <w:rFonts w:ascii="宋体" w:hAnsi="宋体"/>
          <w:sz w:val="24"/>
          <w:highlight w:val="none"/>
        </w:rPr>
        <w:t>201</w:t>
      </w:r>
      <w:r>
        <w:rPr>
          <w:rFonts w:hint="eastAsia" w:ascii="宋体" w:hAnsi="宋体"/>
          <w:sz w:val="24"/>
          <w:highlight w:val="none"/>
          <w:lang w:val="en-US" w:eastAsia="zh-CN"/>
        </w:rPr>
        <w:t>8</w:t>
      </w:r>
      <w:r>
        <w:rPr>
          <w:rFonts w:hint="eastAsia" w:ascii="宋体" w:hAnsi="宋体"/>
          <w:sz w:val="24"/>
          <w:highlight w:val="none"/>
        </w:rPr>
        <w:t>年）财务状况报告（附件十一的格式</w:t>
      </w:r>
      <w:r>
        <w:rPr>
          <w:rFonts w:ascii="宋体" w:hAnsi="宋体"/>
          <w:sz w:val="24"/>
          <w:highlight w:val="none"/>
        </w:rPr>
        <w:t>2</w:t>
      </w:r>
      <w:r>
        <w:rPr>
          <w:rFonts w:hint="eastAsia" w:ascii="宋体" w:hAnsi="宋体"/>
          <w:sz w:val="24"/>
          <w:highlight w:val="none"/>
        </w:rPr>
        <w:t>）及依法缴纳税收和社会保障资金的相关材料，（附件十一的格式</w:t>
      </w:r>
      <w:r>
        <w:rPr>
          <w:rFonts w:ascii="宋体" w:hAnsi="宋体"/>
          <w:sz w:val="24"/>
          <w:highlight w:val="none"/>
        </w:rPr>
        <w:t>3</w:t>
      </w:r>
      <w:r>
        <w:rPr>
          <w:rFonts w:hint="eastAsia" w:ascii="宋体" w:hAnsi="宋体"/>
          <w:sz w:val="24"/>
          <w:highlight w:val="none"/>
        </w:rPr>
        <w:t>），如投标单位成立不足</w:t>
      </w:r>
      <w:r>
        <w:rPr>
          <w:rFonts w:hint="eastAsia" w:ascii="宋体" w:hAnsi="宋体"/>
          <w:sz w:val="24"/>
          <w:highlight w:val="none"/>
          <w:lang w:eastAsia="zh-CN"/>
        </w:rPr>
        <w:t>两</w:t>
      </w:r>
      <w:r>
        <w:rPr>
          <w:rFonts w:hint="eastAsia" w:ascii="宋体" w:hAnsi="宋体"/>
          <w:sz w:val="24"/>
          <w:highlight w:val="none"/>
        </w:rPr>
        <w:t>年供应商需提供自成立至今的；</w:t>
      </w:r>
    </w:p>
    <w:p>
      <w:pPr>
        <w:pStyle w:val="12"/>
        <w:spacing w:line="480" w:lineRule="exact"/>
        <w:ind w:left="197" w:leftChars="94" w:firstLine="360" w:firstLineChars="150"/>
        <w:rPr>
          <w:rFonts w:ascii="宋体"/>
          <w:sz w:val="24"/>
          <w:highlight w:val="none"/>
        </w:rPr>
      </w:pPr>
      <w:r>
        <w:rPr>
          <w:rFonts w:hint="eastAsia" w:ascii="宋体" w:hAnsi="宋体"/>
          <w:sz w:val="24"/>
          <w:highlight w:val="none"/>
          <w:lang w:val="en-US" w:eastAsia="zh-CN"/>
        </w:rPr>
        <w:t>6</w:t>
      </w:r>
      <w:r>
        <w:rPr>
          <w:rFonts w:hint="eastAsia" w:ascii="宋体" w:hAnsi="宋体"/>
          <w:sz w:val="24"/>
          <w:highlight w:val="none"/>
        </w:rPr>
        <w:t>）具备履行合同所必需的设备和专业技术能力的证明材料（附件十一的格式</w:t>
      </w:r>
      <w:r>
        <w:rPr>
          <w:rFonts w:ascii="宋体" w:hAnsi="宋体"/>
          <w:sz w:val="24"/>
          <w:highlight w:val="none"/>
        </w:rPr>
        <w:t>4</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hint="eastAsia" w:ascii="宋体" w:hAnsi="宋体"/>
          <w:sz w:val="24"/>
          <w:highlight w:val="none"/>
          <w:lang w:val="en-US" w:eastAsia="zh-CN"/>
        </w:rPr>
        <w:t>7</w:t>
      </w:r>
      <w:r>
        <w:rPr>
          <w:rFonts w:hint="eastAsia" w:ascii="宋体" w:hAnsi="宋体"/>
          <w:sz w:val="24"/>
          <w:highlight w:val="none"/>
        </w:rPr>
        <w:t>）</w:t>
      </w:r>
      <w:r>
        <w:rPr>
          <w:rFonts w:hint="eastAsia" w:ascii="宋体" w:hAnsi="宋体" w:cs="宋体"/>
          <w:kern w:val="0"/>
          <w:sz w:val="24"/>
          <w:highlight w:val="none"/>
        </w:rPr>
        <w:t>进口商品安全质量许可证（采购产品属于《实施安全质量许可制度的进口商品目录》中产品，必需提供）</w:t>
      </w:r>
      <w:r>
        <w:rPr>
          <w:rFonts w:hint="eastAsia" w:ascii="宋体" w:hAnsi="宋体"/>
          <w:sz w:val="24"/>
          <w:highlight w:val="none"/>
        </w:rPr>
        <w:t>复印件；</w:t>
      </w:r>
    </w:p>
    <w:p>
      <w:pPr>
        <w:pStyle w:val="12"/>
        <w:spacing w:line="480" w:lineRule="exact"/>
        <w:ind w:left="197" w:leftChars="94" w:firstLine="360" w:firstLineChars="150"/>
        <w:rPr>
          <w:rFonts w:ascii="宋体"/>
          <w:sz w:val="24"/>
          <w:highlight w:val="none"/>
        </w:rPr>
      </w:pPr>
      <w:r>
        <w:rPr>
          <w:rFonts w:hint="eastAsia" w:ascii="宋体" w:hAnsi="宋体"/>
          <w:sz w:val="24"/>
          <w:highlight w:val="none"/>
          <w:lang w:val="en-US" w:eastAsia="zh-CN"/>
        </w:rPr>
        <w:t>8</w:t>
      </w:r>
      <w:r>
        <w:rPr>
          <w:rFonts w:hint="eastAsia" w:ascii="宋体" w:hAnsi="宋体"/>
          <w:sz w:val="24"/>
          <w:highlight w:val="none"/>
        </w:rPr>
        <w:t>）经评标委员会认可的进口产品证明材料</w:t>
      </w:r>
      <w:r>
        <w:rPr>
          <w:rFonts w:ascii="宋体" w:hAnsi="宋体"/>
          <w:sz w:val="24"/>
          <w:highlight w:val="none"/>
        </w:rPr>
        <w:t>(</w:t>
      </w:r>
      <w:r>
        <w:rPr>
          <w:rFonts w:hint="eastAsia" w:ascii="宋体" w:hAnsi="宋体"/>
          <w:sz w:val="24"/>
          <w:highlight w:val="none"/>
        </w:rPr>
        <w:t>如果有</w:t>
      </w:r>
      <w:r>
        <w:rPr>
          <w:rFonts w:ascii="宋体" w:hAnsi="宋体"/>
          <w:sz w:val="24"/>
          <w:highlight w:val="none"/>
        </w:rPr>
        <w:t>)</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hint="eastAsia" w:ascii="宋体" w:hAnsi="宋体"/>
          <w:sz w:val="24"/>
          <w:highlight w:val="none"/>
          <w:lang w:val="en-US" w:eastAsia="zh-CN"/>
        </w:rPr>
        <w:t>9</w:t>
      </w:r>
      <w:r>
        <w:rPr>
          <w:rFonts w:hint="eastAsia" w:ascii="宋体" w:hAnsi="宋体"/>
          <w:sz w:val="24"/>
          <w:highlight w:val="none"/>
        </w:rPr>
        <w:t>）有关的质量体系、安全等认证证书：例如</w:t>
      </w:r>
      <w:r>
        <w:rPr>
          <w:rFonts w:ascii="宋体" w:hAnsi="宋体"/>
          <w:sz w:val="24"/>
          <w:highlight w:val="none"/>
        </w:rPr>
        <w:t>ISO</w:t>
      </w:r>
      <w:r>
        <w:rPr>
          <w:rFonts w:hint="eastAsia" w:ascii="宋体" w:hAnsi="宋体"/>
          <w:sz w:val="24"/>
          <w:highlight w:val="none"/>
        </w:rPr>
        <w:t>、</w:t>
      </w:r>
      <w:r>
        <w:rPr>
          <w:rFonts w:ascii="宋体" w:hAnsi="宋体"/>
          <w:sz w:val="24"/>
          <w:highlight w:val="none"/>
        </w:rPr>
        <w:t>FDA</w:t>
      </w:r>
      <w:r>
        <w:rPr>
          <w:rFonts w:hint="eastAsia" w:ascii="宋体" w:hAnsi="宋体"/>
          <w:sz w:val="24"/>
          <w:highlight w:val="none"/>
        </w:rPr>
        <w:t>、</w:t>
      </w:r>
      <w:r>
        <w:rPr>
          <w:rFonts w:ascii="宋体" w:hAnsi="宋体"/>
          <w:sz w:val="24"/>
          <w:highlight w:val="none"/>
        </w:rPr>
        <w:t>CE</w:t>
      </w:r>
      <w:r>
        <w:rPr>
          <w:rFonts w:hint="eastAsia" w:ascii="宋体" w:hAnsi="宋体"/>
          <w:sz w:val="24"/>
          <w:highlight w:val="none"/>
        </w:rPr>
        <w:t>、</w:t>
      </w:r>
      <w:r>
        <w:rPr>
          <w:rFonts w:ascii="宋体" w:hAnsi="宋体"/>
          <w:sz w:val="24"/>
          <w:highlight w:val="none"/>
        </w:rPr>
        <w:t>3C</w:t>
      </w:r>
      <w:r>
        <w:rPr>
          <w:rFonts w:hint="eastAsia" w:ascii="宋体" w:hAnsi="宋体"/>
          <w:sz w:val="24"/>
          <w:highlight w:val="none"/>
        </w:rPr>
        <w:t>等（国家强制要求的设备必须提供）（如果有）；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lang w:val="en-US" w:eastAsia="zh-CN"/>
        </w:rPr>
        <w:t>0</w:t>
      </w:r>
      <w:r>
        <w:rPr>
          <w:rFonts w:hint="eastAsia" w:ascii="宋体" w:hAnsi="宋体"/>
          <w:sz w:val="24"/>
          <w:highlight w:val="none"/>
        </w:rPr>
        <w:t>）近三年（</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1日</w:t>
      </w:r>
      <w:r>
        <w:rPr>
          <w:rFonts w:hint="eastAsia" w:ascii="宋体" w:hAnsi="宋体"/>
          <w:sz w:val="24"/>
          <w:highlight w:val="none"/>
        </w:rPr>
        <w:t>至今）所投货物（同品牌、同型号）的业绩一览表及合同复印件加盖公章，应提供用户的单位名称、地址、邮编、联系电话、联系人（附件十一的格式</w:t>
      </w:r>
      <w:r>
        <w:rPr>
          <w:rFonts w:ascii="宋体" w:hAnsi="宋体"/>
          <w:sz w:val="24"/>
          <w:highlight w:val="none"/>
        </w:rPr>
        <w:t>8</w:t>
      </w:r>
      <w:r>
        <w:rPr>
          <w:rFonts w:hint="eastAsia" w:ascii="宋体" w:hAnsi="宋体"/>
          <w:sz w:val="24"/>
          <w:highlight w:val="none"/>
        </w:rPr>
        <w:t>）如投标单位成立不足三年供应商需提供自成立至今的；</w:t>
      </w:r>
    </w:p>
    <w:p>
      <w:pPr>
        <w:pStyle w:val="12"/>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lang w:val="en-US" w:eastAsia="zh-CN"/>
        </w:rPr>
        <w:t>1</w:t>
      </w:r>
      <w:r>
        <w:rPr>
          <w:rFonts w:hint="eastAsia" w:ascii="宋体" w:hAnsi="宋体"/>
          <w:sz w:val="24"/>
          <w:highlight w:val="none"/>
        </w:rPr>
        <w:t>）投标人为小型和微型企业的，须提供企业所在地的县级以上中小企业主管部门出具的证明文件、《小微企业声明函》（附件十一的格式</w:t>
      </w:r>
      <w:r>
        <w:rPr>
          <w:rFonts w:ascii="宋体" w:hAnsi="宋体"/>
          <w:sz w:val="24"/>
          <w:highlight w:val="none"/>
        </w:rPr>
        <w:t>5</w:t>
      </w:r>
      <w:r>
        <w:rPr>
          <w:rFonts w:hint="eastAsia" w:ascii="宋体" w:hAnsi="宋体"/>
          <w:sz w:val="24"/>
          <w:highlight w:val="none"/>
        </w:rPr>
        <w:t>）、《从业人员声明函》（附件十一的格式</w:t>
      </w:r>
      <w:r>
        <w:rPr>
          <w:rFonts w:ascii="宋体" w:hAnsi="宋体"/>
          <w:sz w:val="24"/>
          <w:highlight w:val="none"/>
        </w:rPr>
        <w:t>6</w:t>
      </w:r>
      <w:r>
        <w:rPr>
          <w:rFonts w:hint="eastAsia" w:ascii="宋体" w:hAnsi="宋体"/>
          <w:sz w:val="24"/>
          <w:highlight w:val="none"/>
        </w:rPr>
        <w:t>）原件及复印件（如果有）；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lang w:val="en-US" w:eastAsia="zh-CN"/>
        </w:rPr>
        <w:t>2</w:t>
      </w:r>
      <w:r>
        <w:rPr>
          <w:rFonts w:hint="eastAsia" w:ascii="宋体" w:hAnsi="宋体"/>
          <w:sz w:val="24"/>
          <w:highlight w:val="none"/>
        </w:rPr>
        <w:t>）投标人为监狱企业的，须提供省级以上监狱管理局、戒毒管理局（含新疆生产建设兵团）出具的属于监狱企业的证明文件原件（如果有）；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lang w:val="en-US" w:eastAsia="zh-CN"/>
        </w:rPr>
        <w:t>3</w:t>
      </w:r>
      <w:r>
        <w:rPr>
          <w:rFonts w:hint="eastAsia" w:ascii="宋体" w:hAnsi="宋体"/>
          <w:sz w:val="24"/>
          <w:highlight w:val="none"/>
        </w:rPr>
        <w:t>）节能或环保产品证明（如果有）；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lang w:val="en-US" w:eastAsia="zh-CN"/>
        </w:rPr>
        <w:t>4</w:t>
      </w:r>
      <w:r>
        <w:rPr>
          <w:rFonts w:hint="eastAsia" w:ascii="宋体" w:hAnsi="宋体"/>
          <w:sz w:val="24"/>
          <w:highlight w:val="none"/>
        </w:rPr>
        <w:t>）投标人认为需要提交的其他文件。</w:t>
      </w:r>
    </w:p>
    <w:p>
      <w:pPr>
        <w:pStyle w:val="12"/>
        <w:spacing w:line="480" w:lineRule="exact"/>
        <w:ind w:left="197" w:leftChars="94" w:firstLine="361" w:firstLineChars="150"/>
        <w:rPr>
          <w:rFonts w:ascii="宋体"/>
          <w:b/>
          <w:sz w:val="24"/>
          <w:highlight w:val="none"/>
        </w:rPr>
      </w:pPr>
      <w:r>
        <w:rPr>
          <w:rFonts w:hint="eastAsia" w:ascii="宋体" w:hAnsi="宋体"/>
          <w:b/>
          <w:sz w:val="24"/>
          <w:highlight w:val="none"/>
        </w:rPr>
        <w:t>注：投标人对提供的以上资料的真实性负责，若发现有不实之处，按无效投标处理。招标人或评标委员会在需要时，可要求投标人在一定期限内提供资格证明文件的原件。</w:t>
      </w:r>
    </w:p>
    <w:p>
      <w:pPr>
        <w:pStyle w:val="12"/>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9.4  </w:t>
      </w:r>
      <w:r>
        <w:rPr>
          <w:rFonts w:hint="eastAsia" w:ascii="宋体" w:hAnsi="宋体"/>
          <w:sz w:val="24"/>
          <w:highlight w:val="none"/>
        </w:rPr>
        <w:t>技术文件</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1) </w:t>
      </w:r>
      <w:r>
        <w:rPr>
          <w:rFonts w:hint="eastAsia" w:ascii="宋体" w:hAnsi="宋体"/>
          <w:sz w:val="24"/>
          <w:highlight w:val="none"/>
        </w:rPr>
        <w:t>货物主要技术指标和性能的详细说明，包括</w:t>
      </w:r>
      <w:r>
        <w:rPr>
          <w:rFonts w:hint="eastAsia" w:ascii="宋体" w:hAnsi="宋体"/>
          <w:b/>
          <w:sz w:val="24"/>
          <w:highlight w:val="none"/>
        </w:rPr>
        <w:t>产品宣传彩页</w:t>
      </w:r>
      <w:r>
        <w:rPr>
          <w:rFonts w:hint="eastAsia" w:ascii="宋体" w:hAnsi="宋体"/>
          <w:sz w:val="24"/>
          <w:highlight w:val="none"/>
        </w:rPr>
        <w:t>、图纸、数据、检测报告、技术支持资料等；</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2) </w:t>
      </w:r>
      <w:r>
        <w:rPr>
          <w:rFonts w:hint="eastAsia" w:ascii="宋体" w:hAnsi="宋体"/>
          <w:sz w:val="24"/>
          <w:highlight w:val="none"/>
        </w:rPr>
        <w:t>按期交货的保证措施；</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3) </w:t>
      </w:r>
      <w:r>
        <w:rPr>
          <w:rFonts w:hint="eastAsia" w:ascii="宋体" w:hAnsi="宋体"/>
          <w:sz w:val="24"/>
          <w:highlight w:val="none"/>
        </w:rPr>
        <w:t>安装调试方案；</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4) </w:t>
      </w:r>
      <w:r>
        <w:rPr>
          <w:rFonts w:hint="eastAsia" w:ascii="宋体" w:hAnsi="宋体"/>
          <w:bCs/>
          <w:sz w:val="24"/>
          <w:highlight w:val="none"/>
        </w:rPr>
        <w:t>维保方案及维保费用报价表（附件十）；</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5) </w:t>
      </w:r>
      <w:r>
        <w:rPr>
          <w:rFonts w:hint="eastAsia" w:ascii="宋体" w:hAnsi="宋体"/>
          <w:sz w:val="24"/>
          <w:highlight w:val="none"/>
        </w:rPr>
        <w:t>技术规格偏离表（附件五）。</w:t>
      </w:r>
    </w:p>
    <w:p>
      <w:pPr>
        <w:pStyle w:val="19"/>
        <w:spacing w:line="480" w:lineRule="exact"/>
        <w:ind w:firstLine="600" w:firstLineChars="250"/>
        <w:rPr>
          <w:rFonts w:ascii="宋体"/>
          <w:highlight w:val="none"/>
        </w:rPr>
      </w:pPr>
      <w:r>
        <w:rPr>
          <w:rFonts w:ascii="宋体" w:hAnsi="宋体"/>
          <w:highlight w:val="none"/>
        </w:rPr>
        <w:t xml:space="preserve">9.5  </w:t>
      </w:r>
      <w:r>
        <w:rPr>
          <w:rFonts w:hint="eastAsia" w:ascii="宋体" w:hAnsi="宋体"/>
          <w:highlight w:val="none"/>
        </w:rPr>
        <w:t>商务文件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为使货物正常、连续地使用，应提供招标人使用该货物所需的完整的备件和专用工具清单，包括备件和专用工具的货源及价格。</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售后服务条款；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对货物负责维修、维护；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提供及时、迅速、优质服务的承诺，迅速快捷地提供货物的备品备件，保证招标人能够及时买到货物所需的备品备件和易损件；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提供中标货物齐全的资料（进口货物必须包括中文和英文的使用说明、安装手册、维修手册、专用工具和相应质检手续证明文件）；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设备出现故障后，在接到用户通知后，多长时间响应，多长时间到达现场，多长时间排除故障；</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e  </w:t>
      </w:r>
      <w:r>
        <w:rPr>
          <w:rFonts w:hint="eastAsia" w:ascii="宋体" w:hAnsi="宋体" w:cs="宋体"/>
          <w:kern w:val="0"/>
          <w:sz w:val="24"/>
          <w:highlight w:val="none"/>
        </w:rPr>
        <w:t>提供设备使用的指导及培训方案（列出详细培训计划，培训时间与地点、培训人数、培训费用（包括差旅费）、培训内容、培训次数）；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f  </w:t>
      </w:r>
      <w:r>
        <w:rPr>
          <w:rFonts w:hint="eastAsia" w:ascii="宋体" w:hAnsi="宋体" w:cs="宋体"/>
          <w:kern w:val="0"/>
          <w:sz w:val="24"/>
          <w:highlight w:val="none"/>
        </w:rPr>
        <w:t>投标人对提供的所有货物，明确质量保证期。质量保证期内，除人为因素损坏外，全部免费维修；</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g  </w:t>
      </w:r>
      <w:r>
        <w:rPr>
          <w:rFonts w:hint="eastAsia" w:ascii="宋体" w:hAnsi="宋体" w:cs="宋体"/>
          <w:kern w:val="0"/>
          <w:sz w:val="24"/>
          <w:highlight w:val="none"/>
        </w:rPr>
        <w:t>质量保证期以后的维修、维护内容及服务方式、范围和收费等情况；</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h  </w:t>
      </w:r>
      <w:r>
        <w:rPr>
          <w:rFonts w:hint="eastAsia" w:ascii="宋体" w:hAnsi="宋体" w:cs="宋体"/>
          <w:kern w:val="0"/>
          <w:sz w:val="24"/>
          <w:highlight w:val="none"/>
        </w:rPr>
        <w:t>质保期内及质保期外维护保修方案；</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I  </w:t>
      </w:r>
      <w:r>
        <w:rPr>
          <w:rFonts w:hint="eastAsia" w:ascii="宋体" w:hAnsi="宋体" w:cs="宋体"/>
          <w:kern w:val="0"/>
          <w:sz w:val="24"/>
          <w:highlight w:val="none"/>
        </w:rPr>
        <w:t>投标人应报出质保期外两年内备品备件、易损件的详细清单及分项报价</w:t>
      </w:r>
      <w:r>
        <w:rPr>
          <w:rFonts w:ascii="宋体" w:hAnsi="宋体" w:cs="宋体"/>
          <w:kern w:val="0"/>
          <w:sz w:val="24"/>
          <w:highlight w:val="none"/>
        </w:rPr>
        <w:t>(</w:t>
      </w:r>
      <w:r>
        <w:rPr>
          <w:rFonts w:hint="eastAsia" w:ascii="宋体" w:hAnsi="宋体" w:cs="宋体"/>
          <w:kern w:val="0"/>
          <w:sz w:val="24"/>
          <w:highlight w:val="none"/>
        </w:rPr>
        <w:t>不计入总报价</w:t>
      </w:r>
      <w:r>
        <w:rPr>
          <w:rFonts w:ascii="宋体" w:hAnsi="宋体" w:cs="宋体"/>
          <w:kern w:val="0"/>
          <w:sz w:val="24"/>
          <w:highlight w:val="none"/>
        </w:rPr>
        <w:t>)</w:t>
      </w:r>
      <w:r>
        <w:rPr>
          <w:rFonts w:hint="eastAsia" w:ascii="宋体" w:hAnsi="宋体" w:cs="宋体"/>
          <w:kern w:val="0"/>
          <w:sz w:val="24"/>
          <w:highlight w:val="none"/>
        </w:rPr>
        <w:t>。</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3)  </w:t>
      </w:r>
      <w:r>
        <w:rPr>
          <w:rFonts w:hint="eastAsia" w:ascii="宋体" w:hAnsi="宋体" w:cs="宋体"/>
          <w:kern w:val="0"/>
          <w:sz w:val="24"/>
          <w:highlight w:val="none"/>
        </w:rPr>
        <w:t>商务条款偏离表（附件六）</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4)  </w:t>
      </w:r>
      <w:r>
        <w:rPr>
          <w:rFonts w:hint="eastAsia" w:ascii="宋体" w:hAnsi="宋体" w:cs="宋体"/>
          <w:kern w:val="0"/>
          <w:sz w:val="24"/>
          <w:highlight w:val="none"/>
        </w:rPr>
        <w:t>其他优惠条件。</w:t>
      </w:r>
    </w:p>
    <w:p>
      <w:pPr>
        <w:pStyle w:val="12"/>
        <w:tabs>
          <w:tab w:val="left" w:pos="382"/>
        </w:tabs>
        <w:spacing w:line="480" w:lineRule="exact"/>
        <w:ind w:left="197" w:leftChars="94" w:firstLine="360" w:firstLineChars="150"/>
        <w:rPr>
          <w:rFonts w:ascii="宋体"/>
          <w:bCs/>
          <w:sz w:val="24"/>
          <w:highlight w:val="none"/>
        </w:rPr>
      </w:pPr>
      <w:r>
        <w:rPr>
          <w:rFonts w:ascii="宋体" w:hAnsi="宋体"/>
          <w:bCs/>
          <w:sz w:val="24"/>
          <w:highlight w:val="none"/>
        </w:rPr>
        <w:t xml:space="preserve">10.  </w:t>
      </w:r>
      <w:r>
        <w:rPr>
          <w:rFonts w:hint="eastAsia" w:ascii="宋体" w:hAnsi="宋体"/>
          <w:bCs/>
          <w:sz w:val="24"/>
          <w:highlight w:val="none"/>
        </w:rPr>
        <w:t>投标报价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10.1</w:t>
      </w:r>
      <w:r>
        <w:rPr>
          <w:rFonts w:hint="eastAsia" w:ascii="宋体" w:hAnsi="宋体" w:cs="宋体"/>
          <w:kern w:val="0"/>
          <w:sz w:val="24"/>
          <w:highlight w:val="none"/>
        </w:rPr>
        <w:t>本次投标报价为一次性报价，报价币种为人民币。投标报价应报出运至项目现场并安装调试后价格，含主件</w:t>
      </w:r>
      <w:r>
        <w:rPr>
          <w:rFonts w:ascii="宋体" w:hAnsi="宋体" w:cs="宋体"/>
          <w:kern w:val="0"/>
          <w:sz w:val="24"/>
          <w:highlight w:val="none"/>
        </w:rPr>
        <w:t>(</w:t>
      </w:r>
      <w:r>
        <w:rPr>
          <w:rFonts w:hint="eastAsia" w:ascii="宋体" w:hAnsi="宋体" w:cs="宋体"/>
          <w:kern w:val="0"/>
          <w:sz w:val="24"/>
          <w:highlight w:val="none"/>
        </w:rPr>
        <w:t>包括软件</w:t>
      </w:r>
      <w:r>
        <w:rPr>
          <w:rFonts w:ascii="宋体" w:hAnsi="宋体" w:cs="宋体"/>
          <w:kern w:val="0"/>
          <w:sz w:val="24"/>
          <w:highlight w:val="none"/>
        </w:rPr>
        <w:t>)</w:t>
      </w:r>
      <w:r>
        <w:rPr>
          <w:rFonts w:hint="eastAsia" w:ascii="宋体" w:hAnsi="宋体" w:cs="宋体"/>
          <w:kern w:val="0"/>
          <w:sz w:val="24"/>
          <w:highlight w:val="none"/>
        </w:rPr>
        <w:t>、标准附件、备品备件、专用工具等设备的设备费、内陆运输费、相关保险费、伴随服务费、装卸费、保管费、安装调试费、检测费、培训费等所有税、费（以上相关费用在报价明细表中单列，包含在本次报价中）。报价应包括达到招标人使用要求的全部费用。投标人应充分考虑采购条件，不得在中标后无故增加任何费用。</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10.2 </w:t>
      </w:r>
      <w:r>
        <w:rPr>
          <w:rFonts w:hint="eastAsia" w:ascii="宋体" w:hAnsi="宋体" w:cs="宋体"/>
          <w:kern w:val="0"/>
          <w:sz w:val="24"/>
          <w:highlight w:val="none"/>
        </w:rPr>
        <w:t>投标人应对所投产品分别报价并填写开标一览表。投标人对投标报价若有说明应在开标一览表备注处注明。招标人不接受可选择的投标方案和价格。任何有选择的或可调整的投标方案和价格将被视为非响应性投标而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10.3 </w:t>
      </w:r>
      <w:r>
        <w:rPr>
          <w:rFonts w:hint="eastAsia" w:ascii="宋体" w:hAnsi="宋体" w:cs="宋体"/>
          <w:kern w:val="0"/>
          <w:sz w:val="24"/>
          <w:highlight w:val="none"/>
        </w:rPr>
        <w:t>投标报价（即合同价）在合同执行过程中是固定不变的，不得以任何理由予以变更。</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10.4</w:t>
      </w:r>
      <w:r>
        <w:rPr>
          <w:rFonts w:hint="eastAsia" w:ascii="宋体" w:hAnsi="宋体" w:cs="宋体"/>
          <w:kern w:val="0"/>
          <w:sz w:val="24"/>
          <w:highlight w:val="none"/>
        </w:rPr>
        <w:t>投标人免费提供的项目，应先填写该项目的实际价格，并注明免费。此项不计入总报价。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10.5 </w:t>
      </w:r>
      <w:r>
        <w:rPr>
          <w:rFonts w:hint="eastAsia" w:ascii="宋体" w:hAnsi="宋体" w:cs="宋体"/>
          <w:kern w:val="0"/>
          <w:sz w:val="24"/>
          <w:highlight w:val="none"/>
        </w:rPr>
        <w:t>投标人应报出所能承受得了的最低的合理价格，如明显低于成本价需要提供证明。</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10.6</w:t>
      </w:r>
      <w:r>
        <w:rPr>
          <w:rFonts w:hint="eastAsia" w:ascii="宋体" w:hAnsi="宋体" w:cs="宋体"/>
          <w:kern w:val="0"/>
          <w:sz w:val="24"/>
          <w:highlight w:val="none"/>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10.7</w:t>
      </w:r>
      <w:r>
        <w:rPr>
          <w:rFonts w:hint="eastAsia" w:ascii="宋体" w:hAnsi="宋体" w:cs="宋体"/>
          <w:kern w:val="0"/>
          <w:sz w:val="24"/>
          <w:highlight w:val="none"/>
        </w:rPr>
        <w:t>投标人在投标文件上详细写明产品的系列、名称和型号、产品性能、各项技术指标、品牌产地、质量等级、供货时间、售后服务、出厂合格证、备案证、出厂检测报告等，以及达不到检测和质量要求应负的责任。</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10.8</w:t>
      </w:r>
      <w:r>
        <w:rPr>
          <w:rFonts w:hint="eastAsia" w:ascii="宋体" w:hAnsi="宋体" w:cs="宋体"/>
          <w:kern w:val="0"/>
          <w:sz w:val="24"/>
          <w:highlight w:val="none"/>
        </w:rPr>
        <w:t>投标文件应对产品质量、供货时间、售后服务做出明确的承诺，以及达不到承诺的相关条款要求应负的责任和义务。</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10.9</w:t>
      </w:r>
      <w:r>
        <w:rPr>
          <w:rFonts w:hint="eastAsia" w:ascii="宋体" w:hAnsi="宋体" w:cs="宋体"/>
          <w:kern w:val="0"/>
          <w:sz w:val="24"/>
          <w:highlight w:val="none"/>
        </w:rPr>
        <w:t>对于进口货物，投标人应充分理解采购要求，并确保设备合法进口。综合单价为运至招标人项目的现场后安装调试后的价格，应含到岸价，关税、进口环节增值税、所有清关费用及国内运保费、装卸费、保管费、安装调试费、检测验收费、培训及其他附带服务的费用、利润、税金等一切费用。本次招标由中标人办理相关进关手续并承担相关费用，否则招标人有权取消其中标资格。进口货物在交货时要向招标人出具进口货物报关单、税单、原产地证明、进字号注册证等进口证明材料。</w:t>
      </w:r>
    </w:p>
    <w:p>
      <w:pPr>
        <w:widowControl/>
        <w:spacing w:line="360" w:lineRule="auto"/>
        <w:ind w:firstLine="480" w:firstLineChars="200"/>
        <w:jc w:val="left"/>
        <w:rPr>
          <w:rFonts w:ascii="宋体" w:cs="宋体"/>
          <w:kern w:val="0"/>
          <w:sz w:val="24"/>
          <w:highlight w:val="none"/>
        </w:rPr>
      </w:pPr>
      <w:bookmarkStart w:id="70" w:name="_Toc22972"/>
      <w:bookmarkStart w:id="71" w:name="_Toc16942"/>
      <w:bookmarkStart w:id="72" w:name="_Toc5125"/>
      <w:r>
        <w:rPr>
          <w:rFonts w:ascii="宋体" w:hAnsi="宋体" w:cs="宋体"/>
          <w:kern w:val="0"/>
          <w:sz w:val="24"/>
          <w:highlight w:val="none"/>
        </w:rPr>
        <w:t xml:space="preserve">11.  </w:t>
      </w:r>
      <w:r>
        <w:rPr>
          <w:rFonts w:hint="eastAsia" w:ascii="宋体" w:hAnsi="宋体" w:cs="宋体"/>
          <w:kern w:val="0"/>
          <w:sz w:val="24"/>
          <w:highlight w:val="none"/>
        </w:rPr>
        <w:t>投标文件装订与编写</w:t>
      </w:r>
      <w:bookmarkEnd w:id="70"/>
      <w:bookmarkEnd w:id="71"/>
      <w:bookmarkEnd w:id="72"/>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11.1</w:t>
      </w:r>
      <w:r>
        <w:rPr>
          <w:rFonts w:hint="eastAsia" w:ascii="宋体" w:hAnsi="宋体" w:cs="宋体"/>
          <w:kern w:val="0"/>
          <w:sz w:val="24"/>
          <w:highlight w:val="none"/>
        </w:rPr>
        <w:t>投标人必须将投标文件中的有关文件按上述顺序排列装订成册（胶装），并在首页编制“投标文件目录”，投标文件编写连续页码。</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11.2 </w:t>
      </w:r>
      <w:r>
        <w:rPr>
          <w:rFonts w:hint="eastAsia" w:ascii="宋体" w:hAnsi="宋体" w:cs="宋体"/>
          <w:kern w:val="0"/>
          <w:sz w:val="24"/>
          <w:highlight w:val="none"/>
        </w:rPr>
        <w:t>投标人应准备</w:t>
      </w:r>
      <w:r>
        <w:rPr>
          <w:rFonts w:hint="eastAsia" w:ascii="宋体" w:hAnsi="宋体" w:cs="宋体"/>
          <w:kern w:val="0"/>
          <w:sz w:val="24"/>
          <w:highlight w:val="none"/>
          <w:lang w:eastAsia="zh-CN"/>
        </w:rPr>
        <w:t>五</w:t>
      </w:r>
      <w:r>
        <w:rPr>
          <w:rFonts w:hint="eastAsia" w:ascii="宋体" w:hAnsi="宋体" w:cs="宋体"/>
          <w:kern w:val="0"/>
          <w:sz w:val="24"/>
          <w:highlight w:val="none"/>
        </w:rPr>
        <w:t>份投标文件，一份正本和</w:t>
      </w:r>
      <w:r>
        <w:rPr>
          <w:rFonts w:hint="eastAsia" w:ascii="宋体" w:hAnsi="宋体" w:cs="宋体"/>
          <w:kern w:val="0"/>
          <w:sz w:val="24"/>
          <w:highlight w:val="none"/>
          <w:lang w:eastAsia="zh-CN"/>
        </w:rPr>
        <w:t>四</w:t>
      </w:r>
      <w:r>
        <w:rPr>
          <w:rFonts w:hint="eastAsia" w:ascii="宋体" w:hAnsi="宋体" w:cs="宋体"/>
          <w:kern w:val="0"/>
          <w:sz w:val="24"/>
          <w:highlight w:val="none"/>
        </w:rPr>
        <w:t>份副本以及单独密封的开标一览表一份。在每一份投标文件上要注明“正本”或“副本”字样。投标文件每册不超过</w:t>
      </w:r>
      <w:r>
        <w:rPr>
          <w:rFonts w:ascii="宋体" w:hAnsi="宋体" w:cs="宋体"/>
          <w:kern w:val="0"/>
          <w:sz w:val="24"/>
          <w:highlight w:val="none"/>
        </w:rPr>
        <w:t>4.5</w:t>
      </w:r>
      <w:r>
        <w:rPr>
          <w:rFonts w:hint="eastAsia" w:ascii="宋体" w:hAnsi="宋体" w:cs="宋体"/>
          <w:kern w:val="0"/>
          <w:sz w:val="24"/>
          <w:highlight w:val="none"/>
        </w:rPr>
        <w:t>厘米。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11.3 </w:t>
      </w:r>
      <w:r>
        <w:rPr>
          <w:rFonts w:hint="eastAsia" w:ascii="宋体" w:hAnsi="宋体" w:cs="宋体"/>
          <w:kern w:val="0"/>
          <w:sz w:val="24"/>
          <w:highlight w:val="none"/>
        </w:rPr>
        <w:t>投标文件正本和副本用</w:t>
      </w:r>
      <w:r>
        <w:rPr>
          <w:rFonts w:ascii="宋体" w:hAnsi="宋体" w:cs="宋体"/>
          <w:kern w:val="0"/>
          <w:sz w:val="24"/>
          <w:highlight w:val="none"/>
        </w:rPr>
        <w:t>A4</w:t>
      </w:r>
      <w:r>
        <w:rPr>
          <w:rFonts w:hint="eastAsia" w:ascii="宋体" w:hAnsi="宋体" w:cs="宋体"/>
          <w:kern w:val="0"/>
          <w:sz w:val="24"/>
          <w:highlight w:val="none"/>
        </w:rPr>
        <w:t>幅面的纸张打印。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11.4 </w:t>
      </w:r>
      <w:r>
        <w:rPr>
          <w:rFonts w:hint="eastAsia" w:ascii="宋体" w:hAnsi="宋体" w:cs="宋体"/>
          <w:kern w:val="0"/>
          <w:sz w:val="24"/>
          <w:highlight w:val="none"/>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11.5 </w:t>
      </w:r>
      <w:r>
        <w:rPr>
          <w:rFonts w:hint="eastAsia" w:ascii="宋体" w:hAnsi="宋体" w:cs="宋体"/>
          <w:kern w:val="0"/>
          <w:sz w:val="24"/>
          <w:highlight w:val="none"/>
        </w:rPr>
        <w:t>因投标文件字迹潦草、模糊或表达不清所引起的不利后果由投标人承担。</w:t>
      </w:r>
    </w:p>
    <w:p>
      <w:pPr>
        <w:widowControl/>
        <w:spacing w:line="360" w:lineRule="auto"/>
        <w:ind w:firstLine="480" w:firstLineChars="200"/>
        <w:jc w:val="left"/>
        <w:rPr>
          <w:rFonts w:ascii="宋体" w:cs="宋体"/>
          <w:kern w:val="0"/>
          <w:sz w:val="24"/>
          <w:highlight w:val="none"/>
        </w:rPr>
      </w:pPr>
      <w:bookmarkStart w:id="73" w:name="_Toc14371"/>
      <w:bookmarkStart w:id="74" w:name="_Toc8600"/>
      <w:bookmarkStart w:id="75" w:name="_Toc28577"/>
      <w:r>
        <w:rPr>
          <w:rFonts w:ascii="宋体" w:hAnsi="宋体" w:cs="宋体"/>
          <w:kern w:val="0"/>
          <w:sz w:val="24"/>
          <w:highlight w:val="none"/>
        </w:rPr>
        <w:t xml:space="preserve">12.  </w:t>
      </w:r>
      <w:r>
        <w:rPr>
          <w:rFonts w:hint="eastAsia" w:ascii="宋体" w:hAnsi="宋体" w:cs="宋体"/>
          <w:kern w:val="0"/>
          <w:sz w:val="24"/>
          <w:highlight w:val="none"/>
        </w:rPr>
        <w:t>投标文件签署</w:t>
      </w:r>
      <w:bookmarkEnd w:id="73"/>
      <w:bookmarkEnd w:id="74"/>
      <w:bookmarkEnd w:id="75"/>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12.1</w:t>
      </w:r>
      <w:r>
        <w:rPr>
          <w:rFonts w:hint="eastAsia" w:ascii="宋体" w:hAnsi="宋体" w:cs="宋体"/>
          <w:kern w:val="0"/>
          <w:sz w:val="24"/>
          <w:highlight w:val="none"/>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处签字或加盖公章。</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12.2 </w:t>
      </w:r>
      <w:r>
        <w:rPr>
          <w:rFonts w:hint="eastAsia" w:ascii="宋体" w:hAnsi="宋体" w:cs="宋体"/>
          <w:kern w:val="0"/>
          <w:sz w:val="24"/>
          <w:highlight w:val="none"/>
        </w:rPr>
        <w:t>任何行间插字、涂改和增删，必须由投标人的法定代表人或授权代理人签字或盖章或加盖公章后才有效，授权代理人签字或盖章的需在投标文件中提供法人授权委托书，否则签字或盖章无效。</w:t>
      </w:r>
    </w:p>
    <w:p>
      <w:pPr>
        <w:widowControl/>
        <w:spacing w:line="360" w:lineRule="auto"/>
        <w:ind w:firstLine="480" w:firstLineChars="200"/>
        <w:jc w:val="left"/>
        <w:rPr>
          <w:rFonts w:ascii="宋体" w:cs="宋体"/>
          <w:kern w:val="0"/>
          <w:sz w:val="24"/>
          <w:highlight w:val="none"/>
        </w:rPr>
      </w:pPr>
      <w:bookmarkStart w:id="76" w:name="_Toc28358"/>
      <w:bookmarkStart w:id="77" w:name="_Toc26505"/>
      <w:bookmarkStart w:id="78" w:name="_Toc9239"/>
      <w:r>
        <w:rPr>
          <w:rFonts w:ascii="宋体" w:hAnsi="宋体" w:cs="宋体"/>
          <w:kern w:val="0"/>
          <w:sz w:val="24"/>
          <w:highlight w:val="none"/>
        </w:rPr>
        <w:t xml:space="preserve">13.  </w:t>
      </w:r>
      <w:r>
        <w:rPr>
          <w:rFonts w:hint="eastAsia" w:ascii="宋体" w:hAnsi="宋体" w:cs="宋体"/>
          <w:kern w:val="0"/>
          <w:sz w:val="24"/>
          <w:highlight w:val="none"/>
        </w:rPr>
        <w:t>投标文件密封和标记</w:t>
      </w:r>
      <w:bookmarkEnd w:id="76"/>
      <w:bookmarkEnd w:id="77"/>
      <w:bookmarkEnd w:id="78"/>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13.1 </w:t>
      </w:r>
      <w:r>
        <w:rPr>
          <w:rFonts w:hint="eastAsia" w:ascii="宋体" w:hAnsi="宋体" w:cs="宋体"/>
          <w:kern w:val="0"/>
          <w:sz w:val="24"/>
          <w:highlight w:val="none"/>
        </w:rPr>
        <w:t>投标人应将投标文件正、副本一同密封送达，并在封面明显处注明以下内容（密封件格式见附件十二）：</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招标编号、项目名称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投标人名称（加盖公章）、地址、邮编、电话、传真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13.2 </w:t>
      </w:r>
      <w:r>
        <w:rPr>
          <w:rFonts w:hint="eastAsia" w:ascii="宋体" w:hAnsi="宋体" w:cs="宋体"/>
          <w:kern w:val="0"/>
          <w:sz w:val="24"/>
          <w:highlight w:val="none"/>
        </w:rPr>
        <w:t>为方便公开唱标，请投标人将“开标一览表”单独密封，并注明开标一览表，项目名称、招标编号、投标人名称（加盖公章），与投标文件同时提交。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13.3 </w:t>
      </w:r>
      <w:r>
        <w:rPr>
          <w:rFonts w:hint="eastAsia" w:ascii="宋体" w:hAnsi="宋体" w:cs="宋体"/>
          <w:kern w:val="0"/>
          <w:sz w:val="24"/>
          <w:highlight w:val="none"/>
        </w:rPr>
        <w:t>每一密封文件在封口处加盖投标人公章或授权代表签字，并注明“于（招标</w:t>
      </w:r>
      <w:r>
        <w:rPr>
          <w:rFonts w:hint="eastAsia" w:ascii="宋体" w:hAnsi="宋体" w:cs="宋体"/>
          <w:kern w:val="0"/>
          <w:sz w:val="24"/>
          <w:highlight w:val="none"/>
          <w:lang w:eastAsia="zh-CN"/>
        </w:rPr>
        <w:t>文件</w:t>
      </w:r>
      <w:r>
        <w:rPr>
          <w:rFonts w:hint="eastAsia" w:ascii="宋体" w:hAnsi="宋体" w:cs="宋体"/>
          <w:kern w:val="0"/>
          <w:sz w:val="24"/>
          <w:highlight w:val="none"/>
        </w:rPr>
        <w:t>中规定的开标日期及时间）之前不准启封”字样。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13.4 </w:t>
      </w:r>
      <w:r>
        <w:rPr>
          <w:rFonts w:hint="eastAsia" w:ascii="宋体" w:hAnsi="宋体" w:cs="宋体"/>
          <w:kern w:val="0"/>
          <w:sz w:val="24"/>
          <w:highlight w:val="none"/>
        </w:rPr>
        <w:t>如果投标人未按上述要求对投标文件密封及加写标记，招标人对投标文件提前启封概不负责。对由此造成提前开封的投标文件，招标人有权予以拒绝，并退回投标人。</w:t>
      </w:r>
    </w:p>
    <w:p>
      <w:pPr>
        <w:widowControl/>
        <w:spacing w:line="360" w:lineRule="auto"/>
        <w:ind w:firstLine="480" w:firstLineChars="200"/>
        <w:jc w:val="left"/>
        <w:rPr>
          <w:rFonts w:hint="eastAsia" w:ascii="宋体" w:eastAsia="宋体" w:cs="宋体"/>
          <w:kern w:val="0"/>
          <w:sz w:val="24"/>
          <w:highlight w:val="none"/>
          <w:lang w:eastAsia="zh-CN"/>
        </w:rPr>
      </w:pPr>
      <w:bookmarkStart w:id="79" w:name="_Toc9397"/>
      <w:bookmarkStart w:id="80" w:name="_Toc31899"/>
      <w:bookmarkStart w:id="81" w:name="_Toc31000"/>
      <w:r>
        <w:rPr>
          <w:rFonts w:ascii="宋体" w:hAnsi="宋体" w:cs="宋体"/>
          <w:kern w:val="0"/>
          <w:sz w:val="24"/>
          <w:highlight w:val="none"/>
        </w:rPr>
        <w:t xml:space="preserve">14.  </w:t>
      </w:r>
      <w:r>
        <w:rPr>
          <w:rFonts w:hint="eastAsia" w:ascii="宋体" w:hAnsi="宋体" w:cs="宋体"/>
          <w:kern w:val="0"/>
          <w:sz w:val="24"/>
          <w:highlight w:val="none"/>
        </w:rPr>
        <w:t>投标保证金</w:t>
      </w:r>
      <w:bookmarkEnd w:id="79"/>
      <w:bookmarkEnd w:id="80"/>
      <w:bookmarkEnd w:id="81"/>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14.1</w:t>
      </w:r>
      <w:r>
        <w:rPr>
          <w:rFonts w:hint="eastAsia" w:ascii="宋体" w:hAnsi="宋体" w:cs="宋体"/>
          <w:kern w:val="0"/>
          <w:sz w:val="24"/>
          <w:highlight w:val="none"/>
        </w:rPr>
        <w:t>投标人应提交前附表规定数额的投标保证金，投标保证金是投标文件的一个组成部分。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14.2</w:t>
      </w:r>
      <w:r>
        <w:rPr>
          <w:rFonts w:hint="eastAsia" w:ascii="宋体" w:hAnsi="宋体" w:cs="宋体"/>
          <w:kern w:val="0"/>
          <w:sz w:val="24"/>
          <w:highlight w:val="none"/>
        </w:rPr>
        <w:t>投标保证金采用的形式按前附表规定的形式缴纳。</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14.3 </w:t>
      </w:r>
      <w:r>
        <w:rPr>
          <w:rFonts w:hint="eastAsia" w:ascii="宋体" w:hAnsi="宋体" w:cs="宋体"/>
          <w:kern w:val="0"/>
          <w:sz w:val="24"/>
          <w:highlight w:val="none"/>
        </w:rPr>
        <w:t>未按前述各款要求提交投标保证金的报价被视为无效投标。</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14.4 </w:t>
      </w:r>
      <w:r>
        <w:rPr>
          <w:rFonts w:hint="eastAsia" w:ascii="宋体" w:hAnsi="宋体" w:cs="宋体"/>
          <w:kern w:val="0"/>
          <w:sz w:val="24"/>
          <w:highlight w:val="none"/>
        </w:rPr>
        <w:t>投标保证金采用电汇方式退还。若交款单位与投标人名称不一致，退款时，投标保证金退至投标人帐户。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14.5</w:t>
      </w:r>
      <w:r>
        <w:rPr>
          <w:rFonts w:hint="eastAsia" w:ascii="宋体" w:hAnsi="宋体" w:cs="宋体"/>
          <w:kern w:val="0"/>
          <w:sz w:val="24"/>
          <w:highlight w:val="none"/>
        </w:rPr>
        <w:t>未中标投标人的投标保证金自中标通知书发出之日起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14.6</w:t>
      </w:r>
      <w:r>
        <w:rPr>
          <w:rFonts w:hint="eastAsia" w:ascii="宋体" w:hAnsi="宋体" w:cs="宋体"/>
          <w:kern w:val="0"/>
          <w:sz w:val="24"/>
          <w:highlight w:val="none"/>
        </w:rPr>
        <w:t>中标人的投标保证金，自合同签订之日起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  </w:t>
      </w:r>
      <w:r>
        <w:rPr>
          <w:rFonts w:hint="eastAsia" w:ascii="宋体" w:hAnsi="宋体" w:cs="宋体"/>
          <w:kern w:val="0"/>
          <w:sz w:val="24"/>
          <w:highlight w:val="none"/>
        </w:rPr>
        <w:t>投标有效期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15.1 </w:t>
      </w:r>
      <w:r>
        <w:rPr>
          <w:rFonts w:hint="eastAsia" w:ascii="宋体" w:hAnsi="宋体" w:cs="宋体"/>
          <w:kern w:val="0"/>
          <w:sz w:val="24"/>
          <w:highlight w:val="none"/>
        </w:rPr>
        <w:t>从投标截止之日起，投标有效期为</w:t>
      </w:r>
      <w:r>
        <w:rPr>
          <w:rFonts w:ascii="宋体" w:hAnsi="宋体" w:cs="宋体"/>
          <w:kern w:val="0"/>
          <w:sz w:val="24"/>
          <w:highlight w:val="none"/>
        </w:rPr>
        <w:t>90</w:t>
      </w:r>
      <w:r>
        <w:rPr>
          <w:rFonts w:hint="eastAsia" w:ascii="宋体" w:hAnsi="宋体" w:cs="宋体"/>
          <w:kern w:val="0"/>
          <w:sz w:val="24"/>
          <w:highlight w:val="none"/>
        </w:rPr>
        <w:t>日。投标文件的有效期比本须知规定的有效期短的投标将被拒绝。</w:t>
      </w:r>
    </w:p>
    <w:p>
      <w:pPr>
        <w:widowControl/>
        <w:spacing w:line="360" w:lineRule="auto"/>
        <w:ind w:firstLine="480" w:firstLineChars="200"/>
        <w:jc w:val="left"/>
        <w:rPr>
          <w:rFonts w:hint="eastAsia" w:ascii="宋体" w:eastAsia="宋体"/>
          <w:bCs/>
          <w:highlight w:val="none"/>
          <w:lang w:eastAsia="zh-CN"/>
        </w:rPr>
      </w:pPr>
      <w:r>
        <w:rPr>
          <w:rFonts w:ascii="宋体" w:hAnsi="宋体" w:cs="宋体"/>
          <w:kern w:val="0"/>
          <w:sz w:val="24"/>
          <w:highlight w:val="none"/>
        </w:rPr>
        <w:t xml:space="preserve">15.2 </w:t>
      </w:r>
      <w:r>
        <w:rPr>
          <w:rFonts w:hint="eastAsia" w:ascii="宋体" w:hAnsi="宋体" w:cs="宋体"/>
          <w:kern w:val="0"/>
          <w:sz w:val="24"/>
          <w:highlight w:val="none"/>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r>
        <w:rPr>
          <w:rFonts w:hint="eastAsia" w:ascii="宋体" w:hAnsi="宋体" w:cs="宋体"/>
          <w:kern w:val="0"/>
          <w:sz w:val="24"/>
          <w:highlight w:val="none"/>
          <w:lang w:eastAsia="zh-CN"/>
        </w:rPr>
        <w:t>。</w:t>
      </w:r>
    </w:p>
    <w:p>
      <w:pPr>
        <w:pStyle w:val="21"/>
        <w:spacing w:line="480" w:lineRule="exact"/>
        <w:ind w:leftChars="0" w:hanging="100" w:firstLineChars="0"/>
        <w:outlineLvl w:val="1"/>
        <w:rPr>
          <w:rFonts w:ascii="宋体"/>
          <w:b/>
          <w:bCs/>
          <w:sz w:val="24"/>
          <w:highlight w:val="none"/>
        </w:rPr>
      </w:pPr>
      <w:bookmarkStart w:id="82" w:name="_Toc3684"/>
      <w:bookmarkStart w:id="83" w:name="_Toc18910"/>
      <w:bookmarkStart w:id="84" w:name="_Toc1930"/>
      <w:r>
        <w:rPr>
          <w:rFonts w:hint="eastAsia" w:ascii="宋体" w:hAnsi="宋体"/>
          <w:b/>
          <w:bCs/>
          <w:sz w:val="24"/>
          <w:highlight w:val="none"/>
        </w:rPr>
        <w:t>四、投标文件递交</w:t>
      </w:r>
      <w:bookmarkEnd w:id="82"/>
      <w:bookmarkEnd w:id="83"/>
      <w:bookmarkEnd w:id="84"/>
    </w:p>
    <w:p>
      <w:pPr>
        <w:pStyle w:val="19"/>
        <w:spacing w:line="480" w:lineRule="exact"/>
        <w:ind w:left="571" w:leftChars="272"/>
        <w:rPr>
          <w:rFonts w:ascii="宋体"/>
          <w:bCs/>
          <w:highlight w:val="none"/>
        </w:rPr>
      </w:pPr>
      <w:r>
        <w:rPr>
          <w:rFonts w:ascii="宋体" w:hAnsi="宋体"/>
          <w:bCs/>
          <w:highlight w:val="none"/>
        </w:rPr>
        <w:t xml:space="preserve">16.  </w:t>
      </w:r>
      <w:r>
        <w:rPr>
          <w:rFonts w:hint="eastAsia" w:ascii="宋体" w:hAnsi="宋体"/>
          <w:bCs/>
          <w:highlight w:val="none"/>
        </w:rPr>
        <w:t>投标文件递交时间和地点</w:t>
      </w:r>
    </w:p>
    <w:p>
      <w:pPr>
        <w:pStyle w:val="19"/>
        <w:spacing w:line="480" w:lineRule="exact"/>
        <w:ind w:firstLine="480" w:firstLineChars="200"/>
        <w:rPr>
          <w:rFonts w:ascii="宋体"/>
          <w:bCs/>
          <w:highlight w:val="none"/>
        </w:rPr>
      </w:pPr>
      <w:r>
        <w:rPr>
          <w:rFonts w:ascii="宋体" w:hAnsi="宋体"/>
          <w:bCs/>
          <w:highlight w:val="none"/>
        </w:rPr>
        <w:t xml:space="preserve">16.1 </w:t>
      </w:r>
      <w:r>
        <w:rPr>
          <w:rFonts w:hint="eastAsia" w:ascii="宋体" w:hAnsi="宋体"/>
          <w:bCs/>
          <w:highlight w:val="none"/>
        </w:rPr>
        <w:t>投标人代表必须在投标截止时间前将投标文件送达指定地点。如因招标文件的修改推迟投标截止日期的，则按招标代理另行通知规定的时间递交。</w:t>
      </w:r>
    </w:p>
    <w:p>
      <w:pPr>
        <w:pStyle w:val="19"/>
        <w:spacing w:line="480" w:lineRule="exact"/>
        <w:ind w:firstLine="480" w:firstLineChars="200"/>
        <w:rPr>
          <w:rFonts w:ascii="宋体"/>
          <w:bCs/>
          <w:highlight w:val="none"/>
        </w:rPr>
      </w:pPr>
      <w:r>
        <w:rPr>
          <w:rFonts w:ascii="宋体" w:hAnsi="宋体"/>
          <w:bCs/>
          <w:highlight w:val="none"/>
        </w:rPr>
        <w:t xml:space="preserve">16.2 </w:t>
      </w:r>
      <w:r>
        <w:rPr>
          <w:rFonts w:hint="eastAsia" w:ascii="宋体" w:hAnsi="宋体"/>
          <w:bCs/>
          <w:highlight w:val="none"/>
        </w:rPr>
        <w:t>招标代理将拒绝接收投标截止时间后送达的投标文件。</w:t>
      </w:r>
    </w:p>
    <w:p>
      <w:pPr>
        <w:pStyle w:val="19"/>
        <w:spacing w:line="480" w:lineRule="exact"/>
        <w:ind w:left="571" w:leftChars="272" w:firstLine="2"/>
        <w:rPr>
          <w:rFonts w:ascii="宋体"/>
          <w:bCs/>
          <w:highlight w:val="none"/>
        </w:rPr>
      </w:pPr>
      <w:r>
        <w:rPr>
          <w:rFonts w:ascii="宋体" w:hAnsi="宋体"/>
          <w:bCs/>
          <w:highlight w:val="none"/>
        </w:rPr>
        <w:t xml:space="preserve">17.  </w:t>
      </w:r>
      <w:r>
        <w:rPr>
          <w:rFonts w:hint="eastAsia" w:ascii="宋体" w:hAnsi="宋体"/>
          <w:bCs/>
          <w:highlight w:val="none"/>
        </w:rPr>
        <w:t>投标文件签收</w:t>
      </w:r>
    </w:p>
    <w:p>
      <w:pPr>
        <w:pStyle w:val="19"/>
        <w:spacing w:line="480" w:lineRule="exact"/>
        <w:ind w:firstLine="480" w:firstLineChars="200"/>
        <w:rPr>
          <w:rFonts w:ascii="宋体"/>
          <w:bCs/>
          <w:highlight w:val="none"/>
        </w:rPr>
      </w:pPr>
      <w:r>
        <w:rPr>
          <w:rFonts w:ascii="宋体" w:hAnsi="宋体"/>
          <w:bCs/>
          <w:highlight w:val="none"/>
        </w:rPr>
        <w:t xml:space="preserve">17.1 </w:t>
      </w:r>
      <w:r>
        <w:rPr>
          <w:rFonts w:hint="eastAsia" w:ascii="宋体" w:hAnsi="宋体"/>
          <w:bCs/>
          <w:highlight w:val="none"/>
        </w:rPr>
        <w:t>招标代理于投标截止时间前接收合格的投标文件，投标人同时签字确认。</w:t>
      </w:r>
    </w:p>
    <w:p>
      <w:pPr>
        <w:pStyle w:val="19"/>
        <w:spacing w:line="480" w:lineRule="exact"/>
        <w:ind w:firstLine="480" w:firstLineChars="200"/>
        <w:rPr>
          <w:rFonts w:ascii="宋体"/>
          <w:bCs/>
          <w:highlight w:val="none"/>
        </w:rPr>
      </w:pPr>
      <w:r>
        <w:rPr>
          <w:rFonts w:ascii="宋体" w:hAnsi="宋体"/>
          <w:bCs/>
          <w:highlight w:val="none"/>
        </w:rPr>
        <w:t xml:space="preserve">17.2 </w:t>
      </w:r>
      <w:r>
        <w:rPr>
          <w:rFonts w:hint="eastAsia" w:ascii="宋体" w:hAnsi="宋体"/>
          <w:bCs/>
          <w:highlight w:val="none"/>
        </w:rPr>
        <w:t>投标文件须采用纸质形式，以电报、传真、电子邮件等形式提交的投标不予接受。</w:t>
      </w:r>
    </w:p>
    <w:p>
      <w:pPr>
        <w:pStyle w:val="19"/>
        <w:spacing w:line="480" w:lineRule="exact"/>
        <w:ind w:firstLine="480" w:firstLineChars="200"/>
        <w:rPr>
          <w:rFonts w:ascii="宋体"/>
          <w:bCs/>
          <w:highlight w:val="none"/>
        </w:rPr>
      </w:pPr>
      <w:r>
        <w:rPr>
          <w:rFonts w:ascii="宋体" w:hAnsi="宋体"/>
          <w:bCs/>
          <w:highlight w:val="none"/>
        </w:rPr>
        <w:t xml:space="preserve">17.3 </w:t>
      </w:r>
      <w:r>
        <w:rPr>
          <w:rFonts w:hint="eastAsia" w:ascii="宋体" w:hAnsi="宋体"/>
          <w:bCs/>
          <w:highlight w:val="none"/>
        </w:rPr>
        <w:t>对投标人提交的投标文件在投标截止时间后不予退还。</w:t>
      </w:r>
    </w:p>
    <w:p>
      <w:pPr>
        <w:pStyle w:val="21"/>
        <w:spacing w:line="480" w:lineRule="exact"/>
        <w:ind w:left="571" w:leftChars="272" w:firstLine="4" w:firstLineChars="2"/>
        <w:outlineLvl w:val="0"/>
        <w:rPr>
          <w:rFonts w:ascii="宋体"/>
          <w:bCs/>
          <w:sz w:val="24"/>
          <w:highlight w:val="none"/>
        </w:rPr>
      </w:pPr>
      <w:bookmarkStart w:id="85" w:name="_Toc22790"/>
      <w:bookmarkStart w:id="86" w:name="_Toc13548"/>
      <w:bookmarkStart w:id="87" w:name="_Toc5371"/>
      <w:r>
        <w:rPr>
          <w:rFonts w:ascii="宋体" w:hAnsi="宋体"/>
          <w:bCs/>
          <w:sz w:val="24"/>
          <w:highlight w:val="none"/>
        </w:rPr>
        <w:t xml:space="preserve">18.  </w:t>
      </w:r>
      <w:r>
        <w:rPr>
          <w:rFonts w:hint="eastAsia" w:ascii="宋体" w:hAnsi="宋体"/>
          <w:bCs/>
          <w:sz w:val="24"/>
          <w:highlight w:val="none"/>
        </w:rPr>
        <w:t>投标文件修改与撤回</w:t>
      </w:r>
      <w:bookmarkEnd w:id="85"/>
      <w:bookmarkEnd w:id="86"/>
      <w:bookmarkEnd w:id="87"/>
    </w:p>
    <w:p>
      <w:pPr>
        <w:pStyle w:val="19"/>
        <w:spacing w:line="480" w:lineRule="exact"/>
        <w:ind w:firstLine="480" w:firstLineChars="200"/>
        <w:rPr>
          <w:rFonts w:ascii="宋体"/>
          <w:bCs/>
          <w:highlight w:val="none"/>
        </w:rPr>
      </w:pPr>
      <w:r>
        <w:rPr>
          <w:rFonts w:ascii="宋体" w:hAnsi="宋体"/>
          <w:bCs/>
          <w:highlight w:val="none"/>
        </w:rPr>
        <w:t xml:space="preserve">18.1 </w:t>
      </w:r>
      <w:r>
        <w:rPr>
          <w:rFonts w:hint="eastAsia" w:ascii="宋体" w:hAnsi="宋体"/>
          <w:bCs/>
          <w:highlight w:val="none"/>
        </w:rPr>
        <w:t>投标人在招标文件要求提交投标文件的截止时间前，可以补充、修改或者撤回已提交的投标文件，并书面形式通知招标代理。</w:t>
      </w:r>
    </w:p>
    <w:p>
      <w:pPr>
        <w:pStyle w:val="19"/>
        <w:spacing w:line="480" w:lineRule="exact"/>
        <w:ind w:firstLine="480" w:firstLineChars="200"/>
        <w:rPr>
          <w:rFonts w:ascii="宋体"/>
          <w:bCs/>
          <w:highlight w:val="none"/>
        </w:rPr>
      </w:pPr>
      <w:r>
        <w:rPr>
          <w:rFonts w:ascii="宋体" w:hAnsi="宋体"/>
          <w:bCs/>
          <w:highlight w:val="none"/>
        </w:rPr>
        <w:t xml:space="preserve">18.2 </w:t>
      </w:r>
      <w:r>
        <w:rPr>
          <w:rFonts w:hint="eastAsia" w:ascii="宋体" w:hAnsi="宋体"/>
          <w:bCs/>
          <w:highlight w:val="none"/>
        </w:rPr>
        <w:t>投标人对投标文件的补充、修改或撤回通知应按本须知规定编制、密封、标记和递交。</w:t>
      </w:r>
    </w:p>
    <w:p>
      <w:pPr>
        <w:pStyle w:val="19"/>
        <w:spacing w:line="480" w:lineRule="exact"/>
        <w:ind w:firstLine="480" w:firstLineChars="200"/>
        <w:rPr>
          <w:rFonts w:ascii="宋体"/>
          <w:bCs/>
          <w:highlight w:val="none"/>
        </w:rPr>
      </w:pPr>
      <w:r>
        <w:rPr>
          <w:rFonts w:ascii="宋体" w:hAnsi="宋体"/>
          <w:bCs/>
          <w:highlight w:val="none"/>
        </w:rPr>
        <w:t xml:space="preserve">18.3 </w:t>
      </w:r>
      <w:r>
        <w:rPr>
          <w:rFonts w:hint="eastAsia" w:ascii="宋体" w:hAnsi="宋体"/>
          <w:bCs/>
          <w:highlight w:val="none"/>
        </w:rPr>
        <w:t>撤回投标的要求应以书面形式提出，由投标人法定代表人或授权代理人签署，并在投标截止时间前送达招标代理。</w:t>
      </w:r>
    </w:p>
    <w:p>
      <w:pPr>
        <w:pStyle w:val="19"/>
        <w:spacing w:line="480" w:lineRule="exact"/>
        <w:ind w:firstLine="480" w:firstLineChars="200"/>
        <w:rPr>
          <w:rFonts w:ascii="宋体"/>
          <w:bCs/>
          <w:highlight w:val="none"/>
        </w:rPr>
      </w:pPr>
      <w:r>
        <w:rPr>
          <w:rFonts w:ascii="宋体" w:hAnsi="宋体"/>
          <w:bCs/>
          <w:highlight w:val="none"/>
        </w:rPr>
        <w:t xml:space="preserve">18.4 </w:t>
      </w:r>
      <w:r>
        <w:rPr>
          <w:rFonts w:hint="eastAsia" w:ascii="宋体" w:hAnsi="宋体"/>
          <w:bCs/>
          <w:highlight w:val="none"/>
        </w:rPr>
        <w:t>投标有效期内不得撤回投标文件，开标仪式后撤回投标的行为将被记录在案，其投标保证金不予退还。</w:t>
      </w:r>
    </w:p>
    <w:p>
      <w:pPr>
        <w:pStyle w:val="19"/>
        <w:spacing w:line="480" w:lineRule="exact"/>
        <w:ind w:firstLine="480" w:firstLineChars="200"/>
        <w:rPr>
          <w:rFonts w:ascii="宋体"/>
          <w:bCs/>
          <w:highlight w:val="none"/>
        </w:rPr>
      </w:pPr>
      <w:r>
        <w:rPr>
          <w:rFonts w:ascii="宋体" w:hAnsi="宋体"/>
          <w:bCs/>
          <w:highlight w:val="none"/>
        </w:rPr>
        <w:t>18.5</w:t>
      </w:r>
      <w:r>
        <w:rPr>
          <w:rFonts w:hint="eastAsia" w:ascii="宋体" w:hAnsi="宋体"/>
          <w:bCs/>
          <w:highlight w:val="none"/>
        </w:rPr>
        <w:t>通过给所有投标人发通知，招标代理可以延长投标截止时间。招标代理与投标人以前在投标截止期方面的全部权利、责任和义务，将适用于延长后新的投标截止期。</w:t>
      </w:r>
    </w:p>
    <w:p>
      <w:pPr>
        <w:pStyle w:val="21"/>
        <w:spacing w:line="480" w:lineRule="exact"/>
        <w:ind w:leftChars="0" w:hanging="100" w:firstLineChars="0"/>
        <w:outlineLvl w:val="1"/>
        <w:rPr>
          <w:rFonts w:ascii="宋体"/>
          <w:b/>
          <w:bCs/>
          <w:sz w:val="24"/>
          <w:highlight w:val="none"/>
        </w:rPr>
      </w:pPr>
      <w:bookmarkStart w:id="88" w:name="_Toc142"/>
      <w:bookmarkStart w:id="89" w:name="_Toc29966"/>
      <w:r>
        <w:rPr>
          <w:rFonts w:hint="eastAsia" w:ascii="宋体" w:hAnsi="宋体"/>
          <w:b/>
          <w:bCs/>
          <w:sz w:val="24"/>
          <w:highlight w:val="none"/>
        </w:rPr>
        <w:t>五、开标与评标</w:t>
      </w:r>
      <w:bookmarkEnd w:id="88"/>
      <w:bookmarkEnd w:id="89"/>
    </w:p>
    <w:p>
      <w:pPr>
        <w:pStyle w:val="19"/>
        <w:spacing w:line="480" w:lineRule="exact"/>
        <w:ind w:left="571" w:leftChars="272"/>
        <w:rPr>
          <w:rFonts w:ascii="宋体"/>
          <w:bCs/>
          <w:highlight w:val="none"/>
        </w:rPr>
      </w:pPr>
      <w:r>
        <w:rPr>
          <w:rFonts w:ascii="宋体" w:hAnsi="宋体"/>
          <w:bCs/>
          <w:highlight w:val="none"/>
        </w:rPr>
        <w:t xml:space="preserve">19.  </w:t>
      </w:r>
      <w:r>
        <w:rPr>
          <w:rFonts w:hint="eastAsia" w:ascii="宋体" w:hAnsi="宋体"/>
          <w:bCs/>
          <w:highlight w:val="none"/>
        </w:rPr>
        <w:t>开标</w:t>
      </w:r>
    </w:p>
    <w:p>
      <w:pPr>
        <w:pStyle w:val="19"/>
        <w:spacing w:line="480" w:lineRule="exact"/>
        <w:ind w:firstLine="480" w:firstLineChars="200"/>
        <w:rPr>
          <w:rFonts w:ascii="宋体"/>
          <w:bCs/>
          <w:highlight w:val="none"/>
        </w:rPr>
      </w:pPr>
      <w:r>
        <w:rPr>
          <w:rFonts w:ascii="宋体" w:hAnsi="宋体"/>
          <w:bCs/>
          <w:highlight w:val="none"/>
        </w:rPr>
        <w:t xml:space="preserve">19.1 </w:t>
      </w:r>
      <w:r>
        <w:rPr>
          <w:rFonts w:hint="eastAsia" w:ascii="宋体" w:hAnsi="宋体"/>
          <w:bCs/>
          <w:highlight w:val="none"/>
        </w:rPr>
        <w:t>按照招标文件规定的时间、地点开标。招标代理组织并主持投标文件的开标仪式，招标人、投标人和有关方面的代表参加。</w:t>
      </w:r>
    </w:p>
    <w:p>
      <w:pPr>
        <w:pStyle w:val="19"/>
        <w:spacing w:line="480" w:lineRule="exact"/>
        <w:ind w:firstLine="480" w:firstLineChars="200"/>
        <w:rPr>
          <w:rFonts w:ascii="宋体"/>
          <w:bCs/>
          <w:highlight w:val="none"/>
        </w:rPr>
      </w:pPr>
      <w:r>
        <w:rPr>
          <w:rFonts w:ascii="宋体" w:hAnsi="宋体"/>
          <w:bCs/>
          <w:highlight w:val="none"/>
        </w:rPr>
        <w:t>19.2</w:t>
      </w:r>
      <w:r>
        <w:rPr>
          <w:rFonts w:hint="eastAsia" w:ascii="宋体" w:hAnsi="宋体"/>
          <w:bCs/>
          <w:highlight w:val="none"/>
        </w:rPr>
        <w:t>投标人法定代表人或其授权代理人应参加并签名报到以证明其出席。</w:t>
      </w:r>
    </w:p>
    <w:p>
      <w:pPr>
        <w:pStyle w:val="19"/>
        <w:spacing w:line="480" w:lineRule="exact"/>
        <w:ind w:firstLine="480" w:firstLineChars="200"/>
        <w:rPr>
          <w:rFonts w:ascii="宋体"/>
          <w:bCs/>
          <w:highlight w:val="none"/>
        </w:rPr>
      </w:pPr>
      <w:r>
        <w:rPr>
          <w:rFonts w:ascii="宋体" w:hAnsi="宋体"/>
          <w:bCs/>
          <w:highlight w:val="none"/>
        </w:rPr>
        <w:t>19.3</w:t>
      </w:r>
      <w:r>
        <w:rPr>
          <w:rFonts w:hint="eastAsia" w:ascii="宋体" w:hAnsi="宋体"/>
          <w:bCs/>
          <w:highlight w:val="none"/>
        </w:rPr>
        <w:t>主持人按下列程序进行开标：</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）宣读会场纪律；</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）公布在投标截止时间前递交投标文件的投标人名称；</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）在招标人监督部门的监督下，由招标人委托的公证处或投标人推选的代表检查投标文件的密封情况并予以签字确认；</w:t>
      </w:r>
    </w:p>
    <w:p>
      <w:pPr>
        <w:pStyle w:val="19"/>
        <w:spacing w:line="480" w:lineRule="exact"/>
        <w:ind w:left="420" w:leftChars="200"/>
        <w:rPr>
          <w:rFonts w:hint="eastAsia" w:ascii="宋体" w:hAns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）按照宣布的开标顺序当众进行唱标，并由投标人授权代表对唱标内容签字确认。</w:t>
      </w:r>
    </w:p>
    <w:p>
      <w:pPr>
        <w:pStyle w:val="19"/>
        <w:spacing w:line="480" w:lineRule="exact"/>
        <w:ind w:left="420" w:leftChars="200"/>
        <w:rPr>
          <w:rFonts w:ascii="宋体"/>
          <w:bCs/>
          <w:highlight w:val="none"/>
        </w:rPr>
      </w:pPr>
      <w:r>
        <w:rPr>
          <w:rFonts w:hint="eastAsia" w:ascii="宋体" w:hAnsi="宋体"/>
          <w:bCs/>
          <w:highlight w:val="none"/>
        </w:rPr>
        <w:t>（</w:t>
      </w:r>
      <w:r>
        <w:rPr>
          <w:rFonts w:ascii="宋体" w:hAnsi="宋体"/>
          <w:bCs/>
          <w:highlight w:val="none"/>
        </w:rPr>
        <w:t>5</w:t>
      </w:r>
      <w:r>
        <w:rPr>
          <w:rFonts w:hint="eastAsia" w:ascii="宋体" w:hAnsi="宋体"/>
          <w:bCs/>
          <w:highlight w:val="none"/>
        </w:rPr>
        <w:t>）开标会结束，投标人退场。</w:t>
      </w:r>
    </w:p>
    <w:p>
      <w:pPr>
        <w:pStyle w:val="19"/>
        <w:spacing w:line="480" w:lineRule="exact"/>
        <w:ind w:firstLine="480" w:firstLineChars="200"/>
        <w:rPr>
          <w:rFonts w:ascii="宋体"/>
          <w:bCs/>
          <w:highlight w:val="none"/>
        </w:rPr>
      </w:pPr>
      <w:r>
        <w:rPr>
          <w:rFonts w:ascii="宋体" w:hAnsi="宋体"/>
          <w:bCs/>
          <w:highlight w:val="none"/>
        </w:rPr>
        <w:t>19.4</w:t>
      </w:r>
      <w:r>
        <w:rPr>
          <w:rFonts w:hint="eastAsia" w:ascii="宋体" w:hAnsi="宋体"/>
          <w:bCs/>
          <w:highlight w:val="none"/>
        </w:rPr>
        <w:t>对本次开标存在异议的投标人，应现场提出。</w:t>
      </w:r>
    </w:p>
    <w:p>
      <w:pPr>
        <w:pStyle w:val="19"/>
        <w:spacing w:line="480" w:lineRule="exact"/>
        <w:ind w:firstLine="480" w:firstLineChars="200"/>
        <w:rPr>
          <w:rFonts w:ascii="宋体"/>
          <w:bCs/>
          <w:highlight w:val="none"/>
        </w:rPr>
      </w:pPr>
      <w:r>
        <w:rPr>
          <w:rFonts w:ascii="宋体" w:hAnsi="宋体"/>
          <w:bCs/>
          <w:highlight w:val="none"/>
        </w:rPr>
        <w:t>19.5</w:t>
      </w:r>
      <w:r>
        <w:rPr>
          <w:rFonts w:hint="eastAsia" w:ascii="宋体" w:hAnsi="宋体"/>
          <w:bCs/>
          <w:highlight w:val="none"/>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19"/>
        <w:spacing w:line="480" w:lineRule="exact"/>
        <w:ind w:firstLine="480" w:firstLineChars="200"/>
        <w:rPr>
          <w:rFonts w:ascii="宋体"/>
          <w:bCs/>
          <w:highlight w:val="none"/>
        </w:rPr>
      </w:pPr>
      <w:r>
        <w:rPr>
          <w:rFonts w:ascii="宋体" w:hAnsi="宋体"/>
          <w:bCs/>
          <w:highlight w:val="none"/>
        </w:rPr>
        <w:t>19.6</w:t>
      </w:r>
      <w:r>
        <w:rPr>
          <w:rFonts w:hint="eastAsia" w:ascii="宋体" w:hAnsi="宋体"/>
          <w:bCs/>
          <w:highlight w:val="none"/>
        </w:rPr>
        <w:t>投标文件有下列情况之一者，招标人不予受理。</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投标文件未按规定标志、密封；</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未在密封处加盖投标人公章或法定代表人或授权代表签字或盖章；</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投标截止时间以后送达的投标文件。</w:t>
      </w:r>
    </w:p>
    <w:p>
      <w:pPr>
        <w:pStyle w:val="19"/>
        <w:spacing w:line="480" w:lineRule="exact"/>
        <w:ind w:firstLine="480" w:firstLineChars="200"/>
        <w:rPr>
          <w:rFonts w:ascii="宋体"/>
          <w:bCs/>
          <w:highlight w:val="none"/>
        </w:rPr>
      </w:pPr>
      <w:r>
        <w:rPr>
          <w:rFonts w:ascii="宋体" w:hAnsi="宋体"/>
          <w:bCs/>
          <w:highlight w:val="none"/>
        </w:rPr>
        <w:t>19.7</w:t>
      </w:r>
      <w:r>
        <w:rPr>
          <w:rFonts w:hint="eastAsia" w:ascii="宋体" w:hAnsi="宋体"/>
          <w:bCs/>
          <w:highlight w:val="none"/>
        </w:rPr>
        <w:t>投标文件出现下列情况之一的，由评标委员会初审后按废标处理：</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无单位盖章并无法定代表人或法定代表人授权的委托代理人签字或盖章的；</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未按规定格式填写，内容不全或者关键内容字迹模糊，无法辨认的。</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投标人递交两份或多份内容不同的投标文件，或者在一份投标文件中对同一招标项目报有两个或多个报价，且未声明哪一个有效，按招标文件规定提交备选投标方案的除外；</w:t>
      </w:r>
    </w:p>
    <w:p>
      <w:pPr>
        <w:pStyle w:val="19"/>
        <w:spacing w:line="480" w:lineRule="exact"/>
        <w:ind w:firstLine="480" w:firstLineChars="200"/>
        <w:rPr>
          <w:rFonts w:hint="eastAsia" w:ascii="宋体" w:hAnsi="宋体"/>
          <w:bCs/>
          <w:highlight w:val="none"/>
          <w:lang w:eastAsia="zh-CN"/>
        </w:rPr>
      </w:pPr>
      <w:r>
        <w:rPr>
          <w:rFonts w:ascii="宋体" w:hAnsi="宋体"/>
          <w:bCs/>
          <w:highlight w:val="none"/>
        </w:rPr>
        <w:t xml:space="preserve">(4) </w:t>
      </w:r>
      <w:r>
        <w:rPr>
          <w:rFonts w:hint="eastAsia" w:ascii="宋体" w:hAnsi="宋体"/>
          <w:bCs/>
          <w:highlight w:val="none"/>
        </w:rPr>
        <w:t>投标人名称或组织结构与购买招标文件时不一致的；</w:t>
      </w:r>
      <w:r>
        <w:rPr>
          <w:rFonts w:hint="eastAsia" w:ascii="宋体" w:hAnsi="宋体"/>
          <w:bCs/>
          <w:highlight w:val="none"/>
          <w:lang w:eastAsia="zh-CN"/>
        </w:rPr>
        <w:t>‘</w:t>
      </w:r>
    </w:p>
    <w:p>
      <w:pPr>
        <w:pStyle w:val="19"/>
        <w:spacing w:line="480" w:lineRule="exact"/>
        <w:ind w:firstLine="480" w:firstLineChars="200"/>
        <w:rPr>
          <w:rFonts w:hint="eastAsia" w:ascii="宋体" w:hAnsi="宋体"/>
          <w:bCs/>
          <w:highlight w:val="none"/>
          <w:lang w:eastAsia="zh-CN"/>
        </w:rPr>
      </w:pPr>
      <w:r>
        <w:rPr>
          <w:rFonts w:ascii="宋体" w:hAnsi="宋体"/>
          <w:bCs/>
          <w:highlight w:val="none"/>
        </w:rPr>
        <w:t xml:space="preserve">(5) </w:t>
      </w:r>
      <w:r>
        <w:rPr>
          <w:rFonts w:hint="eastAsia" w:ascii="宋体" w:hAnsi="宋体"/>
          <w:bCs/>
          <w:highlight w:val="none"/>
        </w:rPr>
        <w:t>投标人未按照招标文件的要求提供投标保证金的；</w:t>
      </w:r>
    </w:p>
    <w:p>
      <w:pPr>
        <w:pStyle w:val="19"/>
        <w:spacing w:line="480" w:lineRule="exact"/>
        <w:ind w:firstLine="480" w:firstLineChars="200"/>
        <w:rPr>
          <w:rFonts w:ascii="宋体"/>
          <w:bCs/>
          <w:highlight w:val="none"/>
        </w:rPr>
      </w:pPr>
      <w:r>
        <w:rPr>
          <w:rFonts w:ascii="宋体" w:hAnsi="宋体"/>
          <w:bCs/>
          <w:highlight w:val="none"/>
        </w:rPr>
        <w:t>(</w:t>
      </w:r>
      <w:r>
        <w:rPr>
          <w:rFonts w:hint="eastAsia" w:ascii="宋体" w:hAnsi="宋体"/>
          <w:bCs/>
          <w:highlight w:val="none"/>
          <w:lang w:val="en-US" w:eastAsia="zh-CN"/>
        </w:rPr>
        <w:t>6</w:t>
      </w:r>
      <w:r>
        <w:rPr>
          <w:rFonts w:ascii="宋体" w:hAnsi="宋体"/>
          <w:bCs/>
          <w:highlight w:val="none"/>
        </w:rPr>
        <w:t>)</w:t>
      </w:r>
      <w:r>
        <w:rPr>
          <w:rFonts w:hint="eastAsia" w:ascii="宋体" w:hAnsi="宋体"/>
          <w:bCs/>
          <w:highlight w:val="none"/>
        </w:rPr>
        <w:t>评标委员会认定投标人有围标、串通投标情形，按废标处理，取消其投标资格。</w:t>
      </w:r>
    </w:p>
    <w:p>
      <w:pPr>
        <w:pStyle w:val="19"/>
        <w:spacing w:line="480" w:lineRule="exact"/>
        <w:ind w:left="571" w:leftChars="272"/>
        <w:rPr>
          <w:rFonts w:ascii="宋体"/>
          <w:bCs/>
          <w:highlight w:val="none"/>
        </w:rPr>
      </w:pPr>
      <w:r>
        <w:rPr>
          <w:rFonts w:ascii="宋体" w:hAnsi="宋体"/>
          <w:bCs/>
          <w:highlight w:val="none"/>
        </w:rPr>
        <w:t xml:space="preserve">20.  </w:t>
      </w:r>
      <w:r>
        <w:rPr>
          <w:rFonts w:hint="eastAsia" w:ascii="宋体" w:hAnsi="宋体"/>
          <w:bCs/>
          <w:highlight w:val="none"/>
        </w:rPr>
        <w:t>组建评标委员会</w:t>
      </w:r>
    </w:p>
    <w:p>
      <w:pPr>
        <w:pStyle w:val="19"/>
        <w:spacing w:line="480" w:lineRule="exact"/>
        <w:ind w:firstLine="480" w:firstLineChars="200"/>
        <w:rPr>
          <w:rFonts w:ascii="宋体"/>
          <w:bCs/>
          <w:highlight w:val="none"/>
        </w:rPr>
      </w:pPr>
      <w:r>
        <w:rPr>
          <w:rFonts w:hint="eastAsia" w:ascii="宋体" w:hAnsi="宋体"/>
          <w:bCs/>
          <w:highlight w:val="none"/>
        </w:rPr>
        <w:t>招标</w:t>
      </w:r>
      <w:r>
        <w:rPr>
          <w:rFonts w:hint="eastAsia" w:ascii="宋体" w:hAnsi="宋体"/>
          <w:bCs/>
          <w:highlight w:val="none"/>
          <w:lang w:eastAsia="zh-CN"/>
        </w:rPr>
        <w:t>代理</w:t>
      </w:r>
      <w:r>
        <w:rPr>
          <w:rFonts w:hint="eastAsia" w:ascii="宋体" w:hAnsi="宋体"/>
          <w:bCs/>
          <w:highlight w:val="none"/>
        </w:rPr>
        <w:t>将根据本项目的特点组建评标委员会，其成员由招标人代表及有关方面的专家</w:t>
      </w:r>
      <w:r>
        <w:rPr>
          <w:rFonts w:ascii="宋体" w:hAnsi="宋体"/>
          <w:bCs/>
          <w:highlight w:val="none"/>
        </w:rPr>
        <w:t xml:space="preserve"> 5 </w:t>
      </w:r>
      <w:r>
        <w:rPr>
          <w:rFonts w:hint="eastAsia" w:ascii="宋体" w:hAnsi="宋体"/>
          <w:bCs/>
          <w:highlight w:val="none"/>
        </w:rPr>
        <w:t>人</w:t>
      </w:r>
      <w:r>
        <w:rPr>
          <w:rFonts w:hint="eastAsia" w:ascii="宋体" w:hAnsi="宋体"/>
          <w:bCs/>
          <w:highlight w:val="none"/>
          <w:lang w:eastAsia="zh-CN"/>
        </w:rPr>
        <w:t>或</w:t>
      </w:r>
      <w:bookmarkStart w:id="224" w:name="_GoBack"/>
      <w:bookmarkEnd w:id="224"/>
      <w:r>
        <w:rPr>
          <w:rFonts w:hint="eastAsia" w:ascii="宋体" w:hAnsi="宋体"/>
          <w:bCs/>
          <w:highlight w:val="none"/>
        </w:rPr>
        <w:t>以上单数组成，其中技术、经济等方面的专家不少于成员总数的三分之二，评标委员会负责对投标文件进行审查、澄清、推荐中标候选人或经招标人授权直接确定中标人。</w:t>
      </w:r>
    </w:p>
    <w:p>
      <w:pPr>
        <w:pStyle w:val="21"/>
        <w:spacing w:line="480" w:lineRule="exact"/>
        <w:ind w:left="573" w:leftChars="272" w:hanging="2" w:firstLineChars="0"/>
        <w:outlineLvl w:val="0"/>
        <w:rPr>
          <w:rFonts w:ascii="宋体"/>
          <w:bCs/>
          <w:sz w:val="24"/>
          <w:highlight w:val="none"/>
        </w:rPr>
      </w:pPr>
      <w:bookmarkStart w:id="90" w:name="_Toc6823"/>
      <w:bookmarkStart w:id="91" w:name="_Toc24408"/>
      <w:bookmarkStart w:id="92" w:name="_Toc26178"/>
      <w:r>
        <w:rPr>
          <w:rFonts w:ascii="宋体" w:hAnsi="宋体"/>
          <w:bCs/>
          <w:sz w:val="24"/>
          <w:highlight w:val="none"/>
        </w:rPr>
        <w:t xml:space="preserve">21.  </w:t>
      </w:r>
      <w:r>
        <w:rPr>
          <w:rFonts w:hint="eastAsia" w:ascii="宋体" w:hAnsi="宋体"/>
          <w:bCs/>
          <w:sz w:val="24"/>
          <w:highlight w:val="none"/>
        </w:rPr>
        <w:t>评标原则</w:t>
      </w:r>
      <w:bookmarkEnd w:id="90"/>
      <w:bookmarkEnd w:id="91"/>
      <w:bookmarkEnd w:id="92"/>
    </w:p>
    <w:p>
      <w:pPr>
        <w:pStyle w:val="19"/>
        <w:spacing w:line="480" w:lineRule="exact"/>
        <w:ind w:firstLine="480" w:firstLineChars="200"/>
        <w:rPr>
          <w:rFonts w:ascii="宋体"/>
          <w:bCs/>
          <w:highlight w:val="none"/>
        </w:rPr>
      </w:pPr>
      <w:r>
        <w:rPr>
          <w:rFonts w:ascii="宋体" w:hAnsi="宋体"/>
          <w:bCs/>
          <w:highlight w:val="none"/>
        </w:rPr>
        <w:t xml:space="preserve">21.1 </w:t>
      </w:r>
      <w:r>
        <w:rPr>
          <w:rFonts w:hint="eastAsia" w:ascii="宋体" w:hAnsi="宋体"/>
          <w:bCs/>
          <w:highlight w:val="none"/>
        </w:rPr>
        <w:t>客观性原则：评标委员会将严格按照招标文件的要求，对投标人的投标文件进行认真评审；评标委员会对投标文件的评审仅依据投标文件本身，而不依据投标文件以外的任何因素。</w:t>
      </w:r>
    </w:p>
    <w:p>
      <w:pPr>
        <w:pStyle w:val="19"/>
        <w:spacing w:line="480" w:lineRule="exact"/>
        <w:ind w:firstLine="480" w:firstLineChars="200"/>
        <w:rPr>
          <w:rFonts w:ascii="宋体"/>
          <w:bCs/>
          <w:highlight w:val="none"/>
        </w:rPr>
      </w:pPr>
      <w:r>
        <w:rPr>
          <w:rFonts w:ascii="宋体" w:hAnsi="宋体"/>
          <w:bCs/>
          <w:highlight w:val="none"/>
        </w:rPr>
        <w:t xml:space="preserve">21.2 </w:t>
      </w:r>
      <w:r>
        <w:rPr>
          <w:rFonts w:hint="eastAsia" w:ascii="宋体" w:hAnsi="宋体"/>
          <w:bCs/>
          <w:highlight w:val="none"/>
        </w:rPr>
        <w:t>统一性原则：评标委员会将按照统一的评标原则和评标方法，用同一标准进行评审。</w:t>
      </w:r>
    </w:p>
    <w:p>
      <w:pPr>
        <w:pStyle w:val="19"/>
        <w:spacing w:line="480" w:lineRule="exact"/>
        <w:ind w:firstLine="480" w:firstLineChars="200"/>
        <w:rPr>
          <w:rFonts w:ascii="宋体"/>
          <w:bCs/>
          <w:highlight w:val="none"/>
        </w:rPr>
      </w:pPr>
      <w:r>
        <w:rPr>
          <w:rFonts w:ascii="宋体" w:hAnsi="宋体"/>
          <w:bCs/>
          <w:highlight w:val="none"/>
        </w:rPr>
        <w:t xml:space="preserve">21.3 </w:t>
      </w:r>
      <w:r>
        <w:rPr>
          <w:rFonts w:hint="eastAsia" w:ascii="宋体" w:hAnsi="宋体"/>
          <w:bCs/>
          <w:highlight w:val="none"/>
        </w:rPr>
        <w:t>独立性原则：评标工作在评标委员会内部独立进行，不受外界任何因素的干扰和影响。评标委员会成员对出具的意见承担个人责任。</w:t>
      </w:r>
    </w:p>
    <w:p>
      <w:pPr>
        <w:pStyle w:val="19"/>
        <w:spacing w:line="480" w:lineRule="exact"/>
        <w:ind w:firstLine="480" w:firstLineChars="200"/>
        <w:rPr>
          <w:rFonts w:ascii="宋体"/>
          <w:bCs/>
          <w:highlight w:val="none"/>
        </w:rPr>
      </w:pPr>
      <w:r>
        <w:rPr>
          <w:rFonts w:ascii="宋体" w:hAnsi="宋体"/>
          <w:bCs/>
          <w:highlight w:val="none"/>
        </w:rPr>
        <w:t xml:space="preserve">21.4 </w:t>
      </w:r>
      <w:r>
        <w:rPr>
          <w:rFonts w:hint="eastAsia" w:ascii="宋体" w:hAnsi="宋体"/>
          <w:bCs/>
          <w:highlight w:val="none"/>
        </w:rPr>
        <w:t>保密性原则：评委及熟知情况的有关工作人员必须对投标人的商业秘密严格保密。</w:t>
      </w:r>
    </w:p>
    <w:p>
      <w:pPr>
        <w:pStyle w:val="19"/>
        <w:spacing w:line="480" w:lineRule="exact"/>
        <w:ind w:firstLine="480" w:firstLineChars="200"/>
        <w:rPr>
          <w:rFonts w:ascii="宋体"/>
          <w:bCs/>
          <w:highlight w:val="none"/>
        </w:rPr>
      </w:pPr>
      <w:r>
        <w:rPr>
          <w:rFonts w:ascii="宋体" w:hAnsi="宋体"/>
          <w:bCs/>
          <w:highlight w:val="none"/>
        </w:rPr>
        <w:t xml:space="preserve">21.5 </w:t>
      </w:r>
      <w:r>
        <w:rPr>
          <w:rFonts w:hint="eastAsia" w:ascii="宋体" w:hAnsi="宋体"/>
          <w:bCs/>
          <w:highlight w:val="none"/>
        </w:rPr>
        <w:t>综合性原则：评标委员会将综合分析、评审投标人的各项指标，而不以单项指标的优劣评定出中标人。</w:t>
      </w:r>
    </w:p>
    <w:p>
      <w:pPr>
        <w:pStyle w:val="19"/>
        <w:spacing w:line="480" w:lineRule="exact"/>
        <w:ind w:left="571" w:leftChars="272"/>
        <w:rPr>
          <w:rFonts w:ascii="宋体"/>
          <w:bCs/>
          <w:highlight w:val="none"/>
        </w:rPr>
      </w:pPr>
      <w:r>
        <w:rPr>
          <w:rFonts w:ascii="宋体" w:hAnsi="宋体"/>
          <w:bCs/>
          <w:highlight w:val="none"/>
        </w:rPr>
        <w:t xml:space="preserve">22.  </w:t>
      </w:r>
      <w:r>
        <w:rPr>
          <w:rFonts w:hint="eastAsia" w:ascii="宋体" w:hAnsi="宋体"/>
          <w:bCs/>
          <w:highlight w:val="none"/>
        </w:rPr>
        <w:t>初步评审</w:t>
      </w:r>
    </w:p>
    <w:p>
      <w:pPr>
        <w:pStyle w:val="19"/>
        <w:spacing w:line="480" w:lineRule="exact"/>
        <w:ind w:firstLine="480" w:firstLineChars="200"/>
        <w:rPr>
          <w:rFonts w:ascii="宋体"/>
          <w:bCs/>
          <w:highlight w:val="none"/>
        </w:rPr>
      </w:pPr>
      <w:r>
        <w:rPr>
          <w:rFonts w:ascii="宋体" w:hAnsi="宋体"/>
          <w:bCs/>
          <w:highlight w:val="none"/>
        </w:rPr>
        <w:t>22.1</w:t>
      </w:r>
      <w:r>
        <w:rPr>
          <w:rFonts w:hint="eastAsia" w:ascii="宋体" w:hAnsi="宋体"/>
          <w:bCs/>
          <w:highlight w:val="none"/>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pPr>
        <w:pStyle w:val="19"/>
        <w:spacing w:line="480" w:lineRule="exact"/>
        <w:ind w:firstLine="480" w:firstLineChars="200"/>
        <w:rPr>
          <w:rFonts w:ascii="宋体"/>
          <w:bCs/>
          <w:highlight w:val="none"/>
        </w:rPr>
      </w:pPr>
      <w:r>
        <w:rPr>
          <w:rFonts w:ascii="宋体" w:hAnsi="宋体"/>
          <w:bCs/>
          <w:highlight w:val="none"/>
        </w:rPr>
        <w:t>22.2</w:t>
      </w:r>
      <w:r>
        <w:rPr>
          <w:rFonts w:hint="eastAsia" w:ascii="宋体" w:hAnsi="宋体"/>
          <w:bCs/>
          <w:highlight w:val="none"/>
        </w:rPr>
        <w:t>在综合评审之前，评标委员会要审查每份投标文件是否实质上响应了招标文件的要求。</w:t>
      </w:r>
    </w:p>
    <w:p>
      <w:pPr>
        <w:pStyle w:val="19"/>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实质性响应的投标是指投标符合招标文件的所有条款、条件和规格且没有重大偏离或保留。</w:t>
      </w:r>
    </w:p>
    <w:p>
      <w:pPr>
        <w:pStyle w:val="19"/>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重大偏离不允许在开标后修正，但评标委员会将允许修正投标中不构成重大偏离的地方，这些修正不会对其他实质上响应招标文件要求的投标人的竞争地位产生不公正的影响。</w:t>
      </w:r>
    </w:p>
    <w:p>
      <w:pPr>
        <w:pStyle w:val="19"/>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如出现下列情形之一的，视为对招标文件没有做出实质性响应，按照无效投标处理。</w:t>
      </w:r>
    </w:p>
    <w:p>
      <w:pPr>
        <w:pStyle w:val="19"/>
        <w:tabs>
          <w:tab w:val="left" w:pos="0"/>
        </w:tabs>
        <w:spacing w:line="480" w:lineRule="exact"/>
        <w:ind w:left="80" w:firstLine="684"/>
        <w:rPr>
          <w:rFonts w:ascii="宋体"/>
          <w:bCs/>
          <w:highlight w:val="none"/>
        </w:rPr>
      </w:pPr>
      <w:r>
        <w:rPr>
          <w:rFonts w:ascii="宋体" w:hAnsi="宋体"/>
          <w:bCs/>
          <w:highlight w:val="none"/>
        </w:rPr>
        <w:t>A</w:t>
      </w:r>
      <w:r>
        <w:rPr>
          <w:rFonts w:hint="eastAsia" w:ascii="宋体" w:hAnsi="宋体"/>
          <w:bCs/>
          <w:highlight w:val="none"/>
        </w:rPr>
        <w:t>、应交未交或未足额交纳投标保证金；</w:t>
      </w:r>
    </w:p>
    <w:p>
      <w:pPr>
        <w:pStyle w:val="19"/>
        <w:tabs>
          <w:tab w:val="left" w:pos="0"/>
        </w:tabs>
        <w:spacing w:line="480" w:lineRule="exact"/>
        <w:ind w:left="80" w:firstLine="684"/>
        <w:rPr>
          <w:rFonts w:ascii="宋体"/>
          <w:bCs/>
          <w:highlight w:val="none"/>
        </w:rPr>
      </w:pPr>
      <w:r>
        <w:rPr>
          <w:rFonts w:ascii="宋体" w:hAnsi="宋体"/>
          <w:bCs/>
          <w:highlight w:val="none"/>
        </w:rPr>
        <w:t>B</w:t>
      </w:r>
      <w:r>
        <w:rPr>
          <w:rFonts w:hint="eastAsia" w:ascii="宋体" w:hAnsi="宋体"/>
          <w:bCs/>
          <w:highlight w:val="none"/>
        </w:rPr>
        <w:t>、资格证明文件不齐全或无效的；</w:t>
      </w:r>
    </w:p>
    <w:p>
      <w:pPr>
        <w:pStyle w:val="19"/>
        <w:tabs>
          <w:tab w:val="left" w:pos="0"/>
        </w:tabs>
        <w:spacing w:line="480" w:lineRule="exact"/>
        <w:ind w:left="80" w:firstLine="684"/>
        <w:rPr>
          <w:rFonts w:ascii="宋体"/>
          <w:bCs/>
          <w:highlight w:val="none"/>
        </w:rPr>
      </w:pPr>
      <w:r>
        <w:rPr>
          <w:rFonts w:ascii="宋体" w:hAnsi="宋体"/>
          <w:bCs/>
          <w:highlight w:val="none"/>
        </w:rPr>
        <w:t>C</w:t>
      </w:r>
      <w:r>
        <w:rPr>
          <w:rFonts w:hint="eastAsia" w:ascii="宋体" w:hAnsi="宋体"/>
          <w:bCs/>
          <w:highlight w:val="none"/>
        </w:rPr>
        <w:t>、未按照招标文件要求密封、签署、盖章的；</w:t>
      </w:r>
    </w:p>
    <w:p>
      <w:pPr>
        <w:pStyle w:val="19"/>
        <w:tabs>
          <w:tab w:val="left" w:pos="0"/>
        </w:tabs>
        <w:spacing w:line="480" w:lineRule="exact"/>
        <w:ind w:left="80" w:firstLine="684"/>
        <w:rPr>
          <w:rFonts w:ascii="宋体"/>
          <w:bCs/>
          <w:highlight w:val="none"/>
        </w:rPr>
      </w:pPr>
      <w:r>
        <w:rPr>
          <w:rFonts w:ascii="宋体" w:hAnsi="宋体"/>
          <w:bCs/>
          <w:highlight w:val="none"/>
        </w:rPr>
        <w:t>D</w:t>
      </w:r>
      <w:r>
        <w:rPr>
          <w:rFonts w:hint="eastAsia" w:ascii="宋体" w:hAnsi="宋体"/>
          <w:bCs/>
          <w:highlight w:val="none"/>
        </w:rPr>
        <w:t>、不具备招标文件中规定资格要求的；</w:t>
      </w:r>
    </w:p>
    <w:p>
      <w:pPr>
        <w:pStyle w:val="19"/>
        <w:tabs>
          <w:tab w:val="left" w:pos="0"/>
        </w:tabs>
        <w:spacing w:line="480" w:lineRule="exact"/>
        <w:ind w:left="80" w:firstLine="684"/>
        <w:rPr>
          <w:rFonts w:ascii="宋体"/>
          <w:bCs/>
          <w:highlight w:val="none"/>
        </w:rPr>
      </w:pPr>
      <w:r>
        <w:rPr>
          <w:rFonts w:ascii="宋体" w:hAnsi="宋体"/>
          <w:bCs/>
          <w:highlight w:val="none"/>
        </w:rPr>
        <w:t>E</w:t>
      </w:r>
      <w:r>
        <w:rPr>
          <w:rFonts w:hint="eastAsia" w:ascii="宋体" w:hAnsi="宋体"/>
          <w:bCs/>
          <w:highlight w:val="none"/>
        </w:rPr>
        <w:t>、投标有效期不足的；</w:t>
      </w:r>
    </w:p>
    <w:p>
      <w:pPr>
        <w:pStyle w:val="19"/>
        <w:tabs>
          <w:tab w:val="left" w:pos="0"/>
        </w:tabs>
        <w:spacing w:line="480" w:lineRule="exact"/>
        <w:ind w:left="80" w:firstLine="684"/>
        <w:rPr>
          <w:rFonts w:ascii="宋体"/>
          <w:bCs/>
          <w:highlight w:val="none"/>
        </w:rPr>
      </w:pPr>
      <w:r>
        <w:rPr>
          <w:rFonts w:ascii="宋体" w:hAnsi="宋体"/>
          <w:bCs/>
          <w:highlight w:val="none"/>
        </w:rPr>
        <w:t>F</w:t>
      </w:r>
      <w:r>
        <w:rPr>
          <w:rFonts w:hint="eastAsia" w:ascii="宋体" w:hAnsi="宋体"/>
          <w:bCs/>
          <w:highlight w:val="none"/>
        </w:rPr>
        <w:t>、不符合法律法规和招标文件中规定的其他实质性要求的；</w:t>
      </w:r>
    </w:p>
    <w:p>
      <w:pPr>
        <w:pStyle w:val="19"/>
        <w:tabs>
          <w:tab w:val="left" w:pos="0"/>
        </w:tabs>
        <w:spacing w:line="480" w:lineRule="exact"/>
        <w:ind w:left="80" w:firstLine="684"/>
        <w:rPr>
          <w:rFonts w:ascii="宋体"/>
          <w:bCs/>
          <w:highlight w:val="none"/>
        </w:rPr>
      </w:pPr>
      <w:r>
        <w:rPr>
          <w:rFonts w:ascii="宋体" w:hAnsi="宋体"/>
          <w:bCs/>
          <w:highlight w:val="none"/>
        </w:rPr>
        <w:t>G</w:t>
      </w:r>
      <w:r>
        <w:rPr>
          <w:rFonts w:hint="eastAsia" w:ascii="宋体" w:hAnsi="宋体"/>
          <w:bCs/>
          <w:highlight w:val="none"/>
        </w:rPr>
        <w:t>、投标人不参加开标仪式及询标事宜；</w:t>
      </w:r>
    </w:p>
    <w:p>
      <w:pPr>
        <w:pStyle w:val="19"/>
        <w:tabs>
          <w:tab w:val="left" w:pos="0"/>
        </w:tabs>
        <w:spacing w:line="480" w:lineRule="exact"/>
        <w:ind w:firstLine="720" w:firstLineChars="300"/>
        <w:rPr>
          <w:rFonts w:hint="eastAsia" w:ascii="宋体" w:hAnsi="宋体"/>
          <w:bCs/>
          <w:highlight w:val="none"/>
        </w:rPr>
      </w:pPr>
      <w:r>
        <w:rPr>
          <w:rFonts w:ascii="宋体" w:hAnsi="宋体"/>
          <w:bCs/>
          <w:highlight w:val="none"/>
        </w:rPr>
        <w:t>H</w:t>
      </w:r>
      <w:r>
        <w:rPr>
          <w:rFonts w:hint="eastAsia" w:ascii="宋体" w:hAnsi="宋体"/>
          <w:bCs/>
          <w:highlight w:val="none"/>
        </w:rPr>
        <w:t>、投标文件中的商务条款、货物配置、技术参数（或使用功能）明显不符合招标文件要求。</w:t>
      </w:r>
    </w:p>
    <w:p>
      <w:pPr>
        <w:pStyle w:val="19"/>
        <w:tabs>
          <w:tab w:val="left" w:pos="0"/>
        </w:tabs>
        <w:spacing w:line="480" w:lineRule="exact"/>
        <w:ind w:firstLine="720" w:firstLineChars="300"/>
        <w:rPr>
          <w:rFonts w:hint="eastAsia" w:ascii="宋体" w:hAnsi="宋体" w:eastAsia="宋体"/>
          <w:bCs/>
          <w:highlight w:val="none"/>
          <w:lang w:val="en-US" w:eastAsia="zh-CN"/>
        </w:rPr>
      </w:pPr>
      <w:r>
        <w:rPr>
          <w:rFonts w:hint="eastAsia" w:ascii="宋体" w:hAnsi="宋体"/>
          <w:bCs/>
          <w:highlight w:val="none"/>
          <w:lang w:val="en-US" w:eastAsia="zh-CN"/>
        </w:rPr>
        <w:t>I、未全部响应招标文件规定的实质性要求（含*项）的；</w:t>
      </w:r>
    </w:p>
    <w:p>
      <w:pPr>
        <w:pStyle w:val="19"/>
        <w:spacing w:line="480" w:lineRule="exact"/>
        <w:ind w:firstLine="720" w:firstLineChars="300"/>
        <w:rPr>
          <w:rFonts w:ascii="宋体"/>
          <w:bCs/>
          <w:highlight w:val="none"/>
        </w:rPr>
      </w:pPr>
      <w:r>
        <w:rPr>
          <w:rFonts w:ascii="宋体" w:hAnsi="宋体"/>
          <w:bCs/>
          <w:highlight w:val="none"/>
        </w:rPr>
        <w:t xml:space="preserve">4) </w:t>
      </w:r>
      <w:r>
        <w:rPr>
          <w:rFonts w:hint="eastAsia" w:ascii="宋体" w:hAnsi="宋体"/>
          <w:bCs/>
          <w:highlight w:val="none"/>
        </w:rPr>
        <w:t>评标委员会成员会根据招标文件规定，详细审阅各投标人提交的投标文件，逐项列出投标文件的全部偏差。偏差分为重大偏差和细微偏差。</w:t>
      </w:r>
    </w:p>
    <w:p>
      <w:pPr>
        <w:pStyle w:val="19"/>
        <w:spacing w:line="480" w:lineRule="exact"/>
        <w:ind w:firstLine="720" w:firstLineChars="300"/>
        <w:rPr>
          <w:rFonts w:ascii="宋体"/>
          <w:bCs/>
          <w:highlight w:val="none"/>
        </w:rPr>
      </w:pPr>
      <w:r>
        <w:rPr>
          <w:rFonts w:hint="eastAsia" w:ascii="宋体" w:hAnsi="宋体"/>
          <w:bCs/>
          <w:highlight w:val="none"/>
        </w:rPr>
        <w:t>重大偏差包括以下内容：</w:t>
      </w:r>
    </w:p>
    <w:p>
      <w:pPr>
        <w:pStyle w:val="19"/>
        <w:spacing w:line="480" w:lineRule="exact"/>
        <w:ind w:firstLine="600" w:firstLineChars="250"/>
        <w:rPr>
          <w:rFonts w:ascii="宋体"/>
          <w:bCs/>
          <w:highlight w:val="none"/>
        </w:rPr>
      </w:pPr>
      <w:r>
        <w:rPr>
          <w:rFonts w:ascii="宋体" w:hAnsi="宋体"/>
          <w:bCs/>
          <w:highlight w:val="none"/>
        </w:rPr>
        <w:t>A</w:t>
      </w:r>
      <w:r>
        <w:rPr>
          <w:rFonts w:hint="eastAsia" w:ascii="宋体" w:hAnsi="宋体"/>
          <w:bCs/>
          <w:highlight w:val="none"/>
        </w:rPr>
        <w:t>、有确凿的证据表明投标人以低于成本价报价；</w:t>
      </w:r>
    </w:p>
    <w:p>
      <w:pPr>
        <w:pStyle w:val="19"/>
        <w:spacing w:line="480" w:lineRule="exact"/>
        <w:ind w:firstLine="600" w:firstLineChars="250"/>
        <w:rPr>
          <w:rFonts w:ascii="宋体"/>
          <w:bCs/>
          <w:highlight w:val="none"/>
        </w:rPr>
      </w:pPr>
      <w:r>
        <w:rPr>
          <w:rFonts w:hint="eastAsia" w:ascii="宋体" w:hAnsi="宋体"/>
          <w:bCs/>
          <w:highlight w:val="none"/>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价。</w:t>
      </w:r>
    </w:p>
    <w:p>
      <w:pPr>
        <w:pStyle w:val="19"/>
        <w:spacing w:line="480" w:lineRule="exact"/>
        <w:ind w:firstLine="600" w:firstLineChars="250"/>
        <w:rPr>
          <w:rFonts w:ascii="宋体"/>
          <w:bCs/>
          <w:highlight w:val="none"/>
        </w:rPr>
      </w:pPr>
      <w:r>
        <w:rPr>
          <w:rFonts w:ascii="宋体"/>
          <w:bCs/>
          <w:highlight w:val="none"/>
        </w:rPr>
        <w:t>B</w:t>
      </w:r>
      <w:r>
        <w:rPr>
          <w:rFonts w:hint="eastAsia" w:ascii="宋体" w:hAnsi="宋体"/>
          <w:bCs/>
          <w:highlight w:val="none"/>
        </w:rPr>
        <w:t>、投标文件附有招标人不能接受的条件；</w:t>
      </w:r>
    </w:p>
    <w:p>
      <w:pPr>
        <w:pStyle w:val="19"/>
        <w:spacing w:line="480" w:lineRule="exact"/>
        <w:ind w:firstLine="600" w:firstLineChars="250"/>
        <w:rPr>
          <w:rFonts w:ascii="宋体"/>
          <w:bCs/>
          <w:highlight w:val="none"/>
        </w:rPr>
      </w:pPr>
      <w:r>
        <w:rPr>
          <w:rFonts w:ascii="宋体" w:hAnsi="宋体"/>
          <w:bCs/>
          <w:highlight w:val="none"/>
        </w:rPr>
        <w:t>C</w:t>
      </w:r>
      <w:r>
        <w:rPr>
          <w:rFonts w:hint="eastAsia" w:ascii="宋体" w:hAnsi="宋体"/>
          <w:bCs/>
          <w:highlight w:val="none"/>
        </w:rPr>
        <w:t>、不符合招标文件中规定的其他实质性要求。</w:t>
      </w:r>
    </w:p>
    <w:p>
      <w:pPr>
        <w:pStyle w:val="19"/>
        <w:spacing w:line="480" w:lineRule="exact"/>
        <w:ind w:firstLine="720" w:firstLineChars="300"/>
        <w:rPr>
          <w:rFonts w:ascii="宋体"/>
          <w:bCs/>
          <w:highlight w:val="none"/>
        </w:rPr>
      </w:pPr>
      <w:r>
        <w:rPr>
          <w:rFonts w:ascii="宋体" w:hAnsi="宋体"/>
          <w:bCs/>
          <w:highlight w:val="none"/>
        </w:rPr>
        <w:t xml:space="preserve">5) </w:t>
      </w:r>
      <w:r>
        <w:rPr>
          <w:rFonts w:hint="eastAsia" w:ascii="宋体" w:hAnsi="宋体"/>
          <w:bCs/>
          <w:highlight w:val="none"/>
        </w:rPr>
        <w:t>评标委员会将拒绝被确定为非实质性响应的投标文件，投标人不能通过修正或撤销投标文件中的不符之处而使其投标成为实质性响应的投标。</w:t>
      </w:r>
    </w:p>
    <w:p>
      <w:pPr>
        <w:pStyle w:val="19"/>
        <w:spacing w:line="480" w:lineRule="exact"/>
        <w:ind w:left="1139" w:leftChars="272" w:hanging="568" w:hangingChars="237"/>
        <w:rPr>
          <w:rFonts w:ascii="宋体"/>
          <w:bCs/>
          <w:highlight w:val="none"/>
        </w:rPr>
      </w:pPr>
      <w:r>
        <w:rPr>
          <w:rFonts w:ascii="宋体" w:hAnsi="宋体"/>
          <w:bCs/>
          <w:highlight w:val="none"/>
        </w:rPr>
        <w:t xml:space="preserve">22.3 </w:t>
      </w:r>
      <w:r>
        <w:rPr>
          <w:rFonts w:hint="eastAsia" w:ascii="宋体" w:hAnsi="宋体"/>
          <w:bCs/>
          <w:highlight w:val="none"/>
        </w:rPr>
        <w:t>初审中，对明显的文字和计算错误按下述原则处理：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1</w:t>
      </w:r>
      <w:r>
        <w:rPr>
          <w:rFonts w:hint="eastAsia" w:ascii="宋体" w:hAnsi="宋体"/>
          <w:bCs/>
          <w:highlight w:val="none"/>
        </w:rPr>
        <w:t>）如果正本与副本或电子文档不一致，以正本为准；如果单独的开标一览表与投标文件正本有差异，以开标一览表为准；</w:t>
      </w:r>
      <w:r>
        <w:rPr>
          <w:rFonts w:hint="eastAsia" w:ascii="宋体" w:hAnsi="宋体"/>
          <w:szCs w:val="24"/>
          <w:highlight w:val="none"/>
        </w:rPr>
        <w:t>开标一览表报价不一致按无效投标处理；</w:t>
      </w:r>
      <w:r>
        <w:rPr>
          <w:rFonts w:hint="eastAsia" w:ascii="宋体" w:hAnsi="宋体"/>
          <w:bCs/>
          <w:highlight w:val="none"/>
        </w:rPr>
        <w:t>投标文件中的开标一览表与投标文件中明细表内容不一致的，以开标一览表为准。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2</w:t>
      </w:r>
      <w:r>
        <w:rPr>
          <w:rFonts w:hint="eastAsia" w:ascii="宋体" w:hAnsi="宋体"/>
          <w:bCs/>
          <w:highlight w:val="none"/>
        </w:rPr>
        <w:t>）如果以文字表示的数据与数字表示的有差别，以文字为准。如果大写金额和小写金额不一致的，以大写金额为准；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3</w:t>
      </w:r>
      <w:r>
        <w:rPr>
          <w:rFonts w:hint="eastAsia" w:ascii="宋体" w:hAnsi="宋体"/>
          <w:bCs/>
          <w:highlight w:val="none"/>
        </w:rPr>
        <w:t>）</w:t>
      </w:r>
      <w:r>
        <w:rPr>
          <w:rFonts w:hint="eastAsia" w:ascii="宋体" w:hAnsi="宋体"/>
          <w:szCs w:val="24"/>
          <w:highlight w:val="none"/>
        </w:rPr>
        <w:t>总价金额与依据单价计算出的结果不一致的，以单价金额为准修正总价。</w:t>
      </w:r>
      <w:r>
        <w:rPr>
          <w:rFonts w:hint="eastAsia" w:ascii="宋体" w:hAnsi="宋体"/>
          <w:bCs/>
          <w:highlight w:val="none"/>
        </w:rPr>
        <w:t>单价金额小数点有明显错位的，应以总价为准，并修改单价。</w:t>
      </w:r>
    </w:p>
    <w:p>
      <w:pPr>
        <w:pStyle w:val="19"/>
        <w:spacing w:line="480" w:lineRule="exact"/>
        <w:ind w:firstLine="480" w:firstLineChars="200"/>
        <w:rPr>
          <w:rFonts w:ascii="宋体"/>
          <w:bCs/>
          <w:highlight w:val="none"/>
        </w:rPr>
      </w:pPr>
      <w:r>
        <w:rPr>
          <w:rFonts w:ascii="宋体" w:hAnsi="宋体"/>
          <w:bCs/>
          <w:highlight w:val="none"/>
        </w:rPr>
        <w:t>4</w:t>
      </w:r>
      <w:r>
        <w:rPr>
          <w:rFonts w:hint="eastAsia" w:ascii="宋体" w:hAnsi="宋体"/>
          <w:bCs/>
          <w:highlight w:val="none"/>
        </w:rPr>
        <w:t>）调整后的数据对投标人具有约束力，投标人不同意以上修正，其投标将被拒绝。</w:t>
      </w:r>
    </w:p>
    <w:p>
      <w:pPr>
        <w:pStyle w:val="19"/>
        <w:spacing w:line="480" w:lineRule="exact"/>
        <w:ind w:left="571" w:leftChars="272"/>
        <w:rPr>
          <w:rFonts w:ascii="宋体"/>
          <w:bCs/>
          <w:highlight w:val="none"/>
        </w:rPr>
      </w:pPr>
      <w:r>
        <w:rPr>
          <w:rFonts w:ascii="宋体" w:hAnsi="宋体"/>
          <w:bCs/>
          <w:highlight w:val="none"/>
        </w:rPr>
        <w:t xml:space="preserve">23. </w:t>
      </w:r>
      <w:r>
        <w:rPr>
          <w:rFonts w:hint="eastAsia" w:ascii="宋体" w:hAnsi="宋体"/>
          <w:bCs/>
          <w:highlight w:val="none"/>
        </w:rPr>
        <w:t>投标文件的澄清</w:t>
      </w:r>
    </w:p>
    <w:p>
      <w:pPr>
        <w:pStyle w:val="19"/>
        <w:spacing w:line="480" w:lineRule="exact"/>
        <w:ind w:firstLine="480" w:firstLineChars="200"/>
        <w:rPr>
          <w:rFonts w:ascii="宋体"/>
          <w:bCs/>
          <w:highlight w:val="none"/>
        </w:rPr>
      </w:pPr>
      <w:r>
        <w:rPr>
          <w:rFonts w:ascii="宋体" w:hAnsi="宋体"/>
          <w:bCs/>
          <w:highlight w:val="none"/>
        </w:rPr>
        <w:t>23.1</w:t>
      </w:r>
      <w:r>
        <w:rPr>
          <w:rFonts w:hint="eastAsia" w:ascii="宋体" w:hAnsi="宋体"/>
          <w:bCs/>
          <w:highlight w:val="none"/>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19"/>
        <w:spacing w:line="480" w:lineRule="exact"/>
        <w:ind w:firstLine="480" w:firstLineChars="200"/>
        <w:rPr>
          <w:rFonts w:ascii="宋体"/>
          <w:bCs/>
          <w:highlight w:val="none"/>
        </w:rPr>
      </w:pPr>
      <w:r>
        <w:rPr>
          <w:rFonts w:ascii="宋体" w:hAnsi="宋体"/>
          <w:bCs/>
          <w:highlight w:val="none"/>
        </w:rPr>
        <w:t xml:space="preserve">23.2 </w:t>
      </w:r>
      <w:r>
        <w:rPr>
          <w:rFonts w:hint="eastAsia" w:ascii="宋体" w:hAnsi="宋体"/>
          <w:bCs/>
          <w:highlight w:val="none"/>
        </w:rPr>
        <w:t>投标人对澄清的答复以书面材料为准，但不得对投标内容进行实质性修改。</w:t>
      </w:r>
    </w:p>
    <w:p>
      <w:pPr>
        <w:pStyle w:val="19"/>
        <w:spacing w:line="480" w:lineRule="exact"/>
        <w:ind w:firstLine="480" w:firstLineChars="200"/>
        <w:rPr>
          <w:rFonts w:ascii="宋体"/>
          <w:bCs/>
          <w:highlight w:val="none"/>
        </w:rPr>
      </w:pPr>
      <w:r>
        <w:rPr>
          <w:rFonts w:ascii="宋体" w:hAnsi="宋体"/>
          <w:bCs/>
          <w:highlight w:val="none"/>
        </w:rPr>
        <w:t xml:space="preserve">23.3 </w:t>
      </w:r>
      <w:r>
        <w:rPr>
          <w:rFonts w:hint="eastAsia" w:ascii="宋体" w:hAnsi="宋体"/>
          <w:bCs/>
          <w:highlight w:val="none"/>
        </w:rPr>
        <w:t>澄清的内容须以书面形式确认，并构成投标文件的组成部分。</w:t>
      </w:r>
    </w:p>
    <w:p>
      <w:pPr>
        <w:pStyle w:val="19"/>
        <w:spacing w:line="480" w:lineRule="exact"/>
        <w:ind w:firstLine="480" w:firstLineChars="200"/>
        <w:rPr>
          <w:rFonts w:ascii="宋体"/>
          <w:bCs/>
          <w:highlight w:val="none"/>
        </w:rPr>
      </w:pPr>
      <w:r>
        <w:rPr>
          <w:rFonts w:ascii="宋体" w:hAnsi="宋体"/>
          <w:bCs/>
          <w:highlight w:val="none"/>
        </w:rPr>
        <w:t>23.4</w:t>
      </w:r>
      <w:r>
        <w:rPr>
          <w:rFonts w:hint="eastAsia" w:ascii="宋体" w:hAnsi="宋体"/>
          <w:bCs/>
          <w:highlight w:val="none"/>
        </w:rPr>
        <w:t>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2"/>
        <w:spacing w:line="480" w:lineRule="exact"/>
        <w:ind w:left="571" w:leftChars="272" w:firstLine="0" w:firstLineChars="0"/>
        <w:outlineLvl w:val="0"/>
        <w:rPr>
          <w:rFonts w:ascii="宋体"/>
          <w:bCs/>
          <w:sz w:val="24"/>
          <w:highlight w:val="none"/>
        </w:rPr>
      </w:pPr>
      <w:bookmarkStart w:id="93" w:name="_Toc27597"/>
      <w:bookmarkStart w:id="94" w:name="_Toc2195"/>
      <w:bookmarkStart w:id="95" w:name="_Toc31292"/>
      <w:r>
        <w:rPr>
          <w:rFonts w:ascii="宋体" w:hAnsi="宋体"/>
          <w:bCs/>
          <w:sz w:val="24"/>
          <w:highlight w:val="none"/>
        </w:rPr>
        <w:t xml:space="preserve">24.  </w:t>
      </w:r>
      <w:r>
        <w:rPr>
          <w:rFonts w:hint="eastAsia" w:ascii="宋体" w:hAnsi="宋体"/>
          <w:bCs/>
          <w:sz w:val="24"/>
          <w:highlight w:val="none"/>
        </w:rPr>
        <w:t>综合评审</w:t>
      </w:r>
      <w:bookmarkEnd w:id="93"/>
      <w:bookmarkEnd w:id="94"/>
      <w:bookmarkEnd w:id="95"/>
    </w:p>
    <w:p>
      <w:pPr>
        <w:pStyle w:val="19"/>
        <w:spacing w:line="480" w:lineRule="exact"/>
        <w:ind w:firstLine="480" w:firstLineChars="200"/>
        <w:rPr>
          <w:rFonts w:ascii="宋体"/>
          <w:bCs/>
          <w:highlight w:val="none"/>
        </w:rPr>
      </w:pPr>
      <w:r>
        <w:rPr>
          <w:rFonts w:ascii="宋体" w:hAnsi="宋体"/>
          <w:bCs/>
          <w:highlight w:val="none"/>
        </w:rPr>
        <w:t>24.1</w:t>
      </w:r>
      <w:r>
        <w:rPr>
          <w:rFonts w:hint="eastAsia" w:ascii="宋体" w:hAnsi="宋体"/>
          <w:bCs/>
          <w:highlight w:val="none"/>
        </w:rPr>
        <w:t>经初审合格的投标文件，评标委员会将根据招标文件确定的评标标准和方法作进一步的比较和评价。</w:t>
      </w:r>
    </w:p>
    <w:p>
      <w:pPr>
        <w:pStyle w:val="19"/>
        <w:spacing w:line="480" w:lineRule="exact"/>
        <w:ind w:firstLine="480" w:firstLineChars="200"/>
        <w:rPr>
          <w:rFonts w:ascii="宋体"/>
          <w:bCs/>
          <w:highlight w:val="none"/>
        </w:rPr>
      </w:pPr>
      <w:r>
        <w:rPr>
          <w:rFonts w:ascii="宋体" w:hAnsi="宋体"/>
          <w:bCs/>
          <w:highlight w:val="none"/>
        </w:rPr>
        <w:t xml:space="preserve">24.2 </w:t>
      </w:r>
      <w:r>
        <w:rPr>
          <w:rFonts w:hint="eastAsia" w:ascii="宋体" w:hAnsi="宋体"/>
          <w:bCs/>
          <w:highlight w:val="none"/>
        </w:rPr>
        <w:t>评标委员会严格按照招标文件的要求和条件进行综合分析，比较报价，同时考虑以下因素：</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报价的合理性和客观性；</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货物的性能指标、工艺的先进性、使用寿命；</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安装调试方案的合理性、先进性；</w:t>
      </w:r>
    </w:p>
    <w:p>
      <w:pPr>
        <w:pStyle w:val="19"/>
        <w:spacing w:line="480" w:lineRule="exact"/>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维保方案；</w:t>
      </w:r>
    </w:p>
    <w:p>
      <w:pPr>
        <w:pStyle w:val="19"/>
        <w:spacing w:line="480" w:lineRule="exact"/>
        <w:ind w:firstLine="480" w:firstLineChars="200"/>
        <w:rPr>
          <w:rFonts w:ascii="宋体"/>
          <w:bCs/>
          <w:highlight w:val="none"/>
        </w:rPr>
      </w:pPr>
      <w:r>
        <w:rPr>
          <w:rFonts w:ascii="宋体" w:hAnsi="宋体"/>
          <w:bCs/>
          <w:highlight w:val="none"/>
        </w:rPr>
        <w:t xml:space="preserve">5) </w:t>
      </w:r>
      <w:r>
        <w:rPr>
          <w:rFonts w:hint="eastAsia" w:ascii="宋体" w:hAnsi="宋体"/>
          <w:bCs/>
          <w:highlight w:val="none"/>
        </w:rPr>
        <w:t>售后服务条款；</w:t>
      </w:r>
    </w:p>
    <w:p>
      <w:pPr>
        <w:pStyle w:val="19"/>
        <w:spacing w:line="480" w:lineRule="exact"/>
        <w:ind w:firstLine="480" w:firstLineChars="200"/>
        <w:rPr>
          <w:rFonts w:ascii="宋体"/>
          <w:bCs/>
          <w:highlight w:val="none"/>
        </w:rPr>
      </w:pPr>
      <w:r>
        <w:rPr>
          <w:rFonts w:ascii="宋体" w:hAnsi="宋体"/>
          <w:bCs/>
          <w:highlight w:val="none"/>
        </w:rPr>
        <w:t xml:space="preserve">6) </w:t>
      </w:r>
      <w:r>
        <w:rPr>
          <w:rFonts w:hint="eastAsia" w:ascii="宋体" w:hAnsi="宋体"/>
          <w:bCs/>
          <w:highlight w:val="none"/>
        </w:rPr>
        <w:t>技术及商务有无偏离；</w:t>
      </w:r>
    </w:p>
    <w:p>
      <w:pPr>
        <w:pStyle w:val="19"/>
        <w:spacing w:line="480" w:lineRule="exact"/>
        <w:ind w:firstLine="480" w:firstLineChars="200"/>
        <w:rPr>
          <w:rFonts w:ascii="宋体"/>
          <w:bCs/>
          <w:highlight w:val="none"/>
        </w:rPr>
      </w:pPr>
      <w:r>
        <w:rPr>
          <w:rFonts w:ascii="宋体" w:hAnsi="宋体"/>
          <w:bCs/>
          <w:highlight w:val="none"/>
        </w:rPr>
        <w:t xml:space="preserve">7) </w:t>
      </w:r>
      <w:r>
        <w:rPr>
          <w:rFonts w:hint="eastAsia" w:ascii="宋体" w:hAnsi="宋体"/>
          <w:bCs/>
          <w:highlight w:val="none"/>
        </w:rPr>
        <w:t>投标人资信情况和履约能力；</w:t>
      </w:r>
    </w:p>
    <w:p>
      <w:pPr>
        <w:pStyle w:val="19"/>
        <w:spacing w:line="480" w:lineRule="exact"/>
        <w:ind w:firstLine="480" w:firstLineChars="200"/>
        <w:rPr>
          <w:rFonts w:ascii="宋体"/>
          <w:bCs/>
          <w:highlight w:val="none"/>
        </w:rPr>
      </w:pPr>
      <w:r>
        <w:rPr>
          <w:rFonts w:ascii="宋体" w:hAnsi="宋体"/>
          <w:bCs/>
          <w:highlight w:val="none"/>
        </w:rPr>
        <w:t xml:space="preserve">8) </w:t>
      </w:r>
      <w:r>
        <w:rPr>
          <w:rFonts w:hint="eastAsia" w:ascii="宋体" w:hAnsi="宋体"/>
          <w:bCs/>
          <w:highlight w:val="none"/>
        </w:rPr>
        <w:t>投标人的经营业绩；</w:t>
      </w:r>
    </w:p>
    <w:p>
      <w:pPr>
        <w:pStyle w:val="19"/>
        <w:spacing w:line="360" w:lineRule="auto"/>
        <w:ind w:firstLine="480" w:firstLineChars="200"/>
        <w:rPr>
          <w:rFonts w:ascii="宋体"/>
          <w:bCs/>
          <w:highlight w:val="none"/>
        </w:rPr>
      </w:pPr>
      <w:r>
        <w:rPr>
          <w:rFonts w:ascii="宋体" w:hAnsi="宋体"/>
          <w:bCs/>
          <w:highlight w:val="none"/>
        </w:rPr>
        <w:t xml:space="preserve">9) </w:t>
      </w:r>
      <w:r>
        <w:rPr>
          <w:rFonts w:hint="eastAsia" w:ascii="宋体" w:hAnsi="宋体"/>
          <w:bCs/>
          <w:highlight w:val="none"/>
        </w:rPr>
        <w:t>优惠条件；</w:t>
      </w:r>
    </w:p>
    <w:p>
      <w:pPr>
        <w:pStyle w:val="19"/>
        <w:spacing w:line="360" w:lineRule="auto"/>
        <w:ind w:firstLine="480" w:firstLineChars="200"/>
        <w:rPr>
          <w:rFonts w:ascii="宋体"/>
          <w:bCs/>
          <w:highlight w:val="none"/>
        </w:rPr>
      </w:pPr>
      <w:r>
        <w:rPr>
          <w:rFonts w:ascii="宋体" w:hAnsi="宋体"/>
          <w:bCs/>
          <w:highlight w:val="none"/>
        </w:rPr>
        <w:t>10</w:t>
      </w:r>
      <w:r>
        <w:rPr>
          <w:rFonts w:hint="eastAsia" w:ascii="宋体" w:hAnsi="宋体"/>
          <w:bCs/>
          <w:highlight w:val="none"/>
        </w:rPr>
        <w:t>）其他。</w:t>
      </w:r>
    </w:p>
    <w:p>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ascii="宋体"/>
          <w:highlight w:val="none"/>
        </w:rPr>
      </w:pPr>
      <w:r>
        <w:rPr>
          <w:rFonts w:ascii="宋体" w:hAnsi="宋体"/>
          <w:bCs/>
          <w:highlight w:val="none"/>
        </w:rPr>
        <w:t>24.3</w:t>
      </w:r>
      <w:r>
        <w:rPr>
          <w:rFonts w:hint="eastAsia" w:ascii="宋体" w:hAnsi="宋体"/>
          <w:highlight w:val="none"/>
        </w:rPr>
        <w:t>评标方法：本项目采用综合评分法，评标委员会将对投标人的报价、产品主要技术性能、按期交货的保证措施、安装调试方案、维保方案、售后服务及培训计划、业绩等综合评分，择优选择中标人。</w:t>
      </w:r>
    </w:p>
    <w:p>
      <w:pPr>
        <w:pStyle w:val="12"/>
        <w:spacing w:line="480" w:lineRule="exact"/>
        <w:ind w:left="197" w:leftChars="94" w:firstLine="482" w:firstLineChars="150"/>
        <w:jc w:val="center"/>
        <w:rPr>
          <w:rFonts w:ascii="宋体"/>
          <w:b/>
          <w:bCs/>
          <w:sz w:val="32"/>
          <w:szCs w:val="32"/>
          <w:highlight w:val="none"/>
        </w:rPr>
      </w:pPr>
      <w:bookmarkStart w:id="96" w:name="_Toc326"/>
      <w:bookmarkStart w:id="97" w:name="_Toc482367258"/>
      <w:r>
        <w:rPr>
          <w:rFonts w:ascii="宋体"/>
          <w:b/>
          <w:bCs/>
          <w:sz w:val="32"/>
          <w:szCs w:val="32"/>
          <w:highlight w:val="none"/>
        </w:rPr>
        <w:br w:type="page"/>
      </w:r>
      <w:r>
        <w:rPr>
          <w:rFonts w:hint="eastAsia" w:ascii="宋体" w:hAnsi="宋体"/>
          <w:b/>
          <w:bCs/>
          <w:sz w:val="32"/>
          <w:szCs w:val="32"/>
          <w:highlight w:val="none"/>
        </w:rPr>
        <w:t>评分细则</w:t>
      </w:r>
      <w:bookmarkEnd w:id="96"/>
      <w:bookmarkEnd w:id="97"/>
    </w:p>
    <w:tbl>
      <w:tblPr>
        <w:tblStyle w:val="49"/>
        <w:tblW w:w="9940" w:type="dxa"/>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58"/>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783"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序号</w:t>
            </w:r>
          </w:p>
        </w:tc>
        <w:tc>
          <w:tcPr>
            <w:tcW w:w="1958"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评分项目</w:t>
            </w:r>
          </w:p>
        </w:tc>
        <w:tc>
          <w:tcPr>
            <w:tcW w:w="7199"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1</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商务部分</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30分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投标报价采用低价优先法，经招标小组评审确认的最终有效报价中的最低报价为评审基准值。</w:t>
            </w:r>
          </w:p>
          <w:p>
            <w:pPr>
              <w:spacing w:line="340" w:lineRule="atLeast"/>
              <w:rPr>
                <w:rFonts w:hint="eastAsia" w:ascii="宋体" w:hAnsi="宋体"/>
                <w:color w:val="000000"/>
                <w:sz w:val="24"/>
                <w:highlight w:val="none"/>
              </w:rPr>
            </w:pPr>
            <w:r>
              <w:rPr>
                <w:rFonts w:hint="eastAsia" w:ascii="宋体" w:hAnsi="宋体"/>
                <w:color w:val="000000"/>
                <w:sz w:val="24"/>
                <w:highlight w:val="none"/>
              </w:rPr>
              <w:t>报价等于评审基准值的报价分得满分，其他报价的价格分按照下列公式计算：报价得分=（评审基准值/报价）×30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2"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2</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产品主要技术性能、指标、功能</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45分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eastAsia="宋体"/>
                <w:color w:val="000000"/>
                <w:sz w:val="24"/>
                <w:highlight w:val="none"/>
              </w:rPr>
            </w:pPr>
            <w:r>
              <w:rPr>
                <w:rFonts w:hint="eastAsia" w:ascii="宋体" w:hAnsi="宋体" w:eastAsia="宋体"/>
                <w:color w:val="000000"/>
                <w:sz w:val="24"/>
                <w:highlight w:val="none"/>
              </w:rPr>
              <w:t>1、对投标人所报产品的技术性能、指标进行综合评估，比较各投标人所报产品，综合评估产品生产工艺的先进性，货物技术指标的优良性，投标文件中提供的检测报告是否齐全等因素：</w:t>
            </w:r>
          </w:p>
          <w:p>
            <w:pPr>
              <w:spacing w:line="340" w:lineRule="atLeast"/>
              <w:rPr>
                <w:rFonts w:hint="eastAsia" w:ascii="宋体" w:hAnsi="宋体" w:eastAsia="宋体"/>
                <w:color w:val="000000"/>
                <w:sz w:val="24"/>
                <w:highlight w:val="none"/>
              </w:rPr>
            </w:pPr>
            <w:r>
              <w:rPr>
                <w:rFonts w:hint="eastAsia" w:ascii="宋体" w:hAnsi="宋体" w:eastAsia="宋体"/>
                <w:color w:val="000000"/>
                <w:sz w:val="24"/>
                <w:highlight w:val="none"/>
              </w:rPr>
              <w:t>产品整体配备优良，主要技术性能、指标、功能优于招标文件要求，生产工艺先进、性能稳定，故障率低，检测报告齐全得</w:t>
            </w:r>
            <w:r>
              <w:rPr>
                <w:rFonts w:hint="eastAsia" w:ascii="宋体" w:hAnsi="宋体"/>
                <w:color w:val="000000"/>
                <w:sz w:val="24"/>
                <w:highlight w:val="none"/>
                <w:lang w:val="en-US" w:eastAsia="zh-CN"/>
              </w:rPr>
              <w:t>25</w:t>
            </w:r>
            <w:r>
              <w:rPr>
                <w:rFonts w:hint="eastAsia" w:ascii="宋体" w:hAnsi="宋体" w:eastAsia="宋体"/>
                <w:color w:val="000000"/>
                <w:sz w:val="24"/>
                <w:highlight w:val="none"/>
              </w:rPr>
              <w:t>-</w:t>
            </w:r>
            <w:r>
              <w:rPr>
                <w:rFonts w:hint="eastAsia" w:ascii="宋体" w:hAnsi="宋体"/>
                <w:color w:val="000000"/>
                <w:sz w:val="24"/>
                <w:highlight w:val="none"/>
                <w:lang w:val="en-US" w:eastAsia="zh-CN"/>
              </w:rPr>
              <w:t>30</w:t>
            </w:r>
            <w:r>
              <w:rPr>
                <w:rFonts w:hint="eastAsia" w:ascii="宋体" w:hAnsi="宋体" w:eastAsia="宋体"/>
                <w:color w:val="000000"/>
                <w:sz w:val="24"/>
                <w:highlight w:val="none"/>
              </w:rPr>
              <w:t>分；</w:t>
            </w:r>
          </w:p>
          <w:p>
            <w:pPr>
              <w:spacing w:line="340" w:lineRule="atLeast"/>
              <w:rPr>
                <w:rFonts w:hint="eastAsia" w:ascii="宋体" w:hAnsi="宋体" w:eastAsia="宋体"/>
                <w:color w:val="000000"/>
                <w:sz w:val="24"/>
                <w:highlight w:val="none"/>
              </w:rPr>
            </w:pPr>
            <w:r>
              <w:rPr>
                <w:rFonts w:hint="eastAsia" w:ascii="宋体" w:hAnsi="宋体" w:eastAsia="宋体"/>
                <w:color w:val="000000"/>
                <w:sz w:val="24"/>
                <w:highlight w:val="none"/>
              </w:rPr>
              <w:t>产品整体配备较好，主要技术性能、指标、功能符合招标文件要求，生产工艺先进、性能稳定，故障率较低，检测报告齐全得15-2</w:t>
            </w:r>
            <w:r>
              <w:rPr>
                <w:rFonts w:hint="eastAsia" w:ascii="宋体" w:hAnsi="宋体"/>
                <w:color w:val="000000"/>
                <w:sz w:val="24"/>
                <w:highlight w:val="none"/>
                <w:lang w:val="en-US" w:eastAsia="zh-CN"/>
              </w:rPr>
              <w:t>5</w:t>
            </w:r>
            <w:r>
              <w:rPr>
                <w:rFonts w:hint="eastAsia" w:ascii="宋体" w:hAnsi="宋体" w:eastAsia="宋体"/>
                <w:color w:val="000000"/>
                <w:sz w:val="24"/>
                <w:highlight w:val="none"/>
              </w:rPr>
              <w:t>分；</w:t>
            </w:r>
          </w:p>
          <w:p>
            <w:pPr>
              <w:spacing w:line="340" w:lineRule="atLeast"/>
              <w:rPr>
                <w:rFonts w:hint="eastAsia" w:ascii="宋体" w:hAnsi="宋体" w:eastAsia="宋体"/>
                <w:color w:val="000000"/>
                <w:sz w:val="24"/>
                <w:highlight w:val="none"/>
              </w:rPr>
            </w:pPr>
            <w:r>
              <w:rPr>
                <w:rFonts w:hint="eastAsia" w:ascii="宋体" w:hAnsi="宋体" w:eastAsia="宋体"/>
                <w:color w:val="000000"/>
                <w:sz w:val="24"/>
                <w:highlight w:val="none"/>
              </w:rPr>
              <w:t>产品整体配备一般，主要技术性能、指标、功能基本符合招标文件要求，生产工艺良好、性能稳定性一般，得3-15分，若此条缺项不得分</w:t>
            </w:r>
            <w:r>
              <w:rPr>
                <w:rFonts w:hint="eastAsia" w:ascii="宋体" w:hAnsi="宋体"/>
                <w:color w:val="000000"/>
                <w:sz w:val="24"/>
                <w:highlight w:val="none"/>
                <w:lang w:eastAsia="zh-CN"/>
              </w:rPr>
              <w:t>。</w:t>
            </w:r>
            <w:r>
              <w:rPr>
                <w:rFonts w:hint="eastAsia" w:ascii="宋体" w:hAnsi="宋体" w:eastAsia="宋体"/>
                <w:color w:val="000000"/>
                <w:sz w:val="24"/>
                <w:highlight w:val="none"/>
              </w:rPr>
              <w:t>产品主要技术性能、指标、功能与招标文件有重大偏离的则按废标处理。</w:t>
            </w:r>
          </w:p>
          <w:p>
            <w:pPr>
              <w:spacing w:line="340" w:lineRule="atLeast"/>
              <w:rPr>
                <w:rFonts w:hint="eastAsia" w:ascii="宋体" w:hAnsi="宋体"/>
                <w:color w:val="000000"/>
                <w:sz w:val="24"/>
                <w:highlight w:val="none"/>
              </w:rPr>
            </w:pPr>
            <w:r>
              <w:rPr>
                <w:rFonts w:hint="eastAsia" w:ascii="宋体" w:hAnsi="宋体" w:eastAsia="宋体"/>
                <w:color w:val="000000"/>
                <w:sz w:val="24"/>
                <w:highlight w:val="none"/>
              </w:rPr>
              <w:t>2、由评委根据投标人所提供产品的技术参数和配置要求及对临床医学使用、实验室应用具有实际意义的独有和特色技术的描述打分</w:t>
            </w:r>
            <w:r>
              <w:rPr>
                <w:rFonts w:hint="eastAsia" w:ascii="宋体" w:hAnsi="宋体"/>
                <w:color w:val="000000"/>
                <w:sz w:val="24"/>
                <w:highlight w:val="none"/>
                <w:lang w:eastAsia="zh-CN"/>
              </w:rPr>
              <w:t>。</w:t>
            </w:r>
            <w:r>
              <w:rPr>
                <w:rFonts w:hint="eastAsia" w:ascii="宋体" w:hAnsi="宋体" w:eastAsia="宋体"/>
                <w:color w:val="000000"/>
                <w:sz w:val="24"/>
                <w:highlight w:val="none"/>
              </w:rPr>
              <w:t>表述详细、合理最大化满足采购人需求的得10-15分，</w:t>
            </w:r>
            <w:r>
              <w:rPr>
                <w:rFonts w:hint="eastAsia" w:ascii="宋体" w:hAnsi="宋体" w:eastAsia="宋体"/>
                <w:color w:val="000000"/>
                <w:sz w:val="24"/>
                <w:highlight w:val="none"/>
                <w:lang w:val="en-US" w:eastAsia="zh-CN"/>
              </w:rPr>
              <w:t>满足得</w:t>
            </w:r>
            <w:r>
              <w:rPr>
                <w:rFonts w:hint="eastAsia" w:ascii="宋体" w:hAnsi="宋体" w:eastAsia="宋体"/>
                <w:color w:val="000000"/>
                <w:sz w:val="24"/>
                <w:highlight w:val="none"/>
              </w:rPr>
              <w:t>6-10分，</w:t>
            </w:r>
            <w:r>
              <w:rPr>
                <w:rFonts w:hint="eastAsia" w:ascii="宋体" w:hAnsi="宋体" w:eastAsia="宋体"/>
                <w:color w:val="000000"/>
                <w:sz w:val="24"/>
                <w:highlight w:val="none"/>
                <w:lang w:val="en-US" w:eastAsia="zh-CN"/>
              </w:rPr>
              <w:t>基本满足得</w:t>
            </w:r>
            <w:r>
              <w:rPr>
                <w:rFonts w:hint="eastAsia" w:ascii="宋体" w:hAnsi="宋体" w:eastAsia="宋体"/>
                <w:color w:val="000000"/>
                <w:sz w:val="24"/>
                <w:highlight w:val="none"/>
              </w:rPr>
              <w:t>3-5分，若此条缺项不得分。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3</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按期交货的</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保证措施</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5</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对招标文件中质量保证措施和保证交货期措施进行评定。表述详细、合理该项得</w:t>
            </w:r>
            <w:r>
              <w:rPr>
                <w:rFonts w:hint="eastAsia" w:ascii="宋体" w:hAnsi="宋体"/>
                <w:color w:val="000000"/>
                <w:sz w:val="24"/>
                <w:highlight w:val="none"/>
                <w:lang w:val="en-US" w:eastAsia="zh-CN"/>
              </w:rPr>
              <w:t>3-5</w:t>
            </w:r>
            <w:r>
              <w:rPr>
                <w:rFonts w:hint="eastAsia" w:ascii="宋体" w:hAnsi="宋体"/>
                <w:color w:val="000000"/>
                <w:sz w:val="24"/>
                <w:highlight w:val="none"/>
              </w:rPr>
              <w:t>分；表述简单不全面得</w:t>
            </w:r>
            <w:r>
              <w:rPr>
                <w:rFonts w:hint="eastAsia" w:ascii="宋体" w:hAnsi="宋体"/>
                <w:color w:val="000000"/>
                <w:sz w:val="24"/>
                <w:highlight w:val="none"/>
                <w:lang w:val="en-US" w:eastAsia="zh-CN"/>
              </w:rPr>
              <w:t>1-3</w:t>
            </w:r>
            <w:r>
              <w:rPr>
                <w:rFonts w:hint="eastAsia" w:ascii="宋体" w:hAnsi="宋体"/>
                <w:color w:val="000000"/>
                <w:sz w:val="24"/>
                <w:highlight w:val="none"/>
              </w:rPr>
              <w:t xml:space="preserve">分；没有该项不得分。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4</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安装调试方案</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3分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安装调试方案切实可行,进度计划完善，表述详细、合理该项得</w:t>
            </w:r>
            <w:r>
              <w:rPr>
                <w:rFonts w:hint="eastAsia" w:ascii="宋体" w:hAnsi="宋体"/>
                <w:color w:val="000000"/>
                <w:sz w:val="24"/>
                <w:highlight w:val="none"/>
                <w:lang w:val="en-US" w:eastAsia="zh-CN"/>
              </w:rPr>
              <w:t>2-3</w:t>
            </w:r>
            <w:r>
              <w:rPr>
                <w:rFonts w:hint="eastAsia" w:ascii="宋体" w:hAnsi="宋体"/>
                <w:color w:val="000000"/>
                <w:sz w:val="24"/>
                <w:highlight w:val="none"/>
              </w:rPr>
              <w:t>分；表述简单不全面得</w:t>
            </w:r>
            <w:r>
              <w:rPr>
                <w:rFonts w:hint="eastAsia" w:ascii="宋体" w:hAnsi="宋体"/>
                <w:color w:val="000000"/>
                <w:sz w:val="24"/>
                <w:highlight w:val="none"/>
                <w:lang w:val="en-US" w:eastAsia="zh-CN"/>
              </w:rPr>
              <w:t>1-2</w:t>
            </w:r>
            <w:r>
              <w:rPr>
                <w:rFonts w:hint="eastAsia" w:ascii="宋体" w:hAnsi="宋体"/>
                <w:color w:val="000000"/>
                <w:sz w:val="24"/>
                <w:highlight w:val="none"/>
              </w:rPr>
              <w:t xml:space="preserve">分；没有该项不得分。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5</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维保方案</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8</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质保期满足招标文件要求得2分，每延长1年加1分，此项最多得</w:t>
            </w:r>
            <w:r>
              <w:rPr>
                <w:rFonts w:hint="eastAsia" w:ascii="宋体" w:hAnsi="宋体"/>
                <w:color w:val="000000"/>
                <w:sz w:val="24"/>
                <w:highlight w:val="none"/>
                <w:lang w:val="en-US" w:eastAsia="zh-CN"/>
              </w:rPr>
              <w:t>3</w:t>
            </w:r>
            <w:r>
              <w:rPr>
                <w:rFonts w:hint="eastAsia" w:ascii="宋体" w:hAnsi="宋体"/>
                <w:color w:val="000000"/>
                <w:sz w:val="24"/>
                <w:highlight w:val="none"/>
              </w:rPr>
              <w:t>分。</w:t>
            </w:r>
          </w:p>
          <w:p>
            <w:pPr>
              <w:spacing w:line="340" w:lineRule="atLeast"/>
              <w:rPr>
                <w:rFonts w:hint="eastAsia" w:ascii="宋体" w:hAnsi="宋体"/>
                <w:color w:val="000000"/>
                <w:sz w:val="24"/>
                <w:highlight w:val="none"/>
              </w:rPr>
            </w:pPr>
            <w:r>
              <w:rPr>
                <w:rFonts w:hint="eastAsia" w:ascii="宋体" w:hAnsi="宋体"/>
                <w:color w:val="000000"/>
                <w:sz w:val="24"/>
                <w:highlight w:val="none"/>
              </w:rPr>
              <w:t>维保方案切实可行，定期检测周期合理不影响</w:t>
            </w:r>
            <w:r>
              <w:rPr>
                <w:rFonts w:hint="eastAsia" w:ascii="宋体" w:hAnsi="宋体"/>
                <w:color w:val="000000"/>
                <w:sz w:val="24"/>
                <w:highlight w:val="none"/>
                <w:lang w:eastAsia="zh-CN"/>
              </w:rPr>
              <w:t>器械</w:t>
            </w:r>
            <w:r>
              <w:rPr>
                <w:rFonts w:hint="eastAsia" w:ascii="宋体" w:hAnsi="宋体"/>
                <w:color w:val="000000"/>
                <w:sz w:val="24"/>
                <w:highlight w:val="none"/>
              </w:rPr>
              <w:t>正常使用，表述详细、合理该项得</w:t>
            </w:r>
            <w:r>
              <w:rPr>
                <w:rFonts w:hint="eastAsia" w:ascii="宋体" w:hAnsi="宋体"/>
                <w:color w:val="000000"/>
                <w:sz w:val="24"/>
                <w:highlight w:val="none"/>
                <w:lang w:val="en-US" w:eastAsia="zh-CN"/>
              </w:rPr>
              <w:t>3-5</w:t>
            </w:r>
            <w:r>
              <w:rPr>
                <w:rFonts w:hint="eastAsia" w:ascii="宋体" w:hAnsi="宋体"/>
                <w:color w:val="000000"/>
                <w:sz w:val="24"/>
                <w:highlight w:val="none"/>
              </w:rPr>
              <w:t>分；表述简单不全面得</w:t>
            </w:r>
            <w:r>
              <w:rPr>
                <w:rFonts w:hint="eastAsia" w:ascii="宋体" w:hAnsi="宋体"/>
                <w:color w:val="000000"/>
                <w:sz w:val="24"/>
                <w:highlight w:val="none"/>
                <w:lang w:val="en-US" w:eastAsia="zh-CN"/>
              </w:rPr>
              <w:t>1-3</w:t>
            </w:r>
            <w:r>
              <w:rPr>
                <w:rFonts w:hint="eastAsia" w:ascii="宋体" w:hAnsi="宋体"/>
                <w:color w:val="000000"/>
                <w:sz w:val="24"/>
                <w:highlight w:val="none"/>
              </w:rPr>
              <w:t>分；没有该项不得分。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6</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售后服务及</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培训计划</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6分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 xml:space="preserve">服务（售后维修、技术支持、技术培训、备品备件供应）及时周到且有相应的承诺和保证措施，表述详细、合理最大化满足采购人 </w:t>
            </w:r>
          </w:p>
          <w:p>
            <w:pPr>
              <w:spacing w:line="340" w:lineRule="atLeast"/>
              <w:rPr>
                <w:rFonts w:hint="eastAsia" w:ascii="宋体" w:hAnsi="宋体"/>
                <w:color w:val="000000"/>
                <w:sz w:val="24"/>
                <w:highlight w:val="none"/>
              </w:rPr>
            </w:pPr>
            <w:r>
              <w:rPr>
                <w:rFonts w:hint="eastAsia" w:ascii="宋体" w:hAnsi="宋体"/>
                <w:color w:val="000000"/>
                <w:sz w:val="24"/>
                <w:highlight w:val="none"/>
              </w:rPr>
              <w:t>需求的得</w:t>
            </w:r>
            <w:r>
              <w:rPr>
                <w:rFonts w:hint="eastAsia" w:ascii="宋体" w:hAnsi="宋体"/>
                <w:color w:val="000000"/>
                <w:sz w:val="24"/>
                <w:highlight w:val="none"/>
                <w:lang w:val="en-US" w:eastAsia="zh-CN"/>
              </w:rPr>
              <w:t>3-6</w:t>
            </w:r>
            <w:r>
              <w:rPr>
                <w:rFonts w:hint="eastAsia" w:ascii="宋体" w:hAnsi="宋体"/>
                <w:color w:val="000000"/>
                <w:sz w:val="24"/>
                <w:highlight w:val="none"/>
              </w:rPr>
              <w:t>分；基本满足的得</w:t>
            </w:r>
            <w:r>
              <w:rPr>
                <w:rFonts w:hint="eastAsia" w:ascii="宋体" w:hAnsi="宋体"/>
                <w:color w:val="000000"/>
                <w:sz w:val="24"/>
                <w:highlight w:val="none"/>
                <w:lang w:val="en-US" w:eastAsia="zh-CN"/>
              </w:rPr>
              <w:t>1-3</w:t>
            </w:r>
            <w:r>
              <w:rPr>
                <w:rFonts w:hint="eastAsia" w:ascii="宋体" w:hAnsi="宋体"/>
                <w:color w:val="000000"/>
                <w:sz w:val="24"/>
                <w:highlight w:val="none"/>
              </w:rPr>
              <w:t xml:space="preserve">分；差或没有该项不得分。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7</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业绩</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3</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投标产品近三年（201</w:t>
            </w:r>
            <w:r>
              <w:rPr>
                <w:rFonts w:hint="eastAsia" w:ascii="宋体" w:hAnsi="宋体"/>
                <w:color w:val="000000"/>
                <w:sz w:val="24"/>
                <w:highlight w:val="none"/>
                <w:lang w:val="en-US" w:eastAsia="zh-CN"/>
              </w:rPr>
              <w:t>6</w:t>
            </w:r>
            <w:r>
              <w:rPr>
                <w:rFonts w:hint="eastAsia" w:ascii="宋体" w:hAnsi="宋体"/>
                <w:color w:val="000000"/>
                <w:sz w:val="24"/>
                <w:highlight w:val="none"/>
              </w:rPr>
              <w:t>年</w:t>
            </w:r>
            <w:r>
              <w:rPr>
                <w:rFonts w:hint="eastAsia" w:ascii="宋体" w:hAnsi="宋体"/>
                <w:color w:val="000000"/>
                <w:sz w:val="24"/>
                <w:highlight w:val="none"/>
                <w:lang w:val="en-US" w:eastAsia="zh-CN"/>
              </w:rPr>
              <w:t>12</w:t>
            </w:r>
            <w:r>
              <w:rPr>
                <w:rFonts w:hint="eastAsia" w:ascii="宋体" w:hAnsi="宋体"/>
                <w:color w:val="000000"/>
                <w:sz w:val="24"/>
                <w:highlight w:val="none"/>
              </w:rPr>
              <w:t>月1日后签订的）以来完成同品牌、同型号业绩，每项1分，最高得3分。没有类似业绩不得分。（备注：业绩合同复印件做在投标文件中加盖公章才可计分，否则不得分。原件备查）。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741" w:type="dxa"/>
            <w:gridSpan w:val="2"/>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合计</w:t>
            </w:r>
          </w:p>
        </w:tc>
        <w:tc>
          <w:tcPr>
            <w:tcW w:w="7199"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val="en-US" w:eastAsia="zh-CN"/>
              </w:rPr>
              <w:t>100分</w:t>
            </w:r>
          </w:p>
        </w:tc>
      </w:tr>
    </w:tbl>
    <w:p>
      <w:pPr>
        <w:rPr>
          <w:rFonts w:ascii="宋体"/>
          <w:sz w:val="24"/>
          <w:highlight w:val="none"/>
          <w:u w:val="single"/>
        </w:rPr>
      </w:pPr>
      <w:r>
        <w:rPr>
          <w:rFonts w:hint="eastAsia" w:ascii="宋体" w:hAnsi="宋体"/>
          <w:color w:val="000000"/>
          <w:sz w:val="24"/>
          <w:highlight w:val="none"/>
        </w:rPr>
        <w:t>说明：</w:t>
      </w:r>
      <w:r>
        <w:rPr>
          <w:rFonts w:ascii="宋体" w:hAnsi="宋体"/>
          <w:sz w:val="24"/>
          <w:highlight w:val="none"/>
        </w:rPr>
        <w:t>1</w:t>
      </w:r>
      <w:r>
        <w:rPr>
          <w:rFonts w:hint="eastAsia" w:ascii="宋体" w:hAnsi="宋体"/>
          <w:sz w:val="24"/>
          <w:highlight w:val="none"/>
        </w:rPr>
        <w:t>、同类业绩指：</w:t>
      </w:r>
      <w:r>
        <w:rPr>
          <w:rFonts w:ascii="宋体" w:hAnsi="宋体"/>
          <w:sz w:val="24"/>
          <w:highlight w:val="none"/>
          <w:u w:val="single"/>
        </w:rPr>
        <w:t xml:space="preserve"> </w:t>
      </w:r>
      <w:r>
        <w:rPr>
          <w:rFonts w:hint="eastAsia" w:ascii="宋体" w:hAnsi="宋体"/>
          <w:sz w:val="24"/>
          <w:highlight w:val="none"/>
          <w:u w:val="single"/>
        </w:rPr>
        <w:t>投标产品同品牌同型号的业绩。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highlight w:val="none"/>
        </w:rPr>
      </w:pPr>
      <w:r>
        <w:rPr>
          <w:rFonts w:ascii="宋体" w:hAnsi="宋体"/>
          <w:sz w:val="24"/>
          <w:highlight w:val="none"/>
        </w:rPr>
        <w:t>2</w:t>
      </w:r>
      <w:r>
        <w:rPr>
          <w:rFonts w:hint="eastAsia" w:ascii="宋体" w:hAnsi="宋体"/>
          <w:sz w:val="24"/>
          <w:highlight w:val="none"/>
        </w:rPr>
        <w:t>、投标人须提供业绩证明的合同原件或加盖公章的复印件（日期以签订合同日期为准），加盖公章的合同复印件需附在投标文件中，若无，不得分。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sz w:val="24"/>
          <w:highlight w:val="none"/>
        </w:rPr>
      </w:pPr>
      <w:r>
        <w:rPr>
          <w:rFonts w:ascii="宋体" w:hAnsi="宋体"/>
          <w:sz w:val="24"/>
          <w:highlight w:val="none"/>
        </w:rPr>
        <w:t>3</w:t>
      </w:r>
      <w:r>
        <w:rPr>
          <w:rFonts w:hint="eastAsia" w:ascii="宋体" w:hAnsi="宋体"/>
          <w:sz w:val="24"/>
          <w:highlight w:val="none"/>
        </w:rPr>
        <w:t>、近三年是指2016年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1</w:t>
      </w:r>
      <w:r>
        <w:rPr>
          <w:rFonts w:hint="eastAsia" w:ascii="宋体" w:hAnsi="宋体"/>
          <w:sz w:val="24"/>
          <w:highlight w:val="none"/>
        </w:rPr>
        <w:t>日至今。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sz w:val="24"/>
          <w:highlight w:val="none"/>
        </w:rPr>
      </w:pPr>
      <w:r>
        <w:rPr>
          <w:rFonts w:ascii="宋体" w:hAnsi="宋体"/>
          <w:sz w:val="24"/>
          <w:highlight w:val="none"/>
        </w:rPr>
        <w:t>4</w:t>
      </w:r>
      <w:r>
        <w:rPr>
          <w:rFonts w:hint="eastAsia" w:ascii="宋体" w:hAnsi="宋体"/>
          <w:sz w:val="24"/>
          <w:highlight w:val="none"/>
        </w:rPr>
        <w:t>、计算各评审项目得分时，按四舍五入保留二位小数。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sz w:val="24"/>
          <w:highlight w:val="none"/>
        </w:rPr>
      </w:pPr>
      <w:r>
        <w:rPr>
          <w:rFonts w:ascii="宋体" w:hAnsi="宋体"/>
          <w:sz w:val="24"/>
          <w:highlight w:val="none"/>
        </w:rPr>
        <w:t>5</w:t>
      </w:r>
      <w:r>
        <w:rPr>
          <w:rFonts w:hint="eastAsia" w:ascii="宋体" w:hAnsi="宋体"/>
          <w:sz w:val="24"/>
          <w:highlight w:val="none"/>
        </w:rPr>
        <w:t>、各投标人的计分方法：汇总所有评委对各投标人的有效记分的算术平均值为该投标人的综合得分。</w:t>
      </w:r>
    </w:p>
    <w:p>
      <w:pPr>
        <w:pStyle w:val="19"/>
        <w:spacing w:line="360" w:lineRule="auto"/>
        <w:rPr>
          <w:rFonts w:ascii="宋体"/>
          <w:bCs/>
          <w:highlight w:val="none"/>
        </w:rPr>
      </w:pPr>
      <w:r>
        <w:rPr>
          <w:rFonts w:ascii="宋体" w:hAnsi="宋体"/>
          <w:bCs/>
          <w:highlight w:val="none"/>
        </w:rPr>
        <w:t>24.4</w:t>
      </w:r>
      <w:r>
        <w:rPr>
          <w:rFonts w:hint="eastAsia" w:ascii="宋体" w:hAnsi="宋体"/>
          <w:bCs/>
          <w:highlight w:val="none"/>
        </w:rPr>
        <w:t>评标办法说明：支持小微企业发展、节能环保的鼓励优惠政策：</w:t>
      </w:r>
    </w:p>
    <w:p>
      <w:pPr>
        <w:pStyle w:val="19"/>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、优采强采节能环保产品：</w:t>
      </w:r>
    </w:p>
    <w:p>
      <w:pPr>
        <w:pStyle w:val="19"/>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投标人所投产品属于节能产品清单中强制采购的节能产品，不享受鼓励优惠政策；属于节能产品目录中非强制采用的节能产品，需在资格证明文件中明确，享受鼓励优惠政策。</w:t>
      </w:r>
    </w:p>
    <w:p>
      <w:pPr>
        <w:pStyle w:val="19"/>
        <w:spacing w:line="360" w:lineRule="auto"/>
        <w:ind w:firstLine="480" w:firstLineChars="200"/>
        <w:rPr>
          <w:rFonts w:ascii="宋体"/>
          <w:bCs/>
          <w:highlight w:val="none"/>
        </w:rPr>
      </w:pPr>
      <w:r>
        <w:rPr>
          <w:rFonts w:ascii="宋体" w:hAnsi="宋体"/>
          <w:bCs/>
          <w:highlight w:val="none"/>
        </w:rPr>
        <w:t>2)</w:t>
      </w:r>
      <w:r>
        <w:rPr>
          <w:rFonts w:ascii="宋体" w:hAnsi="宋体"/>
          <w:bCs/>
          <w:highlight w:val="none"/>
        </w:rPr>
        <w:tab/>
      </w:r>
      <w:r>
        <w:rPr>
          <w:rFonts w:hint="eastAsia" w:ascii="宋体" w:hAnsi="宋体"/>
          <w:bCs/>
          <w:highlight w:val="none"/>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w:t>
      </w:r>
      <w:r>
        <w:rPr>
          <w:rFonts w:hint="eastAsia" w:ascii="宋体" w:hAnsi="宋体"/>
          <w:bCs/>
          <w:highlight w:val="none"/>
          <w:lang w:eastAsia="zh-CN"/>
        </w:rPr>
        <w:t>最新一期</w:t>
      </w:r>
      <w:r>
        <w:rPr>
          <w:rFonts w:hint="eastAsia" w:ascii="宋体" w:hAnsi="宋体"/>
          <w:bCs/>
          <w:highlight w:val="none"/>
        </w:rPr>
        <w:t>）、加盖公章的节能产品政府采购清单官方网站截图及产品目录（财政部、国家发改委</w:t>
      </w:r>
      <w:r>
        <w:rPr>
          <w:rFonts w:hint="eastAsia" w:ascii="宋体" w:hAnsi="宋体"/>
          <w:bCs/>
          <w:highlight w:val="none"/>
          <w:lang w:eastAsia="zh-CN"/>
        </w:rPr>
        <w:t>最新一期</w:t>
      </w:r>
      <w:r>
        <w:rPr>
          <w:rFonts w:hint="eastAsia" w:ascii="宋体" w:hAnsi="宋体"/>
          <w:bCs/>
          <w:highlight w:val="none"/>
        </w:rPr>
        <w:t>）），未提供节能、环境标志产品投标明细表及属于政府采购清单内产品的证明资料的不给予鼓励优惠政策，若节能、环境标志清单内的产品仅是构成报价产品的部件、组件或零件的，则该报价产品不享受鼓励优惠政策。</w:t>
      </w:r>
    </w:p>
    <w:p>
      <w:pPr>
        <w:pStyle w:val="19"/>
        <w:spacing w:line="360" w:lineRule="auto"/>
        <w:ind w:firstLine="480" w:firstLineChars="200"/>
        <w:rPr>
          <w:rFonts w:ascii="宋体"/>
          <w:bCs/>
          <w:highlight w:val="none"/>
        </w:rPr>
      </w:pPr>
      <w:r>
        <w:rPr>
          <w:rFonts w:ascii="宋体" w:hAnsi="宋体"/>
          <w:bCs/>
          <w:highlight w:val="none"/>
        </w:rPr>
        <w:t>3)</w:t>
      </w:r>
      <w:r>
        <w:rPr>
          <w:rFonts w:ascii="宋体" w:hAnsi="宋体"/>
          <w:bCs/>
          <w:highlight w:val="none"/>
        </w:rPr>
        <w:tab/>
      </w:r>
      <w:r>
        <w:rPr>
          <w:rFonts w:hint="eastAsia" w:ascii="宋体" w:hAnsi="宋体"/>
          <w:bCs/>
          <w:highlight w:val="none"/>
        </w:rPr>
        <w:t>在价格评标项中，对节能、环保产品分别给予价格评标总分值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价格评标总分值×</w:t>
      </w:r>
      <w:r>
        <w:rPr>
          <w:rFonts w:ascii="宋体" w:hAnsi="宋体"/>
          <w:bCs/>
          <w:highlight w:val="none"/>
        </w:rPr>
        <w:t>5%</w:t>
      </w:r>
      <w:r>
        <w:rPr>
          <w:rFonts w:hint="eastAsia" w:ascii="宋体" w:hAnsi="宋体"/>
          <w:bCs/>
          <w:highlight w:val="none"/>
        </w:rPr>
        <w:t>×节能、环保产品价格在总报价中所占权重；</w:t>
      </w:r>
    </w:p>
    <w:p>
      <w:pPr>
        <w:pStyle w:val="19"/>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在技术评标项中，对节能、环保产品分别给予技术评标总分值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技术评标总分值×</w:t>
      </w:r>
      <w:r>
        <w:rPr>
          <w:rFonts w:ascii="宋体" w:hAnsi="宋体"/>
          <w:bCs/>
          <w:highlight w:val="none"/>
        </w:rPr>
        <w:t>5%</w:t>
      </w:r>
      <w:r>
        <w:rPr>
          <w:rFonts w:hint="eastAsia" w:ascii="宋体" w:hAnsi="宋体"/>
          <w:bCs/>
          <w:highlight w:val="none"/>
        </w:rPr>
        <w:t>×节能、环保产品价格在总报价中所占权重。</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、小微企业</w:t>
      </w:r>
    </w:p>
    <w:p>
      <w:pPr>
        <w:pStyle w:val="19"/>
        <w:spacing w:line="360" w:lineRule="auto"/>
        <w:ind w:firstLine="480" w:firstLineChars="200"/>
        <w:rPr>
          <w:rFonts w:hint="eastAsia" w:ascii="宋体" w:hAnsi="宋体"/>
          <w:bCs/>
          <w:highlight w:val="none"/>
        </w:rPr>
      </w:pPr>
      <w:r>
        <w:rPr>
          <w:rFonts w:hint="eastAsia" w:ascii="宋体" w:hAnsi="宋体"/>
          <w:bCs/>
          <w:highlight w:val="none"/>
        </w:rPr>
        <w:t>1) 投标人如属小微企业，产品价格需扣除的，须按照工信部联企业[2011]300号文《关于印发中小企业划型标准规定的通知》及财政部、工信部等部委发布的《政府采购促进中小企业发展暂行办法》的规定需提供《小微企业声明函》、《从业人员声明函》，否则评标时不予承认；</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投标人所投产品中全部为小微企业产品，给予</w:t>
      </w:r>
      <w:r>
        <w:rPr>
          <w:rFonts w:ascii="宋体" w:hAnsi="宋体"/>
          <w:bCs/>
          <w:highlight w:val="none"/>
        </w:rPr>
        <w:t>6%</w:t>
      </w:r>
      <w:r>
        <w:rPr>
          <w:rFonts w:hint="eastAsia" w:ascii="宋体" w:hAnsi="宋体"/>
          <w:bCs/>
          <w:highlight w:val="none"/>
        </w:rPr>
        <w:t>的价格扣除；所投产品中部分为小微企业产品，小微企业产品金额占合同金额</w:t>
      </w:r>
      <w:r>
        <w:rPr>
          <w:rFonts w:ascii="宋体" w:hAnsi="宋体"/>
          <w:bCs/>
          <w:highlight w:val="none"/>
        </w:rPr>
        <w:t>30%</w:t>
      </w:r>
      <w:r>
        <w:rPr>
          <w:rFonts w:hint="eastAsia" w:ascii="宋体" w:hAnsi="宋体"/>
          <w:bCs/>
          <w:highlight w:val="none"/>
        </w:rPr>
        <w:t>以下的不给予价格扣除，小微企业产品金额占合同金额</w:t>
      </w:r>
      <w:r>
        <w:rPr>
          <w:rFonts w:ascii="宋体" w:hAnsi="宋体"/>
          <w:bCs/>
          <w:highlight w:val="none"/>
        </w:rPr>
        <w:t>30%</w:t>
      </w:r>
      <w:r>
        <w:rPr>
          <w:rFonts w:hint="eastAsia" w:ascii="宋体" w:hAnsi="宋体"/>
          <w:bCs/>
          <w:highlight w:val="none"/>
        </w:rPr>
        <w:t>以上的给予</w:t>
      </w:r>
      <w:r>
        <w:rPr>
          <w:rFonts w:ascii="宋体" w:hAnsi="宋体"/>
          <w:bCs/>
          <w:highlight w:val="none"/>
        </w:rPr>
        <w:t>2%</w:t>
      </w:r>
      <w:r>
        <w:rPr>
          <w:rFonts w:hint="eastAsia" w:ascii="宋体" w:hAnsi="宋体"/>
          <w:bCs/>
          <w:highlight w:val="none"/>
        </w:rPr>
        <w:t>的价格扣除；</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根据《财政部司法部关于政府采购支持监狱企业发展有关问题的通知》（财库【</w:t>
      </w:r>
      <w:r>
        <w:rPr>
          <w:rFonts w:ascii="宋体" w:hAnsi="宋体"/>
          <w:bCs/>
          <w:highlight w:val="none"/>
        </w:rPr>
        <w:t>2014</w:t>
      </w:r>
      <w:r>
        <w:rPr>
          <w:rFonts w:hint="eastAsia" w:ascii="宋体" w:hAnsi="宋体"/>
          <w:bCs/>
          <w:highlight w:val="none"/>
        </w:rPr>
        <w:t>】</w:t>
      </w:r>
      <w:r>
        <w:rPr>
          <w:rFonts w:ascii="宋体" w:hAnsi="宋体"/>
          <w:bCs/>
          <w:highlight w:val="none"/>
        </w:rPr>
        <w:t xml:space="preserve">68 </w:t>
      </w:r>
      <w:r>
        <w:rPr>
          <w:rFonts w:hint="eastAsia" w:ascii="宋体" w:hAnsi="宋体"/>
          <w:bCs/>
          <w:highlight w:val="none"/>
        </w:rPr>
        <w:t>号）文件规定，在政府采购活动中，监狱企业视同小型、微型企业，享受评标中价格扣除的政府采购政策；</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如投标人为监狱企业，须提供省级以上监狱管理局、戒毒管理局（含新疆生产建设兵团）出具的属于监狱企业的证明文件，否则评标时不予承认；</w:t>
      </w:r>
    </w:p>
    <w:p>
      <w:pPr>
        <w:pStyle w:val="19"/>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小型、微型企业提供中型及以上企业制造的货物的，视同为中型及以上企业；</w:t>
      </w:r>
    </w:p>
    <w:p>
      <w:pPr>
        <w:pStyle w:val="19"/>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给予小型和微型企业产品的价格</w:t>
      </w:r>
      <w:r>
        <w:rPr>
          <w:rFonts w:ascii="宋体" w:hAnsi="宋体"/>
          <w:bCs/>
          <w:highlight w:val="none"/>
        </w:rPr>
        <w:t>6%</w:t>
      </w:r>
      <w:r>
        <w:rPr>
          <w:rFonts w:hint="eastAsia" w:ascii="宋体" w:hAnsi="宋体"/>
          <w:bCs/>
          <w:highlight w:val="none"/>
        </w:rPr>
        <w:t>的扣除；计算方法是：</w:t>
      </w:r>
    </w:p>
    <w:p>
      <w:pPr>
        <w:pStyle w:val="19"/>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19"/>
        <w:spacing w:line="360" w:lineRule="auto"/>
        <w:ind w:firstLine="480" w:firstLineChars="200"/>
        <w:rPr>
          <w:rFonts w:ascii="宋体"/>
          <w:bCs/>
          <w:highlight w:val="none"/>
        </w:rPr>
      </w:pPr>
      <w:r>
        <w:rPr>
          <w:rFonts w:hint="eastAsia" w:ascii="宋体" w:hAnsi="宋体"/>
          <w:bCs/>
          <w:highlight w:val="none"/>
        </w:rPr>
        <w:t>报价时，投标人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、监狱企业</w:t>
      </w:r>
    </w:p>
    <w:p>
      <w:pPr>
        <w:pStyle w:val="19"/>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给予监狱企业产品的价格</w:t>
      </w:r>
      <w:r>
        <w:rPr>
          <w:rFonts w:ascii="宋体" w:hAnsi="宋体"/>
          <w:bCs/>
          <w:highlight w:val="none"/>
        </w:rPr>
        <w:t>6%</w:t>
      </w:r>
      <w:r>
        <w:rPr>
          <w:rFonts w:hint="eastAsia" w:ascii="宋体" w:hAnsi="宋体"/>
          <w:bCs/>
          <w:highlight w:val="none"/>
        </w:rPr>
        <w:t>的扣除；计算方法是：</w:t>
      </w:r>
    </w:p>
    <w:p>
      <w:pPr>
        <w:pStyle w:val="19"/>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、残疾人福利性单位</w:t>
      </w:r>
    </w:p>
    <w:p>
      <w:pPr>
        <w:pStyle w:val="19"/>
        <w:spacing w:line="360" w:lineRule="auto"/>
        <w:ind w:firstLine="480" w:firstLineChars="200"/>
        <w:rPr>
          <w:rFonts w:ascii="宋体"/>
          <w:bCs/>
          <w:highlight w:val="none"/>
        </w:rPr>
      </w:pPr>
      <w:r>
        <w:rPr>
          <w:rFonts w:hint="eastAsia" w:ascii="宋体" w:hAnsi="宋体"/>
          <w:bCs/>
          <w:highlight w:val="none"/>
        </w:rPr>
        <w:t>根据《财政部</w:t>
      </w:r>
      <w:r>
        <w:rPr>
          <w:rFonts w:ascii="宋体" w:hAnsi="宋体"/>
          <w:bCs/>
          <w:highlight w:val="none"/>
        </w:rPr>
        <w:t xml:space="preserve"> </w:t>
      </w:r>
      <w:r>
        <w:rPr>
          <w:rFonts w:hint="eastAsia" w:ascii="宋体" w:hAnsi="宋体"/>
          <w:bCs/>
          <w:highlight w:val="none"/>
        </w:rPr>
        <w:t>民政部</w:t>
      </w:r>
      <w:r>
        <w:rPr>
          <w:rFonts w:ascii="宋体" w:hAnsi="宋体"/>
          <w:bCs/>
          <w:highlight w:val="none"/>
        </w:rPr>
        <w:t xml:space="preserve"> </w:t>
      </w:r>
      <w:r>
        <w:rPr>
          <w:rFonts w:hint="eastAsia" w:ascii="宋体" w:hAnsi="宋体"/>
          <w:bCs/>
          <w:highlight w:val="none"/>
        </w:rPr>
        <w:t>中国残疾人联合会关于促进残疾人就业政府采购政策的通知》（财库〔</w:t>
      </w:r>
      <w:r>
        <w:rPr>
          <w:rFonts w:ascii="宋体" w:hAnsi="宋体"/>
          <w:bCs/>
          <w:highlight w:val="none"/>
        </w:rPr>
        <w:t>2018</w:t>
      </w:r>
      <w:r>
        <w:rPr>
          <w:rFonts w:hint="eastAsia" w:ascii="宋体" w:hAnsi="宋体"/>
          <w:bCs/>
          <w:highlight w:val="none"/>
        </w:rPr>
        <w:t>〕</w:t>
      </w:r>
      <w:r>
        <w:rPr>
          <w:rFonts w:ascii="宋体" w:hAnsi="宋体"/>
          <w:bCs/>
          <w:highlight w:val="none"/>
        </w:rPr>
        <w:t>141</w:t>
      </w:r>
      <w:r>
        <w:rPr>
          <w:rFonts w:hint="eastAsia" w:ascii="宋体" w:hAnsi="宋体"/>
          <w:bCs/>
          <w:highlight w:val="none"/>
        </w:rPr>
        <w:t>号）的规定，残疾人福利性单位视同小型、微型企业，给予价格</w:t>
      </w:r>
      <w:r>
        <w:rPr>
          <w:rFonts w:ascii="宋体" w:hAnsi="宋体"/>
          <w:bCs/>
          <w:highlight w:val="none"/>
        </w:rPr>
        <w:t>6%</w:t>
      </w:r>
      <w:r>
        <w:rPr>
          <w:rFonts w:hint="eastAsia" w:ascii="宋体" w:hAnsi="宋体"/>
          <w:bCs/>
          <w:highlight w:val="none"/>
        </w:rPr>
        <w:t>的扣除；计算方法是：最终价格＝报价×</w:t>
      </w:r>
      <w:r>
        <w:rPr>
          <w:rFonts w:ascii="宋体" w:hAnsi="宋体"/>
          <w:bCs/>
          <w:highlight w:val="none"/>
        </w:rPr>
        <w:t>94%</w:t>
      </w:r>
      <w:r>
        <w:rPr>
          <w:rFonts w:hint="eastAsia" w:ascii="宋体" w:hAnsi="宋体"/>
          <w:bCs/>
          <w:highlight w:val="none"/>
        </w:rPr>
        <w:t>，按照最终价格计算其价格分得分。</w:t>
      </w:r>
    </w:p>
    <w:p>
      <w:pPr>
        <w:pStyle w:val="19"/>
        <w:numPr>
          <w:ilvl w:val="0"/>
          <w:numId w:val="3"/>
        </w:numPr>
        <w:spacing w:line="360" w:lineRule="auto"/>
        <w:ind w:firstLine="480" w:firstLineChars="200"/>
        <w:rPr>
          <w:rFonts w:ascii="宋体"/>
          <w:bCs/>
          <w:highlight w:val="none"/>
        </w:rPr>
      </w:pPr>
      <w:r>
        <w:rPr>
          <w:rFonts w:hint="eastAsia" w:ascii="宋体" w:hAnsi="宋体"/>
          <w:bCs/>
          <w:highlight w:val="none"/>
        </w:rPr>
        <w:t>单价招标的项目中具有节能、环保、小微企业生产的产品权重计算方式：以具有节能、环保、小微企业生产的产品的单价之和与全部单价之和计算其权重。</w:t>
      </w:r>
    </w:p>
    <w:p>
      <w:pPr>
        <w:pStyle w:val="19"/>
        <w:spacing w:line="360" w:lineRule="auto"/>
        <w:rPr>
          <w:rFonts w:ascii="宋体"/>
          <w:bCs/>
          <w:highlight w:val="none"/>
        </w:rPr>
      </w:pPr>
      <w:r>
        <w:rPr>
          <w:rFonts w:ascii="宋体" w:hAnsi="宋体"/>
          <w:bCs/>
          <w:highlight w:val="none"/>
        </w:rPr>
        <w:t xml:space="preserve">   24.5 </w:t>
      </w:r>
      <w:r>
        <w:rPr>
          <w:rFonts w:hint="eastAsia" w:ascii="宋体" w:hAnsi="宋体"/>
          <w:bCs/>
          <w:highlight w:val="none"/>
        </w:rPr>
        <w:t>无论在评标过程中或其他任何时侯发现下列情形之一的，投标将被拒绝，若中标，则无效。招标代理有权依法追究投标人的法律责任。</w:t>
      </w:r>
    </w:p>
    <w:p>
      <w:pPr>
        <w:pStyle w:val="19"/>
        <w:spacing w:line="360" w:lineRule="auto"/>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提供虚假材料谋取中标的；</w:t>
      </w:r>
    </w:p>
    <w:p>
      <w:pPr>
        <w:pStyle w:val="19"/>
        <w:spacing w:line="360" w:lineRule="auto"/>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采取不正当手段诋毁、排挤其他投标人的；</w:t>
      </w:r>
    </w:p>
    <w:p>
      <w:pPr>
        <w:pStyle w:val="19"/>
        <w:spacing w:line="360" w:lineRule="auto"/>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恶意串通投标的；</w:t>
      </w:r>
    </w:p>
    <w:p>
      <w:pPr>
        <w:pStyle w:val="19"/>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其他任何有企图影响招标结果公正性的活动。</w:t>
      </w:r>
    </w:p>
    <w:p>
      <w:pPr>
        <w:pStyle w:val="19"/>
        <w:spacing w:line="360" w:lineRule="auto"/>
        <w:ind w:firstLine="480" w:firstLineChars="200"/>
        <w:rPr>
          <w:rFonts w:ascii="宋体"/>
          <w:bCs/>
          <w:highlight w:val="none"/>
        </w:rPr>
      </w:pPr>
      <w:r>
        <w:rPr>
          <w:rFonts w:hint="eastAsia" w:ascii="宋体" w:hAnsi="宋体"/>
          <w:bCs/>
          <w:highlight w:val="none"/>
        </w:rPr>
        <w:t>经初审合格的投标文件，评标委员会将根据招标文件确定的评标方法做进一步评定。</w:t>
      </w:r>
    </w:p>
    <w:p>
      <w:pPr>
        <w:pStyle w:val="19"/>
        <w:spacing w:line="360" w:lineRule="auto"/>
        <w:ind w:firstLine="480" w:firstLineChars="200"/>
        <w:rPr>
          <w:rFonts w:ascii="宋体"/>
          <w:bCs/>
          <w:highlight w:val="none"/>
        </w:rPr>
      </w:pPr>
      <w:r>
        <w:rPr>
          <w:rFonts w:ascii="宋体" w:hAnsi="宋体"/>
          <w:bCs/>
          <w:highlight w:val="none"/>
        </w:rPr>
        <w:t xml:space="preserve">25.  </w:t>
      </w:r>
      <w:r>
        <w:rPr>
          <w:rFonts w:hint="eastAsia" w:ascii="宋体" w:hAnsi="宋体"/>
          <w:bCs/>
          <w:highlight w:val="none"/>
        </w:rPr>
        <w:t>确定中标候选人</w:t>
      </w:r>
    </w:p>
    <w:p>
      <w:pPr>
        <w:pStyle w:val="19"/>
        <w:spacing w:line="360" w:lineRule="auto"/>
        <w:ind w:firstLine="480" w:firstLineChars="200"/>
        <w:rPr>
          <w:rFonts w:ascii="宋体"/>
          <w:bCs/>
          <w:highlight w:val="none"/>
        </w:rPr>
      </w:pPr>
      <w:r>
        <w:rPr>
          <w:rFonts w:hint="eastAsia" w:ascii="宋体" w:hAnsi="宋体"/>
          <w:bCs/>
          <w:highlight w:val="none"/>
        </w:rPr>
        <w:t>评标委员会推荐综合排序第一的投标人定为第一中标候选人，排序第二的投标人为第二中标候选人，排序第三的投标人为第三中标候选人，并提出评标书面报告和推荐中标意见报招标人审批确认。</w:t>
      </w:r>
    </w:p>
    <w:p>
      <w:pPr>
        <w:pStyle w:val="19"/>
        <w:spacing w:line="360" w:lineRule="auto"/>
        <w:ind w:left="571" w:leftChars="272"/>
        <w:rPr>
          <w:rFonts w:ascii="宋体"/>
          <w:bCs/>
          <w:highlight w:val="none"/>
        </w:rPr>
      </w:pPr>
      <w:r>
        <w:rPr>
          <w:rFonts w:ascii="宋体" w:hAnsi="宋体"/>
          <w:bCs/>
          <w:highlight w:val="none"/>
        </w:rPr>
        <w:t xml:space="preserve">26.  </w:t>
      </w:r>
      <w:r>
        <w:rPr>
          <w:rFonts w:hint="eastAsia" w:ascii="宋体" w:hAnsi="宋体"/>
          <w:bCs/>
          <w:highlight w:val="none"/>
        </w:rPr>
        <w:t>评标过程保密</w:t>
      </w:r>
    </w:p>
    <w:p>
      <w:pPr>
        <w:pStyle w:val="19"/>
        <w:spacing w:line="360" w:lineRule="auto"/>
        <w:ind w:firstLine="600" w:firstLineChars="250"/>
        <w:rPr>
          <w:rFonts w:ascii="宋体"/>
          <w:bCs/>
          <w:highlight w:val="none"/>
        </w:rPr>
      </w:pPr>
      <w:r>
        <w:rPr>
          <w:rFonts w:hint="eastAsia" w:ascii="宋体" w:hAnsi="宋体"/>
          <w:bCs/>
          <w:highlight w:val="none"/>
        </w:rPr>
        <w:t>开标之后，直到签订合同止，凡是属于审查、澄清、评价和比较投标的有关资料以及综合排序等情况，均不得向投标人或者其他与评标无关的人员透露。</w:t>
      </w:r>
    </w:p>
    <w:p>
      <w:pPr>
        <w:pStyle w:val="12"/>
        <w:spacing w:line="360" w:lineRule="auto"/>
        <w:ind w:left="571" w:leftChars="272" w:firstLine="0" w:firstLineChars="0"/>
        <w:outlineLvl w:val="0"/>
        <w:rPr>
          <w:rFonts w:ascii="宋体"/>
          <w:bCs/>
          <w:sz w:val="24"/>
          <w:highlight w:val="none"/>
        </w:rPr>
      </w:pPr>
      <w:bookmarkStart w:id="98" w:name="_Toc29202"/>
      <w:bookmarkStart w:id="99" w:name="_Toc30962"/>
      <w:bookmarkStart w:id="100" w:name="_Toc10857"/>
      <w:r>
        <w:rPr>
          <w:rFonts w:ascii="宋体" w:hAnsi="宋体"/>
          <w:bCs/>
          <w:sz w:val="24"/>
          <w:highlight w:val="none"/>
        </w:rPr>
        <w:t xml:space="preserve">27.  </w:t>
      </w:r>
      <w:r>
        <w:rPr>
          <w:rFonts w:hint="eastAsia" w:ascii="宋体" w:hAnsi="宋体"/>
          <w:bCs/>
          <w:sz w:val="24"/>
          <w:highlight w:val="none"/>
        </w:rPr>
        <w:t>投标人瑕疵滞后的处理</w:t>
      </w:r>
      <w:bookmarkEnd w:id="98"/>
      <w:bookmarkEnd w:id="99"/>
      <w:bookmarkEnd w:id="100"/>
    </w:p>
    <w:p>
      <w:pPr>
        <w:pStyle w:val="19"/>
        <w:spacing w:line="360" w:lineRule="auto"/>
        <w:ind w:firstLine="600" w:firstLineChars="250"/>
        <w:rPr>
          <w:rFonts w:ascii="宋体"/>
          <w:bCs/>
          <w:highlight w:val="none"/>
        </w:rPr>
      </w:pPr>
      <w:r>
        <w:rPr>
          <w:rFonts w:ascii="宋体" w:hAnsi="宋体"/>
          <w:bCs/>
          <w:highlight w:val="none"/>
        </w:rPr>
        <w:t xml:space="preserve">27.1 </w:t>
      </w:r>
      <w:r>
        <w:rPr>
          <w:rFonts w:hint="eastAsia" w:ascii="宋体" w:hAnsi="宋体"/>
          <w:bCs/>
          <w:highlight w:val="none"/>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19"/>
        <w:spacing w:line="360" w:lineRule="auto"/>
        <w:ind w:firstLine="480" w:firstLineChars="200"/>
        <w:rPr>
          <w:rFonts w:ascii="宋体"/>
          <w:bCs/>
          <w:highlight w:val="none"/>
        </w:rPr>
      </w:pPr>
      <w:r>
        <w:rPr>
          <w:rFonts w:ascii="宋体" w:hAnsi="宋体"/>
          <w:bCs/>
          <w:highlight w:val="none"/>
        </w:rPr>
        <w:t xml:space="preserve">27.2 </w:t>
      </w:r>
      <w:r>
        <w:rPr>
          <w:rFonts w:hint="eastAsia" w:ascii="宋体" w:hAnsi="宋体"/>
          <w:bCs/>
          <w:highlight w:val="none"/>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21"/>
        <w:spacing w:line="360" w:lineRule="auto"/>
        <w:ind w:leftChars="0" w:hanging="100" w:firstLineChars="0"/>
        <w:outlineLvl w:val="1"/>
        <w:rPr>
          <w:rFonts w:ascii="宋体"/>
          <w:b/>
          <w:bCs/>
          <w:sz w:val="24"/>
          <w:highlight w:val="none"/>
        </w:rPr>
      </w:pPr>
      <w:bookmarkStart w:id="101" w:name="_Toc7870"/>
      <w:bookmarkStart w:id="102" w:name="_Toc28609"/>
      <w:r>
        <w:rPr>
          <w:rFonts w:hint="eastAsia" w:ascii="宋体" w:hAnsi="宋体"/>
          <w:b/>
          <w:bCs/>
          <w:sz w:val="24"/>
          <w:highlight w:val="none"/>
        </w:rPr>
        <w:t>六、合同签订</w:t>
      </w:r>
      <w:bookmarkEnd w:id="101"/>
      <w:bookmarkEnd w:id="102"/>
    </w:p>
    <w:p>
      <w:pPr>
        <w:pStyle w:val="19"/>
        <w:spacing w:line="360" w:lineRule="auto"/>
        <w:ind w:left="571" w:leftChars="271" w:hanging="2" w:hangingChars="1"/>
        <w:rPr>
          <w:rFonts w:ascii="宋体"/>
          <w:bCs/>
          <w:highlight w:val="none"/>
        </w:rPr>
      </w:pPr>
      <w:r>
        <w:rPr>
          <w:rFonts w:ascii="宋体" w:hAnsi="宋体"/>
          <w:bCs/>
          <w:highlight w:val="none"/>
        </w:rPr>
        <w:t xml:space="preserve">28  </w:t>
      </w:r>
      <w:r>
        <w:rPr>
          <w:rFonts w:hint="eastAsia" w:ascii="宋体" w:hAnsi="宋体"/>
          <w:bCs/>
          <w:highlight w:val="none"/>
        </w:rPr>
        <w:t>中标通知</w:t>
      </w:r>
    </w:p>
    <w:p>
      <w:pPr>
        <w:pStyle w:val="19"/>
        <w:spacing w:line="360" w:lineRule="auto"/>
        <w:ind w:firstLine="480" w:firstLineChars="200"/>
        <w:rPr>
          <w:rFonts w:ascii="宋体"/>
          <w:bCs/>
          <w:highlight w:val="none"/>
        </w:rPr>
      </w:pPr>
      <w:r>
        <w:rPr>
          <w:rFonts w:ascii="宋体" w:hAnsi="宋体"/>
          <w:bCs/>
          <w:highlight w:val="none"/>
        </w:rPr>
        <w:t>28.1</w:t>
      </w:r>
      <w:r>
        <w:rPr>
          <w:rFonts w:hint="eastAsia" w:ascii="宋体" w:hAnsi="宋体"/>
          <w:bCs/>
          <w:highlight w:val="none"/>
        </w:rPr>
        <w:t>中标结果公示将在中国政府采购网、中国招标投标公共服务平台、山东大学第二医院同时发布。不再以书面方式通知未中标投标人。招标代理对未中标的投标人不作未中标原因的解释。</w:t>
      </w:r>
    </w:p>
    <w:p>
      <w:pPr>
        <w:pStyle w:val="19"/>
        <w:spacing w:line="360" w:lineRule="auto"/>
        <w:ind w:firstLine="480" w:firstLineChars="200"/>
        <w:rPr>
          <w:rFonts w:ascii="宋体"/>
          <w:bCs/>
          <w:highlight w:val="none"/>
        </w:rPr>
      </w:pPr>
      <w:r>
        <w:rPr>
          <w:rFonts w:ascii="宋体" w:hAnsi="宋体"/>
          <w:bCs/>
          <w:highlight w:val="none"/>
        </w:rPr>
        <w:t xml:space="preserve">28.2 </w:t>
      </w:r>
      <w:r>
        <w:rPr>
          <w:rFonts w:hint="eastAsia" w:ascii="宋体" w:hAnsi="宋体"/>
          <w:bCs/>
          <w:highlight w:val="none"/>
        </w:rPr>
        <w:t>在投标有效期内，招标人及招标代理将向中标人签发《中标通知书》。中标通知书是合同的一个组成部分。</w:t>
      </w:r>
    </w:p>
    <w:p>
      <w:pPr>
        <w:pStyle w:val="19"/>
        <w:spacing w:line="360" w:lineRule="auto"/>
        <w:ind w:firstLine="480" w:firstLineChars="200"/>
        <w:rPr>
          <w:rFonts w:ascii="宋体"/>
          <w:bCs/>
          <w:highlight w:val="none"/>
        </w:rPr>
      </w:pPr>
      <w:r>
        <w:rPr>
          <w:rFonts w:ascii="宋体" w:hAnsi="宋体"/>
          <w:bCs/>
          <w:highlight w:val="none"/>
        </w:rPr>
        <w:t>28.3</w:t>
      </w:r>
      <w:r>
        <w:rPr>
          <w:rFonts w:hint="eastAsia" w:ascii="宋体" w:hAnsi="宋体"/>
          <w:bCs/>
          <w:highlight w:val="none"/>
        </w:rPr>
        <w:t>中标通知书发出后，招标人改变中标结果，或者中标人放弃中标项目的，应当依法承担法律责任。</w:t>
      </w:r>
    </w:p>
    <w:p>
      <w:pPr>
        <w:pStyle w:val="19"/>
        <w:spacing w:line="360" w:lineRule="auto"/>
        <w:ind w:left="571" w:leftChars="272"/>
        <w:rPr>
          <w:rFonts w:ascii="宋体"/>
          <w:bCs/>
          <w:highlight w:val="none"/>
        </w:rPr>
      </w:pPr>
      <w:r>
        <w:rPr>
          <w:rFonts w:ascii="宋体" w:hAnsi="宋体"/>
          <w:bCs/>
          <w:highlight w:val="none"/>
        </w:rPr>
        <w:t xml:space="preserve">29.  </w:t>
      </w:r>
      <w:r>
        <w:rPr>
          <w:rFonts w:hint="eastAsia" w:ascii="宋体" w:hAnsi="宋体"/>
          <w:bCs/>
          <w:highlight w:val="none"/>
        </w:rPr>
        <w:t>签订合同</w:t>
      </w:r>
    </w:p>
    <w:p>
      <w:pPr>
        <w:pStyle w:val="19"/>
        <w:spacing w:line="360" w:lineRule="auto"/>
        <w:ind w:firstLine="480" w:firstLineChars="200"/>
        <w:rPr>
          <w:rFonts w:ascii="宋体"/>
          <w:bCs/>
          <w:highlight w:val="none"/>
        </w:rPr>
      </w:pPr>
      <w:r>
        <w:rPr>
          <w:rFonts w:ascii="宋体" w:hAnsi="宋体"/>
          <w:bCs/>
          <w:highlight w:val="none"/>
        </w:rPr>
        <w:t xml:space="preserve">29.1 </w:t>
      </w:r>
      <w:r>
        <w:rPr>
          <w:rFonts w:hint="eastAsia" w:ascii="宋体" w:hAnsi="宋体"/>
          <w:bCs/>
          <w:highlight w:val="none"/>
        </w:rPr>
        <w:t>中标通知书发出之日起</w:t>
      </w:r>
      <w:r>
        <w:rPr>
          <w:rFonts w:ascii="宋体" w:hAnsi="宋体"/>
          <w:bCs/>
          <w:highlight w:val="none"/>
        </w:rPr>
        <w:t>30</w:t>
      </w:r>
      <w:r>
        <w:rPr>
          <w:rFonts w:hint="eastAsia" w:ascii="宋体" w:hAnsi="宋体"/>
          <w:bCs/>
          <w:highlight w:val="none"/>
        </w:rPr>
        <w:t>日内，按照招标确定的事项签订合同。</w:t>
      </w:r>
    </w:p>
    <w:p>
      <w:pPr>
        <w:pStyle w:val="19"/>
        <w:spacing w:line="360" w:lineRule="auto"/>
        <w:ind w:firstLine="480" w:firstLineChars="200"/>
        <w:rPr>
          <w:rFonts w:ascii="宋体"/>
          <w:bCs/>
          <w:highlight w:val="none"/>
        </w:rPr>
      </w:pPr>
      <w:r>
        <w:rPr>
          <w:rFonts w:ascii="宋体" w:hAnsi="宋体"/>
          <w:bCs/>
          <w:highlight w:val="none"/>
        </w:rPr>
        <w:t xml:space="preserve">29.2 </w:t>
      </w:r>
      <w:r>
        <w:rPr>
          <w:rFonts w:hint="eastAsia" w:ascii="宋体" w:hAnsi="宋体"/>
          <w:bCs/>
          <w:highlight w:val="none"/>
        </w:rPr>
        <w:t>招标文件、中标人的投标文件以及评标过程中的有关澄清、说明或者补正文件均为合同的组成部分。</w:t>
      </w:r>
    </w:p>
    <w:p>
      <w:pPr>
        <w:pStyle w:val="19"/>
        <w:spacing w:line="360" w:lineRule="auto"/>
        <w:ind w:firstLine="480" w:firstLineChars="200"/>
        <w:rPr>
          <w:rFonts w:ascii="宋体"/>
          <w:bCs/>
          <w:highlight w:val="none"/>
        </w:rPr>
      </w:pPr>
      <w:r>
        <w:rPr>
          <w:rFonts w:ascii="宋体" w:hAnsi="宋体"/>
          <w:bCs/>
          <w:highlight w:val="none"/>
        </w:rPr>
        <w:t>29.3</w:t>
      </w:r>
      <w:r>
        <w:rPr>
          <w:rFonts w:hint="eastAsia" w:ascii="宋体" w:hAnsi="宋体"/>
          <w:bCs/>
          <w:highlight w:val="none"/>
        </w:rPr>
        <w:t>不按约定签订或履行合同，给对方造成损失的，应承担赔偿责任。</w:t>
      </w:r>
    </w:p>
    <w:p>
      <w:pPr>
        <w:pStyle w:val="19"/>
        <w:spacing w:line="360" w:lineRule="auto"/>
        <w:ind w:left="571" w:leftChars="272"/>
        <w:rPr>
          <w:rFonts w:ascii="宋体"/>
          <w:bCs/>
          <w:highlight w:val="none"/>
        </w:rPr>
      </w:pPr>
      <w:r>
        <w:rPr>
          <w:rFonts w:ascii="宋体" w:hAnsi="宋体"/>
          <w:bCs/>
          <w:highlight w:val="none"/>
        </w:rPr>
        <w:t xml:space="preserve">30.  </w:t>
      </w:r>
      <w:r>
        <w:rPr>
          <w:rFonts w:hint="eastAsia" w:ascii="宋体" w:hAnsi="宋体"/>
          <w:bCs/>
          <w:highlight w:val="none"/>
        </w:rPr>
        <w:t>履约保证金</w:t>
      </w:r>
      <w:r>
        <w:rPr>
          <w:rFonts w:ascii="宋体" w:hAnsi="宋体"/>
          <w:bCs/>
          <w:highlight w:val="none"/>
        </w:rPr>
        <w:t>(</w:t>
      </w:r>
      <w:r>
        <w:rPr>
          <w:rFonts w:hint="eastAsia" w:ascii="宋体" w:hAnsi="宋体"/>
          <w:bCs/>
          <w:highlight w:val="none"/>
        </w:rPr>
        <w:t>本项目不适用</w:t>
      </w:r>
      <w:r>
        <w:rPr>
          <w:rFonts w:ascii="宋体" w:hAnsi="宋体"/>
          <w:bCs/>
          <w:highlight w:val="none"/>
        </w:rPr>
        <w:t>)</w:t>
      </w:r>
    </w:p>
    <w:p>
      <w:pPr>
        <w:pStyle w:val="21"/>
        <w:spacing w:line="360" w:lineRule="auto"/>
        <w:ind w:leftChars="0" w:hanging="100" w:firstLineChars="0"/>
        <w:outlineLvl w:val="1"/>
        <w:rPr>
          <w:rFonts w:ascii="宋体"/>
          <w:b/>
          <w:bCs/>
          <w:sz w:val="24"/>
          <w:highlight w:val="none"/>
        </w:rPr>
      </w:pPr>
      <w:bookmarkStart w:id="103" w:name="_Toc13878"/>
      <w:bookmarkStart w:id="104" w:name="_Toc30952"/>
      <w:bookmarkStart w:id="105" w:name="_Toc3157"/>
      <w:r>
        <w:rPr>
          <w:rFonts w:hint="eastAsia" w:ascii="宋体" w:hAnsi="宋体"/>
          <w:b/>
          <w:bCs/>
          <w:sz w:val="24"/>
          <w:highlight w:val="none"/>
        </w:rPr>
        <w:t>七、处罚、质疑</w:t>
      </w:r>
      <w:bookmarkEnd w:id="103"/>
      <w:bookmarkEnd w:id="104"/>
      <w:bookmarkEnd w:id="105"/>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31.  </w:t>
      </w:r>
      <w:r>
        <w:rPr>
          <w:rFonts w:hint="eastAsia" w:ascii="宋体" w:hAnsi="宋体"/>
          <w:bCs/>
          <w:highlight w:val="none"/>
        </w:rPr>
        <w:t>处罚</w:t>
      </w:r>
    </w:p>
    <w:p>
      <w:pPr>
        <w:pStyle w:val="19"/>
        <w:spacing w:line="360" w:lineRule="auto"/>
        <w:ind w:firstLine="480" w:firstLineChars="200"/>
        <w:rPr>
          <w:rFonts w:ascii="宋体"/>
          <w:bCs/>
          <w:highlight w:val="none"/>
        </w:rPr>
      </w:pPr>
      <w:r>
        <w:rPr>
          <w:rFonts w:hint="eastAsia" w:ascii="宋体" w:hAnsi="宋体"/>
          <w:bCs/>
          <w:highlight w:val="none"/>
        </w:rPr>
        <w:t>发生下列情况之一，投标人的投标保证金或履约保证金不予退还，并被列入不良行为记录名单，投标人今后参与同类招标项目的机会可能会受到影响：</w:t>
      </w:r>
    </w:p>
    <w:p>
      <w:pPr>
        <w:pStyle w:val="19"/>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开标后在投标有效期内，投标人撤回其投标；</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中标人未按本招标文件规定签订采购合同；</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中标人与采购人订立背离合同实质性内容的其它协议；</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中标人将中标项目转让给他人，或者在投标文件中未说明，且未经招标人同意，将中标项目分包给他人的；</w:t>
      </w:r>
    </w:p>
    <w:p>
      <w:pPr>
        <w:pStyle w:val="19"/>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中标人不按要求提交履约保证金的；</w:t>
      </w:r>
    </w:p>
    <w:p>
      <w:pPr>
        <w:pStyle w:val="19"/>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中标人未按招标文件规定和合同约定履行义务的行为。</w:t>
      </w:r>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32   </w:t>
      </w:r>
      <w:r>
        <w:rPr>
          <w:rFonts w:hint="eastAsia" w:ascii="宋体" w:hAnsi="宋体"/>
          <w:bCs/>
          <w:highlight w:val="none"/>
        </w:rPr>
        <w:t>质疑</w:t>
      </w:r>
    </w:p>
    <w:p>
      <w:pPr>
        <w:pStyle w:val="19"/>
        <w:spacing w:line="360" w:lineRule="auto"/>
        <w:ind w:firstLine="480" w:firstLineChars="200"/>
        <w:rPr>
          <w:rFonts w:ascii="宋体"/>
          <w:bCs/>
          <w:highlight w:val="none"/>
        </w:rPr>
      </w:pPr>
      <w:r>
        <w:rPr>
          <w:rFonts w:ascii="宋体" w:hAnsi="宋体"/>
          <w:bCs/>
          <w:highlight w:val="none"/>
        </w:rPr>
        <w:t xml:space="preserve">32.1 </w:t>
      </w:r>
      <w:r>
        <w:rPr>
          <w:rFonts w:hint="eastAsia" w:ascii="宋体" w:hAnsi="宋体"/>
          <w:bCs/>
          <w:highlight w:val="none"/>
        </w:rPr>
        <w:t>投标人对招标活动事项有疑问的，可以向招标人或招标代理提出询问，招标人或招标代理将依法作出答复，但答复的内容不涉及商业秘密；</w:t>
      </w:r>
    </w:p>
    <w:p>
      <w:pPr>
        <w:pStyle w:val="19"/>
        <w:spacing w:line="360" w:lineRule="auto"/>
        <w:ind w:firstLine="480" w:firstLineChars="200"/>
        <w:rPr>
          <w:rFonts w:ascii="宋体"/>
          <w:bCs/>
          <w:highlight w:val="none"/>
        </w:rPr>
      </w:pPr>
      <w:r>
        <w:rPr>
          <w:rFonts w:ascii="宋体" w:hAnsi="宋体"/>
          <w:bCs/>
          <w:highlight w:val="none"/>
        </w:rPr>
        <w:t>32.2</w:t>
      </w:r>
      <w:r>
        <w:rPr>
          <w:rFonts w:hint="eastAsia" w:ascii="宋体" w:hAnsi="宋体"/>
          <w:bCs/>
          <w:highlight w:val="none"/>
        </w:rPr>
        <w:t>投标人认为招标文件、招标过程和中标结果使自己的合法权益受到损害的，可以在《中华人民共和国政府采购法》及实施条例规定的时间内以书面形式向招标代理提出质疑，超过期限不予受理。</w:t>
      </w:r>
    </w:p>
    <w:p>
      <w:pPr>
        <w:pStyle w:val="19"/>
        <w:spacing w:line="360" w:lineRule="auto"/>
        <w:ind w:firstLine="480" w:firstLineChars="200"/>
        <w:rPr>
          <w:rFonts w:ascii="宋体"/>
          <w:bCs/>
          <w:highlight w:val="none"/>
        </w:rPr>
      </w:pPr>
      <w:r>
        <w:rPr>
          <w:rFonts w:ascii="宋体" w:hAnsi="宋体"/>
          <w:bCs/>
          <w:highlight w:val="none"/>
        </w:rPr>
        <w:t>32.3</w:t>
      </w:r>
      <w:r>
        <w:rPr>
          <w:rFonts w:hint="eastAsia" w:ascii="宋体" w:hAnsi="宋体"/>
          <w:bCs/>
          <w:highlight w:val="none"/>
        </w:rPr>
        <w:t>质疑文件应包括以下主要内容，并按照</w:t>
      </w:r>
      <w:r>
        <w:rPr>
          <w:rFonts w:hint="eastAsia" w:ascii="宋体"/>
          <w:bCs/>
          <w:highlight w:val="none"/>
        </w:rPr>
        <w:t>“</w:t>
      </w:r>
      <w:r>
        <w:rPr>
          <w:rFonts w:hint="eastAsia" w:ascii="宋体" w:hAnsi="宋体"/>
          <w:bCs/>
          <w:highlight w:val="none"/>
        </w:rPr>
        <w:t>谁主张、谁举证</w:t>
      </w:r>
      <w:r>
        <w:rPr>
          <w:rFonts w:hint="eastAsia" w:ascii="宋体"/>
          <w:bCs/>
          <w:highlight w:val="none"/>
        </w:rPr>
        <w:t>”</w:t>
      </w:r>
      <w:r>
        <w:rPr>
          <w:rFonts w:hint="eastAsia" w:ascii="宋体" w:hAnsi="宋体"/>
          <w:bCs/>
          <w:highlight w:val="none"/>
        </w:rPr>
        <w:t>的原则，附上相关证明材料。否则，招标代理人不予受理：</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）质疑项目名称、招标编号、包号、招标公告发布时间、开标时间；</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）具体的质疑事项及法律依据（具体条款）；</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）质疑相关证明文件或证明材料，如果涉及到产品功能或技术指标的，应出具相关制造商的证明文件；</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）质疑投标人名称、地址、联系方式（包括手机、传真号码）；</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5</w:t>
      </w:r>
      <w:r>
        <w:rPr>
          <w:rFonts w:hint="eastAsia" w:ascii="宋体" w:hAnsi="宋体"/>
          <w:bCs/>
          <w:highlight w:val="none"/>
        </w:rPr>
        <w:t>）法定代表人签署本人姓名或印盖本人姓名章并加盖单位公章，或法定代表人特别授权加盖单位公章，并由参加招标项目的授权代表签署本人姓名或印盖本人姓名章等。</w:t>
      </w:r>
    </w:p>
    <w:p>
      <w:pPr>
        <w:pStyle w:val="19"/>
        <w:spacing w:line="360" w:lineRule="auto"/>
        <w:ind w:firstLine="480" w:firstLineChars="200"/>
        <w:rPr>
          <w:rFonts w:ascii="宋体"/>
          <w:bCs/>
          <w:highlight w:val="none"/>
        </w:rPr>
      </w:pPr>
      <w:r>
        <w:rPr>
          <w:rFonts w:ascii="宋体" w:hAnsi="宋体"/>
          <w:bCs/>
          <w:highlight w:val="none"/>
        </w:rPr>
        <w:t>32.4</w:t>
      </w:r>
      <w:r>
        <w:rPr>
          <w:rFonts w:hint="eastAsia" w:ascii="宋体" w:hAnsi="宋体"/>
          <w:bCs/>
          <w:highlight w:val="none"/>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予以处罚。</w:t>
      </w:r>
    </w:p>
    <w:p>
      <w:pPr>
        <w:pStyle w:val="21"/>
        <w:spacing w:line="360" w:lineRule="auto"/>
        <w:ind w:leftChars="0" w:hanging="100" w:firstLineChars="0"/>
        <w:outlineLvl w:val="1"/>
        <w:rPr>
          <w:rFonts w:ascii="宋体"/>
          <w:b/>
          <w:bCs/>
          <w:sz w:val="24"/>
          <w:highlight w:val="none"/>
        </w:rPr>
      </w:pPr>
      <w:bookmarkStart w:id="106" w:name="_Toc1876"/>
      <w:bookmarkStart w:id="107" w:name="_Toc1537"/>
      <w:bookmarkStart w:id="108" w:name="_Toc26147"/>
      <w:r>
        <w:rPr>
          <w:rFonts w:hint="eastAsia" w:ascii="宋体" w:hAnsi="宋体"/>
          <w:b/>
          <w:bCs/>
          <w:sz w:val="24"/>
          <w:highlight w:val="none"/>
        </w:rPr>
        <w:t>八、保密</w:t>
      </w:r>
      <w:bookmarkEnd w:id="106"/>
      <w:bookmarkEnd w:id="107"/>
      <w:bookmarkEnd w:id="108"/>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33.  </w:t>
      </w:r>
      <w:r>
        <w:rPr>
          <w:rFonts w:hint="eastAsia" w:ascii="宋体" w:hAnsi="宋体"/>
          <w:bCs/>
          <w:highlight w:val="none"/>
        </w:rPr>
        <w:t>保密</w:t>
      </w:r>
    </w:p>
    <w:p>
      <w:pPr>
        <w:pStyle w:val="19"/>
        <w:spacing w:line="360" w:lineRule="auto"/>
        <w:ind w:firstLine="480" w:firstLineChars="200"/>
        <w:rPr>
          <w:rFonts w:ascii="宋体"/>
          <w:bCs/>
          <w:highlight w:val="none"/>
        </w:rPr>
      </w:pPr>
      <w:r>
        <w:rPr>
          <w:rFonts w:hint="eastAsia" w:ascii="宋体" w:hAnsi="宋体"/>
          <w:bCs/>
          <w:highlight w:val="none"/>
        </w:rPr>
        <w:t>投标单位对所领取的有关文件及资料负有保密的义务，因投标单位原因造成资料泄密，投标单位承担相应责任。</w:t>
      </w:r>
    </w:p>
    <w:p>
      <w:pPr>
        <w:pStyle w:val="21"/>
        <w:spacing w:line="360" w:lineRule="auto"/>
        <w:ind w:leftChars="0" w:hanging="100" w:firstLineChars="0"/>
        <w:outlineLvl w:val="1"/>
        <w:rPr>
          <w:rFonts w:ascii="宋体"/>
          <w:b/>
          <w:bCs/>
          <w:sz w:val="24"/>
          <w:highlight w:val="none"/>
        </w:rPr>
      </w:pPr>
      <w:bookmarkStart w:id="109" w:name="_Toc11927"/>
      <w:bookmarkStart w:id="110" w:name="_Toc28213"/>
      <w:bookmarkStart w:id="111" w:name="_Toc14534"/>
      <w:r>
        <w:rPr>
          <w:rFonts w:hint="eastAsia" w:ascii="宋体" w:hAnsi="宋体"/>
          <w:b/>
          <w:bCs/>
          <w:sz w:val="24"/>
          <w:highlight w:val="none"/>
        </w:rPr>
        <w:t>九、专利权</w:t>
      </w:r>
      <w:bookmarkEnd w:id="109"/>
      <w:bookmarkEnd w:id="110"/>
      <w:bookmarkEnd w:id="111"/>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34.  </w:t>
      </w:r>
      <w:r>
        <w:rPr>
          <w:rFonts w:hint="eastAsia" w:ascii="宋体" w:hAnsi="宋体"/>
          <w:bCs/>
          <w:highlight w:val="none"/>
        </w:rPr>
        <w:t>专利权</w:t>
      </w:r>
    </w:p>
    <w:p>
      <w:pPr>
        <w:pStyle w:val="19"/>
        <w:spacing w:line="360" w:lineRule="auto"/>
        <w:ind w:firstLine="480" w:firstLineChars="200"/>
        <w:rPr>
          <w:rFonts w:ascii="宋体"/>
          <w:bCs/>
          <w:highlight w:val="none"/>
        </w:rPr>
      </w:pPr>
      <w:r>
        <w:rPr>
          <w:rFonts w:hint="eastAsia" w:ascii="宋体" w:hAnsi="宋体"/>
          <w:bCs/>
          <w:highlight w:val="none"/>
        </w:rPr>
        <w:t>投标人提供的所有产品应保证用户免受第三方主张的任何权利的义务。“第三方主张的权利”包括产品的所有权、知识产权、债权、担保物权、用益物权等权利。</w:t>
      </w:r>
    </w:p>
    <w:p>
      <w:pPr>
        <w:pStyle w:val="21"/>
        <w:spacing w:line="360" w:lineRule="auto"/>
        <w:ind w:leftChars="0" w:hanging="100" w:firstLineChars="0"/>
        <w:outlineLvl w:val="1"/>
        <w:rPr>
          <w:rFonts w:ascii="宋体"/>
          <w:b/>
          <w:bCs/>
          <w:sz w:val="24"/>
          <w:highlight w:val="none"/>
        </w:rPr>
      </w:pPr>
      <w:bookmarkStart w:id="112" w:name="_Toc9163"/>
      <w:bookmarkStart w:id="113" w:name="_Toc5288"/>
      <w:bookmarkStart w:id="114" w:name="_Toc1386"/>
      <w:r>
        <w:rPr>
          <w:rFonts w:hint="eastAsia" w:ascii="宋体" w:hAnsi="宋体"/>
          <w:b/>
          <w:bCs/>
          <w:sz w:val="24"/>
          <w:highlight w:val="none"/>
        </w:rPr>
        <w:t>十、解释权</w:t>
      </w:r>
      <w:bookmarkEnd w:id="112"/>
      <w:bookmarkEnd w:id="113"/>
      <w:bookmarkEnd w:id="114"/>
    </w:p>
    <w:p>
      <w:pPr>
        <w:pStyle w:val="19"/>
        <w:spacing w:line="360" w:lineRule="auto"/>
        <w:ind w:firstLine="480" w:firstLineChars="200"/>
        <w:rPr>
          <w:rFonts w:hint="eastAsia" w:ascii="宋体" w:hAnsi="宋体"/>
          <w:bCs/>
          <w:highlight w:val="none"/>
        </w:rPr>
      </w:pPr>
      <w:r>
        <w:rPr>
          <w:rFonts w:hint="eastAsia" w:ascii="宋体" w:hAnsi="宋体"/>
          <w:bCs/>
          <w:highlight w:val="none"/>
        </w:rPr>
        <w:t>35.  解释权</w:t>
      </w:r>
    </w:p>
    <w:p>
      <w:pPr>
        <w:pStyle w:val="19"/>
        <w:spacing w:line="360" w:lineRule="auto"/>
        <w:ind w:firstLine="480" w:firstLineChars="200"/>
        <w:rPr>
          <w:rFonts w:hint="eastAsia" w:ascii="宋体" w:hAnsi="宋体"/>
          <w:bCs/>
          <w:highlight w:val="none"/>
        </w:rPr>
      </w:pPr>
      <w:r>
        <w:rPr>
          <w:rFonts w:hint="eastAsia" w:ascii="宋体" w:hAnsi="宋体"/>
          <w:bCs/>
          <w:highlight w:val="none"/>
        </w:rPr>
        <w:t>本招标文件的最终解释权归招标代理，当对一个问题有多种解释时以招标代理的书面解释为准。招标文件未做须知明示，而又有相关法律、法规规定的，招标代理对此所做解释以相关的法律、法规规定为依据。</w:t>
      </w:r>
    </w:p>
    <w:p>
      <w:pPr>
        <w:pStyle w:val="21"/>
        <w:snapToGrid w:val="0"/>
        <w:spacing w:line="360" w:lineRule="auto"/>
        <w:ind w:leftChars="0" w:hanging="100" w:firstLineChars="0"/>
        <w:outlineLvl w:val="1"/>
        <w:rPr>
          <w:rFonts w:ascii="宋体"/>
          <w:b/>
          <w:bCs/>
          <w:sz w:val="24"/>
          <w:highlight w:val="none"/>
        </w:rPr>
      </w:pPr>
      <w:bookmarkStart w:id="115" w:name="_Toc27088"/>
      <w:bookmarkStart w:id="116" w:name="_Toc1488"/>
      <w:bookmarkStart w:id="117" w:name="_Toc8805"/>
      <w:r>
        <w:rPr>
          <w:rFonts w:hint="eastAsia" w:ascii="宋体" w:hAnsi="宋体"/>
          <w:b/>
          <w:bCs/>
          <w:sz w:val="24"/>
          <w:highlight w:val="none"/>
        </w:rPr>
        <w:t>十一、其他</w:t>
      </w:r>
      <w:bookmarkEnd w:id="115"/>
      <w:bookmarkEnd w:id="116"/>
      <w:bookmarkEnd w:id="117"/>
    </w:p>
    <w:p>
      <w:pPr>
        <w:pStyle w:val="21"/>
        <w:numPr>
          <w:ilvl w:val="0"/>
          <w:numId w:val="4"/>
        </w:numPr>
        <w:snapToGrid w:val="0"/>
        <w:spacing w:line="360" w:lineRule="auto"/>
        <w:ind w:leftChars="0" w:firstLineChars="0"/>
        <w:outlineLvl w:val="0"/>
        <w:rPr>
          <w:rFonts w:ascii="宋体"/>
          <w:bCs/>
          <w:sz w:val="24"/>
          <w:highlight w:val="none"/>
        </w:rPr>
      </w:pPr>
      <w:bookmarkStart w:id="118" w:name="_Toc30190"/>
      <w:bookmarkStart w:id="119" w:name="_Toc19127"/>
      <w:bookmarkStart w:id="120" w:name="_Toc17247"/>
      <w:r>
        <w:rPr>
          <w:rFonts w:hint="eastAsia" w:ascii="宋体" w:hAnsi="宋体"/>
          <w:bCs/>
          <w:sz w:val="24"/>
          <w:highlight w:val="none"/>
        </w:rPr>
        <w:t>其他</w:t>
      </w:r>
      <w:bookmarkEnd w:id="118"/>
      <w:bookmarkEnd w:id="119"/>
      <w:bookmarkEnd w:id="120"/>
    </w:p>
    <w:p>
      <w:pPr>
        <w:pStyle w:val="21"/>
        <w:snapToGrid w:val="0"/>
        <w:spacing w:line="360" w:lineRule="auto"/>
        <w:ind w:left="570" w:leftChars="0" w:firstLine="0" w:firstLineChars="0"/>
        <w:outlineLvl w:val="0"/>
        <w:rPr>
          <w:rFonts w:ascii="宋体"/>
          <w:bCs/>
          <w:sz w:val="24"/>
          <w:highlight w:val="none"/>
        </w:rPr>
      </w:pPr>
      <w:bookmarkStart w:id="121" w:name="_Toc4557"/>
      <w:bookmarkStart w:id="122" w:name="_Toc7890"/>
      <w:bookmarkStart w:id="123" w:name="_Toc12623"/>
      <w:r>
        <w:rPr>
          <w:rFonts w:ascii="宋体" w:hAnsi="宋体"/>
          <w:bCs/>
          <w:sz w:val="24"/>
          <w:highlight w:val="none"/>
        </w:rPr>
        <w:t>36.1</w:t>
      </w:r>
      <w:r>
        <w:rPr>
          <w:rFonts w:hint="eastAsia" w:ascii="宋体" w:hAnsi="宋体"/>
          <w:bCs/>
          <w:sz w:val="24"/>
          <w:highlight w:val="none"/>
        </w:rPr>
        <w:t>投标人所报产品技术参数（或使用功能）必须满足招标人要求。</w:t>
      </w:r>
      <w:bookmarkEnd w:id="121"/>
      <w:bookmarkEnd w:id="122"/>
      <w:bookmarkEnd w:id="123"/>
    </w:p>
    <w:p>
      <w:pPr>
        <w:pStyle w:val="21"/>
        <w:snapToGrid w:val="0"/>
        <w:spacing w:line="360" w:lineRule="auto"/>
        <w:ind w:left="570" w:leftChars="0" w:firstLine="0" w:firstLineChars="0"/>
        <w:outlineLvl w:val="0"/>
        <w:rPr>
          <w:rFonts w:ascii="宋体"/>
          <w:bCs/>
          <w:sz w:val="24"/>
          <w:highlight w:val="none"/>
        </w:rPr>
      </w:pPr>
      <w:bookmarkStart w:id="124" w:name="_Toc20220"/>
      <w:bookmarkStart w:id="125" w:name="_Toc30966"/>
      <w:bookmarkStart w:id="126" w:name="_Toc9875"/>
      <w:r>
        <w:rPr>
          <w:rFonts w:ascii="宋体" w:hAnsi="宋体"/>
          <w:bCs/>
          <w:sz w:val="24"/>
          <w:highlight w:val="none"/>
        </w:rPr>
        <w:t xml:space="preserve">36.2 </w:t>
      </w:r>
      <w:r>
        <w:rPr>
          <w:rFonts w:hint="eastAsia" w:ascii="宋体" w:hAnsi="宋体"/>
          <w:bCs/>
          <w:sz w:val="24"/>
          <w:highlight w:val="none"/>
        </w:rPr>
        <w:t>招标人不保证低价中标。</w:t>
      </w:r>
      <w:bookmarkEnd w:id="124"/>
      <w:bookmarkEnd w:id="125"/>
      <w:bookmarkEnd w:id="126"/>
    </w:p>
    <w:p>
      <w:pPr>
        <w:pStyle w:val="20"/>
        <w:tabs>
          <w:tab w:val="left" w:pos="0"/>
        </w:tabs>
        <w:spacing w:line="480" w:lineRule="exact"/>
        <w:ind w:left="0" w:leftChars="0" w:firstLine="0" w:firstLineChars="0"/>
        <w:jc w:val="center"/>
        <w:rPr>
          <w:rFonts w:ascii="宋体"/>
          <w:b/>
          <w:sz w:val="36"/>
          <w:highlight w:val="none"/>
        </w:rPr>
      </w:pPr>
      <w:r>
        <w:rPr>
          <w:rFonts w:ascii="宋体"/>
          <w:bCs/>
          <w:highlight w:val="none"/>
        </w:rPr>
        <w:br w:type="page"/>
      </w:r>
      <w:bookmarkStart w:id="127" w:name="_Toc21726"/>
      <w:r>
        <w:rPr>
          <w:rFonts w:hint="eastAsia" w:ascii="宋体" w:hAnsi="宋体"/>
          <w:b/>
          <w:sz w:val="36"/>
          <w:highlight w:val="none"/>
        </w:rPr>
        <w:t>第三部分招标要求</w:t>
      </w:r>
      <w:bookmarkEnd w:id="127"/>
    </w:p>
    <w:p>
      <w:pPr>
        <w:spacing w:line="440" w:lineRule="exact"/>
        <w:rPr>
          <w:rFonts w:ascii="宋体"/>
          <w:bCs/>
          <w:highlight w:val="none"/>
        </w:rPr>
      </w:pPr>
    </w:p>
    <w:p>
      <w:pPr>
        <w:spacing w:line="360" w:lineRule="auto"/>
        <w:rPr>
          <w:b/>
          <w:szCs w:val="28"/>
          <w:highlight w:val="none"/>
        </w:rPr>
      </w:pPr>
      <w:r>
        <w:rPr>
          <w:rFonts w:hint="eastAsia"/>
          <w:b/>
          <w:bCs/>
          <w:sz w:val="28"/>
          <w:highlight w:val="none"/>
        </w:rPr>
        <w:t>一、本项目分包情况</w:t>
      </w:r>
    </w:p>
    <w:p>
      <w:pPr>
        <w:spacing w:line="360" w:lineRule="auto"/>
        <w:ind w:firstLine="240" w:firstLineChars="100"/>
        <w:rPr>
          <w:rFonts w:hint="eastAsia"/>
          <w:b/>
          <w:bCs/>
          <w:sz w:val="24"/>
          <w:szCs w:val="24"/>
          <w:highlight w:val="none"/>
        </w:rPr>
      </w:pPr>
      <w:r>
        <w:rPr>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本次招标为</w:t>
      </w:r>
      <w:r>
        <w:rPr>
          <w:rFonts w:hint="eastAsia"/>
          <w:sz w:val="24"/>
          <w:szCs w:val="24"/>
          <w:highlight w:val="none"/>
          <w:lang w:eastAsia="zh-CN"/>
        </w:rPr>
        <w:t>山东大学第二医院实验类设备采购项目</w:t>
      </w:r>
      <w:r>
        <w:rPr>
          <w:rFonts w:hint="eastAsia"/>
          <w:b w:val="0"/>
          <w:bCs w:val="0"/>
          <w:sz w:val="24"/>
          <w:szCs w:val="24"/>
          <w:highlight w:val="none"/>
        </w:rPr>
        <w:t>。</w:t>
      </w:r>
      <w:r>
        <w:rPr>
          <w:rFonts w:hint="eastAsia"/>
          <w:sz w:val="24"/>
          <w:szCs w:val="24"/>
          <w:highlight w:val="none"/>
        </w:rPr>
        <w:t>投标人必须对所报包内的设备完全响应，不得对包内设备分解后进行响应。</w:t>
      </w:r>
    </w:p>
    <w:p>
      <w:pPr>
        <w:numPr>
          <w:ilvl w:val="0"/>
          <w:numId w:val="0"/>
        </w:numPr>
        <w:spacing w:line="360" w:lineRule="auto"/>
        <w:ind w:leftChars="0"/>
        <w:rPr>
          <w:b/>
          <w:bCs/>
          <w:sz w:val="24"/>
          <w:szCs w:val="24"/>
          <w:highlight w:val="none"/>
        </w:rPr>
      </w:pPr>
      <w:r>
        <w:rPr>
          <w:rFonts w:hint="eastAsia"/>
          <w:b/>
          <w:bCs/>
          <w:sz w:val="24"/>
          <w:szCs w:val="24"/>
          <w:highlight w:val="none"/>
          <w:lang w:eastAsia="zh-CN"/>
        </w:rPr>
        <w:t>二、</w:t>
      </w:r>
      <w:r>
        <w:rPr>
          <w:rFonts w:hint="eastAsia"/>
          <w:b/>
          <w:bCs/>
          <w:sz w:val="24"/>
          <w:szCs w:val="24"/>
          <w:highlight w:val="none"/>
        </w:rPr>
        <w:t>项目要求与说明</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1</w:t>
      </w:r>
      <w:r>
        <w:rPr>
          <w:rFonts w:hint="eastAsia"/>
          <w:kern w:val="2"/>
          <w:sz w:val="24"/>
          <w:szCs w:val="24"/>
          <w:highlight w:val="none"/>
        </w:rPr>
        <w:t>、交货期：投标企业自行提报最快交货期；</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2</w:t>
      </w:r>
      <w:r>
        <w:rPr>
          <w:rFonts w:hint="eastAsia"/>
          <w:kern w:val="2"/>
          <w:sz w:val="24"/>
          <w:szCs w:val="24"/>
          <w:highlight w:val="none"/>
        </w:rPr>
        <w:t>、交货地点：用户指定地点；</w:t>
      </w:r>
    </w:p>
    <w:p>
      <w:pPr>
        <w:pStyle w:val="20"/>
        <w:spacing w:line="360" w:lineRule="auto"/>
        <w:ind w:left="0" w:leftChars="0" w:firstLine="0" w:firstLineChars="0"/>
        <w:jc w:val="left"/>
        <w:rPr>
          <w:rFonts w:hint="eastAsia"/>
          <w:kern w:val="2"/>
          <w:sz w:val="24"/>
          <w:szCs w:val="24"/>
          <w:highlight w:val="none"/>
          <w:lang w:eastAsia="zh-CN"/>
        </w:rPr>
      </w:pPr>
      <w:r>
        <w:rPr>
          <w:kern w:val="2"/>
          <w:sz w:val="24"/>
          <w:szCs w:val="24"/>
          <w:highlight w:val="none"/>
        </w:rPr>
        <w:t xml:space="preserve"> </w:t>
      </w:r>
      <w:r>
        <w:rPr>
          <w:rFonts w:hint="eastAsia"/>
          <w:kern w:val="2"/>
          <w:sz w:val="24"/>
          <w:szCs w:val="24"/>
          <w:highlight w:val="none"/>
        </w:rPr>
        <w:t xml:space="preserve"> 3、质保期：</w:t>
      </w:r>
      <w:r>
        <w:rPr>
          <w:rFonts w:hint="eastAsia"/>
          <w:kern w:val="2"/>
          <w:sz w:val="24"/>
          <w:szCs w:val="24"/>
          <w:highlight w:val="none"/>
          <w:lang w:eastAsia="zh-CN"/>
        </w:rPr>
        <w:t>具体详见各包技术要求和参数</w:t>
      </w:r>
      <w:r>
        <w:rPr>
          <w:rFonts w:hint="eastAsia"/>
          <w:kern w:val="2"/>
          <w:sz w:val="24"/>
          <w:szCs w:val="24"/>
          <w:highlight w:val="none"/>
        </w:rPr>
        <w:t>；</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4</w:t>
      </w:r>
      <w:r>
        <w:rPr>
          <w:rFonts w:hint="eastAsia"/>
          <w:kern w:val="2"/>
          <w:sz w:val="24"/>
          <w:szCs w:val="24"/>
          <w:highlight w:val="none"/>
        </w:rPr>
        <w:t>、负责安装、调试、培训；</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5</w:t>
      </w:r>
      <w:r>
        <w:rPr>
          <w:rFonts w:hint="eastAsia"/>
          <w:kern w:val="2"/>
          <w:sz w:val="24"/>
          <w:szCs w:val="24"/>
          <w:highlight w:val="none"/>
        </w:rPr>
        <w:t>、所有设备必备配件必须齐全；</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6</w:t>
      </w:r>
      <w:r>
        <w:rPr>
          <w:rFonts w:hint="eastAsia"/>
          <w:kern w:val="2"/>
          <w:sz w:val="24"/>
          <w:szCs w:val="24"/>
          <w:highlight w:val="none"/>
        </w:rPr>
        <w:t>、维修服务中应能及时提供备品备件，保证用户使用；</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7</w:t>
      </w:r>
      <w:r>
        <w:rPr>
          <w:rFonts w:hint="eastAsia"/>
          <w:kern w:val="2"/>
          <w:sz w:val="24"/>
          <w:szCs w:val="24"/>
          <w:highlight w:val="none"/>
        </w:rPr>
        <w:t>、不接受备选方案</w:t>
      </w:r>
      <w:r>
        <w:rPr>
          <w:rFonts w:hint="eastAsia"/>
          <w:kern w:val="2"/>
          <w:sz w:val="24"/>
          <w:szCs w:val="24"/>
          <w:highlight w:val="none"/>
          <w:lang w:eastAsia="zh-CN"/>
        </w:rPr>
        <w:t>。</w:t>
      </w:r>
      <w:r>
        <w:rPr>
          <w:kern w:val="2"/>
          <w:sz w:val="24"/>
          <w:szCs w:val="24"/>
          <w:highlight w:val="none"/>
        </w:rPr>
        <w:t xml:space="preserve"> </w:t>
      </w:r>
    </w:p>
    <w:p>
      <w:pPr>
        <w:numPr>
          <w:ilvl w:val="0"/>
          <w:numId w:val="0"/>
        </w:numPr>
        <w:spacing w:line="360" w:lineRule="auto"/>
        <w:ind w:leftChars="0"/>
        <w:rPr>
          <w:b/>
          <w:bCs/>
          <w:sz w:val="24"/>
          <w:szCs w:val="24"/>
          <w:highlight w:val="none"/>
        </w:rPr>
      </w:pPr>
      <w:r>
        <w:rPr>
          <w:rFonts w:hint="eastAsia"/>
          <w:b/>
          <w:bCs/>
          <w:sz w:val="24"/>
          <w:szCs w:val="24"/>
          <w:highlight w:val="none"/>
          <w:lang w:eastAsia="zh-CN"/>
        </w:rPr>
        <w:t>三、</w:t>
      </w:r>
      <w:r>
        <w:rPr>
          <w:rFonts w:hint="eastAsia"/>
          <w:b/>
          <w:bCs/>
          <w:sz w:val="24"/>
          <w:szCs w:val="24"/>
          <w:highlight w:val="none"/>
        </w:rPr>
        <w:t>技术要求和参数</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4"/>
          <w:szCs w:val="24"/>
          <w:highlight w:val="none"/>
        </w:rPr>
      </w:pPr>
      <w:bookmarkStart w:id="128" w:name="_Toc2031"/>
      <w:r>
        <w:rPr>
          <w:rFonts w:hint="eastAsia" w:ascii="宋体" w:hAnsi="宋体"/>
          <w:b/>
          <w:bCs/>
          <w:color w:val="000000"/>
          <w:sz w:val="24"/>
          <w:lang w:eastAsia="zh-CN"/>
        </w:rPr>
        <w:t>实验类设备一批，</w:t>
      </w:r>
      <w:r>
        <w:rPr>
          <w:rFonts w:hint="eastAsia" w:ascii="宋体" w:hAnsi="宋体"/>
          <w:b/>
          <w:bCs/>
          <w:color w:val="auto"/>
          <w:sz w:val="24"/>
          <w:lang w:eastAsia="zh-CN"/>
        </w:rPr>
        <w:t>质保二年以上</w:t>
      </w:r>
      <w:r>
        <w:rPr>
          <w:rFonts w:hint="eastAsia" w:ascii="宋体" w:hAnsi="宋体"/>
          <w:b/>
          <w:bCs/>
          <w:color w:val="000000"/>
          <w:sz w:val="24"/>
          <w:lang w:eastAsia="zh-CN"/>
        </w:rPr>
        <w:t>，具体需求如下：</w:t>
      </w:r>
    </w:p>
    <w:p>
      <w:pPr>
        <w:pStyle w:val="130"/>
        <w:keepNext w:val="0"/>
        <w:keepLines w:val="0"/>
        <w:pageBreakBefore w:val="0"/>
        <w:numPr>
          <w:ilvl w:val="0"/>
          <w:numId w:val="5"/>
        </w:numPr>
        <w:kinsoku/>
        <w:wordWrap/>
        <w:overflowPunct/>
        <w:topLinePunct w:val="0"/>
        <w:autoSpaceDE/>
        <w:autoSpaceDN/>
        <w:bidi w:val="0"/>
        <w:spacing w:line="360" w:lineRule="auto"/>
        <w:ind w:firstLineChars="0"/>
        <w:textAlignment w:val="auto"/>
        <w:rPr>
          <w:rFonts w:asciiTheme="minorEastAsia" w:hAnsiTheme="minorEastAsia" w:eastAsiaTheme="minorEastAsia"/>
          <w:sz w:val="24"/>
        </w:rPr>
      </w:pPr>
      <w:r>
        <w:rPr>
          <w:rFonts w:hint="eastAsia" w:asciiTheme="minorEastAsia" w:hAnsiTheme="minorEastAsia" w:eastAsiaTheme="minorEastAsia"/>
          <w:b/>
          <w:bCs/>
          <w:color w:val="auto"/>
          <w:sz w:val="24"/>
          <w:lang w:eastAsia="zh-CN"/>
        </w:rPr>
        <w:t>气套式二氧化碳培养箱</w:t>
      </w:r>
      <w:r>
        <w:rPr>
          <w:rFonts w:hint="eastAsia" w:asciiTheme="minorEastAsia" w:hAnsiTheme="minorEastAsia" w:eastAsiaTheme="minorEastAsia"/>
          <w:b/>
          <w:bCs/>
          <w:color w:val="auto"/>
          <w:sz w:val="24"/>
          <w:lang w:val="en-US" w:eastAsia="zh-CN"/>
        </w:rPr>
        <w:t>5台，可采进口</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工作条件：环境温度：18-34℃；工作电压：220V  50Hz</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温度控制模式：直接加热气套式,包含3个温控区8个 温控单元</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温度控制范围：环境温度+3-60.0℃；均一性：＜±0.2℃；精度：＜±0.1℃</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温度恢复时间（开门1min后），无冲温现象：6mins</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CO2控制系统： PID微电脑程序控制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CO2含量范围：0-20%CO2  精度：±0.1%CO2</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CO2传感器：单束双波红外传感器实现CO2浓度零漂移，具备自动校准功能</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CO2浓度恢复时间（开门1min后），无过冲现象：5--6mins</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加湿方式：增湿水盘，可自由取出，便于清洁，避免微生物交叉污染</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相对湿度：环境湿度～97%RH</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eastAsia="宋体"/>
          <w:sz w:val="24"/>
          <w:lang w:eastAsia="zh-CN"/>
        </w:rPr>
      </w:pPr>
      <w:r>
        <w:rPr>
          <w:rFonts w:hint="eastAsia" w:ascii="宋体" w:hAnsi="宋体"/>
          <w:sz w:val="24"/>
        </w:rPr>
        <w:t>内腔体积：170L</w:t>
      </w:r>
      <w:r>
        <w:rPr>
          <w:rFonts w:hint="eastAsia" w:ascii="宋体" w:hAnsi="宋体"/>
          <w:sz w:val="24"/>
          <w:lang w:eastAsia="zh-CN"/>
        </w:rPr>
        <w:t>以上</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标配隔板数：4块；最大隔板数：7块，防倾倒，防脱手全不锈钢带孔搁板</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最大消耗功率：800W；稳定能耗功率（37℃）：80W</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right="-466" w:rightChars="-222" w:hanging="425" w:firstLineChars="0"/>
        <w:textAlignment w:val="auto"/>
        <w:rPr>
          <w:rFonts w:hint="eastAsia" w:ascii="宋体" w:hAnsi="宋体"/>
          <w:sz w:val="24"/>
        </w:rPr>
      </w:pPr>
      <w:r>
        <w:rPr>
          <w:rFonts w:hint="eastAsia" w:ascii="宋体" w:hAnsi="宋体"/>
          <w:sz w:val="24"/>
        </w:rPr>
        <w:t>主体结构：镀锌钢板。内腔结构：304#不锈钢内胆，一体式设计，大圆弧角光滑内壁</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多重除/灭菌功能：腔体内部90℃高温湿热循环灭菌,获得HPA灭菌效果证书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外门设计具有加热防止凝水功能，可选择左或右面开启方式，内门备有采样孔</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可选配有4小内门，便于移取样品</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可使用远程监控软件，可选配全铜内胆，UV紫外消毒功能等</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报警系统，可提供温度，CO2浓度，湿度报警；CO2钢瓶低储量报警，不仅提供钢瓶低气压报警，同时系统可自动计算钢瓶内CO2气体余量，保证警报发出后CO2气体仍够使用一周。</w:t>
      </w: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cs="Arial" w:asciiTheme="minorEastAsia" w:hAnsiTheme="minorEastAsia" w:eastAsiaTheme="minorEastAsia"/>
          <w:b/>
          <w:bCs w:val="0"/>
          <w:sz w:val="24"/>
        </w:rPr>
      </w:pPr>
      <w:r>
        <w:rPr>
          <w:rFonts w:hint="eastAsia" w:cs="Arial" w:asciiTheme="minorEastAsia" w:hAnsiTheme="minorEastAsia" w:eastAsiaTheme="minorEastAsia"/>
          <w:b/>
          <w:bCs w:val="0"/>
          <w:sz w:val="24"/>
          <w:lang w:eastAsia="zh-CN"/>
        </w:rPr>
        <w:t>（二）</w:t>
      </w:r>
      <w:r>
        <w:rPr>
          <w:rFonts w:hint="eastAsia" w:cs="Arial" w:asciiTheme="minorEastAsia" w:hAnsiTheme="minorEastAsia" w:eastAsiaTheme="minorEastAsia"/>
          <w:b/>
          <w:bCs w:val="0"/>
          <w:sz w:val="24"/>
        </w:rPr>
        <w:t>普通倒置显微镜</w:t>
      </w:r>
      <w:r>
        <w:rPr>
          <w:rFonts w:hint="eastAsia" w:cs="Arial" w:asciiTheme="minorEastAsia" w:hAnsiTheme="minorEastAsia" w:eastAsiaTheme="minorEastAsia"/>
          <w:b/>
          <w:bCs w:val="0"/>
          <w:sz w:val="24"/>
          <w:lang w:val="en-US" w:eastAsia="zh-CN"/>
        </w:rPr>
        <w:t>3台，可采进口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用途：普通活细胞观察，用于临床工作。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1． 工作条件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1.1  适于在气温为摄氏-40℃～＋50℃的环境条件下运输和贮存，在电源220V（10%）/50Hz、气温摄氏-5℃～40℃和相对湿度85%的环境条件下运行。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1.2  配置符合中国有关标准要求的插头，或提供适当的转换插座。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2． 主要技术指标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2.1  倒置相差显微镜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2.1.1  光学系统：无限远校正光学系统，齐焦距离45mm</w:t>
      </w:r>
      <w:r>
        <w:rPr>
          <w:rFonts w:hint="eastAsia" w:ascii="宋体" w:hAnsi="宋体"/>
          <w:sz w:val="24"/>
          <w:lang w:eastAsia="zh-CN"/>
        </w:rPr>
        <w:t>或</w:t>
      </w:r>
      <w:r>
        <w:rPr>
          <w:rFonts w:hint="eastAsia" w:ascii="宋体" w:hAnsi="宋体"/>
          <w:sz w:val="24"/>
          <w:lang w:val="en-US" w:eastAsia="zh-CN"/>
        </w:rPr>
        <w:t>60mm</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2.1.2  调焦：通过物镜转盘的上下移动进行调焦（载物台高度固定）。备有聚焦机构同轴粗、微调旋钮，旋钮扭矩可调，由滚柱机构导向。粗调行程每一圈为≥36.8mm，微调行程每一圈为≤0.2mm。</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2.1.3  观察镜筒：宽视野三目镜筒，视场数≥22</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2.1.4  照明装置：高性能LED光源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2.1.5  物镜：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2.1.5.1  预对中相差物镜4X （N.A.≥0.13；W.D. ≥16.8）</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2.1.5.2  预对中相差物镜10X （W.D. ≥8.8）</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2.1.5.3  预对中长工作距离相差物镜20X （W.D. ≥3.2）</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2.1.5.4  预对中长工作距离相差物镜40X （W.D. ≥2.2）</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2.1.6  载物台：备有右手用低位置同轴X、Y向传动旋钮。载物台行程：X=110mm，Y=74mm。</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2.1.7  目镜：10×，视场直径为22</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2.1.8  备有可拆装的超长工作距离聚光镜：N.A.≥0.3，W.D.≥72mm</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2.1.9  相差系统：预对中相差环板</w:t>
      </w:r>
    </w:p>
    <w:p>
      <w:pPr>
        <w:keepNext w:val="0"/>
        <w:keepLines w:val="0"/>
        <w:pageBreakBefore w:val="0"/>
        <w:kinsoku/>
        <w:wordWrap/>
        <w:overflowPunct/>
        <w:topLinePunct w:val="0"/>
        <w:autoSpaceDE/>
        <w:autoSpaceDN/>
        <w:bidi w:val="0"/>
        <w:spacing w:line="360" w:lineRule="auto"/>
        <w:textAlignment w:val="auto"/>
        <w:rPr>
          <w:rFonts w:hint="default" w:ascii="宋体" w:hAnsi="宋体"/>
          <w:sz w:val="24"/>
          <w:lang w:val="en-US" w:eastAsia="zh-CN"/>
        </w:rPr>
      </w:pPr>
      <w:r>
        <w:rPr>
          <w:rFonts w:hint="eastAsia" w:ascii="宋体" w:hAnsi="宋体"/>
          <w:b/>
          <w:bCs/>
          <w:sz w:val="24"/>
          <w:lang w:eastAsia="zh-CN"/>
        </w:rPr>
        <w:t>（三）普通正置显微镜</w:t>
      </w:r>
      <w:r>
        <w:rPr>
          <w:rFonts w:hint="eastAsia" w:ascii="宋体" w:hAnsi="宋体"/>
          <w:b/>
          <w:bCs/>
          <w:sz w:val="24"/>
          <w:lang w:val="en-US" w:eastAsia="zh-CN"/>
        </w:rPr>
        <w:t>1台，可采进口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用途：可观察普通染色的切片，用于研究工作。</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工作条件</w:t>
      </w:r>
      <w:r>
        <w:rPr>
          <w:rFonts w:hint="eastAsia" w:ascii="宋体" w:hAnsi="宋体"/>
          <w:sz w:val="24"/>
          <w:lang w:eastAsia="zh-CN"/>
        </w:rPr>
        <w:t>：</w:t>
      </w:r>
      <w:r>
        <w:rPr>
          <w:rFonts w:hint="eastAsia" w:ascii="宋体" w:hAnsi="宋体"/>
          <w:sz w:val="24"/>
        </w:rPr>
        <w:t>适于在气温为摄氏-40℃～＋50℃的环境条件下运输和贮存，在电源220V（10%）/50Hz、气温摄氏-5℃～40℃和相对湿度85%的环境条件下运行。</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配置符合中国有关标准要求的插头，或提供适当的转换插座。</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研究级正置显微镜，可作明场的观察</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光学系统：无限远校正光学系统，齐焦距离为45mm</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调焦：载物台垂直运动方式距离不小于25mm，带聚焦粗调上限停止位置，粗调旋钮扭矩可调，最小微调刻度单位≤1微米</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观察镜筒：宽视野三目镜筒，倾角为30°</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照明装置：内置透射光柯勒照明器，长效白光LED光源，寿命≥20000小时。</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物镜：平场消色差物镜</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4X（N.A. 0.1，W.D. 18.5）</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10X（N.A. 0.25，W.D. 10.6）</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20X（N.A. 0.4，W.D. 1.2 spring）</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40X（N.A. 0.65，W.D. 0.6 spring）</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100X（N.A. 1.25，W.D. 0.15 spring, oil）</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载物台：右手低位置同轴驱动选钮的高抗磨损性陶瓷覆盖层载物台。</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目镜：10X宽视野目镜，视野数为22；</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物镜转换器：五孔物镜转盘</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聚光镜：阿贝聚光镜，N.A.≥1.1</w:t>
      </w:r>
    </w:p>
    <w:p>
      <w:pPr>
        <w:keepNext w:val="0"/>
        <w:keepLines w:val="0"/>
        <w:pageBreakBefore w:val="0"/>
        <w:kinsoku/>
        <w:wordWrap/>
        <w:overflowPunct/>
        <w:topLinePunct w:val="0"/>
        <w:autoSpaceDE/>
        <w:autoSpaceDN/>
        <w:bidi w:val="0"/>
        <w:spacing w:line="360" w:lineRule="auto"/>
        <w:textAlignment w:val="auto"/>
        <w:rPr>
          <w:rFonts w:hint="default" w:ascii="宋体" w:hAnsi="宋体"/>
          <w:sz w:val="24"/>
          <w:lang w:val="en-US"/>
        </w:rPr>
      </w:pPr>
      <w:r>
        <w:rPr>
          <w:rFonts w:hint="eastAsia" w:cs="Times New Roman" w:asciiTheme="minorEastAsia" w:hAnsiTheme="minorEastAsia" w:eastAsiaTheme="minorEastAsia"/>
          <w:b/>
          <w:bCs/>
          <w:color w:val="auto"/>
          <w:kern w:val="2"/>
          <w:sz w:val="24"/>
          <w:szCs w:val="24"/>
          <w:lang w:val="en-US" w:eastAsia="zh-CN" w:bidi="ar-SA"/>
        </w:rPr>
        <w:t>（四）</w:t>
      </w:r>
      <w:r>
        <w:rPr>
          <w:rFonts w:hint="eastAsia" w:ascii="宋体" w:hAnsi="宋体"/>
          <w:b/>
          <w:bCs/>
          <w:sz w:val="24"/>
          <w:lang w:val="en-US" w:eastAsia="zh-CN"/>
        </w:rPr>
        <w:t>单道移液器135支，可采进口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olor w:val="auto"/>
          <w:sz w:val="24"/>
          <w:lang w:eastAsia="zh-CN"/>
        </w:rPr>
      </w:pPr>
      <w:r>
        <w:rPr>
          <w:rFonts w:hint="eastAsia" w:ascii="宋体" w:hAnsi="宋体"/>
          <w:color w:val="auto"/>
          <w:sz w:val="24"/>
          <w:lang w:val="en-US" w:eastAsia="zh-CN"/>
        </w:rPr>
        <w:t>（1）、</w:t>
      </w:r>
      <w:r>
        <w:rPr>
          <w:rFonts w:hint="eastAsia" w:ascii="宋体" w:hAnsi="宋体"/>
          <w:color w:val="auto"/>
          <w:sz w:val="24"/>
        </w:rPr>
        <w:t>单道移液器0.1-2.5ul，0.5-10ul，2-20ul，20-200ul，100-1000ul规格各2</w:t>
      </w:r>
      <w:r>
        <w:rPr>
          <w:rFonts w:hint="eastAsia" w:ascii="宋体" w:hAnsi="宋体"/>
          <w:color w:val="auto"/>
          <w:sz w:val="24"/>
          <w:lang w:val="en-US" w:eastAsia="zh-CN"/>
        </w:rPr>
        <w:t>0</w:t>
      </w:r>
      <w:r>
        <w:rPr>
          <w:rFonts w:hint="eastAsia" w:ascii="宋体" w:hAnsi="宋体"/>
          <w:color w:val="auto"/>
          <w:sz w:val="24"/>
        </w:rPr>
        <w:t>支</w:t>
      </w:r>
      <w:r>
        <w:rPr>
          <w:rFonts w:hint="eastAsia" w:ascii="宋体" w:hAnsi="宋体"/>
          <w:color w:val="auto"/>
          <w:sz w:val="24"/>
          <w:lang w:eastAsia="zh-CN"/>
        </w:rPr>
        <w:t>。</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olor w:val="auto"/>
          <w:sz w:val="24"/>
        </w:rPr>
      </w:pPr>
      <w:r>
        <w:rPr>
          <w:rFonts w:hint="eastAsia" w:ascii="宋体" w:hAnsi="宋体"/>
          <w:color w:val="auto"/>
          <w:sz w:val="24"/>
        </w:rPr>
        <w:t>具备轻质弹簧，分液压力更小</w:t>
      </w:r>
      <w:r>
        <w:rPr>
          <w:rFonts w:hint="eastAsia" w:ascii="宋体" w:hAnsi="宋体"/>
          <w:color w:val="auto"/>
          <w:sz w:val="24"/>
        </w:rPr>
        <w:tab/>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olor w:val="auto"/>
          <w:sz w:val="24"/>
        </w:rPr>
      </w:pPr>
      <w:r>
        <w:rPr>
          <w:rFonts w:hint="eastAsia" w:ascii="宋体" w:hAnsi="宋体"/>
          <w:color w:val="auto"/>
          <w:sz w:val="24"/>
        </w:rPr>
        <w:t>人体工程学设计，主体更加圆润舒适</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olor w:val="auto"/>
          <w:sz w:val="24"/>
        </w:rPr>
      </w:pPr>
      <w:r>
        <w:rPr>
          <w:rFonts w:hint="eastAsia" w:ascii="宋体" w:hAnsi="宋体"/>
          <w:color w:val="auto"/>
          <w:sz w:val="24"/>
        </w:rPr>
        <w:t>位数字显示的数字窗口</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olor w:val="auto"/>
          <w:sz w:val="24"/>
        </w:rPr>
      </w:pPr>
      <w:r>
        <w:rPr>
          <w:rFonts w:hint="eastAsia" w:ascii="宋体" w:hAnsi="宋体"/>
          <w:color w:val="auto"/>
          <w:sz w:val="24"/>
        </w:rPr>
        <w:t>全支可高压灭菌，抗UV光线</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olor w:val="auto"/>
          <w:sz w:val="24"/>
        </w:rPr>
      </w:pPr>
      <w:r>
        <w:rPr>
          <w:rFonts w:hint="eastAsia" w:ascii="宋体" w:hAnsi="宋体"/>
          <w:color w:val="auto"/>
          <w:sz w:val="24"/>
          <w:lang w:val="en-US" w:eastAsia="zh-CN"/>
        </w:rPr>
        <w:t>具备</w:t>
      </w:r>
      <w:r>
        <w:rPr>
          <w:rFonts w:hint="eastAsia" w:ascii="宋体" w:hAnsi="宋体"/>
          <w:color w:val="auto"/>
          <w:sz w:val="24"/>
        </w:rPr>
        <w:t>量程锁定设计</w:t>
      </w:r>
      <w:r>
        <w:rPr>
          <w:rFonts w:hint="eastAsia" w:ascii="宋体" w:hAnsi="宋体"/>
          <w:color w:val="auto"/>
          <w:sz w:val="24"/>
          <w:lang w:eastAsia="zh-CN"/>
        </w:rPr>
        <w:t>，</w:t>
      </w:r>
      <w:r>
        <w:rPr>
          <w:rFonts w:hint="eastAsia" w:ascii="宋体" w:hAnsi="宋体"/>
          <w:color w:val="auto"/>
          <w:sz w:val="24"/>
        </w:rPr>
        <w:t>防止设定体积偏移</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olor w:val="auto"/>
          <w:sz w:val="24"/>
        </w:rPr>
      </w:pPr>
      <w:r>
        <w:rPr>
          <w:rFonts w:hint="eastAsia" w:ascii="宋体" w:hAnsi="宋体"/>
          <w:color w:val="auto"/>
          <w:sz w:val="24"/>
        </w:rPr>
        <w:t>腔体可安装附带的管子开盖器（可用于0.5/1.5/2.0ul管），使用起来非常方便，避免操作时用手打开管盖。</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olor w:val="auto"/>
          <w:sz w:val="24"/>
        </w:rPr>
      </w:pPr>
      <w:r>
        <w:rPr>
          <w:rFonts w:hint="eastAsia" w:ascii="宋体" w:hAnsi="宋体"/>
          <w:color w:val="auto"/>
          <w:sz w:val="24"/>
        </w:rPr>
        <w:t>移液器主体隔热设计，防止手的热度导入内部引起液体体积偏差。</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olor w:val="auto"/>
          <w:sz w:val="24"/>
        </w:rPr>
      </w:pPr>
      <w:r>
        <w:rPr>
          <w:rFonts w:hint="eastAsia" w:ascii="宋体" w:hAnsi="宋体"/>
          <w:color w:val="auto"/>
          <w:sz w:val="24"/>
        </w:rPr>
        <w:t>具备轻质(耐腐蚀)陶瓷活塞</w:t>
      </w:r>
      <w:r>
        <w:rPr>
          <w:rFonts w:hint="eastAsia" w:ascii="宋体" w:hAnsi="宋体"/>
          <w:color w:val="auto"/>
          <w:sz w:val="24"/>
        </w:rPr>
        <w:tab/>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olor w:val="auto"/>
          <w:sz w:val="24"/>
        </w:rPr>
      </w:pPr>
      <w:r>
        <w:rPr>
          <w:rFonts w:hint="eastAsia" w:ascii="宋体" w:hAnsi="宋体"/>
          <w:color w:val="auto"/>
          <w:sz w:val="24"/>
        </w:rPr>
        <w:t>内腔特氟龙涂层设计</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olor w:val="auto"/>
          <w:sz w:val="24"/>
        </w:rPr>
      </w:pPr>
      <w:r>
        <w:rPr>
          <w:rFonts w:hint="eastAsia" w:ascii="宋体" w:hAnsi="宋体"/>
          <w:color w:val="auto"/>
          <w:sz w:val="24"/>
        </w:rPr>
        <w:t>枪尖为聚醚醚酮材料制作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sz w:val="24"/>
          <w:lang w:eastAsia="zh-CN"/>
        </w:rPr>
      </w:pPr>
      <w:r>
        <w:rPr>
          <w:rFonts w:hint="eastAsia" w:ascii="宋体" w:hAnsi="宋体"/>
          <w:sz w:val="24"/>
          <w:lang w:val="en-US" w:eastAsia="zh-CN"/>
        </w:rPr>
        <w:t>（2）、</w:t>
      </w:r>
      <w:r>
        <w:rPr>
          <w:rFonts w:hint="eastAsia" w:ascii="宋体" w:hAnsi="宋体"/>
          <w:sz w:val="24"/>
        </w:rPr>
        <w:t>单道移液器0.1-2.5ul，0.5-10ul，2-20ul，20-200ul，100-1000ul规格各</w:t>
      </w:r>
      <w:r>
        <w:rPr>
          <w:rFonts w:hint="eastAsia" w:ascii="宋体" w:hAnsi="宋体"/>
          <w:sz w:val="24"/>
          <w:lang w:val="en-US" w:eastAsia="zh-CN"/>
        </w:rPr>
        <w:t>7</w:t>
      </w:r>
      <w:r>
        <w:rPr>
          <w:rFonts w:hint="eastAsia" w:ascii="宋体" w:hAnsi="宋体"/>
          <w:sz w:val="24"/>
        </w:rPr>
        <w:t>支</w:t>
      </w:r>
      <w:r>
        <w:rPr>
          <w:rFonts w:hint="eastAsia" w:ascii="宋体" w:hAnsi="宋体"/>
          <w:sz w:val="24"/>
          <w:lang w:eastAsia="zh-CN"/>
        </w:rPr>
        <w:t>。</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外壳为光滑的耐腐蚀塑料设计，不易沾污物，易清洗；</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量程调节为无阻尼设计，可单手操作，体验极佳。</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液量显示带有微量刻度尺，调节步进小，可实现精确调节量程。</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旋转式指靠设计：舒适的指靠，方便移液间隙休息；指靠可以120º旋转，适合左/右手操作</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3×1cm量程显示窗具有放大镜功能，数字清晰，便于观察</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小量程的移液器为双活塞设计，增加50%吹出能力，大大降低挂壁和残留，提高了移液器的精准度。</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轻触吸头设计；只需轻轻一触即可彻底退出吸头。</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防遗忘锁扣设计:顶部液量调节按钮拔出时可调液量，按回可锁定量程调节，有效预防移液间的误操作导致的量程改变。</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颜色标识，不同色彩标记不同的量程，易于辨识，可配合同样颜色标记的吸头配合使用；</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标配防滑贴，无论徒手还是戴手套操作移液器，均可操作自如。</w:t>
      </w:r>
    </w:p>
    <w:p>
      <w:pPr>
        <w:keepNext w:val="0"/>
        <w:keepLines w:val="0"/>
        <w:pageBreakBefore w:val="0"/>
        <w:numPr>
          <w:ilvl w:val="0"/>
          <w:numId w:val="0"/>
        </w:numPr>
        <w:tabs>
          <w:tab w:val="left" w:pos="461"/>
        </w:tabs>
        <w:kinsoku/>
        <w:wordWrap/>
        <w:overflowPunct/>
        <w:topLinePunct w:val="0"/>
        <w:autoSpaceDE/>
        <w:autoSpaceDN/>
        <w:bidi w:val="0"/>
        <w:spacing w:line="360" w:lineRule="auto"/>
        <w:textAlignment w:val="auto"/>
        <w:rPr>
          <w:rFonts w:hint="eastAsia" w:ascii="宋体" w:hAnsi="宋体"/>
          <w:b/>
          <w:bCs/>
          <w:sz w:val="24"/>
          <w:lang w:val="en-US" w:eastAsia="zh-CN"/>
        </w:rPr>
      </w:pPr>
      <w:r>
        <w:rPr>
          <w:rFonts w:hint="eastAsia" w:ascii="宋体" w:hAnsi="宋体"/>
          <w:b/>
          <w:bCs/>
          <w:sz w:val="24"/>
          <w:lang w:val="en-US" w:eastAsia="zh-CN"/>
        </w:rPr>
        <w:t>（五）八道移液器3套，可采进口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Calibri" w:hAnsi="Calibri" w:cs="Calibri"/>
          <w:szCs w:val="21"/>
        </w:rPr>
      </w:pPr>
      <w:r>
        <w:rPr>
          <w:rFonts w:hint="eastAsia" w:ascii="宋体" w:hAnsi="宋体"/>
          <w:sz w:val="24"/>
        </w:rPr>
        <w:t>八道移液器0.5-10ul，10-100ul，30-300ul规格各3支</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外壳为光滑的耐腐蚀塑料设计，不易沾污物，易清洗；</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量程调节为无阻尼设计，堪称无极变速，单手操作，体验极佳。</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液量显示带有微量刻度尺，调节步进小，可实现精确调节量程。</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旋转式指靠设计：舒适的指靠，方便移液间隙休息；指靠可以120º旋转，适合左/右手操作，每个人都可以找到舒适握持位置。</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3×1cm大的量程显示窗，数字清晰，便于观察</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小量程的移液器为双活塞设计，增加50%吹出能力，大大降低挂壁和残留，提高了移液器的精准度。</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轻触吸头设计；只需轻轻一触即可彻底退出吸头；</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防遗忘锁扣设计:顶部液量调节按钮拔出时可调液量，按回可锁定量程调节，有效预防移液间的误操作导致的量程改变。</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颜色标识，不同色彩标记不同的量程，易于辨识，可配合同样颜色标记的吸头配合使用；</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具有8通道，12通道，16通道，多种量程可选</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标配防滑贴，无论徒手还是戴手套操作移液器，均可操作自如。</w:t>
      </w:r>
    </w:p>
    <w:p>
      <w:pPr>
        <w:keepNext w:val="0"/>
        <w:keepLines w:val="0"/>
        <w:pageBreakBefore w:val="0"/>
        <w:numPr>
          <w:ilvl w:val="0"/>
          <w:numId w:val="0"/>
        </w:numPr>
        <w:tabs>
          <w:tab w:val="left" w:pos="427"/>
        </w:tabs>
        <w:kinsoku/>
        <w:wordWrap/>
        <w:overflowPunct/>
        <w:topLinePunct w:val="0"/>
        <w:autoSpaceDE/>
        <w:autoSpaceDN/>
        <w:bidi w:val="0"/>
        <w:spacing w:line="360" w:lineRule="auto"/>
        <w:textAlignment w:val="auto"/>
        <w:rPr>
          <w:rFonts w:hint="eastAsia" w:ascii="宋体" w:hAnsi="宋体"/>
          <w:b/>
          <w:bCs/>
          <w:sz w:val="24"/>
          <w:lang w:val="en-US" w:eastAsia="zh-CN"/>
        </w:rPr>
      </w:pPr>
      <w:r>
        <w:rPr>
          <w:rFonts w:hint="eastAsia" w:ascii="宋体" w:hAnsi="宋体"/>
          <w:b/>
          <w:bCs/>
          <w:sz w:val="24"/>
          <w:lang w:val="en-US" w:eastAsia="zh-CN"/>
        </w:rPr>
        <w:t>（六）二层组合式全温振荡培养箱一台</w:t>
      </w:r>
    </w:p>
    <w:p>
      <w:pPr>
        <w:keepNext w:val="0"/>
        <w:keepLines w:val="0"/>
        <w:pageBreakBefore w:val="0"/>
        <w:widowControl/>
        <w:numPr>
          <w:ilvl w:val="0"/>
          <w:numId w:val="11"/>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一层、二层或三层叠加组合，以最小的占地面积为用户提供最大的使用空间</w:t>
      </w:r>
    </w:p>
    <w:p>
      <w:pPr>
        <w:keepNext w:val="0"/>
        <w:keepLines w:val="0"/>
        <w:pageBreakBefore w:val="0"/>
        <w:widowControl/>
        <w:numPr>
          <w:ilvl w:val="0"/>
          <w:numId w:val="11"/>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PID微电脑智能控温仪，控温精确</w:t>
      </w:r>
    </w:p>
    <w:p>
      <w:pPr>
        <w:keepNext w:val="0"/>
        <w:keepLines w:val="0"/>
        <w:pageBreakBefore w:val="0"/>
        <w:widowControl/>
        <w:numPr>
          <w:ilvl w:val="0"/>
          <w:numId w:val="11"/>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三维一体的偏三轮驱动，运转平滑、稳定、耐久、可靠</w:t>
      </w:r>
    </w:p>
    <w:p>
      <w:pPr>
        <w:keepNext w:val="0"/>
        <w:keepLines w:val="0"/>
        <w:pageBreakBefore w:val="0"/>
        <w:widowControl/>
        <w:numPr>
          <w:ilvl w:val="0"/>
          <w:numId w:val="11"/>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具有超温报警功能及异常情况自动断电功能</w:t>
      </w:r>
    </w:p>
    <w:p>
      <w:pPr>
        <w:keepNext w:val="0"/>
        <w:keepLines w:val="0"/>
        <w:pageBreakBefore w:val="0"/>
        <w:widowControl/>
        <w:numPr>
          <w:ilvl w:val="0"/>
          <w:numId w:val="11"/>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具有断电恢复功能，避免因停电、死机而造成的数据丢失问题</w:t>
      </w:r>
    </w:p>
    <w:p>
      <w:pPr>
        <w:keepNext w:val="0"/>
        <w:keepLines w:val="0"/>
        <w:pageBreakBefore w:val="0"/>
        <w:widowControl/>
        <w:numPr>
          <w:ilvl w:val="0"/>
          <w:numId w:val="11"/>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内衬采用圆弧角（R角）镜面不锈钢设计，便于清洁，不容易滋生细菌、防腐蚀；外壳采用静电喷塑</w:t>
      </w:r>
    </w:p>
    <w:p>
      <w:pPr>
        <w:keepNext w:val="0"/>
        <w:keepLines w:val="0"/>
        <w:pageBreakBefore w:val="0"/>
        <w:widowControl/>
        <w:numPr>
          <w:ilvl w:val="0"/>
          <w:numId w:val="11"/>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人性化设计，下两层为下翻式开门，第三层为上翻式开门，摇板可自由抽出，方便装卸摇瓶，每层可独立控制，各层可在不同温度转速下同时运转或根据需要运行一层、两层或三层</w:t>
      </w:r>
    </w:p>
    <w:p>
      <w:pPr>
        <w:keepNext w:val="0"/>
        <w:keepLines w:val="0"/>
        <w:pageBreakBefore w:val="0"/>
        <w:widowControl/>
        <w:numPr>
          <w:ilvl w:val="0"/>
          <w:numId w:val="11"/>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精选优质进口压缩机、无氟环保制冷剂，噪音低、制冷效果好，确保设备在低温状态下长时间稳定运行</w:t>
      </w:r>
    </w:p>
    <w:p>
      <w:pPr>
        <w:keepNext w:val="0"/>
        <w:keepLines w:val="0"/>
        <w:pageBreakBefore w:val="0"/>
        <w:widowControl/>
        <w:numPr>
          <w:ilvl w:val="0"/>
          <w:numId w:val="11"/>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人性化设计的开门即停功能，使用更加安全快捷</w:t>
      </w:r>
    </w:p>
    <w:p>
      <w:pPr>
        <w:keepNext w:val="0"/>
        <w:keepLines w:val="0"/>
        <w:pageBreakBefore w:val="0"/>
        <w:widowControl/>
        <w:numPr>
          <w:ilvl w:val="0"/>
          <w:numId w:val="11"/>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具有紫外线灭菌功能</w:t>
      </w:r>
    </w:p>
    <w:p>
      <w:pPr>
        <w:keepNext w:val="0"/>
        <w:keepLines w:val="0"/>
        <w:pageBreakBefore w:val="0"/>
        <w:widowControl/>
        <w:numPr>
          <w:ilvl w:val="0"/>
          <w:numId w:val="11"/>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防水托盘设计，有效防止因样品瓶破碎漏液而导致的电机损坏问题，且无须专用工具，清理方便</w:t>
      </w:r>
    </w:p>
    <w:p>
      <w:pPr>
        <w:keepNext w:val="0"/>
        <w:keepLines w:val="0"/>
        <w:pageBreakBefore w:val="0"/>
        <w:widowControl/>
        <w:numPr>
          <w:ilvl w:val="0"/>
          <w:numId w:val="11"/>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配备高质伺服电机，控制速度精确、高速性能好、稳定性强</w:t>
      </w:r>
    </w:p>
    <w:p>
      <w:pPr>
        <w:keepNext w:val="0"/>
        <w:keepLines w:val="0"/>
        <w:pageBreakBefore w:val="0"/>
        <w:widowControl/>
        <w:numPr>
          <w:ilvl w:val="0"/>
          <w:numId w:val="11"/>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定时除霜功能，1~89分钟可自由设定，除霜间隔30~600分钟可调，能确保长时间在低温状态下运行时蒸发器不结冰</w:t>
      </w:r>
    </w:p>
    <w:p>
      <w:pPr>
        <w:keepNext w:val="0"/>
        <w:keepLines w:val="0"/>
        <w:pageBreakBefore w:val="0"/>
        <w:widowControl/>
        <w:numPr>
          <w:ilvl w:val="0"/>
          <w:numId w:val="11"/>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LCD触摸屏，设定温度、转速、时间和实测温度、转速、剩余时间在同一界面显示，不用相互切换界面，观察更直观；操作界面加密锁定功能，杜绝重复操作和人为误操作；可自由设定摇板正转或反转；强制对流的风扇常开或自动</w:t>
      </w:r>
    </w:p>
    <w:p>
      <w:pPr>
        <w:keepNext w:val="0"/>
        <w:keepLines w:val="0"/>
        <w:pageBreakBefore w:val="0"/>
        <w:widowControl/>
        <w:numPr>
          <w:ilvl w:val="0"/>
          <w:numId w:val="11"/>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拥有数据记录功能，每分钟记录一次数据，可记录近三个月的数据，并且可显示温度、速度曲线，方便数据的分析；有USB接口，可将上述数据导出并保存</w:t>
      </w:r>
    </w:p>
    <w:p>
      <w:pPr>
        <w:keepNext w:val="0"/>
        <w:keepLines w:val="0"/>
        <w:pageBreakBefore w:val="0"/>
        <w:widowControl/>
        <w:numPr>
          <w:ilvl w:val="0"/>
          <w:numId w:val="11"/>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专业设计的侧面透气孔，满足样品对氧气的需求</w:t>
      </w:r>
    </w:p>
    <w:p>
      <w:pPr>
        <w:keepNext w:val="0"/>
        <w:keepLines w:val="0"/>
        <w:pageBreakBefore w:val="0"/>
        <w:widowControl/>
        <w:numPr>
          <w:ilvl w:val="0"/>
          <w:numId w:val="11"/>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配备滤波器磁环，减少外界和自身波长对机器稳定性的干扰</w:t>
      </w:r>
    </w:p>
    <w:p>
      <w:pPr>
        <w:keepNext w:val="0"/>
        <w:keepLines w:val="0"/>
        <w:pageBreakBefore w:val="0"/>
        <w:widowControl/>
        <w:numPr>
          <w:ilvl w:val="0"/>
          <w:numId w:val="11"/>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振荡频率 10-300rpm</w:t>
      </w:r>
    </w:p>
    <w:p>
      <w:pPr>
        <w:keepNext w:val="0"/>
        <w:keepLines w:val="0"/>
        <w:pageBreakBefore w:val="0"/>
        <w:widowControl/>
        <w:numPr>
          <w:ilvl w:val="0"/>
          <w:numId w:val="11"/>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振荡频率精度 ±1rpm</w:t>
      </w:r>
    </w:p>
    <w:p>
      <w:pPr>
        <w:keepNext w:val="0"/>
        <w:keepLines w:val="0"/>
        <w:pageBreakBefore w:val="0"/>
        <w:widowControl/>
        <w:numPr>
          <w:ilvl w:val="0"/>
          <w:numId w:val="11"/>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摇板振幅 Ф50mm</w:t>
      </w:r>
    </w:p>
    <w:p>
      <w:pPr>
        <w:keepNext w:val="0"/>
        <w:keepLines w:val="0"/>
        <w:pageBreakBefore w:val="0"/>
        <w:widowControl/>
        <w:numPr>
          <w:ilvl w:val="0"/>
          <w:numId w:val="11"/>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温控范围 4～60℃</w:t>
      </w:r>
    </w:p>
    <w:p>
      <w:pPr>
        <w:keepNext w:val="0"/>
        <w:keepLines w:val="0"/>
        <w:pageBreakBefore w:val="0"/>
        <w:widowControl/>
        <w:numPr>
          <w:ilvl w:val="0"/>
          <w:numId w:val="11"/>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温度调节精度 ±0.1℃</w:t>
      </w:r>
    </w:p>
    <w:p>
      <w:pPr>
        <w:keepNext w:val="0"/>
        <w:keepLines w:val="0"/>
        <w:pageBreakBefore w:val="0"/>
        <w:widowControl/>
        <w:numPr>
          <w:ilvl w:val="0"/>
          <w:numId w:val="11"/>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温度均匀度 ±1℃ （at 37℃）(需提供第三方温度检测证书)</w:t>
      </w:r>
    </w:p>
    <w:p>
      <w:pPr>
        <w:keepNext w:val="0"/>
        <w:keepLines w:val="0"/>
        <w:pageBreakBefore w:val="0"/>
        <w:widowControl/>
        <w:numPr>
          <w:ilvl w:val="0"/>
          <w:numId w:val="11"/>
        </w:numPr>
        <w:shd w:val="clear" w:color="auto" w:fill="FFFFFF"/>
        <w:kinsoku/>
        <w:wordWrap/>
        <w:overflowPunct/>
        <w:topLinePunct w:val="0"/>
        <w:autoSpaceDE/>
        <w:autoSpaceDN/>
        <w:bidi w:val="0"/>
        <w:adjustRightInd w:val="0"/>
        <w:snapToGrid w:val="0"/>
        <w:spacing w:line="360" w:lineRule="auto"/>
        <w:ind w:left="425" w:leftChars="0" w:right="-246" w:rightChars="-117"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最大容量（不锈钢夹具） 单层250ml×66或500ml×45或1000ml×28或2000ml×15</w:t>
      </w:r>
    </w:p>
    <w:p>
      <w:pPr>
        <w:keepNext w:val="0"/>
        <w:keepLines w:val="0"/>
        <w:pageBreakBefore w:val="0"/>
        <w:widowControl/>
        <w:numPr>
          <w:ilvl w:val="0"/>
          <w:numId w:val="11"/>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塑胶夹具容量 单层250ml×60或500ml×40或1000ml×24或2000ml×15三角瓶夹具须为一次性成型塑胶夹具；试管夹具孔带有橡胶防护套；可选配粘性粘板。</w:t>
      </w:r>
    </w:p>
    <w:p>
      <w:pPr>
        <w:keepNext w:val="0"/>
        <w:keepLines w:val="0"/>
        <w:pageBreakBefore w:val="0"/>
        <w:widowControl/>
        <w:numPr>
          <w:ilvl w:val="0"/>
          <w:numId w:val="11"/>
        </w:numPr>
        <w:shd w:val="clear" w:color="auto" w:fill="FFFFFF"/>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b w:val="0"/>
          <w:bCs w:val="0"/>
          <w:sz w:val="24"/>
          <w:lang w:val="en-US" w:eastAsia="zh-CN"/>
        </w:rPr>
      </w:pPr>
      <w:r>
        <w:rPr>
          <w:rFonts w:hint="eastAsia" w:ascii="宋体" w:hAnsi="宋体"/>
          <w:b w:val="0"/>
          <w:bCs w:val="0"/>
          <w:sz w:val="24"/>
          <w:lang w:val="en-US" w:eastAsia="zh-CN"/>
        </w:rPr>
        <w:t>摇板参考尺寸(长×宽） 单层 928mm×530mm</w:t>
      </w:r>
    </w:p>
    <w:p>
      <w:pPr>
        <w:keepNext w:val="0"/>
        <w:keepLines w:val="0"/>
        <w:pageBreakBefore w:val="0"/>
        <w:widowControl/>
        <w:numPr>
          <w:ilvl w:val="0"/>
          <w:numId w:val="0"/>
        </w:numPr>
        <w:shd w:val="clear" w:color="auto" w:fill="FFFFFF"/>
        <w:kinsoku/>
        <w:wordWrap/>
        <w:overflowPunct/>
        <w:topLinePunct w:val="0"/>
        <w:autoSpaceDE/>
        <w:autoSpaceDN/>
        <w:bidi w:val="0"/>
        <w:spacing w:line="360" w:lineRule="auto"/>
        <w:jc w:val="left"/>
        <w:textAlignment w:val="auto"/>
        <w:rPr>
          <w:rFonts w:hint="eastAsia" w:ascii="宋体" w:hAnsi="宋体"/>
          <w:b/>
          <w:bCs/>
          <w:sz w:val="24"/>
          <w:lang w:val="en-US" w:eastAsia="zh-CN"/>
        </w:rPr>
      </w:pPr>
      <w:r>
        <w:rPr>
          <w:rFonts w:hint="eastAsia" w:cs="Times New Roman" w:asciiTheme="minorEastAsia" w:hAnsiTheme="minorEastAsia" w:eastAsiaTheme="minorEastAsia"/>
          <w:b/>
          <w:bCs/>
          <w:color w:val="auto"/>
          <w:kern w:val="2"/>
          <w:sz w:val="24"/>
          <w:szCs w:val="24"/>
          <w:lang w:val="en-US" w:eastAsia="zh-CN" w:bidi="ar-SA"/>
        </w:rPr>
        <w:t>（七）</w:t>
      </w:r>
      <w:r>
        <w:rPr>
          <w:rFonts w:hint="eastAsia" w:ascii="宋体" w:hAnsi="宋体"/>
          <w:b/>
          <w:bCs/>
          <w:sz w:val="24"/>
          <w:lang w:eastAsia="zh-CN"/>
        </w:rPr>
        <w:t>全自动菌落计数仪</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彩色高清CCD  500像素万摄像镜头</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开放式平台设计，直接放平皿,计数、操作更方便、快捷；</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底部LED双光源，避免外界光线对开方平台上的菌落影像产生干扰。</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可通过设置颜色适应、菌落比、菌落直径设置，提高计数精确度。</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采用加密U盾，有效保障数据库管理和数据的安全。</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具有区分8种不同样色菌落，最大限度提高准确性;</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培养皿直径：标准的90mm和55mm</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菌落识别：平板、倾注、无网格滤膜、螺旋接种</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最小菌落识别大小：0.1mm</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 xml:space="preserve">典型计数时间：300个＜3秒                </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配备商务电脑一台</w:t>
      </w:r>
    </w:p>
    <w:p>
      <w:pPr>
        <w:keepNext w:val="0"/>
        <w:keepLines w:val="0"/>
        <w:pageBreakBefore w:val="0"/>
        <w:widowControl/>
        <w:shd w:val="clear" w:color="auto" w:fill="FFFFFF"/>
        <w:kinsoku/>
        <w:wordWrap/>
        <w:overflowPunct/>
        <w:topLinePunct w:val="0"/>
        <w:autoSpaceDE/>
        <w:autoSpaceDN/>
        <w:bidi w:val="0"/>
        <w:spacing w:line="360" w:lineRule="auto"/>
        <w:jc w:val="left"/>
        <w:textAlignment w:val="auto"/>
        <w:rPr>
          <w:rFonts w:hint="eastAsia" w:ascii="宋体" w:hAnsi="宋体"/>
          <w:b/>
          <w:bCs/>
          <w:sz w:val="24"/>
          <w:lang w:eastAsia="zh-CN"/>
        </w:rPr>
      </w:pPr>
      <w:r>
        <w:rPr>
          <w:rFonts w:hint="eastAsia" w:ascii="宋体" w:hAnsi="宋体"/>
          <w:b/>
          <w:bCs/>
          <w:sz w:val="24"/>
          <w:lang w:eastAsia="zh-CN"/>
        </w:rPr>
        <w:t>（八）100×倍油镜镜头一个</w:t>
      </w:r>
    </w:p>
    <w:p>
      <w:pPr>
        <w:keepNext w:val="0"/>
        <w:keepLines w:val="0"/>
        <w:pageBreakBefore w:val="0"/>
        <w:widowControl/>
        <w:shd w:val="clear" w:color="auto" w:fill="FFFFFF"/>
        <w:kinsoku/>
        <w:wordWrap/>
        <w:overflowPunct/>
        <w:topLinePunct w:val="0"/>
        <w:autoSpaceDE/>
        <w:autoSpaceDN/>
        <w:bidi w:val="0"/>
        <w:spacing w:line="360" w:lineRule="auto"/>
        <w:jc w:val="left"/>
        <w:textAlignment w:val="auto"/>
        <w:rPr>
          <w:rFonts w:hint="eastAsia" w:ascii="宋体" w:hAnsi="宋体"/>
          <w:sz w:val="24"/>
          <w:lang w:eastAsia="zh-CN"/>
        </w:rPr>
      </w:pPr>
      <w:r>
        <w:rPr>
          <w:rFonts w:hint="eastAsia" w:ascii="宋体" w:hAnsi="宋体"/>
          <w:sz w:val="24"/>
          <w:lang w:eastAsia="zh-CN"/>
        </w:rPr>
        <w:t>配套尼康</w:t>
      </w:r>
      <w:r>
        <w:rPr>
          <w:rFonts w:hint="eastAsia" w:ascii="宋体" w:hAnsi="宋体"/>
          <w:sz w:val="24"/>
          <w:lang w:val="en-US" w:eastAsia="zh-CN"/>
        </w:rPr>
        <w:t>90i使用，</w:t>
      </w:r>
      <w:r>
        <w:rPr>
          <w:rFonts w:hint="eastAsia" w:ascii="宋体" w:hAnsi="宋体"/>
          <w:sz w:val="24"/>
          <w:lang w:eastAsia="zh-CN"/>
        </w:rPr>
        <w:t>平场半复消色差物镜：NA.1.3,W.D 0.16</w:t>
      </w:r>
    </w:p>
    <w:p>
      <w:pPr>
        <w:keepNext w:val="0"/>
        <w:keepLines w:val="0"/>
        <w:pageBreakBefore w:val="0"/>
        <w:widowControl/>
        <w:shd w:val="clear" w:color="auto" w:fill="FFFFFF"/>
        <w:kinsoku/>
        <w:wordWrap/>
        <w:overflowPunct/>
        <w:topLinePunct w:val="0"/>
        <w:autoSpaceDE/>
        <w:autoSpaceDN/>
        <w:bidi w:val="0"/>
        <w:spacing w:line="360" w:lineRule="auto"/>
        <w:jc w:val="left"/>
        <w:textAlignment w:val="auto"/>
        <w:rPr>
          <w:rFonts w:hint="eastAsia" w:ascii="宋体" w:hAnsi="宋体" w:eastAsia="宋体"/>
          <w:sz w:val="24"/>
          <w:lang w:val="en-US" w:eastAsia="zh-CN"/>
        </w:rPr>
      </w:pPr>
      <w:r>
        <w:rPr>
          <w:rFonts w:hint="eastAsia" w:cs="Times New Roman" w:asciiTheme="minorEastAsia" w:hAnsiTheme="minorEastAsia" w:eastAsiaTheme="minorEastAsia"/>
          <w:b/>
          <w:bCs/>
          <w:color w:val="auto"/>
          <w:kern w:val="2"/>
          <w:sz w:val="24"/>
          <w:szCs w:val="24"/>
          <w:lang w:val="en-US" w:eastAsia="zh-CN" w:bidi="ar-SA"/>
        </w:rPr>
        <w:t>（九）</w:t>
      </w:r>
      <w:r>
        <w:rPr>
          <w:rFonts w:hint="eastAsia" w:ascii="宋体" w:hAnsi="宋体"/>
          <w:b/>
          <w:bCs/>
          <w:sz w:val="24"/>
          <w:lang w:val="en-US" w:eastAsia="zh-CN"/>
        </w:rPr>
        <w:t>（高）低氧动物箱一台，可采进口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用途：可精确控制氧气浓度，帮助建立低氧/高氧动物模型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 xml:space="preserve">1. 整套系统由气体控制器、气体控制室、传感器模块组成；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2. 系统可以进行精准的O2控制；适用于短时间或长时间的低氧、极端低氧、或高氧条件控制；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lang w:val="en-US" w:eastAsia="zh-CN"/>
        </w:rPr>
        <w:t xml:space="preserve"> </w:t>
      </w:r>
      <w:r>
        <w:rPr>
          <w:rFonts w:hint="eastAsia" w:ascii="宋体" w:hAnsi="宋体"/>
          <w:sz w:val="24"/>
        </w:rPr>
        <w:t>氧气浓度控制范围0.1%—99.9%，可设置及显示精度为0.1%，气体配比由控制器自动完成。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 xml:space="preserve">4．系统气密性好、节约气体，可实现0.1%-3% 极端低氧培养，开关门波动小，恢复速度快；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5.</w:t>
      </w:r>
      <w:r>
        <w:rPr>
          <w:rFonts w:hint="eastAsia" w:ascii="宋体" w:hAnsi="宋体"/>
          <w:sz w:val="24"/>
          <w:lang w:val="en-US" w:eastAsia="zh-CN"/>
        </w:rPr>
        <w:t xml:space="preserve"> </w:t>
      </w:r>
      <w:r>
        <w:rPr>
          <w:rFonts w:hint="eastAsia" w:ascii="宋体" w:hAnsi="宋体"/>
          <w:sz w:val="24"/>
        </w:rPr>
        <w:t xml:space="preserve">气体控制室配备氧气传感器模块，严格监控室内气体浓度，控制器根据其氧气探头的实时监测反馈，自动注入氧气来提升氧浓度或者注入氮气来降低氧浓度达到预设值，可按预设定值随时快速恢复和维持气体浓度，满足实验所需氧气设定要求；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6. 槽体</w:t>
      </w:r>
      <w:r>
        <w:rPr>
          <w:rFonts w:hint="eastAsia" w:ascii="宋体" w:hAnsi="宋体"/>
          <w:sz w:val="24"/>
          <w:lang w:eastAsia="zh-CN"/>
        </w:rPr>
        <w:t>参考</w:t>
      </w:r>
      <w:r>
        <w:rPr>
          <w:rFonts w:hint="eastAsia" w:ascii="宋体" w:hAnsi="宋体"/>
          <w:sz w:val="24"/>
        </w:rPr>
        <w:t xml:space="preserve">尺寸 30”(76cm) x 20”(51cm) x 20”(51cm)；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7. 不锈钢材质正向闭锁门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8. 提升板设计便于气体循环机和使用洗涤器/干燥剂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9.气体控制器外接2个气体钢瓶，氮气（低氧要求）、或氧气（高氧要求）。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rPr>
      </w:pPr>
      <w:r>
        <w:rPr>
          <w:rFonts w:hint="eastAsia" w:ascii="宋体" w:hAnsi="宋体"/>
          <w:sz w:val="24"/>
          <w:lang w:val="en-US" w:eastAsia="zh-CN"/>
        </w:rPr>
        <w:t>10.工作条件：</w:t>
      </w:r>
      <w:r>
        <w:rPr>
          <w:rFonts w:hint="eastAsia" w:ascii="宋体" w:hAnsi="宋体"/>
          <w:sz w:val="24"/>
        </w:rPr>
        <w:t>电源：100–240±10%V；50/60Hz</w:t>
      </w:r>
      <w:r>
        <w:rPr>
          <w:rFonts w:hint="eastAsia" w:ascii="宋体" w:hAnsi="宋体"/>
          <w:sz w:val="24"/>
          <w:lang w:eastAsia="zh-CN"/>
        </w:rPr>
        <w:t>；</w:t>
      </w:r>
      <w:r>
        <w:rPr>
          <w:rFonts w:hint="eastAsia" w:ascii="宋体" w:hAnsi="宋体"/>
          <w:sz w:val="24"/>
        </w:rPr>
        <w:t>环境温度：15 - 35℃</w:t>
      </w:r>
      <w:r>
        <w:rPr>
          <w:rFonts w:hint="eastAsia" w:ascii="宋体" w:hAnsi="宋体"/>
          <w:sz w:val="24"/>
          <w:lang w:eastAsia="zh-CN"/>
        </w:rPr>
        <w:t>；</w:t>
      </w:r>
      <w:r>
        <w:rPr>
          <w:rFonts w:hint="eastAsia" w:ascii="宋体" w:hAnsi="宋体"/>
          <w:sz w:val="24"/>
        </w:rPr>
        <w:t>相对湿度：＜ 60%</w:t>
      </w:r>
      <w:r>
        <w:rPr>
          <w:rFonts w:hint="eastAsia" w:ascii="宋体" w:hAnsi="宋体"/>
          <w:sz w:val="24"/>
          <w:lang w:eastAsia="zh-CN"/>
        </w:rPr>
        <w:t>；</w:t>
      </w:r>
      <w:r>
        <w:rPr>
          <w:rFonts w:hint="eastAsia" w:ascii="宋体" w:hAnsi="宋体"/>
          <w:sz w:val="24"/>
        </w:rPr>
        <w:t>配置符合中国有关标准要求的水电气插头。否则，应提供适当的水电气转换插座。</w:t>
      </w: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b/>
          <w:bCs/>
          <w:sz w:val="24"/>
          <w:lang w:val="en-US" w:eastAsia="zh-CN"/>
        </w:rPr>
      </w:pPr>
      <w:r>
        <w:rPr>
          <w:rFonts w:hint="eastAsia" w:ascii="宋体" w:hAnsi="宋体"/>
          <w:b/>
          <w:bCs/>
          <w:sz w:val="24"/>
          <w:lang w:eastAsia="zh-CN"/>
        </w:rPr>
        <w:t>（十）制冰机</w:t>
      </w:r>
      <w:r>
        <w:rPr>
          <w:rFonts w:hint="eastAsia" w:ascii="宋体" w:hAnsi="宋体"/>
          <w:b/>
          <w:bCs/>
          <w:sz w:val="24"/>
          <w:lang w:val="en-US" w:eastAsia="zh-CN"/>
        </w:rPr>
        <w:t>1台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sz w:val="24"/>
          <w:lang w:val="en-US" w:eastAsia="zh-CN"/>
        </w:rPr>
      </w:pPr>
      <w:r>
        <w:rPr>
          <w:rFonts w:hint="eastAsia" w:ascii="宋体" w:hAnsi="宋体"/>
          <w:sz w:val="24"/>
          <w:lang w:val="en-US" w:eastAsia="zh-CN"/>
        </w:rPr>
        <w:t>1.材料：前/侧/顶面：不锈钢钢板，后板为镀锌钢板；门把手和冰铲等可以触摸的部位用了抗菌材料。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sz w:val="24"/>
          <w:lang w:val="en-US" w:eastAsia="zh-CN"/>
        </w:rPr>
      </w:pPr>
      <w:r>
        <w:rPr>
          <w:rFonts w:hint="eastAsia" w:ascii="宋体" w:hAnsi="宋体"/>
          <w:sz w:val="24"/>
          <w:lang w:val="en-US" w:eastAsia="zh-CN"/>
        </w:rPr>
        <w:t>2.制冰量：约130公斤/日（环境温度20度，水温15度）；约110公斤/日（环境温度30度，水温25度）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sz w:val="24"/>
          <w:lang w:val="en-US" w:eastAsia="zh-CN"/>
        </w:rPr>
      </w:pPr>
      <w:r>
        <w:rPr>
          <w:rFonts w:hint="eastAsia" w:ascii="宋体" w:hAnsi="宋体"/>
          <w:sz w:val="24"/>
          <w:lang w:val="en-US" w:eastAsia="zh-CN"/>
        </w:rPr>
        <w:t>3.用水量：约0.16立方米/日(环境温度30度,水温25度)；约0.14立方米/日（环境温度20度，水温15度）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sz w:val="24"/>
          <w:lang w:val="en-US" w:eastAsia="zh-CN"/>
        </w:rPr>
      </w:pPr>
      <w:r>
        <w:rPr>
          <w:rFonts w:hint="eastAsia" w:ascii="宋体" w:hAnsi="宋体"/>
          <w:sz w:val="24"/>
          <w:lang w:val="en-US" w:eastAsia="zh-CN"/>
        </w:rPr>
        <w:t>4.冰块形状：碎花状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sz w:val="24"/>
          <w:lang w:val="en-US" w:eastAsia="zh-CN"/>
        </w:rPr>
      </w:pPr>
      <w:r>
        <w:rPr>
          <w:rFonts w:hint="eastAsia" w:ascii="宋体" w:hAnsi="宋体"/>
          <w:sz w:val="24"/>
          <w:lang w:val="en-US" w:eastAsia="zh-CN"/>
        </w:rPr>
        <w:t>5.滤水装置：带有进水过滤器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sz w:val="24"/>
          <w:lang w:val="en-US" w:eastAsia="zh-CN"/>
        </w:rPr>
      </w:pPr>
      <w:r>
        <w:rPr>
          <w:rFonts w:hint="eastAsia" w:ascii="宋体" w:hAnsi="宋体"/>
          <w:sz w:val="24"/>
          <w:lang w:val="en-US" w:eastAsia="zh-CN"/>
        </w:rPr>
        <w:t>6.储冰量:不小于28公斤</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sz w:val="24"/>
          <w:lang w:val="en-US" w:eastAsia="zh-CN"/>
        </w:rPr>
      </w:pPr>
      <w:r>
        <w:rPr>
          <w:rFonts w:hint="eastAsia" w:ascii="宋体" w:hAnsi="宋体"/>
          <w:sz w:val="24"/>
          <w:lang w:val="en-US" w:eastAsia="zh-CN"/>
        </w:rPr>
        <w:t>7.报警装置/其他功能：带有过温报警、过负荷报警，还具有自我故障诊断功能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sz w:val="24"/>
          <w:lang w:val="en-US" w:eastAsia="zh-CN"/>
        </w:rPr>
      </w:pPr>
      <w:r>
        <w:rPr>
          <w:rFonts w:hint="eastAsia" w:ascii="宋体" w:hAnsi="宋体"/>
          <w:sz w:val="24"/>
          <w:lang w:val="en-US" w:eastAsia="zh-CN"/>
        </w:rPr>
        <w:t>8.具有便于清洗的侧抽式空气滤网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sz w:val="24"/>
          <w:lang w:val="en-US" w:eastAsia="zh-CN"/>
        </w:rPr>
      </w:pPr>
      <w:r>
        <w:rPr>
          <w:rFonts w:hint="eastAsia" w:ascii="宋体" w:hAnsi="宋体"/>
          <w:sz w:val="24"/>
          <w:lang w:val="en-US" w:eastAsia="zh-CN"/>
        </w:rPr>
        <w:t>9.配置：制冰机、冰铲、含配不锈钢专用安装支架 ，便于排水及安装</w:t>
      </w:r>
    </w:p>
    <w:p>
      <w:pPr>
        <w:keepNext w:val="0"/>
        <w:keepLines w:val="0"/>
        <w:pageBreakBefore w:val="0"/>
        <w:numPr>
          <w:ilvl w:val="0"/>
          <w:numId w:val="0"/>
        </w:numPr>
        <w:tabs>
          <w:tab w:val="left" w:pos="661"/>
        </w:tabs>
        <w:kinsoku/>
        <w:wordWrap/>
        <w:overflowPunct/>
        <w:topLinePunct w:val="0"/>
        <w:autoSpaceDE/>
        <w:autoSpaceDN/>
        <w:bidi w:val="0"/>
        <w:spacing w:line="360" w:lineRule="auto"/>
        <w:ind w:leftChars="0"/>
        <w:textAlignment w:val="auto"/>
        <w:rPr>
          <w:rFonts w:hint="eastAsia" w:ascii="宋体" w:hAnsi="宋体"/>
          <w:b/>
          <w:bCs/>
          <w:color w:val="auto"/>
          <w:sz w:val="24"/>
          <w:lang w:val="en-US" w:eastAsia="zh-CN"/>
        </w:rPr>
      </w:pPr>
      <w:r>
        <w:rPr>
          <w:rFonts w:hint="eastAsia" w:ascii="宋体" w:hAnsi="宋体"/>
          <w:b/>
          <w:bCs/>
          <w:color w:val="auto"/>
          <w:sz w:val="24"/>
          <w:lang w:val="en-US" w:eastAsia="zh-CN"/>
        </w:rPr>
        <w:t>（十一）药物浓缩系统一套，含旋转蒸发仪，配套隔膜泵及冷却循环水</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b/>
          <w:bCs/>
          <w:color w:val="auto"/>
          <w:sz w:val="24"/>
          <w:lang w:val="en-US" w:eastAsia="zh-CN"/>
        </w:rPr>
      </w:pPr>
      <w:r>
        <w:rPr>
          <w:rFonts w:hint="eastAsia" w:ascii="宋体" w:hAnsi="宋体"/>
          <w:b/>
          <w:bCs/>
          <w:color w:val="auto"/>
          <w:sz w:val="24"/>
          <w:lang w:val="en-US" w:eastAsia="zh-CN"/>
        </w:rPr>
        <w:t>（1）旋转蒸发仪</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1、旋转速度：10-310rpm</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2、蒸发能力：25ml/min</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3、可达真空度：399.9Pa（3mmHg）</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4、温度调节范围：室温~180℃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5、温度调节精度：±1.5℃（水浴）±3℃（油浴）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6、转速设定•显示：旋钮设定•数字显示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7、升降功能：手动平衡式（升降行程180mm、无级调节）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8、其他功能：试料瓶左右两侧安装、试料瓶可定时正反转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9、电机：DC无刷电机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10、冷凝管：直立式双层冷凝管，冷凝面积0.146m2</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11、搭配水浴锅：水油两用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12、水浴锅加热器：1KW</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13、真空密封垫：双重密封垫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15、水浴锅材质•容量：铝（特氟龙Ⓡ涂层）•5.4L</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b/>
          <w:bCs/>
          <w:color w:val="auto"/>
          <w:sz w:val="24"/>
          <w:lang w:val="en-US" w:eastAsia="zh-CN"/>
        </w:rPr>
      </w:pPr>
      <w:r>
        <w:rPr>
          <w:rFonts w:hint="eastAsia" w:ascii="宋体" w:hAnsi="宋体" w:eastAsia="宋体"/>
          <w:b/>
          <w:bCs/>
          <w:color w:val="auto"/>
          <w:sz w:val="24"/>
          <w:lang w:val="en-US" w:eastAsia="zh-CN"/>
        </w:rPr>
        <w:t>（2）冷却水循环系统一套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1. 循环方式：密闭式循环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2. 温度设定范围：-20~30℃(无加热器)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3. 温度调节精度：±2℃（-20℃~0设定）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±1℃（0~30℃设定）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4. 冷却能力W（kcal/h）：450（387）at液温10℃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310（266）at液温-10℃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5. 外部循环能力：最大流量：9L/min</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6. 最大扬程：4.2m</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7. 安全功能：漏电・电流过载保护、冷冻机过载保护器、自身诊断机能（冷冻机过载运转、停电报警、传感器异常）、循环泵热保护装置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8. 冷冻机・冷媒：空冷式输出450W・R404A</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9. 冷却盘管材质：铜镀镍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10. 水槽容量：3.2L</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b w:val="0"/>
          <w:bCs w:val="0"/>
          <w:color w:val="auto"/>
          <w:sz w:val="24"/>
          <w:lang w:val="en-US" w:eastAsia="zh-CN"/>
        </w:rPr>
      </w:pPr>
      <w:r>
        <w:rPr>
          <w:rFonts w:hint="eastAsia" w:ascii="宋体" w:hAnsi="宋体" w:eastAsia="宋体"/>
          <w:b/>
          <w:bCs/>
          <w:color w:val="auto"/>
          <w:sz w:val="24"/>
          <w:lang w:val="en-US" w:eastAsia="zh-CN"/>
        </w:rPr>
        <w:t>（3）隔</w:t>
      </w:r>
      <w:r>
        <w:rPr>
          <w:rFonts w:hint="eastAsia" w:ascii="宋体" w:hAnsi="宋体"/>
          <w:b/>
          <w:bCs/>
          <w:color w:val="auto"/>
          <w:sz w:val="24"/>
          <w:lang w:val="en-US" w:eastAsia="zh-CN"/>
        </w:rPr>
        <w:t>膜泵一台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1、排气速度：30L/min(高)，20L/min(低)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2、真空度：1000pa</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3、马达：输出90W</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4、安全功能：马达异常检知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5、减压模式：2段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6、接液部材质：特氟龙、PPS、Kalrez</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bCs/>
          <w:color w:val="auto"/>
          <w:sz w:val="24"/>
          <w:lang w:val="en-US" w:eastAsia="zh-CN"/>
        </w:rPr>
      </w:pPr>
      <w:r>
        <w:rPr>
          <w:rFonts w:hint="eastAsia" w:ascii="宋体" w:hAnsi="宋体"/>
          <w:b w:val="0"/>
          <w:bCs w:val="0"/>
          <w:color w:val="auto"/>
          <w:sz w:val="24"/>
          <w:lang w:val="en-US" w:eastAsia="zh-CN"/>
        </w:rPr>
        <w:t>7、标准配备气镇阀，可有效的保护隔膜泵，降低膜片的损耗</w:t>
      </w:r>
    </w:p>
    <w:p>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b/>
          <w:bCs/>
          <w:color w:val="auto"/>
          <w:sz w:val="24"/>
          <w:lang w:val="en-US" w:eastAsia="zh-CN"/>
        </w:rPr>
      </w:pPr>
      <w:r>
        <w:rPr>
          <w:rFonts w:hint="eastAsia" w:ascii="宋体" w:hAnsi="宋体"/>
          <w:b/>
          <w:bCs/>
          <w:color w:val="auto"/>
          <w:sz w:val="24"/>
          <w:lang w:val="en-US" w:eastAsia="zh-CN"/>
        </w:rPr>
        <w:t>（十二）基础电泳仪电源1台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1.电压：10-300V，最小可调1V</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2.电流：4-400mA，最小可调1mA</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3.功率：75W in maximum</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bCs/>
          <w:color w:val="auto"/>
          <w:sz w:val="24"/>
          <w:lang w:val="en-US" w:eastAsia="zh-CN"/>
        </w:rPr>
      </w:pPr>
      <w:r>
        <w:rPr>
          <w:rFonts w:hint="eastAsia" w:ascii="宋体" w:hAnsi="宋体"/>
          <w:b w:val="0"/>
          <w:bCs w:val="0"/>
          <w:color w:val="auto"/>
          <w:sz w:val="24"/>
          <w:lang w:val="en-US" w:eastAsia="zh-CN"/>
        </w:rPr>
        <w:t>4.输出：4对电源输出，可同时运行4个电泳槽，恒压或者恒流方式，可编程</w:t>
      </w:r>
    </w:p>
    <w:p>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b/>
          <w:bCs/>
          <w:color w:val="auto"/>
          <w:sz w:val="24"/>
          <w:lang w:val="en-US" w:eastAsia="zh-CN"/>
        </w:rPr>
      </w:pPr>
      <w:r>
        <w:rPr>
          <w:rFonts w:hint="eastAsia" w:ascii="宋体" w:hAnsi="宋体"/>
          <w:b/>
          <w:bCs/>
          <w:color w:val="auto"/>
          <w:sz w:val="24"/>
          <w:lang w:val="en-US" w:eastAsia="zh-CN"/>
        </w:rPr>
        <w:t>（十三）蛋白垂直电泳槽、半干转印系统及电源一套，可采进口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宋体" w:hAnsi="宋体"/>
          <w:b w:val="0"/>
          <w:bCs w:val="0"/>
          <w:color w:val="auto"/>
          <w:sz w:val="24"/>
          <w:lang w:val="en-US" w:eastAsia="zh-CN"/>
        </w:rPr>
      </w:pPr>
      <w:r>
        <w:rPr>
          <w:rFonts w:hint="eastAsia" w:ascii="宋体" w:hAnsi="宋体"/>
          <w:b w:val="0"/>
          <w:bCs w:val="0"/>
          <w:color w:val="auto"/>
          <w:sz w:val="24"/>
          <w:lang w:val="en-US" w:eastAsia="zh-CN"/>
        </w:rPr>
        <w:t>1、蛋白垂直电泳槽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1.1同一槽内可同时进行4块SDS-PAGE凝胶的电泳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1.2.标准配置：电泳槽，玻璃板，灌胶系统，上样引导装置，电泳梳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1.3.参考胶面积： 8.3 x 7.3 cm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1.4.短玻璃板参考尺寸：10.1 x 7.3 cm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1.5.长玻璃板参考尺寸：10.1 x 8.2 cm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1.6.模块化：可换置转印（western blot）等模块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1.7.可以兼容双向电泳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1.8.可兼容8x 7 cm预制胶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宋体" w:hAnsi="宋体"/>
          <w:b w:val="0"/>
          <w:bCs w:val="0"/>
          <w:color w:val="auto"/>
          <w:sz w:val="24"/>
          <w:lang w:val="en-US" w:eastAsia="zh-CN"/>
        </w:rPr>
      </w:pPr>
      <w:r>
        <w:rPr>
          <w:rFonts w:hint="eastAsia" w:ascii="宋体" w:hAnsi="宋体"/>
          <w:b w:val="0"/>
          <w:bCs w:val="0"/>
          <w:color w:val="auto"/>
          <w:sz w:val="24"/>
          <w:lang w:val="en-US" w:eastAsia="zh-CN"/>
        </w:rPr>
        <w:t>2、半干转印系统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2.1 通量：1-2块中型/1-4块小型凝胶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2.2 便利性：预组装的印迹夹，无需附加试剂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2.3 电源：集成电源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2.4.电极设计：阳极镀铂，阴极不锈钢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2.5.最大凝胶尺寸(W x L)：15x 11 cm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2.6.转印速度：3-10分钟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宋体" w:hAnsi="宋体"/>
          <w:b w:val="0"/>
          <w:bCs w:val="0"/>
          <w:color w:val="auto"/>
          <w:sz w:val="24"/>
          <w:lang w:val="en-US" w:eastAsia="zh-CN"/>
        </w:rPr>
      </w:pPr>
      <w:r>
        <w:rPr>
          <w:rFonts w:hint="eastAsia" w:ascii="宋体" w:hAnsi="宋体"/>
          <w:b w:val="0"/>
          <w:bCs w:val="0"/>
          <w:color w:val="auto"/>
          <w:sz w:val="24"/>
          <w:lang w:val="en-US" w:eastAsia="zh-CN"/>
        </w:rPr>
        <w:t>3、电泳仪电源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3.1.电压:10-300V ,最小可调1V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3.2.电流:4-400mA ,最小可调1mA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3.3.功率:75W （最大）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3.4.输出:4对电源输出,可同时运行4个电泳槽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3.5.输出方式:恒压或者恒流方式,可编程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3.6.定时:1-999min,完全可调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3.7.暂停功能:有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宋体" w:hAnsi="宋体"/>
          <w:b/>
          <w:bCs/>
          <w:color w:val="FF0000"/>
          <w:sz w:val="24"/>
          <w:lang w:val="en-US" w:eastAsia="zh-CN"/>
        </w:rPr>
      </w:pPr>
      <w:r>
        <w:rPr>
          <w:rFonts w:hint="eastAsia" w:ascii="宋体" w:hAnsi="宋体"/>
          <w:b w:val="0"/>
          <w:bCs w:val="0"/>
          <w:color w:val="auto"/>
          <w:sz w:val="24"/>
          <w:lang w:val="en-US" w:eastAsia="zh-CN"/>
        </w:rPr>
        <w:t>3.8.安全性能:经空载检测,突变负载检测,超载/短路保护,输入线保护,断电保护测试</w:t>
      </w:r>
    </w:p>
    <w:p>
      <w:pPr>
        <w:keepNext w:val="0"/>
        <w:keepLines w:val="0"/>
        <w:pageBreakBefore w:val="0"/>
        <w:numPr>
          <w:ilvl w:val="0"/>
          <w:numId w:val="13"/>
        </w:numPr>
        <w:kinsoku/>
        <w:wordWrap/>
        <w:overflowPunct/>
        <w:topLinePunct w:val="0"/>
        <w:autoSpaceDE/>
        <w:autoSpaceDN/>
        <w:bidi w:val="0"/>
        <w:spacing w:line="360" w:lineRule="auto"/>
        <w:ind w:left="0" w:leftChars="0" w:firstLine="0" w:firstLineChars="0"/>
        <w:textAlignment w:val="auto"/>
        <w:rPr>
          <w:rFonts w:hint="eastAsia" w:ascii="宋体" w:hAnsi="宋体"/>
          <w:b/>
          <w:bCs/>
          <w:color w:val="auto"/>
          <w:sz w:val="24"/>
          <w:lang w:val="en-US" w:eastAsia="zh-CN"/>
        </w:rPr>
      </w:pPr>
      <w:r>
        <w:rPr>
          <w:rFonts w:hint="eastAsia" w:ascii="宋体" w:hAnsi="宋体"/>
          <w:b/>
          <w:bCs/>
          <w:color w:val="auto"/>
          <w:sz w:val="24"/>
          <w:lang w:val="en-US" w:eastAsia="zh-CN"/>
        </w:rPr>
        <w:t>霉菌培养箱一套</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电源电压 220V.50Hz</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控温范围 5~50℃</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温度波动 ±0.5℃</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消耗功率 700W</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bCs/>
          <w:color w:val="auto"/>
          <w:sz w:val="24"/>
          <w:lang w:val="en-US" w:eastAsia="zh-CN"/>
        </w:rPr>
      </w:pPr>
      <w:r>
        <w:rPr>
          <w:rFonts w:hint="eastAsia" w:ascii="宋体" w:hAnsi="宋体"/>
          <w:b w:val="0"/>
          <w:bCs w:val="0"/>
          <w:color w:val="auto"/>
          <w:sz w:val="24"/>
          <w:lang w:val="en-US" w:eastAsia="zh-CN"/>
        </w:rPr>
        <w:t>工作室尺寸 500 × 450 × 650mm</w:t>
      </w:r>
    </w:p>
    <w:p>
      <w:pPr>
        <w:keepNext w:val="0"/>
        <w:keepLines w:val="0"/>
        <w:pageBreakBefore w:val="0"/>
        <w:numPr>
          <w:ilvl w:val="0"/>
          <w:numId w:val="13"/>
        </w:numPr>
        <w:kinsoku/>
        <w:wordWrap/>
        <w:overflowPunct/>
        <w:topLinePunct w:val="0"/>
        <w:autoSpaceDE/>
        <w:autoSpaceDN/>
        <w:bidi w:val="0"/>
        <w:spacing w:line="360" w:lineRule="auto"/>
        <w:ind w:left="0" w:leftChars="0" w:firstLine="0" w:firstLineChars="0"/>
        <w:textAlignment w:val="auto"/>
        <w:rPr>
          <w:rFonts w:hint="eastAsia" w:ascii="宋体" w:hAnsi="宋体"/>
          <w:b/>
          <w:bCs/>
          <w:color w:val="auto"/>
          <w:sz w:val="24"/>
          <w:lang w:val="en-US" w:eastAsia="zh-CN"/>
        </w:rPr>
      </w:pPr>
      <w:r>
        <w:rPr>
          <w:rFonts w:hint="eastAsia" w:ascii="宋体" w:hAnsi="宋体"/>
          <w:b/>
          <w:bCs/>
          <w:color w:val="auto"/>
          <w:sz w:val="24"/>
          <w:lang w:val="en-US" w:eastAsia="zh-CN"/>
        </w:rPr>
        <w:t xml:space="preserve">隔水式恒温培养箱一台   </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工作室尺寸:350*350*410mm</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控温范围:室温+5-65℃</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温度波动:</w:t>
      </w:r>
      <w:r>
        <w:rPr>
          <w:rFonts w:hint="eastAsia" w:ascii="宋体" w:hAnsi="宋体"/>
          <w:sz w:val="24"/>
          <w:lang w:val="en-US" w:eastAsia="zh-CN"/>
        </w:rPr>
        <w:t>≤</w:t>
      </w:r>
      <w:r>
        <w:rPr>
          <w:rFonts w:hint="eastAsia" w:ascii="宋体" w:hAnsi="宋体"/>
          <w:b w:val="0"/>
          <w:bCs w:val="0"/>
          <w:color w:val="auto"/>
          <w:sz w:val="24"/>
          <w:lang w:val="en-US" w:eastAsia="zh-CN"/>
        </w:rPr>
        <w:t>±0.5℃</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电源电压:220V-50HZ</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功率:200W以上</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工作室材质:镜面不锈钢内胆</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门数:双门</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双门模式:内门为全钢化玻璃门</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参考容量：50L左右</w:t>
      </w:r>
    </w:p>
    <w:p>
      <w:pPr>
        <w:keepNext w:val="0"/>
        <w:keepLines w:val="0"/>
        <w:pageBreakBefore w:val="0"/>
        <w:numPr>
          <w:ilvl w:val="0"/>
          <w:numId w:val="13"/>
        </w:numPr>
        <w:kinsoku/>
        <w:wordWrap/>
        <w:overflowPunct/>
        <w:topLinePunct w:val="0"/>
        <w:autoSpaceDE/>
        <w:autoSpaceDN/>
        <w:bidi w:val="0"/>
        <w:spacing w:line="360" w:lineRule="auto"/>
        <w:ind w:left="0" w:leftChars="0" w:firstLine="0" w:firstLineChars="0"/>
        <w:textAlignment w:val="auto"/>
        <w:rPr>
          <w:rFonts w:hint="eastAsia" w:ascii="宋体" w:hAnsi="宋体"/>
          <w:b/>
          <w:bCs/>
          <w:color w:val="auto"/>
          <w:sz w:val="24"/>
          <w:lang w:val="en-US" w:eastAsia="zh-CN"/>
        </w:rPr>
      </w:pPr>
      <w:r>
        <w:rPr>
          <w:rFonts w:hint="eastAsia" w:ascii="宋体" w:hAnsi="宋体"/>
          <w:b/>
          <w:bCs/>
          <w:color w:val="auto"/>
          <w:sz w:val="24"/>
          <w:lang w:val="en-US" w:eastAsia="zh-CN"/>
        </w:rPr>
        <w:t>显微镜CCD摄像头两套</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图像设备</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1/2.5”彩色500万CMOS</w:t>
      </w:r>
      <w:r>
        <w:rPr>
          <w:rFonts w:hint="eastAsia" w:ascii="宋体" w:hAnsi="宋体"/>
          <w:b w:val="0"/>
          <w:bCs w:val="0"/>
          <w:color w:val="auto"/>
          <w:sz w:val="24"/>
          <w:lang w:val="en-US" w:eastAsia="zh-CN"/>
        </w:rPr>
        <w:tab/>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灵敏度</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1.4V/lux-sec(550nm)</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分辨率</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2,592x1,944有效像素，色深12bit</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光谱响应</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400nm～1000nm</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像素点尺寸</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2.2μmx2.2μm</w:t>
      </w:r>
      <w:r>
        <w:rPr>
          <w:rFonts w:hint="eastAsia" w:ascii="宋体" w:hAnsi="宋体"/>
          <w:b w:val="0"/>
          <w:bCs w:val="0"/>
          <w:color w:val="auto"/>
          <w:sz w:val="24"/>
          <w:lang w:val="en-US" w:eastAsia="zh-CN"/>
        </w:rPr>
        <w:tab/>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数据接口</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USB2.0(480Mbit/sec)</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帧率</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5fps@2592x1944 12fps@1280x960</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20fps@640x480 17fps@1024x768</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电源</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DC 5V ± 5%，电流</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≈100 mA</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快门</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电子快门</w:t>
      </w:r>
      <w:r>
        <w:rPr>
          <w:rFonts w:hint="eastAsia" w:ascii="宋体" w:hAnsi="宋体"/>
          <w:b w:val="0"/>
          <w:bCs w:val="0"/>
          <w:color w:val="auto"/>
          <w:sz w:val="24"/>
          <w:lang w:val="en-US" w:eastAsia="zh-CN"/>
        </w:rPr>
        <w:tab/>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白平衡</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自动/手动 一键白平衡</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信噪比</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44dB</w:t>
      </w:r>
      <w:r>
        <w:rPr>
          <w:rFonts w:hint="eastAsia" w:ascii="宋体" w:hAnsi="宋体"/>
          <w:b w:val="0"/>
          <w:bCs w:val="0"/>
          <w:color w:val="auto"/>
          <w:sz w:val="24"/>
          <w:lang w:val="en-US" w:eastAsia="zh-CN"/>
        </w:rPr>
        <w:tab/>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自动曝光控制</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10μs–32s,自动曝光</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扫描方式</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逐行</w:t>
      </w:r>
      <w:r>
        <w:rPr>
          <w:rFonts w:hint="eastAsia" w:ascii="宋体" w:hAnsi="宋体"/>
          <w:b w:val="0"/>
          <w:bCs w:val="0"/>
          <w:color w:val="auto"/>
          <w:sz w:val="24"/>
          <w:lang w:val="en-US" w:eastAsia="zh-CN"/>
        </w:rPr>
        <w:tab/>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软件功能</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图像显示、图像拍摄、录像</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工作温度</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-30°C~70°C</w:t>
      </w:r>
      <w:r>
        <w:rPr>
          <w:rFonts w:hint="eastAsia" w:ascii="宋体" w:hAnsi="宋体"/>
          <w:b w:val="0"/>
          <w:bCs w:val="0"/>
          <w:color w:val="auto"/>
          <w:sz w:val="24"/>
          <w:lang w:val="en-US" w:eastAsia="zh-CN"/>
        </w:rPr>
        <w:tab/>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425" w:leftChars="0" w:hanging="425" w:firstLineChars="0"/>
        <w:jc w:val="both"/>
        <w:textAlignment w:val="auto"/>
        <w:rPr>
          <w:rFonts w:hint="eastAsia" w:ascii="宋体" w:hAnsi="宋体"/>
          <w:b/>
          <w:bCs/>
          <w:color w:val="auto"/>
          <w:sz w:val="24"/>
          <w:lang w:val="en-US" w:eastAsia="zh-CN"/>
        </w:rPr>
      </w:pPr>
      <w:r>
        <w:rPr>
          <w:rFonts w:hint="eastAsia" w:ascii="宋体" w:hAnsi="宋体"/>
          <w:b w:val="0"/>
          <w:bCs w:val="0"/>
          <w:color w:val="auto"/>
          <w:sz w:val="24"/>
          <w:lang w:val="en-US" w:eastAsia="zh-CN"/>
        </w:rPr>
        <w:t>应用场合</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显微成像、普通图像采集、微距成像等</w:t>
      </w:r>
    </w:p>
    <w:p>
      <w:pPr>
        <w:keepNext w:val="0"/>
        <w:keepLines w:val="0"/>
        <w:pageBreakBefore w:val="0"/>
        <w:numPr>
          <w:ilvl w:val="0"/>
          <w:numId w:val="13"/>
        </w:numPr>
        <w:kinsoku/>
        <w:wordWrap/>
        <w:overflowPunct/>
        <w:topLinePunct w:val="0"/>
        <w:autoSpaceDE/>
        <w:autoSpaceDN/>
        <w:bidi w:val="0"/>
        <w:spacing w:line="360" w:lineRule="auto"/>
        <w:ind w:left="0" w:leftChars="0" w:firstLine="0" w:firstLineChars="0"/>
        <w:textAlignment w:val="auto"/>
        <w:rPr>
          <w:rFonts w:hint="eastAsia" w:ascii="宋体" w:hAnsi="宋体"/>
          <w:sz w:val="24"/>
        </w:rPr>
      </w:pPr>
      <w:r>
        <w:rPr>
          <w:rFonts w:hint="eastAsia" w:ascii="宋体" w:hAnsi="宋体"/>
          <w:b/>
          <w:bCs/>
          <w:color w:val="auto"/>
          <w:sz w:val="24"/>
          <w:lang w:val="en-US" w:eastAsia="zh-CN"/>
        </w:rPr>
        <w:t>干式恒温器4套</w:t>
      </w:r>
    </w:p>
    <w:p>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控温范围：室温+5℃～100℃</w:t>
      </w:r>
    </w:p>
    <w:p>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升温时间：≤15分钟（从20℃升至100℃）</w:t>
      </w:r>
    </w:p>
    <w:p>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控温精度：≤±0.5℃</w:t>
      </w:r>
    </w:p>
    <w:p>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显示精度：±0.5℃</w:t>
      </w:r>
    </w:p>
    <w:p>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sz w:val="24"/>
        </w:rPr>
      </w:pPr>
      <w:r>
        <w:rPr>
          <w:rFonts w:hint="eastAsia" w:ascii="宋体" w:hAnsi="宋体"/>
          <w:sz w:val="24"/>
        </w:rPr>
        <w:t>21*16mm试管</w:t>
      </w:r>
    </w:p>
    <w:p>
      <w:pPr>
        <w:keepNext w:val="0"/>
        <w:keepLines w:val="0"/>
        <w:pageBreakBefore w:val="0"/>
        <w:numPr>
          <w:ilvl w:val="0"/>
          <w:numId w:val="13"/>
        </w:numPr>
        <w:kinsoku/>
        <w:wordWrap/>
        <w:overflowPunct/>
        <w:topLinePunct w:val="0"/>
        <w:autoSpaceDE/>
        <w:autoSpaceDN/>
        <w:bidi w:val="0"/>
        <w:spacing w:line="360" w:lineRule="auto"/>
        <w:ind w:left="0" w:leftChars="0" w:firstLine="0" w:firstLineChars="0"/>
        <w:textAlignment w:val="auto"/>
        <w:rPr>
          <w:rFonts w:hint="eastAsia" w:ascii="宋体" w:hAnsi="宋体" w:eastAsia="宋体"/>
          <w:b/>
          <w:bCs/>
          <w:color w:val="auto"/>
          <w:sz w:val="24"/>
          <w:lang w:val="en-US" w:eastAsia="zh-CN"/>
        </w:rPr>
      </w:pPr>
      <w:r>
        <w:rPr>
          <w:rFonts w:hint="eastAsia" w:ascii="宋体" w:hAnsi="宋体" w:eastAsia="宋体"/>
          <w:b/>
          <w:bCs/>
          <w:color w:val="auto"/>
          <w:sz w:val="24"/>
          <w:lang w:val="en-US" w:eastAsia="zh-CN"/>
        </w:rPr>
        <w:t>电子天平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sz w:val="24"/>
          <w:lang w:eastAsia="zh-CN"/>
        </w:rPr>
      </w:pPr>
      <w:r>
        <w:rPr>
          <w:rFonts w:hint="eastAsia" w:ascii="宋体" w:hAnsi="宋体"/>
          <w:sz w:val="24"/>
          <w:lang w:val="en-US" w:eastAsia="zh-CN"/>
        </w:rPr>
        <w:t>1、量程</w:t>
      </w:r>
      <w:r>
        <w:rPr>
          <w:rFonts w:hint="eastAsia" w:ascii="宋体" w:hAnsi="宋体"/>
          <w:sz w:val="24"/>
          <w:lang w:eastAsia="zh-CN"/>
        </w:rPr>
        <w:t>1-25000mg，</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sz w:val="24"/>
          <w:lang w:eastAsia="zh-CN"/>
        </w:rPr>
      </w:pPr>
      <w:r>
        <w:rPr>
          <w:rFonts w:hint="eastAsia" w:ascii="宋体" w:hAnsi="宋体"/>
          <w:sz w:val="24"/>
          <w:lang w:val="en-US" w:eastAsia="zh-CN"/>
        </w:rPr>
        <w:t>2、</w:t>
      </w:r>
      <w:r>
        <w:rPr>
          <w:rFonts w:hint="eastAsia" w:ascii="宋体" w:hAnsi="宋体"/>
          <w:sz w:val="24"/>
          <w:lang w:eastAsia="zh-CN"/>
        </w:rPr>
        <w:t>精度1mg</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rPr>
      </w:pP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4"/>
          <w:szCs w:val="24"/>
          <w:lang w:val="en-US" w:eastAsia="zh-CN" w:bidi="ar"/>
        </w:rPr>
      </w:pPr>
    </w:p>
    <w:p>
      <w:pPr>
        <w:spacing w:line="360" w:lineRule="auto"/>
        <w:ind w:left="105"/>
        <w:jc w:val="both"/>
        <w:rPr>
          <w:rFonts w:ascii="宋体"/>
          <w:sz w:val="28"/>
          <w:szCs w:val="28"/>
          <w:highlight w:val="none"/>
        </w:rPr>
      </w:pPr>
      <w:r>
        <w:rPr>
          <w:rFonts w:hint="eastAsia" w:ascii="宋体" w:hAnsi="宋体"/>
          <w:b/>
          <w:sz w:val="36"/>
          <w:highlight w:val="none"/>
        </w:rPr>
        <w:br w:type="page"/>
      </w:r>
      <w:r>
        <w:rPr>
          <w:rFonts w:hint="eastAsia" w:ascii="宋体" w:hAnsi="宋体"/>
          <w:b/>
          <w:sz w:val="36"/>
          <w:highlight w:val="none"/>
          <w:lang w:val="en-US" w:eastAsia="zh-CN"/>
        </w:rPr>
        <w:t xml:space="preserve">            </w:t>
      </w:r>
      <w:r>
        <w:rPr>
          <w:rFonts w:hint="eastAsia" w:ascii="宋体" w:hAnsi="宋体"/>
          <w:b/>
          <w:sz w:val="36"/>
          <w:highlight w:val="none"/>
        </w:rPr>
        <w:t>第四部分合同条款及格式</w:t>
      </w:r>
      <w:bookmarkEnd w:id="128"/>
    </w:p>
    <w:p>
      <w:pPr>
        <w:pStyle w:val="20"/>
        <w:tabs>
          <w:tab w:val="left" w:pos="0"/>
        </w:tabs>
        <w:spacing w:line="480" w:lineRule="exact"/>
        <w:ind w:left="0" w:leftChars="0" w:firstLine="0" w:firstLineChars="0"/>
        <w:jc w:val="center"/>
        <w:rPr>
          <w:rFonts w:ascii="宋体"/>
          <w:sz w:val="28"/>
          <w:szCs w:val="28"/>
          <w:highlight w:val="none"/>
        </w:rPr>
      </w:pPr>
      <w:r>
        <w:rPr>
          <w:rFonts w:hint="eastAsia" w:ascii="宋体" w:hAnsi="宋体"/>
          <w:sz w:val="28"/>
          <w:szCs w:val="28"/>
          <w:highlight w:val="none"/>
        </w:rPr>
        <w:t>第一节：合同条款</w:t>
      </w:r>
    </w:p>
    <w:p>
      <w:pPr>
        <w:pStyle w:val="19"/>
        <w:spacing w:line="480" w:lineRule="exact"/>
        <w:rPr>
          <w:rFonts w:ascii="宋体"/>
          <w:bCs/>
          <w:highlight w:val="none"/>
        </w:rPr>
      </w:pPr>
      <w:r>
        <w:rPr>
          <w:rFonts w:ascii="宋体" w:hAnsi="宋体"/>
          <w:bCs/>
          <w:highlight w:val="none"/>
        </w:rPr>
        <w:t>1</w:t>
      </w:r>
      <w:r>
        <w:rPr>
          <w:rFonts w:hint="eastAsia" w:ascii="宋体" w:hAnsi="宋体"/>
          <w:bCs/>
          <w:highlight w:val="none"/>
        </w:rPr>
        <w:t>、定义</w:t>
      </w:r>
    </w:p>
    <w:p>
      <w:pPr>
        <w:pStyle w:val="19"/>
        <w:spacing w:line="480" w:lineRule="exact"/>
        <w:ind w:left="1"/>
        <w:rPr>
          <w:rFonts w:ascii="宋体"/>
          <w:bCs/>
          <w:highlight w:val="none"/>
        </w:rPr>
      </w:pPr>
      <w:r>
        <w:rPr>
          <w:rFonts w:ascii="宋体" w:hAnsi="宋体"/>
          <w:bCs/>
          <w:highlight w:val="none"/>
        </w:rPr>
        <w:t xml:space="preserve">1.1 </w:t>
      </w:r>
      <w:r>
        <w:rPr>
          <w:rFonts w:hint="eastAsia" w:ascii="宋体" w:hAnsi="宋体"/>
          <w:bCs/>
          <w:highlight w:val="none"/>
        </w:rPr>
        <w:t>“合同”系指甲乙双方签署的、合同格式中载明的甲乙双方所达成的，包括所有的附件和构成合同的其它文件。</w:t>
      </w:r>
    </w:p>
    <w:p>
      <w:pPr>
        <w:pStyle w:val="19"/>
        <w:spacing w:line="480" w:lineRule="exact"/>
        <w:ind w:left="1"/>
        <w:rPr>
          <w:rFonts w:ascii="宋体"/>
          <w:bCs/>
          <w:highlight w:val="none"/>
        </w:rPr>
      </w:pPr>
      <w:r>
        <w:rPr>
          <w:rFonts w:ascii="宋体" w:hAnsi="宋体"/>
          <w:bCs/>
          <w:highlight w:val="none"/>
        </w:rPr>
        <w:t xml:space="preserve">1.2 </w:t>
      </w:r>
      <w:r>
        <w:rPr>
          <w:rFonts w:hint="eastAsia" w:ascii="宋体" w:hAnsi="宋体"/>
          <w:bCs/>
          <w:highlight w:val="none"/>
        </w:rPr>
        <w:t>“货物”系指乙方根据合同约定须向甲方提供的一切设备、机械、仪表、备件、工具、手册和其它技术资料及材料。</w:t>
      </w:r>
    </w:p>
    <w:p>
      <w:pPr>
        <w:pStyle w:val="19"/>
        <w:spacing w:line="480" w:lineRule="exact"/>
        <w:ind w:left="1"/>
        <w:rPr>
          <w:rFonts w:ascii="宋体"/>
          <w:bCs/>
          <w:highlight w:val="none"/>
        </w:rPr>
      </w:pPr>
      <w:r>
        <w:rPr>
          <w:rFonts w:ascii="宋体" w:hAnsi="宋体"/>
          <w:bCs/>
          <w:highlight w:val="none"/>
        </w:rPr>
        <w:t xml:space="preserve">1.3 </w:t>
      </w:r>
      <w:r>
        <w:rPr>
          <w:rFonts w:hint="eastAsia" w:ascii="宋体" w:hAnsi="宋体"/>
          <w:bCs/>
          <w:highlight w:val="none"/>
        </w:rPr>
        <w:t>“服务”系指根据合同约定乙方承担与供货有关的辅助服务，如运输、保险及安装、调试、提供技术协助、培训和其他类似的服务。</w:t>
      </w:r>
    </w:p>
    <w:p>
      <w:pPr>
        <w:pStyle w:val="19"/>
        <w:spacing w:line="480" w:lineRule="exact"/>
        <w:rPr>
          <w:rFonts w:ascii="宋体"/>
          <w:bCs/>
          <w:highlight w:val="none"/>
        </w:rPr>
      </w:pPr>
      <w:r>
        <w:rPr>
          <w:rFonts w:ascii="宋体" w:hAnsi="宋体"/>
          <w:bCs/>
          <w:highlight w:val="none"/>
        </w:rPr>
        <w:t xml:space="preserve">1.4 </w:t>
      </w:r>
      <w:r>
        <w:rPr>
          <w:rFonts w:hint="eastAsia" w:ascii="宋体" w:hAnsi="宋体"/>
          <w:bCs/>
          <w:highlight w:val="none"/>
        </w:rPr>
        <w:t>“甲方”系指与中标投标人签署合同的单位。</w:t>
      </w:r>
    </w:p>
    <w:p>
      <w:pPr>
        <w:pStyle w:val="19"/>
        <w:spacing w:line="480" w:lineRule="exact"/>
        <w:rPr>
          <w:rFonts w:ascii="宋体"/>
          <w:bCs/>
          <w:highlight w:val="none"/>
        </w:rPr>
      </w:pPr>
      <w:r>
        <w:rPr>
          <w:rFonts w:ascii="宋体" w:hAnsi="宋体"/>
          <w:bCs/>
          <w:highlight w:val="none"/>
        </w:rPr>
        <w:t xml:space="preserve">1.5 </w:t>
      </w:r>
      <w:r>
        <w:rPr>
          <w:rFonts w:hint="eastAsia" w:ascii="宋体" w:hAnsi="宋体"/>
          <w:bCs/>
          <w:highlight w:val="none"/>
        </w:rPr>
        <w:t>“乙方”系指根据合同约定提供货物和服务的中标投标人。</w:t>
      </w:r>
    </w:p>
    <w:p>
      <w:pPr>
        <w:pStyle w:val="19"/>
        <w:spacing w:line="480" w:lineRule="exact"/>
        <w:rPr>
          <w:rFonts w:ascii="宋体"/>
          <w:bCs/>
          <w:highlight w:val="none"/>
        </w:rPr>
      </w:pPr>
      <w:r>
        <w:rPr>
          <w:rFonts w:ascii="宋体" w:hAnsi="宋体"/>
          <w:bCs/>
          <w:highlight w:val="none"/>
        </w:rPr>
        <w:t xml:space="preserve">1.6 </w:t>
      </w:r>
      <w:r>
        <w:rPr>
          <w:rFonts w:hint="eastAsia" w:ascii="宋体" w:hAnsi="宋体"/>
          <w:bCs/>
          <w:highlight w:val="none"/>
        </w:rPr>
        <w:t>“现场”系指合同约定货物将要运至和安装的地点。</w:t>
      </w:r>
    </w:p>
    <w:p>
      <w:pPr>
        <w:pStyle w:val="19"/>
        <w:spacing w:line="480" w:lineRule="exact"/>
        <w:ind w:left="1"/>
        <w:rPr>
          <w:rFonts w:ascii="宋体"/>
          <w:bCs/>
          <w:highlight w:val="none"/>
        </w:rPr>
      </w:pPr>
      <w:r>
        <w:rPr>
          <w:rFonts w:ascii="宋体" w:hAnsi="宋体"/>
          <w:bCs/>
          <w:highlight w:val="none"/>
        </w:rPr>
        <w:t xml:space="preserve">1.7 </w:t>
      </w:r>
      <w:r>
        <w:rPr>
          <w:rFonts w:hint="eastAsia" w:ascii="宋体" w:hAnsi="宋体"/>
          <w:bCs/>
          <w:highlight w:val="none"/>
        </w:rPr>
        <w:t>“验收“系指合同双方依据强制性的国家技术质量规范和合同约定，确认合同项下的货物符合合同规定的活动。</w:t>
      </w:r>
    </w:p>
    <w:p>
      <w:pPr>
        <w:pStyle w:val="19"/>
        <w:spacing w:line="480" w:lineRule="exact"/>
        <w:rPr>
          <w:rFonts w:ascii="宋体"/>
          <w:bCs/>
          <w:highlight w:val="none"/>
        </w:rPr>
      </w:pPr>
      <w:r>
        <w:rPr>
          <w:rFonts w:ascii="宋体" w:hAnsi="宋体"/>
          <w:bCs/>
          <w:highlight w:val="none"/>
        </w:rPr>
        <w:t>2</w:t>
      </w:r>
      <w:r>
        <w:rPr>
          <w:rFonts w:hint="eastAsia" w:ascii="宋体" w:hAnsi="宋体"/>
          <w:bCs/>
          <w:highlight w:val="none"/>
        </w:rPr>
        <w:t>、技术规范</w:t>
      </w:r>
    </w:p>
    <w:p>
      <w:pPr>
        <w:pStyle w:val="19"/>
        <w:spacing w:line="480" w:lineRule="exact"/>
        <w:ind w:left="1"/>
        <w:rPr>
          <w:rFonts w:ascii="宋体"/>
          <w:bCs/>
          <w:highlight w:val="none"/>
        </w:rPr>
      </w:pPr>
      <w:r>
        <w:rPr>
          <w:rFonts w:ascii="宋体" w:hAnsi="宋体"/>
          <w:bCs/>
          <w:highlight w:val="none"/>
        </w:rPr>
        <w:t xml:space="preserve">2.1  </w:t>
      </w:r>
      <w:r>
        <w:rPr>
          <w:rFonts w:hint="eastAsia" w:ascii="宋体" w:hAnsi="宋体"/>
          <w:bCs/>
          <w:highlight w:val="none"/>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19"/>
        <w:spacing w:line="480" w:lineRule="exact"/>
        <w:rPr>
          <w:rFonts w:ascii="宋体"/>
          <w:bCs/>
          <w:highlight w:val="none"/>
        </w:rPr>
      </w:pPr>
      <w:r>
        <w:rPr>
          <w:rFonts w:ascii="宋体" w:hAnsi="宋体"/>
          <w:bCs/>
          <w:highlight w:val="none"/>
        </w:rPr>
        <w:t>3</w:t>
      </w:r>
      <w:r>
        <w:rPr>
          <w:rFonts w:hint="eastAsia" w:ascii="宋体" w:hAnsi="宋体"/>
          <w:bCs/>
          <w:highlight w:val="none"/>
        </w:rPr>
        <w:t>、知识产权</w:t>
      </w:r>
    </w:p>
    <w:p>
      <w:pPr>
        <w:pStyle w:val="19"/>
        <w:spacing w:line="480" w:lineRule="exact"/>
        <w:ind w:left="1"/>
        <w:rPr>
          <w:rFonts w:ascii="宋体"/>
          <w:bCs/>
          <w:highlight w:val="none"/>
        </w:rPr>
      </w:pPr>
      <w:r>
        <w:rPr>
          <w:rFonts w:ascii="宋体" w:hAnsi="宋体"/>
          <w:bCs/>
          <w:highlight w:val="none"/>
        </w:rPr>
        <w:t xml:space="preserve">3.1 </w:t>
      </w:r>
      <w:r>
        <w:rPr>
          <w:rFonts w:hint="eastAsia" w:ascii="宋体" w:hAnsi="宋体"/>
          <w:bCs/>
          <w:highlight w:val="none"/>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19"/>
        <w:spacing w:line="480" w:lineRule="exact"/>
        <w:rPr>
          <w:rFonts w:ascii="宋体"/>
          <w:bCs/>
          <w:highlight w:val="none"/>
        </w:rPr>
      </w:pPr>
      <w:r>
        <w:rPr>
          <w:rFonts w:ascii="宋体" w:hAnsi="宋体"/>
          <w:bCs/>
          <w:highlight w:val="none"/>
        </w:rPr>
        <w:t>4</w:t>
      </w:r>
      <w:r>
        <w:rPr>
          <w:rFonts w:hint="eastAsia" w:ascii="宋体" w:hAnsi="宋体"/>
          <w:bCs/>
          <w:highlight w:val="none"/>
        </w:rPr>
        <w:t>、付款</w:t>
      </w:r>
    </w:p>
    <w:p>
      <w:pPr>
        <w:pStyle w:val="19"/>
        <w:spacing w:line="480" w:lineRule="exact"/>
        <w:ind w:left="1"/>
        <w:rPr>
          <w:rFonts w:hint="eastAsia" w:ascii="宋体" w:hAnsi="宋体" w:cs="宋体"/>
          <w:color w:val="000000"/>
          <w:spacing w:val="7"/>
          <w:highlight w:val="none"/>
        </w:rPr>
      </w:pPr>
      <w:r>
        <w:rPr>
          <w:rFonts w:hint="eastAsia" w:ascii="宋体" w:hAnsi="宋体"/>
          <w:bCs/>
          <w:highlight w:val="none"/>
        </w:rPr>
        <w:t>付款方式：</w:t>
      </w:r>
      <w:r>
        <w:rPr>
          <w:rFonts w:hint="eastAsia" w:ascii="宋体" w:hAnsi="宋体" w:cs="宋体"/>
          <w:color w:val="000000"/>
          <w:spacing w:val="7"/>
          <w:highlight w:val="none"/>
        </w:rPr>
        <w:t>货物交付后，经双方验收合格签字且财务入账三个月内，支付合同总金额90%，余款作为质量保证金，自财务入账之日起满12个月后，无质量问题，付清总金额的10%。</w:t>
      </w:r>
    </w:p>
    <w:p>
      <w:pPr>
        <w:pStyle w:val="19"/>
        <w:spacing w:line="480" w:lineRule="exact"/>
        <w:ind w:left="1"/>
        <w:rPr>
          <w:rFonts w:ascii="宋体"/>
          <w:bCs/>
          <w:highlight w:val="none"/>
        </w:rPr>
      </w:pPr>
      <w:r>
        <w:rPr>
          <w:rFonts w:ascii="宋体" w:hAnsi="宋体"/>
          <w:bCs/>
          <w:highlight w:val="none"/>
        </w:rPr>
        <w:t>5</w:t>
      </w:r>
      <w:r>
        <w:rPr>
          <w:rFonts w:hint="eastAsia" w:ascii="宋体" w:hAnsi="宋体"/>
          <w:bCs/>
          <w:highlight w:val="none"/>
        </w:rPr>
        <w:t>、交货方式、安装时间、地点</w:t>
      </w:r>
    </w:p>
    <w:p>
      <w:pPr>
        <w:spacing w:line="480" w:lineRule="exact"/>
        <w:ind w:firstLine="360" w:firstLineChars="150"/>
        <w:rPr>
          <w:rFonts w:ascii="宋体"/>
          <w:bCs/>
          <w:sz w:val="24"/>
          <w:highlight w:val="none"/>
        </w:rPr>
      </w:pPr>
      <w:r>
        <w:rPr>
          <w:rFonts w:hint="eastAsia" w:ascii="宋体" w:hAnsi="宋体"/>
          <w:bCs/>
          <w:sz w:val="24"/>
          <w:highlight w:val="none"/>
        </w:rPr>
        <w:t>交货、安装时间按招标确定的合同条款。</w:t>
      </w:r>
    </w:p>
    <w:p>
      <w:pPr>
        <w:pStyle w:val="19"/>
        <w:spacing w:line="480" w:lineRule="exact"/>
        <w:rPr>
          <w:rFonts w:ascii="宋体"/>
          <w:bCs/>
          <w:highlight w:val="none"/>
        </w:rPr>
      </w:pPr>
      <w:r>
        <w:rPr>
          <w:rFonts w:ascii="宋体" w:hAnsi="宋体"/>
          <w:bCs/>
          <w:highlight w:val="none"/>
        </w:rPr>
        <w:t>6</w:t>
      </w:r>
      <w:r>
        <w:rPr>
          <w:rFonts w:hint="eastAsia" w:ascii="宋体" w:hAnsi="宋体"/>
          <w:bCs/>
          <w:highlight w:val="none"/>
        </w:rPr>
        <w:t>、质量</w:t>
      </w:r>
    </w:p>
    <w:p>
      <w:pPr>
        <w:pStyle w:val="19"/>
        <w:spacing w:line="480" w:lineRule="exact"/>
        <w:ind w:left="1"/>
        <w:rPr>
          <w:rFonts w:ascii="宋体"/>
          <w:bCs/>
          <w:highlight w:val="none"/>
        </w:rPr>
      </w:pPr>
      <w:r>
        <w:rPr>
          <w:rFonts w:ascii="宋体" w:hAnsi="宋体"/>
          <w:bCs/>
          <w:highlight w:val="none"/>
        </w:rPr>
        <w:t xml:space="preserve">6.1 </w:t>
      </w:r>
      <w:r>
        <w:rPr>
          <w:rFonts w:hint="eastAsia" w:ascii="宋体" w:hAnsi="宋体"/>
          <w:bCs/>
          <w:highlight w:val="none"/>
        </w:rPr>
        <w:t>乙方须保证货物是货物制造厂商原造的，全新、未使用过的，并完全符合强制性的国家技术质量规范和招标文件规定的质量、规格、性能和技术规范等要求。</w:t>
      </w:r>
    </w:p>
    <w:p>
      <w:pPr>
        <w:pStyle w:val="19"/>
        <w:spacing w:line="480" w:lineRule="exact"/>
        <w:ind w:left="763" w:hanging="763" w:hangingChars="318"/>
        <w:rPr>
          <w:rFonts w:ascii="宋体"/>
          <w:bCs/>
          <w:highlight w:val="none"/>
        </w:rPr>
      </w:pPr>
      <w:r>
        <w:rPr>
          <w:rFonts w:ascii="宋体" w:hAnsi="宋体"/>
          <w:bCs/>
          <w:highlight w:val="none"/>
        </w:rPr>
        <w:t>6.2</w:t>
      </w:r>
      <w:r>
        <w:rPr>
          <w:rFonts w:hint="eastAsia" w:ascii="宋体" w:hAnsi="宋体"/>
          <w:bCs/>
          <w:highlight w:val="none"/>
        </w:rPr>
        <w:t>乙方提供给甲方的货物应通过货物制造商的出厂检验，并提供质量合格证书。</w:t>
      </w:r>
    </w:p>
    <w:p>
      <w:pPr>
        <w:pStyle w:val="19"/>
        <w:spacing w:line="480" w:lineRule="exact"/>
        <w:ind w:left="1"/>
        <w:rPr>
          <w:rFonts w:ascii="宋体"/>
          <w:bCs/>
          <w:highlight w:val="none"/>
        </w:rPr>
      </w:pPr>
      <w:r>
        <w:rPr>
          <w:rFonts w:ascii="宋体" w:hAnsi="宋体"/>
          <w:bCs/>
          <w:highlight w:val="none"/>
        </w:rPr>
        <w:t xml:space="preserve">6.3 </w:t>
      </w:r>
      <w:r>
        <w:rPr>
          <w:rFonts w:hint="eastAsia" w:ascii="宋体" w:hAnsi="宋体"/>
          <w:bCs/>
          <w:highlight w:val="none"/>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19"/>
        <w:spacing w:line="480" w:lineRule="exact"/>
        <w:ind w:left="1"/>
        <w:rPr>
          <w:rFonts w:ascii="宋体"/>
          <w:bCs/>
          <w:highlight w:val="none"/>
        </w:rPr>
      </w:pPr>
      <w:r>
        <w:rPr>
          <w:rFonts w:ascii="宋体" w:hAnsi="宋体"/>
          <w:bCs/>
          <w:highlight w:val="none"/>
        </w:rPr>
        <w:t xml:space="preserve">6.4 </w:t>
      </w:r>
      <w:r>
        <w:rPr>
          <w:rFonts w:hint="eastAsia" w:ascii="宋体" w:hAnsi="宋体"/>
          <w:bCs/>
          <w:highlight w:val="none"/>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19"/>
        <w:spacing w:line="480" w:lineRule="exact"/>
        <w:ind w:left="1"/>
        <w:rPr>
          <w:rFonts w:ascii="宋体"/>
          <w:bCs/>
          <w:highlight w:val="none"/>
        </w:rPr>
      </w:pPr>
      <w:r>
        <w:rPr>
          <w:rFonts w:ascii="宋体" w:hAnsi="宋体"/>
          <w:bCs/>
          <w:highlight w:val="none"/>
        </w:rPr>
        <w:t xml:space="preserve">6.5 </w:t>
      </w:r>
      <w:r>
        <w:rPr>
          <w:rFonts w:hint="eastAsia" w:ascii="宋体" w:hAnsi="宋体"/>
          <w:bCs/>
          <w:highlight w:val="none"/>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19"/>
        <w:spacing w:line="480" w:lineRule="exact"/>
        <w:ind w:left="1"/>
        <w:rPr>
          <w:rFonts w:ascii="宋体"/>
          <w:bCs/>
          <w:highlight w:val="none"/>
        </w:rPr>
      </w:pPr>
      <w:r>
        <w:rPr>
          <w:rFonts w:ascii="宋体" w:hAnsi="宋体"/>
          <w:bCs/>
          <w:highlight w:val="none"/>
        </w:rPr>
        <w:t xml:space="preserve">6.6 </w:t>
      </w:r>
      <w:r>
        <w:rPr>
          <w:rFonts w:hint="eastAsia" w:ascii="宋体" w:hAnsi="宋体"/>
          <w:bCs/>
          <w:highlight w:val="none"/>
        </w:rPr>
        <w:t>如果乙方在收到通知后五日内没有弥补缺陷，甲方可采取必要的补救措施，但由此引发的风险和费用将由乙方承担。</w:t>
      </w:r>
    </w:p>
    <w:p>
      <w:pPr>
        <w:pStyle w:val="19"/>
        <w:spacing w:line="480" w:lineRule="exact"/>
        <w:ind w:left="1"/>
        <w:rPr>
          <w:rFonts w:ascii="宋体"/>
          <w:bCs/>
          <w:highlight w:val="none"/>
        </w:rPr>
      </w:pPr>
      <w:r>
        <w:rPr>
          <w:rFonts w:ascii="宋体" w:hAnsi="宋体"/>
          <w:bCs/>
          <w:highlight w:val="none"/>
        </w:rPr>
        <w:t xml:space="preserve">6.7 </w:t>
      </w:r>
      <w:r>
        <w:rPr>
          <w:rFonts w:hint="eastAsia" w:ascii="宋体" w:hAnsi="宋体"/>
          <w:bCs/>
          <w:highlight w:val="none"/>
        </w:rPr>
        <w:t>除“合同特殊条款”另有规定外，货物的质量保证期为自货物通过验收之日起</w:t>
      </w:r>
      <w:r>
        <w:rPr>
          <w:rFonts w:ascii="宋体" w:hAnsi="宋体"/>
          <w:bCs/>
          <w:highlight w:val="none"/>
        </w:rPr>
        <w:t>12</w:t>
      </w:r>
      <w:r>
        <w:rPr>
          <w:rFonts w:hint="eastAsia" w:ascii="宋体" w:hAnsi="宋体"/>
          <w:bCs/>
          <w:highlight w:val="none"/>
        </w:rPr>
        <w:t>个月。</w:t>
      </w:r>
    </w:p>
    <w:p>
      <w:pPr>
        <w:pStyle w:val="19"/>
        <w:spacing w:line="480" w:lineRule="exact"/>
        <w:ind w:left="1"/>
        <w:rPr>
          <w:rFonts w:ascii="宋体"/>
          <w:bCs/>
          <w:highlight w:val="none"/>
        </w:rPr>
      </w:pPr>
      <w:r>
        <w:rPr>
          <w:rFonts w:ascii="宋体" w:hAnsi="宋体"/>
          <w:bCs/>
          <w:highlight w:val="none"/>
        </w:rPr>
        <w:t xml:space="preserve">6.8 </w:t>
      </w:r>
      <w:r>
        <w:rPr>
          <w:rFonts w:hint="eastAsia" w:ascii="宋体" w:hAnsi="宋体"/>
          <w:bCs/>
          <w:highlight w:val="none"/>
        </w:rPr>
        <w:t>在合同货物质量保证期届满后，乙方保证继续为甲方提供货物的备品、备件及维修服务，且乙方保证在货物使用期内以不高于任何第三方的优惠价格提供上述服务。</w:t>
      </w:r>
    </w:p>
    <w:p>
      <w:pPr>
        <w:pStyle w:val="19"/>
        <w:spacing w:line="480" w:lineRule="exact"/>
        <w:rPr>
          <w:rFonts w:ascii="宋体"/>
          <w:bCs/>
          <w:highlight w:val="none"/>
        </w:rPr>
      </w:pPr>
      <w:r>
        <w:rPr>
          <w:rFonts w:ascii="宋体" w:hAnsi="宋体"/>
          <w:bCs/>
          <w:highlight w:val="none"/>
        </w:rPr>
        <w:t>7</w:t>
      </w:r>
      <w:r>
        <w:rPr>
          <w:rFonts w:hint="eastAsia" w:ascii="宋体" w:hAnsi="宋体"/>
          <w:bCs/>
          <w:highlight w:val="none"/>
        </w:rPr>
        <w:t>、包装和标记</w:t>
      </w:r>
    </w:p>
    <w:p>
      <w:pPr>
        <w:pStyle w:val="19"/>
        <w:spacing w:line="480" w:lineRule="exact"/>
        <w:ind w:left="1"/>
        <w:rPr>
          <w:rFonts w:ascii="宋体"/>
          <w:bCs/>
          <w:highlight w:val="none"/>
        </w:rPr>
      </w:pPr>
      <w:r>
        <w:rPr>
          <w:rFonts w:ascii="宋体" w:hAnsi="宋体"/>
          <w:bCs/>
          <w:highlight w:val="none"/>
        </w:rPr>
        <w:t xml:space="preserve">7.1 </w:t>
      </w:r>
      <w:r>
        <w:rPr>
          <w:rFonts w:hint="eastAsia" w:ascii="宋体" w:hAnsi="宋体"/>
          <w:bCs/>
          <w:highlight w:val="none"/>
        </w:rPr>
        <w:t>乙方交付的所有货物应具有适于运输的坚固包装，并且乙方应根据货物的不同特性和要求采取防潮、防雨、防锈、防震、防腐等保护措施，以确保货物安全无损地到达指定交货地点。</w:t>
      </w:r>
    </w:p>
    <w:p>
      <w:pPr>
        <w:pStyle w:val="19"/>
        <w:spacing w:line="480" w:lineRule="exact"/>
        <w:ind w:left="1"/>
        <w:rPr>
          <w:rFonts w:ascii="宋体"/>
          <w:bCs/>
          <w:highlight w:val="none"/>
        </w:rPr>
      </w:pPr>
      <w:r>
        <w:rPr>
          <w:rFonts w:ascii="宋体" w:hAnsi="宋体"/>
          <w:bCs/>
          <w:highlight w:val="none"/>
        </w:rPr>
        <w:t xml:space="preserve">7.2 </w:t>
      </w:r>
      <w:r>
        <w:rPr>
          <w:rFonts w:hint="eastAsia" w:ascii="宋体" w:hAnsi="宋体"/>
          <w:bCs/>
          <w:highlight w:val="none"/>
        </w:rPr>
        <w:t>乙方应在每件包装箱相对的二个侧面上，用不褪色的油漆印刷以下标记：</w:t>
      </w:r>
    </w:p>
    <w:p>
      <w:pPr>
        <w:pStyle w:val="19"/>
        <w:spacing w:line="480" w:lineRule="exact"/>
        <w:ind w:left="1"/>
        <w:rPr>
          <w:rFonts w:ascii="宋体"/>
          <w:bCs/>
          <w:highlight w:val="none"/>
        </w:rPr>
      </w:pPr>
      <w:r>
        <w:rPr>
          <w:rFonts w:ascii="宋体" w:hAnsi="宋体"/>
          <w:bCs/>
          <w:highlight w:val="none"/>
        </w:rPr>
        <w:t>(a)</w:t>
      </w:r>
      <w:r>
        <w:rPr>
          <w:rFonts w:hint="eastAsia" w:ascii="宋体" w:hAnsi="宋体"/>
          <w:bCs/>
          <w:highlight w:val="none"/>
        </w:rPr>
        <w:t>收货单位；</w:t>
      </w:r>
      <w:r>
        <w:rPr>
          <w:rFonts w:ascii="宋体" w:hAnsi="宋体"/>
          <w:bCs/>
          <w:highlight w:val="none"/>
        </w:rPr>
        <w:t>(b)</w:t>
      </w:r>
      <w:r>
        <w:rPr>
          <w:rFonts w:hint="eastAsia" w:ascii="宋体" w:hAnsi="宋体"/>
          <w:bCs/>
          <w:highlight w:val="none"/>
        </w:rPr>
        <w:t>货物名称；</w:t>
      </w:r>
      <w:r>
        <w:rPr>
          <w:rFonts w:ascii="宋体" w:hAnsi="宋体"/>
          <w:bCs/>
          <w:highlight w:val="none"/>
        </w:rPr>
        <w:t>(c)</w:t>
      </w:r>
      <w:r>
        <w:rPr>
          <w:rFonts w:hint="eastAsia" w:ascii="宋体" w:hAnsi="宋体"/>
          <w:bCs/>
          <w:highlight w:val="none"/>
        </w:rPr>
        <w:t>箱号</w:t>
      </w:r>
      <w:r>
        <w:rPr>
          <w:rFonts w:ascii="宋体" w:hAnsi="宋体"/>
          <w:bCs/>
          <w:highlight w:val="none"/>
        </w:rPr>
        <w:t>/</w:t>
      </w:r>
      <w:r>
        <w:rPr>
          <w:rFonts w:hint="eastAsia" w:ascii="宋体" w:hAnsi="宋体"/>
          <w:bCs/>
          <w:highlight w:val="none"/>
        </w:rPr>
        <w:t>件号；</w:t>
      </w:r>
      <w:r>
        <w:rPr>
          <w:rFonts w:ascii="宋体" w:hAnsi="宋体"/>
          <w:bCs/>
          <w:highlight w:val="none"/>
        </w:rPr>
        <w:t>(d)</w:t>
      </w:r>
      <w:r>
        <w:rPr>
          <w:rFonts w:hint="eastAsia" w:ascii="宋体" w:hAnsi="宋体"/>
          <w:bCs/>
          <w:highlight w:val="none"/>
        </w:rPr>
        <w:t>毛重</w:t>
      </w:r>
      <w:r>
        <w:rPr>
          <w:rFonts w:ascii="宋体" w:hAnsi="宋体"/>
          <w:bCs/>
          <w:highlight w:val="none"/>
        </w:rPr>
        <w:t>(</w:t>
      </w:r>
      <w:r>
        <w:rPr>
          <w:rFonts w:hint="eastAsia" w:ascii="宋体" w:hAnsi="宋体"/>
          <w:bCs/>
          <w:highlight w:val="none"/>
        </w:rPr>
        <w:t>千克</w:t>
      </w:r>
      <w:r>
        <w:rPr>
          <w:rFonts w:ascii="宋体" w:hAnsi="宋体"/>
          <w:bCs/>
          <w:highlight w:val="none"/>
        </w:rPr>
        <w:t>)</w:t>
      </w:r>
      <w:r>
        <w:rPr>
          <w:rFonts w:hint="eastAsia" w:ascii="宋体" w:hAnsi="宋体"/>
          <w:bCs/>
          <w:highlight w:val="none"/>
        </w:rPr>
        <w:t>；</w:t>
      </w:r>
      <w:r>
        <w:rPr>
          <w:rFonts w:ascii="宋体" w:hAnsi="宋体"/>
          <w:bCs/>
          <w:highlight w:val="none"/>
        </w:rPr>
        <w:t>(e)</w:t>
      </w:r>
      <w:r>
        <w:rPr>
          <w:rFonts w:hint="eastAsia" w:ascii="宋体" w:hAnsi="宋体"/>
          <w:bCs/>
          <w:highlight w:val="none"/>
        </w:rPr>
        <w:t>尺码</w:t>
      </w:r>
      <w:r>
        <w:rPr>
          <w:rFonts w:ascii="宋体" w:hAnsi="宋体"/>
          <w:bCs/>
          <w:highlight w:val="none"/>
        </w:rPr>
        <w:t>(</w:t>
      </w:r>
      <w:r>
        <w:rPr>
          <w:rFonts w:hint="eastAsia" w:ascii="宋体" w:hAnsi="宋体"/>
          <w:bCs/>
          <w:highlight w:val="none"/>
        </w:rPr>
        <w:t>长</w:t>
      </w:r>
      <w:r>
        <w:rPr>
          <w:rFonts w:ascii="宋体" w:hAnsi="宋体"/>
          <w:bCs/>
          <w:highlight w:val="none"/>
        </w:rPr>
        <w:t>*</w:t>
      </w:r>
      <w:r>
        <w:rPr>
          <w:rFonts w:hint="eastAsia" w:ascii="宋体" w:hAnsi="宋体"/>
          <w:bCs/>
          <w:highlight w:val="none"/>
        </w:rPr>
        <w:t>宽</w:t>
      </w:r>
      <w:r>
        <w:rPr>
          <w:rFonts w:ascii="宋体" w:hAnsi="宋体"/>
          <w:bCs/>
          <w:highlight w:val="none"/>
        </w:rPr>
        <w:t>*</w:t>
      </w:r>
      <w:r>
        <w:rPr>
          <w:rFonts w:hint="eastAsia" w:ascii="宋体" w:hAnsi="宋体"/>
          <w:bCs/>
          <w:highlight w:val="none"/>
        </w:rPr>
        <w:t>高</w:t>
      </w:r>
      <w:r>
        <w:rPr>
          <w:rFonts w:ascii="宋体" w:hAnsi="宋体"/>
          <w:bCs/>
          <w:highlight w:val="none"/>
        </w:rPr>
        <w:t>)</w:t>
      </w:r>
      <w:r>
        <w:rPr>
          <w:rFonts w:hint="eastAsia" w:ascii="宋体" w:hAnsi="宋体"/>
          <w:bCs/>
          <w:highlight w:val="none"/>
        </w:rPr>
        <w:t>；</w:t>
      </w:r>
      <w:r>
        <w:rPr>
          <w:rFonts w:ascii="宋体" w:hAnsi="宋体"/>
          <w:bCs/>
          <w:highlight w:val="none"/>
        </w:rPr>
        <w:t xml:space="preserve">(f) </w:t>
      </w:r>
      <w:r>
        <w:rPr>
          <w:rFonts w:hint="eastAsia" w:ascii="宋体" w:hAnsi="宋体"/>
          <w:bCs/>
          <w:highlight w:val="none"/>
        </w:rPr>
        <w:t>发货单位；</w:t>
      </w:r>
      <w:r>
        <w:rPr>
          <w:rFonts w:ascii="宋体" w:hAnsi="宋体"/>
          <w:bCs/>
          <w:highlight w:val="none"/>
        </w:rPr>
        <w:t>(g)</w:t>
      </w:r>
      <w:r>
        <w:rPr>
          <w:rFonts w:hint="eastAsia" w:ascii="宋体" w:hAnsi="宋体"/>
          <w:bCs/>
          <w:highlight w:val="none"/>
        </w:rPr>
        <w:t>发货单位详细地址。</w:t>
      </w:r>
    </w:p>
    <w:p>
      <w:pPr>
        <w:pStyle w:val="19"/>
        <w:spacing w:line="480" w:lineRule="exact"/>
        <w:ind w:left="1"/>
        <w:rPr>
          <w:rFonts w:ascii="宋体"/>
          <w:bCs/>
          <w:highlight w:val="none"/>
        </w:rPr>
      </w:pPr>
      <w:r>
        <w:rPr>
          <w:rFonts w:hint="eastAsia" w:ascii="宋体" w:hAnsi="宋体"/>
          <w:bCs/>
          <w:highlight w:val="none"/>
        </w:rPr>
        <w:t>乙方应根据货物的不同特性和装卸运输上的不同要求，在包装箱相对的二个侧面上印刷“勿倒置”、“小心轻放”、“防潮”等字样和装卸搬运时应注意的通用图案。</w:t>
      </w:r>
    </w:p>
    <w:p>
      <w:pPr>
        <w:pStyle w:val="19"/>
        <w:spacing w:line="480" w:lineRule="exact"/>
        <w:ind w:left="1"/>
        <w:rPr>
          <w:rFonts w:ascii="宋体"/>
          <w:bCs/>
          <w:highlight w:val="none"/>
        </w:rPr>
      </w:pPr>
      <w:r>
        <w:rPr>
          <w:rFonts w:ascii="宋体" w:hAnsi="宋体"/>
          <w:bCs/>
          <w:highlight w:val="none"/>
        </w:rPr>
        <w:t xml:space="preserve">7.3 </w:t>
      </w:r>
      <w:r>
        <w:rPr>
          <w:rFonts w:hint="eastAsia" w:ascii="宋体" w:hAnsi="宋体"/>
          <w:bCs/>
          <w:highlight w:val="none"/>
        </w:rPr>
        <w:t>每件包装箱内应附一份详细装箱单、质量合格证和产品使用说明书及其它全套的技术资料。</w:t>
      </w:r>
    </w:p>
    <w:p>
      <w:pPr>
        <w:pStyle w:val="19"/>
        <w:spacing w:line="480" w:lineRule="exact"/>
        <w:ind w:left="1"/>
        <w:rPr>
          <w:rFonts w:ascii="宋体"/>
          <w:bCs/>
          <w:highlight w:val="none"/>
        </w:rPr>
      </w:pPr>
      <w:r>
        <w:rPr>
          <w:rFonts w:ascii="宋体" w:hAnsi="宋体"/>
          <w:bCs/>
          <w:highlight w:val="none"/>
        </w:rPr>
        <w:t xml:space="preserve">7.4 </w:t>
      </w:r>
      <w:r>
        <w:rPr>
          <w:rFonts w:hint="eastAsia" w:ascii="宋体" w:hAnsi="宋体"/>
          <w:bCs/>
          <w:highlight w:val="none"/>
        </w:rPr>
        <w:t>凡因乙方对货物包装不善、标记不明、防护措施不当或在货物装箱前保管不良，或因乙方其它原因，致使货物遭到损坏或丢失，由乙方承担责任。</w:t>
      </w:r>
    </w:p>
    <w:p>
      <w:pPr>
        <w:pStyle w:val="19"/>
        <w:spacing w:line="480" w:lineRule="exact"/>
        <w:rPr>
          <w:rFonts w:ascii="宋体"/>
          <w:bCs/>
          <w:highlight w:val="none"/>
        </w:rPr>
      </w:pPr>
      <w:r>
        <w:rPr>
          <w:rFonts w:ascii="宋体" w:hAnsi="宋体"/>
          <w:bCs/>
          <w:highlight w:val="none"/>
        </w:rPr>
        <w:t>8</w:t>
      </w:r>
      <w:r>
        <w:rPr>
          <w:rFonts w:hint="eastAsia" w:ascii="宋体" w:hAnsi="宋体"/>
          <w:bCs/>
          <w:highlight w:val="none"/>
        </w:rPr>
        <w:t>、技术资料</w:t>
      </w:r>
    </w:p>
    <w:p>
      <w:pPr>
        <w:pStyle w:val="19"/>
        <w:tabs>
          <w:tab w:val="left" w:pos="764"/>
        </w:tabs>
        <w:spacing w:line="480" w:lineRule="exact"/>
        <w:ind w:left="720" w:hanging="720" w:hangingChars="300"/>
        <w:rPr>
          <w:rFonts w:ascii="宋体"/>
          <w:bCs/>
          <w:highlight w:val="none"/>
        </w:rPr>
      </w:pPr>
      <w:r>
        <w:rPr>
          <w:rFonts w:hint="eastAsia" w:ascii="宋体" w:hAnsi="宋体"/>
          <w:bCs/>
          <w:highlight w:val="none"/>
        </w:rPr>
        <w:t>合同项下技术资料</w:t>
      </w:r>
      <w:r>
        <w:rPr>
          <w:rFonts w:ascii="宋体" w:hAnsi="宋体"/>
          <w:bCs/>
          <w:highlight w:val="none"/>
        </w:rPr>
        <w:t>(</w:t>
      </w:r>
      <w:r>
        <w:rPr>
          <w:rFonts w:hint="eastAsia" w:ascii="宋体" w:hAnsi="宋体"/>
          <w:bCs/>
          <w:highlight w:val="none"/>
        </w:rPr>
        <w:t>除合同特殊条款规定外</w:t>
      </w:r>
      <w:r>
        <w:rPr>
          <w:rFonts w:ascii="宋体" w:hAnsi="宋体"/>
          <w:bCs/>
          <w:highlight w:val="none"/>
        </w:rPr>
        <w:t>)</w:t>
      </w:r>
      <w:r>
        <w:rPr>
          <w:rFonts w:hint="eastAsia" w:ascii="宋体" w:hAnsi="宋体"/>
          <w:bCs/>
          <w:highlight w:val="none"/>
        </w:rPr>
        <w:t>将以下列方式交付：</w:t>
      </w:r>
    </w:p>
    <w:p>
      <w:pPr>
        <w:pStyle w:val="19"/>
        <w:spacing w:line="480" w:lineRule="exact"/>
        <w:ind w:left="1"/>
        <w:rPr>
          <w:rFonts w:ascii="宋体"/>
          <w:bCs/>
          <w:highlight w:val="none"/>
        </w:rPr>
      </w:pPr>
      <w:r>
        <w:rPr>
          <w:rFonts w:ascii="宋体" w:hAnsi="宋体"/>
          <w:bCs/>
          <w:highlight w:val="none"/>
        </w:rPr>
        <w:t xml:space="preserve">8.1 </w:t>
      </w:r>
      <w:r>
        <w:rPr>
          <w:rFonts w:hint="eastAsia" w:ascii="宋体" w:hAnsi="宋体"/>
          <w:bCs/>
          <w:highlight w:val="none"/>
        </w:rPr>
        <w:t>合同生效后日之内，乙方应将每台设备和仪器的中文技术资料一套</w:t>
      </w:r>
      <w:r>
        <w:rPr>
          <w:rFonts w:ascii="宋体" w:hAnsi="宋体"/>
          <w:bCs/>
          <w:highlight w:val="none"/>
        </w:rPr>
        <w:t>(</w:t>
      </w:r>
      <w:r>
        <w:rPr>
          <w:rFonts w:hint="eastAsia" w:ascii="宋体" w:hAnsi="宋体"/>
          <w:bCs/>
          <w:highlight w:val="none"/>
        </w:rPr>
        <w:t>进口货物中英文各一套</w:t>
      </w:r>
      <w:r>
        <w:rPr>
          <w:rFonts w:ascii="宋体" w:hAnsi="宋体"/>
          <w:bCs/>
          <w:highlight w:val="none"/>
        </w:rPr>
        <w:t>)</w:t>
      </w:r>
      <w:r>
        <w:rPr>
          <w:rFonts w:hint="eastAsia" w:ascii="宋体" w:hAnsi="宋体"/>
          <w:bCs/>
          <w:highlight w:val="none"/>
        </w:rPr>
        <w:t>目录索引、图纸、操作手册、使用指南、维修指南和／或服务手册和示意图等交付甲方。</w:t>
      </w:r>
    </w:p>
    <w:p>
      <w:pPr>
        <w:pStyle w:val="19"/>
        <w:tabs>
          <w:tab w:val="left" w:pos="764"/>
        </w:tabs>
        <w:spacing w:line="480" w:lineRule="exact"/>
        <w:ind w:left="720" w:hanging="720" w:hangingChars="300"/>
        <w:rPr>
          <w:rFonts w:ascii="宋体"/>
          <w:bCs/>
          <w:highlight w:val="none"/>
        </w:rPr>
      </w:pPr>
      <w:r>
        <w:rPr>
          <w:rFonts w:ascii="宋体" w:hAnsi="宋体"/>
          <w:bCs/>
          <w:highlight w:val="none"/>
        </w:rPr>
        <w:t xml:space="preserve">8.2 </w:t>
      </w:r>
      <w:r>
        <w:rPr>
          <w:rFonts w:hint="eastAsia" w:ascii="宋体" w:hAnsi="宋体"/>
          <w:bCs/>
          <w:highlight w:val="none"/>
        </w:rPr>
        <w:t>另外一套完整的上述资料应包装好随同每批货物一起发运。</w:t>
      </w:r>
    </w:p>
    <w:p>
      <w:pPr>
        <w:pStyle w:val="19"/>
        <w:spacing w:line="480" w:lineRule="exact"/>
        <w:ind w:left="1"/>
        <w:rPr>
          <w:rFonts w:ascii="宋体"/>
          <w:bCs/>
          <w:highlight w:val="none"/>
        </w:rPr>
      </w:pPr>
      <w:r>
        <w:rPr>
          <w:rFonts w:ascii="宋体" w:hAnsi="宋体"/>
          <w:bCs/>
          <w:highlight w:val="none"/>
        </w:rPr>
        <w:t xml:space="preserve">8.3 </w:t>
      </w:r>
      <w:r>
        <w:rPr>
          <w:rFonts w:hint="eastAsia" w:ascii="宋体" w:hAnsi="宋体"/>
          <w:bCs/>
          <w:highlight w:val="none"/>
        </w:rPr>
        <w:t>如果甲方确认乙方提供的技术资料不完整或在运输过程中丢失，乙方将在收到甲方通知后</w:t>
      </w:r>
      <w:r>
        <w:rPr>
          <w:rFonts w:ascii="宋体" w:hAnsi="宋体"/>
          <w:bCs/>
          <w:highlight w:val="none"/>
        </w:rPr>
        <w:t>3</w:t>
      </w:r>
      <w:r>
        <w:rPr>
          <w:rFonts w:hint="eastAsia" w:ascii="宋体" w:hAnsi="宋体"/>
          <w:bCs/>
          <w:highlight w:val="none"/>
        </w:rPr>
        <w:t>日内将这些资料免费交付甲方。</w:t>
      </w:r>
    </w:p>
    <w:p>
      <w:pPr>
        <w:pStyle w:val="19"/>
        <w:spacing w:line="480" w:lineRule="exact"/>
        <w:rPr>
          <w:rFonts w:ascii="宋体"/>
          <w:bCs/>
          <w:highlight w:val="none"/>
        </w:rPr>
      </w:pPr>
      <w:r>
        <w:rPr>
          <w:rFonts w:ascii="宋体" w:hAnsi="宋体"/>
          <w:bCs/>
          <w:highlight w:val="none"/>
        </w:rPr>
        <w:t>9</w:t>
      </w:r>
      <w:r>
        <w:rPr>
          <w:rFonts w:hint="eastAsia" w:ascii="宋体" w:hAnsi="宋体"/>
          <w:bCs/>
          <w:highlight w:val="none"/>
        </w:rPr>
        <w:t>、风险负担</w:t>
      </w:r>
    </w:p>
    <w:p>
      <w:pPr>
        <w:pStyle w:val="19"/>
        <w:spacing w:line="480" w:lineRule="exact"/>
        <w:ind w:left="1"/>
        <w:rPr>
          <w:rFonts w:ascii="宋体"/>
          <w:bCs/>
          <w:highlight w:val="none"/>
        </w:rPr>
      </w:pPr>
      <w:r>
        <w:rPr>
          <w:rFonts w:ascii="宋体" w:hAnsi="宋体"/>
          <w:bCs/>
          <w:highlight w:val="none"/>
        </w:rPr>
        <w:t xml:space="preserve">9.1 </w:t>
      </w:r>
      <w:r>
        <w:rPr>
          <w:rFonts w:hint="eastAsia" w:ascii="宋体" w:hAnsi="宋体"/>
          <w:bCs/>
          <w:highlight w:val="none"/>
        </w:rPr>
        <w:t>货物毁损、灭失的风险在该货物通过甲乙双方联合验收交付前由乙方承担，通过联合验收交付后由甲方承担；因质量问题甲方拒收的，风险由乙方承担。</w:t>
      </w:r>
    </w:p>
    <w:p>
      <w:pPr>
        <w:pStyle w:val="19"/>
        <w:spacing w:line="480" w:lineRule="exact"/>
        <w:rPr>
          <w:rFonts w:ascii="宋体"/>
          <w:bCs/>
          <w:highlight w:val="none"/>
        </w:rPr>
      </w:pPr>
      <w:r>
        <w:rPr>
          <w:rFonts w:ascii="宋体" w:hAnsi="宋体"/>
          <w:bCs/>
          <w:highlight w:val="none"/>
        </w:rPr>
        <w:t>10</w:t>
      </w:r>
      <w:r>
        <w:rPr>
          <w:rFonts w:hint="eastAsia" w:ascii="宋体" w:hAnsi="宋体"/>
          <w:bCs/>
          <w:highlight w:val="none"/>
        </w:rPr>
        <w:t>、验收</w:t>
      </w:r>
    </w:p>
    <w:p>
      <w:pPr>
        <w:pStyle w:val="19"/>
        <w:spacing w:line="480" w:lineRule="exact"/>
        <w:ind w:left="1"/>
        <w:rPr>
          <w:rFonts w:ascii="宋体"/>
          <w:bCs/>
          <w:highlight w:val="none"/>
        </w:rPr>
      </w:pPr>
      <w:r>
        <w:rPr>
          <w:rFonts w:ascii="宋体" w:hAnsi="宋体"/>
          <w:bCs/>
          <w:highlight w:val="none"/>
        </w:rPr>
        <w:t xml:space="preserve">10.1 </w:t>
      </w:r>
      <w:r>
        <w:rPr>
          <w:rFonts w:hint="eastAsia" w:ascii="宋体" w:hAnsi="宋体"/>
          <w:bCs/>
          <w:highlight w:val="none"/>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19"/>
        <w:spacing w:line="480" w:lineRule="exact"/>
        <w:rPr>
          <w:rFonts w:ascii="宋体"/>
          <w:bCs/>
          <w:highlight w:val="none"/>
        </w:rPr>
      </w:pPr>
      <w:bookmarkStart w:id="129" w:name="_Toc487900361"/>
      <w:r>
        <w:rPr>
          <w:rFonts w:ascii="宋体" w:hAnsi="宋体"/>
          <w:bCs/>
          <w:highlight w:val="none"/>
        </w:rPr>
        <w:t>11</w:t>
      </w:r>
      <w:r>
        <w:rPr>
          <w:rFonts w:hint="eastAsia" w:ascii="宋体" w:hAnsi="宋体"/>
          <w:bCs/>
          <w:highlight w:val="none"/>
        </w:rPr>
        <w:t>、索赔</w:t>
      </w:r>
      <w:bookmarkEnd w:id="129"/>
    </w:p>
    <w:p>
      <w:pPr>
        <w:pStyle w:val="19"/>
        <w:spacing w:line="480" w:lineRule="exact"/>
        <w:ind w:left="1"/>
        <w:rPr>
          <w:rFonts w:ascii="宋体"/>
          <w:bCs/>
          <w:highlight w:val="none"/>
        </w:rPr>
      </w:pPr>
      <w:r>
        <w:rPr>
          <w:rFonts w:ascii="宋体" w:hAnsi="宋体"/>
          <w:bCs/>
          <w:highlight w:val="none"/>
        </w:rPr>
        <w:t xml:space="preserve">11.1 </w:t>
      </w:r>
      <w:r>
        <w:rPr>
          <w:rFonts w:hint="eastAsia" w:ascii="宋体" w:hAnsi="宋体"/>
          <w:bCs/>
          <w:highlight w:val="none"/>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19"/>
        <w:spacing w:line="480" w:lineRule="exact"/>
        <w:ind w:left="1"/>
        <w:rPr>
          <w:rFonts w:ascii="宋体"/>
          <w:bCs/>
          <w:highlight w:val="none"/>
        </w:rPr>
      </w:pPr>
      <w:bookmarkStart w:id="130" w:name="_Ref467378076"/>
      <w:r>
        <w:rPr>
          <w:rFonts w:ascii="宋体" w:hAnsi="宋体"/>
          <w:bCs/>
          <w:highlight w:val="none"/>
        </w:rPr>
        <w:t xml:space="preserve">11.2 </w:t>
      </w:r>
      <w:r>
        <w:rPr>
          <w:rFonts w:hint="eastAsia" w:ascii="宋体" w:hAnsi="宋体"/>
          <w:bCs/>
          <w:highlight w:val="none"/>
        </w:rPr>
        <w:t>如果乙方对甲方提出的索赔负有责任，乙方应按照甲方同意的下列一种或多种方式解决索赔事宜：</w:t>
      </w:r>
      <w:bookmarkEnd w:id="130"/>
    </w:p>
    <w:p>
      <w:pPr>
        <w:pStyle w:val="19"/>
        <w:spacing w:line="480" w:lineRule="exact"/>
        <w:ind w:left="1"/>
        <w:rPr>
          <w:rFonts w:ascii="宋体"/>
          <w:bCs/>
          <w:highlight w:val="none"/>
        </w:rPr>
      </w:pPr>
      <w:r>
        <w:rPr>
          <w:rFonts w:ascii="宋体" w:hAnsi="宋体"/>
          <w:bCs/>
          <w:highlight w:val="none"/>
        </w:rPr>
        <w:t xml:space="preserve">1) </w:t>
      </w:r>
      <w:r>
        <w:rPr>
          <w:rFonts w:hint="eastAsia" w:ascii="宋体" w:hAnsi="宋体"/>
          <w:bCs/>
          <w:highlight w:val="none"/>
        </w:rPr>
        <w:t>乙方同意退货并用合同规定的货币将货款退还给甲方，并承担由此发生的一切损失和费用，包括利息、银行手续费、运费、保险费、检验费、仓储费、装卸费以及为保护退回货物所需的其他必要费用。</w:t>
      </w:r>
    </w:p>
    <w:p>
      <w:pPr>
        <w:pStyle w:val="19"/>
        <w:spacing w:line="480" w:lineRule="exact"/>
        <w:ind w:left="1"/>
        <w:rPr>
          <w:rFonts w:ascii="宋体"/>
          <w:bCs/>
          <w:highlight w:val="none"/>
        </w:rPr>
      </w:pPr>
      <w:r>
        <w:rPr>
          <w:rFonts w:ascii="宋体" w:hAnsi="宋体"/>
          <w:bCs/>
          <w:highlight w:val="none"/>
        </w:rPr>
        <w:t>2</w:t>
      </w:r>
      <w:r>
        <w:rPr>
          <w:rFonts w:hint="eastAsia" w:ascii="宋体" w:hAnsi="宋体"/>
          <w:bCs/>
          <w:highlight w:val="none"/>
        </w:rPr>
        <w:t>）根据货物低劣程度、损坏程度以及甲方所遭受损失的数额，经甲乙双方商定</w:t>
      </w:r>
    </w:p>
    <w:p>
      <w:pPr>
        <w:pStyle w:val="19"/>
        <w:spacing w:line="480" w:lineRule="exact"/>
        <w:ind w:left="1"/>
        <w:rPr>
          <w:rFonts w:ascii="宋体"/>
          <w:bCs/>
          <w:highlight w:val="none"/>
        </w:rPr>
      </w:pPr>
      <w:r>
        <w:rPr>
          <w:rFonts w:hint="eastAsia" w:ascii="宋体" w:hAnsi="宋体"/>
          <w:bCs/>
          <w:highlight w:val="none"/>
        </w:rPr>
        <w:t>降低货物的价格，或由有权的部门评估，以降低后的价格或评估价格为准。</w:t>
      </w:r>
    </w:p>
    <w:p>
      <w:pPr>
        <w:pStyle w:val="19"/>
        <w:spacing w:line="480" w:lineRule="exact"/>
        <w:ind w:left="1"/>
        <w:rPr>
          <w:rFonts w:ascii="宋体"/>
          <w:bCs/>
          <w:highlight w:val="none"/>
        </w:rPr>
      </w:pPr>
      <w:r>
        <w:rPr>
          <w:rFonts w:ascii="宋体" w:hAnsi="宋体"/>
          <w:bCs/>
          <w:highlight w:val="none"/>
        </w:rPr>
        <w:t>3</w:t>
      </w:r>
      <w:r>
        <w:rPr>
          <w:rFonts w:hint="eastAsia" w:ascii="宋体" w:hAnsi="宋体"/>
          <w:bCs/>
          <w:highlight w:val="none"/>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19"/>
        <w:spacing w:line="480" w:lineRule="exact"/>
        <w:ind w:left="1"/>
        <w:rPr>
          <w:rFonts w:ascii="宋体"/>
          <w:bCs/>
          <w:highlight w:val="none"/>
        </w:rPr>
      </w:pPr>
      <w:r>
        <w:rPr>
          <w:rFonts w:ascii="宋体" w:hAnsi="宋体"/>
          <w:bCs/>
          <w:highlight w:val="none"/>
        </w:rPr>
        <w:t xml:space="preserve">11.3 </w:t>
      </w:r>
      <w:r>
        <w:rPr>
          <w:rFonts w:hint="eastAsia" w:ascii="宋体" w:hAnsi="宋体"/>
          <w:bCs/>
          <w:highlight w:val="none"/>
        </w:rPr>
        <w:t>如果在甲方发出索赔通知后</w:t>
      </w:r>
      <w:r>
        <w:rPr>
          <w:rFonts w:ascii="宋体" w:hAnsi="宋体"/>
          <w:bCs/>
          <w:highlight w:val="none"/>
        </w:rPr>
        <w:t>7</w:t>
      </w:r>
      <w:r>
        <w:rPr>
          <w:rFonts w:hint="eastAsia" w:ascii="宋体" w:hAnsi="宋体"/>
          <w:bCs/>
          <w:highlight w:val="none"/>
        </w:rPr>
        <w:t>日内，乙方未作答复，上述索赔应视为已被乙方接受。如乙方未能在甲方提出索赔通知后</w:t>
      </w:r>
      <w:r>
        <w:rPr>
          <w:rFonts w:ascii="宋体" w:hAnsi="宋体"/>
          <w:bCs/>
          <w:highlight w:val="none"/>
        </w:rPr>
        <w:t>7</w:t>
      </w:r>
      <w:r>
        <w:rPr>
          <w:rFonts w:hint="eastAsia" w:ascii="宋体" w:hAnsi="宋体"/>
          <w:bCs/>
          <w:highlight w:val="none"/>
        </w:rPr>
        <w:t>日内或甲方同意的更长时间内，按照本合同的相应规定解决索赔事宜，甲方将从应付货款中扣回索赔金额。如果这些金额不足以补偿索赔金额，甲方有权向乙方提出不足部分的补偿。</w:t>
      </w:r>
    </w:p>
    <w:p>
      <w:pPr>
        <w:pStyle w:val="19"/>
        <w:spacing w:line="480" w:lineRule="exact"/>
        <w:rPr>
          <w:rFonts w:ascii="宋体"/>
          <w:bCs/>
          <w:highlight w:val="none"/>
        </w:rPr>
      </w:pPr>
      <w:r>
        <w:rPr>
          <w:rFonts w:ascii="宋体" w:hAnsi="宋体"/>
          <w:bCs/>
          <w:highlight w:val="none"/>
        </w:rPr>
        <w:t>12</w:t>
      </w:r>
      <w:r>
        <w:rPr>
          <w:rFonts w:hint="eastAsia" w:ascii="宋体" w:hAnsi="宋体"/>
          <w:bCs/>
          <w:highlight w:val="none"/>
        </w:rPr>
        <w:t>、违约赔偿</w:t>
      </w:r>
    </w:p>
    <w:p>
      <w:pPr>
        <w:pStyle w:val="19"/>
        <w:spacing w:line="480" w:lineRule="exact"/>
        <w:ind w:left="1"/>
        <w:rPr>
          <w:rFonts w:ascii="宋体"/>
          <w:bCs/>
          <w:highlight w:val="none"/>
        </w:rPr>
      </w:pPr>
      <w:r>
        <w:rPr>
          <w:rFonts w:ascii="宋体" w:hAnsi="宋体"/>
          <w:bCs/>
          <w:highlight w:val="none"/>
        </w:rPr>
        <w:t xml:space="preserve">12.1 </w:t>
      </w:r>
      <w:r>
        <w:rPr>
          <w:rFonts w:hint="eastAsia" w:ascii="宋体" w:hAnsi="宋体"/>
          <w:bCs/>
          <w:highlight w:val="none"/>
        </w:rPr>
        <w:t>乙方延迟交货，每延迟</w:t>
      </w:r>
      <w:r>
        <w:rPr>
          <w:rFonts w:ascii="宋体" w:hAnsi="宋体"/>
          <w:bCs/>
          <w:highlight w:val="none"/>
        </w:rPr>
        <w:t>1</w:t>
      </w:r>
      <w:r>
        <w:rPr>
          <w:rFonts w:hint="eastAsia" w:ascii="宋体" w:hAnsi="宋体"/>
          <w:bCs/>
          <w:highlight w:val="none"/>
        </w:rPr>
        <w:t>日，按应交付货物总额</w:t>
      </w:r>
      <w:r>
        <w:rPr>
          <w:rFonts w:ascii="宋体" w:hAnsi="宋体"/>
          <w:bCs/>
          <w:highlight w:val="none"/>
        </w:rPr>
        <w:t>0.3</w:t>
      </w:r>
      <w:r>
        <w:rPr>
          <w:rFonts w:hint="eastAsia" w:ascii="宋体" w:hAnsi="宋体"/>
          <w:bCs/>
          <w:highlight w:val="none"/>
        </w:rPr>
        <w:t>‰支付违约金。乙方履行合同不符合规定，除应按合同约定及时调换外，在调换货物期间，应按调换货物金额每日</w:t>
      </w:r>
      <w:r>
        <w:rPr>
          <w:rFonts w:ascii="宋体" w:hAnsi="宋体"/>
          <w:bCs/>
          <w:highlight w:val="none"/>
        </w:rPr>
        <w:t>0.3</w:t>
      </w:r>
      <w:r>
        <w:rPr>
          <w:rFonts w:hint="eastAsia" w:ascii="宋体" w:hAnsi="宋体"/>
          <w:bCs/>
          <w:highlight w:val="none"/>
        </w:rPr>
        <w:t>‰向甲方支付违约金。</w:t>
      </w:r>
    </w:p>
    <w:p>
      <w:pPr>
        <w:pStyle w:val="19"/>
        <w:spacing w:line="480" w:lineRule="exact"/>
        <w:ind w:left="1"/>
        <w:rPr>
          <w:rFonts w:ascii="宋体"/>
          <w:bCs/>
          <w:highlight w:val="none"/>
        </w:rPr>
      </w:pPr>
      <w:r>
        <w:rPr>
          <w:rFonts w:ascii="宋体" w:hAnsi="宋体"/>
          <w:bCs/>
          <w:highlight w:val="none"/>
        </w:rPr>
        <w:t xml:space="preserve">12.2 </w:t>
      </w:r>
      <w:r>
        <w:rPr>
          <w:rFonts w:hint="eastAsia" w:ascii="宋体" w:hAnsi="宋体"/>
          <w:bCs/>
          <w:highlight w:val="none"/>
        </w:rPr>
        <w:t>如乙方违约，甲方有权从应付货款中扣除违约金及其它费用，履约保证金不足部分，甲方保留追索的权利。</w:t>
      </w:r>
    </w:p>
    <w:p>
      <w:pPr>
        <w:pStyle w:val="19"/>
        <w:spacing w:line="480" w:lineRule="exact"/>
        <w:ind w:left="1"/>
        <w:rPr>
          <w:rFonts w:ascii="宋体"/>
          <w:bCs/>
          <w:highlight w:val="none"/>
        </w:rPr>
      </w:pPr>
      <w:r>
        <w:rPr>
          <w:rFonts w:ascii="宋体" w:hAnsi="宋体"/>
          <w:bCs/>
          <w:highlight w:val="none"/>
        </w:rPr>
        <w:t xml:space="preserve">12.3 </w:t>
      </w:r>
      <w:r>
        <w:rPr>
          <w:rFonts w:hint="eastAsia" w:ascii="宋体" w:hAnsi="宋体"/>
          <w:bCs/>
          <w:highlight w:val="none"/>
        </w:rPr>
        <w:t>如因一方违约，双方未能就赔偿损失达成协议，引起诉讼或仲裁时，违约方除应赔偿对方经济损失外，还应承担对方因诉讼或仲裁所支付的律师代理费等相关费用。</w:t>
      </w:r>
    </w:p>
    <w:p>
      <w:pPr>
        <w:pStyle w:val="19"/>
        <w:spacing w:line="480" w:lineRule="exact"/>
        <w:ind w:left="1"/>
        <w:rPr>
          <w:rFonts w:ascii="宋体"/>
          <w:bCs/>
          <w:highlight w:val="none"/>
        </w:rPr>
      </w:pPr>
      <w:r>
        <w:rPr>
          <w:rFonts w:ascii="宋体" w:hAnsi="宋体"/>
          <w:bCs/>
          <w:highlight w:val="none"/>
        </w:rPr>
        <w:t xml:space="preserve">12.4 </w:t>
      </w:r>
      <w:r>
        <w:rPr>
          <w:rFonts w:hint="eastAsia" w:ascii="宋体" w:hAnsi="宋体"/>
          <w:bCs/>
          <w:highlight w:val="none"/>
        </w:rPr>
        <w:t>按照合同规定应该偿付的违约金、赔偿金等，应当在明确责任后三日内，按银行规定或双方商定的结算办法付清，否则按逾期付款处理。</w:t>
      </w:r>
    </w:p>
    <w:p>
      <w:pPr>
        <w:pStyle w:val="19"/>
        <w:spacing w:line="480" w:lineRule="exact"/>
        <w:rPr>
          <w:rFonts w:ascii="宋体"/>
          <w:bCs/>
          <w:highlight w:val="none"/>
        </w:rPr>
      </w:pPr>
      <w:r>
        <w:rPr>
          <w:rFonts w:ascii="宋体" w:hAnsi="宋体"/>
          <w:bCs/>
          <w:highlight w:val="none"/>
        </w:rPr>
        <w:t>13</w:t>
      </w:r>
      <w:r>
        <w:rPr>
          <w:rFonts w:hint="eastAsia" w:ascii="宋体" w:hAnsi="宋体"/>
          <w:bCs/>
          <w:highlight w:val="none"/>
        </w:rPr>
        <w:t>、合同修改</w:t>
      </w:r>
    </w:p>
    <w:p>
      <w:pPr>
        <w:pStyle w:val="19"/>
        <w:spacing w:line="480" w:lineRule="exact"/>
        <w:ind w:left="1"/>
        <w:rPr>
          <w:rFonts w:ascii="宋体"/>
          <w:bCs/>
          <w:highlight w:val="none"/>
        </w:rPr>
      </w:pPr>
      <w:r>
        <w:rPr>
          <w:rFonts w:ascii="宋体" w:hAnsi="宋体"/>
          <w:bCs/>
          <w:highlight w:val="none"/>
        </w:rPr>
        <w:t xml:space="preserve">13.1 </w:t>
      </w:r>
      <w:r>
        <w:rPr>
          <w:rFonts w:hint="eastAsia" w:ascii="宋体" w:hAnsi="宋体"/>
          <w:bCs/>
          <w:highlight w:val="none"/>
        </w:rPr>
        <w:t>甲方和乙方都不得擅自变更合同，但合同继续履行将损害国家和社会公共利益的除外。如必须对合同条款进行改动时，双方须共同签署书面文件。</w:t>
      </w:r>
    </w:p>
    <w:p>
      <w:pPr>
        <w:pStyle w:val="19"/>
        <w:spacing w:line="480" w:lineRule="exact"/>
        <w:rPr>
          <w:rFonts w:ascii="宋体"/>
          <w:bCs/>
          <w:highlight w:val="none"/>
        </w:rPr>
      </w:pPr>
      <w:r>
        <w:rPr>
          <w:rFonts w:ascii="宋体" w:hAnsi="宋体"/>
          <w:bCs/>
          <w:highlight w:val="none"/>
        </w:rPr>
        <w:t>14</w:t>
      </w:r>
      <w:r>
        <w:rPr>
          <w:rFonts w:hint="eastAsia" w:ascii="宋体" w:hAnsi="宋体"/>
          <w:bCs/>
          <w:highlight w:val="none"/>
        </w:rPr>
        <w:t>、违约终止合同</w:t>
      </w:r>
    </w:p>
    <w:p>
      <w:pPr>
        <w:pStyle w:val="19"/>
        <w:spacing w:line="480" w:lineRule="exact"/>
        <w:ind w:left="1"/>
        <w:rPr>
          <w:rFonts w:ascii="宋体"/>
          <w:bCs/>
          <w:highlight w:val="none"/>
        </w:rPr>
      </w:pPr>
      <w:r>
        <w:rPr>
          <w:rFonts w:ascii="宋体" w:hAnsi="宋体"/>
          <w:bCs/>
          <w:highlight w:val="none"/>
        </w:rPr>
        <w:t xml:space="preserve">14.1 </w:t>
      </w:r>
      <w:r>
        <w:rPr>
          <w:rFonts w:hint="eastAsia" w:ascii="宋体" w:hAnsi="宋体"/>
          <w:bCs/>
          <w:highlight w:val="none"/>
        </w:rPr>
        <w:t>在甲方因乙方违约而按合同约定采取的任何补救措施不受影响的情况下，甲方可在下列情况下向乙方发出书面通知，提出终止部分或全部合同。</w:t>
      </w:r>
    </w:p>
    <w:p>
      <w:pPr>
        <w:pStyle w:val="19"/>
        <w:spacing w:line="480" w:lineRule="exact"/>
        <w:ind w:left="1"/>
        <w:rPr>
          <w:rFonts w:ascii="宋体"/>
          <w:bCs/>
          <w:highlight w:val="none"/>
        </w:rPr>
      </w:pPr>
      <w:r>
        <w:rPr>
          <w:rFonts w:ascii="宋体" w:hAnsi="宋体"/>
          <w:bCs/>
          <w:highlight w:val="none"/>
        </w:rPr>
        <w:t>1)</w:t>
      </w:r>
      <w:r>
        <w:rPr>
          <w:rFonts w:hint="eastAsia" w:ascii="宋体" w:hAnsi="宋体"/>
          <w:bCs/>
          <w:highlight w:val="none"/>
        </w:rPr>
        <w:t>如果乙方未能在合同规定的限期或甲方同意延长的限期内提供部分或全部货物和服务。</w:t>
      </w:r>
    </w:p>
    <w:p>
      <w:pPr>
        <w:pStyle w:val="19"/>
        <w:spacing w:line="480" w:lineRule="exact"/>
        <w:ind w:left="1"/>
        <w:rPr>
          <w:rFonts w:ascii="宋体"/>
          <w:bCs/>
          <w:highlight w:val="none"/>
        </w:rPr>
      </w:pPr>
      <w:r>
        <w:rPr>
          <w:rFonts w:ascii="宋体" w:hAnsi="宋体"/>
          <w:bCs/>
          <w:highlight w:val="none"/>
        </w:rPr>
        <w:t>2</w:t>
      </w:r>
      <w:r>
        <w:rPr>
          <w:rFonts w:hint="eastAsia" w:ascii="宋体" w:hAnsi="宋体"/>
          <w:bCs/>
          <w:highlight w:val="none"/>
        </w:rPr>
        <w:t>）如果乙方未能履行合同规定的其它任何义务。</w:t>
      </w:r>
    </w:p>
    <w:p>
      <w:pPr>
        <w:pStyle w:val="19"/>
        <w:spacing w:line="480" w:lineRule="exact"/>
        <w:ind w:left="1"/>
        <w:rPr>
          <w:rFonts w:ascii="宋体"/>
          <w:bCs/>
          <w:highlight w:val="none"/>
        </w:rPr>
      </w:pPr>
      <w:r>
        <w:rPr>
          <w:rFonts w:ascii="宋体" w:hAnsi="宋体"/>
          <w:bCs/>
          <w:highlight w:val="none"/>
        </w:rPr>
        <w:t>3</w:t>
      </w:r>
      <w:r>
        <w:rPr>
          <w:rFonts w:hint="eastAsia" w:ascii="宋体" w:hAnsi="宋体"/>
          <w:bCs/>
          <w:highlight w:val="none"/>
        </w:rPr>
        <w:t>）如果乙方在本合同的竞争或实施中有腐败和欺诈行为。为此，定义如下：“腐</w:t>
      </w:r>
    </w:p>
    <w:p>
      <w:pPr>
        <w:pStyle w:val="19"/>
        <w:spacing w:line="480" w:lineRule="exact"/>
        <w:ind w:left="1"/>
        <w:rPr>
          <w:rFonts w:ascii="宋体"/>
          <w:bCs/>
          <w:highlight w:val="none"/>
        </w:rPr>
      </w:pPr>
      <w:r>
        <w:rPr>
          <w:rFonts w:hint="eastAsia" w:ascii="宋体" w:hAnsi="宋体"/>
          <w:bCs/>
          <w:highlight w:val="none"/>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19"/>
        <w:spacing w:line="480" w:lineRule="exact"/>
        <w:ind w:left="1"/>
        <w:rPr>
          <w:rFonts w:ascii="宋体"/>
          <w:bCs/>
          <w:highlight w:val="none"/>
        </w:rPr>
      </w:pPr>
      <w:r>
        <w:rPr>
          <w:rFonts w:ascii="宋体" w:hAnsi="宋体"/>
          <w:bCs/>
          <w:highlight w:val="none"/>
        </w:rPr>
        <w:t xml:space="preserve">14.2  </w:t>
      </w:r>
      <w:r>
        <w:rPr>
          <w:rFonts w:hint="eastAsia" w:ascii="宋体" w:hAnsi="宋体"/>
          <w:bCs/>
          <w:highlight w:val="none"/>
        </w:rPr>
        <w:t>在甲方根据</w:t>
      </w:r>
      <w:r>
        <w:rPr>
          <w:rFonts w:ascii="宋体" w:hAnsi="宋体"/>
          <w:bCs/>
          <w:highlight w:val="none"/>
        </w:rPr>
        <w:t>15.1</w:t>
      </w:r>
      <w:r>
        <w:rPr>
          <w:rFonts w:hint="eastAsia" w:ascii="宋体" w:hAnsi="宋体"/>
          <w:bCs/>
          <w:highlight w:val="none"/>
        </w:rPr>
        <w:t>规定，全部或部分终止合同之后，甲方可以全部或部分购买类似货物或服务，乙方应承担甲方购买类似货物或服务而产生的额外支出。部分终止合同的，乙方应继续履行合同中未终止的部分。</w:t>
      </w:r>
    </w:p>
    <w:p>
      <w:pPr>
        <w:pStyle w:val="19"/>
        <w:spacing w:line="480" w:lineRule="exact"/>
        <w:rPr>
          <w:rFonts w:ascii="宋体"/>
          <w:bCs/>
          <w:highlight w:val="none"/>
        </w:rPr>
      </w:pPr>
      <w:r>
        <w:rPr>
          <w:rFonts w:ascii="宋体" w:hAnsi="宋体"/>
          <w:bCs/>
          <w:highlight w:val="none"/>
        </w:rPr>
        <w:t>15</w:t>
      </w:r>
      <w:r>
        <w:rPr>
          <w:rFonts w:hint="eastAsia" w:ascii="宋体" w:hAnsi="宋体"/>
          <w:bCs/>
          <w:highlight w:val="none"/>
        </w:rPr>
        <w:t>、破产终止合同</w:t>
      </w:r>
    </w:p>
    <w:p>
      <w:pPr>
        <w:pStyle w:val="19"/>
        <w:spacing w:line="480" w:lineRule="exact"/>
        <w:ind w:left="1"/>
        <w:rPr>
          <w:rFonts w:ascii="宋体"/>
          <w:bCs/>
          <w:highlight w:val="none"/>
        </w:rPr>
      </w:pPr>
      <w:r>
        <w:rPr>
          <w:rFonts w:ascii="宋体" w:hAnsi="宋体"/>
          <w:bCs/>
          <w:highlight w:val="none"/>
        </w:rPr>
        <w:t xml:space="preserve">15.1 </w:t>
      </w:r>
      <w:r>
        <w:rPr>
          <w:rFonts w:hint="eastAsia" w:ascii="宋体" w:hAnsi="宋体"/>
          <w:bCs/>
          <w:highlight w:val="none"/>
        </w:rPr>
        <w:t>如果乙方破产或无清偿能力时，甲方可在任何时候以书面形式通知乙方终止合同，而不给乙方补偿。该合同的终止将不损害或不影响甲方已经采取或将要采取的任何行动或补救措施的权利。</w:t>
      </w:r>
    </w:p>
    <w:p>
      <w:pPr>
        <w:pStyle w:val="19"/>
        <w:spacing w:line="480" w:lineRule="exact"/>
        <w:rPr>
          <w:rFonts w:ascii="宋体"/>
          <w:bCs/>
          <w:highlight w:val="none"/>
        </w:rPr>
      </w:pPr>
      <w:r>
        <w:rPr>
          <w:rFonts w:ascii="宋体" w:hAnsi="宋体"/>
          <w:bCs/>
          <w:highlight w:val="none"/>
        </w:rPr>
        <w:t>16</w:t>
      </w:r>
      <w:r>
        <w:rPr>
          <w:rFonts w:hint="eastAsia" w:ascii="宋体" w:hAnsi="宋体"/>
          <w:bCs/>
          <w:highlight w:val="none"/>
        </w:rPr>
        <w:t>、不可抗力</w:t>
      </w:r>
    </w:p>
    <w:p>
      <w:pPr>
        <w:pStyle w:val="19"/>
        <w:spacing w:line="480" w:lineRule="exact"/>
        <w:ind w:left="1"/>
        <w:rPr>
          <w:rFonts w:ascii="宋体"/>
          <w:bCs/>
          <w:highlight w:val="none"/>
        </w:rPr>
      </w:pPr>
      <w:bookmarkStart w:id="131" w:name="_Toc487900365"/>
      <w:r>
        <w:rPr>
          <w:rFonts w:ascii="宋体" w:hAnsi="宋体"/>
          <w:bCs/>
          <w:highlight w:val="none"/>
        </w:rPr>
        <w:t xml:space="preserve">16.1 </w:t>
      </w:r>
      <w:r>
        <w:rPr>
          <w:rFonts w:hint="eastAsia" w:ascii="宋体" w:hAnsi="宋体"/>
          <w:bCs/>
          <w:highlight w:val="none"/>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19"/>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highlight w:val="none"/>
        </w:rPr>
      </w:pPr>
      <w:r>
        <w:rPr>
          <w:rFonts w:ascii="宋体" w:hAnsi="宋体"/>
          <w:bCs/>
          <w:highlight w:val="none"/>
        </w:rPr>
        <w:t xml:space="preserve">16.2 </w:t>
      </w:r>
      <w:r>
        <w:rPr>
          <w:rFonts w:hint="eastAsia" w:ascii="宋体" w:hAnsi="宋体"/>
          <w:bCs/>
          <w:highlight w:val="none"/>
        </w:rPr>
        <w:t>在不可抗力事件发生后，当事方应尽快以书面形式通知对方，并于事件发生后</w:t>
      </w:r>
      <w:r>
        <w:rPr>
          <w:rFonts w:ascii="宋体" w:hAnsi="宋体"/>
          <w:bCs/>
          <w:highlight w:val="none"/>
        </w:rPr>
        <w:t>15</w:t>
      </w:r>
      <w:r>
        <w:rPr>
          <w:rFonts w:hint="eastAsia" w:ascii="宋体" w:hAnsi="宋体"/>
          <w:bCs/>
          <w:highlight w:val="none"/>
        </w:rPr>
        <w:t>日内将有关部门出具的证明文件送对方审阅确认。</w:t>
      </w:r>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ascii="宋体" w:hAnsi="宋体"/>
          <w:bCs/>
          <w:highlight w:val="none"/>
        </w:rPr>
        <w:t xml:space="preserve">16.3 </w:t>
      </w:r>
      <w:r>
        <w:rPr>
          <w:rFonts w:hint="eastAsia" w:ascii="宋体" w:hAnsi="宋体"/>
          <w:bCs/>
          <w:highlight w:val="none"/>
        </w:rPr>
        <w:t>双方应通过友好协商在合理的时间内达成进一步履行合同的协议。</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 xml:space="preserve">17   </w:t>
      </w:r>
      <w:r>
        <w:rPr>
          <w:rFonts w:hint="eastAsia" w:ascii="宋体" w:hAnsi="宋体"/>
          <w:bCs/>
          <w:highlight w:val="none"/>
        </w:rPr>
        <w:t>税费</w:t>
      </w:r>
      <w:bookmarkEnd w:id="131"/>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ascii="宋体" w:hAnsi="宋体"/>
          <w:bCs/>
          <w:highlight w:val="none"/>
        </w:rPr>
        <w:t xml:space="preserve">17.1 </w:t>
      </w:r>
      <w:r>
        <w:rPr>
          <w:rFonts w:hint="eastAsia" w:ascii="宋体" w:hAnsi="宋体"/>
          <w:bCs/>
          <w:highlight w:val="none"/>
        </w:rPr>
        <w:t>与本合同有关的一切税费均适用中华人民共和国法律的相关规定。</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bookmarkStart w:id="132" w:name="_Toc487900369"/>
      <w:r>
        <w:rPr>
          <w:rFonts w:ascii="宋体" w:hAnsi="宋体"/>
          <w:bCs/>
          <w:highlight w:val="none"/>
        </w:rPr>
        <w:t xml:space="preserve">18   </w:t>
      </w:r>
      <w:r>
        <w:rPr>
          <w:rFonts w:hint="eastAsia" w:ascii="宋体" w:hAnsi="宋体"/>
          <w:bCs/>
          <w:highlight w:val="none"/>
        </w:rPr>
        <w:t>转让和分包</w:t>
      </w:r>
      <w:bookmarkEnd w:id="132"/>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hint="eastAsia" w:ascii="宋体" w:hAnsi="宋体"/>
          <w:bCs/>
          <w:highlight w:val="none"/>
        </w:rPr>
        <w:t>未经允许，本招标采购项目不得转让。</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bookmarkStart w:id="133" w:name="_Toc487900371"/>
      <w:r>
        <w:rPr>
          <w:rFonts w:ascii="宋体" w:hAnsi="宋体"/>
          <w:bCs/>
          <w:highlight w:val="none"/>
        </w:rPr>
        <w:t xml:space="preserve">19   </w:t>
      </w:r>
      <w:r>
        <w:rPr>
          <w:rFonts w:hint="eastAsia" w:ascii="宋体" w:hAnsi="宋体"/>
          <w:bCs/>
          <w:highlight w:val="none"/>
        </w:rPr>
        <w:t>通知</w:t>
      </w:r>
      <w:bookmarkEnd w:id="133"/>
    </w:p>
    <w:p>
      <w:pPr>
        <w:pStyle w:val="19"/>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highlight w:val="none"/>
        </w:rPr>
      </w:pPr>
      <w:r>
        <w:rPr>
          <w:rFonts w:hint="eastAsia" w:ascii="宋体" w:hAnsi="宋体"/>
          <w:bCs/>
          <w:highlight w:val="none"/>
        </w:rPr>
        <w:t>合同任何一方给另一方的通知，都应以书面形式发送，而另一方也应以书面形式确认并发送到对方明确的地址。</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20</w:t>
      </w:r>
      <w:r>
        <w:rPr>
          <w:rFonts w:hint="eastAsia" w:ascii="宋体" w:hAnsi="宋体"/>
          <w:bCs/>
          <w:highlight w:val="none"/>
        </w:rPr>
        <w:t>、争议的解决</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ascii="宋体"/>
          <w:bCs/>
          <w:highlight w:val="none"/>
        </w:rPr>
      </w:pPr>
      <w:r>
        <w:rPr>
          <w:rFonts w:hint="eastAsia" w:ascii="宋体" w:hAnsi="宋体"/>
          <w:bCs/>
          <w:highlight w:val="none"/>
        </w:rPr>
        <w:t>合同发生纠纷时，双方应协商解决，协商不成可以提交济南仲裁委员会仲裁。</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21</w:t>
      </w:r>
      <w:r>
        <w:rPr>
          <w:rFonts w:hint="eastAsia" w:ascii="宋体" w:hAnsi="宋体"/>
          <w:bCs/>
          <w:highlight w:val="none"/>
        </w:rPr>
        <w:t>、合同生效</w:t>
      </w:r>
      <w:r>
        <w:rPr>
          <w:rFonts w:hint="eastAsia" w:ascii="宋体" w:hAnsi="宋体"/>
          <w:bCs/>
          <w:highlight w:val="none"/>
          <w:lang w:val="en-US" w:eastAsia="zh-CN"/>
        </w:rPr>
        <w:t xml:space="preserve">   </w:t>
      </w:r>
      <w:r>
        <w:rPr>
          <w:rFonts w:hint="eastAsia" w:ascii="宋体" w:hAnsi="宋体"/>
          <w:bCs/>
          <w:highlight w:val="none"/>
        </w:rPr>
        <w:t>本合同甲乙双方签章后即生效。</w:t>
      </w:r>
    </w:p>
    <w:p>
      <w:pPr>
        <w:pStyle w:val="20"/>
        <w:tabs>
          <w:tab w:val="left" w:pos="0"/>
        </w:tabs>
        <w:spacing w:line="480" w:lineRule="exact"/>
        <w:ind w:left="0" w:leftChars="0" w:firstLine="0" w:firstLineChars="0"/>
        <w:jc w:val="center"/>
        <w:rPr>
          <w:rFonts w:ascii="宋体"/>
          <w:bCs/>
          <w:highlight w:val="none"/>
        </w:rPr>
      </w:pPr>
      <w:r>
        <w:rPr>
          <w:rFonts w:ascii="宋体"/>
          <w:bCs/>
          <w:highlight w:val="none"/>
        </w:rPr>
        <w:br w:type="page"/>
      </w:r>
    </w:p>
    <w:p>
      <w:pPr>
        <w:pStyle w:val="20"/>
        <w:tabs>
          <w:tab w:val="left" w:pos="0"/>
        </w:tabs>
        <w:spacing w:line="480" w:lineRule="exact"/>
        <w:ind w:left="0" w:leftChars="0" w:firstLine="0" w:firstLineChars="0"/>
        <w:jc w:val="center"/>
        <w:rPr>
          <w:rFonts w:ascii="宋体"/>
          <w:sz w:val="32"/>
          <w:szCs w:val="32"/>
          <w:highlight w:val="none"/>
        </w:rPr>
      </w:pPr>
      <w:r>
        <w:rPr>
          <w:rFonts w:hint="eastAsia" w:ascii="宋体" w:hAnsi="宋体"/>
          <w:sz w:val="32"/>
          <w:szCs w:val="32"/>
          <w:highlight w:val="none"/>
        </w:rPr>
        <w:t>第二节：合同格式</w:t>
      </w:r>
    </w:p>
    <w:p>
      <w:pPr>
        <w:spacing w:line="480" w:lineRule="exact"/>
        <w:jc w:val="center"/>
        <w:rPr>
          <w:rFonts w:ascii="宋体"/>
          <w:bCs/>
          <w:sz w:val="24"/>
          <w:highlight w:val="none"/>
        </w:rPr>
      </w:pPr>
    </w:p>
    <w:p>
      <w:pPr>
        <w:spacing w:line="480" w:lineRule="exact"/>
        <w:jc w:val="center"/>
        <w:rPr>
          <w:rFonts w:ascii="宋体"/>
          <w:bCs/>
          <w:sz w:val="24"/>
          <w:highlight w:val="none"/>
        </w:rPr>
      </w:pPr>
    </w:p>
    <w:p>
      <w:pPr>
        <w:snapToGrid w:val="0"/>
        <w:spacing w:before="290" w:beforeLines="100" w:line="480" w:lineRule="exact"/>
        <w:jc w:val="center"/>
        <w:rPr>
          <w:rFonts w:ascii="宋体"/>
          <w:b/>
          <w:sz w:val="72"/>
          <w:szCs w:val="72"/>
          <w:highlight w:val="none"/>
        </w:rPr>
      </w:pPr>
      <w:r>
        <w:rPr>
          <w:rFonts w:hint="eastAsia" w:ascii="宋体" w:hAnsi="宋体"/>
          <w:b/>
          <w:sz w:val="72"/>
          <w:szCs w:val="72"/>
          <w:highlight w:val="none"/>
        </w:rPr>
        <w:t>采购合同</w:t>
      </w: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r>
        <w:rPr>
          <w:rFonts w:hint="eastAsia" w:ascii="宋体" w:hAnsi="宋体"/>
          <w:sz w:val="32"/>
          <w:szCs w:val="32"/>
          <w:highlight w:val="none"/>
        </w:rPr>
        <w:t>（货物类）</w:t>
      </w:r>
    </w:p>
    <w:p>
      <w:pPr>
        <w:snapToGrid w:val="0"/>
        <w:spacing w:line="480" w:lineRule="exact"/>
        <w:jc w:val="center"/>
        <w:rPr>
          <w:rFonts w:ascii="宋体"/>
          <w:b/>
          <w:sz w:val="30"/>
          <w:szCs w:val="30"/>
          <w:highlight w:val="none"/>
        </w:rPr>
      </w:pPr>
    </w:p>
    <w:p>
      <w:pPr>
        <w:snapToGrid w:val="0"/>
        <w:spacing w:line="480" w:lineRule="exact"/>
        <w:jc w:val="center"/>
        <w:rPr>
          <w:rFonts w:ascii="宋体"/>
          <w:b/>
          <w:sz w:val="30"/>
          <w:szCs w:val="30"/>
          <w:highlight w:val="none"/>
        </w:rPr>
      </w:pPr>
      <w:r>
        <w:rPr>
          <w:rFonts w:ascii="宋体"/>
          <w:b/>
          <w:sz w:val="30"/>
          <w:szCs w:val="30"/>
          <w:highlight w:val="none"/>
        </w:rPr>
        <w:tab/>
      </w:r>
    </w:p>
    <w:p>
      <w:pPr>
        <w:snapToGrid w:val="0"/>
        <w:spacing w:line="480" w:lineRule="exact"/>
        <w:ind w:firstLine="1606" w:firstLineChars="500"/>
        <w:rPr>
          <w:rFonts w:ascii="宋体"/>
          <w:b/>
          <w:sz w:val="32"/>
          <w:szCs w:val="32"/>
          <w:highlight w:val="none"/>
          <w:u w:val="single"/>
        </w:rPr>
      </w:pPr>
      <w:r>
        <w:rPr>
          <w:rFonts w:hint="eastAsia" w:ascii="宋体" w:hAnsi="宋体"/>
          <w:b/>
          <w:sz w:val="32"/>
          <w:szCs w:val="32"/>
          <w:highlight w:val="none"/>
        </w:rPr>
        <w:t>项目名称</w:t>
      </w:r>
      <w:r>
        <w:rPr>
          <w:rFonts w:ascii="宋体" w:hAnsi="宋体"/>
          <w:b/>
          <w:sz w:val="32"/>
          <w:szCs w:val="32"/>
          <w:highlight w:val="none"/>
        </w:rPr>
        <w:t>:</w:t>
      </w:r>
    </w:p>
    <w:p>
      <w:pPr>
        <w:snapToGrid w:val="0"/>
        <w:spacing w:line="480" w:lineRule="exact"/>
        <w:jc w:val="center"/>
        <w:rPr>
          <w:rFonts w:ascii="宋体"/>
          <w:b/>
          <w:sz w:val="32"/>
          <w:szCs w:val="32"/>
          <w:highlight w:val="none"/>
          <w:u w:val="single"/>
        </w:rPr>
      </w:pPr>
    </w:p>
    <w:p>
      <w:pPr>
        <w:snapToGrid w:val="0"/>
        <w:spacing w:line="480" w:lineRule="exact"/>
        <w:ind w:firstLine="1606" w:firstLineChars="500"/>
        <w:rPr>
          <w:rFonts w:ascii="宋体"/>
          <w:sz w:val="32"/>
          <w:szCs w:val="32"/>
          <w:highlight w:val="none"/>
          <w:u w:val="single"/>
        </w:rPr>
      </w:pPr>
      <w:r>
        <w:rPr>
          <w:rFonts w:hint="eastAsia" w:ascii="宋体" w:hAnsi="宋体"/>
          <w:b/>
          <w:sz w:val="32"/>
          <w:szCs w:val="32"/>
          <w:highlight w:val="none"/>
        </w:rPr>
        <w:t>招标编号</w:t>
      </w:r>
      <w:r>
        <w:rPr>
          <w:rFonts w:ascii="宋体" w:hAnsi="宋体"/>
          <w:b/>
          <w:sz w:val="32"/>
          <w:szCs w:val="32"/>
          <w:highlight w:val="none"/>
        </w:rPr>
        <w:t>:</w:t>
      </w:r>
    </w:p>
    <w:p>
      <w:pPr>
        <w:snapToGrid w:val="0"/>
        <w:spacing w:line="480" w:lineRule="exact"/>
        <w:jc w:val="center"/>
        <w:rPr>
          <w:rFonts w:ascii="宋体"/>
          <w:sz w:val="32"/>
          <w:szCs w:val="32"/>
          <w:highlight w:val="none"/>
        </w:rPr>
      </w:pPr>
    </w:p>
    <w:p>
      <w:pPr>
        <w:snapToGrid w:val="0"/>
        <w:spacing w:line="480" w:lineRule="exact"/>
        <w:jc w:val="center"/>
        <w:rPr>
          <w:rFonts w:ascii="宋体"/>
          <w:b/>
          <w:sz w:val="32"/>
          <w:szCs w:val="32"/>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ind w:firstLine="1606" w:firstLineChars="500"/>
        <w:rPr>
          <w:rFonts w:ascii="宋体"/>
          <w:b/>
          <w:sz w:val="32"/>
          <w:szCs w:val="32"/>
          <w:highlight w:val="none"/>
        </w:rPr>
      </w:pPr>
      <w:r>
        <w:rPr>
          <w:rFonts w:hint="eastAsia" w:ascii="宋体" w:hAnsi="宋体"/>
          <w:b/>
          <w:sz w:val="32"/>
          <w:szCs w:val="32"/>
          <w:highlight w:val="none"/>
        </w:rPr>
        <w:t>甲方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乙方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日期</w:t>
      </w:r>
      <w:r>
        <w:rPr>
          <w:rFonts w:ascii="宋体" w:hAnsi="宋体"/>
          <w:b/>
          <w:sz w:val="32"/>
          <w:szCs w:val="32"/>
          <w:highlight w:val="none"/>
        </w:rPr>
        <w:t>:</w:t>
      </w:r>
    </w:p>
    <w:p>
      <w:pPr>
        <w:widowControl/>
        <w:ind w:firstLine="643" w:firstLineChars="200"/>
        <w:jc w:val="left"/>
        <w:rPr>
          <w:rFonts w:ascii="宋体"/>
          <w:sz w:val="24"/>
          <w:highlight w:val="none"/>
        </w:rPr>
      </w:pPr>
      <w:r>
        <w:rPr>
          <w:rFonts w:ascii="宋体"/>
          <w:b/>
          <w:sz w:val="32"/>
          <w:szCs w:val="32"/>
          <w:highlight w:val="none"/>
          <w:u w:val="single"/>
        </w:rPr>
        <w:br w:type="page"/>
      </w:r>
      <w:r>
        <w:rPr>
          <w:rFonts w:hint="eastAsia" w:ascii="宋体" w:hAnsi="宋体"/>
          <w:sz w:val="24"/>
          <w:highlight w:val="none"/>
        </w:rPr>
        <w:t>（甲方）所需</w:t>
      </w:r>
      <w:r>
        <w:rPr>
          <w:rFonts w:ascii="宋体" w:hAnsi="宋体"/>
          <w:sz w:val="24"/>
          <w:highlight w:val="none"/>
        </w:rPr>
        <w:t xml:space="preserve"> (</w:t>
      </w:r>
      <w:r>
        <w:rPr>
          <w:rFonts w:hint="eastAsia" w:ascii="宋体" w:hAnsi="宋体"/>
          <w:sz w:val="24"/>
          <w:highlight w:val="none"/>
        </w:rPr>
        <w:t>货物名称</w:t>
      </w:r>
      <w:r>
        <w:rPr>
          <w:rFonts w:ascii="宋体" w:hAnsi="宋体"/>
          <w:sz w:val="24"/>
          <w:highlight w:val="none"/>
        </w:rPr>
        <w:t>)</w:t>
      </w:r>
      <w:r>
        <w:rPr>
          <w:rFonts w:hint="eastAsia" w:ascii="宋体" w:hAnsi="宋体"/>
          <w:sz w:val="24"/>
          <w:highlight w:val="none"/>
        </w:rPr>
        <w:t>经（代理机构名称）以</w:t>
      </w:r>
      <w:r>
        <w:rPr>
          <w:rFonts w:hint="eastAsia" w:ascii="宋体" w:hAnsi="宋体"/>
          <w:sz w:val="24"/>
          <w:highlight w:val="none"/>
          <w:lang w:eastAsia="zh-CN"/>
        </w:rPr>
        <w:t>招标形式</w:t>
      </w:r>
      <w:r>
        <w:rPr>
          <w:rFonts w:hint="eastAsia" w:ascii="宋体" w:hAnsi="宋体"/>
          <w:sz w:val="24"/>
          <w:highlight w:val="none"/>
        </w:rPr>
        <w:t>在国内以公开招标方式进行采购。经评标委员会确定（乙方）为中标供应商。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sz w:val="24"/>
          <w:highlight w:val="none"/>
        </w:rPr>
      </w:pPr>
      <w:bookmarkStart w:id="134" w:name="_Toc15550"/>
      <w:bookmarkStart w:id="135" w:name="_Toc15866"/>
      <w:bookmarkStart w:id="136" w:name="_Toc27021"/>
      <w:r>
        <w:rPr>
          <w:rFonts w:hint="eastAsia" w:ascii="宋体" w:hAnsi="宋体"/>
          <w:b/>
          <w:bCs/>
          <w:sz w:val="24"/>
          <w:highlight w:val="none"/>
        </w:rPr>
        <w:t>一、本合同由合同文本和下列文件组成</w:t>
      </w:r>
      <w:bookmarkEnd w:id="134"/>
      <w:bookmarkEnd w:id="135"/>
      <w:bookmarkEnd w:id="136"/>
    </w:p>
    <w:p>
      <w:pPr>
        <w:snapToGrid w:val="0"/>
        <w:spacing w:line="480" w:lineRule="exact"/>
        <w:ind w:firstLine="480"/>
        <w:rPr>
          <w:rFonts w:ascii="宋体"/>
          <w:sz w:val="24"/>
          <w:highlight w:val="none"/>
        </w:rPr>
      </w:pPr>
      <w:r>
        <w:rPr>
          <w:rFonts w:ascii="宋体" w:hAnsi="宋体"/>
          <w:sz w:val="24"/>
          <w:highlight w:val="none"/>
        </w:rPr>
        <w:t>1</w:t>
      </w:r>
      <w:r>
        <w:rPr>
          <w:rFonts w:hint="eastAsia" w:ascii="宋体" w:hAnsi="宋体"/>
          <w:sz w:val="24"/>
          <w:highlight w:val="none"/>
        </w:rPr>
        <w:t>、合同一般条款</w:t>
      </w:r>
    </w:p>
    <w:p>
      <w:pPr>
        <w:snapToGrid w:val="0"/>
        <w:spacing w:line="480" w:lineRule="exact"/>
        <w:ind w:firstLine="480"/>
        <w:rPr>
          <w:rFonts w:ascii="宋体"/>
          <w:sz w:val="24"/>
          <w:highlight w:val="none"/>
        </w:rPr>
      </w:pPr>
      <w:r>
        <w:rPr>
          <w:rFonts w:ascii="宋体" w:hAnsi="宋体"/>
          <w:sz w:val="24"/>
          <w:highlight w:val="none"/>
        </w:rPr>
        <w:t>2</w:t>
      </w:r>
      <w:r>
        <w:rPr>
          <w:rFonts w:hint="eastAsia" w:ascii="宋体" w:hAnsi="宋体"/>
          <w:sz w:val="24"/>
          <w:highlight w:val="none"/>
        </w:rPr>
        <w:t>、合同特殊条款</w:t>
      </w:r>
    </w:p>
    <w:p>
      <w:pPr>
        <w:snapToGrid w:val="0"/>
        <w:spacing w:line="480" w:lineRule="exact"/>
        <w:ind w:firstLine="480"/>
        <w:rPr>
          <w:rFonts w:ascii="宋体"/>
          <w:sz w:val="24"/>
          <w:highlight w:val="none"/>
        </w:rPr>
      </w:pPr>
      <w:r>
        <w:rPr>
          <w:rFonts w:ascii="宋体" w:hAnsi="宋体"/>
          <w:sz w:val="24"/>
          <w:highlight w:val="none"/>
        </w:rPr>
        <w:t>3</w:t>
      </w:r>
      <w:r>
        <w:rPr>
          <w:rFonts w:hint="eastAsia" w:ascii="宋体" w:hAnsi="宋体"/>
          <w:sz w:val="24"/>
          <w:highlight w:val="none"/>
        </w:rPr>
        <w:t>、采购服务内容</w:t>
      </w:r>
    </w:p>
    <w:p>
      <w:pPr>
        <w:snapToGrid w:val="0"/>
        <w:spacing w:line="480" w:lineRule="exact"/>
        <w:ind w:firstLine="480"/>
        <w:rPr>
          <w:rFonts w:ascii="宋体"/>
          <w:sz w:val="24"/>
          <w:highlight w:val="none"/>
        </w:rPr>
      </w:pPr>
      <w:r>
        <w:rPr>
          <w:rFonts w:ascii="宋体" w:hAnsi="宋体"/>
          <w:sz w:val="24"/>
          <w:highlight w:val="none"/>
        </w:rPr>
        <w:t>4</w:t>
      </w:r>
      <w:r>
        <w:rPr>
          <w:rFonts w:hint="eastAsia" w:ascii="宋体" w:hAnsi="宋体"/>
          <w:sz w:val="24"/>
          <w:highlight w:val="none"/>
        </w:rPr>
        <w:t>、合同补充条款或说明</w:t>
      </w:r>
    </w:p>
    <w:p>
      <w:pPr>
        <w:snapToGrid w:val="0"/>
        <w:spacing w:line="480" w:lineRule="exact"/>
        <w:ind w:firstLine="382"/>
        <w:outlineLvl w:val="0"/>
        <w:rPr>
          <w:rFonts w:ascii="宋体"/>
          <w:b/>
          <w:bCs/>
          <w:sz w:val="24"/>
          <w:highlight w:val="none"/>
        </w:rPr>
      </w:pPr>
      <w:bookmarkStart w:id="137" w:name="_Toc9153"/>
      <w:bookmarkStart w:id="138" w:name="_Toc16073"/>
      <w:bookmarkStart w:id="139" w:name="_Toc9903"/>
      <w:r>
        <w:rPr>
          <w:rFonts w:hint="eastAsia" w:ascii="宋体" w:hAnsi="宋体"/>
          <w:b/>
          <w:bCs/>
          <w:sz w:val="24"/>
          <w:highlight w:val="none"/>
        </w:rPr>
        <w:t>二、货物的名称、数量</w:t>
      </w:r>
      <w:bookmarkEnd w:id="137"/>
      <w:bookmarkEnd w:id="138"/>
      <w:bookmarkEnd w:id="139"/>
    </w:p>
    <w:p>
      <w:pPr>
        <w:snapToGrid w:val="0"/>
        <w:spacing w:line="480" w:lineRule="exact"/>
        <w:ind w:firstLine="382"/>
        <w:outlineLvl w:val="0"/>
        <w:rPr>
          <w:rFonts w:ascii="宋体"/>
          <w:b/>
          <w:bCs/>
          <w:sz w:val="24"/>
          <w:highlight w:val="none"/>
          <w:u w:val="single"/>
        </w:rPr>
      </w:pPr>
    </w:p>
    <w:p>
      <w:pPr>
        <w:snapToGrid w:val="0"/>
        <w:spacing w:line="480" w:lineRule="exact"/>
        <w:ind w:left="380" w:leftChars="181"/>
        <w:rPr>
          <w:rFonts w:ascii="宋体"/>
          <w:sz w:val="24"/>
          <w:highlight w:val="none"/>
        </w:rPr>
      </w:pPr>
      <w:r>
        <w:rPr>
          <w:rFonts w:hint="eastAsia" w:ascii="宋体" w:hAnsi="宋体"/>
          <w:sz w:val="24"/>
          <w:highlight w:val="none"/>
        </w:rPr>
        <w:t>（后附详细清单）</w:t>
      </w:r>
    </w:p>
    <w:p>
      <w:pPr>
        <w:snapToGrid w:val="0"/>
        <w:spacing w:line="480" w:lineRule="exact"/>
        <w:ind w:firstLine="382"/>
        <w:outlineLvl w:val="0"/>
        <w:rPr>
          <w:rFonts w:ascii="宋体"/>
          <w:sz w:val="24"/>
          <w:highlight w:val="none"/>
        </w:rPr>
      </w:pPr>
      <w:bookmarkStart w:id="140" w:name="_Toc14263"/>
      <w:bookmarkStart w:id="141" w:name="_Toc4618"/>
      <w:bookmarkStart w:id="142" w:name="_Toc1690"/>
      <w:r>
        <w:rPr>
          <w:rFonts w:hint="eastAsia" w:ascii="宋体" w:hAnsi="宋体"/>
          <w:b/>
          <w:bCs/>
          <w:sz w:val="24"/>
          <w:highlight w:val="none"/>
        </w:rPr>
        <w:t>三、合同金额</w:t>
      </w:r>
      <w:bookmarkEnd w:id="140"/>
      <w:bookmarkEnd w:id="141"/>
      <w:bookmarkEnd w:id="142"/>
    </w:p>
    <w:p>
      <w:pPr>
        <w:snapToGrid w:val="0"/>
        <w:spacing w:line="480" w:lineRule="exact"/>
        <w:rPr>
          <w:rFonts w:ascii="宋体"/>
          <w:sz w:val="24"/>
          <w:highlight w:val="none"/>
        </w:rPr>
      </w:pPr>
      <w:r>
        <w:rPr>
          <w:rFonts w:hint="eastAsia" w:ascii="宋体" w:hAnsi="宋体"/>
          <w:sz w:val="24"/>
          <w:highlight w:val="none"/>
        </w:rPr>
        <w:t>合同总金额：</w:t>
      </w:r>
      <w:r>
        <w:rPr>
          <w:rFonts w:hint="eastAsia" w:ascii="宋体" w:hAnsi="宋体"/>
          <w:sz w:val="24"/>
          <w:highlight w:val="none"/>
          <w:u w:val="single"/>
        </w:rPr>
        <w:t>人民币</w:t>
      </w:r>
      <w:r>
        <w:rPr>
          <w:rFonts w:hint="eastAsia" w:ascii="宋体" w:hAnsi="宋体"/>
          <w:sz w:val="24"/>
          <w:highlight w:val="none"/>
        </w:rPr>
        <w:t>（大写）</w:t>
      </w:r>
    </w:p>
    <w:p>
      <w:pPr>
        <w:snapToGrid w:val="0"/>
        <w:spacing w:line="480" w:lineRule="exact"/>
        <w:ind w:firstLine="1440" w:firstLineChars="600"/>
        <w:rPr>
          <w:rFonts w:ascii="宋体"/>
          <w:sz w:val="24"/>
          <w:highlight w:val="none"/>
        </w:rPr>
      </w:pPr>
      <w:r>
        <w:rPr>
          <w:rFonts w:hint="eastAsia" w:ascii="宋体" w:hAnsi="宋体"/>
          <w:sz w:val="24"/>
          <w:highlight w:val="none"/>
          <w:u w:val="single"/>
        </w:rPr>
        <w:t>人民币</w:t>
      </w:r>
      <w:r>
        <w:rPr>
          <w:rFonts w:hint="eastAsia" w:ascii="宋体" w:hAnsi="宋体"/>
          <w:sz w:val="24"/>
          <w:highlight w:val="none"/>
        </w:rPr>
        <w:t>（小写）</w:t>
      </w:r>
    </w:p>
    <w:p>
      <w:pPr>
        <w:pStyle w:val="14"/>
        <w:snapToGrid w:val="0"/>
        <w:spacing w:line="480" w:lineRule="exact"/>
        <w:ind w:firstLine="960" w:firstLineChars="400"/>
        <w:rPr>
          <w:rFonts w:ascii="宋体"/>
          <w:sz w:val="24"/>
          <w:highlight w:val="none"/>
        </w:rPr>
      </w:pPr>
      <w:r>
        <w:rPr>
          <w:rFonts w:hint="eastAsia" w:ascii="宋体" w:hAnsi="宋体"/>
          <w:sz w:val="24"/>
          <w:highlight w:val="none"/>
        </w:rPr>
        <w:t>分项价格见中标货物清单</w:t>
      </w:r>
    </w:p>
    <w:p>
      <w:pPr>
        <w:snapToGrid w:val="0"/>
        <w:spacing w:line="480" w:lineRule="exact"/>
        <w:ind w:firstLine="382"/>
        <w:outlineLvl w:val="0"/>
        <w:rPr>
          <w:rFonts w:ascii="宋体"/>
          <w:b/>
          <w:sz w:val="24"/>
          <w:highlight w:val="none"/>
        </w:rPr>
      </w:pPr>
      <w:bookmarkStart w:id="143" w:name="_Toc19878"/>
      <w:bookmarkStart w:id="144" w:name="_Toc10675"/>
      <w:bookmarkStart w:id="145" w:name="_Toc23604"/>
      <w:r>
        <w:rPr>
          <w:rFonts w:hint="eastAsia" w:ascii="宋体" w:hAnsi="宋体"/>
          <w:b/>
          <w:bCs/>
          <w:sz w:val="24"/>
          <w:highlight w:val="none"/>
        </w:rPr>
        <w:t>四、</w:t>
      </w:r>
      <w:bookmarkEnd w:id="143"/>
      <w:bookmarkEnd w:id="144"/>
      <w:bookmarkEnd w:id="145"/>
      <w:r>
        <w:rPr>
          <w:rFonts w:hint="eastAsia" w:ascii="宋体" w:hAnsi="宋体"/>
          <w:b/>
          <w:bCs/>
          <w:sz w:val="24"/>
          <w:highlight w:val="none"/>
        </w:rPr>
        <w:t>付款方式：</w:t>
      </w:r>
    </w:p>
    <w:p>
      <w:pPr>
        <w:tabs>
          <w:tab w:val="left" w:pos="764"/>
        </w:tabs>
        <w:snapToGrid w:val="0"/>
        <w:spacing w:line="480" w:lineRule="exact"/>
        <w:ind w:firstLine="480" w:firstLineChars="200"/>
        <w:rPr>
          <w:rFonts w:hint="eastAsia"/>
          <w:color w:val="000000"/>
          <w:kern w:val="2"/>
          <w:sz w:val="24"/>
          <w:szCs w:val="20"/>
          <w:highlight w:val="none"/>
          <w:lang w:val="en-US" w:eastAsia="zh-CN"/>
        </w:rPr>
      </w:pPr>
      <w:r>
        <w:rPr>
          <w:rFonts w:hint="eastAsia"/>
          <w:color w:val="000000"/>
          <w:kern w:val="2"/>
          <w:sz w:val="24"/>
          <w:szCs w:val="20"/>
          <w:highlight w:val="none"/>
          <w:lang w:val="en-US" w:eastAsia="zh-CN"/>
        </w:rPr>
        <w:t>货物交付后，经双方验收合格签字且财务入账三个月内，支付合同总金额90%，余款作为质量保证金，自财务入账之日起满12个月后，无质量问题，付清总金额的10%。</w:t>
      </w:r>
    </w:p>
    <w:p>
      <w:pPr>
        <w:tabs>
          <w:tab w:val="left" w:pos="764"/>
        </w:tabs>
        <w:snapToGrid w:val="0"/>
        <w:spacing w:line="480" w:lineRule="exact"/>
        <w:ind w:firstLine="361" w:firstLineChars="150"/>
        <w:rPr>
          <w:rFonts w:ascii="宋体"/>
          <w:b/>
          <w:bCs/>
          <w:sz w:val="24"/>
          <w:highlight w:val="none"/>
        </w:rPr>
      </w:pPr>
      <w:r>
        <w:rPr>
          <w:rFonts w:hint="eastAsia" w:ascii="宋体" w:hAnsi="宋体"/>
          <w:b/>
          <w:bCs/>
          <w:sz w:val="24"/>
          <w:highlight w:val="none"/>
        </w:rPr>
        <w:t>五、交货时间、地点、验收方式</w:t>
      </w:r>
    </w:p>
    <w:p>
      <w:pPr>
        <w:snapToGrid w:val="0"/>
        <w:spacing w:line="480" w:lineRule="exact"/>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、交货安装时间：合同生效后于以前交货并安装。</w:t>
      </w:r>
    </w:p>
    <w:p>
      <w:pPr>
        <w:tabs>
          <w:tab w:val="left" w:pos="955"/>
        </w:tabs>
        <w:snapToGrid w:val="0"/>
        <w:spacing w:line="48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、交货地点：甲方指定地点。</w:t>
      </w:r>
    </w:p>
    <w:p>
      <w:pPr>
        <w:tabs>
          <w:tab w:val="left" w:pos="955"/>
        </w:tabs>
        <w:snapToGrid w:val="0"/>
        <w:spacing w:line="480" w:lineRule="exact"/>
        <w:ind w:firstLine="480" w:firstLineChars="200"/>
        <w:rPr>
          <w:rFonts w:ascii="宋体"/>
          <w:sz w:val="24"/>
          <w:highlight w:val="none"/>
          <w:u w:val="single"/>
        </w:rPr>
      </w:pPr>
      <w:r>
        <w:rPr>
          <w:rFonts w:ascii="宋体" w:hAnsi="宋体"/>
          <w:sz w:val="24"/>
          <w:highlight w:val="none"/>
        </w:rPr>
        <w:t>3</w:t>
      </w:r>
      <w:r>
        <w:rPr>
          <w:rFonts w:hint="eastAsia" w:ascii="宋体" w:hAnsi="宋体"/>
          <w:sz w:val="24"/>
          <w:highlight w:val="none"/>
        </w:rPr>
        <w:t>、验收方式：。</w:t>
      </w:r>
    </w:p>
    <w:p>
      <w:pPr>
        <w:snapToGrid w:val="0"/>
        <w:spacing w:line="480" w:lineRule="exact"/>
        <w:ind w:left="380" w:leftChars="181" w:firstLine="2"/>
        <w:outlineLvl w:val="0"/>
        <w:rPr>
          <w:rFonts w:ascii="宋体"/>
          <w:b/>
          <w:bCs/>
          <w:sz w:val="24"/>
          <w:highlight w:val="none"/>
        </w:rPr>
      </w:pPr>
      <w:bookmarkStart w:id="146" w:name="_Toc28569"/>
      <w:bookmarkStart w:id="147" w:name="_Toc12280"/>
      <w:bookmarkStart w:id="148" w:name="_Toc28907"/>
      <w:r>
        <w:rPr>
          <w:rFonts w:hint="eastAsia" w:ascii="宋体" w:hAnsi="宋体"/>
          <w:b/>
          <w:bCs/>
          <w:sz w:val="24"/>
          <w:highlight w:val="none"/>
        </w:rPr>
        <w:t>六、履约保证金</w:t>
      </w:r>
      <w:bookmarkEnd w:id="146"/>
      <w:bookmarkEnd w:id="147"/>
      <w:bookmarkEnd w:id="148"/>
    </w:p>
    <w:p>
      <w:pPr>
        <w:snapToGrid w:val="0"/>
        <w:spacing w:line="480" w:lineRule="exact"/>
        <w:ind w:firstLine="840" w:firstLineChars="350"/>
        <w:rPr>
          <w:rFonts w:ascii="宋体"/>
          <w:sz w:val="24"/>
          <w:highlight w:val="none"/>
        </w:rPr>
      </w:pPr>
      <w:r>
        <w:rPr>
          <w:rFonts w:hint="eastAsia" w:ascii="宋体" w:hAnsi="宋体"/>
          <w:sz w:val="24"/>
          <w:highlight w:val="none"/>
        </w:rPr>
        <w:t>履约保证金在货物交付验收合格</w:t>
      </w:r>
      <w:r>
        <w:rPr>
          <w:rFonts w:hint="eastAsia" w:ascii="宋体" w:hAnsi="宋体"/>
          <w:sz w:val="24"/>
          <w:highlight w:val="none"/>
          <w:u w:val="single"/>
        </w:rPr>
        <w:t>个</w:t>
      </w:r>
      <w:r>
        <w:rPr>
          <w:rFonts w:hint="eastAsia" w:ascii="宋体" w:hAnsi="宋体"/>
          <w:sz w:val="24"/>
          <w:highlight w:val="none"/>
        </w:rPr>
        <w:t>月无质量问题后，</w:t>
      </w:r>
      <w:r>
        <w:rPr>
          <w:rFonts w:ascii="宋体" w:hAnsi="宋体"/>
          <w:sz w:val="24"/>
          <w:highlight w:val="none"/>
        </w:rPr>
        <w:t xml:space="preserve"> 15</w:t>
      </w:r>
      <w:r>
        <w:rPr>
          <w:rFonts w:hint="eastAsia" w:ascii="宋体" w:hAnsi="宋体"/>
          <w:sz w:val="24"/>
          <w:highlight w:val="none"/>
        </w:rPr>
        <w:t>日内无息退还。</w:t>
      </w:r>
    </w:p>
    <w:p>
      <w:pPr>
        <w:snapToGrid w:val="0"/>
        <w:spacing w:line="480" w:lineRule="exact"/>
        <w:ind w:left="380" w:leftChars="181" w:firstLine="2"/>
        <w:outlineLvl w:val="0"/>
        <w:rPr>
          <w:rFonts w:ascii="宋体"/>
          <w:b/>
          <w:bCs/>
          <w:sz w:val="24"/>
          <w:highlight w:val="none"/>
        </w:rPr>
      </w:pPr>
      <w:bookmarkStart w:id="149" w:name="_Toc29637"/>
      <w:bookmarkStart w:id="150" w:name="_Toc609"/>
      <w:bookmarkStart w:id="151" w:name="_Toc24320"/>
      <w:r>
        <w:rPr>
          <w:rFonts w:hint="eastAsia" w:ascii="宋体" w:hAnsi="宋体"/>
          <w:b/>
          <w:bCs/>
          <w:sz w:val="24"/>
          <w:highlight w:val="none"/>
        </w:rPr>
        <w:t>七、合同生效</w:t>
      </w:r>
      <w:bookmarkEnd w:id="149"/>
      <w:bookmarkEnd w:id="150"/>
      <w:bookmarkEnd w:id="151"/>
    </w:p>
    <w:p>
      <w:pPr>
        <w:tabs>
          <w:tab w:val="left" w:pos="1146"/>
        </w:tabs>
        <w:snapToGrid w:val="0"/>
        <w:spacing w:line="480" w:lineRule="exact"/>
        <w:ind w:left="540" w:leftChars="257" w:firstLine="360" w:firstLineChars="150"/>
        <w:rPr>
          <w:rFonts w:ascii="宋体"/>
          <w:sz w:val="24"/>
          <w:highlight w:val="none"/>
        </w:rPr>
      </w:pPr>
      <w:r>
        <w:rPr>
          <w:rFonts w:hint="eastAsia" w:ascii="宋体" w:hAnsi="宋体"/>
          <w:sz w:val="24"/>
          <w:highlight w:val="none"/>
        </w:rPr>
        <w:t>本合同甲乙双方签章后生效。</w:t>
      </w:r>
    </w:p>
    <w:p>
      <w:pPr>
        <w:snapToGrid w:val="0"/>
        <w:spacing w:line="480" w:lineRule="exact"/>
        <w:ind w:left="380" w:leftChars="181" w:firstLine="2"/>
        <w:outlineLvl w:val="0"/>
        <w:rPr>
          <w:rFonts w:ascii="宋体"/>
          <w:b/>
          <w:bCs/>
          <w:sz w:val="24"/>
          <w:highlight w:val="none"/>
        </w:rPr>
      </w:pPr>
      <w:bookmarkStart w:id="152" w:name="_Toc28312"/>
      <w:bookmarkStart w:id="153" w:name="_Toc20385"/>
      <w:bookmarkStart w:id="154" w:name="_Toc10585"/>
      <w:r>
        <w:rPr>
          <w:rFonts w:hint="eastAsia" w:ascii="宋体" w:hAnsi="宋体"/>
          <w:b/>
          <w:bCs/>
          <w:sz w:val="24"/>
          <w:highlight w:val="none"/>
        </w:rPr>
        <w:t>八、合同保存</w:t>
      </w:r>
      <w:bookmarkEnd w:id="152"/>
      <w:bookmarkEnd w:id="153"/>
      <w:bookmarkEnd w:id="154"/>
    </w:p>
    <w:p>
      <w:pPr>
        <w:snapToGrid w:val="0"/>
        <w:spacing w:line="480" w:lineRule="exact"/>
        <w:ind w:left="479" w:leftChars="228" w:firstLine="480" w:firstLineChars="200"/>
        <w:rPr>
          <w:rFonts w:ascii="宋体"/>
          <w:sz w:val="24"/>
          <w:highlight w:val="none"/>
        </w:rPr>
      </w:pPr>
      <w:r>
        <w:rPr>
          <w:rFonts w:hint="eastAsia" w:ascii="宋体" w:hAnsi="宋体"/>
          <w:sz w:val="24"/>
          <w:highlight w:val="none"/>
        </w:rPr>
        <w:t>本合同一式</w:t>
      </w:r>
      <w:r>
        <w:rPr>
          <w:rFonts w:ascii="宋体" w:hAnsi="宋体"/>
          <w:sz w:val="24"/>
          <w:highlight w:val="none"/>
          <w:u w:val="single"/>
        </w:rPr>
        <w:t xml:space="preserve">  </w:t>
      </w:r>
      <w:r>
        <w:rPr>
          <w:rFonts w:hint="eastAsia" w:ascii="宋体" w:hAnsi="宋体"/>
          <w:sz w:val="24"/>
          <w:highlight w:val="none"/>
        </w:rPr>
        <w:t>份，甲方</w:t>
      </w:r>
      <w:r>
        <w:rPr>
          <w:rFonts w:ascii="宋体" w:hAnsi="宋体"/>
          <w:sz w:val="24"/>
          <w:highlight w:val="none"/>
          <w:u w:val="single"/>
        </w:rPr>
        <w:t xml:space="preserve">  </w:t>
      </w:r>
      <w:r>
        <w:rPr>
          <w:rFonts w:hint="eastAsia" w:ascii="宋体" w:hAnsi="宋体"/>
          <w:sz w:val="24"/>
          <w:highlight w:val="none"/>
        </w:rPr>
        <w:t>份，乙方</w:t>
      </w:r>
      <w:r>
        <w:rPr>
          <w:rFonts w:ascii="宋体" w:hAnsi="宋体"/>
          <w:sz w:val="24"/>
          <w:highlight w:val="none"/>
          <w:u w:val="single"/>
        </w:rPr>
        <w:t xml:space="preserve">   </w:t>
      </w:r>
      <w:r>
        <w:rPr>
          <w:rFonts w:hint="eastAsia" w:ascii="宋体" w:hAnsi="宋体"/>
          <w:sz w:val="24"/>
          <w:highlight w:val="none"/>
        </w:rPr>
        <w:t>份。</w:t>
      </w:r>
    </w:p>
    <w:p>
      <w:pPr>
        <w:snapToGrid w:val="0"/>
        <w:spacing w:line="480" w:lineRule="exact"/>
        <w:ind w:left="380" w:leftChars="181" w:firstLine="2"/>
        <w:outlineLvl w:val="0"/>
        <w:rPr>
          <w:rFonts w:ascii="宋体"/>
          <w:b/>
          <w:bCs/>
          <w:sz w:val="24"/>
          <w:highlight w:val="none"/>
        </w:rPr>
      </w:pPr>
      <w:bookmarkStart w:id="155" w:name="_Toc14149"/>
      <w:bookmarkStart w:id="156" w:name="_Toc17788"/>
      <w:bookmarkStart w:id="157" w:name="_Toc23003"/>
      <w:r>
        <w:rPr>
          <w:rFonts w:hint="eastAsia" w:ascii="宋体" w:hAnsi="宋体"/>
          <w:b/>
          <w:bCs/>
          <w:sz w:val="24"/>
          <w:highlight w:val="none"/>
        </w:rPr>
        <w:t>九、违约条款</w:t>
      </w:r>
      <w:bookmarkEnd w:id="155"/>
      <w:bookmarkEnd w:id="156"/>
      <w:bookmarkEnd w:id="157"/>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）合同一方违约，违约方向对方支付违约金，违约金额为成交金额的</w:t>
      </w:r>
      <w:r>
        <w:rPr>
          <w:rFonts w:ascii="宋体" w:hAnsi="宋体"/>
          <w:sz w:val="24"/>
          <w:highlight w:val="none"/>
        </w:rPr>
        <w:t>10%</w:t>
      </w:r>
      <w:r>
        <w:rPr>
          <w:rFonts w:hint="eastAsia" w:ascii="宋体" w:hAnsi="宋体"/>
          <w:sz w:val="24"/>
          <w:highlight w:val="none"/>
        </w:rPr>
        <w:t>。中标人违约，直接从履约保证金中扣除。</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）中标人给用户造成的实际损失高于违约金的，成交供应商应给用户对高出违约金的部分予以赔偿。</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）其它未尽事宜，以《中华人民共和国合同法》规定为准。</w:t>
      </w:r>
    </w:p>
    <w:p>
      <w:pPr>
        <w:tabs>
          <w:tab w:val="left" w:pos="955"/>
          <w:tab w:val="left" w:pos="1146"/>
        </w:tabs>
        <w:snapToGrid w:val="0"/>
        <w:spacing w:line="480" w:lineRule="exact"/>
        <w:ind w:firstLine="482" w:firstLineChars="200"/>
        <w:outlineLvl w:val="0"/>
        <w:rPr>
          <w:rFonts w:ascii="宋体"/>
          <w:sz w:val="24"/>
          <w:highlight w:val="none"/>
        </w:rPr>
      </w:pPr>
      <w:bookmarkStart w:id="158" w:name="_Toc2531"/>
      <w:bookmarkStart w:id="159" w:name="_Toc25277"/>
      <w:bookmarkStart w:id="160" w:name="_Toc4944"/>
      <w:r>
        <w:rPr>
          <w:rFonts w:hint="eastAsia" w:ascii="宋体" w:hAnsi="宋体"/>
          <w:b/>
          <w:bCs/>
          <w:sz w:val="24"/>
          <w:highlight w:val="none"/>
        </w:rPr>
        <w:t>十、</w:t>
      </w:r>
      <w:r>
        <w:rPr>
          <w:rFonts w:hint="eastAsia" w:ascii="宋体" w:hAnsi="宋体"/>
          <w:sz w:val="24"/>
          <w:highlight w:val="none"/>
        </w:rPr>
        <w:t>合同发生纠纷时，向济南仲裁委员会提起仲裁。</w:t>
      </w:r>
      <w:bookmarkEnd w:id="158"/>
      <w:bookmarkEnd w:id="159"/>
      <w:bookmarkEnd w:id="160"/>
    </w:p>
    <w:p>
      <w:pPr>
        <w:snapToGrid w:val="0"/>
        <w:spacing w:line="480" w:lineRule="exact"/>
        <w:ind w:firstLine="480" w:firstLineChars="200"/>
        <w:rPr>
          <w:rFonts w:ascii="宋体"/>
          <w:sz w:val="24"/>
          <w:highlight w:val="none"/>
        </w:rPr>
      </w:pPr>
      <w:r>
        <w:rPr>
          <w:rFonts w:hint="eastAsia" w:ascii="宋体" w:hAnsi="宋体"/>
          <w:sz w:val="24"/>
          <w:highlight w:val="none"/>
        </w:rPr>
        <w:t>甲方（公章）：</w:t>
      </w:r>
      <w:r>
        <w:rPr>
          <w:rFonts w:ascii="宋体" w:hAnsi="宋体"/>
          <w:sz w:val="24"/>
          <w:highlight w:val="none"/>
        </w:rPr>
        <w:t xml:space="preserve">                         </w:t>
      </w:r>
      <w:r>
        <w:rPr>
          <w:rFonts w:hint="eastAsia" w:ascii="宋体" w:hAnsi="宋体"/>
          <w:sz w:val="24"/>
          <w:highlight w:val="none"/>
        </w:rPr>
        <w:t>乙方（公章）：</w:t>
      </w:r>
    </w:p>
    <w:p>
      <w:pPr>
        <w:snapToGrid w:val="0"/>
        <w:spacing w:line="480" w:lineRule="exact"/>
        <w:ind w:firstLine="480" w:firstLineChars="200"/>
        <w:rPr>
          <w:rFonts w:ascii="宋体"/>
          <w:sz w:val="24"/>
          <w:highlight w:val="none"/>
        </w:rPr>
      </w:pPr>
      <w:r>
        <w:rPr>
          <w:rFonts w:hint="eastAsia" w:ascii="宋体" w:hAnsi="宋体"/>
          <w:sz w:val="24"/>
          <w:highlight w:val="none"/>
        </w:rPr>
        <w:t>法定代表人或授权代理人：（签字）</w:t>
      </w:r>
      <w:r>
        <w:rPr>
          <w:rFonts w:ascii="宋体" w:hAnsi="宋体"/>
          <w:sz w:val="24"/>
          <w:highlight w:val="none"/>
        </w:rPr>
        <w:t xml:space="preserve">       </w:t>
      </w:r>
      <w:r>
        <w:rPr>
          <w:rFonts w:hint="eastAsia" w:ascii="宋体" w:hAnsi="宋体"/>
          <w:sz w:val="24"/>
          <w:highlight w:val="none"/>
        </w:rPr>
        <w:t>法定代表人或授权代理人：（签字）</w:t>
      </w:r>
    </w:p>
    <w:p>
      <w:pPr>
        <w:snapToGrid w:val="0"/>
        <w:spacing w:line="480" w:lineRule="exact"/>
        <w:ind w:firstLine="480" w:firstLineChars="200"/>
        <w:rPr>
          <w:rFonts w:ascii="宋体"/>
          <w:sz w:val="24"/>
          <w:highlight w:val="none"/>
        </w:rPr>
      </w:pPr>
      <w:r>
        <w:rPr>
          <w:rFonts w:hint="eastAsia" w:ascii="宋体" w:hAnsi="宋体"/>
          <w:sz w:val="24"/>
          <w:highlight w:val="none"/>
        </w:rPr>
        <w:t>开户单位：</w:t>
      </w:r>
      <w:r>
        <w:rPr>
          <w:rFonts w:ascii="宋体" w:hAnsi="宋体"/>
          <w:sz w:val="24"/>
          <w:highlight w:val="none"/>
        </w:rPr>
        <w:t xml:space="preserve">                            </w:t>
      </w:r>
      <w:r>
        <w:rPr>
          <w:rFonts w:hint="eastAsia" w:ascii="宋体" w:hAnsi="宋体"/>
          <w:sz w:val="24"/>
          <w:highlight w:val="none"/>
        </w:rPr>
        <w:t>开户单位：</w:t>
      </w:r>
    </w:p>
    <w:p>
      <w:pPr>
        <w:snapToGrid w:val="0"/>
        <w:spacing w:line="480" w:lineRule="exact"/>
        <w:ind w:firstLine="480" w:firstLineChars="200"/>
        <w:rPr>
          <w:rFonts w:ascii="宋体"/>
          <w:sz w:val="24"/>
          <w:highlight w:val="none"/>
        </w:rPr>
      </w:pPr>
      <w:r>
        <w:rPr>
          <w:rFonts w:hint="eastAsia" w:ascii="宋体" w:hAnsi="宋体"/>
          <w:sz w:val="24"/>
          <w:highlight w:val="none"/>
        </w:rPr>
        <w:t>开户银行：</w:t>
      </w:r>
      <w:r>
        <w:rPr>
          <w:rFonts w:ascii="宋体" w:hAnsi="宋体"/>
          <w:sz w:val="24"/>
          <w:highlight w:val="none"/>
        </w:rPr>
        <w:t xml:space="preserve">                            </w:t>
      </w:r>
      <w:r>
        <w:rPr>
          <w:rFonts w:hint="eastAsia" w:ascii="宋体" w:hAnsi="宋体"/>
          <w:sz w:val="24"/>
          <w:highlight w:val="none"/>
        </w:rPr>
        <w:t>开户银行：</w:t>
      </w:r>
    </w:p>
    <w:p>
      <w:pPr>
        <w:snapToGrid w:val="0"/>
        <w:spacing w:line="480" w:lineRule="exact"/>
        <w:ind w:firstLine="480" w:firstLineChars="200"/>
        <w:rPr>
          <w:rFonts w:ascii="宋体"/>
          <w:sz w:val="24"/>
          <w:highlight w:val="none"/>
        </w:rPr>
      </w:pPr>
      <w:r>
        <w:rPr>
          <w:rFonts w:hint="eastAsia" w:ascii="宋体" w:hAnsi="宋体"/>
          <w:sz w:val="24"/>
          <w:highlight w:val="none"/>
        </w:rPr>
        <w:t>帐号：</w:t>
      </w:r>
      <w:r>
        <w:rPr>
          <w:rFonts w:ascii="宋体" w:hAnsi="宋体"/>
          <w:sz w:val="24"/>
          <w:highlight w:val="none"/>
        </w:rPr>
        <w:t xml:space="preserve">                                </w:t>
      </w:r>
      <w:r>
        <w:rPr>
          <w:rFonts w:hint="eastAsia" w:ascii="宋体" w:hAnsi="宋体"/>
          <w:sz w:val="24"/>
          <w:highlight w:val="none"/>
        </w:rPr>
        <w:t>帐号：</w:t>
      </w:r>
    </w:p>
    <w:p>
      <w:pPr>
        <w:snapToGrid w:val="0"/>
        <w:spacing w:line="480" w:lineRule="exact"/>
        <w:ind w:firstLine="480" w:firstLineChars="200"/>
        <w:rPr>
          <w:rFonts w:ascii="宋体"/>
          <w:sz w:val="24"/>
          <w:highlight w:val="none"/>
        </w:rPr>
      </w:pPr>
      <w:r>
        <w:rPr>
          <w:rFonts w:hint="eastAsia" w:ascii="宋体" w:hAnsi="宋体"/>
          <w:sz w:val="24"/>
          <w:highlight w:val="none"/>
        </w:rPr>
        <w:t>地址：</w:t>
      </w:r>
      <w:r>
        <w:rPr>
          <w:rFonts w:ascii="宋体" w:hAnsi="宋体"/>
          <w:sz w:val="24"/>
          <w:highlight w:val="none"/>
        </w:rPr>
        <w:t xml:space="preserve">                                </w:t>
      </w:r>
      <w:r>
        <w:rPr>
          <w:rFonts w:hint="eastAsia" w:ascii="宋体" w:hAnsi="宋体"/>
          <w:sz w:val="24"/>
          <w:highlight w:val="none"/>
        </w:rPr>
        <w:t>地址：</w:t>
      </w:r>
    </w:p>
    <w:p>
      <w:pPr>
        <w:snapToGrid w:val="0"/>
        <w:spacing w:line="480" w:lineRule="exact"/>
        <w:ind w:firstLine="480" w:firstLineChars="200"/>
        <w:rPr>
          <w:rFonts w:asci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邮政编码：</w:t>
      </w:r>
    </w:p>
    <w:p>
      <w:pPr>
        <w:snapToGrid w:val="0"/>
        <w:spacing w:line="480" w:lineRule="exact"/>
        <w:ind w:firstLine="480" w:firstLineChars="200"/>
        <w:rPr>
          <w:rFonts w:ascii="宋体"/>
          <w:sz w:val="24"/>
          <w:highlight w:val="none"/>
        </w:rPr>
      </w:pPr>
      <w:r>
        <w:rPr>
          <w:rFonts w:hint="eastAsia" w:ascii="宋体" w:hAnsi="宋体"/>
          <w:sz w:val="24"/>
          <w:highlight w:val="none"/>
        </w:rPr>
        <w:t>电话：</w:t>
      </w:r>
      <w:r>
        <w:rPr>
          <w:rFonts w:ascii="宋体" w:hAnsi="宋体"/>
          <w:sz w:val="24"/>
          <w:highlight w:val="none"/>
        </w:rPr>
        <w:t xml:space="preserve">                                </w:t>
      </w:r>
      <w:r>
        <w:rPr>
          <w:rFonts w:hint="eastAsia" w:ascii="宋体" w:hAnsi="宋体"/>
          <w:sz w:val="24"/>
          <w:highlight w:val="none"/>
        </w:rPr>
        <w:t>电话：</w:t>
      </w:r>
    </w:p>
    <w:p>
      <w:pPr>
        <w:snapToGrid w:val="0"/>
        <w:spacing w:line="480" w:lineRule="exact"/>
        <w:ind w:firstLine="480" w:firstLineChars="200"/>
        <w:rPr>
          <w:rFonts w:ascii="宋体"/>
          <w:sz w:val="24"/>
          <w:highlight w:val="none"/>
        </w:rPr>
      </w:pPr>
      <w:r>
        <w:rPr>
          <w:rFonts w:hint="eastAsia" w:ascii="宋体" w:hAnsi="宋体"/>
          <w:sz w:val="24"/>
          <w:highlight w:val="none"/>
        </w:rPr>
        <w:t>签订时间：</w:t>
      </w:r>
      <w:r>
        <w:rPr>
          <w:rFonts w:ascii="宋体" w:hAnsi="宋体"/>
          <w:sz w:val="24"/>
          <w:highlight w:val="none"/>
        </w:rPr>
        <w:t xml:space="preserve">                            </w:t>
      </w:r>
      <w:r>
        <w:rPr>
          <w:rFonts w:hint="eastAsia" w:ascii="宋体" w:hAnsi="宋体"/>
          <w:sz w:val="24"/>
          <w:highlight w:val="none"/>
        </w:rPr>
        <w:t>签订时间：</w:t>
      </w:r>
    </w:p>
    <w:p>
      <w:pPr>
        <w:snapToGrid w:val="0"/>
        <w:spacing w:before="290" w:beforeLines="100" w:line="480" w:lineRule="exact"/>
        <w:jc w:val="center"/>
        <w:outlineLvl w:val="0"/>
        <w:rPr>
          <w:rFonts w:ascii="宋体"/>
          <w:b/>
          <w:sz w:val="36"/>
          <w:highlight w:val="none"/>
        </w:rPr>
      </w:pPr>
      <w:r>
        <w:rPr>
          <w:rFonts w:ascii="宋体"/>
          <w:sz w:val="24"/>
          <w:highlight w:val="none"/>
        </w:rPr>
        <w:br w:type="page"/>
      </w:r>
      <w:bookmarkStart w:id="161" w:name="_Toc4921"/>
      <w:r>
        <w:rPr>
          <w:rFonts w:hint="eastAsia" w:ascii="宋体" w:hAnsi="宋体"/>
          <w:b/>
          <w:kern w:val="0"/>
          <w:sz w:val="36"/>
          <w:szCs w:val="20"/>
          <w:highlight w:val="none"/>
        </w:rPr>
        <w:t>第五部分附件</w:t>
      </w:r>
      <w:bookmarkEnd w:id="161"/>
    </w:p>
    <w:p>
      <w:pPr>
        <w:pStyle w:val="29"/>
        <w:spacing w:line="480" w:lineRule="exact"/>
        <w:ind w:firstLine="0" w:firstLineChars="0"/>
        <w:jc w:val="left"/>
        <w:rPr>
          <w:rFonts w:ascii="宋体"/>
          <w:bCs/>
          <w:highlight w:val="none"/>
        </w:rPr>
      </w:pPr>
      <w:r>
        <w:rPr>
          <w:rFonts w:hint="eastAsia" w:ascii="宋体" w:hAnsi="宋体"/>
          <w:bCs/>
          <w:highlight w:val="none"/>
        </w:rPr>
        <w:t>附件一：</w:t>
      </w:r>
    </w:p>
    <w:p>
      <w:pPr>
        <w:pStyle w:val="29"/>
        <w:spacing w:line="480" w:lineRule="exact"/>
        <w:ind w:firstLine="591" w:firstLineChars="184"/>
        <w:jc w:val="center"/>
        <w:rPr>
          <w:rFonts w:ascii="宋体"/>
          <w:b/>
          <w:bCs/>
          <w:sz w:val="32"/>
          <w:szCs w:val="32"/>
          <w:highlight w:val="none"/>
        </w:rPr>
      </w:pPr>
      <w:r>
        <w:rPr>
          <w:rFonts w:hint="eastAsia" w:ascii="宋体" w:hAnsi="宋体"/>
          <w:b/>
          <w:bCs/>
          <w:sz w:val="32"/>
          <w:szCs w:val="32"/>
          <w:highlight w:val="none"/>
        </w:rPr>
        <w:t>投标函</w:t>
      </w:r>
    </w:p>
    <w:p>
      <w:pPr>
        <w:pStyle w:val="29"/>
        <w:spacing w:line="480" w:lineRule="exact"/>
        <w:ind w:firstLine="0" w:firstLineChars="0"/>
        <w:jc w:val="left"/>
        <w:rPr>
          <w:rFonts w:ascii="宋体"/>
          <w:bCs/>
          <w:highlight w:val="none"/>
        </w:rPr>
      </w:pPr>
      <w:r>
        <w:rPr>
          <w:rFonts w:hint="eastAsia" w:ascii="宋体" w:hAnsi="宋体"/>
          <w:bCs/>
          <w:highlight w:val="none"/>
        </w:rPr>
        <w:t>山东大学第二医院：</w:t>
      </w:r>
    </w:p>
    <w:p>
      <w:pPr>
        <w:pStyle w:val="29"/>
        <w:spacing w:line="480" w:lineRule="exact"/>
        <w:ind w:firstLine="480"/>
        <w:jc w:val="left"/>
        <w:rPr>
          <w:rFonts w:ascii="宋体"/>
          <w:highlight w:val="none"/>
        </w:rPr>
      </w:pPr>
      <w:r>
        <w:rPr>
          <w:rFonts w:hint="eastAsia" w:ascii="宋体" w:hAnsi="宋体"/>
          <w:highlight w:val="none"/>
        </w:rPr>
        <w:t>经研究，我们决定参加招标编号为</w:t>
      </w:r>
      <w:r>
        <w:rPr>
          <w:rFonts w:hint="eastAsia" w:ascii="宋体" w:hAnsi="宋体"/>
          <w:highlight w:val="none"/>
          <w:u w:val="single"/>
        </w:rPr>
        <w:t>（项目名称）</w:t>
      </w:r>
      <w:r>
        <w:rPr>
          <w:rFonts w:hint="eastAsia" w:ascii="宋体" w:hAnsi="宋体"/>
          <w:highlight w:val="none"/>
        </w:rPr>
        <w:t>的货物供货、安装调试、人员培训、售后服务等投标活动并提交投标文件。为此，我方郑重声明以下诸点，并负法律责任。</w:t>
      </w:r>
    </w:p>
    <w:p>
      <w:pPr>
        <w:pStyle w:val="29"/>
        <w:spacing w:line="480" w:lineRule="exact"/>
        <w:ind w:firstLine="480"/>
        <w:jc w:val="left"/>
        <w:rPr>
          <w:rFonts w:ascii="宋体"/>
          <w:highlight w:val="none"/>
        </w:rPr>
      </w:pPr>
      <w:r>
        <w:rPr>
          <w:rFonts w:ascii="宋体" w:hAnsi="宋体"/>
          <w:highlight w:val="none"/>
        </w:rPr>
        <w:t>1</w:t>
      </w:r>
      <w:r>
        <w:rPr>
          <w:rFonts w:hint="eastAsia" w:ascii="宋体" w:hAnsi="宋体"/>
          <w:highlight w:val="none"/>
        </w:rPr>
        <w:t>、我方提交的投标文件，正本一份，副本</w:t>
      </w:r>
      <w:r>
        <w:rPr>
          <w:rFonts w:ascii="宋体" w:hAnsi="宋体"/>
          <w:highlight w:val="none"/>
          <w:u w:val="single"/>
        </w:rPr>
        <w:t xml:space="preserve">  </w:t>
      </w:r>
      <w:r>
        <w:rPr>
          <w:rFonts w:hint="eastAsia" w:ascii="宋体" w:hAnsi="宋体"/>
          <w:highlight w:val="none"/>
        </w:rPr>
        <w:t>份。</w:t>
      </w:r>
    </w:p>
    <w:p>
      <w:pPr>
        <w:pStyle w:val="29"/>
        <w:spacing w:line="480" w:lineRule="exact"/>
        <w:ind w:firstLine="480"/>
        <w:jc w:val="left"/>
        <w:rPr>
          <w:rFonts w:ascii="宋体"/>
          <w:highlight w:val="none"/>
        </w:rPr>
      </w:pPr>
      <w:r>
        <w:rPr>
          <w:rFonts w:ascii="宋体" w:hAnsi="宋体"/>
          <w:highlight w:val="none"/>
        </w:rPr>
        <w:t>2</w:t>
      </w:r>
      <w:r>
        <w:rPr>
          <w:rFonts w:hint="eastAsia" w:ascii="宋体" w:hAnsi="宋体"/>
          <w:highlight w:val="none"/>
        </w:rPr>
        <w:t>、如果我们的投标文件被接受，我们将履行招标文件中规定的每一项要求，并按我们投标文件中的承诺按期、按质、按量提供货物。</w:t>
      </w:r>
    </w:p>
    <w:p>
      <w:pPr>
        <w:pStyle w:val="29"/>
        <w:spacing w:line="480" w:lineRule="exact"/>
        <w:ind w:firstLine="480"/>
        <w:jc w:val="left"/>
        <w:rPr>
          <w:rFonts w:ascii="宋体"/>
          <w:highlight w:val="none"/>
        </w:rPr>
      </w:pPr>
      <w:r>
        <w:rPr>
          <w:rFonts w:ascii="宋体" w:hAnsi="宋体"/>
          <w:highlight w:val="none"/>
        </w:rPr>
        <w:t>3</w:t>
      </w:r>
      <w:r>
        <w:rPr>
          <w:rFonts w:hint="eastAsia" w:ascii="宋体" w:hAnsi="宋体"/>
          <w:highlight w:val="none"/>
        </w:rPr>
        <w:t>、我们理解，最低报价不是中标的唯一条件，你们有选择中标人的权力。</w:t>
      </w:r>
    </w:p>
    <w:p>
      <w:pPr>
        <w:pStyle w:val="29"/>
        <w:spacing w:line="480" w:lineRule="exact"/>
        <w:ind w:firstLine="480"/>
        <w:jc w:val="left"/>
        <w:rPr>
          <w:rFonts w:ascii="宋体"/>
          <w:highlight w:val="none"/>
        </w:rPr>
      </w:pPr>
      <w:r>
        <w:rPr>
          <w:rFonts w:ascii="宋体" w:hAnsi="宋体"/>
          <w:highlight w:val="none"/>
        </w:rPr>
        <w:t>4</w:t>
      </w:r>
      <w:r>
        <w:rPr>
          <w:rFonts w:hint="eastAsia" w:ascii="宋体" w:hAnsi="宋体"/>
          <w:highlight w:val="none"/>
        </w:rPr>
        <w:t>、我方愿按《中华人民共和国合同法》履行自己的全部责任。</w:t>
      </w:r>
    </w:p>
    <w:p>
      <w:pPr>
        <w:pStyle w:val="29"/>
        <w:spacing w:line="480" w:lineRule="exact"/>
        <w:ind w:firstLine="480"/>
        <w:jc w:val="left"/>
        <w:rPr>
          <w:rFonts w:ascii="宋体"/>
          <w:highlight w:val="none"/>
        </w:rPr>
      </w:pPr>
      <w:r>
        <w:rPr>
          <w:rFonts w:ascii="宋体" w:hAnsi="宋体"/>
          <w:highlight w:val="none"/>
        </w:rPr>
        <w:t>5</w:t>
      </w:r>
      <w:r>
        <w:rPr>
          <w:rFonts w:hint="eastAsia" w:ascii="宋体" w:hAnsi="宋体"/>
          <w:highlight w:val="none"/>
        </w:rPr>
        <w:t>、我们同意按招标文件规定交纳</w:t>
      </w:r>
      <w:r>
        <w:rPr>
          <w:rFonts w:hint="eastAsia" w:ascii="宋体" w:hAnsi="宋体"/>
          <w:highlight w:val="none"/>
          <w:lang w:eastAsia="zh-CN"/>
        </w:rPr>
        <w:t>投标保证金、</w:t>
      </w:r>
      <w:r>
        <w:rPr>
          <w:rFonts w:hint="eastAsia" w:ascii="宋体" w:hAnsi="宋体"/>
          <w:highlight w:val="none"/>
        </w:rPr>
        <w:t>中标服务费，遵守贵机构有关招标的各项规定。</w:t>
      </w:r>
    </w:p>
    <w:p>
      <w:pPr>
        <w:pStyle w:val="29"/>
        <w:spacing w:line="480" w:lineRule="exact"/>
        <w:ind w:firstLine="480"/>
        <w:jc w:val="left"/>
        <w:rPr>
          <w:rFonts w:ascii="宋体"/>
          <w:highlight w:val="none"/>
        </w:rPr>
      </w:pPr>
      <w:r>
        <w:rPr>
          <w:rFonts w:ascii="宋体" w:hAnsi="宋体"/>
          <w:highlight w:val="none"/>
        </w:rPr>
        <w:t>6</w:t>
      </w:r>
      <w:r>
        <w:rPr>
          <w:rFonts w:hint="eastAsia" w:ascii="宋体" w:hAnsi="宋体"/>
          <w:highlight w:val="none"/>
        </w:rPr>
        <w:t>、我方若未成为中标人，贵机构有权不做任何解释。</w:t>
      </w:r>
    </w:p>
    <w:p>
      <w:pPr>
        <w:pStyle w:val="29"/>
        <w:spacing w:line="480" w:lineRule="exact"/>
        <w:ind w:firstLine="480"/>
        <w:jc w:val="left"/>
        <w:rPr>
          <w:rFonts w:ascii="宋体"/>
          <w:highlight w:val="none"/>
        </w:rPr>
      </w:pPr>
      <w:r>
        <w:rPr>
          <w:rFonts w:ascii="宋体" w:hAnsi="宋体"/>
          <w:highlight w:val="none"/>
        </w:rPr>
        <w:t>7</w:t>
      </w:r>
      <w:r>
        <w:rPr>
          <w:rFonts w:hint="eastAsia" w:ascii="宋体" w:hAnsi="宋体"/>
          <w:highlight w:val="none"/>
        </w:rPr>
        <w:t>、我方的投标文件自开标之日起有效期为</w:t>
      </w:r>
      <w:r>
        <w:rPr>
          <w:rFonts w:ascii="宋体" w:hAnsi="宋体"/>
          <w:highlight w:val="none"/>
          <w:u w:val="single"/>
        </w:rPr>
        <w:t xml:space="preserve">  </w:t>
      </w:r>
      <w:r>
        <w:rPr>
          <w:rFonts w:hint="eastAsia" w:ascii="宋体" w:hAnsi="宋体"/>
          <w:highlight w:val="none"/>
        </w:rPr>
        <w:t>日。</w:t>
      </w:r>
    </w:p>
    <w:p>
      <w:pPr>
        <w:pStyle w:val="29"/>
        <w:spacing w:line="480" w:lineRule="exact"/>
        <w:ind w:firstLine="480"/>
        <w:jc w:val="left"/>
        <w:rPr>
          <w:rFonts w:ascii="宋体"/>
          <w:highlight w:val="none"/>
        </w:rPr>
      </w:pPr>
      <w:r>
        <w:rPr>
          <w:rFonts w:ascii="宋体" w:hAnsi="宋体"/>
          <w:highlight w:val="none"/>
        </w:rPr>
        <w:t>8</w:t>
      </w:r>
      <w:r>
        <w:rPr>
          <w:rFonts w:hint="eastAsia" w:ascii="宋体" w:hAnsi="宋体"/>
          <w:highlight w:val="none"/>
        </w:rPr>
        <w:t>、与本投标有关的一切正式往来通讯请寄：</w:t>
      </w:r>
    </w:p>
    <w:p>
      <w:pPr>
        <w:spacing w:line="480" w:lineRule="exact"/>
        <w:ind w:firstLine="480" w:firstLineChars="200"/>
        <w:rPr>
          <w:rFonts w:ascii="宋体"/>
          <w:sz w:val="24"/>
          <w:highlight w:val="none"/>
        </w:rPr>
      </w:pPr>
      <w:r>
        <w:rPr>
          <w:rFonts w:hint="eastAsia" w:ascii="宋体" w:hAnsi="宋体"/>
          <w:sz w:val="24"/>
          <w:highlight w:val="none"/>
        </w:rPr>
        <w:t>地址：</w:t>
      </w:r>
      <w:r>
        <w:rPr>
          <w:rFonts w:hint="eastAsia" w:ascii="宋体" w:hAnsi="宋体" w:cs="宋体"/>
          <w:sz w:val="24"/>
          <w:highlight w:val="none"/>
        </w:rPr>
        <w:t></w:t>
      </w:r>
    </w:p>
    <w:p>
      <w:pPr>
        <w:spacing w:line="480" w:lineRule="exact"/>
        <w:rPr>
          <w:rFonts w:ascii="宋体"/>
          <w:sz w:val="24"/>
          <w:highlight w:val="none"/>
        </w:rPr>
      </w:pPr>
      <w:r>
        <w:rPr>
          <w:rFonts w:hint="eastAsia" w:ascii="宋体" w:hAnsi="宋体"/>
          <w:sz w:val="24"/>
          <w:highlight w:val="none"/>
        </w:rPr>
        <w:t>邮政编码：</w:t>
      </w:r>
    </w:p>
    <w:p>
      <w:pPr>
        <w:spacing w:line="480" w:lineRule="exact"/>
        <w:rPr>
          <w:rFonts w:ascii="宋体"/>
          <w:sz w:val="24"/>
          <w:highlight w:val="none"/>
        </w:rPr>
      </w:pPr>
      <w:r>
        <w:rPr>
          <w:rFonts w:hint="eastAsia" w:ascii="宋体" w:hAnsi="宋体"/>
          <w:sz w:val="24"/>
          <w:highlight w:val="none"/>
        </w:rPr>
        <w:t>电话号码：</w:t>
      </w:r>
    </w:p>
    <w:p>
      <w:pPr>
        <w:spacing w:line="480" w:lineRule="exact"/>
        <w:rPr>
          <w:rFonts w:ascii="宋体"/>
          <w:sz w:val="24"/>
          <w:highlight w:val="none"/>
        </w:rPr>
      </w:pPr>
      <w:r>
        <w:rPr>
          <w:rFonts w:hint="eastAsia" w:ascii="宋体" w:hAnsi="宋体"/>
          <w:sz w:val="24"/>
          <w:highlight w:val="none"/>
        </w:rPr>
        <w:t>传真号码：</w:t>
      </w:r>
    </w:p>
    <w:p>
      <w:pPr>
        <w:spacing w:line="480" w:lineRule="exact"/>
        <w:rPr>
          <w:rFonts w:ascii="宋体"/>
          <w:sz w:val="24"/>
          <w:highlight w:val="none"/>
        </w:rPr>
      </w:pPr>
      <w:r>
        <w:rPr>
          <w:rFonts w:hint="eastAsia" w:ascii="宋体" w:hAnsi="宋体"/>
          <w:sz w:val="24"/>
          <w:highlight w:val="none"/>
        </w:rPr>
        <w:t>开户名称：</w:t>
      </w:r>
    </w:p>
    <w:p>
      <w:pPr>
        <w:spacing w:line="480" w:lineRule="exact"/>
        <w:rPr>
          <w:rFonts w:ascii="宋体"/>
          <w:sz w:val="24"/>
          <w:highlight w:val="none"/>
        </w:rPr>
      </w:pPr>
      <w:r>
        <w:rPr>
          <w:rFonts w:hint="eastAsia" w:ascii="宋体" w:hAnsi="宋体"/>
          <w:sz w:val="24"/>
          <w:highlight w:val="none"/>
        </w:rPr>
        <w:t>开户银行：</w:t>
      </w:r>
    </w:p>
    <w:p>
      <w:pPr>
        <w:spacing w:line="480" w:lineRule="exact"/>
        <w:rPr>
          <w:rFonts w:ascii="宋体"/>
          <w:sz w:val="24"/>
          <w:highlight w:val="none"/>
        </w:rPr>
      </w:pPr>
      <w:r>
        <w:rPr>
          <w:rFonts w:hint="eastAsia" w:ascii="宋体" w:hAnsi="宋体"/>
          <w:sz w:val="24"/>
          <w:highlight w:val="none"/>
        </w:rPr>
        <w:t>银行帐号：</w:t>
      </w:r>
    </w:p>
    <w:p>
      <w:pPr>
        <w:spacing w:line="480" w:lineRule="exact"/>
        <w:rPr>
          <w:rFonts w:ascii="宋体"/>
          <w:sz w:val="24"/>
          <w:highlight w:val="none"/>
          <w:u w:val="single"/>
        </w:rPr>
      </w:pPr>
      <w:r>
        <w:rPr>
          <w:rFonts w:hint="eastAsia" w:ascii="宋体" w:hAnsi="宋体"/>
          <w:sz w:val="24"/>
          <w:highlight w:val="none"/>
        </w:rPr>
        <w:t>授权代表（签字或盖章</w:t>
      </w:r>
      <w:r>
        <w:rPr>
          <w:rFonts w:ascii="宋体" w:hAnsi="宋体"/>
          <w:sz w:val="24"/>
          <w:highlight w:val="none"/>
        </w:rPr>
        <w:t>)</w:t>
      </w:r>
    </w:p>
    <w:p>
      <w:pPr>
        <w:spacing w:before="145" w:beforeLines="50" w:line="480" w:lineRule="exact"/>
        <w:rPr>
          <w:rFonts w:ascii="宋体"/>
          <w:sz w:val="24"/>
          <w:highlight w:val="none"/>
          <w:u w:val="single"/>
        </w:rPr>
      </w:pPr>
      <w:r>
        <w:rPr>
          <w:rFonts w:hint="eastAsia" w:ascii="宋体" w:hAnsi="宋体"/>
          <w:sz w:val="24"/>
          <w:highlight w:val="none"/>
        </w:rPr>
        <w:t>投标人名称（公章</w:t>
      </w:r>
      <w:r>
        <w:rPr>
          <w:rFonts w:ascii="宋体" w:hAnsi="宋体"/>
          <w:sz w:val="24"/>
          <w:highlight w:val="none"/>
        </w:rPr>
        <w:t>)</w:t>
      </w:r>
    </w:p>
    <w:p>
      <w:pPr>
        <w:spacing w:line="480" w:lineRule="exact"/>
        <w:rPr>
          <w:rFonts w:ascii="宋体"/>
          <w:sz w:val="24"/>
          <w:highlight w:val="none"/>
        </w:rPr>
      </w:pPr>
      <w:r>
        <w:rPr>
          <w:rFonts w:hint="eastAsia" w:ascii="宋体" w:hAnsi="宋体"/>
          <w:sz w:val="24"/>
          <w:highlight w:val="none"/>
        </w:rPr>
        <w:t>日期：</w:t>
      </w:r>
    </w:p>
    <w:p>
      <w:pPr>
        <w:spacing w:before="145" w:beforeLines="50" w:line="480" w:lineRule="exact"/>
        <w:rPr>
          <w:rFonts w:ascii="宋体"/>
          <w:bCs/>
          <w:sz w:val="24"/>
          <w:highlight w:val="none"/>
        </w:rPr>
      </w:pPr>
      <w:r>
        <w:rPr>
          <w:rFonts w:ascii="宋体"/>
          <w:sz w:val="24"/>
          <w:highlight w:val="none"/>
        </w:rPr>
        <w:br w:type="page"/>
      </w:r>
      <w:r>
        <w:rPr>
          <w:rFonts w:hint="eastAsia" w:ascii="宋体" w:hAnsi="宋体"/>
          <w:bCs/>
          <w:sz w:val="24"/>
          <w:highlight w:val="none"/>
        </w:rPr>
        <w:t>附件二：</w:t>
      </w:r>
    </w:p>
    <w:p>
      <w:pPr>
        <w:pStyle w:val="19"/>
        <w:spacing w:line="480" w:lineRule="exact"/>
        <w:jc w:val="center"/>
        <w:rPr>
          <w:rFonts w:ascii="宋体"/>
          <w:b/>
          <w:sz w:val="32"/>
          <w:szCs w:val="32"/>
          <w:highlight w:val="none"/>
        </w:rPr>
      </w:pPr>
      <w:r>
        <w:rPr>
          <w:rFonts w:hint="eastAsia" w:ascii="宋体" w:hAnsi="宋体"/>
          <w:b/>
          <w:sz w:val="32"/>
          <w:szCs w:val="32"/>
          <w:highlight w:val="none"/>
        </w:rPr>
        <w:t>授权委托书</w:t>
      </w:r>
    </w:p>
    <w:p>
      <w:pPr>
        <w:pStyle w:val="19"/>
        <w:spacing w:line="480" w:lineRule="exact"/>
        <w:jc w:val="center"/>
        <w:rPr>
          <w:rFonts w:ascii="宋体"/>
          <w:b/>
          <w:sz w:val="32"/>
          <w:highlight w:val="none"/>
        </w:rPr>
      </w:pPr>
    </w:p>
    <w:p>
      <w:pPr>
        <w:overflowPunct w:val="0"/>
        <w:autoSpaceDE w:val="0"/>
        <w:autoSpaceDN w:val="0"/>
        <w:adjustRightInd w:val="0"/>
        <w:spacing w:line="480" w:lineRule="exact"/>
        <w:ind w:firstLine="480" w:firstLineChars="200"/>
        <w:jc w:val="left"/>
        <w:rPr>
          <w:rFonts w:ascii="宋体"/>
          <w:kern w:val="0"/>
          <w:sz w:val="24"/>
          <w:highlight w:val="none"/>
        </w:rPr>
      </w:pPr>
      <w:r>
        <w:rPr>
          <w:rFonts w:hint="eastAsia" w:ascii="宋体" w:hAnsi="宋体"/>
          <w:kern w:val="0"/>
          <w:sz w:val="24"/>
          <w:highlight w:val="none"/>
        </w:rPr>
        <w:t>本授权委托书声明：我（姓名）系</w:t>
      </w:r>
      <w:r>
        <w:rPr>
          <w:rFonts w:hint="eastAsia" w:ascii="宋体" w:hAnsi="宋体"/>
          <w:kern w:val="0"/>
          <w:sz w:val="24"/>
          <w:highlight w:val="none"/>
          <w:u w:val="single"/>
        </w:rPr>
        <w:t>（投标人名称）</w:t>
      </w:r>
      <w:r>
        <w:rPr>
          <w:rFonts w:hint="eastAsia" w:ascii="宋体" w:hAnsi="宋体"/>
          <w:kern w:val="0"/>
          <w:sz w:val="24"/>
          <w:highlight w:val="none"/>
        </w:rPr>
        <w:t>的法定代表人，现授权委托</w:t>
      </w:r>
      <w:r>
        <w:rPr>
          <w:rFonts w:hint="eastAsia" w:ascii="宋体" w:hAnsi="宋体"/>
          <w:kern w:val="0"/>
          <w:sz w:val="24"/>
          <w:highlight w:val="none"/>
          <w:u w:val="single"/>
        </w:rPr>
        <w:t>（投标人名称）</w:t>
      </w:r>
      <w:r>
        <w:rPr>
          <w:rFonts w:hint="eastAsia" w:ascii="宋体" w:hAnsi="宋体"/>
          <w:kern w:val="0"/>
          <w:sz w:val="24"/>
          <w:highlight w:val="none"/>
        </w:rPr>
        <w:t>的</w:t>
      </w:r>
      <w:r>
        <w:rPr>
          <w:rFonts w:hint="eastAsia" w:ascii="宋体" w:hAnsi="宋体"/>
          <w:kern w:val="0"/>
          <w:sz w:val="24"/>
          <w:highlight w:val="none"/>
          <w:u w:val="single"/>
        </w:rPr>
        <w:t>（姓名）</w:t>
      </w:r>
      <w:r>
        <w:rPr>
          <w:rFonts w:hint="eastAsia" w:ascii="宋体" w:hAnsi="宋体"/>
          <w:kern w:val="0"/>
          <w:sz w:val="24"/>
          <w:highlight w:val="none"/>
        </w:rPr>
        <w:t>为我方代理人，代理人根据授权，以我方名义签署、澄清、说明、补正、递交、撤回、修改（招标编号：</w:t>
      </w:r>
      <w:r>
        <w:rPr>
          <w:rFonts w:ascii="宋体" w:hAnsi="宋体"/>
          <w:kern w:val="0"/>
          <w:sz w:val="24"/>
          <w:highlight w:val="none"/>
          <w:u w:val="single"/>
        </w:rPr>
        <w:t xml:space="preserve">        </w:t>
      </w:r>
      <w:r>
        <w:rPr>
          <w:rFonts w:hint="eastAsia" w:ascii="宋体" w:hAnsi="宋体"/>
          <w:kern w:val="0"/>
          <w:sz w:val="24"/>
          <w:highlight w:val="none"/>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代理人无转委托权，特此委托．</w:t>
      </w:r>
    </w:p>
    <w:p>
      <w:pPr>
        <w:overflowPunct w:val="0"/>
        <w:autoSpaceDE w:val="0"/>
        <w:autoSpaceDN w:val="0"/>
        <w:adjustRightInd w:val="0"/>
        <w:spacing w:line="480" w:lineRule="exact"/>
        <w:ind w:firstLine="567"/>
        <w:jc w:val="left"/>
        <w:rPr>
          <w:rFonts w:ascii="宋体"/>
          <w:kern w:val="0"/>
          <w:sz w:val="24"/>
          <w:highlight w:val="none"/>
        </w:rPr>
      </w:pPr>
    </w:p>
    <w:tbl>
      <w:tblPr>
        <w:tblStyle w:val="49"/>
        <w:tblW w:w="7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kern w:val="0"/>
                <w:sz w:val="24"/>
                <w:highlight w:val="none"/>
              </w:rPr>
            </w:pPr>
            <w:r>
              <w:rPr>
                <w:rFonts w:hint="eastAsia" w:ascii="宋体" w:hAnsi="宋体"/>
                <w:highlight w:val="none"/>
              </w:rPr>
              <w:t>委托代理人身份证复印件或扫描件</w:t>
            </w:r>
          </w:p>
        </w:tc>
      </w:tr>
    </w:tbl>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投标人：</w:t>
      </w:r>
      <w:r>
        <w:rPr>
          <w:rFonts w:hint="eastAsia" w:ascii="宋体" w:hAnsi="宋体"/>
          <w:kern w:val="0"/>
          <w:sz w:val="24"/>
          <w:highlight w:val="none"/>
          <w:u w:val="single"/>
        </w:rPr>
        <w:t>（盖章）</w:t>
      </w:r>
      <w:r>
        <w:rPr>
          <w:rFonts w:ascii="宋体" w:hAnsi="宋体"/>
          <w:kern w:val="0"/>
          <w:sz w:val="24"/>
          <w:highlight w:val="none"/>
          <w:u w:val="single"/>
        </w:rPr>
        <w:t xml:space="preserve">          </w:t>
      </w: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法定代表人：</w:t>
      </w:r>
      <w:r>
        <w:rPr>
          <w:rFonts w:hint="eastAsia" w:ascii="宋体" w:hAnsi="宋体"/>
          <w:kern w:val="0"/>
          <w:sz w:val="24"/>
          <w:highlight w:val="none"/>
          <w:u w:val="single"/>
        </w:rPr>
        <w:t>（签字或盖章）</w:t>
      </w: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授权委托日期：</w:t>
      </w:r>
      <w:r>
        <w:rPr>
          <w:rFonts w:ascii="宋体" w:hAnsi="宋体"/>
          <w:kern w:val="0"/>
          <w:sz w:val="24"/>
          <w:highlight w:val="none"/>
        </w:rPr>
        <w:t xml:space="preserve"> </w:t>
      </w:r>
      <w:r>
        <w:rPr>
          <w:rFonts w:hint="eastAsia" w:ascii="宋体" w:hAnsi="宋体"/>
          <w:kern w:val="0"/>
          <w:sz w:val="24"/>
          <w:highlight w:val="none"/>
        </w:rPr>
        <w:t>年</w:t>
      </w:r>
      <w:r>
        <w:rPr>
          <w:rFonts w:ascii="宋体" w:hAnsi="宋体"/>
          <w:kern w:val="0"/>
          <w:sz w:val="24"/>
          <w:highlight w:val="none"/>
        </w:rPr>
        <w:t xml:space="preserve"> </w:t>
      </w:r>
      <w:r>
        <w:rPr>
          <w:rFonts w:hint="eastAsia" w:ascii="宋体" w:hAnsi="宋体"/>
          <w:kern w:val="0"/>
          <w:sz w:val="24"/>
          <w:highlight w:val="none"/>
        </w:rPr>
        <w:t>月</w:t>
      </w:r>
      <w:r>
        <w:rPr>
          <w:rFonts w:ascii="宋体" w:hAnsi="宋体"/>
          <w:kern w:val="0"/>
          <w:sz w:val="24"/>
          <w:highlight w:val="none"/>
        </w:rPr>
        <w:t xml:space="preserve"> </w:t>
      </w:r>
      <w:r>
        <w:rPr>
          <w:rFonts w:hint="eastAsia" w:ascii="宋体" w:hAnsi="宋体"/>
          <w:kern w:val="0"/>
          <w:sz w:val="24"/>
          <w:highlight w:val="none"/>
        </w:rPr>
        <w:t>日</w:t>
      </w:r>
    </w:p>
    <w:p>
      <w:pPr>
        <w:pStyle w:val="19"/>
        <w:spacing w:line="480" w:lineRule="exact"/>
        <w:rPr>
          <w:rFonts w:ascii="宋体"/>
          <w:bCs/>
          <w:highlight w:val="none"/>
        </w:rPr>
      </w:pPr>
      <w:r>
        <w:rPr>
          <w:rFonts w:ascii="宋体"/>
          <w:bCs/>
          <w:highlight w:val="none"/>
        </w:rPr>
        <w:br w:type="page"/>
      </w:r>
      <w:r>
        <w:rPr>
          <w:rFonts w:hint="eastAsia" w:ascii="宋体" w:hAnsi="宋体"/>
          <w:bCs/>
          <w:highlight w:val="none"/>
        </w:rPr>
        <w:t>附件三：</w:t>
      </w:r>
    </w:p>
    <w:p>
      <w:pPr>
        <w:pStyle w:val="19"/>
        <w:spacing w:after="145" w:afterLines="50" w:line="480" w:lineRule="exact"/>
        <w:jc w:val="center"/>
        <w:rPr>
          <w:rFonts w:hint="eastAsia" w:ascii="宋体" w:eastAsia="宋体"/>
          <w:b/>
          <w:bCs/>
          <w:sz w:val="32"/>
          <w:szCs w:val="32"/>
          <w:highlight w:val="none"/>
          <w:lang w:eastAsia="zh-CN"/>
        </w:rPr>
      </w:pPr>
      <w:r>
        <w:rPr>
          <w:rFonts w:hint="eastAsia" w:ascii="宋体" w:hAnsi="宋体"/>
          <w:b/>
          <w:bCs/>
          <w:sz w:val="32"/>
          <w:szCs w:val="32"/>
          <w:highlight w:val="none"/>
        </w:rPr>
        <w:t>开标一览表</w:t>
      </w:r>
    </w:p>
    <w:p>
      <w:pPr>
        <w:pStyle w:val="19"/>
        <w:spacing w:line="480" w:lineRule="exact"/>
        <w:jc w:val="center"/>
        <w:rPr>
          <w:rFonts w:ascii="宋体"/>
          <w:bCs/>
          <w:szCs w:val="24"/>
          <w:highlight w:val="none"/>
        </w:rPr>
      </w:pPr>
      <w:r>
        <w:rPr>
          <w:rFonts w:ascii="宋体" w:hAnsi="宋体"/>
          <w:bCs/>
          <w:szCs w:val="24"/>
          <w:highlight w:val="none"/>
        </w:rPr>
        <w:t xml:space="preserve">                                                       </w:t>
      </w:r>
      <w:r>
        <w:rPr>
          <w:rFonts w:hint="eastAsia" w:ascii="宋体" w:hAnsi="宋体"/>
          <w:bCs/>
          <w:szCs w:val="24"/>
          <w:highlight w:val="none"/>
        </w:rPr>
        <w:t>单位：元人民币</w:t>
      </w:r>
    </w:p>
    <w:tbl>
      <w:tblPr>
        <w:tblStyle w:val="49"/>
        <w:tblW w:w="9820"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9"/>
        <w:gridCol w:w="7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项目名称</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投标人名称</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699" w:type="dxa"/>
            <w:tcBorders>
              <w:top w:val="nil"/>
            </w:tcBorders>
            <w:vAlign w:val="center"/>
          </w:tcPr>
          <w:p>
            <w:pPr>
              <w:spacing w:line="480" w:lineRule="exact"/>
              <w:jc w:val="center"/>
              <w:rPr>
                <w:rFonts w:ascii="宋体"/>
                <w:bCs/>
                <w:sz w:val="24"/>
                <w:highlight w:val="none"/>
              </w:rPr>
            </w:pPr>
            <w:r>
              <w:rPr>
                <w:rFonts w:hint="eastAsia" w:ascii="宋体" w:hAnsi="宋体"/>
                <w:bCs/>
                <w:sz w:val="24"/>
                <w:highlight w:val="none"/>
              </w:rPr>
              <w:t>产地</w:t>
            </w:r>
            <w:r>
              <w:rPr>
                <w:rFonts w:ascii="宋体" w:hAnsi="宋体"/>
                <w:bCs/>
                <w:sz w:val="24"/>
                <w:highlight w:val="none"/>
              </w:rPr>
              <w:t>/</w:t>
            </w:r>
            <w:r>
              <w:rPr>
                <w:rFonts w:hint="eastAsia" w:ascii="宋体" w:hAnsi="宋体"/>
                <w:bCs/>
                <w:sz w:val="24"/>
                <w:highlight w:val="none"/>
              </w:rPr>
              <w:t>品牌</w:t>
            </w:r>
            <w:r>
              <w:rPr>
                <w:rFonts w:ascii="宋体" w:hAnsi="宋体"/>
                <w:bCs/>
                <w:sz w:val="24"/>
                <w:highlight w:val="none"/>
              </w:rPr>
              <w:t>/</w:t>
            </w:r>
            <w:r>
              <w:rPr>
                <w:rFonts w:hint="eastAsia" w:ascii="宋体" w:hAnsi="宋体"/>
                <w:bCs/>
                <w:sz w:val="24"/>
                <w:highlight w:val="none"/>
              </w:rPr>
              <w:t>型号</w:t>
            </w:r>
          </w:p>
        </w:tc>
        <w:tc>
          <w:tcPr>
            <w:tcW w:w="7121" w:type="dxa"/>
            <w:vAlign w:val="center"/>
          </w:tcPr>
          <w:p>
            <w:pPr>
              <w:spacing w:line="480" w:lineRule="exact"/>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w:t>
            </w:r>
            <w:r>
              <w:rPr>
                <w:rFonts w:hint="eastAsia" w:ascii="宋体" w:hAnsi="宋体"/>
                <w:bCs/>
                <w:sz w:val="24"/>
                <w:highlight w:val="none"/>
                <w:lang w:eastAsia="zh-CN"/>
              </w:rPr>
              <w:t>报</w:t>
            </w:r>
            <w:r>
              <w:rPr>
                <w:rFonts w:hint="eastAsia" w:ascii="宋体" w:hAnsi="宋体"/>
                <w:bCs/>
                <w:sz w:val="24"/>
                <w:highlight w:val="none"/>
              </w:rPr>
              <w:t>价</w:t>
            </w:r>
          </w:p>
        </w:tc>
        <w:tc>
          <w:tcPr>
            <w:tcW w:w="7121" w:type="dxa"/>
            <w:vAlign w:val="center"/>
          </w:tcPr>
          <w:p>
            <w:pPr>
              <w:spacing w:line="360" w:lineRule="auto"/>
              <w:rPr>
                <w:rFonts w:ascii="宋体" w:hAnsi="宋体" w:cs="宋体"/>
                <w:color w:val="auto"/>
                <w:szCs w:val="20"/>
                <w:highlight w:val="none"/>
              </w:rPr>
            </w:pPr>
            <w:r>
              <w:rPr>
                <w:rFonts w:ascii="宋体" w:hAnsi="宋体" w:cs="宋体"/>
                <w:color w:val="auto"/>
                <w:szCs w:val="20"/>
                <w:highlight w:val="none"/>
              </w:rPr>
              <w:t>（大写）：</w:t>
            </w:r>
          </w:p>
          <w:p>
            <w:pPr>
              <w:spacing w:line="480" w:lineRule="exact"/>
              <w:rPr>
                <w:rFonts w:hint="eastAsia" w:ascii="宋体" w:hAnsi="宋体" w:eastAsia="宋体"/>
                <w:sz w:val="24"/>
                <w:highlight w:val="none"/>
                <w:lang w:eastAsia="zh-CN"/>
              </w:rPr>
            </w:pPr>
            <w:r>
              <w:rPr>
                <w:rFonts w:ascii="宋体" w:hAnsi="宋体" w:cs="宋体"/>
                <w:color w:val="auto"/>
                <w:szCs w:val="20"/>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交付期</w:t>
            </w:r>
          </w:p>
        </w:tc>
        <w:tc>
          <w:tcPr>
            <w:tcW w:w="7121" w:type="dxa"/>
            <w:vAlign w:val="center"/>
          </w:tcPr>
          <w:p>
            <w:pPr>
              <w:spacing w:line="480" w:lineRule="exact"/>
              <w:rPr>
                <w:rFonts w:ascii="宋体"/>
                <w:bCs/>
                <w:sz w:val="24"/>
                <w:highlight w:val="none"/>
              </w:rPr>
            </w:pPr>
            <w:r>
              <w:rPr>
                <w:rFonts w:ascii="宋体" w:hAnsi="宋体"/>
                <w:sz w:val="24"/>
                <w:highlight w:val="none"/>
                <w:u w:val="single"/>
              </w:rPr>
              <w:t xml:space="preserve">     </w:t>
            </w:r>
            <w:r>
              <w:rPr>
                <w:rFonts w:hint="eastAsia" w:ascii="宋体" w:hAnsi="宋体"/>
                <w:sz w:val="24"/>
                <w:highlight w:val="none"/>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699" w:type="dxa"/>
            <w:vAlign w:val="center"/>
          </w:tcPr>
          <w:p>
            <w:pPr>
              <w:spacing w:line="480" w:lineRule="exact"/>
              <w:jc w:val="center"/>
              <w:rPr>
                <w:rFonts w:ascii="宋体"/>
                <w:sz w:val="24"/>
                <w:highlight w:val="none"/>
              </w:rPr>
            </w:pPr>
            <w:r>
              <w:rPr>
                <w:rFonts w:hint="eastAsia" w:ascii="宋体" w:hAnsi="宋体"/>
                <w:sz w:val="24"/>
                <w:highlight w:val="none"/>
              </w:rPr>
              <w:t>质保期</w:t>
            </w:r>
          </w:p>
        </w:tc>
        <w:tc>
          <w:tcPr>
            <w:tcW w:w="7121" w:type="dxa"/>
            <w:vAlign w:val="center"/>
          </w:tcPr>
          <w:p>
            <w:pPr>
              <w:spacing w:line="480" w:lineRule="exact"/>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投标人对招标文件的</w:t>
            </w:r>
          </w:p>
          <w:p>
            <w:pPr>
              <w:spacing w:line="480" w:lineRule="exact"/>
              <w:jc w:val="center"/>
              <w:rPr>
                <w:rFonts w:ascii="宋体"/>
                <w:bCs/>
                <w:sz w:val="24"/>
                <w:highlight w:val="none"/>
              </w:rPr>
            </w:pPr>
            <w:r>
              <w:rPr>
                <w:rFonts w:hint="eastAsia" w:ascii="宋体" w:hAnsi="宋体"/>
                <w:bCs/>
                <w:sz w:val="24"/>
                <w:highlight w:val="none"/>
              </w:rPr>
              <w:t>认同情况</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备注</w:t>
            </w:r>
          </w:p>
        </w:tc>
        <w:tc>
          <w:tcPr>
            <w:tcW w:w="7121" w:type="dxa"/>
            <w:vAlign w:val="center"/>
          </w:tcPr>
          <w:p>
            <w:pPr>
              <w:spacing w:line="480" w:lineRule="exact"/>
              <w:rPr>
                <w:rFonts w:ascii="宋体"/>
                <w:bCs/>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w:t>
      </w:r>
    </w:p>
    <w:p>
      <w:pPr>
        <w:pStyle w:val="96"/>
        <w:spacing w:before="240" w:line="480" w:lineRule="exact"/>
        <w:ind w:right="94" w:firstLine="7182" w:firstLineChars="2850"/>
        <w:rPr>
          <w:rFonts w:ascii="宋体"/>
          <w:highlight w:val="none"/>
        </w:rPr>
      </w:pP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pPr>
        <w:spacing w:line="480" w:lineRule="exact"/>
        <w:rPr>
          <w:sz w:val="24"/>
          <w:highlight w:val="none"/>
        </w:rPr>
      </w:pPr>
      <w:r>
        <w:rPr>
          <w:rFonts w:hint="eastAsia" w:ascii="宋体" w:hAnsi="宋体"/>
          <w:sz w:val="24"/>
          <w:highlight w:val="none"/>
        </w:rPr>
        <w:t>说明：</w:t>
      </w:r>
      <w:r>
        <w:rPr>
          <w:rFonts w:hint="eastAsia"/>
          <w:sz w:val="24"/>
          <w:highlight w:val="none"/>
        </w:rPr>
        <w:t>本报价内容一览表除与投标文件装订在一起外，应单独密封一份用于唱标，各项内容务必填写详细，可以填满，但不允许添加附页。</w:t>
      </w:r>
      <w:r>
        <w:rPr>
          <w:sz w:val="24"/>
          <w:highlight w:val="none"/>
        </w:rPr>
        <w:t xml:space="preserve"> </w:t>
      </w:r>
    </w:p>
    <w:p>
      <w:pPr>
        <w:spacing w:line="480" w:lineRule="exact"/>
        <w:rPr>
          <w:rFonts w:ascii="宋体"/>
          <w:b/>
          <w:sz w:val="24"/>
          <w:highlight w:val="none"/>
        </w:rPr>
      </w:pPr>
    </w:p>
    <w:p>
      <w:pPr>
        <w:spacing w:line="480" w:lineRule="exact"/>
        <w:rPr>
          <w:rFonts w:ascii="宋体"/>
          <w:b/>
          <w:sz w:val="24"/>
          <w:highlight w:val="none"/>
        </w:rPr>
        <w:sectPr>
          <w:footerReference r:id="rId6" w:type="first"/>
          <w:footerReference r:id="rId5" w:type="default"/>
          <w:type w:val="continuous"/>
          <w:pgSz w:w="11907" w:h="16840"/>
          <w:pgMar w:top="1304" w:right="1383" w:bottom="1157" w:left="1531" w:header="851" w:footer="850" w:gutter="0"/>
          <w:pgNumType w:fmt="decimal" w:start="1"/>
          <w:cols w:space="0" w:num="1"/>
          <w:titlePg/>
          <w:rtlGutter w:val="0"/>
          <w:docGrid w:type="lines" w:linePitch="290" w:charSpace="0"/>
        </w:sectPr>
      </w:pPr>
    </w:p>
    <w:p>
      <w:pPr>
        <w:pStyle w:val="19"/>
        <w:spacing w:line="480" w:lineRule="exact"/>
        <w:outlineLvl w:val="0"/>
        <w:rPr>
          <w:rFonts w:ascii="宋体"/>
          <w:highlight w:val="none"/>
        </w:rPr>
      </w:pPr>
      <w:bookmarkStart w:id="162" w:name="_Toc32015"/>
      <w:bookmarkStart w:id="163" w:name="_Toc23111"/>
      <w:bookmarkStart w:id="164" w:name="_Toc5221"/>
      <w:r>
        <w:rPr>
          <w:rFonts w:hint="eastAsia" w:ascii="宋体" w:hAnsi="宋体"/>
          <w:highlight w:val="none"/>
        </w:rPr>
        <w:t>附件四：</w:t>
      </w:r>
      <w:bookmarkEnd w:id="162"/>
      <w:bookmarkEnd w:id="163"/>
      <w:bookmarkEnd w:id="164"/>
    </w:p>
    <w:p>
      <w:pPr>
        <w:pStyle w:val="19"/>
        <w:spacing w:line="480" w:lineRule="exact"/>
        <w:jc w:val="center"/>
        <w:outlineLvl w:val="0"/>
        <w:rPr>
          <w:rFonts w:ascii="宋体"/>
          <w:b/>
          <w:sz w:val="32"/>
          <w:szCs w:val="32"/>
          <w:highlight w:val="none"/>
        </w:rPr>
      </w:pPr>
      <w:bookmarkStart w:id="165" w:name="_Toc26583"/>
      <w:bookmarkStart w:id="166" w:name="_Toc17048"/>
      <w:bookmarkStart w:id="167" w:name="_Toc27446"/>
      <w:r>
        <w:rPr>
          <w:rFonts w:hint="eastAsia" w:ascii="宋体" w:hAnsi="宋体"/>
          <w:b/>
          <w:sz w:val="32"/>
          <w:szCs w:val="32"/>
          <w:highlight w:val="none"/>
        </w:rPr>
        <w:t>投标明细表</w:t>
      </w:r>
      <w:bookmarkEnd w:id="165"/>
      <w:bookmarkEnd w:id="166"/>
      <w:bookmarkEnd w:id="167"/>
    </w:p>
    <w:p>
      <w:pPr>
        <w:tabs>
          <w:tab w:val="left" w:pos="1785"/>
        </w:tabs>
        <w:spacing w:line="480" w:lineRule="exact"/>
        <w:rPr>
          <w:rFonts w:ascii="宋体"/>
          <w:sz w:val="24"/>
          <w:highlight w:val="none"/>
        </w:rPr>
      </w:pPr>
      <w:r>
        <w:rPr>
          <w:rFonts w:hint="eastAsia" w:ascii="宋体" w:hAnsi="宋体"/>
          <w:b/>
          <w:sz w:val="24"/>
          <w:highlight w:val="none"/>
        </w:rPr>
        <w:t>货物名称</w:t>
      </w:r>
      <w:r>
        <w:rPr>
          <w:rFonts w:ascii="宋体" w:hAnsi="宋体"/>
          <w:b/>
          <w:sz w:val="24"/>
          <w:highlight w:val="none"/>
        </w:rPr>
        <w:t xml:space="preserve"> :                                                                                    </w:t>
      </w:r>
      <w:r>
        <w:rPr>
          <w:rFonts w:hint="eastAsia" w:ascii="宋体" w:hAnsi="宋体"/>
          <w:b/>
          <w:sz w:val="24"/>
          <w:highlight w:val="none"/>
          <w:lang w:val="en-US" w:eastAsia="zh-CN"/>
        </w:rPr>
        <w:t xml:space="preserve"> </w:t>
      </w:r>
      <w:r>
        <w:rPr>
          <w:rFonts w:ascii="宋体" w:hAnsi="宋体"/>
          <w:b/>
          <w:sz w:val="24"/>
          <w:highlight w:val="none"/>
        </w:rPr>
        <w:t xml:space="preserve">     </w:t>
      </w:r>
      <w:r>
        <w:rPr>
          <w:rFonts w:hint="eastAsia" w:ascii="宋体" w:hAnsi="宋体"/>
          <w:b/>
          <w:sz w:val="24"/>
          <w:highlight w:val="none"/>
        </w:rPr>
        <w:t>投标货币：</w:t>
      </w:r>
      <w:r>
        <w:rPr>
          <w:rFonts w:ascii="宋体" w:hAnsi="宋体"/>
          <w:sz w:val="24"/>
          <w:highlight w:val="none"/>
        </w:rPr>
        <w:t xml:space="preserve"> </w:t>
      </w:r>
    </w:p>
    <w:tbl>
      <w:tblPr>
        <w:tblStyle w:val="49"/>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64"/>
        <w:gridCol w:w="1566"/>
        <w:gridCol w:w="1602"/>
        <w:gridCol w:w="1056"/>
        <w:gridCol w:w="702"/>
        <w:gridCol w:w="1050"/>
        <w:gridCol w:w="735"/>
        <w:gridCol w:w="945"/>
        <w:gridCol w:w="840"/>
        <w:gridCol w:w="1155"/>
        <w:gridCol w:w="115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48" w:type="dxa"/>
            <w:vMerge w:val="restart"/>
            <w:vAlign w:val="center"/>
          </w:tcPr>
          <w:p>
            <w:pPr>
              <w:spacing w:line="480" w:lineRule="exact"/>
              <w:jc w:val="center"/>
              <w:rPr>
                <w:rFonts w:ascii="宋体"/>
                <w:sz w:val="24"/>
                <w:highlight w:val="none"/>
              </w:rPr>
            </w:pPr>
            <w:r>
              <w:rPr>
                <w:rFonts w:hint="eastAsia" w:ascii="宋体" w:hAnsi="宋体"/>
                <w:sz w:val="24"/>
                <w:highlight w:val="none"/>
              </w:rPr>
              <w:t>序号</w:t>
            </w:r>
          </w:p>
        </w:tc>
        <w:tc>
          <w:tcPr>
            <w:tcW w:w="1164" w:type="dxa"/>
            <w:vMerge w:val="restart"/>
            <w:vAlign w:val="center"/>
          </w:tcPr>
          <w:p>
            <w:pPr>
              <w:spacing w:line="480" w:lineRule="exact"/>
              <w:jc w:val="center"/>
              <w:rPr>
                <w:rFonts w:ascii="宋体"/>
                <w:sz w:val="24"/>
                <w:highlight w:val="none"/>
              </w:rPr>
            </w:pPr>
            <w:r>
              <w:rPr>
                <w:rFonts w:hint="eastAsia" w:ascii="宋体" w:hAnsi="宋体"/>
                <w:sz w:val="24"/>
                <w:highlight w:val="none"/>
              </w:rPr>
              <w:t>货物</w:t>
            </w:r>
          </w:p>
          <w:p>
            <w:pPr>
              <w:spacing w:line="480" w:lineRule="exact"/>
              <w:jc w:val="center"/>
              <w:rPr>
                <w:rFonts w:ascii="宋体"/>
                <w:sz w:val="24"/>
                <w:highlight w:val="none"/>
              </w:rPr>
            </w:pPr>
            <w:r>
              <w:rPr>
                <w:rFonts w:hint="eastAsia" w:ascii="宋体" w:hAnsi="宋体"/>
                <w:sz w:val="24"/>
                <w:highlight w:val="none"/>
              </w:rPr>
              <w:t>名称</w:t>
            </w:r>
          </w:p>
        </w:tc>
        <w:tc>
          <w:tcPr>
            <w:tcW w:w="1566" w:type="dxa"/>
            <w:vMerge w:val="restart"/>
            <w:vAlign w:val="center"/>
          </w:tcPr>
          <w:p>
            <w:pPr>
              <w:spacing w:line="480" w:lineRule="exact"/>
              <w:jc w:val="center"/>
              <w:rPr>
                <w:rFonts w:ascii="宋体"/>
                <w:sz w:val="24"/>
                <w:highlight w:val="none"/>
              </w:rPr>
            </w:pPr>
            <w:r>
              <w:rPr>
                <w:rFonts w:hint="eastAsia" w:ascii="宋体" w:hAnsi="宋体"/>
                <w:sz w:val="24"/>
                <w:highlight w:val="none"/>
              </w:rPr>
              <w:t>规格</w:t>
            </w:r>
          </w:p>
          <w:p>
            <w:pPr>
              <w:spacing w:line="480" w:lineRule="exact"/>
              <w:jc w:val="center"/>
              <w:rPr>
                <w:rFonts w:ascii="宋体"/>
                <w:sz w:val="24"/>
                <w:highlight w:val="none"/>
              </w:rPr>
            </w:pPr>
            <w:r>
              <w:rPr>
                <w:rFonts w:hint="eastAsia" w:ascii="宋体" w:hAnsi="宋体"/>
                <w:sz w:val="24"/>
                <w:highlight w:val="none"/>
              </w:rPr>
              <w:t>型号</w:t>
            </w:r>
          </w:p>
        </w:tc>
        <w:tc>
          <w:tcPr>
            <w:tcW w:w="1602" w:type="dxa"/>
            <w:vMerge w:val="restart"/>
            <w:vAlign w:val="center"/>
          </w:tcPr>
          <w:p>
            <w:pPr>
              <w:spacing w:line="480" w:lineRule="exact"/>
              <w:jc w:val="center"/>
              <w:rPr>
                <w:rFonts w:ascii="宋体"/>
                <w:sz w:val="24"/>
                <w:highlight w:val="none"/>
              </w:rPr>
            </w:pPr>
            <w:r>
              <w:rPr>
                <w:rFonts w:hint="eastAsia" w:ascii="宋体" w:hAnsi="宋体"/>
                <w:sz w:val="24"/>
                <w:highlight w:val="none"/>
              </w:rPr>
              <w:t>制造商</w:t>
            </w:r>
            <w:r>
              <w:rPr>
                <w:rFonts w:ascii="宋体" w:hAnsi="宋体"/>
                <w:sz w:val="24"/>
                <w:highlight w:val="none"/>
              </w:rPr>
              <w:t>/</w:t>
            </w:r>
            <w:r>
              <w:rPr>
                <w:rFonts w:hint="eastAsia" w:ascii="宋体" w:hAnsi="宋体"/>
                <w:sz w:val="24"/>
                <w:highlight w:val="none"/>
              </w:rPr>
              <w:t>品牌</w:t>
            </w:r>
          </w:p>
        </w:tc>
        <w:tc>
          <w:tcPr>
            <w:tcW w:w="1056" w:type="dxa"/>
            <w:vMerge w:val="restart"/>
            <w:vAlign w:val="center"/>
          </w:tcPr>
          <w:p>
            <w:pPr>
              <w:spacing w:line="480" w:lineRule="exact"/>
              <w:jc w:val="center"/>
              <w:rPr>
                <w:rFonts w:ascii="宋体"/>
                <w:sz w:val="24"/>
                <w:highlight w:val="none"/>
              </w:rPr>
            </w:pPr>
            <w:r>
              <w:rPr>
                <w:rFonts w:hint="eastAsia" w:ascii="宋体" w:hAnsi="宋体"/>
                <w:sz w:val="24"/>
                <w:highlight w:val="none"/>
              </w:rPr>
              <w:t>数量</w:t>
            </w:r>
          </w:p>
        </w:tc>
        <w:tc>
          <w:tcPr>
            <w:tcW w:w="1752" w:type="dxa"/>
            <w:gridSpan w:val="2"/>
            <w:vAlign w:val="center"/>
          </w:tcPr>
          <w:p>
            <w:pPr>
              <w:spacing w:line="480" w:lineRule="exact"/>
              <w:jc w:val="center"/>
              <w:rPr>
                <w:rFonts w:ascii="宋体"/>
                <w:sz w:val="24"/>
                <w:highlight w:val="none"/>
              </w:rPr>
            </w:pPr>
            <w:r>
              <w:rPr>
                <w:rFonts w:hint="eastAsia" w:ascii="宋体" w:hAnsi="宋体"/>
                <w:sz w:val="24"/>
                <w:highlight w:val="none"/>
              </w:rPr>
              <w:t>货物价</w:t>
            </w:r>
          </w:p>
        </w:tc>
        <w:tc>
          <w:tcPr>
            <w:tcW w:w="1680" w:type="dxa"/>
            <w:gridSpan w:val="2"/>
            <w:vAlign w:val="center"/>
          </w:tcPr>
          <w:p>
            <w:pPr>
              <w:spacing w:line="480" w:lineRule="exact"/>
              <w:jc w:val="center"/>
              <w:rPr>
                <w:rFonts w:ascii="宋体"/>
                <w:sz w:val="24"/>
                <w:highlight w:val="none"/>
              </w:rPr>
            </w:pPr>
            <w:r>
              <w:rPr>
                <w:rFonts w:hint="eastAsia" w:ascii="宋体" w:hAnsi="宋体"/>
                <w:sz w:val="24"/>
                <w:highlight w:val="none"/>
              </w:rPr>
              <w:t>运杂费</w:t>
            </w:r>
          </w:p>
        </w:tc>
        <w:tc>
          <w:tcPr>
            <w:tcW w:w="1995" w:type="dxa"/>
            <w:gridSpan w:val="2"/>
            <w:vAlign w:val="center"/>
          </w:tcPr>
          <w:p>
            <w:pPr>
              <w:spacing w:line="480" w:lineRule="exact"/>
              <w:jc w:val="center"/>
              <w:rPr>
                <w:rFonts w:ascii="宋体"/>
                <w:sz w:val="24"/>
                <w:highlight w:val="none"/>
              </w:rPr>
            </w:pPr>
            <w:r>
              <w:rPr>
                <w:rFonts w:hint="eastAsia" w:ascii="宋体" w:hAnsi="宋体"/>
                <w:sz w:val="24"/>
                <w:highlight w:val="none"/>
              </w:rPr>
              <w:t>安装调试费</w:t>
            </w:r>
          </w:p>
        </w:tc>
        <w:tc>
          <w:tcPr>
            <w:tcW w:w="1155" w:type="dxa"/>
            <w:vMerge w:val="restart"/>
            <w:vAlign w:val="center"/>
          </w:tcPr>
          <w:p>
            <w:pPr>
              <w:spacing w:line="480" w:lineRule="exact"/>
              <w:jc w:val="center"/>
              <w:rPr>
                <w:rFonts w:ascii="宋体"/>
                <w:sz w:val="24"/>
                <w:highlight w:val="none"/>
              </w:rPr>
            </w:pPr>
            <w:r>
              <w:rPr>
                <w:rFonts w:hint="eastAsia" w:ascii="宋体" w:hAnsi="宋体"/>
                <w:sz w:val="24"/>
                <w:highlight w:val="none"/>
              </w:rPr>
              <w:t>培训费</w:t>
            </w:r>
          </w:p>
        </w:tc>
        <w:tc>
          <w:tcPr>
            <w:tcW w:w="1260" w:type="dxa"/>
            <w:vMerge w:val="restart"/>
            <w:vAlign w:val="center"/>
          </w:tcPr>
          <w:p>
            <w:pPr>
              <w:spacing w:line="480" w:lineRule="exact"/>
              <w:jc w:val="center"/>
              <w:rPr>
                <w:rFonts w:ascii="宋体"/>
                <w:sz w:val="24"/>
                <w:highlight w:val="none"/>
              </w:rPr>
            </w:pPr>
            <w:r>
              <w:rPr>
                <w:rFonts w:hint="eastAsia" w:ascii="宋体" w:hAnsi="宋体"/>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48" w:type="dxa"/>
            <w:vMerge w:val="continue"/>
            <w:vAlign w:val="center"/>
          </w:tcPr>
          <w:p>
            <w:pPr>
              <w:spacing w:line="480" w:lineRule="exact"/>
              <w:jc w:val="center"/>
              <w:rPr>
                <w:rFonts w:ascii="宋体"/>
                <w:sz w:val="24"/>
                <w:highlight w:val="none"/>
              </w:rPr>
            </w:pPr>
          </w:p>
        </w:tc>
        <w:tc>
          <w:tcPr>
            <w:tcW w:w="1164" w:type="dxa"/>
            <w:vMerge w:val="continue"/>
            <w:vAlign w:val="center"/>
          </w:tcPr>
          <w:p>
            <w:pPr>
              <w:spacing w:line="480" w:lineRule="exact"/>
              <w:jc w:val="center"/>
              <w:rPr>
                <w:rFonts w:ascii="宋体"/>
                <w:sz w:val="24"/>
                <w:highlight w:val="none"/>
              </w:rPr>
            </w:pPr>
          </w:p>
        </w:tc>
        <w:tc>
          <w:tcPr>
            <w:tcW w:w="1566" w:type="dxa"/>
            <w:vMerge w:val="continue"/>
          </w:tcPr>
          <w:p>
            <w:pPr>
              <w:spacing w:line="480" w:lineRule="exact"/>
              <w:rPr>
                <w:rFonts w:ascii="宋体"/>
                <w:sz w:val="24"/>
                <w:highlight w:val="none"/>
              </w:rPr>
            </w:pPr>
          </w:p>
        </w:tc>
        <w:tc>
          <w:tcPr>
            <w:tcW w:w="1602" w:type="dxa"/>
            <w:vMerge w:val="continue"/>
          </w:tcPr>
          <w:p>
            <w:pPr>
              <w:spacing w:line="480" w:lineRule="exact"/>
              <w:rPr>
                <w:rFonts w:ascii="宋体"/>
                <w:sz w:val="24"/>
                <w:highlight w:val="none"/>
              </w:rPr>
            </w:pPr>
          </w:p>
        </w:tc>
        <w:tc>
          <w:tcPr>
            <w:tcW w:w="1056" w:type="dxa"/>
            <w:vMerge w:val="continue"/>
          </w:tcPr>
          <w:p>
            <w:pPr>
              <w:spacing w:line="480" w:lineRule="exact"/>
              <w:rPr>
                <w:rFonts w:ascii="宋体"/>
                <w:sz w:val="24"/>
                <w:highlight w:val="none"/>
              </w:rPr>
            </w:pPr>
          </w:p>
        </w:tc>
        <w:tc>
          <w:tcPr>
            <w:tcW w:w="702"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050"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735"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945"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840"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155"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1155" w:type="dxa"/>
            <w:vMerge w:val="continue"/>
          </w:tcPr>
          <w:p>
            <w:pPr>
              <w:spacing w:line="480" w:lineRule="exact"/>
              <w:jc w:val="center"/>
              <w:rPr>
                <w:rFonts w:ascii="宋体"/>
                <w:sz w:val="24"/>
                <w:highlight w:val="none"/>
              </w:rPr>
            </w:pPr>
          </w:p>
        </w:tc>
        <w:tc>
          <w:tcPr>
            <w:tcW w:w="1260" w:type="dxa"/>
            <w:vMerge w:val="continue"/>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948" w:type="dxa"/>
            <w:vAlign w:val="center"/>
          </w:tcPr>
          <w:p>
            <w:pPr>
              <w:spacing w:line="480" w:lineRule="exact"/>
              <w:jc w:val="center"/>
              <w:rPr>
                <w:rFonts w:ascii="宋体"/>
                <w:sz w:val="24"/>
                <w:highlight w:val="none"/>
              </w:rPr>
            </w:pPr>
            <w:r>
              <w:rPr>
                <w:rFonts w:hint="eastAsia" w:ascii="宋体" w:hAnsi="宋体"/>
                <w:sz w:val="24"/>
                <w:highlight w:val="none"/>
              </w:rPr>
              <w:t>总报价</w:t>
            </w:r>
          </w:p>
        </w:tc>
        <w:tc>
          <w:tcPr>
            <w:tcW w:w="13230" w:type="dxa"/>
            <w:gridSpan w:val="12"/>
          </w:tcPr>
          <w:p>
            <w:pPr>
              <w:widowControl/>
              <w:spacing w:line="480" w:lineRule="exact"/>
              <w:jc w:val="left"/>
              <w:rPr>
                <w:rFonts w:ascii="宋体"/>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授权代表（签字或盖章）：年月日</w:t>
      </w:r>
    </w:p>
    <w:p>
      <w:pPr>
        <w:spacing w:line="480" w:lineRule="exact"/>
        <w:rPr>
          <w:rFonts w:ascii="宋体"/>
          <w:sz w:val="24"/>
          <w:highlight w:val="none"/>
        </w:rPr>
      </w:pPr>
      <w:r>
        <w:rPr>
          <w:rFonts w:hint="eastAsia" w:ascii="宋体" w:hAnsi="宋体"/>
          <w:sz w:val="24"/>
          <w:highlight w:val="none"/>
        </w:rPr>
        <w:t>注：</w:t>
      </w:r>
      <w:r>
        <w:rPr>
          <w:rFonts w:ascii="宋体" w:hAnsi="宋体"/>
          <w:sz w:val="24"/>
          <w:highlight w:val="none"/>
        </w:rPr>
        <w:t xml:space="preserve"> 1. </w:t>
      </w:r>
      <w:r>
        <w:rPr>
          <w:rFonts w:hint="eastAsia" w:ascii="宋体" w:hAnsi="宋体"/>
          <w:sz w:val="24"/>
          <w:highlight w:val="none"/>
        </w:rPr>
        <w:t>包中货物应全部分项报价</w:t>
      </w:r>
      <w:r>
        <w:rPr>
          <w:rFonts w:ascii="宋体" w:hAnsi="宋体"/>
          <w:sz w:val="24"/>
          <w:highlight w:val="none"/>
        </w:rPr>
        <w:t>(</w:t>
      </w:r>
      <w:r>
        <w:rPr>
          <w:rFonts w:hint="eastAsia" w:ascii="宋体" w:hAnsi="宋体"/>
          <w:sz w:val="24"/>
          <w:highlight w:val="none"/>
        </w:rPr>
        <w:t>根据技术要求中清单数量进行分项报价</w:t>
      </w:r>
      <w:r>
        <w:rPr>
          <w:rFonts w:ascii="宋体" w:hAnsi="宋体"/>
          <w:sz w:val="24"/>
          <w:highlight w:val="none"/>
        </w:rPr>
        <w:t>)</w:t>
      </w:r>
      <w:r>
        <w:rPr>
          <w:rFonts w:hint="eastAsia" w:ascii="宋体" w:hAnsi="宋体"/>
          <w:sz w:val="24"/>
          <w:highlight w:val="none"/>
        </w:rPr>
        <w:t>；</w:t>
      </w:r>
    </w:p>
    <w:p>
      <w:pPr>
        <w:tabs>
          <w:tab w:val="left" w:pos="930"/>
        </w:tabs>
        <w:spacing w:line="480" w:lineRule="exact"/>
        <w:ind w:firstLine="553" w:firstLineChars="250"/>
        <w:rPr>
          <w:rFonts w:ascii="宋体"/>
          <w:sz w:val="24"/>
          <w:highlight w:val="none"/>
        </w:rPr>
      </w:pPr>
      <w:r>
        <w:rPr>
          <w:rFonts w:ascii="宋体" w:hAnsi="宋体"/>
          <w:sz w:val="24"/>
          <w:highlight w:val="none"/>
        </w:rPr>
        <w:t>2.</w:t>
      </w:r>
      <w:r>
        <w:rPr>
          <w:rFonts w:hint="eastAsia" w:ascii="宋体" w:hAnsi="宋体"/>
          <w:sz w:val="24"/>
          <w:highlight w:val="none"/>
        </w:rPr>
        <w:t>随货物所供的备品备件、专用工具、技术培训等应分项明细报价；</w:t>
      </w:r>
    </w:p>
    <w:p>
      <w:pPr>
        <w:tabs>
          <w:tab w:val="left" w:pos="930"/>
        </w:tabs>
        <w:spacing w:line="480" w:lineRule="exact"/>
        <w:ind w:firstLine="553" w:firstLineChars="250"/>
        <w:rPr>
          <w:rFonts w:ascii="宋体"/>
          <w:sz w:val="24"/>
          <w:highlight w:val="none"/>
        </w:rPr>
      </w:pPr>
      <w:r>
        <w:rPr>
          <w:rFonts w:ascii="宋体" w:hAnsi="宋体"/>
          <w:sz w:val="24"/>
          <w:highlight w:val="none"/>
        </w:rPr>
        <w:t>3.</w:t>
      </w:r>
      <w:r>
        <w:rPr>
          <w:rFonts w:hint="eastAsia" w:ascii="宋体" w:hAnsi="宋体"/>
          <w:sz w:val="24"/>
          <w:highlight w:val="none"/>
        </w:rPr>
        <w:t>如上表中有关费用投标人免费提供，请注明“免费”字样。</w:t>
      </w:r>
    </w:p>
    <w:p>
      <w:pPr>
        <w:pStyle w:val="19"/>
        <w:spacing w:line="480" w:lineRule="exact"/>
        <w:ind w:firstLine="553" w:firstLineChars="250"/>
        <w:outlineLvl w:val="0"/>
        <w:rPr>
          <w:rFonts w:ascii="宋体"/>
          <w:highlight w:val="none"/>
        </w:rPr>
        <w:sectPr>
          <w:pgSz w:w="16840" w:h="11907" w:orient="landscape"/>
          <w:pgMar w:top="1418" w:right="1157" w:bottom="1418" w:left="1304" w:header="851" w:footer="851" w:gutter="0"/>
          <w:pgNumType w:fmt="decimal"/>
          <w:cols w:space="720" w:num="1"/>
          <w:docGrid w:type="linesAndChars" w:linePitch="290" w:charSpace="-3931"/>
        </w:sectPr>
      </w:pPr>
    </w:p>
    <w:p>
      <w:pPr>
        <w:pStyle w:val="15"/>
        <w:spacing w:line="480" w:lineRule="exact"/>
        <w:rPr>
          <w:rFonts w:ascii="宋体" w:hAnsi="宋体" w:eastAsia="宋体"/>
          <w:highlight w:val="none"/>
        </w:rPr>
      </w:pPr>
      <w:r>
        <w:rPr>
          <w:rFonts w:hint="eastAsia" w:ascii="宋体" w:hAnsi="宋体" w:eastAsia="宋体" w:cs="Times New Roman"/>
          <w:sz w:val="24"/>
          <w:szCs w:val="24"/>
          <w:highlight w:val="none"/>
        </w:rPr>
        <w:t>附件五：</w:t>
      </w:r>
    </w:p>
    <w:p>
      <w:pPr>
        <w:pStyle w:val="15"/>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技术偏离表</w:t>
      </w:r>
    </w:p>
    <w:p>
      <w:pPr>
        <w:spacing w:line="480" w:lineRule="exact"/>
        <w:rPr>
          <w:highlight w:val="none"/>
        </w:rPr>
      </w:pPr>
      <w:r>
        <w:rPr>
          <w:rFonts w:hint="eastAsia" w:ascii="宋体" w:hAnsi="宋体"/>
          <w:sz w:val="24"/>
          <w:highlight w:val="none"/>
        </w:rPr>
        <w:t>货物名称</w:t>
      </w:r>
      <w:r>
        <w:rPr>
          <w:rFonts w:ascii="宋体" w:hAnsi="宋体"/>
          <w:sz w:val="24"/>
          <w:highlight w:val="none"/>
        </w:rPr>
        <w:t xml:space="preserve"> :                               </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投标文件对应的页码及条目号</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adjustRightInd w:val="0"/>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投标人请按照招标文件“第三部分招标要求”中的技术要求逐一填写，投标人不得自行增减或删除、修改任何指标，也不能直接复制粘贴招标文件中的要求，必须填写真实数据，否则评标委员会将作出不利于投标人的认定。</w:t>
      </w:r>
    </w:p>
    <w:p>
      <w:pPr>
        <w:pStyle w:val="96"/>
        <w:adjustRightInd w:val="0"/>
        <w:snapToGrid w:val="0"/>
        <w:spacing w:before="240" w:line="240" w:lineRule="auto"/>
        <w:ind w:firstLine="0" w:firstLineChars="0"/>
        <w:rPr>
          <w:highlight w:val="none"/>
        </w:rPr>
      </w:pPr>
      <w:r>
        <w:rPr>
          <w:highlight w:val="none"/>
        </w:rPr>
        <w:t xml:space="preserve">    2</w:t>
      </w:r>
      <w:r>
        <w:rPr>
          <w:rFonts w:hint="eastAsia"/>
          <w:highlight w:val="none"/>
        </w:rPr>
        <w:t>、投标人提供虚假承诺的，评标委员会可认定虚假投标，请各投标人谨慎填写。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5"/>
        <w:wordWrap w:val="0"/>
        <w:spacing w:line="480" w:lineRule="exact"/>
        <w:ind w:right="72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月</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日</w:t>
      </w:r>
    </w:p>
    <w:p>
      <w:pPr>
        <w:spacing w:line="480" w:lineRule="exact"/>
        <w:rPr>
          <w:highlight w:val="none"/>
        </w:rPr>
      </w:pPr>
    </w:p>
    <w:p>
      <w:pPr>
        <w:pStyle w:val="15"/>
        <w:spacing w:line="480" w:lineRule="exact"/>
        <w:rPr>
          <w:rFonts w:ascii="宋体" w:hAnsi="宋体" w:eastAsia="宋体"/>
          <w:sz w:val="21"/>
          <w:highlight w:val="none"/>
        </w:rPr>
      </w:pPr>
      <w:r>
        <w:rPr>
          <w:rFonts w:ascii="宋体" w:hAnsi="宋体" w:eastAsia="宋体" w:cs="Times New Roman"/>
          <w:sz w:val="24"/>
          <w:szCs w:val="24"/>
          <w:highlight w:val="none"/>
        </w:rPr>
        <w:br w:type="page"/>
      </w:r>
      <w:r>
        <w:rPr>
          <w:rFonts w:hint="eastAsia" w:ascii="宋体" w:hAnsi="宋体" w:eastAsia="宋体" w:cs="Times New Roman"/>
          <w:sz w:val="24"/>
          <w:szCs w:val="24"/>
          <w:highlight w:val="none"/>
        </w:rPr>
        <w:t>附件六</w:t>
      </w:r>
      <w:r>
        <w:rPr>
          <w:rFonts w:ascii="宋体" w:hAnsi="宋体" w:eastAsia="宋体" w:cs="Times New Roman"/>
          <w:sz w:val="24"/>
          <w:szCs w:val="24"/>
          <w:highlight w:val="none"/>
        </w:rPr>
        <w:t>:</w:t>
      </w:r>
    </w:p>
    <w:p>
      <w:pPr>
        <w:pStyle w:val="15"/>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商务偏离表</w:t>
      </w:r>
    </w:p>
    <w:p>
      <w:pPr>
        <w:spacing w:line="480" w:lineRule="exact"/>
        <w:rPr>
          <w:highlight w:val="none"/>
        </w:rPr>
      </w:pPr>
      <w:r>
        <w:rPr>
          <w:rFonts w:hint="eastAsia" w:ascii="宋体" w:hAnsi="宋体"/>
          <w:sz w:val="24"/>
          <w:highlight w:val="none"/>
        </w:rPr>
        <w:t>货物名称</w:t>
      </w:r>
      <w:r>
        <w:rPr>
          <w:rFonts w:ascii="宋体" w:hAnsi="宋体"/>
          <w:sz w:val="24"/>
          <w:highlight w:val="none"/>
        </w:rPr>
        <w:t xml:space="preserve"> :                                        </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、请填写招标文件已列明并要求投标人响应的如付款方式、交货期、质保期、培训方案、售后服务等商务条款，并逐一做出承诺。</w:t>
      </w:r>
    </w:p>
    <w:p>
      <w:pPr>
        <w:pStyle w:val="96"/>
        <w:snapToGrid w:val="0"/>
        <w:spacing w:before="240" w:line="240" w:lineRule="auto"/>
        <w:ind w:firstLine="0" w:firstLineChars="0"/>
        <w:rPr>
          <w:highlight w:val="none"/>
        </w:rPr>
      </w:pPr>
      <w:r>
        <w:rPr>
          <w:highlight w:val="none"/>
        </w:rPr>
        <w:t xml:space="preserve">      2</w:t>
      </w:r>
      <w:r>
        <w:rPr>
          <w:rFonts w:hint="eastAsia"/>
          <w:highlight w:val="none"/>
        </w:rPr>
        <w:t>、请投标人在填写偏离表时，对应招标文件要求如实填写“偏离”或“不偏离”，若投标人自行承诺的售后服务与此表不一致的，则评标委员会有权作出不利于投标人的认定。</w:t>
      </w:r>
    </w:p>
    <w:p>
      <w:pPr>
        <w:pStyle w:val="96"/>
        <w:snapToGrid w:val="0"/>
        <w:spacing w:before="240" w:line="240" w:lineRule="auto"/>
        <w:ind w:firstLine="0" w:firstLineChars="0"/>
        <w:rPr>
          <w:highlight w:val="none"/>
        </w:rPr>
      </w:pPr>
      <w:r>
        <w:rPr>
          <w:highlight w:val="none"/>
        </w:rPr>
        <w:t xml:space="preserve">     3</w:t>
      </w:r>
      <w:r>
        <w:rPr>
          <w:rFonts w:hint="eastAsia"/>
          <w:highlight w:val="none"/>
        </w:rPr>
        <w:t>、投标人提供虚假承诺的，评标委员会可认定为虚假投标。请各投标人谨慎填写。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5"/>
        <w:wordWrap w:val="0"/>
        <w:spacing w:line="480" w:lineRule="exact"/>
        <w:ind w:right="48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年月日</w:t>
      </w:r>
    </w:p>
    <w:p>
      <w:pPr>
        <w:spacing w:line="480" w:lineRule="exact"/>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bookmarkStart w:id="168" w:name="_Toc13100"/>
      <w:bookmarkStart w:id="169" w:name="_Toc13424"/>
      <w:bookmarkStart w:id="170" w:name="_Toc29000"/>
      <w:r>
        <w:rPr>
          <w:rFonts w:hint="eastAsia" w:ascii="宋体" w:hAnsi="宋体"/>
          <w:sz w:val="24"/>
          <w:highlight w:val="none"/>
        </w:rPr>
        <w:t>附件七：</w:t>
      </w:r>
      <w:r>
        <w:rPr>
          <w:rFonts w:hint="eastAsia" w:ascii="宋体" w:hAnsi="宋体"/>
          <w:b/>
          <w:sz w:val="28"/>
          <w:highlight w:val="none"/>
        </w:rPr>
        <w:t>服务承诺及其它优惠条件</w:t>
      </w:r>
      <w:bookmarkEnd w:id="168"/>
      <w:bookmarkEnd w:id="169"/>
      <w:bookmarkEnd w:id="170"/>
    </w:p>
    <w:p>
      <w:pPr>
        <w:spacing w:line="480" w:lineRule="exact"/>
        <w:jc w:val="center"/>
        <w:outlineLvl w:val="0"/>
        <w:rPr>
          <w:rFonts w:ascii="宋体"/>
          <w:bCs/>
          <w:sz w:val="28"/>
          <w:szCs w:val="28"/>
          <w:highlight w:val="none"/>
        </w:rPr>
      </w:pPr>
      <w:bookmarkStart w:id="171" w:name="_Toc24720"/>
      <w:bookmarkStart w:id="172" w:name="_Toc13684"/>
      <w:bookmarkStart w:id="173" w:name="_Toc22463"/>
      <w:r>
        <w:rPr>
          <w:rFonts w:hint="eastAsia" w:ascii="宋体" w:hAnsi="宋体"/>
          <w:bCs/>
          <w:sz w:val="28"/>
          <w:szCs w:val="28"/>
          <w:highlight w:val="none"/>
        </w:rPr>
        <w:t>（格式自定）</w:t>
      </w:r>
      <w:bookmarkEnd w:id="171"/>
      <w:bookmarkEnd w:id="172"/>
      <w:bookmarkEnd w:id="173"/>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bookmarkStart w:id="174" w:name="_Toc10218"/>
      <w:bookmarkStart w:id="175" w:name="_Toc696"/>
      <w:bookmarkStart w:id="176" w:name="_Toc17401"/>
      <w:r>
        <w:rPr>
          <w:rFonts w:hint="eastAsia" w:ascii="宋体" w:hAnsi="宋体"/>
          <w:sz w:val="24"/>
          <w:highlight w:val="none"/>
        </w:rPr>
        <w:t>附件八：</w:t>
      </w:r>
      <w:r>
        <w:rPr>
          <w:rFonts w:hint="eastAsia" w:ascii="宋体" w:hAnsi="宋体"/>
          <w:b/>
          <w:sz w:val="28"/>
          <w:highlight w:val="none"/>
        </w:rPr>
        <w:t>质保期外备品备件、易损件报价表</w:t>
      </w:r>
      <w:bookmarkEnd w:id="174"/>
      <w:bookmarkEnd w:id="175"/>
      <w:bookmarkEnd w:id="176"/>
    </w:p>
    <w:p>
      <w:pPr>
        <w:spacing w:line="480" w:lineRule="exact"/>
        <w:jc w:val="center"/>
        <w:outlineLvl w:val="0"/>
        <w:rPr>
          <w:rFonts w:ascii="宋体"/>
          <w:b/>
          <w:sz w:val="28"/>
          <w:highlight w:val="none"/>
        </w:rPr>
      </w:pPr>
      <w:bookmarkStart w:id="177" w:name="_Toc10814"/>
      <w:bookmarkStart w:id="178" w:name="_Toc1232"/>
      <w:bookmarkStart w:id="179" w:name="_Toc11451"/>
      <w:r>
        <w:rPr>
          <w:rFonts w:ascii="宋体" w:hAnsi="宋体"/>
          <w:b/>
          <w:sz w:val="28"/>
          <w:highlight w:val="none"/>
        </w:rPr>
        <w:t>(</w:t>
      </w:r>
      <w:r>
        <w:rPr>
          <w:rFonts w:hint="eastAsia" w:ascii="宋体" w:hAnsi="宋体"/>
          <w:b/>
          <w:sz w:val="28"/>
          <w:highlight w:val="none"/>
        </w:rPr>
        <w:t>不包含在总报价中</w:t>
      </w:r>
      <w:r>
        <w:rPr>
          <w:rFonts w:ascii="宋体"/>
          <w:b/>
          <w:sz w:val="28"/>
          <w:highlight w:val="none"/>
        </w:rPr>
        <w:t>,</w:t>
      </w:r>
      <w:r>
        <w:rPr>
          <w:rFonts w:hint="eastAsia" w:ascii="宋体" w:hAnsi="宋体"/>
          <w:b/>
          <w:bCs/>
          <w:sz w:val="28"/>
          <w:szCs w:val="28"/>
          <w:highlight w:val="none"/>
        </w:rPr>
        <w:t>格式自定</w:t>
      </w:r>
      <w:r>
        <w:rPr>
          <w:rFonts w:ascii="宋体" w:hAnsi="宋体"/>
          <w:b/>
          <w:sz w:val="28"/>
          <w:highlight w:val="none"/>
        </w:rPr>
        <w:t>)</w:t>
      </w:r>
      <w:bookmarkEnd w:id="177"/>
      <w:bookmarkEnd w:id="178"/>
      <w:bookmarkEnd w:id="179"/>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bookmarkStart w:id="180" w:name="_Toc1332"/>
      <w:bookmarkStart w:id="181" w:name="_Toc28785"/>
      <w:bookmarkStart w:id="182" w:name="_Toc1358"/>
      <w:r>
        <w:rPr>
          <w:rFonts w:hint="eastAsia" w:ascii="宋体" w:hAnsi="宋体"/>
          <w:sz w:val="24"/>
          <w:highlight w:val="none"/>
        </w:rPr>
        <w:t>附件九：</w:t>
      </w:r>
      <w:r>
        <w:rPr>
          <w:rFonts w:hint="eastAsia" w:ascii="宋体" w:hAnsi="宋体"/>
          <w:b/>
          <w:sz w:val="28"/>
          <w:highlight w:val="none"/>
        </w:rPr>
        <w:t>与所投设备配套耗材的价格表</w:t>
      </w:r>
      <w:bookmarkEnd w:id="180"/>
      <w:bookmarkEnd w:id="181"/>
      <w:bookmarkEnd w:id="182"/>
    </w:p>
    <w:p>
      <w:pPr>
        <w:spacing w:line="480" w:lineRule="exact"/>
        <w:jc w:val="center"/>
        <w:outlineLvl w:val="0"/>
        <w:rPr>
          <w:rFonts w:ascii="宋体"/>
          <w:b/>
          <w:sz w:val="28"/>
          <w:highlight w:val="none"/>
        </w:rPr>
      </w:pPr>
      <w:r>
        <w:rPr>
          <w:rFonts w:ascii="宋体" w:hAnsi="宋体"/>
          <w:b/>
          <w:sz w:val="28"/>
          <w:highlight w:val="none"/>
        </w:rPr>
        <w:t xml:space="preserve">     </w:t>
      </w:r>
      <w:bookmarkStart w:id="183" w:name="_Toc19558"/>
      <w:bookmarkStart w:id="184" w:name="_Toc9985"/>
      <w:bookmarkStart w:id="185" w:name="_Toc5244"/>
      <w:r>
        <w:rPr>
          <w:rFonts w:ascii="宋体" w:hAnsi="宋体"/>
          <w:b/>
          <w:sz w:val="28"/>
          <w:highlight w:val="none"/>
        </w:rPr>
        <w:t>(</w:t>
      </w:r>
      <w:r>
        <w:rPr>
          <w:rFonts w:hint="eastAsia" w:ascii="宋体" w:hAnsi="宋体"/>
          <w:b/>
          <w:sz w:val="28"/>
          <w:highlight w:val="none"/>
        </w:rPr>
        <w:t>耗材报价不包含在总报价中</w:t>
      </w:r>
      <w:r>
        <w:rPr>
          <w:rFonts w:ascii="宋体"/>
          <w:b/>
          <w:sz w:val="28"/>
          <w:highlight w:val="none"/>
        </w:rPr>
        <w:t>,</w:t>
      </w:r>
      <w:r>
        <w:rPr>
          <w:rFonts w:hint="eastAsia" w:ascii="宋体" w:hAnsi="宋体"/>
          <w:b/>
          <w:bCs/>
          <w:sz w:val="28"/>
          <w:szCs w:val="28"/>
          <w:highlight w:val="none"/>
        </w:rPr>
        <w:t>格式自定，注明耗材价格几年不变</w:t>
      </w:r>
      <w:r>
        <w:rPr>
          <w:rFonts w:ascii="宋体" w:hAnsi="宋体"/>
          <w:b/>
          <w:sz w:val="28"/>
          <w:highlight w:val="none"/>
        </w:rPr>
        <w:t>)</w:t>
      </w:r>
      <w:bookmarkEnd w:id="183"/>
      <w:bookmarkEnd w:id="184"/>
      <w:bookmarkEnd w:id="185"/>
    </w:p>
    <w:p>
      <w:pPr>
        <w:spacing w:line="480" w:lineRule="exact"/>
        <w:jc w:val="center"/>
        <w:outlineLvl w:val="0"/>
        <w:rPr>
          <w:rFonts w:ascii="宋体"/>
          <w:b/>
          <w:sz w:val="28"/>
          <w:highlight w:val="none"/>
        </w:rPr>
      </w:pPr>
    </w:p>
    <w:p>
      <w:pPr>
        <w:spacing w:line="480" w:lineRule="exact"/>
        <w:jc w:val="center"/>
        <w:outlineLvl w:val="0"/>
        <w:rPr>
          <w:rFonts w:ascii="宋体"/>
          <w:sz w:val="24"/>
          <w:highlight w:val="none"/>
        </w:rPr>
      </w:pPr>
    </w:p>
    <w:p>
      <w:pPr>
        <w:spacing w:line="480" w:lineRule="exact"/>
        <w:outlineLvl w:val="0"/>
        <w:rPr>
          <w:rFonts w:ascii="宋体"/>
          <w:sz w:val="24"/>
          <w:highlight w:val="none"/>
        </w:rPr>
      </w:pPr>
      <w:r>
        <w:rPr>
          <w:rFonts w:ascii="宋体"/>
          <w:sz w:val="24"/>
          <w:highlight w:val="none"/>
        </w:rPr>
        <w:br w:type="page"/>
      </w:r>
    </w:p>
    <w:p>
      <w:pPr>
        <w:spacing w:line="480" w:lineRule="exact"/>
        <w:jc w:val="center"/>
        <w:outlineLvl w:val="0"/>
        <w:rPr>
          <w:rFonts w:ascii="宋体"/>
          <w:b/>
          <w:sz w:val="28"/>
          <w:highlight w:val="none"/>
        </w:rPr>
      </w:pPr>
      <w:bookmarkStart w:id="186" w:name="_Toc27071"/>
      <w:bookmarkStart w:id="187" w:name="_Toc26987"/>
      <w:bookmarkStart w:id="188" w:name="_Toc13044"/>
      <w:r>
        <w:rPr>
          <w:rFonts w:hint="eastAsia" w:ascii="宋体" w:hAnsi="宋体"/>
          <w:sz w:val="24"/>
          <w:highlight w:val="none"/>
        </w:rPr>
        <w:t>附件十：</w:t>
      </w:r>
      <w:r>
        <w:rPr>
          <w:rFonts w:hint="eastAsia" w:ascii="宋体" w:hAnsi="宋体"/>
          <w:b/>
          <w:sz w:val="28"/>
          <w:highlight w:val="none"/>
        </w:rPr>
        <w:t>维保方案及维保费用报价表</w:t>
      </w:r>
      <w:bookmarkEnd w:id="186"/>
      <w:bookmarkEnd w:id="187"/>
      <w:bookmarkEnd w:id="188"/>
    </w:p>
    <w:p>
      <w:pPr>
        <w:spacing w:line="440" w:lineRule="exact"/>
        <w:rPr>
          <w:rFonts w:ascii="宋体"/>
          <w:b/>
          <w:bCs/>
          <w:sz w:val="24"/>
          <w:highlight w:val="none"/>
        </w:rPr>
      </w:pPr>
      <w:r>
        <w:rPr>
          <w:rFonts w:hint="eastAsia" w:ascii="宋体" w:hAnsi="宋体"/>
          <w:b/>
          <w:bCs/>
          <w:sz w:val="24"/>
          <w:highlight w:val="none"/>
        </w:rPr>
        <w:t>保修期内、外维护方案及报价</w:t>
      </w:r>
    </w:p>
    <w:tbl>
      <w:tblPr>
        <w:tblStyle w:val="49"/>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9570" w:type="dxa"/>
          </w:tcPr>
          <w:p>
            <w:pPr>
              <w:spacing w:line="440" w:lineRule="exact"/>
              <w:rPr>
                <w:rFonts w:ascii="宋体"/>
                <w:sz w:val="24"/>
                <w:highlight w:val="none"/>
              </w:rPr>
            </w:pPr>
            <w:r>
              <w:rPr>
                <w:rFonts w:ascii="宋体" w:hAnsi="宋体"/>
                <w:sz w:val="24"/>
                <w:highlight w:val="none"/>
              </w:rPr>
              <w:t>1</w:t>
            </w:r>
            <w:r>
              <w:rPr>
                <w:rFonts w:hint="eastAsia" w:ascii="宋体" w:hAnsi="宋体"/>
                <w:sz w:val="24"/>
                <w:highlight w:val="none"/>
              </w:rPr>
              <w:t>、服务范围</w:t>
            </w:r>
          </w:p>
          <w:p>
            <w:pPr>
              <w:spacing w:line="440" w:lineRule="exact"/>
              <w:rPr>
                <w:rFonts w:ascii="宋体"/>
                <w:sz w:val="24"/>
                <w:highlight w:val="none"/>
              </w:rPr>
            </w:pPr>
            <w:r>
              <w:rPr>
                <w:rFonts w:ascii="宋体" w:hAnsi="宋体"/>
                <w:sz w:val="24"/>
                <w:highlight w:val="none"/>
              </w:rPr>
              <w:t>2</w:t>
            </w:r>
            <w:r>
              <w:rPr>
                <w:rFonts w:hint="eastAsia" w:ascii="宋体" w:hAnsi="宋体"/>
                <w:sz w:val="24"/>
                <w:highlight w:val="none"/>
              </w:rPr>
              <w:t>、服务期限</w:t>
            </w:r>
          </w:p>
          <w:p>
            <w:pPr>
              <w:spacing w:line="440" w:lineRule="exact"/>
              <w:rPr>
                <w:rFonts w:ascii="宋体"/>
                <w:sz w:val="24"/>
                <w:highlight w:val="none"/>
              </w:rPr>
            </w:pPr>
            <w:r>
              <w:rPr>
                <w:rFonts w:ascii="宋体" w:hAnsi="宋体"/>
                <w:sz w:val="24"/>
                <w:highlight w:val="none"/>
              </w:rPr>
              <w:t>3</w:t>
            </w:r>
            <w:r>
              <w:rPr>
                <w:rFonts w:hint="eastAsia" w:ascii="宋体" w:hAnsi="宋体"/>
                <w:sz w:val="24"/>
                <w:highlight w:val="none"/>
              </w:rPr>
              <w:t>、服务内容</w:t>
            </w:r>
          </w:p>
          <w:p>
            <w:pPr>
              <w:spacing w:line="440" w:lineRule="exact"/>
              <w:rPr>
                <w:rFonts w:ascii="宋体"/>
                <w:sz w:val="24"/>
                <w:highlight w:val="none"/>
              </w:rPr>
            </w:pPr>
            <w:r>
              <w:rPr>
                <w:rFonts w:ascii="宋体" w:hAnsi="宋体"/>
                <w:sz w:val="24"/>
                <w:highlight w:val="none"/>
              </w:rPr>
              <w:t>4</w:t>
            </w:r>
            <w:r>
              <w:rPr>
                <w:rFonts w:hint="eastAsia" w:ascii="宋体" w:hAnsi="宋体"/>
                <w:sz w:val="24"/>
                <w:highlight w:val="none"/>
              </w:rPr>
              <w:t>、甲乙双方负责的内容</w:t>
            </w:r>
          </w:p>
          <w:p>
            <w:pPr>
              <w:spacing w:line="440" w:lineRule="exact"/>
              <w:rPr>
                <w:rFonts w:ascii="宋体"/>
                <w:sz w:val="24"/>
                <w:highlight w:val="none"/>
              </w:rPr>
            </w:pPr>
            <w:r>
              <w:rPr>
                <w:rFonts w:ascii="宋体" w:hAnsi="宋体"/>
                <w:sz w:val="24"/>
                <w:highlight w:val="none"/>
              </w:rPr>
              <w:t>5</w:t>
            </w:r>
            <w:r>
              <w:rPr>
                <w:rFonts w:hint="eastAsia" w:ascii="宋体" w:hAnsi="宋体"/>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6" w:hRule="atLeast"/>
        </w:trPr>
        <w:tc>
          <w:tcPr>
            <w:tcW w:w="9570" w:type="dxa"/>
          </w:tcPr>
          <w:p>
            <w:pPr>
              <w:numPr>
                <w:ilvl w:val="0"/>
                <w:numId w:val="18"/>
              </w:numPr>
              <w:spacing w:line="440" w:lineRule="exact"/>
              <w:rPr>
                <w:rFonts w:ascii="宋体"/>
                <w:sz w:val="24"/>
                <w:highlight w:val="none"/>
              </w:rPr>
            </w:pPr>
            <w:r>
              <w:rPr>
                <w:rFonts w:hint="eastAsia" w:ascii="宋体" w:hAnsi="宋体"/>
                <w:sz w:val="24"/>
                <w:highlight w:val="none"/>
              </w:rPr>
              <w:t>保修期内维保费用报价明细：（格式自定）</w:t>
            </w: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numPr>
                <w:ilvl w:val="0"/>
                <w:numId w:val="18"/>
              </w:numPr>
              <w:spacing w:line="440" w:lineRule="exact"/>
              <w:rPr>
                <w:rFonts w:ascii="宋体"/>
                <w:sz w:val="24"/>
                <w:highlight w:val="none"/>
              </w:rPr>
            </w:pPr>
            <w:r>
              <w:rPr>
                <w:rFonts w:hint="eastAsia" w:ascii="宋体" w:hAnsi="宋体"/>
                <w:sz w:val="24"/>
                <w:highlight w:val="none"/>
              </w:rPr>
              <w:t>保修期外维保费用报价明细：（格式自定）</w:t>
            </w: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tc>
      </w:tr>
    </w:tbl>
    <w:p>
      <w:pPr>
        <w:spacing w:line="520" w:lineRule="exact"/>
        <w:rPr>
          <w:rFonts w:ascii="宋体"/>
          <w:sz w:val="24"/>
          <w:highlight w:val="none"/>
        </w:rPr>
      </w:pPr>
      <w:r>
        <w:rPr>
          <w:rFonts w:hint="eastAsia" w:ascii="宋体" w:hAnsi="宋体"/>
          <w:sz w:val="24"/>
          <w:highlight w:val="none"/>
        </w:rPr>
        <w:t>注：</w:t>
      </w:r>
      <w:r>
        <w:rPr>
          <w:rFonts w:ascii="宋体" w:hAnsi="宋体"/>
          <w:sz w:val="24"/>
          <w:highlight w:val="none"/>
        </w:rPr>
        <w:t>1</w:t>
      </w:r>
      <w:r>
        <w:rPr>
          <w:rFonts w:hint="eastAsia" w:ascii="宋体" w:hAnsi="宋体"/>
          <w:sz w:val="24"/>
          <w:highlight w:val="none"/>
        </w:rPr>
        <w:t>、保修期内维保费用包含在本次报价中；</w:t>
      </w:r>
    </w:p>
    <w:p>
      <w:pPr>
        <w:spacing w:line="52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、保修期外维保费用不包含在本次报价中。</w:t>
      </w:r>
    </w:p>
    <w:p>
      <w:pPr>
        <w:spacing w:line="480" w:lineRule="exact"/>
        <w:jc w:val="center"/>
        <w:outlineLvl w:val="0"/>
        <w:rPr>
          <w:rFonts w:ascii="宋体"/>
          <w:sz w:val="24"/>
          <w:highlight w:val="none"/>
        </w:rPr>
      </w:pPr>
      <w:r>
        <w:rPr>
          <w:rFonts w:ascii="宋体"/>
          <w:sz w:val="24"/>
          <w:highlight w:val="none"/>
        </w:rPr>
        <w:br w:type="page"/>
      </w:r>
    </w:p>
    <w:p>
      <w:pPr>
        <w:spacing w:line="480" w:lineRule="exact"/>
        <w:jc w:val="center"/>
        <w:outlineLvl w:val="0"/>
        <w:rPr>
          <w:rFonts w:ascii="宋体"/>
          <w:sz w:val="24"/>
          <w:highlight w:val="none"/>
        </w:rPr>
      </w:pPr>
      <w:bookmarkStart w:id="189" w:name="_Toc14611"/>
      <w:bookmarkStart w:id="190" w:name="_Toc15805"/>
      <w:bookmarkStart w:id="191" w:name="_Toc14477"/>
      <w:r>
        <w:rPr>
          <w:rFonts w:hint="eastAsia" w:ascii="宋体" w:hAnsi="宋体"/>
          <w:sz w:val="24"/>
          <w:highlight w:val="none"/>
        </w:rPr>
        <w:t>附件十一：</w:t>
      </w:r>
      <w:r>
        <w:rPr>
          <w:rFonts w:hint="eastAsia" w:ascii="宋体" w:hAnsi="宋体"/>
          <w:b/>
          <w:sz w:val="28"/>
          <w:highlight w:val="none"/>
        </w:rPr>
        <w:t>证明文件格式</w:t>
      </w:r>
      <w:bookmarkEnd w:id="189"/>
      <w:bookmarkEnd w:id="190"/>
      <w:bookmarkEnd w:id="191"/>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4"/>
          <w:highlight w:val="none"/>
        </w:rPr>
      </w:pPr>
      <w:bookmarkStart w:id="192" w:name="_Toc19508"/>
      <w:bookmarkStart w:id="193" w:name="_Toc28149"/>
      <w:bookmarkStart w:id="194" w:name="_Toc5230"/>
      <w:r>
        <w:rPr>
          <w:rFonts w:hint="eastAsia" w:ascii="宋体" w:hAnsi="宋体"/>
          <w:b/>
          <w:sz w:val="24"/>
          <w:highlight w:val="none"/>
          <w:lang w:val="en-US" w:eastAsia="zh-CN"/>
        </w:rPr>
        <w:t xml:space="preserve"> </w:t>
      </w:r>
      <w:r>
        <w:rPr>
          <w:rFonts w:hint="eastAsia" w:ascii="宋体" w:hAnsi="宋体"/>
          <w:b/>
          <w:sz w:val="24"/>
          <w:highlight w:val="none"/>
        </w:rPr>
        <w:t>格式</w:t>
      </w:r>
      <w:r>
        <w:rPr>
          <w:rFonts w:ascii="宋体" w:hAnsi="宋体"/>
          <w:b/>
          <w:sz w:val="24"/>
          <w:highlight w:val="none"/>
        </w:rPr>
        <w:t xml:space="preserve">1  </w:t>
      </w:r>
      <w:r>
        <w:rPr>
          <w:rFonts w:hint="eastAsia" w:ascii="宋体" w:hAnsi="宋体"/>
          <w:b/>
          <w:sz w:val="24"/>
          <w:highlight w:val="none"/>
        </w:rPr>
        <w:t>近三年（</w:t>
      </w:r>
      <w:r>
        <w:rPr>
          <w:rFonts w:ascii="宋体" w:hAnsi="宋体"/>
          <w:b/>
          <w:sz w:val="24"/>
          <w:highlight w:val="none"/>
        </w:rPr>
        <w:t>201</w:t>
      </w:r>
      <w:r>
        <w:rPr>
          <w:rFonts w:hint="eastAsia" w:ascii="宋体" w:hAnsi="宋体"/>
          <w:b/>
          <w:sz w:val="24"/>
          <w:highlight w:val="none"/>
        </w:rPr>
        <w:t>6年</w:t>
      </w:r>
      <w:r>
        <w:rPr>
          <w:rFonts w:hint="eastAsia" w:ascii="宋体" w:hAnsi="宋体"/>
          <w:b/>
          <w:sz w:val="24"/>
          <w:highlight w:val="none"/>
          <w:lang w:val="en-US" w:eastAsia="zh-CN"/>
        </w:rPr>
        <w:t>12</w:t>
      </w:r>
      <w:r>
        <w:rPr>
          <w:rFonts w:hint="eastAsia" w:ascii="宋体" w:hAnsi="宋体"/>
          <w:b/>
          <w:sz w:val="24"/>
          <w:highlight w:val="none"/>
        </w:rPr>
        <w:t>月</w:t>
      </w:r>
      <w:r>
        <w:rPr>
          <w:rFonts w:ascii="宋体" w:hAnsi="宋体"/>
          <w:b/>
          <w:sz w:val="24"/>
          <w:highlight w:val="none"/>
        </w:rPr>
        <w:t>1</w:t>
      </w:r>
      <w:r>
        <w:rPr>
          <w:rFonts w:hint="eastAsia" w:ascii="宋体" w:hAnsi="宋体"/>
          <w:b/>
          <w:sz w:val="24"/>
          <w:highlight w:val="none"/>
        </w:rPr>
        <w:t>日至今）无不良信誉证明</w:t>
      </w:r>
      <w:bookmarkEnd w:id="192"/>
      <w:bookmarkEnd w:id="193"/>
      <w:bookmarkEnd w:id="194"/>
    </w:p>
    <w:p>
      <w:pPr>
        <w:spacing w:line="480" w:lineRule="exact"/>
        <w:jc w:val="center"/>
        <w:outlineLvl w:val="0"/>
        <w:rPr>
          <w:rFonts w:ascii="宋体"/>
          <w:sz w:val="24"/>
          <w:highlight w:val="none"/>
        </w:rPr>
      </w:pPr>
      <w:bookmarkStart w:id="195" w:name="_Toc5579"/>
      <w:bookmarkStart w:id="196" w:name="_Toc16969"/>
      <w:bookmarkStart w:id="197" w:name="_Toc29571"/>
      <w:r>
        <w:rPr>
          <w:rFonts w:hint="eastAsia" w:ascii="宋体" w:hAnsi="宋体"/>
          <w:sz w:val="24"/>
          <w:highlight w:val="none"/>
        </w:rPr>
        <w:t>（需声明投标人近三年未发生重大质量安全事故；无弄虚作假和重大违法违纪行为；无医药购销领域商业贿赂方面的不良记录。）</w:t>
      </w:r>
      <w:bookmarkEnd w:id="195"/>
      <w:bookmarkEnd w:id="196"/>
      <w:bookmarkEnd w:id="197"/>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198" w:name="_Toc1781"/>
      <w:bookmarkStart w:id="199" w:name="_Toc25890"/>
      <w:bookmarkStart w:id="200" w:name="_Toc5573"/>
      <w:r>
        <w:rPr>
          <w:rFonts w:hint="eastAsia" w:ascii="宋体" w:hAnsi="宋体"/>
          <w:b/>
          <w:sz w:val="24"/>
          <w:highlight w:val="none"/>
        </w:rPr>
        <w:t>格式</w:t>
      </w:r>
      <w:r>
        <w:rPr>
          <w:rFonts w:ascii="宋体" w:hAnsi="宋体"/>
          <w:b/>
          <w:sz w:val="24"/>
          <w:highlight w:val="none"/>
        </w:rPr>
        <w:t xml:space="preserve">2  </w:t>
      </w:r>
      <w:r>
        <w:rPr>
          <w:rFonts w:hint="eastAsia" w:ascii="宋体" w:hAnsi="宋体"/>
          <w:b/>
          <w:sz w:val="24"/>
          <w:highlight w:val="none"/>
        </w:rPr>
        <w:t>近两年（</w:t>
      </w:r>
      <w:r>
        <w:rPr>
          <w:rFonts w:ascii="宋体" w:hAnsi="宋体"/>
          <w:b/>
          <w:sz w:val="24"/>
          <w:highlight w:val="none"/>
        </w:rPr>
        <w:t>201</w:t>
      </w:r>
      <w:r>
        <w:rPr>
          <w:rFonts w:hint="eastAsia" w:ascii="宋体" w:hAnsi="宋体"/>
          <w:b/>
          <w:sz w:val="24"/>
          <w:highlight w:val="none"/>
          <w:lang w:val="en-US" w:eastAsia="zh-CN"/>
        </w:rPr>
        <w:t>7</w:t>
      </w:r>
      <w:r>
        <w:rPr>
          <w:rFonts w:hint="eastAsia" w:ascii="宋体" w:hAnsi="宋体"/>
          <w:b/>
          <w:sz w:val="24"/>
          <w:highlight w:val="none"/>
        </w:rPr>
        <w:t>年、</w:t>
      </w:r>
      <w:r>
        <w:rPr>
          <w:rFonts w:ascii="宋体" w:hAnsi="宋体"/>
          <w:b/>
          <w:sz w:val="24"/>
          <w:highlight w:val="none"/>
        </w:rPr>
        <w:t>201</w:t>
      </w:r>
      <w:r>
        <w:rPr>
          <w:rFonts w:hint="eastAsia" w:ascii="宋体" w:hAnsi="宋体"/>
          <w:b/>
          <w:sz w:val="24"/>
          <w:highlight w:val="none"/>
          <w:lang w:val="en-US" w:eastAsia="zh-CN"/>
        </w:rPr>
        <w:t>8</w:t>
      </w:r>
      <w:r>
        <w:rPr>
          <w:rFonts w:hint="eastAsia" w:ascii="宋体" w:hAnsi="宋体"/>
          <w:b/>
          <w:sz w:val="24"/>
          <w:highlight w:val="none"/>
        </w:rPr>
        <w:t>年）财务状况报告</w:t>
      </w:r>
      <w:bookmarkEnd w:id="198"/>
      <w:bookmarkEnd w:id="199"/>
      <w:bookmarkEnd w:id="200"/>
    </w:p>
    <w:p>
      <w:pPr>
        <w:spacing w:line="480" w:lineRule="exact"/>
        <w:jc w:val="center"/>
        <w:outlineLvl w:val="0"/>
        <w:rPr>
          <w:rFonts w:ascii="宋体"/>
          <w:sz w:val="24"/>
          <w:highlight w:val="none"/>
        </w:rPr>
      </w:pPr>
      <w:bookmarkStart w:id="201" w:name="_Toc24571"/>
      <w:bookmarkStart w:id="202" w:name="_Toc29391"/>
      <w:bookmarkStart w:id="203" w:name="_Toc3211"/>
      <w:r>
        <w:rPr>
          <w:rFonts w:hint="eastAsia" w:ascii="宋体" w:hAnsi="宋体"/>
          <w:sz w:val="24"/>
          <w:highlight w:val="none"/>
        </w:rPr>
        <w:t>（附财务报表（含资产负债表、利润表的复印件），或其基本开户银行出具的资信证明）</w:t>
      </w:r>
      <w:bookmarkEnd w:id="201"/>
      <w:bookmarkEnd w:id="202"/>
      <w:bookmarkEnd w:id="203"/>
      <w:r>
        <w:rPr>
          <w:rFonts w:hint="eastAsia" w:ascii="宋体" w:hAnsi="宋体"/>
          <w:sz w:val="24"/>
          <w:highlight w:val="none"/>
        </w:rPr>
        <w:t>，须法定代表人或授权代理人签章</w:t>
      </w: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204" w:name="_Toc23883"/>
      <w:bookmarkStart w:id="205" w:name="_Toc13521"/>
      <w:bookmarkStart w:id="206" w:name="_Toc23494"/>
      <w:r>
        <w:rPr>
          <w:rFonts w:hint="eastAsia" w:ascii="宋体" w:hAnsi="宋体"/>
          <w:b/>
          <w:sz w:val="24"/>
          <w:highlight w:val="none"/>
        </w:rPr>
        <w:t>格式</w:t>
      </w:r>
      <w:r>
        <w:rPr>
          <w:rFonts w:ascii="宋体" w:hAnsi="宋体"/>
          <w:b/>
          <w:sz w:val="24"/>
          <w:highlight w:val="none"/>
        </w:rPr>
        <w:t xml:space="preserve">3  </w:t>
      </w:r>
      <w:r>
        <w:rPr>
          <w:rFonts w:hint="eastAsia" w:ascii="宋体" w:hAnsi="宋体"/>
          <w:b/>
          <w:sz w:val="24"/>
          <w:highlight w:val="none"/>
        </w:rPr>
        <w:t>依法缴纳税收和社会保障资金的相关材料</w:t>
      </w:r>
      <w:bookmarkEnd w:id="204"/>
      <w:bookmarkEnd w:id="205"/>
      <w:bookmarkEnd w:id="206"/>
    </w:p>
    <w:p>
      <w:pPr>
        <w:spacing w:line="480" w:lineRule="exact"/>
        <w:jc w:val="center"/>
        <w:outlineLvl w:val="0"/>
        <w:rPr>
          <w:rFonts w:hint="eastAsia" w:ascii="宋体" w:hAnsi="宋体"/>
          <w:sz w:val="24"/>
          <w:highlight w:val="none"/>
        </w:rPr>
      </w:pPr>
      <w:bookmarkStart w:id="207" w:name="_Toc20732"/>
      <w:bookmarkStart w:id="208" w:name="_Toc16451"/>
      <w:bookmarkStart w:id="209" w:name="_Toc1183"/>
      <w:r>
        <w:rPr>
          <w:rFonts w:hint="eastAsia" w:ascii="宋体" w:hAnsi="宋体"/>
          <w:sz w:val="24"/>
          <w:highlight w:val="none"/>
        </w:rPr>
        <w:t>1、附近三个月的纳税凭证：完税凭证或免税证明或纳税申报表或银行缴税电汇凭证；</w:t>
      </w:r>
    </w:p>
    <w:p>
      <w:pPr>
        <w:spacing w:line="480" w:lineRule="exact"/>
        <w:jc w:val="both"/>
        <w:outlineLvl w:val="0"/>
        <w:rPr>
          <w:rFonts w:hint="eastAsia" w:ascii="宋体" w:hAnsi="宋体"/>
          <w:sz w:val="24"/>
          <w:highlight w:val="none"/>
        </w:rPr>
      </w:pPr>
      <w:r>
        <w:rPr>
          <w:rFonts w:hint="eastAsia" w:ascii="宋体" w:hAnsi="宋体"/>
          <w:sz w:val="24"/>
          <w:highlight w:val="none"/>
        </w:rPr>
        <w:t>2、近三个月缴纳社会保险的凭据：专用收据或社会保险缴纳清单。</w:t>
      </w:r>
    </w:p>
    <w:bookmarkEnd w:id="207"/>
    <w:bookmarkEnd w:id="208"/>
    <w:bookmarkEnd w:id="209"/>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r>
        <w:rPr>
          <w:rFonts w:ascii="宋体"/>
          <w:b/>
          <w:sz w:val="24"/>
          <w:highlight w:val="none"/>
        </w:rPr>
        <w:br w:type="page"/>
      </w:r>
      <w:bookmarkStart w:id="210" w:name="_Toc3815"/>
      <w:bookmarkStart w:id="211" w:name="_Toc31328"/>
      <w:bookmarkStart w:id="212" w:name="_Toc4"/>
      <w:r>
        <w:rPr>
          <w:rFonts w:hint="eastAsia" w:ascii="宋体" w:hAnsi="宋体"/>
          <w:b/>
          <w:sz w:val="28"/>
          <w:highlight w:val="none"/>
        </w:rPr>
        <w:t>格式</w:t>
      </w:r>
      <w:r>
        <w:rPr>
          <w:rFonts w:ascii="宋体" w:hAnsi="宋体"/>
          <w:b/>
          <w:sz w:val="28"/>
          <w:highlight w:val="none"/>
        </w:rPr>
        <w:t xml:space="preserve">4  </w:t>
      </w:r>
      <w:r>
        <w:rPr>
          <w:rFonts w:hint="eastAsia" w:ascii="宋体" w:hAnsi="宋体"/>
          <w:b/>
          <w:sz w:val="28"/>
          <w:highlight w:val="none"/>
        </w:rPr>
        <w:t>具备履行合同所必需的设备和专业技术能力的证明材料</w:t>
      </w:r>
      <w:bookmarkEnd w:id="210"/>
      <w:bookmarkEnd w:id="211"/>
      <w:bookmarkEnd w:id="212"/>
    </w:p>
    <w:p>
      <w:pPr>
        <w:spacing w:line="480" w:lineRule="exact"/>
        <w:jc w:val="center"/>
        <w:outlineLvl w:val="0"/>
        <w:rPr>
          <w:rFonts w:ascii="宋体"/>
          <w:sz w:val="28"/>
          <w:highlight w:val="none"/>
        </w:rPr>
      </w:pPr>
    </w:p>
    <w:tbl>
      <w:tblPr>
        <w:tblStyle w:val="4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设备名称</w:t>
            </w:r>
          </w:p>
        </w:tc>
        <w:tc>
          <w:tcPr>
            <w:tcW w:w="2413" w:type="dxa"/>
          </w:tcPr>
          <w:p>
            <w:pPr>
              <w:spacing w:line="420" w:lineRule="exact"/>
              <w:jc w:val="center"/>
              <w:rPr>
                <w:sz w:val="24"/>
                <w:highlight w:val="none"/>
              </w:rPr>
            </w:pPr>
            <w:r>
              <w:rPr>
                <w:rFonts w:hint="eastAsia"/>
                <w:sz w:val="24"/>
                <w:highlight w:val="none"/>
              </w:rPr>
              <w:t>规格型号</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技术人员姓名</w:t>
            </w:r>
          </w:p>
        </w:tc>
        <w:tc>
          <w:tcPr>
            <w:tcW w:w="2413" w:type="dxa"/>
          </w:tcPr>
          <w:p>
            <w:pPr>
              <w:spacing w:line="420" w:lineRule="exact"/>
              <w:jc w:val="center"/>
              <w:rPr>
                <w:sz w:val="24"/>
                <w:highlight w:val="none"/>
              </w:rPr>
            </w:pPr>
            <w:r>
              <w:rPr>
                <w:rFonts w:hint="eastAsia"/>
                <w:sz w:val="24"/>
                <w:highlight w:val="none"/>
              </w:rPr>
              <w:t>职称</w:t>
            </w:r>
            <w:r>
              <w:rPr>
                <w:sz w:val="24"/>
                <w:highlight w:val="none"/>
              </w:rPr>
              <w:t>/</w:t>
            </w:r>
            <w:r>
              <w:rPr>
                <w:rFonts w:hint="eastAsia"/>
                <w:sz w:val="24"/>
                <w:highlight w:val="none"/>
              </w:rPr>
              <w:t>岗位证书</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bl>
    <w:p>
      <w:pPr>
        <w:pStyle w:val="96"/>
        <w:spacing w:before="240" w:after="145" w:line="480" w:lineRule="exact"/>
        <w:ind w:firstLine="0" w:firstLineChars="0"/>
        <w:rPr>
          <w:rFonts w:ascii="宋体"/>
          <w:highlight w:val="none"/>
        </w:rPr>
      </w:pPr>
      <w:r>
        <w:rPr>
          <w:rFonts w:hint="eastAsia" w:ascii="宋体" w:hAnsi="宋体"/>
          <w:highlight w:val="none"/>
        </w:rPr>
        <w:t>投标人名称（盖章）：</w:t>
      </w:r>
    </w:p>
    <w:p>
      <w:pPr>
        <w:pStyle w:val="96"/>
        <w:spacing w:before="240" w:after="145" w:line="480" w:lineRule="exact"/>
        <w:ind w:firstLine="0" w:firstLineChars="0"/>
        <w:rPr>
          <w:rFonts w:ascii="宋体"/>
          <w:highlight w:val="none"/>
        </w:rPr>
      </w:pPr>
      <w:r>
        <w:rPr>
          <w:rFonts w:hint="eastAsia" w:ascii="宋体" w:hAnsi="宋体"/>
          <w:highlight w:val="none"/>
        </w:rPr>
        <w:t>授权代表（签字或盖章）：</w:t>
      </w:r>
    </w:p>
    <w:p>
      <w:pPr>
        <w:pStyle w:val="96"/>
        <w:spacing w:before="240" w:after="145" w:line="480" w:lineRule="exact"/>
        <w:ind w:firstLine="0" w:firstLineChars="0"/>
        <w:rPr>
          <w:b/>
          <w:highlight w:val="none"/>
        </w:rPr>
      </w:pPr>
      <w:r>
        <w:rPr>
          <w:rFonts w:hint="eastAsia" w:ascii="宋体" w:hAnsi="宋体"/>
          <w:highlight w:val="none"/>
        </w:rPr>
        <w:t>日</w:t>
      </w:r>
      <w:r>
        <w:rPr>
          <w:rFonts w:ascii="宋体" w:hAnsi="宋体"/>
          <w:highlight w:val="none"/>
        </w:rPr>
        <w:t xml:space="preserve">   </w:t>
      </w:r>
      <w:r>
        <w:rPr>
          <w:rFonts w:hint="eastAsia" w:ascii="宋体" w:hAnsi="宋体"/>
          <w:highlight w:val="none"/>
        </w:rPr>
        <w:t>期：</w:t>
      </w:r>
    </w:p>
    <w:p>
      <w:pPr>
        <w:spacing w:line="480" w:lineRule="exact"/>
        <w:jc w:val="center"/>
        <w:outlineLvl w:val="0"/>
        <w:rPr>
          <w:rFonts w:ascii="宋体"/>
          <w:sz w:val="28"/>
          <w:highlight w:val="none"/>
        </w:rPr>
      </w:pPr>
      <w:r>
        <w:rPr>
          <w:rFonts w:ascii="宋体"/>
          <w:sz w:val="28"/>
          <w:highlight w:val="none"/>
        </w:rPr>
        <w:br w:type="page"/>
      </w:r>
    </w:p>
    <w:p>
      <w:pPr>
        <w:spacing w:line="480" w:lineRule="exact"/>
        <w:jc w:val="center"/>
        <w:outlineLvl w:val="0"/>
        <w:rPr>
          <w:rFonts w:ascii="宋体"/>
          <w:b/>
          <w:sz w:val="28"/>
          <w:highlight w:val="none"/>
        </w:rPr>
      </w:pPr>
      <w:bookmarkStart w:id="213" w:name="_Toc15082"/>
      <w:bookmarkStart w:id="214" w:name="_Toc4460"/>
      <w:bookmarkStart w:id="215" w:name="_Toc11678"/>
      <w:r>
        <w:rPr>
          <w:rFonts w:hint="eastAsia" w:ascii="宋体" w:hAnsi="宋体"/>
          <w:b/>
          <w:sz w:val="28"/>
          <w:highlight w:val="none"/>
        </w:rPr>
        <w:t>格式</w:t>
      </w:r>
      <w:r>
        <w:rPr>
          <w:rFonts w:ascii="宋体" w:hAnsi="宋体"/>
          <w:b/>
          <w:sz w:val="28"/>
          <w:highlight w:val="none"/>
        </w:rPr>
        <w:t xml:space="preserve">5  </w:t>
      </w:r>
      <w:r>
        <w:rPr>
          <w:rFonts w:hint="eastAsia" w:ascii="宋体" w:hAnsi="宋体"/>
          <w:b/>
          <w:sz w:val="28"/>
          <w:highlight w:val="none"/>
        </w:rPr>
        <w:t>小微企业声明函</w:t>
      </w:r>
      <w:bookmarkEnd w:id="213"/>
      <w:bookmarkEnd w:id="214"/>
      <w:bookmarkEnd w:id="215"/>
    </w:p>
    <w:p>
      <w:pPr>
        <w:spacing w:line="360" w:lineRule="auto"/>
        <w:ind w:firstLine="482" w:firstLineChars="200"/>
        <w:jc w:val="center"/>
        <w:rPr>
          <w:rFonts w:ascii="仿宋" w:hAnsi="仿宋" w:eastAsia="仿宋"/>
          <w:b/>
          <w:color w:val="000000"/>
          <w:sz w:val="24"/>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号）的规定，本公司为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（请填写：小型、微型）企业。即，本公司同时满足以下条件：</w:t>
      </w:r>
    </w:p>
    <w:p>
      <w:pPr>
        <w:spacing w:line="360" w:lineRule="auto"/>
        <w:ind w:firstLine="600" w:firstLineChars="25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、根据《工业和信息化部、国家统计局、国家发展和改革委员会、财政部关于印发中小企业划型规定的通知》（工信部联企业【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号）规定的划分标准，本公司为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w:t>
      </w:r>
    </w:p>
    <w:p>
      <w:pPr>
        <w:spacing w:line="360" w:lineRule="auto"/>
        <w:ind w:firstLine="600" w:firstLineChars="25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、本公司参加</w:t>
      </w:r>
      <w:r>
        <w:rPr>
          <w:rFonts w:ascii="宋体" w:hAnsi="宋体"/>
          <w:color w:val="000000"/>
          <w:sz w:val="24"/>
          <w:highlight w:val="none"/>
          <w:u w:val="single"/>
        </w:rPr>
        <w:t xml:space="preserve">      </w:t>
      </w:r>
      <w:r>
        <w:rPr>
          <w:rFonts w:hint="eastAsia" w:ascii="宋体" w:hAnsi="宋体"/>
          <w:color w:val="000000"/>
          <w:sz w:val="24"/>
          <w:highlight w:val="none"/>
        </w:rPr>
        <w:t>单位的</w:t>
      </w:r>
      <w:r>
        <w:rPr>
          <w:rFonts w:ascii="宋体" w:hAnsi="宋体"/>
          <w:color w:val="000000"/>
          <w:sz w:val="24"/>
          <w:highlight w:val="none"/>
          <w:u w:val="single"/>
        </w:rPr>
        <w:t xml:space="preserve">        </w:t>
      </w:r>
      <w:r>
        <w:rPr>
          <w:rFonts w:hint="eastAsia" w:ascii="宋体" w:hAnsi="宋体"/>
          <w:color w:val="000000"/>
          <w:sz w:val="24"/>
          <w:highlight w:val="none"/>
        </w:rPr>
        <w:t>项目采购活动提供本企业制造的货物。由本企业承担工程、提供服务，或者提供其他</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（请填写：小型、微型）企业制造的货物。本条所称货物不包括使用大型企业注册商标的货物。</w:t>
      </w:r>
    </w:p>
    <w:p>
      <w:pPr>
        <w:spacing w:line="360" w:lineRule="auto"/>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right="560"/>
        <w:rPr>
          <w:rFonts w:ascii="宋体"/>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color w:val="000000"/>
          <w:sz w:val="24"/>
          <w:highlight w:val="non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spacing w:line="480" w:lineRule="exact"/>
        <w:jc w:val="center"/>
        <w:outlineLvl w:val="0"/>
        <w:rPr>
          <w:rFonts w:ascii="仿宋" w:hAnsi="仿宋" w:eastAsia="仿宋"/>
          <w:color w:val="000000"/>
          <w:sz w:val="24"/>
          <w:highlight w:val="none"/>
        </w:rPr>
      </w:pPr>
      <w:r>
        <w:rPr>
          <w:rFonts w:ascii="仿宋" w:hAnsi="仿宋" w:eastAsia="仿宋"/>
          <w:color w:val="000000"/>
          <w:sz w:val="24"/>
          <w:highlight w:val="none"/>
        </w:rPr>
        <w:br w:type="page"/>
      </w:r>
    </w:p>
    <w:p>
      <w:pPr>
        <w:spacing w:line="480" w:lineRule="exact"/>
        <w:jc w:val="center"/>
        <w:outlineLvl w:val="0"/>
        <w:rPr>
          <w:rFonts w:ascii="宋体"/>
          <w:b/>
          <w:sz w:val="28"/>
          <w:highlight w:val="none"/>
        </w:rPr>
      </w:pPr>
      <w:bookmarkStart w:id="216" w:name="_Toc170"/>
      <w:bookmarkStart w:id="217" w:name="_Toc9435"/>
      <w:bookmarkStart w:id="218" w:name="_Toc14964"/>
      <w:r>
        <w:rPr>
          <w:rFonts w:hint="eastAsia" w:ascii="宋体" w:hAnsi="宋体"/>
          <w:b/>
          <w:sz w:val="28"/>
          <w:highlight w:val="none"/>
        </w:rPr>
        <w:t>格式</w:t>
      </w:r>
      <w:r>
        <w:rPr>
          <w:rFonts w:ascii="宋体" w:hAnsi="宋体"/>
          <w:b/>
          <w:sz w:val="28"/>
          <w:highlight w:val="none"/>
        </w:rPr>
        <w:t xml:space="preserve">6  </w:t>
      </w:r>
      <w:r>
        <w:rPr>
          <w:rFonts w:hint="eastAsia" w:ascii="宋体" w:hAnsi="宋体"/>
          <w:b/>
          <w:sz w:val="28"/>
          <w:highlight w:val="none"/>
        </w:rPr>
        <w:t>从业人员声明函</w:t>
      </w:r>
      <w:bookmarkEnd w:id="216"/>
      <w:bookmarkEnd w:id="217"/>
      <w:bookmarkEnd w:id="218"/>
    </w:p>
    <w:p>
      <w:pPr>
        <w:spacing w:line="480" w:lineRule="exact"/>
        <w:jc w:val="center"/>
        <w:outlineLvl w:val="0"/>
        <w:rPr>
          <w:rFonts w:ascii="宋体"/>
          <w:b/>
          <w:sz w:val="28"/>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号）规定，本公司从业人员数为</w:t>
      </w:r>
      <w:r>
        <w:rPr>
          <w:rFonts w:ascii="宋体" w:hAnsi="宋体"/>
          <w:color w:val="000000"/>
          <w:sz w:val="24"/>
          <w:highlight w:val="none"/>
          <w:u w:val="single"/>
        </w:rPr>
        <w:t xml:space="preserve">           </w:t>
      </w:r>
      <w:r>
        <w:rPr>
          <w:rFonts w:hint="eastAsia" w:ascii="宋体" w:hAnsi="宋体"/>
          <w:color w:val="000000"/>
          <w:sz w:val="24"/>
          <w:highlight w:val="none"/>
        </w:rPr>
        <w:t>。</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firstLine="480" w:firstLineChars="200"/>
        <w:rPr>
          <w:rFonts w:ascii="宋体"/>
          <w:color w:val="000000"/>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sz w:val="24"/>
          <w:highlight w:val="none"/>
          <w:u w:val="singl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ind w:right="560"/>
        <w:rPr>
          <w:rFonts w:ascii="宋体"/>
          <w:color w:val="000000"/>
          <w:sz w:val="24"/>
          <w:highlight w:val="none"/>
        </w:rPr>
      </w:pPr>
    </w:p>
    <w:p>
      <w:pPr>
        <w:spacing w:line="360" w:lineRule="auto"/>
        <w:ind w:right="240"/>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keepNext/>
        <w:keepLines/>
        <w:spacing w:before="120" w:after="120" w:line="360" w:lineRule="auto"/>
        <w:outlineLvl w:val="1"/>
        <w:rPr>
          <w:rFonts w:ascii="宋体"/>
          <w:b/>
          <w:bCs/>
          <w:sz w:val="24"/>
          <w:highlight w:val="none"/>
        </w:rPr>
      </w:pPr>
    </w:p>
    <w:p>
      <w:pPr>
        <w:spacing w:line="480" w:lineRule="exact"/>
        <w:rPr>
          <w:rFonts w:ascii="宋体"/>
          <w:sz w:val="24"/>
          <w:highlight w:val="none"/>
        </w:rPr>
      </w:pPr>
    </w:p>
    <w:p>
      <w:pPr>
        <w:spacing w:line="480" w:lineRule="exact"/>
        <w:jc w:val="left"/>
        <w:outlineLvl w:val="0"/>
        <w:rPr>
          <w:rFonts w:ascii="宋体"/>
          <w:bCs/>
          <w:sz w:val="28"/>
          <w:szCs w:val="28"/>
          <w:highlight w:val="none"/>
        </w:rPr>
      </w:pPr>
    </w:p>
    <w:p>
      <w:pPr>
        <w:pStyle w:val="2"/>
        <w:spacing w:line="580" w:lineRule="exact"/>
        <w:jc w:val="center"/>
        <w:rPr>
          <w:sz w:val="28"/>
          <w:szCs w:val="28"/>
          <w:highlight w:val="none"/>
        </w:rPr>
      </w:pPr>
      <w:r>
        <w:rPr>
          <w:rFonts w:ascii="宋体"/>
          <w:highlight w:val="none"/>
        </w:rPr>
        <w:br w:type="page"/>
      </w:r>
      <w:bookmarkStart w:id="219" w:name="_Toc492372156"/>
      <w:bookmarkStart w:id="220" w:name="_Toc503943637"/>
      <w:bookmarkStart w:id="221" w:name="_Toc15306"/>
      <w:bookmarkStart w:id="222" w:name="_Toc499831025"/>
      <w:bookmarkStart w:id="223" w:name="_Toc499827580"/>
      <w:r>
        <w:rPr>
          <w:rFonts w:hint="eastAsia"/>
          <w:sz w:val="28"/>
          <w:szCs w:val="28"/>
          <w:highlight w:val="none"/>
        </w:rPr>
        <w:t>格式</w:t>
      </w:r>
      <w:r>
        <w:rPr>
          <w:sz w:val="28"/>
          <w:szCs w:val="28"/>
          <w:highlight w:val="none"/>
        </w:rPr>
        <w:t xml:space="preserve">7  </w:t>
      </w:r>
      <w:bookmarkEnd w:id="219"/>
      <w:r>
        <w:rPr>
          <w:rFonts w:hint="eastAsia"/>
          <w:sz w:val="28"/>
          <w:szCs w:val="28"/>
          <w:highlight w:val="none"/>
        </w:rPr>
        <w:t>残疾人福利性单位声明函</w:t>
      </w:r>
      <w:bookmarkEnd w:id="220"/>
      <w:bookmarkEnd w:id="221"/>
      <w:bookmarkEnd w:id="222"/>
      <w:bookmarkEnd w:id="223"/>
    </w:p>
    <w:p>
      <w:pPr>
        <w:spacing w:line="480" w:lineRule="exact"/>
        <w:jc w:val="center"/>
        <w:outlineLvl w:val="0"/>
        <w:rPr>
          <w:highlight w:val="none"/>
        </w:rPr>
      </w:pP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本单位郑重声明，根据《财政部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号）的规定，本单位为符合条件的残疾人福利性单位，且本单位参加</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spacing w:val="6"/>
          <w:sz w:val="24"/>
          <w:highlight w:val="none"/>
        </w:rPr>
        <w:t>项目采购活动提供本单位制造的货物（由本单位承担工程</w:t>
      </w:r>
      <w:r>
        <w:rPr>
          <w:rFonts w:ascii="宋体" w:hAnsi="宋体"/>
          <w:spacing w:val="6"/>
          <w:sz w:val="24"/>
          <w:highlight w:val="none"/>
        </w:rPr>
        <w:t>/</w:t>
      </w:r>
      <w:r>
        <w:rPr>
          <w:rFonts w:hint="eastAsia" w:ascii="宋体" w:hAnsi="宋体"/>
          <w:spacing w:val="6"/>
          <w:sz w:val="24"/>
          <w:highlight w:val="none"/>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单位名称（盖章）：</w:t>
      </w: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日</w:t>
      </w:r>
      <w:r>
        <w:rPr>
          <w:rFonts w:ascii="宋体" w:hAnsi="宋体"/>
          <w:spacing w:val="6"/>
          <w:sz w:val="24"/>
          <w:highlight w:val="none"/>
        </w:rPr>
        <w:t xml:space="preserve">  </w:t>
      </w:r>
      <w:r>
        <w:rPr>
          <w:rFonts w:hint="eastAsia" w:ascii="宋体" w:hAnsi="宋体"/>
          <w:spacing w:val="6"/>
          <w:sz w:val="24"/>
          <w:highlight w:val="none"/>
        </w:rPr>
        <w:t>期：</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r>
        <w:rPr>
          <w:rFonts w:hint="eastAsia" w:ascii="宋体" w:hAnsi="宋体"/>
          <w:color w:val="0D0D0D"/>
          <w:spacing w:val="6"/>
          <w:sz w:val="24"/>
          <w:highlight w:val="none"/>
        </w:rPr>
        <w:t>注：</w:t>
      </w:r>
      <w:r>
        <w:rPr>
          <w:rFonts w:ascii="宋体" w:hAnsi="宋体"/>
          <w:color w:val="0D0D0D"/>
          <w:spacing w:val="6"/>
          <w:sz w:val="24"/>
          <w:highlight w:val="none"/>
        </w:rPr>
        <w:t>1</w:t>
      </w:r>
      <w:r>
        <w:rPr>
          <w:rFonts w:hint="eastAsia" w:ascii="宋体" w:hAnsi="宋体"/>
          <w:color w:val="0D0D0D"/>
          <w:spacing w:val="6"/>
          <w:sz w:val="24"/>
          <w:highlight w:val="none"/>
        </w:rPr>
        <w:t>、</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号）第一条的规定：享受政府采购支持政策的残疾人福利性单位应当同时满足以下条件：</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1</w:t>
      </w:r>
      <w:r>
        <w:rPr>
          <w:rFonts w:hint="eastAsia" w:ascii="宋体" w:hAnsi="宋体"/>
          <w:spacing w:val="6"/>
          <w:sz w:val="24"/>
          <w:highlight w:val="none"/>
        </w:rPr>
        <w:t>）安置的残疾人占本单位在职职工人数的比例不低于</w:t>
      </w:r>
      <w:r>
        <w:rPr>
          <w:rFonts w:ascii="宋体" w:hAnsi="宋体"/>
          <w:spacing w:val="6"/>
          <w:sz w:val="24"/>
          <w:highlight w:val="none"/>
        </w:rPr>
        <w:t>25%</w:t>
      </w:r>
      <w:r>
        <w:rPr>
          <w:rFonts w:hint="eastAsia" w:ascii="宋体" w:hAnsi="宋体"/>
          <w:spacing w:val="6"/>
          <w:sz w:val="24"/>
          <w:highlight w:val="none"/>
        </w:rPr>
        <w:t>（含</w:t>
      </w:r>
      <w:r>
        <w:rPr>
          <w:rFonts w:ascii="宋体" w:hAnsi="宋体"/>
          <w:spacing w:val="6"/>
          <w:sz w:val="24"/>
          <w:highlight w:val="none"/>
        </w:rPr>
        <w:t>25%</w:t>
      </w:r>
      <w:r>
        <w:rPr>
          <w:rFonts w:hint="eastAsia" w:ascii="宋体" w:hAnsi="宋体"/>
          <w:spacing w:val="6"/>
          <w:sz w:val="24"/>
          <w:highlight w:val="none"/>
        </w:rPr>
        <w:t>），并且安置的残疾人人数不少于</w:t>
      </w:r>
      <w:r>
        <w:rPr>
          <w:rFonts w:ascii="宋体" w:hAnsi="宋体"/>
          <w:spacing w:val="6"/>
          <w:sz w:val="24"/>
          <w:highlight w:val="none"/>
        </w:rPr>
        <w:t>10</w:t>
      </w:r>
      <w:r>
        <w:rPr>
          <w:rFonts w:hint="eastAsia" w:ascii="宋体" w:hAnsi="宋体"/>
          <w:spacing w:val="6"/>
          <w:sz w:val="24"/>
          <w:highlight w:val="none"/>
        </w:rPr>
        <w:t>人（含</w:t>
      </w:r>
      <w:r>
        <w:rPr>
          <w:rFonts w:ascii="宋体" w:hAnsi="宋体"/>
          <w:spacing w:val="6"/>
          <w:sz w:val="24"/>
          <w:highlight w:val="none"/>
        </w:rPr>
        <w:t>10</w:t>
      </w:r>
      <w:r>
        <w:rPr>
          <w:rFonts w:hint="eastAsia" w:ascii="宋体" w:hAnsi="宋体"/>
          <w:spacing w:val="6"/>
          <w:sz w:val="24"/>
          <w:highlight w:val="none"/>
        </w:rPr>
        <w:t>人）；</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2</w:t>
      </w:r>
      <w:r>
        <w:rPr>
          <w:rFonts w:hint="eastAsia" w:ascii="宋体" w:hAnsi="宋体"/>
          <w:spacing w:val="6"/>
          <w:sz w:val="24"/>
          <w:highlight w:val="none"/>
        </w:rPr>
        <w:t>）依法与安置的每位残疾人签订了一年以上（含一年）的劳动合同或服务协议；</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3</w:t>
      </w:r>
      <w:r>
        <w:rPr>
          <w:rFonts w:hint="eastAsia" w:ascii="宋体" w:hAnsi="宋体"/>
          <w:spacing w:val="6"/>
          <w:sz w:val="24"/>
          <w:highlight w:val="none"/>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4</w:t>
      </w:r>
      <w:r>
        <w:rPr>
          <w:rFonts w:hint="eastAsia" w:ascii="宋体" w:hAnsi="宋体"/>
          <w:spacing w:val="6"/>
          <w:sz w:val="24"/>
          <w:highlight w:val="none"/>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5</w:t>
      </w:r>
      <w:r>
        <w:rPr>
          <w:rFonts w:hint="eastAsia" w:ascii="宋体" w:hAnsi="宋体"/>
          <w:spacing w:val="6"/>
          <w:sz w:val="24"/>
          <w:highlight w:val="none"/>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前款所称残疾人是指法定劳动年龄内，持有《中华人民共和国残疾人证》或者《中华人民共和国残疾军人证（</w:t>
      </w:r>
      <w:r>
        <w:rPr>
          <w:rFonts w:ascii="宋体" w:hAnsi="宋体"/>
          <w:spacing w:val="6"/>
          <w:sz w:val="24"/>
          <w:highlight w:val="none"/>
        </w:rPr>
        <w:t>1</w:t>
      </w:r>
      <w:r>
        <w:rPr>
          <w:rFonts w:hint="eastAsia" w:ascii="宋体" w:hAnsi="宋体"/>
          <w:spacing w:val="6"/>
          <w:sz w:val="24"/>
          <w:highlight w:val="none"/>
        </w:rPr>
        <w:t>至</w:t>
      </w:r>
      <w:r>
        <w:rPr>
          <w:rFonts w:ascii="宋体" w:hAnsi="宋体"/>
          <w:spacing w:val="6"/>
          <w:sz w:val="24"/>
          <w:highlight w:val="none"/>
        </w:rPr>
        <w:t>8</w:t>
      </w:r>
      <w:r>
        <w:rPr>
          <w:rFonts w:hint="eastAsia" w:ascii="宋体" w:hAnsi="宋体"/>
          <w:spacing w:val="6"/>
          <w:sz w:val="24"/>
          <w:highlight w:val="none"/>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highlight w:val="none"/>
        </w:rPr>
      </w:pPr>
      <w:r>
        <w:rPr>
          <w:rFonts w:ascii="宋体" w:hAnsi="宋体"/>
          <w:spacing w:val="6"/>
          <w:sz w:val="24"/>
          <w:highlight w:val="none"/>
        </w:rPr>
        <w:t>2</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highlight w:val="none"/>
          <w:lang w:val="zh-CN"/>
        </w:rPr>
      </w:pPr>
      <w:r>
        <w:rPr>
          <w:rFonts w:ascii="宋体"/>
          <w:highlight w:val="none"/>
        </w:rPr>
        <w:br w:type="page"/>
      </w:r>
      <w:r>
        <w:rPr>
          <w:rFonts w:hint="eastAsia" w:ascii="宋体" w:hAnsi="宋体"/>
          <w:b/>
          <w:sz w:val="28"/>
          <w:highlight w:val="none"/>
        </w:rPr>
        <w:t>格式</w:t>
      </w:r>
      <w:r>
        <w:rPr>
          <w:rFonts w:ascii="宋体" w:hAnsi="宋体"/>
          <w:b/>
          <w:sz w:val="28"/>
          <w:highlight w:val="none"/>
        </w:rPr>
        <w:t xml:space="preserve">8  </w:t>
      </w:r>
      <w:r>
        <w:rPr>
          <w:rFonts w:hint="eastAsia" w:ascii="黑体" w:hAnsi="Arial" w:eastAsia="黑体"/>
          <w:sz w:val="30"/>
          <w:szCs w:val="30"/>
          <w:highlight w:val="none"/>
          <w:lang w:val="zh-CN"/>
        </w:rPr>
        <w:t>投标人同类项目实施情况一览表</w:t>
      </w:r>
    </w:p>
    <w:p>
      <w:pPr>
        <w:autoSpaceDE w:val="0"/>
        <w:autoSpaceDN w:val="0"/>
        <w:jc w:val="center"/>
        <w:rPr>
          <w:rFonts w:ascii="宋体" w:hAnsi="Arial"/>
          <w:sz w:val="28"/>
          <w:highlight w:val="none"/>
          <w:lang w:val="zh-CN"/>
        </w:rPr>
      </w:pPr>
    </w:p>
    <w:p>
      <w:pPr>
        <w:autoSpaceDE w:val="0"/>
        <w:autoSpaceDN w:val="0"/>
        <w:spacing w:after="240"/>
        <w:rPr>
          <w:rFonts w:ascii="宋体" w:cs="宋体"/>
          <w:highlight w:val="none"/>
          <w:u w:val="single"/>
        </w:rPr>
      </w:pPr>
      <w:r>
        <w:rPr>
          <w:rFonts w:hint="eastAsia" w:ascii="宋体" w:hAnsi="宋体" w:cs="宋体"/>
          <w:sz w:val="24"/>
          <w:highlight w:val="none"/>
          <w:lang w:val="zh-CN"/>
        </w:rPr>
        <w:t>项目名称：</w:t>
      </w:r>
      <w:r>
        <w:rPr>
          <w:rFonts w:ascii="宋体" w:hAnsi="宋体" w:cs="宋体"/>
          <w:sz w:val="24"/>
          <w:highlight w:val="none"/>
          <w:u w:val="single"/>
          <w:lang w:val="zh-CN"/>
        </w:rPr>
        <w:t xml:space="preserve">                           </w:t>
      </w:r>
      <w:r>
        <w:rPr>
          <w:rFonts w:ascii="宋体" w:hAnsi="宋体" w:cs="宋体"/>
          <w:sz w:val="24"/>
          <w:highlight w:val="none"/>
          <w:lang w:val="zh-CN"/>
        </w:rPr>
        <w:t xml:space="preserve"> </w:t>
      </w:r>
    </w:p>
    <w:tbl>
      <w:tblPr>
        <w:tblStyle w:val="49"/>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招标采购单位名称</w:t>
            </w:r>
          </w:p>
        </w:tc>
        <w:tc>
          <w:tcPr>
            <w:tcW w:w="1971"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项目名称</w:t>
            </w:r>
          </w:p>
        </w:tc>
        <w:tc>
          <w:tcPr>
            <w:tcW w:w="815"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采购数量</w:t>
            </w:r>
          </w:p>
        </w:tc>
        <w:tc>
          <w:tcPr>
            <w:tcW w:w="874"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单价</w:t>
            </w:r>
          </w:p>
        </w:tc>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合同</w:t>
            </w:r>
          </w:p>
          <w:p>
            <w:pPr>
              <w:autoSpaceDE w:val="0"/>
              <w:autoSpaceDN w:val="0"/>
              <w:snapToGrid w:val="0"/>
              <w:jc w:val="center"/>
              <w:rPr>
                <w:rFonts w:ascii="宋体" w:cs="宋体"/>
                <w:sz w:val="24"/>
                <w:highlight w:val="none"/>
              </w:rPr>
            </w:pPr>
            <w:r>
              <w:rPr>
                <w:rFonts w:hint="eastAsia" w:ascii="宋体" w:hAnsi="宋体" w:cs="宋体"/>
                <w:sz w:val="24"/>
                <w:highlight w:val="none"/>
              </w:rPr>
              <w:t>金额</w:t>
            </w:r>
          </w:p>
          <w:p>
            <w:pPr>
              <w:autoSpaceDE w:val="0"/>
              <w:autoSpaceDN w:val="0"/>
              <w:snapToGrid w:val="0"/>
              <w:jc w:val="center"/>
              <w:rPr>
                <w:rFonts w:ascii="宋体" w:cs="宋体"/>
                <w:sz w:val="24"/>
                <w:highlight w:val="none"/>
              </w:rPr>
            </w:pPr>
            <w:r>
              <w:rPr>
                <w:rFonts w:hint="eastAsia" w:ascii="宋体" w:hAnsi="宋体" w:cs="宋体"/>
                <w:sz w:val="24"/>
                <w:highlight w:val="none"/>
              </w:rPr>
              <w:t>（万元）</w:t>
            </w:r>
          </w:p>
        </w:tc>
        <w:tc>
          <w:tcPr>
            <w:tcW w:w="2112" w:type="dxa"/>
            <w:gridSpan w:val="2"/>
          </w:tcPr>
          <w:p>
            <w:pPr>
              <w:autoSpaceDE w:val="0"/>
              <w:autoSpaceDN w:val="0"/>
              <w:snapToGrid w:val="0"/>
              <w:jc w:val="center"/>
              <w:rPr>
                <w:rFonts w:ascii="宋体" w:cs="宋体"/>
                <w:sz w:val="24"/>
                <w:highlight w:val="none"/>
              </w:rPr>
            </w:pPr>
            <w:r>
              <w:rPr>
                <w:rFonts w:hint="eastAsia" w:ascii="宋体" w:hAnsi="宋体" w:cs="宋体"/>
                <w:sz w:val="24"/>
                <w:highlight w:val="none"/>
              </w:rPr>
              <w:t>附件页码</w:t>
            </w:r>
          </w:p>
        </w:tc>
        <w:tc>
          <w:tcPr>
            <w:tcW w:w="1550"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宋体" w:cs="宋体"/>
                <w:highlight w:val="none"/>
              </w:rPr>
            </w:pPr>
          </w:p>
        </w:tc>
        <w:tc>
          <w:tcPr>
            <w:tcW w:w="1971" w:type="dxa"/>
            <w:vMerge w:val="continue"/>
          </w:tcPr>
          <w:p>
            <w:pPr>
              <w:autoSpaceDE w:val="0"/>
              <w:autoSpaceDN w:val="0"/>
              <w:snapToGrid w:val="0"/>
              <w:rPr>
                <w:rFonts w:ascii="宋体" w:cs="宋体"/>
                <w:highlight w:val="none"/>
              </w:rPr>
            </w:pPr>
          </w:p>
        </w:tc>
        <w:tc>
          <w:tcPr>
            <w:tcW w:w="815" w:type="dxa"/>
            <w:vMerge w:val="continue"/>
          </w:tcPr>
          <w:p>
            <w:pPr>
              <w:autoSpaceDE w:val="0"/>
              <w:autoSpaceDN w:val="0"/>
              <w:snapToGrid w:val="0"/>
              <w:rPr>
                <w:rFonts w:ascii="宋体" w:cs="宋体"/>
                <w:highlight w:val="none"/>
              </w:rPr>
            </w:pPr>
          </w:p>
        </w:tc>
        <w:tc>
          <w:tcPr>
            <w:tcW w:w="874" w:type="dxa"/>
            <w:vMerge w:val="continue"/>
          </w:tcPr>
          <w:p>
            <w:pPr>
              <w:autoSpaceDE w:val="0"/>
              <w:autoSpaceDN w:val="0"/>
              <w:snapToGrid w:val="0"/>
              <w:rPr>
                <w:rFonts w:ascii="宋体" w:cs="宋体"/>
                <w:highlight w:val="none"/>
              </w:rPr>
            </w:pPr>
          </w:p>
        </w:tc>
        <w:tc>
          <w:tcPr>
            <w:tcW w:w="1269" w:type="dxa"/>
            <w:vMerge w:val="continue"/>
          </w:tcPr>
          <w:p>
            <w:pPr>
              <w:autoSpaceDE w:val="0"/>
              <w:autoSpaceDN w:val="0"/>
              <w:snapToGrid w:val="0"/>
              <w:rPr>
                <w:rFonts w:ascii="宋体" w:cs="宋体"/>
                <w:highlight w:val="none"/>
              </w:rPr>
            </w:pPr>
          </w:p>
        </w:tc>
        <w:tc>
          <w:tcPr>
            <w:tcW w:w="1049" w:type="dxa"/>
            <w:vAlign w:val="center"/>
          </w:tcPr>
          <w:p>
            <w:pPr>
              <w:autoSpaceDE w:val="0"/>
              <w:autoSpaceDN w:val="0"/>
              <w:snapToGrid w:val="0"/>
              <w:jc w:val="center"/>
              <w:rPr>
                <w:rFonts w:ascii="宋体" w:cs="宋体"/>
                <w:highlight w:val="none"/>
              </w:rPr>
            </w:pPr>
            <w:r>
              <w:rPr>
                <w:rFonts w:hint="eastAsia" w:ascii="宋体" w:hAnsi="宋体" w:cs="宋体"/>
                <w:highlight w:val="none"/>
              </w:rPr>
              <w:t>合同</w:t>
            </w:r>
          </w:p>
        </w:tc>
        <w:tc>
          <w:tcPr>
            <w:tcW w:w="1063" w:type="dxa"/>
            <w:vAlign w:val="center"/>
          </w:tcPr>
          <w:p>
            <w:pPr>
              <w:autoSpaceDE w:val="0"/>
              <w:autoSpaceDN w:val="0"/>
              <w:snapToGrid w:val="0"/>
              <w:jc w:val="center"/>
              <w:rPr>
                <w:rFonts w:ascii="宋体" w:cs="宋体"/>
                <w:highlight w:val="none"/>
              </w:rPr>
            </w:pPr>
            <w:r>
              <w:rPr>
                <w:rFonts w:hint="eastAsia" w:ascii="宋体" w:hAnsi="宋体" w:cs="宋体"/>
                <w:highlight w:val="none"/>
              </w:rPr>
              <w:t>服务验收报告</w:t>
            </w:r>
          </w:p>
        </w:tc>
        <w:tc>
          <w:tcPr>
            <w:tcW w:w="1550" w:type="dxa"/>
            <w:vMerge w:val="continue"/>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bl>
    <w:p>
      <w:pPr>
        <w:pStyle w:val="96"/>
        <w:snapToGrid w:val="0"/>
        <w:spacing w:before="240" w:line="240" w:lineRule="auto"/>
        <w:ind w:firstLine="0" w:firstLineChars="0"/>
        <w:rPr>
          <w:highlight w:val="none"/>
        </w:rPr>
      </w:pPr>
      <w:r>
        <w:rPr>
          <w:rFonts w:hint="eastAsia"/>
          <w:highlight w:val="none"/>
        </w:rPr>
        <w:t>投标人提供虚假资料的，评标委员会可认定为虚假投标。请各投标人谨慎填写。</w:t>
      </w:r>
    </w:p>
    <w:p>
      <w:pPr>
        <w:autoSpaceDE w:val="0"/>
        <w:autoSpaceDN w:val="0"/>
        <w:spacing w:line="360" w:lineRule="auto"/>
        <w:rPr>
          <w:rFonts w:ascii="??_GB2312" w:hAnsi="仿宋" w:eastAsia="Times New Roman"/>
          <w:sz w:val="24"/>
          <w:highlight w:val="none"/>
          <w:lang w:val="zh-CN"/>
        </w:rPr>
      </w:pPr>
    </w:p>
    <w:p>
      <w:pPr>
        <w:pStyle w:val="96"/>
        <w:snapToGrid w:val="0"/>
        <w:spacing w:before="240" w:line="240" w:lineRule="auto"/>
        <w:ind w:firstLine="0" w:firstLineChars="0"/>
        <w:rPr>
          <w:highlight w:val="none"/>
          <w:lang w:val="zh-CN"/>
        </w:rPr>
      </w:pPr>
      <w:r>
        <w:rPr>
          <w:rFonts w:hint="eastAsia"/>
          <w:highlight w:val="none"/>
          <w:lang w:val="zh-CN"/>
        </w:rPr>
        <w:t>投标人名称（公章）：</w:t>
      </w:r>
    </w:p>
    <w:p>
      <w:pPr>
        <w:pStyle w:val="96"/>
        <w:snapToGrid w:val="0"/>
        <w:spacing w:before="240" w:line="240" w:lineRule="auto"/>
        <w:ind w:firstLine="0" w:firstLineChars="0"/>
        <w:rPr>
          <w:highlight w:val="none"/>
          <w:lang w:val="zh-CN"/>
        </w:rPr>
      </w:pPr>
      <w:r>
        <w:rPr>
          <w:rFonts w:hint="eastAsia"/>
          <w:highlight w:val="none"/>
          <w:lang w:val="zh-CN"/>
        </w:rPr>
        <w:t>法定代表人或其授权代表（签字或盖章）：</w:t>
      </w:r>
      <w:r>
        <w:rPr>
          <w:highlight w:val="none"/>
          <w:lang w:val="zh-CN"/>
        </w:rPr>
        <w:t xml:space="preserve"> </w:t>
      </w:r>
    </w:p>
    <w:p>
      <w:pPr>
        <w:pStyle w:val="96"/>
        <w:snapToGrid w:val="0"/>
        <w:spacing w:before="240" w:line="240" w:lineRule="auto"/>
        <w:ind w:firstLine="0" w:firstLineChars="0"/>
        <w:rPr>
          <w:highlight w:val="none"/>
          <w:lang w:val="zh-CN"/>
        </w:rPr>
      </w:pPr>
      <w:r>
        <w:rPr>
          <w:rFonts w:hint="eastAsia"/>
          <w:highlight w:val="none"/>
          <w:lang w:val="zh-CN"/>
        </w:rPr>
        <w:t>日期：</w:t>
      </w:r>
      <w:r>
        <w:rPr>
          <w:highlight w:val="none"/>
          <w:lang w:val="zh-CN"/>
        </w:rPr>
        <w:t xml:space="preserve">      </w:t>
      </w:r>
      <w:r>
        <w:rPr>
          <w:rFonts w:hint="eastAsia"/>
          <w:highlight w:val="none"/>
          <w:lang w:val="zh-CN"/>
        </w:rPr>
        <w:t>年</w:t>
      </w:r>
      <w:r>
        <w:rPr>
          <w:highlight w:val="none"/>
          <w:lang w:val="zh-CN"/>
        </w:rPr>
        <w:t xml:space="preserve">      </w:t>
      </w:r>
      <w:r>
        <w:rPr>
          <w:rFonts w:hint="eastAsia"/>
          <w:highlight w:val="none"/>
          <w:lang w:val="zh-CN"/>
        </w:rPr>
        <w:t>月</w:t>
      </w:r>
      <w:r>
        <w:rPr>
          <w:highlight w:val="none"/>
          <w:lang w:val="zh-CN"/>
        </w:rPr>
        <w:t xml:space="preserve">   </w:t>
      </w:r>
      <w:r>
        <w:rPr>
          <w:rFonts w:hint="eastAsia"/>
          <w:highlight w:val="none"/>
          <w:lang w:val="zh-CN"/>
        </w:rPr>
        <w:t>日</w:t>
      </w:r>
    </w:p>
    <w:p>
      <w:pPr>
        <w:pStyle w:val="20"/>
        <w:spacing w:line="480" w:lineRule="exact"/>
        <w:ind w:left="0" w:leftChars="0" w:firstLine="0" w:firstLineChars="0"/>
        <w:rPr>
          <w:rFonts w:ascii="宋体"/>
          <w:highlight w:val="none"/>
        </w:rPr>
      </w:pPr>
      <w:r>
        <w:rPr>
          <w:rFonts w:ascii="宋体"/>
          <w:highlight w:val="none"/>
        </w:rPr>
        <w:br w:type="page"/>
      </w:r>
    </w:p>
    <w:p>
      <w:pPr>
        <w:pStyle w:val="20"/>
        <w:spacing w:line="480" w:lineRule="exact"/>
        <w:ind w:left="0" w:leftChars="0" w:firstLine="0" w:firstLineChars="0"/>
        <w:jc w:val="center"/>
        <w:rPr>
          <w:rFonts w:ascii="宋体"/>
          <w:sz w:val="21"/>
          <w:highlight w:val="none"/>
        </w:rPr>
      </w:pPr>
      <w:r>
        <w:rPr>
          <w:rFonts w:hint="eastAsia" w:ascii="宋体" w:hAnsi="宋体"/>
          <w:highlight w:val="none"/>
        </w:rPr>
        <w:t>附件十二：</w:t>
      </w:r>
      <w:r>
        <w:rPr>
          <w:rFonts w:hint="eastAsia" w:ascii="宋体" w:hAnsi="宋体"/>
          <w:b/>
          <w:sz w:val="32"/>
          <w:szCs w:val="32"/>
          <w:highlight w:val="none"/>
        </w:rPr>
        <w:t>封面格式：</w:t>
      </w:r>
    </w:p>
    <w:p>
      <w:pPr>
        <w:pStyle w:val="20"/>
        <w:spacing w:line="480" w:lineRule="exact"/>
        <w:ind w:left="0" w:leftChars="0" w:firstLine="0" w:firstLineChars="0"/>
        <w:rPr>
          <w:rFonts w:ascii="宋体"/>
          <w:highlight w:val="none"/>
        </w:rPr>
      </w:pPr>
    </w:p>
    <w:p>
      <w:pPr>
        <w:pStyle w:val="20"/>
        <w:spacing w:line="480" w:lineRule="exact"/>
        <w:ind w:left="1747" w:firstLine="470"/>
        <w:rPr>
          <w:rFonts w:ascii="宋体"/>
          <w:highlight w:val="none"/>
        </w:rPr>
        <w:sectPr>
          <w:type w:val="continuous"/>
          <w:pgSz w:w="11907" w:h="16840"/>
          <w:pgMar w:top="1304" w:right="1418" w:bottom="1157" w:left="1418" w:header="851" w:footer="851" w:gutter="0"/>
          <w:pgNumType w:fmt="decimal"/>
          <w:cols w:space="720" w:num="1"/>
          <w:docGrid w:type="lines" w:linePitch="290" w:charSpace="-3931"/>
        </w:sect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（正本）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c>
          <w:tcPr>
            <w:tcW w:w="477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（副本）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r>
    </w:tbl>
    <w:p>
      <w:pPr>
        <w:pStyle w:val="20"/>
        <w:spacing w:line="480" w:lineRule="exact"/>
        <w:ind w:left="1747" w:firstLine="470"/>
        <w:rPr>
          <w:rFonts w:ascii="宋体"/>
          <w:highlight w:val="none"/>
        </w:r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9060" w:type="dxa"/>
          </w:tcPr>
          <w:p>
            <w:pPr>
              <w:pStyle w:val="20"/>
              <w:spacing w:line="480" w:lineRule="exact"/>
              <w:ind w:left="1747" w:firstLine="590"/>
              <w:jc w:val="center"/>
              <w:rPr>
                <w:rFonts w:ascii="宋体"/>
                <w:b/>
                <w:kern w:val="2"/>
                <w:sz w:val="30"/>
                <w:szCs w:val="24"/>
                <w:highlight w:val="none"/>
              </w:rPr>
            </w:pPr>
          </w:p>
          <w:p>
            <w:pPr>
              <w:pStyle w:val="20"/>
              <w:spacing w:line="480" w:lineRule="exact"/>
              <w:ind w:left="0" w:leftChars="0" w:firstLine="0" w:firstLineChars="0"/>
              <w:jc w:val="center"/>
              <w:rPr>
                <w:rFonts w:ascii="宋体"/>
                <w:kern w:val="2"/>
                <w:sz w:val="30"/>
                <w:szCs w:val="24"/>
                <w:highlight w:val="none"/>
              </w:rPr>
            </w:pPr>
            <w:r>
              <w:rPr>
                <w:rFonts w:hint="eastAsia" w:ascii="宋体" w:hAnsi="宋体"/>
                <w:b/>
                <w:kern w:val="2"/>
                <w:sz w:val="32"/>
                <w:szCs w:val="32"/>
                <w:highlight w:val="none"/>
              </w:rPr>
              <w:t>开标一览表</w:t>
            </w:r>
          </w:p>
          <w:p>
            <w:pPr>
              <w:pStyle w:val="20"/>
              <w:spacing w:line="480" w:lineRule="exact"/>
              <w:ind w:left="1747" w:firstLine="470"/>
              <w:rPr>
                <w:rFonts w:ascii="宋体"/>
                <w:kern w:val="2"/>
                <w:szCs w:val="24"/>
                <w:highlight w:val="none"/>
              </w:rPr>
            </w:pP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tc>
      </w:tr>
    </w:tbl>
    <w:p>
      <w:pPr>
        <w:pStyle w:val="20"/>
        <w:spacing w:line="480" w:lineRule="exact"/>
        <w:ind w:left="1747" w:firstLine="470"/>
        <w:rPr>
          <w:rFonts w:ascii="宋体"/>
          <w:highlight w:val="none"/>
        </w:rPr>
      </w:pPr>
    </w:p>
    <w:p>
      <w:pPr>
        <w:pStyle w:val="20"/>
        <w:spacing w:line="480" w:lineRule="exact"/>
        <w:ind w:left="0" w:leftChars="0" w:firstLine="3861" w:firstLineChars="1202"/>
        <w:rPr>
          <w:rFonts w:ascii="宋体"/>
          <w:b/>
          <w:sz w:val="32"/>
          <w:szCs w:val="32"/>
          <w:highlight w:val="none"/>
        </w:rPr>
      </w:pPr>
      <w:r>
        <w:rPr>
          <w:rFonts w:hint="eastAsia" w:ascii="宋体" w:hAnsi="宋体"/>
          <w:b/>
          <w:sz w:val="32"/>
          <w:szCs w:val="32"/>
          <w:highlight w:val="none"/>
        </w:rPr>
        <w:t>封口格式：</w:t>
      </w:r>
    </w:p>
    <w:tbl>
      <w:tblPr>
        <w:tblStyle w:val="49"/>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vAlign w:val="center"/>
          </w:tcPr>
          <w:p>
            <w:pPr>
              <w:pStyle w:val="20"/>
              <w:spacing w:line="480" w:lineRule="exact"/>
              <w:ind w:left="0" w:leftChars="0" w:firstLine="0" w:firstLineChars="0"/>
              <w:rPr>
                <w:rFonts w:ascii="宋体"/>
                <w:kern w:val="2"/>
                <w:szCs w:val="24"/>
                <w:highlight w:val="none"/>
              </w:rPr>
            </w:pPr>
            <w:r>
              <w:rPr>
                <w:rFonts w:hint="eastAsia" w:ascii="宋体" w:hAnsi="宋体"/>
                <w:kern w:val="2"/>
                <w:szCs w:val="24"/>
                <w:highlight w:val="none"/>
              </w:rPr>
              <w:t>………………………于年月日时之前不准启封（公章）………………………</w:t>
            </w:r>
          </w:p>
        </w:tc>
      </w:tr>
    </w:tbl>
    <w:p>
      <w:pPr>
        <w:pStyle w:val="20"/>
        <w:spacing w:line="480" w:lineRule="exact"/>
        <w:ind w:left="0" w:leftChars="0" w:firstLine="0" w:firstLineChars="0"/>
        <w:rPr>
          <w:rFonts w:ascii="宋体"/>
          <w:highlight w:val="none"/>
        </w:rPr>
      </w:pPr>
    </w:p>
    <w:sectPr>
      <w:type w:val="continuous"/>
      <w:pgSz w:w="11907" w:h="16840"/>
      <w:pgMar w:top="1304" w:right="1418" w:bottom="1157" w:left="1418" w:header="851" w:footer="851" w:gutter="0"/>
      <w:pgNumType w:fmt="decimal"/>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w:panose1 w:val="02040604050505020304"/>
    <w:charset w:val="00"/>
    <w:family w:val="roman"/>
    <w:pitch w:val="default"/>
    <w:sig w:usb0="00000287" w:usb1="00000000" w:usb2="00000000" w:usb3="00000000" w:csb0="2000009F" w:csb1="DFD7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ngsana New">
    <w:panose1 w:val="02020603050405020304"/>
    <w:charset w:val="00"/>
    <w:family w:val="roman"/>
    <w:pitch w:val="default"/>
    <w:sig w:usb0="81000003" w:usb1="00000000" w:usb2="00000000" w:usb3="00000000" w:csb0="00010001"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Uea+5sQEA&#10;AE4DAAAOAAAAAAAAAAEAIAAAAB4BAABkcnMvZTJvRG9jLnhtbFBLBQYAAAAABgAGAFkBAABBBQAA&#10;AAA=&#10;">
              <v:fill on="f" focussize="0,0"/>
              <v:stroke on="f"/>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QwkWOsQEA&#10;AE4DAAAOAAAAAAAAAAEAIAAAAB4BAABkcnMvZTJvRG9jLnhtbFBLBQYAAAAABgAGAFkBAABBBQAA&#10;AAA=&#10;">
              <v:fill on="f" focussize="0,0"/>
              <v:stroke on="f"/>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jc w:val="left"/>
    </w:pPr>
    <w:r>
      <w:drawing>
        <wp:inline distT="0" distB="0" distL="114300" distR="114300">
          <wp:extent cx="133350" cy="13335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133350" cy="133350"/>
                  </a:xfrm>
                  <a:prstGeom prst="rect">
                    <a:avLst/>
                  </a:prstGeom>
                  <a:noFill/>
                  <a:ln>
                    <a:noFill/>
                  </a:ln>
                </pic:spPr>
              </pic:pic>
            </a:graphicData>
          </a:graphic>
        </wp:inline>
      </w:drawing>
    </w:r>
    <w:r>
      <w:rPr>
        <w:rFonts w:hint="eastAsia"/>
        <w:i/>
        <w:iCs/>
      </w:rPr>
      <w:t>鲁成招标</w:t>
    </w:r>
    <w:r>
      <w:rPr>
        <w:i/>
        <w:iCs/>
      </w:rPr>
      <w:t xml:space="preserve">                                                                                 </w:t>
    </w:r>
    <w:r>
      <w:rPr>
        <w:rFonts w:hint="eastAsia"/>
        <w:i/>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D7855"/>
    <w:multiLevelType w:val="singleLevel"/>
    <w:tmpl w:val="820D7855"/>
    <w:lvl w:ilvl="0" w:tentative="0">
      <w:start w:val="1"/>
      <w:numFmt w:val="decimal"/>
      <w:lvlText w:val="%1."/>
      <w:lvlJc w:val="left"/>
      <w:pPr>
        <w:ind w:left="425" w:hanging="425"/>
      </w:pPr>
      <w:rPr>
        <w:rFonts w:hint="default"/>
      </w:rPr>
    </w:lvl>
  </w:abstractNum>
  <w:abstractNum w:abstractNumId="1">
    <w:nsid w:val="921008A5"/>
    <w:multiLevelType w:val="singleLevel"/>
    <w:tmpl w:val="921008A5"/>
    <w:lvl w:ilvl="0" w:tentative="0">
      <w:start w:val="1"/>
      <w:numFmt w:val="decimal"/>
      <w:lvlText w:val="%1."/>
      <w:lvlJc w:val="left"/>
      <w:pPr>
        <w:ind w:left="425" w:hanging="425"/>
      </w:pPr>
      <w:rPr>
        <w:rFonts w:hint="default"/>
      </w:rPr>
    </w:lvl>
  </w:abstractNum>
  <w:abstractNum w:abstractNumId="2">
    <w:nsid w:val="AD1F4A97"/>
    <w:multiLevelType w:val="singleLevel"/>
    <w:tmpl w:val="AD1F4A97"/>
    <w:lvl w:ilvl="0" w:tentative="0">
      <w:start w:val="3"/>
      <w:numFmt w:val="decimal"/>
      <w:suff w:val="nothing"/>
      <w:lvlText w:val="%1、"/>
      <w:lvlJc w:val="left"/>
    </w:lvl>
  </w:abstractNum>
  <w:abstractNum w:abstractNumId="3">
    <w:nsid w:val="CB70F62E"/>
    <w:multiLevelType w:val="singleLevel"/>
    <w:tmpl w:val="CB70F62E"/>
    <w:lvl w:ilvl="0" w:tentative="0">
      <w:start w:val="1"/>
      <w:numFmt w:val="decimal"/>
      <w:lvlText w:val="%1."/>
      <w:lvlJc w:val="left"/>
      <w:pPr>
        <w:ind w:left="425" w:hanging="425"/>
      </w:pPr>
      <w:rPr>
        <w:rFonts w:hint="default"/>
      </w:rPr>
    </w:lvl>
  </w:abstractNum>
  <w:abstractNum w:abstractNumId="4">
    <w:nsid w:val="D4AD1837"/>
    <w:multiLevelType w:val="singleLevel"/>
    <w:tmpl w:val="D4AD1837"/>
    <w:lvl w:ilvl="0" w:tentative="0">
      <w:start w:val="1"/>
      <w:numFmt w:val="decimal"/>
      <w:lvlText w:val="%1."/>
      <w:lvlJc w:val="left"/>
      <w:pPr>
        <w:ind w:left="425" w:hanging="425"/>
      </w:pPr>
      <w:rPr>
        <w:rFonts w:hint="default"/>
      </w:rPr>
    </w:lvl>
  </w:abstractNum>
  <w:abstractNum w:abstractNumId="5">
    <w:nsid w:val="E4159FEC"/>
    <w:multiLevelType w:val="singleLevel"/>
    <w:tmpl w:val="E4159FEC"/>
    <w:lvl w:ilvl="0" w:tentative="0">
      <w:start w:val="1"/>
      <w:numFmt w:val="decimal"/>
      <w:lvlText w:val="%1."/>
      <w:lvlJc w:val="left"/>
      <w:pPr>
        <w:ind w:left="425" w:hanging="425"/>
      </w:pPr>
      <w:rPr>
        <w:rFonts w:hint="default"/>
      </w:rPr>
    </w:lvl>
  </w:abstractNum>
  <w:abstractNum w:abstractNumId="6">
    <w:nsid w:val="F0C46C79"/>
    <w:multiLevelType w:val="singleLevel"/>
    <w:tmpl w:val="F0C46C79"/>
    <w:lvl w:ilvl="0" w:tentative="0">
      <w:start w:val="1"/>
      <w:numFmt w:val="decimal"/>
      <w:lvlText w:val="%1."/>
      <w:lvlJc w:val="left"/>
      <w:pPr>
        <w:ind w:left="425" w:hanging="425"/>
      </w:pPr>
      <w:rPr>
        <w:rFonts w:hint="default"/>
      </w:rPr>
    </w:lvl>
  </w:abstractNum>
  <w:abstractNum w:abstractNumId="7">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8">
    <w:nsid w:val="00000024"/>
    <w:multiLevelType w:val="multilevel"/>
    <w:tmpl w:val="00000024"/>
    <w:lvl w:ilvl="0" w:tentative="0">
      <w:start w:val="36"/>
      <w:numFmt w:val="decimal"/>
      <w:lvlText w:val="%1."/>
      <w:lvlJc w:val="left"/>
      <w:pPr>
        <w:tabs>
          <w:tab w:val="left" w:pos="1170"/>
        </w:tabs>
        <w:ind w:left="1170" w:hanging="60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9">
    <w:nsid w:val="00D213E9"/>
    <w:multiLevelType w:val="multilevel"/>
    <w:tmpl w:val="00D213E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7DCFCCC"/>
    <w:multiLevelType w:val="singleLevel"/>
    <w:tmpl w:val="07DCFCCC"/>
    <w:lvl w:ilvl="0" w:tentative="0">
      <w:start w:val="1"/>
      <w:numFmt w:val="decimal"/>
      <w:lvlText w:val="%1."/>
      <w:lvlJc w:val="left"/>
      <w:pPr>
        <w:ind w:left="425" w:hanging="425"/>
      </w:pPr>
      <w:rPr>
        <w:rFonts w:hint="default"/>
      </w:rPr>
    </w:lvl>
  </w:abstractNum>
  <w:abstractNum w:abstractNumId="11">
    <w:nsid w:val="34D61755"/>
    <w:multiLevelType w:val="singleLevel"/>
    <w:tmpl w:val="34D61755"/>
    <w:lvl w:ilvl="0" w:tentative="0">
      <w:start w:val="1"/>
      <w:numFmt w:val="decimal"/>
      <w:lvlText w:val="%1."/>
      <w:lvlJc w:val="left"/>
      <w:pPr>
        <w:ind w:left="425" w:hanging="425"/>
      </w:pPr>
      <w:rPr>
        <w:rFonts w:hint="default"/>
      </w:rPr>
    </w:lvl>
  </w:abstractNum>
  <w:abstractNum w:abstractNumId="12">
    <w:nsid w:val="56FEECF8"/>
    <w:multiLevelType w:val="singleLevel"/>
    <w:tmpl w:val="56FEECF8"/>
    <w:lvl w:ilvl="0" w:tentative="0">
      <w:start w:val="1"/>
      <w:numFmt w:val="decimal"/>
      <w:lvlText w:val="%1."/>
      <w:lvlJc w:val="left"/>
      <w:pPr>
        <w:ind w:left="425" w:hanging="425"/>
      </w:pPr>
      <w:rPr>
        <w:rFonts w:hint="default"/>
      </w:rPr>
    </w:lvl>
  </w:abstractNum>
  <w:abstractNum w:abstractNumId="13">
    <w:nsid w:val="5AE0118E"/>
    <w:multiLevelType w:val="singleLevel"/>
    <w:tmpl w:val="5AE0118E"/>
    <w:lvl w:ilvl="0" w:tentative="0">
      <w:start w:val="5"/>
      <w:numFmt w:val="decimal"/>
      <w:suff w:val="nothing"/>
      <w:lvlText w:val="%1、"/>
      <w:lvlJc w:val="left"/>
      <w:rPr>
        <w:rFonts w:cs="Times New Roman"/>
      </w:rPr>
    </w:lvl>
  </w:abstractNum>
  <w:abstractNum w:abstractNumId="14">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6F29128C"/>
    <w:multiLevelType w:val="singleLevel"/>
    <w:tmpl w:val="6F29128C"/>
    <w:lvl w:ilvl="0" w:tentative="0">
      <w:start w:val="1"/>
      <w:numFmt w:val="decimal"/>
      <w:lvlText w:val="%1."/>
      <w:lvlJc w:val="left"/>
      <w:pPr>
        <w:ind w:left="425" w:hanging="425"/>
      </w:pPr>
      <w:rPr>
        <w:rFonts w:hint="default"/>
      </w:rPr>
    </w:lvl>
  </w:abstractNum>
  <w:abstractNum w:abstractNumId="16">
    <w:nsid w:val="79A3F9F6"/>
    <w:multiLevelType w:val="singleLevel"/>
    <w:tmpl w:val="79A3F9F6"/>
    <w:lvl w:ilvl="0" w:tentative="0">
      <w:start w:val="1"/>
      <w:numFmt w:val="decimal"/>
      <w:lvlText w:val="%1."/>
      <w:lvlJc w:val="left"/>
      <w:pPr>
        <w:ind w:left="425" w:hanging="425"/>
      </w:pPr>
      <w:rPr>
        <w:rFonts w:hint="default"/>
      </w:rPr>
    </w:lvl>
  </w:abstractNum>
  <w:abstractNum w:abstractNumId="17">
    <w:nsid w:val="7C06947D"/>
    <w:multiLevelType w:val="singleLevel"/>
    <w:tmpl w:val="7C06947D"/>
    <w:lvl w:ilvl="0" w:tentative="0">
      <w:start w:val="14"/>
      <w:numFmt w:val="chineseCounting"/>
      <w:suff w:val="nothing"/>
      <w:lvlText w:val="（%1）"/>
      <w:lvlJc w:val="left"/>
      <w:rPr>
        <w:rFonts w:hint="eastAsia"/>
      </w:rPr>
    </w:lvl>
  </w:abstractNum>
  <w:num w:numId="1">
    <w:abstractNumId w:val="2"/>
  </w:num>
  <w:num w:numId="2">
    <w:abstractNumId w:val="7"/>
  </w:num>
  <w:num w:numId="3">
    <w:abstractNumId w:val="13"/>
  </w:num>
  <w:num w:numId="4">
    <w:abstractNumId w:val="8"/>
  </w:num>
  <w:num w:numId="5">
    <w:abstractNumId w:val="9"/>
  </w:num>
  <w:num w:numId="6">
    <w:abstractNumId w:val="0"/>
  </w:num>
  <w:num w:numId="7">
    <w:abstractNumId w:val="12"/>
  </w:num>
  <w:num w:numId="8">
    <w:abstractNumId w:val="6"/>
  </w:num>
  <w:num w:numId="9">
    <w:abstractNumId w:val="3"/>
  </w:num>
  <w:num w:numId="10">
    <w:abstractNumId w:val="4"/>
  </w:num>
  <w:num w:numId="11">
    <w:abstractNumId w:val="16"/>
  </w:num>
  <w:num w:numId="12">
    <w:abstractNumId w:val="5"/>
  </w:num>
  <w:num w:numId="13">
    <w:abstractNumId w:val="17"/>
  </w:num>
  <w:num w:numId="14">
    <w:abstractNumId w:val="15"/>
  </w:num>
  <w:num w:numId="15">
    <w:abstractNumId w:val="10"/>
  </w:num>
  <w:num w:numId="16">
    <w:abstractNumId w:val="11"/>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50"/>
  <w:drawingGridHorizontalSpacing w:val="191"/>
  <w:drawingGridVerticalSpacing w:val="146"/>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172A27"/>
    <w:rsid w:val="0000478B"/>
    <w:rsid w:val="00044A03"/>
    <w:rsid w:val="000C678F"/>
    <w:rsid w:val="000E2449"/>
    <w:rsid w:val="00131905"/>
    <w:rsid w:val="00162C5D"/>
    <w:rsid w:val="00172A27"/>
    <w:rsid w:val="001914BD"/>
    <w:rsid w:val="00194DBA"/>
    <w:rsid w:val="00195DA1"/>
    <w:rsid w:val="00205145"/>
    <w:rsid w:val="00243E3D"/>
    <w:rsid w:val="00244CBF"/>
    <w:rsid w:val="00246731"/>
    <w:rsid w:val="00276B8B"/>
    <w:rsid w:val="002C1BB4"/>
    <w:rsid w:val="002D5FC0"/>
    <w:rsid w:val="002F4ECD"/>
    <w:rsid w:val="00302DBF"/>
    <w:rsid w:val="00323006"/>
    <w:rsid w:val="00356D4F"/>
    <w:rsid w:val="00370188"/>
    <w:rsid w:val="00386985"/>
    <w:rsid w:val="00394398"/>
    <w:rsid w:val="003C419A"/>
    <w:rsid w:val="003D1EDA"/>
    <w:rsid w:val="003F33E7"/>
    <w:rsid w:val="00411488"/>
    <w:rsid w:val="00432143"/>
    <w:rsid w:val="0046019C"/>
    <w:rsid w:val="004772C0"/>
    <w:rsid w:val="004D1A53"/>
    <w:rsid w:val="00517D33"/>
    <w:rsid w:val="00527409"/>
    <w:rsid w:val="0053706A"/>
    <w:rsid w:val="00566766"/>
    <w:rsid w:val="005735D4"/>
    <w:rsid w:val="00575932"/>
    <w:rsid w:val="00576D88"/>
    <w:rsid w:val="005B2561"/>
    <w:rsid w:val="005D2392"/>
    <w:rsid w:val="005D7CBB"/>
    <w:rsid w:val="006769D2"/>
    <w:rsid w:val="0067730B"/>
    <w:rsid w:val="0069381A"/>
    <w:rsid w:val="006A54E5"/>
    <w:rsid w:val="006C069F"/>
    <w:rsid w:val="006E1D66"/>
    <w:rsid w:val="00761902"/>
    <w:rsid w:val="00774762"/>
    <w:rsid w:val="007838AB"/>
    <w:rsid w:val="007A5FB1"/>
    <w:rsid w:val="0082141B"/>
    <w:rsid w:val="008F5DC5"/>
    <w:rsid w:val="00920411"/>
    <w:rsid w:val="00991453"/>
    <w:rsid w:val="00995536"/>
    <w:rsid w:val="009B1504"/>
    <w:rsid w:val="009D2573"/>
    <w:rsid w:val="009D5D9A"/>
    <w:rsid w:val="009F1C91"/>
    <w:rsid w:val="00A35668"/>
    <w:rsid w:val="00A478A0"/>
    <w:rsid w:val="00A540D0"/>
    <w:rsid w:val="00A75CA1"/>
    <w:rsid w:val="00AA49DB"/>
    <w:rsid w:val="00AD5758"/>
    <w:rsid w:val="00AF6B68"/>
    <w:rsid w:val="00B0178F"/>
    <w:rsid w:val="00B14739"/>
    <w:rsid w:val="00B3167C"/>
    <w:rsid w:val="00BF1996"/>
    <w:rsid w:val="00BF5D8C"/>
    <w:rsid w:val="00C22CF4"/>
    <w:rsid w:val="00C30279"/>
    <w:rsid w:val="00CE6A2C"/>
    <w:rsid w:val="00CF633E"/>
    <w:rsid w:val="00D0384D"/>
    <w:rsid w:val="00D20821"/>
    <w:rsid w:val="00D2184F"/>
    <w:rsid w:val="00D262AB"/>
    <w:rsid w:val="00D76286"/>
    <w:rsid w:val="00D90AF6"/>
    <w:rsid w:val="00DB598B"/>
    <w:rsid w:val="00DD5723"/>
    <w:rsid w:val="00DE054B"/>
    <w:rsid w:val="00DE31F6"/>
    <w:rsid w:val="00E17C0E"/>
    <w:rsid w:val="00E352B5"/>
    <w:rsid w:val="00E6261D"/>
    <w:rsid w:val="00E849CB"/>
    <w:rsid w:val="00EA13C3"/>
    <w:rsid w:val="00EB7236"/>
    <w:rsid w:val="00F5673C"/>
    <w:rsid w:val="00FC0E0C"/>
    <w:rsid w:val="00FD1F62"/>
    <w:rsid w:val="00FD3231"/>
    <w:rsid w:val="00FD5088"/>
    <w:rsid w:val="01172614"/>
    <w:rsid w:val="01367B2E"/>
    <w:rsid w:val="013B6CDA"/>
    <w:rsid w:val="013B7FED"/>
    <w:rsid w:val="01477457"/>
    <w:rsid w:val="01483AE6"/>
    <w:rsid w:val="016171C3"/>
    <w:rsid w:val="0178463B"/>
    <w:rsid w:val="01833406"/>
    <w:rsid w:val="018B4463"/>
    <w:rsid w:val="018B6312"/>
    <w:rsid w:val="018E50CB"/>
    <w:rsid w:val="01921D31"/>
    <w:rsid w:val="019D0F86"/>
    <w:rsid w:val="019F1051"/>
    <w:rsid w:val="01B0280C"/>
    <w:rsid w:val="01CA7137"/>
    <w:rsid w:val="01CB7896"/>
    <w:rsid w:val="01E6238E"/>
    <w:rsid w:val="01F902EC"/>
    <w:rsid w:val="02226D7C"/>
    <w:rsid w:val="02227C57"/>
    <w:rsid w:val="022C7141"/>
    <w:rsid w:val="02347B0F"/>
    <w:rsid w:val="023777D9"/>
    <w:rsid w:val="023A5D18"/>
    <w:rsid w:val="023D5D3A"/>
    <w:rsid w:val="0257572E"/>
    <w:rsid w:val="025F4429"/>
    <w:rsid w:val="027236E2"/>
    <w:rsid w:val="0276583F"/>
    <w:rsid w:val="02855076"/>
    <w:rsid w:val="02A254D3"/>
    <w:rsid w:val="02B053ED"/>
    <w:rsid w:val="02B16F47"/>
    <w:rsid w:val="02BB6203"/>
    <w:rsid w:val="02D35B8B"/>
    <w:rsid w:val="02D601CF"/>
    <w:rsid w:val="02DC73A5"/>
    <w:rsid w:val="02E45A48"/>
    <w:rsid w:val="02EE0490"/>
    <w:rsid w:val="02FA6999"/>
    <w:rsid w:val="03190F6E"/>
    <w:rsid w:val="031B5DA2"/>
    <w:rsid w:val="03522D6F"/>
    <w:rsid w:val="03537474"/>
    <w:rsid w:val="03563A14"/>
    <w:rsid w:val="0368561C"/>
    <w:rsid w:val="036E457D"/>
    <w:rsid w:val="037B55A1"/>
    <w:rsid w:val="037E752F"/>
    <w:rsid w:val="03D9691B"/>
    <w:rsid w:val="040E3633"/>
    <w:rsid w:val="042D27C9"/>
    <w:rsid w:val="04322750"/>
    <w:rsid w:val="048C0542"/>
    <w:rsid w:val="04A270F4"/>
    <w:rsid w:val="04BD332D"/>
    <w:rsid w:val="04C60BF6"/>
    <w:rsid w:val="04C64C86"/>
    <w:rsid w:val="04D04155"/>
    <w:rsid w:val="04D46BF9"/>
    <w:rsid w:val="04F81500"/>
    <w:rsid w:val="04F856AF"/>
    <w:rsid w:val="0526784C"/>
    <w:rsid w:val="052E7492"/>
    <w:rsid w:val="05446C17"/>
    <w:rsid w:val="05563819"/>
    <w:rsid w:val="055838CE"/>
    <w:rsid w:val="055D0DAD"/>
    <w:rsid w:val="05755832"/>
    <w:rsid w:val="05834B6F"/>
    <w:rsid w:val="05C6569E"/>
    <w:rsid w:val="05E35544"/>
    <w:rsid w:val="05F0753E"/>
    <w:rsid w:val="06250628"/>
    <w:rsid w:val="064B02D7"/>
    <w:rsid w:val="06542070"/>
    <w:rsid w:val="06893342"/>
    <w:rsid w:val="06B35D6A"/>
    <w:rsid w:val="06C26570"/>
    <w:rsid w:val="06D23153"/>
    <w:rsid w:val="06D80483"/>
    <w:rsid w:val="06E51FD2"/>
    <w:rsid w:val="07011658"/>
    <w:rsid w:val="07255034"/>
    <w:rsid w:val="073C5E08"/>
    <w:rsid w:val="07404625"/>
    <w:rsid w:val="074155D6"/>
    <w:rsid w:val="074D6753"/>
    <w:rsid w:val="075258A9"/>
    <w:rsid w:val="075713E8"/>
    <w:rsid w:val="076C384E"/>
    <w:rsid w:val="078475F2"/>
    <w:rsid w:val="078B0666"/>
    <w:rsid w:val="07963322"/>
    <w:rsid w:val="07BD01C3"/>
    <w:rsid w:val="07BD4DD1"/>
    <w:rsid w:val="07D84AF8"/>
    <w:rsid w:val="08010237"/>
    <w:rsid w:val="080B3E19"/>
    <w:rsid w:val="080C1727"/>
    <w:rsid w:val="0811349E"/>
    <w:rsid w:val="08121A78"/>
    <w:rsid w:val="081F4806"/>
    <w:rsid w:val="08397BFF"/>
    <w:rsid w:val="08490850"/>
    <w:rsid w:val="085415DF"/>
    <w:rsid w:val="087C3B7A"/>
    <w:rsid w:val="087E432D"/>
    <w:rsid w:val="08873EAB"/>
    <w:rsid w:val="089116C8"/>
    <w:rsid w:val="08BA02CC"/>
    <w:rsid w:val="08CE65E6"/>
    <w:rsid w:val="08D614C7"/>
    <w:rsid w:val="08E30A55"/>
    <w:rsid w:val="0926027A"/>
    <w:rsid w:val="094C1DDF"/>
    <w:rsid w:val="09646610"/>
    <w:rsid w:val="097621BE"/>
    <w:rsid w:val="09782E97"/>
    <w:rsid w:val="09955B90"/>
    <w:rsid w:val="0996643B"/>
    <w:rsid w:val="09A1593F"/>
    <w:rsid w:val="09A6309D"/>
    <w:rsid w:val="09A76E52"/>
    <w:rsid w:val="09BA02F2"/>
    <w:rsid w:val="09CA79E9"/>
    <w:rsid w:val="09DD512F"/>
    <w:rsid w:val="09F0493D"/>
    <w:rsid w:val="09F55CE3"/>
    <w:rsid w:val="0A014875"/>
    <w:rsid w:val="0A0F6BF1"/>
    <w:rsid w:val="0A1A3BD9"/>
    <w:rsid w:val="0A405D2D"/>
    <w:rsid w:val="0A5A6458"/>
    <w:rsid w:val="0A6F663E"/>
    <w:rsid w:val="0A7C58C9"/>
    <w:rsid w:val="0A8054FA"/>
    <w:rsid w:val="0AC241A3"/>
    <w:rsid w:val="0AD00FE0"/>
    <w:rsid w:val="0AE21508"/>
    <w:rsid w:val="0AE73FAC"/>
    <w:rsid w:val="0AE77507"/>
    <w:rsid w:val="0AEF47FB"/>
    <w:rsid w:val="0AF9564E"/>
    <w:rsid w:val="0AFD64FB"/>
    <w:rsid w:val="0B033309"/>
    <w:rsid w:val="0B07100B"/>
    <w:rsid w:val="0B1B6B69"/>
    <w:rsid w:val="0B1C2A5E"/>
    <w:rsid w:val="0B235BF3"/>
    <w:rsid w:val="0B4D0516"/>
    <w:rsid w:val="0B8D10E4"/>
    <w:rsid w:val="0B942855"/>
    <w:rsid w:val="0B981026"/>
    <w:rsid w:val="0B997C0B"/>
    <w:rsid w:val="0BBC08C3"/>
    <w:rsid w:val="0BBC755F"/>
    <w:rsid w:val="0C0D3E59"/>
    <w:rsid w:val="0C3E6AC4"/>
    <w:rsid w:val="0C5E5EA1"/>
    <w:rsid w:val="0C620D79"/>
    <w:rsid w:val="0C6B59DB"/>
    <w:rsid w:val="0C7C3E7D"/>
    <w:rsid w:val="0C9A2D16"/>
    <w:rsid w:val="0C9B49FB"/>
    <w:rsid w:val="0C9E6B40"/>
    <w:rsid w:val="0CA61420"/>
    <w:rsid w:val="0CAC6AE8"/>
    <w:rsid w:val="0CC37BE2"/>
    <w:rsid w:val="0CC64DD0"/>
    <w:rsid w:val="0CE2121D"/>
    <w:rsid w:val="0CE41B37"/>
    <w:rsid w:val="0CF4329D"/>
    <w:rsid w:val="0D0750CB"/>
    <w:rsid w:val="0D086F79"/>
    <w:rsid w:val="0D0B7061"/>
    <w:rsid w:val="0D2A2B39"/>
    <w:rsid w:val="0D4E351D"/>
    <w:rsid w:val="0D6774D6"/>
    <w:rsid w:val="0D8D2290"/>
    <w:rsid w:val="0D9945DA"/>
    <w:rsid w:val="0D99769E"/>
    <w:rsid w:val="0DA07A20"/>
    <w:rsid w:val="0DD80D8A"/>
    <w:rsid w:val="0DE02318"/>
    <w:rsid w:val="0E007950"/>
    <w:rsid w:val="0E090B33"/>
    <w:rsid w:val="0E172A1B"/>
    <w:rsid w:val="0E1967C1"/>
    <w:rsid w:val="0E2F42D1"/>
    <w:rsid w:val="0E335405"/>
    <w:rsid w:val="0E3B2EEC"/>
    <w:rsid w:val="0E4D3146"/>
    <w:rsid w:val="0E6813FF"/>
    <w:rsid w:val="0E6F5851"/>
    <w:rsid w:val="0E770F0B"/>
    <w:rsid w:val="0EB52579"/>
    <w:rsid w:val="0ECB11B5"/>
    <w:rsid w:val="0ED22571"/>
    <w:rsid w:val="0ED7443F"/>
    <w:rsid w:val="0ED974C9"/>
    <w:rsid w:val="0EDB0F07"/>
    <w:rsid w:val="0EDF2B60"/>
    <w:rsid w:val="0EEE03B8"/>
    <w:rsid w:val="0EF512E5"/>
    <w:rsid w:val="0F167C07"/>
    <w:rsid w:val="0F2A62A0"/>
    <w:rsid w:val="0F501C07"/>
    <w:rsid w:val="0F507736"/>
    <w:rsid w:val="0F583E24"/>
    <w:rsid w:val="0F5A58B2"/>
    <w:rsid w:val="0F7449C0"/>
    <w:rsid w:val="0F973E9F"/>
    <w:rsid w:val="0FA82E1F"/>
    <w:rsid w:val="0FA96252"/>
    <w:rsid w:val="0FB03457"/>
    <w:rsid w:val="0FBC441C"/>
    <w:rsid w:val="0FC116A7"/>
    <w:rsid w:val="0FC95D8D"/>
    <w:rsid w:val="0FE576A4"/>
    <w:rsid w:val="0FEA2AA1"/>
    <w:rsid w:val="1019649C"/>
    <w:rsid w:val="10360E3F"/>
    <w:rsid w:val="103C0FFB"/>
    <w:rsid w:val="10404573"/>
    <w:rsid w:val="104352A2"/>
    <w:rsid w:val="104B7949"/>
    <w:rsid w:val="104F28D6"/>
    <w:rsid w:val="105C27FB"/>
    <w:rsid w:val="10632D51"/>
    <w:rsid w:val="10847FCD"/>
    <w:rsid w:val="1086577E"/>
    <w:rsid w:val="10980533"/>
    <w:rsid w:val="10A34487"/>
    <w:rsid w:val="10B601E9"/>
    <w:rsid w:val="10B72F5D"/>
    <w:rsid w:val="10BD3919"/>
    <w:rsid w:val="10C1206B"/>
    <w:rsid w:val="10E8007A"/>
    <w:rsid w:val="10F75CBD"/>
    <w:rsid w:val="10FE5ED8"/>
    <w:rsid w:val="110045A1"/>
    <w:rsid w:val="110643AE"/>
    <w:rsid w:val="110E4253"/>
    <w:rsid w:val="11442249"/>
    <w:rsid w:val="114D3221"/>
    <w:rsid w:val="114E2729"/>
    <w:rsid w:val="114E7E07"/>
    <w:rsid w:val="1150132F"/>
    <w:rsid w:val="11CE7DFC"/>
    <w:rsid w:val="11E95CE2"/>
    <w:rsid w:val="11E96D3A"/>
    <w:rsid w:val="11EA4504"/>
    <w:rsid w:val="120129C4"/>
    <w:rsid w:val="120301D5"/>
    <w:rsid w:val="122649FF"/>
    <w:rsid w:val="123B2C78"/>
    <w:rsid w:val="124219E9"/>
    <w:rsid w:val="1256132F"/>
    <w:rsid w:val="125C1D1E"/>
    <w:rsid w:val="125D168B"/>
    <w:rsid w:val="126B3ACC"/>
    <w:rsid w:val="12720074"/>
    <w:rsid w:val="127B5B8A"/>
    <w:rsid w:val="127C7A7B"/>
    <w:rsid w:val="12815604"/>
    <w:rsid w:val="12861902"/>
    <w:rsid w:val="1297465C"/>
    <w:rsid w:val="129E3A93"/>
    <w:rsid w:val="12AB251F"/>
    <w:rsid w:val="12E37BC0"/>
    <w:rsid w:val="12F234F4"/>
    <w:rsid w:val="12F31760"/>
    <w:rsid w:val="12F70183"/>
    <w:rsid w:val="12F75240"/>
    <w:rsid w:val="13153B92"/>
    <w:rsid w:val="132F60FE"/>
    <w:rsid w:val="13410E38"/>
    <w:rsid w:val="134E6871"/>
    <w:rsid w:val="136658C4"/>
    <w:rsid w:val="136A0629"/>
    <w:rsid w:val="136B4814"/>
    <w:rsid w:val="1377104B"/>
    <w:rsid w:val="137E50DC"/>
    <w:rsid w:val="138F504A"/>
    <w:rsid w:val="139103F2"/>
    <w:rsid w:val="13A64BAD"/>
    <w:rsid w:val="13B13EB8"/>
    <w:rsid w:val="13B25516"/>
    <w:rsid w:val="13B34CC6"/>
    <w:rsid w:val="13BA0ACF"/>
    <w:rsid w:val="13D705AF"/>
    <w:rsid w:val="13DA4BD2"/>
    <w:rsid w:val="13F906A1"/>
    <w:rsid w:val="140C65BF"/>
    <w:rsid w:val="14175C7D"/>
    <w:rsid w:val="141845CC"/>
    <w:rsid w:val="14272C54"/>
    <w:rsid w:val="14372245"/>
    <w:rsid w:val="143945FD"/>
    <w:rsid w:val="14480839"/>
    <w:rsid w:val="14497C26"/>
    <w:rsid w:val="144C1E1B"/>
    <w:rsid w:val="146A73ED"/>
    <w:rsid w:val="14744D84"/>
    <w:rsid w:val="1476244A"/>
    <w:rsid w:val="147D31D6"/>
    <w:rsid w:val="1487005D"/>
    <w:rsid w:val="148A1490"/>
    <w:rsid w:val="14970036"/>
    <w:rsid w:val="14A251C4"/>
    <w:rsid w:val="14AB5BA1"/>
    <w:rsid w:val="14AF4025"/>
    <w:rsid w:val="14D51C51"/>
    <w:rsid w:val="14E37F8F"/>
    <w:rsid w:val="15046A51"/>
    <w:rsid w:val="15431BD8"/>
    <w:rsid w:val="1544535D"/>
    <w:rsid w:val="15531B38"/>
    <w:rsid w:val="155C65D2"/>
    <w:rsid w:val="156231BF"/>
    <w:rsid w:val="157442E0"/>
    <w:rsid w:val="15772110"/>
    <w:rsid w:val="157D04F6"/>
    <w:rsid w:val="158762D8"/>
    <w:rsid w:val="158A61CC"/>
    <w:rsid w:val="15AA5AE6"/>
    <w:rsid w:val="15AD53FA"/>
    <w:rsid w:val="15B863E2"/>
    <w:rsid w:val="15C17AA5"/>
    <w:rsid w:val="15C336BD"/>
    <w:rsid w:val="15CB45F5"/>
    <w:rsid w:val="15D86AE1"/>
    <w:rsid w:val="15DD5050"/>
    <w:rsid w:val="15E11A76"/>
    <w:rsid w:val="15EC15CC"/>
    <w:rsid w:val="16053F66"/>
    <w:rsid w:val="16060B72"/>
    <w:rsid w:val="160A6351"/>
    <w:rsid w:val="160E6831"/>
    <w:rsid w:val="161367AB"/>
    <w:rsid w:val="16165FE6"/>
    <w:rsid w:val="16580A76"/>
    <w:rsid w:val="16634357"/>
    <w:rsid w:val="167D4F4F"/>
    <w:rsid w:val="16825E91"/>
    <w:rsid w:val="169822DD"/>
    <w:rsid w:val="16993D4F"/>
    <w:rsid w:val="16AC36D9"/>
    <w:rsid w:val="16BF72A7"/>
    <w:rsid w:val="16DF10FC"/>
    <w:rsid w:val="16E921F4"/>
    <w:rsid w:val="16EB36B3"/>
    <w:rsid w:val="16ED1D96"/>
    <w:rsid w:val="1708759E"/>
    <w:rsid w:val="170A75B6"/>
    <w:rsid w:val="1714786D"/>
    <w:rsid w:val="172743CE"/>
    <w:rsid w:val="17682F23"/>
    <w:rsid w:val="178017C5"/>
    <w:rsid w:val="17862DA8"/>
    <w:rsid w:val="178C35AF"/>
    <w:rsid w:val="17991B6E"/>
    <w:rsid w:val="17B02FF0"/>
    <w:rsid w:val="17B113C3"/>
    <w:rsid w:val="17B331B6"/>
    <w:rsid w:val="17CB4092"/>
    <w:rsid w:val="17D016D3"/>
    <w:rsid w:val="17D63E38"/>
    <w:rsid w:val="180E66C1"/>
    <w:rsid w:val="18256140"/>
    <w:rsid w:val="18274AC7"/>
    <w:rsid w:val="18294C2A"/>
    <w:rsid w:val="18363926"/>
    <w:rsid w:val="183752E1"/>
    <w:rsid w:val="18433E74"/>
    <w:rsid w:val="186D4C9B"/>
    <w:rsid w:val="187A0FF6"/>
    <w:rsid w:val="188651D5"/>
    <w:rsid w:val="189F70A8"/>
    <w:rsid w:val="18BB1E8F"/>
    <w:rsid w:val="18C37E50"/>
    <w:rsid w:val="18EB1198"/>
    <w:rsid w:val="18EB3D30"/>
    <w:rsid w:val="18F843A5"/>
    <w:rsid w:val="19075860"/>
    <w:rsid w:val="193A692A"/>
    <w:rsid w:val="19424471"/>
    <w:rsid w:val="194B5E15"/>
    <w:rsid w:val="194C631E"/>
    <w:rsid w:val="1968709D"/>
    <w:rsid w:val="198056E5"/>
    <w:rsid w:val="198236EE"/>
    <w:rsid w:val="19862474"/>
    <w:rsid w:val="198854CF"/>
    <w:rsid w:val="198E5062"/>
    <w:rsid w:val="19BA593C"/>
    <w:rsid w:val="19C76609"/>
    <w:rsid w:val="19CB2001"/>
    <w:rsid w:val="19D83891"/>
    <w:rsid w:val="19DA4BAF"/>
    <w:rsid w:val="19F75513"/>
    <w:rsid w:val="19FE5F9F"/>
    <w:rsid w:val="1A1E020D"/>
    <w:rsid w:val="1A233813"/>
    <w:rsid w:val="1A6B7E1C"/>
    <w:rsid w:val="1A8A2B1B"/>
    <w:rsid w:val="1AAD7C8B"/>
    <w:rsid w:val="1AB07BA3"/>
    <w:rsid w:val="1ADA7273"/>
    <w:rsid w:val="1AE63CDE"/>
    <w:rsid w:val="1AEE232C"/>
    <w:rsid w:val="1AF47D69"/>
    <w:rsid w:val="1B05081F"/>
    <w:rsid w:val="1B0C07E7"/>
    <w:rsid w:val="1B103B48"/>
    <w:rsid w:val="1B3215A8"/>
    <w:rsid w:val="1B3D67C6"/>
    <w:rsid w:val="1B3E5015"/>
    <w:rsid w:val="1B41002B"/>
    <w:rsid w:val="1B6E0CCB"/>
    <w:rsid w:val="1B7319FB"/>
    <w:rsid w:val="1B835053"/>
    <w:rsid w:val="1B956B43"/>
    <w:rsid w:val="1B9C3B8A"/>
    <w:rsid w:val="1BBC1D6E"/>
    <w:rsid w:val="1BC001BE"/>
    <w:rsid w:val="1BCE25D1"/>
    <w:rsid w:val="1BE94888"/>
    <w:rsid w:val="1C253871"/>
    <w:rsid w:val="1C4B064F"/>
    <w:rsid w:val="1C6B1C30"/>
    <w:rsid w:val="1CC0618E"/>
    <w:rsid w:val="1CC32179"/>
    <w:rsid w:val="1CC80FFB"/>
    <w:rsid w:val="1CDA24D0"/>
    <w:rsid w:val="1CEA0481"/>
    <w:rsid w:val="1CEF4CDC"/>
    <w:rsid w:val="1CF80043"/>
    <w:rsid w:val="1D0028D6"/>
    <w:rsid w:val="1D2A03E0"/>
    <w:rsid w:val="1D2C750D"/>
    <w:rsid w:val="1D3925B2"/>
    <w:rsid w:val="1D4072F6"/>
    <w:rsid w:val="1D5B00E9"/>
    <w:rsid w:val="1D7442DF"/>
    <w:rsid w:val="1D7C7E64"/>
    <w:rsid w:val="1D897F94"/>
    <w:rsid w:val="1D904EA6"/>
    <w:rsid w:val="1D9C3BA7"/>
    <w:rsid w:val="1DA03982"/>
    <w:rsid w:val="1DB117B6"/>
    <w:rsid w:val="1DC12E2D"/>
    <w:rsid w:val="1DCC1FD2"/>
    <w:rsid w:val="1DCD5344"/>
    <w:rsid w:val="1DD84FE2"/>
    <w:rsid w:val="1DD9314E"/>
    <w:rsid w:val="1DE514B9"/>
    <w:rsid w:val="1DE541A6"/>
    <w:rsid w:val="1E10357E"/>
    <w:rsid w:val="1E13128E"/>
    <w:rsid w:val="1E1A5F3A"/>
    <w:rsid w:val="1E1B3F90"/>
    <w:rsid w:val="1E45640A"/>
    <w:rsid w:val="1E590170"/>
    <w:rsid w:val="1E711D3D"/>
    <w:rsid w:val="1E7A7A7D"/>
    <w:rsid w:val="1EB44780"/>
    <w:rsid w:val="1EBC4A86"/>
    <w:rsid w:val="1EC36841"/>
    <w:rsid w:val="1EC74D10"/>
    <w:rsid w:val="1ED560B1"/>
    <w:rsid w:val="1EDA73E1"/>
    <w:rsid w:val="1F04210B"/>
    <w:rsid w:val="1F083EC3"/>
    <w:rsid w:val="1F091532"/>
    <w:rsid w:val="1F39229F"/>
    <w:rsid w:val="1F574973"/>
    <w:rsid w:val="1F7C6A96"/>
    <w:rsid w:val="1F9D5791"/>
    <w:rsid w:val="1F9E611E"/>
    <w:rsid w:val="1FB10B7E"/>
    <w:rsid w:val="1FB57903"/>
    <w:rsid w:val="1FC2047B"/>
    <w:rsid w:val="1FDC172F"/>
    <w:rsid w:val="1FF33CDA"/>
    <w:rsid w:val="1FFB5863"/>
    <w:rsid w:val="1FFC257E"/>
    <w:rsid w:val="20153B98"/>
    <w:rsid w:val="2024199B"/>
    <w:rsid w:val="20835D3C"/>
    <w:rsid w:val="20844FBF"/>
    <w:rsid w:val="20870B0E"/>
    <w:rsid w:val="20AE149D"/>
    <w:rsid w:val="20B45D5E"/>
    <w:rsid w:val="20B7137B"/>
    <w:rsid w:val="20DB381D"/>
    <w:rsid w:val="20E51521"/>
    <w:rsid w:val="20E62554"/>
    <w:rsid w:val="21014780"/>
    <w:rsid w:val="2108623C"/>
    <w:rsid w:val="21162B07"/>
    <w:rsid w:val="21165399"/>
    <w:rsid w:val="211F3838"/>
    <w:rsid w:val="213C1F4F"/>
    <w:rsid w:val="214E32E4"/>
    <w:rsid w:val="21577A83"/>
    <w:rsid w:val="215D4DDE"/>
    <w:rsid w:val="21610A7A"/>
    <w:rsid w:val="216B37D0"/>
    <w:rsid w:val="217976A3"/>
    <w:rsid w:val="21854D0F"/>
    <w:rsid w:val="21B06DEE"/>
    <w:rsid w:val="21B827F2"/>
    <w:rsid w:val="21C46CEC"/>
    <w:rsid w:val="21D234BA"/>
    <w:rsid w:val="21D40159"/>
    <w:rsid w:val="2241166E"/>
    <w:rsid w:val="22495289"/>
    <w:rsid w:val="224A3975"/>
    <w:rsid w:val="22532129"/>
    <w:rsid w:val="2262123C"/>
    <w:rsid w:val="22652F4C"/>
    <w:rsid w:val="22712127"/>
    <w:rsid w:val="227600A8"/>
    <w:rsid w:val="227B49D3"/>
    <w:rsid w:val="2282753B"/>
    <w:rsid w:val="228E5FD0"/>
    <w:rsid w:val="22966B68"/>
    <w:rsid w:val="229C224B"/>
    <w:rsid w:val="229F7773"/>
    <w:rsid w:val="22AC7DCD"/>
    <w:rsid w:val="22AF1342"/>
    <w:rsid w:val="22CC59AF"/>
    <w:rsid w:val="22CD0B61"/>
    <w:rsid w:val="22EA0F92"/>
    <w:rsid w:val="231453D0"/>
    <w:rsid w:val="23160B35"/>
    <w:rsid w:val="231E6A95"/>
    <w:rsid w:val="231F0708"/>
    <w:rsid w:val="231F3121"/>
    <w:rsid w:val="23442187"/>
    <w:rsid w:val="2355113E"/>
    <w:rsid w:val="23561CF1"/>
    <w:rsid w:val="237B53EB"/>
    <w:rsid w:val="238064FD"/>
    <w:rsid w:val="23903082"/>
    <w:rsid w:val="2391601A"/>
    <w:rsid w:val="239A4148"/>
    <w:rsid w:val="23A25530"/>
    <w:rsid w:val="23CD38EE"/>
    <w:rsid w:val="23DE5801"/>
    <w:rsid w:val="24052EB3"/>
    <w:rsid w:val="240A3D34"/>
    <w:rsid w:val="241234A7"/>
    <w:rsid w:val="241F0CB3"/>
    <w:rsid w:val="24332838"/>
    <w:rsid w:val="24485949"/>
    <w:rsid w:val="244B4ABE"/>
    <w:rsid w:val="244D4391"/>
    <w:rsid w:val="24710A0A"/>
    <w:rsid w:val="247A3095"/>
    <w:rsid w:val="247F7B7E"/>
    <w:rsid w:val="2487513F"/>
    <w:rsid w:val="24937AF5"/>
    <w:rsid w:val="24942F10"/>
    <w:rsid w:val="24B60F3A"/>
    <w:rsid w:val="24B95AB2"/>
    <w:rsid w:val="25024A59"/>
    <w:rsid w:val="250D78DC"/>
    <w:rsid w:val="25103F6B"/>
    <w:rsid w:val="252C2BB4"/>
    <w:rsid w:val="254E4CA3"/>
    <w:rsid w:val="255D7BED"/>
    <w:rsid w:val="25626910"/>
    <w:rsid w:val="25696BEC"/>
    <w:rsid w:val="257379EA"/>
    <w:rsid w:val="25823AF8"/>
    <w:rsid w:val="258D58DB"/>
    <w:rsid w:val="259D7AF5"/>
    <w:rsid w:val="25A352DC"/>
    <w:rsid w:val="25BD613A"/>
    <w:rsid w:val="25E30E41"/>
    <w:rsid w:val="25EE1A8D"/>
    <w:rsid w:val="25FD5076"/>
    <w:rsid w:val="260362D3"/>
    <w:rsid w:val="260531C3"/>
    <w:rsid w:val="260D5DE2"/>
    <w:rsid w:val="26103C4A"/>
    <w:rsid w:val="26614252"/>
    <w:rsid w:val="266734AD"/>
    <w:rsid w:val="267079A3"/>
    <w:rsid w:val="26750E3C"/>
    <w:rsid w:val="267968DD"/>
    <w:rsid w:val="2681167F"/>
    <w:rsid w:val="26974EBE"/>
    <w:rsid w:val="26A230F1"/>
    <w:rsid w:val="26AE7538"/>
    <w:rsid w:val="26BC1220"/>
    <w:rsid w:val="26C9354E"/>
    <w:rsid w:val="26E36D28"/>
    <w:rsid w:val="270A5328"/>
    <w:rsid w:val="270F7F7E"/>
    <w:rsid w:val="27173B22"/>
    <w:rsid w:val="271D10B1"/>
    <w:rsid w:val="27266254"/>
    <w:rsid w:val="272B06AF"/>
    <w:rsid w:val="273F795A"/>
    <w:rsid w:val="274330A7"/>
    <w:rsid w:val="274679B8"/>
    <w:rsid w:val="274C1A4C"/>
    <w:rsid w:val="274E0D59"/>
    <w:rsid w:val="27522728"/>
    <w:rsid w:val="27532D5A"/>
    <w:rsid w:val="27571C19"/>
    <w:rsid w:val="27591A0D"/>
    <w:rsid w:val="275A793D"/>
    <w:rsid w:val="27647129"/>
    <w:rsid w:val="27845067"/>
    <w:rsid w:val="27906AFD"/>
    <w:rsid w:val="279573FC"/>
    <w:rsid w:val="279B6F30"/>
    <w:rsid w:val="27C83924"/>
    <w:rsid w:val="27D17719"/>
    <w:rsid w:val="27D22A70"/>
    <w:rsid w:val="27DD3D8A"/>
    <w:rsid w:val="27F14FB6"/>
    <w:rsid w:val="27FC08D7"/>
    <w:rsid w:val="280005D9"/>
    <w:rsid w:val="28011091"/>
    <w:rsid w:val="280C219C"/>
    <w:rsid w:val="280E5E45"/>
    <w:rsid w:val="280F1C18"/>
    <w:rsid w:val="281B4F97"/>
    <w:rsid w:val="281C6476"/>
    <w:rsid w:val="28400D6D"/>
    <w:rsid w:val="28655342"/>
    <w:rsid w:val="289A2570"/>
    <w:rsid w:val="28AA32D9"/>
    <w:rsid w:val="28B962B7"/>
    <w:rsid w:val="28BE47BE"/>
    <w:rsid w:val="28C43CBF"/>
    <w:rsid w:val="28CC3A27"/>
    <w:rsid w:val="28E307C0"/>
    <w:rsid w:val="28FB727A"/>
    <w:rsid w:val="29111004"/>
    <w:rsid w:val="2916585E"/>
    <w:rsid w:val="292A57AC"/>
    <w:rsid w:val="29302A01"/>
    <w:rsid w:val="298E12C2"/>
    <w:rsid w:val="29B67DDC"/>
    <w:rsid w:val="29BC7983"/>
    <w:rsid w:val="29BF4C34"/>
    <w:rsid w:val="29C0639D"/>
    <w:rsid w:val="29CE7F54"/>
    <w:rsid w:val="29F678ED"/>
    <w:rsid w:val="2A0503EE"/>
    <w:rsid w:val="2A213403"/>
    <w:rsid w:val="2A37334A"/>
    <w:rsid w:val="2A6A01CF"/>
    <w:rsid w:val="2A763C3F"/>
    <w:rsid w:val="2A812209"/>
    <w:rsid w:val="2A9161AE"/>
    <w:rsid w:val="2AA208EC"/>
    <w:rsid w:val="2AA9729F"/>
    <w:rsid w:val="2AC6783D"/>
    <w:rsid w:val="2ADC4EDF"/>
    <w:rsid w:val="2AEC2DEC"/>
    <w:rsid w:val="2B0351AB"/>
    <w:rsid w:val="2B8C2844"/>
    <w:rsid w:val="2BC0015D"/>
    <w:rsid w:val="2BC33263"/>
    <w:rsid w:val="2BC55D1D"/>
    <w:rsid w:val="2BD346BF"/>
    <w:rsid w:val="2C103E0B"/>
    <w:rsid w:val="2C1D0A52"/>
    <w:rsid w:val="2C406641"/>
    <w:rsid w:val="2C4E313C"/>
    <w:rsid w:val="2C595DDD"/>
    <w:rsid w:val="2C6C41B6"/>
    <w:rsid w:val="2C8D48A3"/>
    <w:rsid w:val="2C8E2D71"/>
    <w:rsid w:val="2C906D72"/>
    <w:rsid w:val="2CA57250"/>
    <w:rsid w:val="2CB32C76"/>
    <w:rsid w:val="2CB4229C"/>
    <w:rsid w:val="2CB92B18"/>
    <w:rsid w:val="2CBB6D89"/>
    <w:rsid w:val="2CBC0038"/>
    <w:rsid w:val="2CC446F4"/>
    <w:rsid w:val="2CD262A2"/>
    <w:rsid w:val="2CF7361C"/>
    <w:rsid w:val="2CFA7496"/>
    <w:rsid w:val="2CFF6EF7"/>
    <w:rsid w:val="2D16157A"/>
    <w:rsid w:val="2D2C151F"/>
    <w:rsid w:val="2D2C1CEC"/>
    <w:rsid w:val="2D302CE5"/>
    <w:rsid w:val="2D3629D1"/>
    <w:rsid w:val="2D3D4090"/>
    <w:rsid w:val="2D4D04D3"/>
    <w:rsid w:val="2D760C43"/>
    <w:rsid w:val="2D7A3452"/>
    <w:rsid w:val="2DA53DE6"/>
    <w:rsid w:val="2DBE1E56"/>
    <w:rsid w:val="2DC710BF"/>
    <w:rsid w:val="2E06172C"/>
    <w:rsid w:val="2E162CEE"/>
    <w:rsid w:val="2E274498"/>
    <w:rsid w:val="2E2C6BEF"/>
    <w:rsid w:val="2E2D3233"/>
    <w:rsid w:val="2E8E0891"/>
    <w:rsid w:val="2EA760C8"/>
    <w:rsid w:val="2EBF18B7"/>
    <w:rsid w:val="2EC24D67"/>
    <w:rsid w:val="2ED66A2F"/>
    <w:rsid w:val="2EF14075"/>
    <w:rsid w:val="2EF933C4"/>
    <w:rsid w:val="2F4F2FBB"/>
    <w:rsid w:val="2F6616FB"/>
    <w:rsid w:val="2F6C68D2"/>
    <w:rsid w:val="2F70132B"/>
    <w:rsid w:val="2F7D7574"/>
    <w:rsid w:val="2F9B417A"/>
    <w:rsid w:val="2FAF6E10"/>
    <w:rsid w:val="2FC26088"/>
    <w:rsid w:val="2FD779F9"/>
    <w:rsid w:val="2FED4A2A"/>
    <w:rsid w:val="2FF93510"/>
    <w:rsid w:val="301C20C2"/>
    <w:rsid w:val="30245948"/>
    <w:rsid w:val="302C497D"/>
    <w:rsid w:val="302F78CB"/>
    <w:rsid w:val="304609FF"/>
    <w:rsid w:val="304D4243"/>
    <w:rsid w:val="30500FC1"/>
    <w:rsid w:val="30633720"/>
    <w:rsid w:val="30721654"/>
    <w:rsid w:val="30724CBD"/>
    <w:rsid w:val="309B676F"/>
    <w:rsid w:val="30B33417"/>
    <w:rsid w:val="30B75341"/>
    <w:rsid w:val="30B927A4"/>
    <w:rsid w:val="30C55BD7"/>
    <w:rsid w:val="30C673C6"/>
    <w:rsid w:val="30EA0C9B"/>
    <w:rsid w:val="30F04A33"/>
    <w:rsid w:val="30FA0D3D"/>
    <w:rsid w:val="31010608"/>
    <w:rsid w:val="31147393"/>
    <w:rsid w:val="311506DE"/>
    <w:rsid w:val="312232AF"/>
    <w:rsid w:val="31241474"/>
    <w:rsid w:val="31285C96"/>
    <w:rsid w:val="312E4C4B"/>
    <w:rsid w:val="31312938"/>
    <w:rsid w:val="3139198E"/>
    <w:rsid w:val="313E0E7B"/>
    <w:rsid w:val="31560D46"/>
    <w:rsid w:val="316E1F56"/>
    <w:rsid w:val="31A91D7F"/>
    <w:rsid w:val="31AC3F86"/>
    <w:rsid w:val="31B07155"/>
    <w:rsid w:val="31BA5FB3"/>
    <w:rsid w:val="31BB225F"/>
    <w:rsid w:val="31C00B70"/>
    <w:rsid w:val="31C04C8B"/>
    <w:rsid w:val="31F41846"/>
    <w:rsid w:val="320C1B00"/>
    <w:rsid w:val="322940DE"/>
    <w:rsid w:val="322B2A45"/>
    <w:rsid w:val="323C4A94"/>
    <w:rsid w:val="32480A64"/>
    <w:rsid w:val="324827C7"/>
    <w:rsid w:val="324F2948"/>
    <w:rsid w:val="324F7F9E"/>
    <w:rsid w:val="32581AE0"/>
    <w:rsid w:val="325B4AA4"/>
    <w:rsid w:val="32631746"/>
    <w:rsid w:val="327F49C9"/>
    <w:rsid w:val="32820D11"/>
    <w:rsid w:val="32897A58"/>
    <w:rsid w:val="32A45645"/>
    <w:rsid w:val="32B91B04"/>
    <w:rsid w:val="32D91938"/>
    <w:rsid w:val="32F31F65"/>
    <w:rsid w:val="32F442F8"/>
    <w:rsid w:val="32F73034"/>
    <w:rsid w:val="33031CA3"/>
    <w:rsid w:val="33100032"/>
    <w:rsid w:val="33177552"/>
    <w:rsid w:val="331B1158"/>
    <w:rsid w:val="3324428B"/>
    <w:rsid w:val="334D4B72"/>
    <w:rsid w:val="335E5632"/>
    <w:rsid w:val="33667F60"/>
    <w:rsid w:val="337136E5"/>
    <w:rsid w:val="338259C2"/>
    <w:rsid w:val="33846F88"/>
    <w:rsid w:val="339252AF"/>
    <w:rsid w:val="339B6B78"/>
    <w:rsid w:val="33A857F5"/>
    <w:rsid w:val="33B61575"/>
    <w:rsid w:val="33EF1D0C"/>
    <w:rsid w:val="33FC4F94"/>
    <w:rsid w:val="340E375E"/>
    <w:rsid w:val="341C223F"/>
    <w:rsid w:val="3425062E"/>
    <w:rsid w:val="342930CE"/>
    <w:rsid w:val="34301B5F"/>
    <w:rsid w:val="34316BE5"/>
    <w:rsid w:val="3442592A"/>
    <w:rsid w:val="345E5704"/>
    <w:rsid w:val="34614F84"/>
    <w:rsid w:val="34776A27"/>
    <w:rsid w:val="34B52C24"/>
    <w:rsid w:val="34CB09E3"/>
    <w:rsid w:val="34D57484"/>
    <w:rsid w:val="34EF1945"/>
    <w:rsid w:val="35016370"/>
    <w:rsid w:val="350A6DBB"/>
    <w:rsid w:val="353064DB"/>
    <w:rsid w:val="35401164"/>
    <w:rsid w:val="35443611"/>
    <w:rsid w:val="35461E69"/>
    <w:rsid w:val="35695C04"/>
    <w:rsid w:val="357C2E1A"/>
    <w:rsid w:val="357F7A06"/>
    <w:rsid w:val="35946B47"/>
    <w:rsid w:val="359F63EE"/>
    <w:rsid w:val="35D27572"/>
    <w:rsid w:val="35E85002"/>
    <w:rsid w:val="35F0215E"/>
    <w:rsid w:val="360151C5"/>
    <w:rsid w:val="36112DD8"/>
    <w:rsid w:val="363A49EC"/>
    <w:rsid w:val="3640342D"/>
    <w:rsid w:val="36A16820"/>
    <w:rsid w:val="36A77B65"/>
    <w:rsid w:val="36B00264"/>
    <w:rsid w:val="36F43CD9"/>
    <w:rsid w:val="36F50FF0"/>
    <w:rsid w:val="370E6157"/>
    <w:rsid w:val="372D14D8"/>
    <w:rsid w:val="37351E78"/>
    <w:rsid w:val="373E147E"/>
    <w:rsid w:val="37440291"/>
    <w:rsid w:val="375E1236"/>
    <w:rsid w:val="37616FF2"/>
    <w:rsid w:val="37756351"/>
    <w:rsid w:val="37774365"/>
    <w:rsid w:val="378A0C8F"/>
    <w:rsid w:val="378A1189"/>
    <w:rsid w:val="379E19F4"/>
    <w:rsid w:val="37A503C1"/>
    <w:rsid w:val="37AB2367"/>
    <w:rsid w:val="37AE1114"/>
    <w:rsid w:val="37F4671D"/>
    <w:rsid w:val="3807791B"/>
    <w:rsid w:val="38107A88"/>
    <w:rsid w:val="381941D9"/>
    <w:rsid w:val="38230347"/>
    <w:rsid w:val="38245841"/>
    <w:rsid w:val="382F21F6"/>
    <w:rsid w:val="3838592B"/>
    <w:rsid w:val="3841192C"/>
    <w:rsid w:val="385722CC"/>
    <w:rsid w:val="385873D9"/>
    <w:rsid w:val="38595DF5"/>
    <w:rsid w:val="386D69C1"/>
    <w:rsid w:val="388616BA"/>
    <w:rsid w:val="388A1154"/>
    <w:rsid w:val="3899137B"/>
    <w:rsid w:val="389978B1"/>
    <w:rsid w:val="38AB7213"/>
    <w:rsid w:val="38BB74B3"/>
    <w:rsid w:val="38C026D8"/>
    <w:rsid w:val="38C212FE"/>
    <w:rsid w:val="38C93F0B"/>
    <w:rsid w:val="38F20527"/>
    <w:rsid w:val="38FD4BDC"/>
    <w:rsid w:val="391C30A1"/>
    <w:rsid w:val="391D4AA2"/>
    <w:rsid w:val="393343DF"/>
    <w:rsid w:val="39452871"/>
    <w:rsid w:val="39473146"/>
    <w:rsid w:val="3959196E"/>
    <w:rsid w:val="3960729B"/>
    <w:rsid w:val="39764C13"/>
    <w:rsid w:val="397D5852"/>
    <w:rsid w:val="398205C3"/>
    <w:rsid w:val="399105D0"/>
    <w:rsid w:val="39950593"/>
    <w:rsid w:val="39B62462"/>
    <w:rsid w:val="39BE0852"/>
    <w:rsid w:val="39D92EFE"/>
    <w:rsid w:val="39DE4367"/>
    <w:rsid w:val="39E264FC"/>
    <w:rsid w:val="39E72493"/>
    <w:rsid w:val="39EC4F48"/>
    <w:rsid w:val="39F31009"/>
    <w:rsid w:val="3A1B1537"/>
    <w:rsid w:val="3A283C67"/>
    <w:rsid w:val="3A3A68A8"/>
    <w:rsid w:val="3A41272A"/>
    <w:rsid w:val="3A551997"/>
    <w:rsid w:val="3A5B0712"/>
    <w:rsid w:val="3A5B2342"/>
    <w:rsid w:val="3A5C0EA3"/>
    <w:rsid w:val="3A6A3CA7"/>
    <w:rsid w:val="3A6F37A7"/>
    <w:rsid w:val="3A732F0A"/>
    <w:rsid w:val="3A795124"/>
    <w:rsid w:val="3A7F32C6"/>
    <w:rsid w:val="3A8C69D8"/>
    <w:rsid w:val="3A9009FF"/>
    <w:rsid w:val="3A997359"/>
    <w:rsid w:val="3AA008D0"/>
    <w:rsid w:val="3AAD20A7"/>
    <w:rsid w:val="3AAD3EFA"/>
    <w:rsid w:val="3AAD5053"/>
    <w:rsid w:val="3AB72BEB"/>
    <w:rsid w:val="3AB77646"/>
    <w:rsid w:val="3AE47094"/>
    <w:rsid w:val="3AE71B63"/>
    <w:rsid w:val="3B2C5CE6"/>
    <w:rsid w:val="3B301DF4"/>
    <w:rsid w:val="3B344C46"/>
    <w:rsid w:val="3B5B6B36"/>
    <w:rsid w:val="3B6B0742"/>
    <w:rsid w:val="3B713E35"/>
    <w:rsid w:val="3B843773"/>
    <w:rsid w:val="3B8E4649"/>
    <w:rsid w:val="3BE81CC8"/>
    <w:rsid w:val="3C0122B4"/>
    <w:rsid w:val="3C0B47C3"/>
    <w:rsid w:val="3C0F2E5C"/>
    <w:rsid w:val="3C2301CF"/>
    <w:rsid w:val="3C232E49"/>
    <w:rsid w:val="3C294808"/>
    <w:rsid w:val="3C4C6AAE"/>
    <w:rsid w:val="3C5A1F12"/>
    <w:rsid w:val="3C662EDF"/>
    <w:rsid w:val="3C9B4D04"/>
    <w:rsid w:val="3CA72903"/>
    <w:rsid w:val="3CAE4F60"/>
    <w:rsid w:val="3CC9647F"/>
    <w:rsid w:val="3CDC2B0A"/>
    <w:rsid w:val="3CE14229"/>
    <w:rsid w:val="3CF96CA1"/>
    <w:rsid w:val="3D092504"/>
    <w:rsid w:val="3D1B751F"/>
    <w:rsid w:val="3D1D3010"/>
    <w:rsid w:val="3D212D9D"/>
    <w:rsid w:val="3D2D4894"/>
    <w:rsid w:val="3D320965"/>
    <w:rsid w:val="3D3246B3"/>
    <w:rsid w:val="3D4E790E"/>
    <w:rsid w:val="3D700D52"/>
    <w:rsid w:val="3D770A1E"/>
    <w:rsid w:val="3D78505A"/>
    <w:rsid w:val="3DA26D47"/>
    <w:rsid w:val="3DAD3632"/>
    <w:rsid w:val="3DB01E78"/>
    <w:rsid w:val="3DB24B0C"/>
    <w:rsid w:val="3DB270E9"/>
    <w:rsid w:val="3DBC092E"/>
    <w:rsid w:val="3DDD25C1"/>
    <w:rsid w:val="3DE9435F"/>
    <w:rsid w:val="3DF82797"/>
    <w:rsid w:val="3E053264"/>
    <w:rsid w:val="3E083B2C"/>
    <w:rsid w:val="3E0C40FA"/>
    <w:rsid w:val="3E1F0680"/>
    <w:rsid w:val="3E481A2D"/>
    <w:rsid w:val="3E4B0C50"/>
    <w:rsid w:val="3E5C4F6C"/>
    <w:rsid w:val="3E7660CC"/>
    <w:rsid w:val="3E7819B1"/>
    <w:rsid w:val="3E802B14"/>
    <w:rsid w:val="3EB021FA"/>
    <w:rsid w:val="3EC43DC1"/>
    <w:rsid w:val="3ED17795"/>
    <w:rsid w:val="3EE651EF"/>
    <w:rsid w:val="3F000F93"/>
    <w:rsid w:val="3F042F23"/>
    <w:rsid w:val="3F0C13B6"/>
    <w:rsid w:val="3F1521A0"/>
    <w:rsid w:val="3F40400F"/>
    <w:rsid w:val="3F407B38"/>
    <w:rsid w:val="3F6B3B01"/>
    <w:rsid w:val="3F9A7607"/>
    <w:rsid w:val="3F9D1772"/>
    <w:rsid w:val="3F9E338F"/>
    <w:rsid w:val="3FAB63AE"/>
    <w:rsid w:val="3FAD2C56"/>
    <w:rsid w:val="40033BCB"/>
    <w:rsid w:val="400B3D58"/>
    <w:rsid w:val="402166A4"/>
    <w:rsid w:val="4039779C"/>
    <w:rsid w:val="403F4AD6"/>
    <w:rsid w:val="40471F6D"/>
    <w:rsid w:val="4055421F"/>
    <w:rsid w:val="407F379A"/>
    <w:rsid w:val="4098721B"/>
    <w:rsid w:val="40A30CB7"/>
    <w:rsid w:val="410D50E4"/>
    <w:rsid w:val="410E3226"/>
    <w:rsid w:val="411E1F5F"/>
    <w:rsid w:val="41287C6E"/>
    <w:rsid w:val="412C6073"/>
    <w:rsid w:val="41335E35"/>
    <w:rsid w:val="41480B38"/>
    <w:rsid w:val="41625ED3"/>
    <w:rsid w:val="416A5C1B"/>
    <w:rsid w:val="416F2BBE"/>
    <w:rsid w:val="417144B1"/>
    <w:rsid w:val="4189511A"/>
    <w:rsid w:val="41A03E55"/>
    <w:rsid w:val="41B60441"/>
    <w:rsid w:val="41CB13D4"/>
    <w:rsid w:val="41D47FBA"/>
    <w:rsid w:val="41ED1B1E"/>
    <w:rsid w:val="4211574A"/>
    <w:rsid w:val="4216392F"/>
    <w:rsid w:val="421D7007"/>
    <w:rsid w:val="42264F86"/>
    <w:rsid w:val="425A401B"/>
    <w:rsid w:val="425B0051"/>
    <w:rsid w:val="42905AAA"/>
    <w:rsid w:val="429B3F8F"/>
    <w:rsid w:val="42CE6B71"/>
    <w:rsid w:val="42D71369"/>
    <w:rsid w:val="42DB7DEF"/>
    <w:rsid w:val="42DF0DF6"/>
    <w:rsid w:val="42E01D63"/>
    <w:rsid w:val="42E34D2A"/>
    <w:rsid w:val="42EA5C2A"/>
    <w:rsid w:val="42EB1A6F"/>
    <w:rsid w:val="42EB44C6"/>
    <w:rsid w:val="42F4186C"/>
    <w:rsid w:val="42F56A59"/>
    <w:rsid w:val="42F805B7"/>
    <w:rsid w:val="43017D07"/>
    <w:rsid w:val="4328593E"/>
    <w:rsid w:val="4346230B"/>
    <w:rsid w:val="43470790"/>
    <w:rsid w:val="43793D50"/>
    <w:rsid w:val="437B1757"/>
    <w:rsid w:val="43BB1045"/>
    <w:rsid w:val="43C91B45"/>
    <w:rsid w:val="43C96C82"/>
    <w:rsid w:val="43CC0A77"/>
    <w:rsid w:val="43F244DD"/>
    <w:rsid w:val="43F34F0A"/>
    <w:rsid w:val="43F67CAD"/>
    <w:rsid w:val="44197675"/>
    <w:rsid w:val="442134A5"/>
    <w:rsid w:val="446B0DA7"/>
    <w:rsid w:val="44896E05"/>
    <w:rsid w:val="449263B1"/>
    <w:rsid w:val="44A252E3"/>
    <w:rsid w:val="44CE05B1"/>
    <w:rsid w:val="44DE657A"/>
    <w:rsid w:val="44EC5492"/>
    <w:rsid w:val="44F5583F"/>
    <w:rsid w:val="44F642D5"/>
    <w:rsid w:val="45143E62"/>
    <w:rsid w:val="451963D2"/>
    <w:rsid w:val="45472394"/>
    <w:rsid w:val="45724740"/>
    <w:rsid w:val="45776E42"/>
    <w:rsid w:val="457B07D4"/>
    <w:rsid w:val="4584601C"/>
    <w:rsid w:val="45A17614"/>
    <w:rsid w:val="45A77792"/>
    <w:rsid w:val="45AC2C16"/>
    <w:rsid w:val="45B8521A"/>
    <w:rsid w:val="45CF386F"/>
    <w:rsid w:val="4605362E"/>
    <w:rsid w:val="46056421"/>
    <w:rsid w:val="460C04D4"/>
    <w:rsid w:val="460E5C1F"/>
    <w:rsid w:val="46113C23"/>
    <w:rsid w:val="46215D1B"/>
    <w:rsid w:val="466331AA"/>
    <w:rsid w:val="466A1851"/>
    <w:rsid w:val="46787235"/>
    <w:rsid w:val="46885EC5"/>
    <w:rsid w:val="46887AEB"/>
    <w:rsid w:val="468930AE"/>
    <w:rsid w:val="46951251"/>
    <w:rsid w:val="46A176A3"/>
    <w:rsid w:val="46B27462"/>
    <w:rsid w:val="46BC31AA"/>
    <w:rsid w:val="46C637F7"/>
    <w:rsid w:val="46C93A01"/>
    <w:rsid w:val="46D404E0"/>
    <w:rsid w:val="46EA0B8E"/>
    <w:rsid w:val="46F31900"/>
    <w:rsid w:val="46F5741D"/>
    <w:rsid w:val="471E5360"/>
    <w:rsid w:val="472B3E49"/>
    <w:rsid w:val="473105C2"/>
    <w:rsid w:val="47692187"/>
    <w:rsid w:val="476A0FBF"/>
    <w:rsid w:val="476F4169"/>
    <w:rsid w:val="476F45D2"/>
    <w:rsid w:val="4778041E"/>
    <w:rsid w:val="47890CE4"/>
    <w:rsid w:val="479E05BC"/>
    <w:rsid w:val="47B41CE4"/>
    <w:rsid w:val="47B47EEE"/>
    <w:rsid w:val="47BB12D0"/>
    <w:rsid w:val="47D331A0"/>
    <w:rsid w:val="47F77B0F"/>
    <w:rsid w:val="48071BA2"/>
    <w:rsid w:val="48111F72"/>
    <w:rsid w:val="483D2593"/>
    <w:rsid w:val="48676FF8"/>
    <w:rsid w:val="487A64E1"/>
    <w:rsid w:val="48842DA4"/>
    <w:rsid w:val="488525DC"/>
    <w:rsid w:val="488C3A69"/>
    <w:rsid w:val="488C7D67"/>
    <w:rsid w:val="488F6164"/>
    <w:rsid w:val="48997517"/>
    <w:rsid w:val="48A02163"/>
    <w:rsid w:val="48A67A6B"/>
    <w:rsid w:val="48AB7154"/>
    <w:rsid w:val="48B37A1C"/>
    <w:rsid w:val="48DB33FE"/>
    <w:rsid w:val="49230E35"/>
    <w:rsid w:val="492A0B4A"/>
    <w:rsid w:val="493F3170"/>
    <w:rsid w:val="49486A0E"/>
    <w:rsid w:val="49495705"/>
    <w:rsid w:val="494B6EB7"/>
    <w:rsid w:val="495513EB"/>
    <w:rsid w:val="497A03CE"/>
    <w:rsid w:val="49B74CC7"/>
    <w:rsid w:val="49C93046"/>
    <w:rsid w:val="49CB6EC3"/>
    <w:rsid w:val="49D2508E"/>
    <w:rsid w:val="49DF06B0"/>
    <w:rsid w:val="49E83ADC"/>
    <w:rsid w:val="4A086368"/>
    <w:rsid w:val="4A37247D"/>
    <w:rsid w:val="4A5D1A04"/>
    <w:rsid w:val="4A5D7DAA"/>
    <w:rsid w:val="4A641C09"/>
    <w:rsid w:val="4A6A29D9"/>
    <w:rsid w:val="4A724ECC"/>
    <w:rsid w:val="4A7D21DC"/>
    <w:rsid w:val="4A987EF3"/>
    <w:rsid w:val="4A995123"/>
    <w:rsid w:val="4AA0090F"/>
    <w:rsid w:val="4AA210C1"/>
    <w:rsid w:val="4AB5457D"/>
    <w:rsid w:val="4AB57F33"/>
    <w:rsid w:val="4ACF1833"/>
    <w:rsid w:val="4AD551D0"/>
    <w:rsid w:val="4AFD678E"/>
    <w:rsid w:val="4B052AF1"/>
    <w:rsid w:val="4B0844B4"/>
    <w:rsid w:val="4B64732E"/>
    <w:rsid w:val="4B831C66"/>
    <w:rsid w:val="4B8D15C7"/>
    <w:rsid w:val="4B8E09DB"/>
    <w:rsid w:val="4BAE3788"/>
    <w:rsid w:val="4BD51CF3"/>
    <w:rsid w:val="4BD56841"/>
    <w:rsid w:val="4BE139FD"/>
    <w:rsid w:val="4BE50026"/>
    <w:rsid w:val="4BEB1C2A"/>
    <w:rsid w:val="4BF519A8"/>
    <w:rsid w:val="4BF94E3C"/>
    <w:rsid w:val="4C3342E0"/>
    <w:rsid w:val="4C416776"/>
    <w:rsid w:val="4C451933"/>
    <w:rsid w:val="4C522EDB"/>
    <w:rsid w:val="4C53587C"/>
    <w:rsid w:val="4C565D4A"/>
    <w:rsid w:val="4C662841"/>
    <w:rsid w:val="4C6E2B8E"/>
    <w:rsid w:val="4C7C3B09"/>
    <w:rsid w:val="4C8205AE"/>
    <w:rsid w:val="4C9E7FD4"/>
    <w:rsid w:val="4CB9680F"/>
    <w:rsid w:val="4CC159EE"/>
    <w:rsid w:val="4CC954A2"/>
    <w:rsid w:val="4CCA2679"/>
    <w:rsid w:val="4CE84C22"/>
    <w:rsid w:val="4CED2485"/>
    <w:rsid w:val="4CEE55F9"/>
    <w:rsid w:val="4CF21B51"/>
    <w:rsid w:val="4D071B5B"/>
    <w:rsid w:val="4D0B1077"/>
    <w:rsid w:val="4D251A8D"/>
    <w:rsid w:val="4D2757CE"/>
    <w:rsid w:val="4D34309E"/>
    <w:rsid w:val="4D3B2402"/>
    <w:rsid w:val="4D4A5484"/>
    <w:rsid w:val="4D552535"/>
    <w:rsid w:val="4D73653A"/>
    <w:rsid w:val="4D8D7B77"/>
    <w:rsid w:val="4D9715DC"/>
    <w:rsid w:val="4D9F307A"/>
    <w:rsid w:val="4DB925D0"/>
    <w:rsid w:val="4DC0055C"/>
    <w:rsid w:val="4DD17A54"/>
    <w:rsid w:val="4DE76A72"/>
    <w:rsid w:val="4DED7B7B"/>
    <w:rsid w:val="4DF0776C"/>
    <w:rsid w:val="4DFC6F40"/>
    <w:rsid w:val="4E205AB9"/>
    <w:rsid w:val="4E346CAD"/>
    <w:rsid w:val="4E37492E"/>
    <w:rsid w:val="4E395D9C"/>
    <w:rsid w:val="4E467737"/>
    <w:rsid w:val="4E4F5A01"/>
    <w:rsid w:val="4E580033"/>
    <w:rsid w:val="4E5943BA"/>
    <w:rsid w:val="4E616A5C"/>
    <w:rsid w:val="4E693B74"/>
    <w:rsid w:val="4E6A4C09"/>
    <w:rsid w:val="4E6E3E0B"/>
    <w:rsid w:val="4E7534C5"/>
    <w:rsid w:val="4E76661A"/>
    <w:rsid w:val="4E7C7399"/>
    <w:rsid w:val="4E977205"/>
    <w:rsid w:val="4EB827B3"/>
    <w:rsid w:val="4EC90885"/>
    <w:rsid w:val="4ED3637B"/>
    <w:rsid w:val="4EE20D35"/>
    <w:rsid w:val="4EFC2AE7"/>
    <w:rsid w:val="4F0C05E8"/>
    <w:rsid w:val="4F1F345D"/>
    <w:rsid w:val="4F333B3B"/>
    <w:rsid w:val="4F622289"/>
    <w:rsid w:val="4F712C49"/>
    <w:rsid w:val="4F7B27D9"/>
    <w:rsid w:val="4F856D00"/>
    <w:rsid w:val="4F87770B"/>
    <w:rsid w:val="4F90601D"/>
    <w:rsid w:val="4FB82836"/>
    <w:rsid w:val="4FC56263"/>
    <w:rsid w:val="4FC9190E"/>
    <w:rsid w:val="4FD330DE"/>
    <w:rsid w:val="4FD82EBA"/>
    <w:rsid w:val="4FE0355B"/>
    <w:rsid w:val="4FE03B09"/>
    <w:rsid w:val="4FEA1DA8"/>
    <w:rsid w:val="4FED7E4A"/>
    <w:rsid w:val="5005319C"/>
    <w:rsid w:val="500F018A"/>
    <w:rsid w:val="500F0855"/>
    <w:rsid w:val="501248D5"/>
    <w:rsid w:val="504815B1"/>
    <w:rsid w:val="504E5BD3"/>
    <w:rsid w:val="505C1EA2"/>
    <w:rsid w:val="508B6AC9"/>
    <w:rsid w:val="508B799F"/>
    <w:rsid w:val="50995FE1"/>
    <w:rsid w:val="50A57F20"/>
    <w:rsid w:val="50B62894"/>
    <w:rsid w:val="50B630A1"/>
    <w:rsid w:val="50B6395E"/>
    <w:rsid w:val="50B8297E"/>
    <w:rsid w:val="50DA59F5"/>
    <w:rsid w:val="50E25EDC"/>
    <w:rsid w:val="51070192"/>
    <w:rsid w:val="510D1192"/>
    <w:rsid w:val="512129DF"/>
    <w:rsid w:val="51221EB8"/>
    <w:rsid w:val="512A162D"/>
    <w:rsid w:val="513A5742"/>
    <w:rsid w:val="514F6C05"/>
    <w:rsid w:val="515A6CD7"/>
    <w:rsid w:val="517109FA"/>
    <w:rsid w:val="51717A51"/>
    <w:rsid w:val="51781C23"/>
    <w:rsid w:val="519C32A5"/>
    <w:rsid w:val="51B035DC"/>
    <w:rsid w:val="51B404DB"/>
    <w:rsid w:val="51D54204"/>
    <w:rsid w:val="51EC12C8"/>
    <w:rsid w:val="51F67C2A"/>
    <w:rsid w:val="51F947CA"/>
    <w:rsid w:val="52030077"/>
    <w:rsid w:val="521A7F24"/>
    <w:rsid w:val="52200C03"/>
    <w:rsid w:val="52302068"/>
    <w:rsid w:val="5239526E"/>
    <w:rsid w:val="52485217"/>
    <w:rsid w:val="525E02D9"/>
    <w:rsid w:val="52626214"/>
    <w:rsid w:val="52650E7F"/>
    <w:rsid w:val="52651E63"/>
    <w:rsid w:val="52931EA1"/>
    <w:rsid w:val="52A33D9C"/>
    <w:rsid w:val="52A50F59"/>
    <w:rsid w:val="52B61BC0"/>
    <w:rsid w:val="52BA5D97"/>
    <w:rsid w:val="52C21A5F"/>
    <w:rsid w:val="52DD11F2"/>
    <w:rsid w:val="52F45961"/>
    <w:rsid w:val="53715C89"/>
    <w:rsid w:val="53767BA3"/>
    <w:rsid w:val="53844150"/>
    <w:rsid w:val="538E3101"/>
    <w:rsid w:val="53955515"/>
    <w:rsid w:val="53B0479A"/>
    <w:rsid w:val="53B25A85"/>
    <w:rsid w:val="53C85EEB"/>
    <w:rsid w:val="53D86CEE"/>
    <w:rsid w:val="53F83D51"/>
    <w:rsid w:val="540546C3"/>
    <w:rsid w:val="542B3576"/>
    <w:rsid w:val="542E33A9"/>
    <w:rsid w:val="54370630"/>
    <w:rsid w:val="543A749F"/>
    <w:rsid w:val="543E0450"/>
    <w:rsid w:val="543F7DF3"/>
    <w:rsid w:val="5468040B"/>
    <w:rsid w:val="547804C3"/>
    <w:rsid w:val="54874078"/>
    <w:rsid w:val="54967F9A"/>
    <w:rsid w:val="549B378E"/>
    <w:rsid w:val="549C1223"/>
    <w:rsid w:val="549F79B0"/>
    <w:rsid w:val="54A7060D"/>
    <w:rsid w:val="54B94A3F"/>
    <w:rsid w:val="54CB0AD8"/>
    <w:rsid w:val="54DC57FB"/>
    <w:rsid w:val="55063AA0"/>
    <w:rsid w:val="551B3C23"/>
    <w:rsid w:val="552B3541"/>
    <w:rsid w:val="553A6E72"/>
    <w:rsid w:val="554C2981"/>
    <w:rsid w:val="555173B6"/>
    <w:rsid w:val="555C44A6"/>
    <w:rsid w:val="557A3593"/>
    <w:rsid w:val="557F05FE"/>
    <w:rsid w:val="558148D7"/>
    <w:rsid w:val="55986395"/>
    <w:rsid w:val="55B01C76"/>
    <w:rsid w:val="55BA4136"/>
    <w:rsid w:val="55BB3B99"/>
    <w:rsid w:val="55D56AB5"/>
    <w:rsid w:val="55ED6EBD"/>
    <w:rsid w:val="55F112D3"/>
    <w:rsid w:val="560A3DED"/>
    <w:rsid w:val="561E74E0"/>
    <w:rsid w:val="565E25B5"/>
    <w:rsid w:val="5660004C"/>
    <w:rsid w:val="566019EA"/>
    <w:rsid w:val="566912B5"/>
    <w:rsid w:val="5679751E"/>
    <w:rsid w:val="56C204B1"/>
    <w:rsid w:val="56DC07B3"/>
    <w:rsid w:val="56E124D0"/>
    <w:rsid w:val="56E70EE9"/>
    <w:rsid w:val="56F11C95"/>
    <w:rsid w:val="56F65FA4"/>
    <w:rsid w:val="57085A5F"/>
    <w:rsid w:val="5712294D"/>
    <w:rsid w:val="57203CE2"/>
    <w:rsid w:val="57245E6C"/>
    <w:rsid w:val="5729516E"/>
    <w:rsid w:val="574A48FC"/>
    <w:rsid w:val="57516D3B"/>
    <w:rsid w:val="575B5170"/>
    <w:rsid w:val="576205A6"/>
    <w:rsid w:val="576B13D9"/>
    <w:rsid w:val="57716D4D"/>
    <w:rsid w:val="577F3A42"/>
    <w:rsid w:val="57957FA2"/>
    <w:rsid w:val="57A074AD"/>
    <w:rsid w:val="57A76B2E"/>
    <w:rsid w:val="57B80494"/>
    <w:rsid w:val="57CC2E79"/>
    <w:rsid w:val="57D54F13"/>
    <w:rsid w:val="57D868C5"/>
    <w:rsid w:val="57F31A73"/>
    <w:rsid w:val="580B6363"/>
    <w:rsid w:val="581500E7"/>
    <w:rsid w:val="581570D7"/>
    <w:rsid w:val="582C3328"/>
    <w:rsid w:val="58483122"/>
    <w:rsid w:val="58584D43"/>
    <w:rsid w:val="58585757"/>
    <w:rsid w:val="585F4ABD"/>
    <w:rsid w:val="586A54E0"/>
    <w:rsid w:val="58763C80"/>
    <w:rsid w:val="587A4F22"/>
    <w:rsid w:val="588D3903"/>
    <w:rsid w:val="58AD2A41"/>
    <w:rsid w:val="58CA22FD"/>
    <w:rsid w:val="58CB571C"/>
    <w:rsid w:val="58FA36DF"/>
    <w:rsid w:val="59185B23"/>
    <w:rsid w:val="591A0FF8"/>
    <w:rsid w:val="591F176A"/>
    <w:rsid w:val="59224DFD"/>
    <w:rsid w:val="594413B6"/>
    <w:rsid w:val="5945092A"/>
    <w:rsid w:val="594E47FA"/>
    <w:rsid w:val="595D44CA"/>
    <w:rsid w:val="596229BA"/>
    <w:rsid w:val="5965407F"/>
    <w:rsid w:val="598D2DC2"/>
    <w:rsid w:val="598E76AC"/>
    <w:rsid w:val="598E798D"/>
    <w:rsid w:val="59F406EC"/>
    <w:rsid w:val="5A0B0F42"/>
    <w:rsid w:val="5A405D38"/>
    <w:rsid w:val="5A423CC1"/>
    <w:rsid w:val="5A4F77F7"/>
    <w:rsid w:val="5A540A75"/>
    <w:rsid w:val="5A5F3C5F"/>
    <w:rsid w:val="5A6B4B3B"/>
    <w:rsid w:val="5A74777A"/>
    <w:rsid w:val="5AC1451D"/>
    <w:rsid w:val="5B1B278B"/>
    <w:rsid w:val="5B356B4F"/>
    <w:rsid w:val="5B45668A"/>
    <w:rsid w:val="5B483D9D"/>
    <w:rsid w:val="5B4B4861"/>
    <w:rsid w:val="5B4F4307"/>
    <w:rsid w:val="5B514E4B"/>
    <w:rsid w:val="5B550F93"/>
    <w:rsid w:val="5B625BE5"/>
    <w:rsid w:val="5B743EDD"/>
    <w:rsid w:val="5B96174C"/>
    <w:rsid w:val="5BA302A1"/>
    <w:rsid w:val="5BA86868"/>
    <w:rsid w:val="5BAE772A"/>
    <w:rsid w:val="5BAF03D2"/>
    <w:rsid w:val="5BC72BD2"/>
    <w:rsid w:val="5BD137D6"/>
    <w:rsid w:val="5BDC4156"/>
    <w:rsid w:val="5BDF75DB"/>
    <w:rsid w:val="5BE565AF"/>
    <w:rsid w:val="5BF52022"/>
    <w:rsid w:val="5BF81582"/>
    <w:rsid w:val="5BFA45DF"/>
    <w:rsid w:val="5C01463C"/>
    <w:rsid w:val="5C027076"/>
    <w:rsid w:val="5C1B112A"/>
    <w:rsid w:val="5C306CA5"/>
    <w:rsid w:val="5C3830AD"/>
    <w:rsid w:val="5C4252F8"/>
    <w:rsid w:val="5C4C407B"/>
    <w:rsid w:val="5C4F7F3B"/>
    <w:rsid w:val="5C8B27FF"/>
    <w:rsid w:val="5C9D156D"/>
    <w:rsid w:val="5CA049EF"/>
    <w:rsid w:val="5CA13735"/>
    <w:rsid w:val="5CA14451"/>
    <w:rsid w:val="5CAD02F5"/>
    <w:rsid w:val="5CB56D9E"/>
    <w:rsid w:val="5CF30491"/>
    <w:rsid w:val="5CFA684E"/>
    <w:rsid w:val="5D2E1346"/>
    <w:rsid w:val="5D435AE7"/>
    <w:rsid w:val="5D4A1997"/>
    <w:rsid w:val="5D625B21"/>
    <w:rsid w:val="5D74299B"/>
    <w:rsid w:val="5DA50DB0"/>
    <w:rsid w:val="5DC90247"/>
    <w:rsid w:val="5E0A377C"/>
    <w:rsid w:val="5E230525"/>
    <w:rsid w:val="5E2324B5"/>
    <w:rsid w:val="5E265D92"/>
    <w:rsid w:val="5E316D7C"/>
    <w:rsid w:val="5E3A7444"/>
    <w:rsid w:val="5E4C71CC"/>
    <w:rsid w:val="5E4E0212"/>
    <w:rsid w:val="5E4E5FEC"/>
    <w:rsid w:val="5E7A4C32"/>
    <w:rsid w:val="5E82190F"/>
    <w:rsid w:val="5E8B02E6"/>
    <w:rsid w:val="5EA47F79"/>
    <w:rsid w:val="5EA7756C"/>
    <w:rsid w:val="5EAC7C32"/>
    <w:rsid w:val="5EBC35F3"/>
    <w:rsid w:val="5EC42360"/>
    <w:rsid w:val="5ECA7640"/>
    <w:rsid w:val="5ED57C67"/>
    <w:rsid w:val="5EF24B7B"/>
    <w:rsid w:val="5EF34571"/>
    <w:rsid w:val="5EFD5FFE"/>
    <w:rsid w:val="5F173A2B"/>
    <w:rsid w:val="5F243B32"/>
    <w:rsid w:val="5F25704F"/>
    <w:rsid w:val="5F2D64C4"/>
    <w:rsid w:val="5F302A42"/>
    <w:rsid w:val="5F676A86"/>
    <w:rsid w:val="5F816F30"/>
    <w:rsid w:val="5F95270F"/>
    <w:rsid w:val="5FBA092D"/>
    <w:rsid w:val="5FC35293"/>
    <w:rsid w:val="60033374"/>
    <w:rsid w:val="600D1887"/>
    <w:rsid w:val="601F39AC"/>
    <w:rsid w:val="60456E5A"/>
    <w:rsid w:val="60480474"/>
    <w:rsid w:val="606611F8"/>
    <w:rsid w:val="606A0927"/>
    <w:rsid w:val="60750A5B"/>
    <w:rsid w:val="607522E4"/>
    <w:rsid w:val="607934F6"/>
    <w:rsid w:val="607A0CA4"/>
    <w:rsid w:val="607F0D85"/>
    <w:rsid w:val="608D6203"/>
    <w:rsid w:val="60A7237F"/>
    <w:rsid w:val="60CA3909"/>
    <w:rsid w:val="60D914F9"/>
    <w:rsid w:val="60DC420F"/>
    <w:rsid w:val="60E129A8"/>
    <w:rsid w:val="60EA42BB"/>
    <w:rsid w:val="60FC1D03"/>
    <w:rsid w:val="610048E8"/>
    <w:rsid w:val="610B17B3"/>
    <w:rsid w:val="610E045B"/>
    <w:rsid w:val="6148513F"/>
    <w:rsid w:val="614900DA"/>
    <w:rsid w:val="614958AE"/>
    <w:rsid w:val="614B2C99"/>
    <w:rsid w:val="61501332"/>
    <w:rsid w:val="61517704"/>
    <w:rsid w:val="61A00D01"/>
    <w:rsid w:val="61CB0398"/>
    <w:rsid w:val="61E77F11"/>
    <w:rsid w:val="61FA2D57"/>
    <w:rsid w:val="62073131"/>
    <w:rsid w:val="620B5412"/>
    <w:rsid w:val="620F34E4"/>
    <w:rsid w:val="621D2C7D"/>
    <w:rsid w:val="62304F98"/>
    <w:rsid w:val="624C7762"/>
    <w:rsid w:val="62622680"/>
    <w:rsid w:val="62651F9B"/>
    <w:rsid w:val="62785189"/>
    <w:rsid w:val="627C2E83"/>
    <w:rsid w:val="628561B1"/>
    <w:rsid w:val="62884D5E"/>
    <w:rsid w:val="62936A2E"/>
    <w:rsid w:val="62B23C0C"/>
    <w:rsid w:val="62CF5395"/>
    <w:rsid w:val="62DF451C"/>
    <w:rsid w:val="62E479F1"/>
    <w:rsid w:val="62E75E06"/>
    <w:rsid w:val="62E84015"/>
    <w:rsid w:val="62EE7FBB"/>
    <w:rsid w:val="630E3028"/>
    <w:rsid w:val="632743B5"/>
    <w:rsid w:val="6337726C"/>
    <w:rsid w:val="633D728E"/>
    <w:rsid w:val="634127A3"/>
    <w:rsid w:val="63575E31"/>
    <w:rsid w:val="63593384"/>
    <w:rsid w:val="636A08A2"/>
    <w:rsid w:val="636B2783"/>
    <w:rsid w:val="63777684"/>
    <w:rsid w:val="639022D0"/>
    <w:rsid w:val="63D1144F"/>
    <w:rsid w:val="63DA603A"/>
    <w:rsid w:val="63E83945"/>
    <w:rsid w:val="64066321"/>
    <w:rsid w:val="642F23C5"/>
    <w:rsid w:val="64427CA3"/>
    <w:rsid w:val="645C4ED7"/>
    <w:rsid w:val="6478062F"/>
    <w:rsid w:val="648C53B3"/>
    <w:rsid w:val="649E03FE"/>
    <w:rsid w:val="64A47D9C"/>
    <w:rsid w:val="64BE53A3"/>
    <w:rsid w:val="64D1763C"/>
    <w:rsid w:val="64DB4A0D"/>
    <w:rsid w:val="64F3490E"/>
    <w:rsid w:val="64F475D0"/>
    <w:rsid w:val="64FB09DF"/>
    <w:rsid w:val="6502028F"/>
    <w:rsid w:val="650A4E00"/>
    <w:rsid w:val="65123550"/>
    <w:rsid w:val="6517300B"/>
    <w:rsid w:val="651960B3"/>
    <w:rsid w:val="65267D7D"/>
    <w:rsid w:val="654C0271"/>
    <w:rsid w:val="654D1FDF"/>
    <w:rsid w:val="657140B6"/>
    <w:rsid w:val="65743936"/>
    <w:rsid w:val="657630EF"/>
    <w:rsid w:val="65AC593A"/>
    <w:rsid w:val="65AC6C55"/>
    <w:rsid w:val="65B0610E"/>
    <w:rsid w:val="65DA6CA5"/>
    <w:rsid w:val="65DE07B2"/>
    <w:rsid w:val="65EC496C"/>
    <w:rsid w:val="65F1000E"/>
    <w:rsid w:val="660B002C"/>
    <w:rsid w:val="66200283"/>
    <w:rsid w:val="663F542A"/>
    <w:rsid w:val="664A78EC"/>
    <w:rsid w:val="664C0DCF"/>
    <w:rsid w:val="66724724"/>
    <w:rsid w:val="6675797D"/>
    <w:rsid w:val="66BB5299"/>
    <w:rsid w:val="66C759D2"/>
    <w:rsid w:val="66C8550E"/>
    <w:rsid w:val="66CD4FB4"/>
    <w:rsid w:val="66E35836"/>
    <w:rsid w:val="670747EC"/>
    <w:rsid w:val="671743C8"/>
    <w:rsid w:val="67301B6F"/>
    <w:rsid w:val="67493059"/>
    <w:rsid w:val="675672BB"/>
    <w:rsid w:val="675D6959"/>
    <w:rsid w:val="676E3F0B"/>
    <w:rsid w:val="67722BEE"/>
    <w:rsid w:val="678A77BE"/>
    <w:rsid w:val="67A14CCC"/>
    <w:rsid w:val="67A84C8D"/>
    <w:rsid w:val="67B0630D"/>
    <w:rsid w:val="67B853CF"/>
    <w:rsid w:val="67C83087"/>
    <w:rsid w:val="67DF74D4"/>
    <w:rsid w:val="67F37CEC"/>
    <w:rsid w:val="680F66F8"/>
    <w:rsid w:val="6816723B"/>
    <w:rsid w:val="6827226A"/>
    <w:rsid w:val="682C2940"/>
    <w:rsid w:val="683E75F2"/>
    <w:rsid w:val="68467ABC"/>
    <w:rsid w:val="6865718C"/>
    <w:rsid w:val="68680574"/>
    <w:rsid w:val="689602F4"/>
    <w:rsid w:val="68C15FD1"/>
    <w:rsid w:val="690C66BC"/>
    <w:rsid w:val="691122AE"/>
    <w:rsid w:val="695406E0"/>
    <w:rsid w:val="695A6274"/>
    <w:rsid w:val="697D5D48"/>
    <w:rsid w:val="697F2809"/>
    <w:rsid w:val="697F7456"/>
    <w:rsid w:val="698F17E8"/>
    <w:rsid w:val="6991028E"/>
    <w:rsid w:val="699A1E01"/>
    <w:rsid w:val="69A52777"/>
    <w:rsid w:val="69C0298F"/>
    <w:rsid w:val="69CA4BCF"/>
    <w:rsid w:val="6A020F97"/>
    <w:rsid w:val="6A082292"/>
    <w:rsid w:val="6A13208F"/>
    <w:rsid w:val="6A227444"/>
    <w:rsid w:val="6A3D1A13"/>
    <w:rsid w:val="6A4673F3"/>
    <w:rsid w:val="6A472C58"/>
    <w:rsid w:val="6A51156E"/>
    <w:rsid w:val="6A6F5DBB"/>
    <w:rsid w:val="6A9B7DD8"/>
    <w:rsid w:val="6AA46897"/>
    <w:rsid w:val="6AAA418C"/>
    <w:rsid w:val="6ABD3077"/>
    <w:rsid w:val="6AD505F2"/>
    <w:rsid w:val="6AED38B0"/>
    <w:rsid w:val="6AF066C5"/>
    <w:rsid w:val="6B0D2E6C"/>
    <w:rsid w:val="6B1A18CC"/>
    <w:rsid w:val="6B1E47C4"/>
    <w:rsid w:val="6B385F86"/>
    <w:rsid w:val="6B393D38"/>
    <w:rsid w:val="6B3C1ADE"/>
    <w:rsid w:val="6B435004"/>
    <w:rsid w:val="6B442E5D"/>
    <w:rsid w:val="6B507B81"/>
    <w:rsid w:val="6B611003"/>
    <w:rsid w:val="6B6E6074"/>
    <w:rsid w:val="6B7A7584"/>
    <w:rsid w:val="6B9337AD"/>
    <w:rsid w:val="6B9D5759"/>
    <w:rsid w:val="6BBE7F33"/>
    <w:rsid w:val="6BBF2471"/>
    <w:rsid w:val="6BC3620B"/>
    <w:rsid w:val="6BDF7F28"/>
    <w:rsid w:val="6BE6057A"/>
    <w:rsid w:val="6C340198"/>
    <w:rsid w:val="6C3B455C"/>
    <w:rsid w:val="6C404726"/>
    <w:rsid w:val="6C465105"/>
    <w:rsid w:val="6C61108B"/>
    <w:rsid w:val="6C627E5D"/>
    <w:rsid w:val="6C6A7B7C"/>
    <w:rsid w:val="6C6B76E4"/>
    <w:rsid w:val="6CDB6D49"/>
    <w:rsid w:val="6CE31E95"/>
    <w:rsid w:val="6CEA2506"/>
    <w:rsid w:val="6CFA02EB"/>
    <w:rsid w:val="6D0A2DFE"/>
    <w:rsid w:val="6D146220"/>
    <w:rsid w:val="6D2C4A4E"/>
    <w:rsid w:val="6D2D541D"/>
    <w:rsid w:val="6D2F26CC"/>
    <w:rsid w:val="6D3839A0"/>
    <w:rsid w:val="6D587F31"/>
    <w:rsid w:val="6D5E05B4"/>
    <w:rsid w:val="6D6340C5"/>
    <w:rsid w:val="6D6D4857"/>
    <w:rsid w:val="6D8952C4"/>
    <w:rsid w:val="6D9466CD"/>
    <w:rsid w:val="6D984603"/>
    <w:rsid w:val="6D9A2ED9"/>
    <w:rsid w:val="6DAC05E0"/>
    <w:rsid w:val="6DAF0687"/>
    <w:rsid w:val="6DC3749A"/>
    <w:rsid w:val="6DD06048"/>
    <w:rsid w:val="6DE2571C"/>
    <w:rsid w:val="6DE27B17"/>
    <w:rsid w:val="6DE32D68"/>
    <w:rsid w:val="6DE42F2A"/>
    <w:rsid w:val="6DE62102"/>
    <w:rsid w:val="6DF12EF5"/>
    <w:rsid w:val="6DF403D5"/>
    <w:rsid w:val="6DF52370"/>
    <w:rsid w:val="6E054ED2"/>
    <w:rsid w:val="6E0F7187"/>
    <w:rsid w:val="6E3B7F3D"/>
    <w:rsid w:val="6E3F24E3"/>
    <w:rsid w:val="6E446567"/>
    <w:rsid w:val="6E4C231E"/>
    <w:rsid w:val="6E674D77"/>
    <w:rsid w:val="6E6F5947"/>
    <w:rsid w:val="6E70561A"/>
    <w:rsid w:val="6E825173"/>
    <w:rsid w:val="6E935534"/>
    <w:rsid w:val="6E9B3CBB"/>
    <w:rsid w:val="6EBB33FE"/>
    <w:rsid w:val="6EC93DAF"/>
    <w:rsid w:val="6ED23C2E"/>
    <w:rsid w:val="6EE07773"/>
    <w:rsid w:val="6EF675F4"/>
    <w:rsid w:val="6EFF0393"/>
    <w:rsid w:val="6F224A9A"/>
    <w:rsid w:val="6F2D2520"/>
    <w:rsid w:val="6F43582A"/>
    <w:rsid w:val="6F4E6A62"/>
    <w:rsid w:val="6F51727C"/>
    <w:rsid w:val="6F891938"/>
    <w:rsid w:val="6F93722C"/>
    <w:rsid w:val="6F99791C"/>
    <w:rsid w:val="6FD35B04"/>
    <w:rsid w:val="6FDE5BAB"/>
    <w:rsid w:val="6FF036DD"/>
    <w:rsid w:val="7001053D"/>
    <w:rsid w:val="702919CF"/>
    <w:rsid w:val="70321169"/>
    <w:rsid w:val="703F56BE"/>
    <w:rsid w:val="70461870"/>
    <w:rsid w:val="70574C0E"/>
    <w:rsid w:val="7066163C"/>
    <w:rsid w:val="7075449A"/>
    <w:rsid w:val="70957F22"/>
    <w:rsid w:val="70B42564"/>
    <w:rsid w:val="70CA434A"/>
    <w:rsid w:val="70D464A7"/>
    <w:rsid w:val="70D727DD"/>
    <w:rsid w:val="70DF51FC"/>
    <w:rsid w:val="70EF0410"/>
    <w:rsid w:val="70F11914"/>
    <w:rsid w:val="70F62BCC"/>
    <w:rsid w:val="70F71484"/>
    <w:rsid w:val="70FF136C"/>
    <w:rsid w:val="710010D9"/>
    <w:rsid w:val="71013CFA"/>
    <w:rsid w:val="711112DF"/>
    <w:rsid w:val="711F132C"/>
    <w:rsid w:val="7134426B"/>
    <w:rsid w:val="714A7EE7"/>
    <w:rsid w:val="716A1FBB"/>
    <w:rsid w:val="716E32F1"/>
    <w:rsid w:val="718772EB"/>
    <w:rsid w:val="718D7630"/>
    <w:rsid w:val="718F3C14"/>
    <w:rsid w:val="71910A05"/>
    <w:rsid w:val="71BF767B"/>
    <w:rsid w:val="71CE63D4"/>
    <w:rsid w:val="71D22D28"/>
    <w:rsid w:val="71D671D6"/>
    <w:rsid w:val="71E03E7D"/>
    <w:rsid w:val="71E12F48"/>
    <w:rsid w:val="71E44647"/>
    <w:rsid w:val="72290171"/>
    <w:rsid w:val="722A607A"/>
    <w:rsid w:val="724F4046"/>
    <w:rsid w:val="72730BC3"/>
    <w:rsid w:val="729749D4"/>
    <w:rsid w:val="72AE0C4A"/>
    <w:rsid w:val="72B375A2"/>
    <w:rsid w:val="72C0586E"/>
    <w:rsid w:val="72D04FBB"/>
    <w:rsid w:val="72F8181C"/>
    <w:rsid w:val="72FE0D2A"/>
    <w:rsid w:val="73163B23"/>
    <w:rsid w:val="731B3260"/>
    <w:rsid w:val="7334225F"/>
    <w:rsid w:val="734D438E"/>
    <w:rsid w:val="734E4B79"/>
    <w:rsid w:val="735C1BCC"/>
    <w:rsid w:val="735C2A7D"/>
    <w:rsid w:val="736F5EC2"/>
    <w:rsid w:val="73761D4B"/>
    <w:rsid w:val="737C5956"/>
    <w:rsid w:val="7382006E"/>
    <w:rsid w:val="73845FEE"/>
    <w:rsid w:val="73A91A87"/>
    <w:rsid w:val="73B10B9E"/>
    <w:rsid w:val="73E349D9"/>
    <w:rsid w:val="73F36DD0"/>
    <w:rsid w:val="74105E85"/>
    <w:rsid w:val="74186CF5"/>
    <w:rsid w:val="74280B5A"/>
    <w:rsid w:val="743E01B2"/>
    <w:rsid w:val="74492D05"/>
    <w:rsid w:val="745768E1"/>
    <w:rsid w:val="745A231B"/>
    <w:rsid w:val="74611604"/>
    <w:rsid w:val="74616FA7"/>
    <w:rsid w:val="747B74C6"/>
    <w:rsid w:val="74A244E1"/>
    <w:rsid w:val="74A93E82"/>
    <w:rsid w:val="74BD73CE"/>
    <w:rsid w:val="74BF628F"/>
    <w:rsid w:val="74CF24EA"/>
    <w:rsid w:val="74DF64DD"/>
    <w:rsid w:val="75017DB1"/>
    <w:rsid w:val="75044D2B"/>
    <w:rsid w:val="751A26FA"/>
    <w:rsid w:val="751A6AA1"/>
    <w:rsid w:val="751B5142"/>
    <w:rsid w:val="7526066C"/>
    <w:rsid w:val="75382B56"/>
    <w:rsid w:val="753A2E76"/>
    <w:rsid w:val="75437EB4"/>
    <w:rsid w:val="75611536"/>
    <w:rsid w:val="757C338F"/>
    <w:rsid w:val="75906F35"/>
    <w:rsid w:val="75DB58CF"/>
    <w:rsid w:val="75EE0A32"/>
    <w:rsid w:val="75F61D4B"/>
    <w:rsid w:val="760714CE"/>
    <w:rsid w:val="76191871"/>
    <w:rsid w:val="76235D28"/>
    <w:rsid w:val="76290E42"/>
    <w:rsid w:val="763C49A2"/>
    <w:rsid w:val="764B4E40"/>
    <w:rsid w:val="767E55CF"/>
    <w:rsid w:val="76913910"/>
    <w:rsid w:val="7692221F"/>
    <w:rsid w:val="76944F51"/>
    <w:rsid w:val="76951C2D"/>
    <w:rsid w:val="76976122"/>
    <w:rsid w:val="769B4F81"/>
    <w:rsid w:val="76A50F7A"/>
    <w:rsid w:val="76B501D7"/>
    <w:rsid w:val="76B64AD8"/>
    <w:rsid w:val="76E621C3"/>
    <w:rsid w:val="76F81151"/>
    <w:rsid w:val="77395144"/>
    <w:rsid w:val="77417882"/>
    <w:rsid w:val="77616036"/>
    <w:rsid w:val="778E761C"/>
    <w:rsid w:val="77916499"/>
    <w:rsid w:val="77A96C0F"/>
    <w:rsid w:val="77AB3782"/>
    <w:rsid w:val="77C16D8A"/>
    <w:rsid w:val="77D31D57"/>
    <w:rsid w:val="77D53B7E"/>
    <w:rsid w:val="77E0692E"/>
    <w:rsid w:val="77F07BA5"/>
    <w:rsid w:val="77F35B67"/>
    <w:rsid w:val="78080864"/>
    <w:rsid w:val="780A05C0"/>
    <w:rsid w:val="78276BEA"/>
    <w:rsid w:val="78337AD6"/>
    <w:rsid w:val="783A2BBF"/>
    <w:rsid w:val="784B4388"/>
    <w:rsid w:val="7875031B"/>
    <w:rsid w:val="78840773"/>
    <w:rsid w:val="788A5245"/>
    <w:rsid w:val="78990D40"/>
    <w:rsid w:val="78B47DF0"/>
    <w:rsid w:val="78BD7CCE"/>
    <w:rsid w:val="78BF75CB"/>
    <w:rsid w:val="78C01776"/>
    <w:rsid w:val="78C0654C"/>
    <w:rsid w:val="78C748FE"/>
    <w:rsid w:val="78CF03ED"/>
    <w:rsid w:val="78D808F3"/>
    <w:rsid w:val="78D9272A"/>
    <w:rsid w:val="78E63BF6"/>
    <w:rsid w:val="78F61FAE"/>
    <w:rsid w:val="78FF12E8"/>
    <w:rsid w:val="791B1828"/>
    <w:rsid w:val="792A6FFF"/>
    <w:rsid w:val="792B2AD0"/>
    <w:rsid w:val="79330898"/>
    <w:rsid w:val="79362295"/>
    <w:rsid w:val="7946391D"/>
    <w:rsid w:val="796D406D"/>
    <w:rsid w:val="79717EC3"/>
    <w:rsid w:val="79760722"/>
    <w:rsid w:val="79A15A0C"/>
    <w:rsid w:val="79A278DB"/>
    <w:rsid w:val="79A32C7B"/>
    <w:rsid w:val="79A41C89"/>
    <w:rsid w:val="79A81FAE"/>
    <w:rsid w:val="79AC0891"/>
    <w:rsid w:val="79AC45E0"/>
    <w:rsid w:val="79AC4D82"/>
    <w:rsid w:val="79D336E1"/>
    <w:rsid w:val="79D9115C"/>
    <w:rsid w:val="79E97912"/>
    <w:rsid w:val="79FB0742"/>
    <w:rsid w:val="7A0213AE"/>
    <w:rsid w:val="7A0B0004"/>
    <w:rsid w:val="7A172839"/>
    <w:rsid w:val="7A306A90"/>
    <w:rsid w:val="7A6C4AB4"/>
    <w:rsid w:val="7A8909C8"/>
    <w:rsid w:val="7A890A65"/>
    <w:rsid w:val="7A8F26A7"/>
    <w:rsid w:val="7A925C99"/>
    <w:rsid w:val="7A9961D7"/>
    <w:rsid w:val="7A9C34D6"/>
    <w:rsid w:val="7AAC76B9"/>
    <w:rsid w:val="7ABF51CD"/>
    <w:rsid w:val="7AE12202"/>
    <w:rsid w:val="7B022F10"/>
    <w:rsid w:val="7B0D2F9A"/>
    <w:rsid w:val="7B234D31"/>
    <w:rsid w:val="7B3B125D"/>
    <w:rsid w:val="7B3F013E"/>
    <w:rsid w:val="7B43183F"/>
    <w:rsid w:val="7B5226BF"/>
    <w:rsid w:val="7B590B76"/>
    <w:rsid w:val="7B5E0187"/>
    <w:rsid w:val="7B6139F0"/>
    <w:rsid w:val="7B873792"/>
    <w:rsid w:val="7B8B5F71"/>
    <w:rsid w:val="7BAD2CDB"/>
    <w:rsid w:val="7BB14D15"/>
    <w:rsid w:val="7BD9713D"/>
    <w:rsid w:val="7BFB2649"/>
    <w:rsid w:val="7C02600A"/>
    <w:rsid w:val="7C153412"/>
    <w:rsid w:val="7C195509"/>
    <w:rsid w:val="7C400E30"/>
    <w:rsid w:val="7C511DFE"/>
    <w:rsid w:val="7C593EAE"/>
    <w:rsid w:val="7C8860C7"/>
    <w:rsid w:val="7C902283"/>
    <w:rsid w:val="7CBE0892"/>
    <w:rsid w:val="7CE55FBE"/>
    <w:rsid w:val="7CE80B33"/>
    <w:rsid w:val="7D134E44"/>
    <w:rsid w:val="7D171DDD"/>
    <w:rsid w:val="7D2A2F5A"/>
    <w:rsid w:val="7D3903EF"/>
    <w:rsid w:val="7D3F16EC"/>
    <w:rsid w:val="7D4679B5"/>
    <w:rsid w:val="7D5167D6"/>
    <w:rsid w:val="7D5E31AA"/>
    <w:rsid w:val="7D611DF2"/>
    <w:rsid w:val="7D6502C0"/>
    <w:rsid w:val="7D7C35F3"/>
    <w:rsid w:val="7D8B55FE"/>
    <w:rsid w:val="7D8D4931"/>
    <w:rsid w:val="7DAB1DCD"/>
    <w:rsid w:val="7DC3440A"/>
    <w:rsid w:val="7DDA027D"/>
    <w:rsid w:val="7DE201AC"/>
    <w:rsid w:val="7DE46520"/>
    <w:rsid w:val="7DF65060"/>
    <w:rsid w:val="7DFF0BB5"/>
    <w:rsid w:val="7E0702D8"/>
    <w:rsid w:val="7E1A1248"/>
    <w:rsid w:val="7E312E27"/>
    <w:rsid w:val="7E4013C8"/>
    <w:rsid w:val="7E611873"/>
    <w:rsid w:val="7E722E15"/>
    <w:rsid w:val="7E83663A"/>
    <w:rsid w:val="7E846634"/>
    <w:rsid w:val="7E8D2601"/>
    <w:rsid w:val="7EB31AB8"/>
    <w:rsid w:val="7EBB77C0"/>
    <w:rsid w:val="7EBC71FA"/>
    <w:rsid w:val="7ECB3119"/>
    <w:rsid w:val="7ED118F1"/>
    <w:rsid w:val="7ED3266C"/>
    <w:rsid w:val="7EEA70CD"/>
    <w:rsid w:val="7EEE218F"/>
    <w:rsid w:val="7EEE6B7F"/>
    <w:rsid w:val="7EF4144E"/>
    <w:rsid w:val="7EF71EEB"/>
    <w:rsid w:val="7EF7261F"/>
    <w:rsid w:val="7F15145C"/>
    <w:rsid w:val="7F18573F"/>
    <w:rsid w:val="7F3A7824"/>
    <w:rsid w:val="7F4360B6"/>
    <w:rsid w:val="7F46795F"/>
    <w:rsid w:val="7F4D7148"/>
    <w:rsid w:val="7F577569"/>
    <w:rsid w:val="7F627193"/>
    <w:rsid w:val="7FBC7702"/>
    <w:rsid w:val="7FDB6025"/>
    <w:rsid w:val="7FDC6B6B"/>
    <w:rsid w:val="7FE626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99"/>
    <w:pPr>
      <w:keepNext/>
      <w:keepLines/>
      <w:spacing w:line="578" w:lineRule="auto"/>
      <w:outlineLvl w:val="0"/>
    </w:pPr>
    <w:rPr>
      <w:b/>
      <w:kern w:val="44"/>
      <w:sz w:val="44"/>
      <w:szCs w:val="20"/>
    </w:rPr>
  </w:style>
  <w:style w:type="paragraph" w:styleId="3">
    <w:name w:val="heading 2"/>
    <w:basedOn w:val="1"/>
    <w:next w:val="1"/>
    <w:link w:val="59"/>
    <w:qFormat/>
    <w:uiPriority w:val="99"/>
    <w:pPr>
      <w:keepNext/>
      <w:keepLines/>
      <w:spacing w:line="416" w:lineRule="auto"/>
      <w:outlineLvl w:val="1"/>
    </w:pPr>
    <w:rPr>
      <w:rFonts w:ascii="Cambria" w:hAnsi="Cambria"/>
      <w:b/>
      <w:kern w:val="0"/>
      <w:sz w:val="32"/>
      <w:szCs w:val="20"/>
    </w:rPr>
  </w:style>
  <w:style w:type="paragraph" w:styleId="4">
    <w:name w:val="heading 3"/>
    <w:basedOn w:val="1"/>
    <w:next w:val="1"/>
    <w:link w:val="60"/>
    <w:qFormat/>
    <w:uiPriority w:val="99"/>
    <w:pPr>
      <w:keepNext/>
      <w:keepLines/>
      <w:spacing w:line="416" w:lineRule="auto"/>
      <w:outlineLvl w:val="2"/>
    </w:pPr>
    <w:rPr>
      <w:b/>
      <w:kern w:val="0"/>
      <w:sz w:val="32"/>
      <w:szCs w:val="20"/>
    </w:rPr>
  </w:style>
  <w:style w:type="paragraph" w:styleId="5">
    <w:name w:val="heading 4"/>
    <w:basedOn w:val="1"/>
    <w:next w:val="1"/>
    <w:link w:val="61"/>
    <w:qFormat/>
    <w:uiPriority w:val="99"/>
    <w:pPr>
      <w:keepNext/>
      <w:keepLines/>
      <w:spacing w:line="376" w:lineRule="auto"/>
      <w:outlineLvl w:val="3"/>
    </w:pPr>
    <w:rPr>
      <w:rFonts w:ascii="Cambria" w:hAnsi="Cambria"/>
      <w:b/>
      <w:kern w:val="0"/>
      <w:sz w:val="28"/>
      <w:szCs w:val="20"/>
    </w:rPr>
  </w:style>
  <w:style w:type="paragraph" w:styleId="6">
    <w:name w:val="heading 5"/>
    <w:basedOn w:val="1"/>
    <w:next w:val="1"/>
    <w:link w:val="62"/>
    <w:qFormat/>
    <w:uiPriority w:val="99"/>
    <w:pPr>
      <w:keepNext/>
      <w:keepLines/>
      <w:spacing w:line="376" w:lineRule="auto"/>
      <w:outlineLvl w:val="4"/>
    </w:pPr>
    <w:rPr>
      <w:b/>
      <w:kern w:val="0"/>
      <w:sz w:val="28"/>
      <w:szCs w:val="20"/>
    </w:rPr>
  </w:style>
  <w:style w:type="paragraph" w:styleId="7">
    <w:name w:val="heading 6"/>
    <w:basedOn w:val="1"/>
    <w:next w:val="1"/>
    <w:link w:val="63"/>
    <w:qFormat/>
    <w:uiPriority w:val="99"/>
    <w:pPr>
      <w:keepNext/>
      <w:keepLines/>
      <w:spacing w:line="320" w:lineRule="auto"/>
      <w:outlineLvl w:val="5"/>
    </w:pPr>
    <w:rPr>
      <w:rFonts w:ascii="Cambria" w:hAnsi="Cambria"/>
      <w:b/>
      <w:kern w:val="0"/>
      <w:sz w:val="24"/>
      <w:szCs w:val="20"/>
    </w:rPr>
  </w:style>
  <w:style w:type="paragraph" w:styleId="8">
    <w:name w:val="heading 7"/>
    <w:basedOn w:val="1"/>
    <w:next w:val="9"/>
    <w:link w:val="64"/>
    <w:qFormat/>
    <w:uiPriority w:val="99"/>
    <w:pPr>
      <w:keepNext/>
      <w:keepLines/>
      <w:spacing w:beforeAutospacing="1" w:afterAutospacing="1" w:line="360" w:lineRule="auto"/>
      <w:ind w:left="1296" w:hanging="1296"/>
      <w:outlineLvl w:val="6"/>
    </w:pPr>
    <w:rPr>
      <w:b/>
      <w:kern w:val="0"/>
      <w:sz w:val="24"/>
      <w:szCs w:val="20"/>
    </w:rPr>
  </w:style>
  <w:style w:type="paragraph" w:styleId="10">
    <w:name w:val="heading 8"/>
    <w:basedOn w:val="1"/>
    <w:next w:val="9"/>
    <w:link w:val="65"/>
    <w:qFormat/>
    <w:uiPriority w:val="99"/>
    <w:pPr>
      <w:keepNext/>
      <w:keepLines/>
      <w:spacing w:beforeAutospacing="1" w:afterAutospacing="1" w:line="360" w:lineRule="auto"/>
      <w:ind w:left="1440" w:hanging="1440"/>
      <w:outlineLvl w:val="7"/>
    </w:pPr>
    <w:rPr>
      <w:rFonts w:ascii="Cambria" w:hAnsi="Cambria"/>
      <w:kern w:val="0"/>
      <w:sz w:val="24"/>
      <w:szCs w:val="20"/>
    </w:rPr>
  </w:style>
  <w:style w:type="paragraph" w:styleId="11">
    <w:name w:val="heading 9"/>
    <w:basedOn w:val="1"/>
    <w:next w:val="9"/>
    <w:link w:val="66"/>
    <w:qFormat/>
    <w:uiPriority w:val="99"/>
    <w:pPr>
      <w:keepNext/>
      <w:keepLines/>
      <w:spacing w:beforeAutospacing="1" w:afterAutospacing="1" w:line="360" w:lineRule="auto"/>
      <w:ind w:left="1584" w:hanging="1584"/>
      <w:outlineLvl w:val="8"/>
    </w:pPr>
    <w:rPr>
      <w:rFonts w:ascii="Cambria" w:hAnsi="Cambria"/>
      <w:kern w:val="0"/>
      <w:szCs w:val="20"/>
    </w:rPr>
  </w:style>
  <w:style w:type="character" w:default="1" w:styleId="51">
    <w:name w:val="Default Paragraph Font"/>
    <w:unhideWhenUsed/>
    <w:qFormat/>
    <w:uiPriority w:val="1"/>
  </w:style>
  <w:style w:type="table" w:default="1" w:styleId="49">
    <w:name w:val="Normal Table"/>
    <w:unhideWhenUsed/>
    <w:qFormat/>
    <w:uiPriority w:val="99"/>
    <w:tblPr>
      <w:tblCellMar>
        <w:top w:w="0" w:type="dxa"/>
        <w:left w:w="108" w:type="dxa"/>
        <w:bottom w:w="0" w:type="dxa"/>
        <w:right w:w="108" w:type="dxa"/>
      </w:tblCellMar>
    </w:tblPr>
  </w:style>
  <w:style w:type="paragraph" w:customStyle="1" w:styleId="9">
    <w:name w:val="正文首行缩进两字"/>
    <w:link w:val="118"/>
    <w:qFormat/>
    <w:uiPriority w:val="99"/>
    <w:pPr>
      <w:spacing w:afterLines="50" w:line="300" w:lineRule="auto"/>
      <w:ind w:firstLine="480" w:firstLineChars="200"/>
    </w:pPr>
    <w:rPr>
      <w:rFonts w:ascii="Times New Roman" w:hAnsi="Times New Roman" w:eastAsia="宋体" w:cs="Times New Roman"/>
      <w:color w:val="000000"/>
      <w:sz w:val="22"/>
      <w:szCs w:val="22"/>
      <w:lang w:val="en-US" w:eastAsia="zh-CN" w:bidi="ar-SA"/>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99"/>
    <w:pPr>
      <w:ind w:left="2520" w:leftChars="1200"/>
    </w:pPr>
  </w:style>
  <w:style w:type="paragraph" w:styleId="14">
    <w:name w:val="Normal Indent"/>
    <w:basedOn w:val="1"/>
    <w:qFormat/>
    <w:uiPriority w:val="99"/>
    <w:pPr>
      <w:ind w:firstLine="420" w:firstLineChars="200"/>
    </w:pPr>
  </w:style>
  <w:style w:type="paragraph" w:styleId="15">
    <w:name w:val="caption"/>
    <w:basedOn w:val="1"/>
    <w:next w:val="1"/>
    <w:qFormat/>
    <w:uiPriority w:val="99"/>
    <w:rPr>
      <w:rFonts w:ascii="Arial" w:hAnsi="Arial" w:eastAsia="黑体" w:cs="Arial"/>
      <w:sz w:val="20"/>
      <w:szCs w:val="20"/>
    </w:rPr>
  </w:style>
  <w:style w:type="paragraph" w:styleId="16">
    <w:name w:val="Document Map"/>
    <w:basedOn w:val="1"/>
    <w:link w:val="69"/>
    <w:qFormat/>
    <w:uiPriority w:val="99"/>
    <w:pPr>
      <w:shd w:val="clear" w:color="auto" w:fill="000080"/>
    </w:pPr>
    <w:rPr>
      <w:kern w:val="0"/>
      <w:sz w:val="2"/>
      <w:szCs w:val="20"/>
    </w:rPr>
  </w:style>
  <w:style w:type="paragraph" w:styleId="17">
    <w:name w:val="annotation text"/>
    <w:basedOn w:val="1"/>
    <w:link w:val="67"/>
    <w:semiHidden/>
    <w:qFormat/>
    <w:uiPriority w:val="99"/>
    <w:pPr>
      <w:jc w:val="left"/>
    </w:pPr>
    <w:rPr>
      <w:kern w:val="0"/>
      <w:sz w:val="24"/>
      <w:szCs w:val="20"/>
    </w:rPr>
  </w:style>
  <w:style w:type="paragraph" w:styleId="18">
    <w:name w:val="Body Text 3"/>
    <w:basedOn w:val="1"/>
    <w:link w:val="70"/>
    <w:qFormat/>
    <w:uiPriority w:val="99"/>
    <w:rPr>
      <w:kern w:val="0"/>
      <w:sz w:val="16"/>
      <w:szCs w:val="20"/>
    </w:rPr>
  </w:style>
  <w:style w:type="paragraph" w:styleId="19">
    <w:name w:val="Body Text"/>
    <w:basedOn w:val="1"/>
    <w:link w:val="71"/>
    <w:qFormat/>
    <w:uiPriority w:val="99"/>
    <w:rPr>
      <w:sz w:val="24"/>
      <w:szCs w:val="20"/>
    </w:rPr>
  </w:style>
  <w:style w:type="paragraph" w:styleId="20">
    <w:name w:val="Body Text Indent"/>
    <w:basedOn w:val="1"/>
    <w:link w:val="72"/>
    <w:qFormat/>
    <w:uiPriority w:val="99"/>
    <w:pPr>
      <w:spacing w:line="500" w:lineRule="exact"/>
      <w:ind w:left="1588" w:leftChars="832" w:firstLine="433" w:firstLineChars="196"/>
    </w:pPr>
    <w:rPr>
      <w:kern w:val="0"/>
      <w:sz w:val="24"/>
      <w:szCs w:val="2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ind w:left="420" w:leftChars="200"/>
    </w:pPr>
  </w:style>
  <w:style w:type="paragraph" w:styleId="23">
    <w:name w:val="HTML Address"/>
    <w:basedOn w:val="1"/>
    <w:link w:val="73"/>
    <w:qFormat/>
    <w:uiPriority w:val="99"/>
    <w:pPr>
      <w:widowControl/>
      <w:jc w:val="left"/>
    </w:pPr>
    <w:rPr>
      <w:i/>
      <w:kern w:val="0"/>
      <w:sz w:val="24"/>
      <w:szCs w:val="20"/>
    </w:rPr>
  </w:style>
  <w:style w:type="paragraph" w:styleId="24">
    <w:name w:val="toc 5"/>
    <w:basedOn w:val="1"/>
    <w:next w:val="1"/>
    <w:qFormat/>
    <w:uiPriority w:val="99"/>
    <w:pPr>
      <w:ind w:left="1680" w:leftChars="800"/>
    </w:pPr>
  </w:style>
  <w:style w:type="paragraph" w:styleId="25">
    <w:name w:val="toc 3"/>
    <w:basedOn w:val="1"/>
    <w:next w:val="1"/>
    <w:qFormat/>
    <w:uiPriority w:val="99"/>
    <w:pPr>
      <w:ind w:left="840" w:leftChars="400"/>
    </w:pPr>
  </w:style>
  <w:style w:type="paragraph" w:styleId="26">
    <w:name w:val="Plain Text"/>
    <w:basedOn w:val="1"/>
    <w:link w:val="74"/>
    <w:qFormat/>
    <w:uiPriority w:val="99"/>
    <w:rPr>
      <w:rFonts w:ascii="宋体" w:hAnsi="Courier New"/>
      <w:szCs w:val="20"/>
    </w:rPr>
  </w:style>
  <w:style w:type="paragraph" w:styleId="27">
    <w:name w:val="toc 8"/>
    <w:basedOn w:val="1"/>
    <w:next w:val="1"/>
    <w:qFormat/>
    <w:uiPriority w:val="99"/>
    <w:pPr>
      <w:ind w:left="2940" w:leftChars="1400"/>
    </w:pPr>
  </w:style>
  <w:style w:type="paragraph" w:styleId="28">
    <w:name w:val="Date"/>
    <w:basedOn w:val="1"/>
    <w:next w:val="1"/>
    <w:link w:val="75"/>
    <w:qFormat/>
    <w:uiPriority w:val="99"/>
    <w:pPr>
      <w:ind w:left="100" w:leftChars="2500"/>
    </w:pPr>
    <w:rPr>
      <w:kern w:val="0"/>
      <w:sz w:val="24"/>
      <w:szCs w:val="20"/>
    </w:rPr>
  </w:style>
  <w:style w:type="paragraph" w:styleId="29">
    <w:name w:val="Body Text Indent 2"/>
    <w:basedOn w:val="1"/>
    <w:link w:val="76"/>
    <w:qFormat/>
    <w:uiPriority w:val="99"/>
    <w:pPr>
      <w:spacing w:line="500" w:lineRule="exact"/>
      <w:ind w:firstLine="442" w:firstLineChars="200"/>
    </w:pPr>
    <w:rPr>
      <w:kern w:val="0"/>
      <w:sz w:val="24"/>
      <w:szCs w:val="20"/>
    </w:rPr>
  </w:style>
  <w:style w:type="paragraph" w:styleId="30">
    <w:name w:val="Balloon Text"/>
    <w:basedOn w:val="1"/>
    <w:link w:val="77"/>
    <w:qFormat/>
    <w:uiPriority w:val="99"/>
    <w:rPr>
      <w:kern w:val="0"/>
      <w:sz w:val="2"/>
      <w:szCs w:val="20"/>
    </w:rPr>
  </w:style>
  <w:style w:type="paragraph" w:styleId="31">
    <w:name w:val="footer"/>
    <w:basedOn w:val="1"/>
    <w:link w:val="78"/>
    <w:qFormat/>
    <w:uiPriority w:val="99"/>
    <w:pPr>
      <w:tabs>
        <w:tab w:val="center" w:pos="4153"/>
        <w:tab w:val="right" w:pos="8306"/>
      </w:tabs>
      <w:snapToGrid w:val="0"/>
      <w:jc w:val="left"/>
    </w:pPr>
    <w:rPr>
      <w:sz w:val="18"/>
      <w:szCs w:val="20"/>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3">
    <w:name w:val="Signature"/>
    <w:basedOn w:val="1"/>
    <w:link w:val="80"/>
    <w:qFormat/>
    <w:uiPriority w:val="99"/>
    <w:pPr>
      <w:ind w:left="100" w:leftChars="2100"/>
    </w:pPr>
    <w:rPr>
      <w:kern w:val="0"/>
      <w:sz w:val="24"/>
      <w:szCs w:val="20"/>
    </w:rPr>
  </w:style>
  <w:style w:type="paragraph" w:styleId="34">
    <w:name w:val="toc 1"/>
    <w:basedOn w:val="1"/>
    <w:next w:val="1"/>
    <w:qFormat/>
    <w:uiPriority w:val="99"/>
  </w:style>
  <w:style w:type="paragraph" w:styleId="35">
    <w:name w:val="List Continue 4"/>
    <w:basedOn w:val="1"/>
    <w:qFormat/>
    <w:uiPriority w:val="99"/>
    <w:pPr>
      <w:ind w:left="1680" w:leftChars="800"/>
    </w:pPr>
  </w:style>
  <w:style w:type="paragraph" w:styleId="36">
    <w:name w:val="toc 4"/>
    <w:basedOn w:val="1"/>
    <w:next w:val="1"/>
    <w:qFormat/>
    <w:uiPriority w:val="99"/>
    <w:pPr>
      <w:ind w:left="1260" w:leftChars="600"/>
    </w:pPr>
  </w:style>
  <w:style w:type="paragraph" w:styleId="37">
    <w:name w:val="List"/>
    <w:basedOn w:val="1"/>
    <w:qFormat/>
    <w:uiPriority w:val="99"/>
    <w:pPr>
      <w:ind w:left="200" w:hanging="200" w:hangingChars="200"/>
    </w:pPr>
  </w:style>
  <w:style w:type="paragraph" w:styleId="38">
    <w:name w:val="toc 6"/>
    <w:basedOn w:val="1"/>
    <w:next w:val="1"/>
    <w:qFormat/>
    <w:uiPriority w:val="99"/>
    <w:pPr>
      <w:ind w:left="2100" w:leftChars="1000"/>
    </w:pPr>
  </w:style>
  <w:style w:type="paragraph" w:styleId="39">
    <w:name w:val="List 5"/>
    <w:basedOn w:val="1"/>
    <w:qFormat/>
    <w:uiPriority w:val="99"/>
    <w:pPr>
      <w:ind w:left="100" w:leftChars="800" w:hanging="200" w:hangingChars="200"/>
    </w:pPr>
  </w:style>
  <w:style w:type="paragraph" w:styleId="40">
    <w:name w:val="Body Text Indent 3"/>
    <w:basedOn w:val="1"/>
    <w:link w:val="81"/>
    <w:qFormat/>
    <w:uiPriority w:val="99"/>
    <w:pPr>
      <w:tabs>
        <w:tab w:val="left" w:pos="1134"/>
        <w:tab w:val="left" w:pos="5481"/>
        <w:tab w:val="left" w:pos="5859"/>
      </w:tabs>
      <w:spacing w:line="500" w:lineRule="exact"/>
      <w:ind w:firstLine="8275" w:firstLineChars="1200"/>
    </w:pPr>
    <w:rPr>
      <w:kern w:val="0"/>
      <w:sz w:val="16"/>
      <w:szCs w:val="20"/>
    </w:rPr>
  </w:style>
  <w:style w:type="paragraph" w:styleId="41">
    <w:name w:val="toc 2"/>
    <w:basedOn w:val="1"/>
    <w:next w:val="1"/>
    <w:qFormat/>
    <w:uiPriority w:val="99"/>
    <w:pPr>
      <w:ind w:left="420" w:leftChars="200"/>
    </w:pPr>
  </w:style>
  <w:style w:type="paragraph" w:styleId="42">
    <w:name w:val="toc 9"/>
    <w:basedOn w:val="1"/>
    <w:next w:val="1"/>
    <w:qFormat/>
    <w:uiPriority w:val="99"/>
    <w:pPr>
      <w:ind w:left="3360" w:leftChars="1600"/>
    </w:pPr>
  </w:style>
  <w:style w:type="paragraph" w:styleId="43">
    <w:name w:val="Body Text 2"/>
    <w:basedOn w:val="1"/>
    <w:link w:val="82"/>
    <w:qFormat/>
    <w:uiPriority w:val="99"/>
    <w:rPr>
      <w:kern w:val="0"/>
      <w:sz w:val="24"/>
      <w:szCs w:val="2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ind w:left="840" w:leftChars="400"/>
    </w:pPr>
  </w:style>
  <w:style w:type="paragraph" w:styleId="46">
    <w:name w:val="Normal (Web)"/>
    <w:basedOn w:val="1"/>
    <w:qFormat/>
    <w:uiPriority w:val="99"/>
    <w:pPr>
      <w:widowControl/>
      <w:spacing w:beforeAutospacing="1" w:afterAutospacing="1"/>
      <w:jc w:val="left"/>
    </w:pPr>
    <w:rPr>
      <w:rFonts w:ascii="宋体" w:hAnsi="宋体" w:cs="宋体"/>
      <w:kern w:val="0"/>
      <w:sz w:val="24"/>
    </w:rPr>
  </w:style>
  <w:style w:type="paragraph" w:styleId="47">
    <w:name w:val="List Continue 3"/>
    <w:basedOn w:val="1"/>
    <w:qFormat/>
    <w:uiPriority w:val="99"/>
    <w:pPr>
      <w:ind w:left="1260" w:leftChars="600"/>
    </w:pPr>
  </w:style>
  <w:style w:type="paragraph" w:styleId="48">
    <w:name w:val="annotation subject"/>
    <w:basedOn w:val="17"/>
    <w:next w:val="17"/>
    <w:link w:val="68"/>
    <w:qFormat/>
    <w:uiPriority w:val="99"/>
    <w:rPr>
      <w:b/>
    </w:rPr>
  </w:style>
  <w:style w:type="table" w:styleId="50">
    <w:name w:val="Table Grid"/>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basedOn w:val="51"/>
    <w:qFormat/>
    <w:uiPriority w:val="99"/>
    <w:rPr>
      <w:rFonts w:cs="Times New Roman"/>
      <w:b/>
    </w:rPr>
  </w:style>
  <w:style w:type="character" w:styleId="53">
    <w:name w:val="page number"/>
    <w:basedOn w:val="51"/>
    <w:qFormat/>
    <w:uiPriority w:val="99"/>
    <w:rPr>
      <w:rFonts w:cs="Times New Roman"/>
    </w:rPr>
  </w:style>
  <w:style w:type="character" w:styleId="54">
    <w:name w:val="line number"/>
    <w:qFormat/>
    <w:uiPriority w:val="99"/>
    <w:rPr>
      <w:rFonts w:cs="Times New Roman"/>
    </w:rPr>
  </w:style>
  <w:style w:type="character" w:styleId="55">
    <w:name w:val="HTML Typewriter"/>
    <w:qFormat/>
    <w:uiPriority w:val="99"/>
    <w:rPr>
      <w:rFonts w:ascii="黑体" w:hAnsi="Courier New" w:eastAsia="黑体" w:cs="Times New Roman"/>
      <w:sz w:val="14"/>
    </w:rPr>
  </w:style>
  <w:style w:type="character" w:styleId="56">
    <w:name w:val="Hyperlink"/>
    <w:qFormat/>
    <w:uiPriority w:val="99"/>
    <w:rPr>
      <w:rFonts w:cs="Times New Roman"/>
      <w:color w:val="0000FF"/>
      <w:u w:val="single"/>
    </w:rPr>
  </w:style>
  <w:style w:type="character" w:styleId="57">
    <w:name w:val="annotation reference"/>
    <w:qFormat/>
    <w:uiPriority w:val="99"/>
    <w:rPr>
      <w:rFonts w:cs="Times New Roman"/>
      <w:sz w:val="21"/>
    </w:rPr>
  </w:style>
  <w:style w:type="character" w:customStyle="1" w:styleId="58">
    <w:name w:val="标题 1 字符"/>
    <w:link w:val="2"/>
    <w:qFormat/>
    <w:locked/>
    <w:uiPriority w:val="99"/>
    <w:rPr>
      <w:rFonts w:eastAsia="宋体" w:cs="Times New Roman"/>
      <w:b/>
      <w:kern w:val="44"/>
      <w:sz w:val="44"/>
      <w:lang w:val="en-US" w:eastAsia="zh-CN"/>
    </w:rPr>
  </w:style>
  <w:style w:type="character" w:customStyle="1" w:styleId="59">
    <w:name w:val="标题 2 字符"/>
    <w:link w:val="3"/>
    <w:qFormat/>
    <w:locked/>
    <w:uiPriority w:val="99"/>
    <w:rPr>
      <w:rFonts w:ascii="Cambria" w:hAnsi="Cambria" w:eastAsia="宋体" w:cs="Times New Roman"/>
      <w:b/>
      <w:sz w:val="32"/>
    </w:rPr>
  </w:style>
  <w:style w:type="character" w:customStyle="1" w:styleId="60">
    <w:name w:val="标题 3 字符"/>
    <w:link w:val="4"/>
    <w:qFormat/>
    <w:locked/>
    <w:uiPriority w:val="99"/>
    <w:rPr>
      <w:rFonts w:cs="Times New Roman"/>
      <w:b/>
      <w:sz w:val="32"/>
    </w:rPr>
  </w:style>
  <w:style w:type="character" w:customStyle="1" w:styleId="61">
    <w:name w:val="标题 4 字符"/>
    <w:link w:val="5"/>
    <w:qFormat/>
    <w:locked/>
    <w:uiPriority w:val="99"/>
    <w:rPr>
      <w:rFonts w:ascii="Cambria" w:hAnsi="Cambria" w:eastAsia="宋体" w:cs="Times New Roman"/>
      <w:b/>
      <w:sz w:val="28"/>
    </w:rPr>
  </w:style>
  <w:style w:type="character" w:customStyle="1" w:styleId="62">
    <w:name w:val="标题 5 字符"/>
    <w:link w:val="6"/>
    <w:qFormat/>
    <w:locked/>
    <w:uiPriority w:val="99"/>
    <w:rPr>
      <w:rFonts w:cs="Times New Roman"/>
      <w:b/>
      <w:sz w:val="28"/>
    </w:rPr>
  </w:style>
  <w:style w:type="character" w:customStyle="1" w:styleId="63">
    <w:name w:val="标题 6 字符"/>
    <w:link w:val="7"/>
    <w:qFormat/>
    <w:locked/>
    <w:uiPriority w:val="99"/>
    <w:rPr>
      <w:rFonts w:ascii="Cambria" w:hAnsi="Cambria" w:eastAsia="宋体" w:cs="Times New Roman"/>
      <w:b/>
      <w:sz w:val="24"/>
    </w:rPr>
  </w:style>
  <w:style w:type="character" w:customStyle="1" w:styleId="64">
    <w:name w:val="标题 7 字符"/>
    <w:link w:val="8"/>
    <w:qFormat/>
    <w:locked/>
    <w:uiPriority w:val="99"/>
    <w:rPr>
      <w:rFonts w:cs="Times New Roman"/>
      <w:b/>
      <w:sz w:val="24"/>
    </w:rPr>
  </w:style>
  <w:style w:type="character" w:customStyle="1" w:styleId="65">
    <w:name w:val="标题 8 字符"/>
    <w:link w:val="10"/>
    <w:qFormat/>
    <w:locked/>
    <w:uiPriority w:val="99"/>
    <w:rPr>
      <w:rFonts w:ascii="Cambria" w:hAnsi="Cambria" w:eastAsia="宋体" w:cs="Times New Roman"/>
      <w:sz w:val="24"/>
    </w:rPr>
  </w:style>
  <w:style w:type="character" w:customStyle="1" w:styleId="66">
    <w:name w:val="标题 9 字符"/>
    <w:link w:val="11"/>
    <w:qFormat/>
    <w:locked/>
    <w:uiPriority w:val="99"/>
    <w:rPr>
      <w:rFonts w:ascii="Cambria" w:hAnsi="Cambria" w:eastAsia="宋体" w:cs="Times New Roman"/>
      <w:sz w:val="21"/>
    </w:rPr>
  </w:style>
  <w:style w:type="character" w:customStyle="1" w:styleId="67">
    <w:name w:val="批注文字 字符"/>
    <w:link w:val="17"/>
    <w:qFormat/>
    <w:locked/>
    <w:uiPriority w:val="99"/>
    <w:rPr>
      <w:rFonts w:cs="Times New Roman"/>
      <w:sz w:val="24"/>
    </w:rPr>
  </w:style>
  <w:style w:type="character" w:customStyle="1" w:styleId="68">
    <w:name w:val="批注主题 字符"/>
    <w:link w:val="48"/>
    <w:qFormat/>
    <w:locked/>
    <w:uiPriority w:val="99"/>
    <w:rPr>
      <w:rFonts w:cs="Times New Roman"/>
      <w:b/>
      <w:sz w:val="24"/>
    </w:rPr>
  </w:style>
  <w:style w:type="character" w:customStyle="1" w:styleId="69">
    <w:name w:val="文档结构图 字符"/>
    <w:link w:val="16"/>
    <w:qFormat/>
    <w:locked/>
    <w:uiPriority w:val="99"/>
    <w:rPr>
      <w:rFonts w:cs="Times New Roman"/>
      <w:sz w:val="2"/>
    </w:rPr>
  </w:style>
  <w:style w:type="character" w:customStyle="1" w:styleId="70">
    <w:name w:val="正文文本 3 字符"/>
    <w:link w:val="18"/>
    <w:qFormat/>
    <w:locked/>
    <w:uiPriority w:val="99"/>
    <w:rPr>
      <w:rFonts w:cs="Times New Roman"/>
      <w:sz w:val="16"/>
    </w:rPr>
  </w:style>
  <w:style w:type="character" w:customStyle="1" w:styleId="71">
    <w:name w:val="正文文本 字符"/>
    <w:link w:val="19"/>
    <w:qFormat/>
    <w:locked/>
    <w:uiPriority w:val="99"/>
    <w:rPr>
      <w:rFonts w:eastAsia="宋体" w:cs="Times New Roman"/>
      <w:kern w:val="2"/>
      <w:sz w:val="24"/>
      <w:lang w:val="en-US" w:eastAsia="zh-CN"/>
    </w:rPr>
  </w:style>
  <w:style w:type="character" w:customStyle="1" w:styleId="72">
    <w:name w:val="正文文本缩进 字符"/>
    <w:link w:val="20"/>
    <w:qFormat/>
    <w:locked/>
    <w:uiPriority w:val="99"/>
    <w:rPr>
      <w:rFonts w:cs="Times New Roman"/>
      <w:sz w:val="24"/>
    </w:rPr>
  </w:style>
  <w:style w:type="character" w:customStyle="1" w:styleId="73">
    <w:name w:val="HTML 地址 字符"/>
    <w:link w:val="23"/>
    <w:qFormat/>
    <w:locked/>
    <w:uiPriority w:val="99"/>
    <w:rPr>
      <w:rFonts w:cs="Times New Roman"/>
      <w:i/>
      <w:sz w:val="24"/>
    </w:rPr>
  </w:style>
  <w:style w:type="character" w:customStyle="1" w:styleId="74">
    <w:name w:val="纯文本 字符"/>
    <w:link w:val="26"/>
    <w:qFormat/>
    <w:locked/>
    <w:uiPriority w:val="99"/>
    <w:rPr>
      <w:rFonts w:ascii="宋体" w:hAnsi="Courier New" w:eastAsia="宋体" w:cs="Times New Roman"/>
      <w:kern w:val="2"/>
      <w:sz w:val="21"/>
      <w:lang w:val="en-US" w:eastAsia="zh-CN"/>
    </w:rPr>
  </w:style>
  <w:style w:type="character" w:customStyle="1" w:styleId="75">
    <w:name w:val="日期 字符"/>
    <w:link w:val="28"/>
    <w:qFormat/>
    <w:locked/>
    <w:uiPriority w:val="99"/>
    <w:rPr>
      <w:rFonts w:cs="Times New Roman"/>
      <w:sz w:val="24"/>
    </w:rPr>
  </w:style>
  <w:style w:type="character" w:customStyle="1" w:styleId="76">
    <w:name w:val="正文文本缩进 2 字符"/>
    <w:link w:val="29"/>
    <w:qFormat/>
    <w:locked/>
    <w:uiPriority w:val="99"/>
    <w:rPr>
      <w:rFonts w:cs="Times New Roman"/>
      <w:sz w:val="24"/>
    </w:rPr>
  </w:style>
  <w:style w:type="character" w:customStyle="1" w:styleId="77">
    <w:name w:val="批注框文本 字符"/>
    <w:link w:val="30"/>
    <w:qFormat/>
    <w:locked/>
    <w:uiPriority w:val="99"/>
    <w:rPr>
      <w:rFonts w:cs="Times New Roman"/>
      <w:sz w:val="2"/>
    </w:rPr>
  </w:style>
  <w:style w:type="character" w:customStyle="1" w:styleId="78">
    <w:name w:val="页脚 字符"/>
    <w:link w:val="31"/>
    <w:qFormat/>
    <w:locked/>
    <w:uiPriority w:val="99"/>
    <w:rPr>
      <w:rFonts w:eastAsia="宋体" w:cs="Times New Roman"/>
      <w:kern w:val="2"/>
      <w:sz w:val="18"/>
      <w:lang w:val="en-US" w:eastAsia="zh-CN"/>
    </w:rPr>
  </w:style>
  <w:style w:type="character" w:customStyle="1" w:styleId="79">
    <w:name w:val="页眉 字符"/>
    <w:link w:val="32"/>
    <w:qFormat/>
    <w:locked/>
    <w:uiPriority w:val="99"/>
    <w:rPr>
      <w:rFonts w:eastAsia="宋体" w:cs="Times New Roman"/>
      <w:kern w:val="2"/>
      <w:sz w:val="18"/>
      <w:lang w:val="en-US" w:eastAsia="zh-CN"/>
    </w:rPr>
  </w:style>
  <w:style w:type="character" w:customStyle="1" w:styleId="80">
    <w:name w:val="签名 字符"/>
    <w:link w:val="33"/>
    <w:qFormat/>
    <w:locked/>
    <w:uiPriority w:val="99"/>
    <w:rPr>
      <w:rFonts w:cs="Times New Roman"/>
      <w:sz w:val="24"/>
    </w:rPr>
  </w:style>
  <w:style w:type="character" w:customStyle="1" w:styleId="81">
    <w:name w:val="正文文本缩进 3 字符"/>
    <w:link w:val="40"/>
    <w:qFormat/>
    <w:locked/>
    <w:uiPriority w:val="99"/>
    <w:rPr>
      <w:rFonts w:cs="Times New Roman"/>
      <w:sz w:val="16"/>
    </w:rPr>
  </w:style>
  <w:style w:type="character" w:customStyle="1" w:styleId="82">
    <w:name w:val="正文文本 2 字符"/>
    <w:link w:val="43"/>
    <w:qFormat/>
    <w:locked/>
    <w:uiPriority w:val="99"/>
    <w:rPr>
      <w:rFonts w:cs="Times New Roman"/>
      <w:sz w:val="24"/>
    </w:rPr>
  </w:style>
  <w:style w:type="paragraph" w:customStyle="1" w:styleId="83">
    <w:name w:val="Char Char 字元 字元 字元 Char Char Char Char"/>
    <w:basedOn w:val="1"/>
    <w:qFormat/>
    <w:uiPriority w:val="99"/>
    <w:pPr>
      <w:adjustRightInd w:val="0"/>
      <w:spacing w:line="360" w:lineRule="auto"/>
    </w:pPr>
  </w:style>
  <w:style w:type="paragraph" w:customStyle="1" w:styleId="84">
    <w:name w:val="PP 行"/>
    <w:basedOn w:val="33"/>
    <w:qFormat/>
    <w:uiPriority w:val="99"/>
  </w:style>
  <w:style w:type="paragraph" w:customStyle="1" w:styleId="85">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6">
    <w:name w:val="正文（小标题）"/>
    <w:basedOn w:val="1"/>
    <w:next w:val="1"/>
    <w:qFormat/>
    <w:uiPriority w:val="99"/>
    <w:pPr>
      <w:spacing w:line="360" w:lineRule="auto"/>
    </w:pPr>
    <w:rPr>
      <w:rFonts w:ascii="黑体" w:eastAsia="黑体"/>
      <w:color w:val="0000FF"/>
      <w:sz w:val="24"/>
      <w:szCs w:val="20"/>
    </w:rPr>
  </w:style>
  <w:style w:type="paragraph" w:customStyle="1" w:styleId="8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8">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8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90">
    <w:name w:val="标准正文"/>
    <w:basedOn w:val="20"/>
    <w:qFormat/>
    <w:uiPriority w:val="99"/>
    <w:pPr>
      <w:spacing w:line="360" w:lineRule="auto"/>
      <w:ind w:left="0" w:leftChars="0" w:firstLine="482" w:firstLineChars="0"/>
    </w:pPr>
    <w:rPr>
      <w:rFonts w:ascii="Arial" w:hAnsi="Arial"/>
    </w:rPr>
  </w:style>
  <w:style w:type="paragraph" w:customStyle="1" w:styleId="91">
    <w:name w:val="pa-0"/>
    <w:basedOn w:val="1"/>
    <w:qFormat/>
    <w:uiPriority w:val="99"/>
    <w:pPr>
      <w:widowControl/>
      <w:spacing w:beforeAutospacing="1" w:afterAutospacing="1"/>
      <w:jc w:val="left"/>
    </w:pPr>
    <w:rPr>
      <w:rFonts w:ascii="宋体" w:hAnsi="宋体" w:cs="宋体"/>
      <w:kern w:val="0"/>
      <w:sz w:val="24"/>
    </w:rPr>
  </w:style>
  <w:style w:type="paragraph" w:customStyle="1" w:styleId="92">
    <w:name w:val="Char"/>
    <w:basedOn w:val="16"/>
    <w:qFormat/>
    <w:uiPriority w:val="99"/>
    <w:pPr>
      <w:widowControl/>
    </w:pPr>
    <w:rPr>
      <w:rFonts w:ascii="Tahoma" w:hAnsi="Tahoma"/>
      <w:sz w:val="24"/>
    </w:rPr>
  </w:style>
  <w:style w:type="paragraph" w:customStyle="1" w:styleId="93">
    <w:name w:val="列出段落"/>
    <w:basedOn w:val="1"/>
    <w:qFormat/>
    <w:uiPriority w:val="99"/>
    <w:pPr>
      <w:ind w:firstLine="420" w:firstLineChars="200"/>
    </w:pPr>
  </w:style>
  <w:style w:type="paragraph" w:customStyle="1" w:styleId="94">
    <w:name w:val="默认段落字体 Para Char Char Char Char Char Char Char Char Char Char Char Char Char"/>
    <w:basedOn w:val="16"/>
    <w:qFormat/>
    <w:uiPriority w:val="99"/>
    <w:rPr>
      <w:rFonts w:ascii="Tahoma" w:hAnsi="Tahoma"/>
      <w:sz w:val="24"/>
    </w:rPr>
  </w:style>
  <w:style w:type="paragraph" w:customStyle="1" w:styleId="95">
    <w:name w:val="样式29"/>
    <w:basedOn w:val="96"/>
    <w:qFormat/>
    <w:uiPriority w:val="99"/>
    <w:rPr>
      <w:rFonts w:eastAsia="楷体_GB2312"/>
    </w:rPr>
  </w:style>
  <w:style w:type="paragraph" w:customStyle="1" w:styleId="96">
    <w:name w:val="样式9 Char"/>
    <w:basedOn w:val="1"/>
    <w:link w:val="122"/>
    <w:qFormat/>
    <w:uiPriority w:val="99"/>
    <w:pPr>
      <w:widowControl/>
      <w:spacing w:line="440" w:lineRule="exact"/>
      <w:ind w:firstLine="200" w:firstLineChars="200"/>
      <w:jc w:val="left"/>
    </w:pPr>
    <w:rPr>
      <w:spacing w:val="6"/>
      <w:sz w:val="24"/>
      <w:szCs w:val="20"/>
    </w:rPr>
  </w:style>
  <w:style w:type="paragraph" w:customStyle="1" w:styleId="97">
    <w:name w:val="正文（黑体）"/>
    <w:basedOn w:val="1"/>
    <w:next w:val="1"/>
    <w:link w:val="119"/>
    <w:qFormat/>
    <w:uiPriority w:val="99"/>
    <w:pPr>
      <w:spacing w:line="360" w:lineRule="auto"/>
      <w:ind w:firstLine="480" w:firstLineChars="200"/>
    </w:pPr>
    <w:rPr>
      <w:rFonts w:ascii="黑体" w:eastAsia="黑体"/>
      <w:color w:val="000080"/>
      <w:sz w:val="24"/>
      <w:szCs w:val="20"/>
    </w:rPr>
  </w:style>
  <w:style w:type="paragraph" w:customStyle="1" w:styleId="98">
    <w:name w:val="Char Char Char"/>
    <w:basedOn w:val="1"/>
    <w:qFormat/>
    <w:uiPriority w:val="99"/>
    <w:pPr>
      <w:tabs>
        <w:tab w:val="left" w:pos="432"/>
      </w:tabs>
      <w:spacing w:beforeLines="50" w:afterLines="50"/>
      <w:ind w:left="432" w:hanging="432"/>
      <w:jc w:val="center"/>
    </w:pPr>
    <w:rPr>
      <w:sz w:val="24"/>
    </w:rPr>
  </w:style>
  <w:style w:type="paragraph" w:customStyle="1" w:styleId="99">
    <w:name w:val="列出段落1"/>
    <w:basedOn w:val="1"/>
    <w:qFormat/>
    <w:uiPriority w:val="99"/>
    <w:pPr>
      <w:ind w:firstLine="420" w:firstLineChars="200"/>
    </w:pPr>
  </w:style>
  <w:style w:type="paragraph" w:customStyle="1" w:styleId="100">
    <w:name w:val="Indent"/>
    <w:basedOn w:val="1"/>
    <w:qFormat/>
    <w:uiPriority w:val="99"/>
    <w:pPr>
      <w:widowControl/>
      <w:ind w:left="900"/>
      <w:jc w:val="left"/>
    </w:pPr>
    <w:rPr>
      <w:rFonts w:ascii="Arial" w:hAnsi="Arial" w:cs="Arial"/>
      <w:kern w:val="0"/>
      <w:sz w:val="24"/>
      <w:szCs w:val="20"/>
      <w:lang w:eastAsia="en-US"/>
    </w:rPr>
  </w:style>
  <w:style w:type="paragraph" w:customStyle="1" w:styleId="101">
    <w:name w:val="Char Char 字元 字元 字元 Char Char Char Char1"/>
    <w:basedOn w:val="1"/>
    <w:qFormat/>
    <w:uiPriority w:val="99"/>
    <w:pPr>
      <w:adjustRightInd w:val="0"/>
      <w:spacing w:line="360" w:lineRule="auto"/>
    </w:pPr>
    <w:rPr>
      <w:rFonts w:cs="Angsana New"/>
      <w:szCs w:val="20"/>
    </w:rPr>
  </w:style>
  <w:style w:type="paragraph" w:customStyle="1" w:styleId="102">
    <w:name w:val="Char1"/>
    <w:basedOn w:val="16"/>
    <w:qFormat/>
    <w:uiPriority w:val="99"/>
    <w:pPr>
      <w:widowControl/>
    </w:pPr>
    <w:rPr>
      <w:rFonts w:ascii="Tahoma" w:hAnsi="Tahoma"/>
      <w:sz w:val="24"/>
    </w:rPr>
  </w:style>
  <w:style w:type="paragraph" w:customStyle="1" w:styleId="103">
    <w:name w:val="列出段落2"/>
    <w:basedOn w:val="1"/>
    <w:qFormat/>
    <w:uiPriority w:val="99"/>
    <w:pPr>
      <w:ind w:firstLine="420" w:firstLineChars="200"/>
    </w:pPr>
    <w:rPr>
      <w:rFonts w:ascii="Calibri" w:hAnsi="Calibri"/>
      <w:szCs w:val="22"/>
    </w:rPr>
  </w:style>
  <w:style w:type="paragraph" w:customStyle="1" w:styleId="10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06">
    <w:name w:val="简单回函地址"/>
    <w:basedOn w:val="1"/>
    <w:qFormat/>
    <w:uiPriority w:val="99"/>
  </w:style>
  <w:style w:type="paragraph" w:customStyle="1" w:styleId="107">
    <w:name w:val="List Paragraph1"/>
    <w:basedOn w:val="1"/>
    <w:qFormat/>
    <w:uiPriority w:val="99"/>
    <w:pPr>
      <w:ind w:firstLine="420" w:firstLineChars="200"/>
    </w:pPr>
    <w:rPr>
      <w:szCs w:val="21"/>
    </w:rPr>
  </w:style>
  <w:style w:type="paragraph" w:customStyle="1" w:styleId="108">
    <w:name w:val="正文（编号）"/>
    <w:basedOn w:val="109"/>
    <w:link w:val="120"/>
    <w:qFormat/>
    <w:uiPriority w:val="99"/>
    <w:pPr>
      <w:tabs>
        <w:tab w:val="left" w:pos="780"/>
      </w:tabs>
      <w:ind w:left="600" w:firstLine="0" w:firstLineChars="0"/>
    </w:pPr>
  </w:style>
  <w:style w:type="paragraph" w:customStyle="1" w:styleId="109">
    <w:name w:val="正文（缩进）"/>
    <w:basedOn w:val="1"/>
    <w:link w:val="117"/>
    <w:qFormat/>
    <w:uiPriority w:val="99"/>
    <w:pPr>
      <w:spacing w:line="360" w:lineRule="auto"/>
      <w:ind w:firstLine="480" w:firstLineChars="200"/>
    </w:pPr>
    <w:rPr>
      <w:sz w:val="24"/>
      <w:szCs w:val="20"/>
    </w:rPr>
  </w:style>
  <w:style w:type="paragraph" w:customStyle="1" w:styleId="110">
    <w:name w:val="列出段落11"/>
    <w:basedOn w:val="1"/>
    <w:qFormat/>
    <w:uiPriority w:val="99"/>
    <w:pPr>
      <w:ind w:firstLine="420" w:firstLineChars="200"/>
    </w:pPr>
    <w:rPr>
      <w:rFonts w:ascii="Calibri" w:hAnsi="Calibri"/>
      <w:szCs w:val="20"/>
    </w:rPr>
  </w:style>
  <w:style w:type="paragraph" w:customStyle="1" w:styleId="111">
    <w:name w:val="Normal_3"/>
    <w:qFormat/>
    <w:uiPriority w:val="99"/>
    <w:pPr>
      <w:jc w:val="both"/>
    </w:pPr>
    <w:rPr>
      <w:rFonts w:ascii="Times New Roman" w:hAnsi="Times New Roman" w:eastAsia="宋体" w:cs="Times New Roman"/>
      <w:sz w:val="22"/>
      <w:szCs w:val="22"/>
      <w:lang w:val="ru-RU" w:eastAsia="en-US" w:bidi="ar-SA"/>
    </w:rPr>
  </w:style>
  <w:style w:type="paragraph" w:customStyle="1" w:styleId="112">
    <w:name w:val="Char Char Char Char Char Char Char"/>
    <w:basedOn w:val="1"/>
    <w:qFormat/>
    <w:uiPriority w:val="99"/>
    <w:pPr>
      <w:widowControl/>
      <w:snapToGrid w:val="0"/>
      <w:spacing w:line="360" w:lineRule="auto"/>
      <w:jc w:val="left"/>
    </w:pPr>
    <w:rPr>
      <w:kern w:val="0"/>
      <w:sz w:val="24"/>
      <w:szCs w:val="20"/>
      <w:lang w:eastAsia="en-US"/>
    </w:rPr>
  </w:style>
  <w:style w:type="paragraph" w:customStyle="1" w:styleId="113">
    <w:name w:val="Char1 Char Char Char Char Char Char"/>
    <w:basedOn w:val="1"/>
    <w:qFormat/>
    <w:uiPriority w:val="99"/>
    <w:rPr>
      <w:rFonts w:ascii="Tahoma" w:hAnsi="Tahoma"/>
      <w:sz w:val="24"/>
      <w:szCs w:val="20"/>
    </w:rPr>
  </w:style>
  <w:style w:type="paragraph" w:customStyle="1" w:styleId="114">
    <w:name w:val="正文（标记）"/>
    <w:basedOn w:val="1"/>
    <w:link w:val="121"/>
    <w:qFormat/>
    <w:uiPriority w:val="99"/>
    <w:pPr>
      <w:tabs>
        <w:tab w:val="left" w:pos="1080"/>
        <w:tab w:val="left" w:pos="1140"/>
      </w:tabs>
      <w:ind w:left="1498" w:hanging="360"/>
    </w:pPr>
    <w:rPr>
      <w:sz w:val="24"/>
      <w:szCs w:val="20"/>
    </w:rPr>
  </w:style>
  <w:style w:type="character" w:customStyle="1" w:styleId="115">
    <w:name w:val="Anrede1IhrZeichen"/>
    <w:qFormat/>
    <w:uiPriority w:val="99"/>
    <w:rPr>
      <w:rFonts w:ascii="Arial" w:hAnsi="Arial"/>
      <w:sz w:val="20"/>
    </w:rPr>
  </w:style>
  <w:style w:type="character" w:customStyle="1" w:styleId="116">
    <w:name w:val="标题 3 Char Char"/>
    <w:qFormat/>
    <w:uiPriority w:val="99"/>
    <w:rPr>
      <w:rFonts w:ascii="宋体" w:eastAsia="宋体"/>
    </w:rPr>
  </w:style>
  <w:style w:type="character" w:customStyle="1" w:styleId="117">
    <w:name w:val="正文（缩进） Char Char"/>
    <w:link w:val="109"/>
    <w:qFormat/>
    <w:locked/>
    <w:uiPriority w:val="99"/>
    <w:rPr>
      <w:rFonts w:eastAsia="宋体"/>
      <w:kern w:val="2"/>
      <w:sz w:val="24"/>
      <w:lang w:val="en-US" w:eastAsia="zh-CN"/>
    </w:rPr>
  </w:style>
  <w:style w:type="character" w:customStyle="1" w:styleId="118">
    <w:name w:val="正文首行缩进两字 Char Char"/>
    <w:link w:val="9"/>
    <w:qFormat/>
    <w:locked/>
    <w:uiPriority w:val="99"/>
    <w:rPr>
      <w:color w:val="000000"/>
      <w:sz w:val="22"/>
      <w:lang w:val="en-US" w:eastAsia="zh-CN"/>
    </w:rPr>
  </w:style>
  <w:style w:type="character" w:customStyle="1" w:styleId="119">
    <w:name w:val="正文（黑体） Char Char"/>
    <w:link w:val="97"/>
    <w:qFormat/>
    <w:locked/>
    <w:uiPriority w:val="99"/>
    <w:rPr>
      <w:rFonts w:ascii="黑体" w:eastAsia="黑体"/>
      <w:color w:val="000080"/>
      <w:kern w:val="2"/>
      <w:sz w:val="24"/>
      <w:lang w:val="en-US" w:eastAsia="zh-CN"/>
    </w:rPr>
  </w:style>
  <w:style w:type="character" w:customStyle="1" w:styleId="120">
    <w:name w:val="正文（编号） Char Char"/>
    <w:link w:val="108"/>
    <w:qFormat/>
    <w:locked/>
    <w:uiPriority w:val="99"/>
    <w:rPr>
      <w:kern w:val="2"/>
      <w:sz w:val="24"/>
    </w:rPr>
  </w:style>
  <w:style w:type="character" w:customStyle="1" w:styleId="121">
    <w:name w:val="正文（标记） Char Char"/>
    <w:link w:val="114"/>
    <w:qFormat/>
    <w:locked/>
    <w:uiPriority w:val="99"/>
    <w:rPr>
      <w:kern w:val="2"/>
      <w:sz w:val="24"/>
    </w:rPr>
  </w:style>
  <w:style w:type="character" w:customStyle="1" w:styleId="122">
    <w:name w:val="样式9 Char Char Char"/>
    <w:link w:val="96"/>
    <w:qFormat/>
    <w:locked/>
    <w:uiPriority w:val="99"/>
    <w:rPr>
      <w:rFonts w:eastAsia="宋体"/>
      <w:spacing w:val="6"/>
      <w:kern w:val="2"/>
      <w:sz w:val="24"/>
      <w:lang w:val="en-US" w:eastAsia="zh-CN"/>
    </w:rPr>
  </w:style>
  <w:style w:type="character" w:customStyle="1" w:styleId="123">
    <w:name w:val="正文文本 Char1"/>
    <w:qFormat/>
    <w:uiPriority w:val="99"/>
    <w:rPr>
      <w:rFonts w:eastAsia="宋体"/>
      <w:kern w:val="2"/>
      <w:sz w:val="24"/>
      <w:lang w:val="en-US" w:eastAsia="zh-CN"/>
    </w:rPr>
  </w:style>
  <w:style w:type="character" w:customStyle="1" w:styleId="124">
    <w:name w:val="ca-02"/>
    <w:qFormat/>
    <w:uiPriority w:val="99"/>
  </w:style>
  <w:style w:type="character" w:customStyle="1" w:styleId="125">
    <w:name w:val="apple-converted-space"/>
    <w:qFormat/>
    <w:uiPriority w:val="99"/>
  </w:style>
  <w:style w:type="paragraph" w:customStyle="1" w:styleId="126">
    <w:name w:val="List Paragraph2"/>
    <w:basedOn w:val="1"/>
    <w:qFormat/>
    <w:uiPriority w:val="99"/>
    <w:pPr>
      <w:ind w:firstLine="420" w:firstLineChars="200"/>
    </w:pPr>
  </w:style>
  <w:style w:type="paragraph" w:customStyle="1" w:styleId="127">
    <w:name w:val="List Paragraph3"/>
    <w:basedOn w:val="1"/>
    <w:qFormat/>
    <w:uiPriority w:val="99"/>
    <w:pPr>
      <w:ind w:firstLine="420" w:firstLineChars="200"/>
    </w:pPr>
  </w:style>
  <w:style w:type="character" w:customStyle="1" w:styleId="128">
    <w:name w:val="样式 仿宋"/>
    <w:qFormat/>
    <w:uiPriority w:val="99"/>
    <w:rPr>
      <w:rFonts w:ascii="仿宋" w:hAnsi="仿宋" w:eastAsia="仿宋"/>
      <w:kern w:val="1"/>
    </w:rPr>
  </w:style>
  <w:style w:type="character" w:customStyle="1" w:styleId="129">
    <w:name w:val="font41"/>
    <w:qFormat/>
    <w:uiPriority w:val="0"/>
    <w:rPr>
      <w:rFonts w:hint="default" w:ascii="Arial Unicode MS" w:hAnsi="Arial Unicode MS" w:eastAsia="Arial Unicode MS" w:cs="Arial Unicode MS"/>
      <w:color w:val="000000"/>
      <w:sz w:val="20"/>
      <w:szCs w:val="20"/>
      <w:u w:val="none"/>
    </w:rPr>
  </w:style>
  <w:style w:type="paragraph" w:customStyle="1" w:styleId="130">
    <w:name w:val="List Paragraph"/>
    <w:basedOn w:val="1"/>
    <w:qFormat/>
    <w:uiPriority w:val="34"/>
    <w:pPr>
      <w:ind w:firstLine="420" w:firstLineChars="200"/>
    </w:pPr>
  </w:style>
  <w:style w:type="paragraph" w:customStyle="1" w:styleId="131">
    <w:name w:val="_Style 2"/>
    <w:basedOn w:val="1"/>
    <w:qFormat/>
    <w:uiPriority w:val="34"/>
    <w:pPr>
      <w:ind w:firstLine="420" w:firstLineChars="200"/>
    </w:pPr>
  </w:style>
  <w:style w:type="paragraph" w:customStyle="1" w:styleId="132">
    <w:name w:val="列出段落3"/>
    <w:basedOn w:val="1"/>
    <w:qFormat/>
    <w:uiPriority w:val="99"/>
    <w:pPr>
      <w:ind w:firstLine="420" w:firstLineChars="200"/>
    </w:pPr>
  </w:style>
  <w:style w:type="paragraph" w:customStyle="1" w:styleId="133">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55</Pages>
  <Words>4727</Words>
  <Characters>26944</Characters>
  <Lines>224</Lines>
  <Paragraphs>63</Paragraphs>
  <TotalTime>17</TotalTime>
  <ScaleCrop>false</ScaleCrop>
  <LinksUpToDate>false</LinksUpToDate>
  <CharactersWithSpaces>31608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2017-04-18T09:07:00Z</dcterms:created>
  <dc:creator>USER</dc:creator>
  <cp:lastModifiedBy>zhaobiao</cp:lastModifiedBy>
  <cp:lastPrinted>2019-10-15T06:02:00Z</cp:lastPrinted>
  <dcterms:modified xsi:type="dcterms:W3CDTF">2019-12-09T08:04:32Z</dcterms:modified>
  <dc:title>招标文件目录</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