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2" o:title=""/>
            <o:lock v:ext="edit" aspectratio="t"/>
            <w10:wrap type="none"/>
            <w10:anchorlock/>
          </v:shape>
        </w:pict>
      </w:r>
    </w:p>
    <w:p>
      <w:pPr>
        <w:pStyle w:val="40"/>
        <w:spacing w:line="240" w:lineRule="auto"/>
        <w:ind w:firstLine="0" w:firstLineChars="0"/>
        <w:jc w:val="center"/>
        <w:rPr>
          <w:sz w:val="52"/>
          <w:highlight w:val="none"/>
        </w:rPr>
      </w:pPr>
      <w:r>
        <w:rPr>
          <w:sz w:val="52"/>
          <w:highlight w:val="none"/>
        </w:rPr>
        <w:t xml:space="preserve">  </w:t>
      </w:r>
    </w:p>
    <w:p>
      <w:pPr>
        <w:adjustRightInd w:val="0"/>
        <w:snapToGrid w:val="0"/>
        <w:spacing w:line="360" w:lineRule="auto"/>
        <w:ind w:firstLine="2249" w:firstLineChars="700"/>
        <w:rPr>
          <w:rFonts w:ascii="宋体" w:hAnsi="宋体"/>
          <w:b/>
          <w:sz w:val="32"/>
          <w:highlight w:val="none"/>
        </w:rPr>
      </w:pPr>
      <w:r>
        <w:rPr>
          <w:rFonts w:hint="eastAsia" w:ascii="宋体" w:hAnsi="宋体"/>
          <w:b/>
          <w:sz w:val="32"/>
          <w:highlight w:val="none"/>
        </w:rPr>
        <w:t xml:space="preserve">   </w:t>
      </w:r>
    </w:p>
    <w:p>
      <w:pPr>
        <w:adjustRightInd w:val="0"/>
        <w:snapToGrid w:val="0"/>
        <w:spacing w:line="360" w:lineRule="auto"/>
        <w:jc w:val="center"/>
        <w:rPr>
          <w:rFonts w:ascii="宋体" w:hAnsi="宋体"/>
          <w:b/>
          <w:sz w:val="44"/>
          <w:szCs w:val="36"/>
          <w:highlight w:val="none"/>
        </w:rPr>
      </w:pPr>
      <w:r>
        <w:rPr>
          <w:rFonts w:hint="eastAsia" w:ascii="宋体" w:hAnsi="宋体"/>
          <w:b/>
          <w:sz w:val="44"/>
          <w:szCs w:val="36"/>
          <w:highlight w:val="none"/>
        </w:rPr>
        <w:t>山东大学第二医院</w:t>
      </w:r>
    </w:p>
    <w:p>
      <w:pPr>
        <w:adjustRightInd w:val="0"/>
        <w:snapToGrid w:val="0"/>
        <w:spacing w:line="360" w:lineRule="auto"/>
        <w:jc w:val="center"/>
        <w:rPr>
          <w:rFonts w:eastAsia="华文中宋"/>
          <w:b/>
          <w:sz w:val="96"/>
          <w:szCs w:val="36"/>
          <w:highlight w:val="none"/>
        </w:rPr>
      </w:pPr>
      <w:r>
        <w:rPr>
          <w:rFonts w:hint="eastAsia" w:ascii="宋体" w:hAnsi="宋体" w:eastAsia="华文中宋"/>
          <w:b/>
          <w:sz w:val="48"/>
          <w:szCs w:val="40"/>
          <w:highlight w:val="none"/>
        </w:rPr>
        <w:t>医疗设备维修保养服务整体外包项目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rPr>
          <w:rFonts w:eastAsia="华文中宋"/>
          <w:b/>
          <w:sz w:val="52"/>
          <w:highlight w:val="none"/>
        </w:rPr>
      </w:pPr>
    </w:p>
    <w:p>
      <w:pPr>
        <w:pStyle w:val="2"/>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eastAsia="宋体"/>
          <w:b/>
          <w:sz w:val="32"/>
          <w:highlight w:val="none"/>
          <w:lang w:eastAsia="zh-CN"/>
        </w:rPr>
      </w:pPr>
      <w:r>
        <w:rPr>
          <w:rFonts w:hint="eastAsia" w:ascii="宋体" w:hAnsi="宋体"/>
          <w:b/>
          <w:sz w:val="32"/>
          <w:highlight w:val="none"/>
        </w:rPr>
        <w:t xml:space="preserve">          招标编号：</w:t>
      </w:r>
      <w:r>
        <w:rPr>
          <w:rFonts w:hint="eastAsia" w:ascii="宋体" w:hAnsi="宋体"/>
          <w:b/>
          <w:sz w:val="32"/>
          <w:highlight w:val="none"/>
          <w:lang w:eastAsia="zh-CN"/>
        </w:rPr>
        <w:t>0676-206003ZB018004</w:t>
      </w:r>
    </w:p>
    <w:p>
      <w:pPr>
        <w:spacing w:line="480" w:lineRule="auto"/>
        <w:rPr>
          <w:rFonts w:ascii="宋体" w:hAnsi="宋体"/>
          <w:b/>
          <w:sz w:val="32"/>
          <w:highlight w:val="none"/>
        </w:rPr>
      </w:pPr>
      <w:r>
        <w:rPr>
          <w:rFonts w:hint="eastAsia" w:ascii="宋体" w:hAnsi="宋体"/>
          <w:b/>
          <w:sz w:val="32"/>
          <w:highlight w:val="none"/>
        </w:rPr>
        <w:t xml:space="preserve">          招标内容：医疗设备维修保养服务整体外包</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二〇年三月</w:t>
      </w:r>
    </w:p>
    <w:p>
      <w:pPr>
        <w:pStyle w:val="2"/>
        <w:spacing w:line="360" w:lineRule="auto"/>
        <w:jc w:val="center"/>
        <w:rPr>
          <w:rFonts w:ascii="宋体"/>
          <w:sz w:val="30"/>
          <w:szCs w:val="30"/>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start="0"/>
          <w:cols w:space="0" w:num="1"/>
          <w:titlePg/>
          <w:docGrid w:type="lines" w:linePitch="312" w:charSpace="0"/>
        </w:sectPr>
      </w:pPr>
    </w:p>
    <w:p>
      <w:pPr>
        <w:pStyle w:val="2"/>
        <w:spacing w:line="360" w:lineRule="auto"/>
        <w:jc w:val="center"/>
        <w:rPr>
          <w:rFonts w:ascii="宋体"/>
          <w:sz w:val="30"/>
          <w:szCs w:val="30"/>
          <w:highlight w:val="none"/>
        </w:rPr>
      </w:pPr>
    </w:p>
    <w:p>
      <w:pPr>
        <w:pStyle w:val="2"/>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rPr>
        <w:t>3</w:t>
      </w:r>
      <w:r>
        <w:rPr>
          <w:rFonts w:hint="eastAsia"/>
          <w:sz w:val="24"/>
          <w:szCs w:val="22"/>
          <w:highlight w:val="none"/>
        </w:rPr>
        <w:fldChar w:fldCharType="end"/>
      </w:r>
      <w:r>
        <w:rPr>
          <w:rFonts w:hint="eastAsia"/>
          <w:sz w:val="24"/>
          <w:szCs w:val="22"/>
          <w:highlight w:val="none"/>
        </w:rPr>
        <w:t>2</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44</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2"/>
        <w:spacing w:line="360" w:lineRule="auto"/>
        <w:jc w:val="center"/>
        <w:rPr>
          <w:rFonts w:ascii="宋体"/>
          <w:bCs/>
          <w:highlight w:val="none"/>
        </w:rPr>
      </w:pPr>
      <w:r>
        <w:rPr>
          <w:rFonts w:ascii="宋体"/>
          <w:bCs/>
          <w:highlight w:val="none"/>
        </w:rPr>
        <w:fldChar w:fldCharType="end"/>
      </w:r>
    </w:p>
    <w:p>
      <w:pPr>
        <w:pStyle w:val="2"/>
        <w:spacing w:line="360" w:lineRule="auto"/>
        <w:rPr>
          <w:rFonts w:ascii="宋体"/>
          <w:b/>
          <w:sz w:val="36"/>
          <w:highlight w:val="none"/>
        </w:rPr>
      </w:pPr>
    </w:p>
    <w:p>
      <w:pPr>
        <w:pStyle w:val="20"/>
        <w:numPr>
          <w:ilvl w:val="0"/>
          <w:numId w:val="1"/>
        </w:numPr>
        <w:tabs>
          <w:tab w:val="left" w:pos="0"/>
        </w:tabs>
        <w:spacing w:line="440" w:lineRule="exact"/>
        <w:ind w:left="0" w:leftChars="0" w:firstLine="0" w:firstLineChars="0"/>
        <w:jc w:val="center"/>
        <w:outlineLvl w:val="0"/>
        <w:rPr>
          <w:rFonts w:ascii="宋体" w:hAnsi="宋体"/>
          <w:b/>
          <w:sz w:val="36"/>
          <w:highlight w:val="none"/>
        </w:rPr>
      </w:pPr>
      <w:bookmarkStart w:id="0" w:name="_Toc15040"/>
      <w:r>
        <w:rPr>
          <w:rFonts w:hint="eastAsia" w:ascii="宋体" w:hAnsi="宋体"/>
          <w:b/>
          <w:sz w:val="36"/>
          <w:highlight w:val="none"/>
        </w:rPr>
        <w:br w:type="page"/>
      </w:r>
      <w:r>
        <w:rPr>
          <w:rFonts w:hint="eastAsia" w:ascii="宋体" w:hAnsi="宋体"/>
          <w:b/>
          <w:sz w:val="36"/>
          <w:highlight w:val="none"/>
        </w:rPr>
        <w:t xml:space="preserve">  招标公告</w:t>
      </w:r>
      <w:bookmarkEnd w:id="0"/>
    </w:p>
    <w:p>
      <w:pPr>
        <w:pStyle w:val="20"/>
        <w:tabs>
          <w:tab w:val="left" w:pos="0"/>
        </w:tabs>
        <w:spacing w:line="440" w:lineRule="exact"/>
        <w:ind w:left="0" w:leftChars="0" w:firstLine="0" w:firstLineChars="0"/>
        <w:outlineLvl w:val="0"/>
        <w:rPr>
          <w:rFonts w:ascii="宋体" w:hAnsi="宋体"/>
          <w:b/>
          <w:sz w:val="36"/>
          <w:highlight w:val="none"/>
        </w:rPr>
      </w:pP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w:t>
      </w:r>
      <w:r>
        <w:rPr>
          <w:rFonts w:hint="eastAsia" w:ascii="宋体" w:hAnsi="宋体" w:cs="宋体"/>
          <w:sz w:val="24"/>
          <w:highlight w:val="none"/>
          <w:lang w:eastAsia="zh-CN"/>
        </w:rPr>
        <w:t>大街</w:t>
      </w:r>
      <w:r>
        <w:rPr>
          <w:rFonts w:ascii="宋体" w:hAnsi="宋体" w:cs="宋体"/>
          <w:sz w:val="24"/>
          <w:highlight w:val="none"/>
        </w:rPr>
        <w:t>247</w:t>
      </w:r>
      <w:r>
        <w:rPr>
          <w:rFonts w:hint="eastAsia" w:ascii="宋体" w:hAnsi="宋体" w:cs="宋体"/>
          <w:sz w:val="24"/>
          <w:highlight w:val="none"/>
        </w:rPr>
        <w:t>号</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132"/>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联系人：李文华、栾新宇</w:t>
      </w:r>
    </w:p>
    <w:p>
      <w:pPr>
        <w:pStyle w:val="132"/>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联系方式：0531-83191895/0531-83191865</w:t>
      </w:r>
    </w:p>
    <w:p>
      <w:pPr>
        <w:pStyle w:val="132"/>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hint="eastAsia" w:ascii="宋体" w:hAnsi="宋体" w:cs="宋体"/>
          <w:sz w:val="24"/>
          <w:highlight w:val="none"/>
        </w:rPr>
        <w:t>lczb08@126.com</w:t>
      </w:r>
      <w:r>
        <w:rPr>
          <w:rFonts w:hint="eastAsia" w:ascii="宋体" w:hAnsi="宋体" w:cs="宋体"/>
          <w:sz w:val="24"/>
          <w:highlight w:val="none"/>
        </w:rPr>
        <w:fldChar w:fldCharType="end"/>
      </w:r>
    </w:p>
    <w:p>
      <w:pPr>
        <w:adjustRightInd w:val="0"/>
        <w:snapToGrid w:val="0"/>
        <w:spacing w:line="360" w:lineRule="auto"/>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山东大学第二医院医疗设备维修保养服务整体外包项目</w:t>
      </w:r>
    </w:p>
    <w:p>
      <w:pPr>
        <w:adjustRightInd w:val="0"/>
        <w:snapToGrid w:val="0"/>
        <w:spacing w:line="360" w:lineRule="auto"/>
        <w:rPr>
          <w:rFonts w:hint="eastAsia" w:ascii="宋体" w:hAnsi="宋体" w:eastAsia="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u w:val="none"/>
          <w:lang w:eastAsia="zh-CN"/>
        </w:rPr>
        <w:t>0676-206003ZB018004</w:t>
      </w:r>
    </w:p>
    <w:p>
      <w:pPr>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、采购项目分包情况：</w:t>
      </w:r>
      <w:r>
        <w:rPr>
          <w:rFonts w:hint="eastAsia" w:ascii="宋体" w:hAnsi="宋体" w:cs="宋体"/>
          <w:sz w:val="24"/>
          <w:highlight w:val="none"/>
        </w:rPr>
        <w:t>本次招标为山东大学第二医院医疗设备维修保养服务整体外包项目，具体技术要求详见招标文件，共分1个包，分包情况如下：</w:t>
      </w:r>
    </w:p>
    <w:tbl>
      <w:tblPr>
        <w:tblStyle w:val="49"/>
        <w:tblW w:w="9893" w:type="dxa"/>
        <w:jc w:val="center"/>
        <w:tblLayout w:type="fixed"/>
        <w:tblCellMar>
          <w:top w:w="0" w:type="dxa"/>
          <w:left w:w="15" w:type="dxa"/>
          <w:bottom w:w="0" w:type="dxa"/>
          <w:right w:w="15" w:type="dxa"/>
        </w:tblCellMar>
      </w:tblPr>
      <w:tblGrid>
        <w:gridCol w:w="3070"/>
        <w:gridCol w:w="2691"/>
        <w:gridCol w:w="1950"/>
        <w:gridCol w:w="2182"/>
      </w:tblGrid>
      <w:tr>
        <w:tblPrEx>
          <w:tblCellMar>
            <w:top w:w="0" w:type="dxa"/>
            <w:left w:w="15" w:type="dxa"/>
            <w:bottom w:w="0" w:type="dxa"/>
            <w:right w:w="15" w:type="dxa"/>
          </w:tblCellMar>
        </w:tblPrEx>
        <w:trPr>
          <w:trHeight w:val="336" w:hRule="atLeast"/>
          <w:jc w:val="center"/>
        </w:trPr>
        <w:tc>
          <w:tcPr>
            <w:tcW w:w="307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sz w:val="24"/>
                <w:highlight w:val="none"/>
              </w:rPr>
            </w:pPr>
            <w:r>
              <w:rPr>
                <w:rFonts w:hint="eastAsia" w:ascii="宋体" w:hAnsi="宋体"/>
                <w:sz w:val="24"/>
                <w:highlight w:val="none"/>
              </w:rPr>
              <w:t>项目名称</w:t>
            </w:r>
          </w:p>
        </w:tc>
        <w:tc>
          <w:tcPr>
            <w:tcW w:w="269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sz w:val="24"/>
                <w:highlight w:val="none"/>
              </w:rPr>
            </w:pPr>
            <w:r>
              <w:rPr>
                <w:rFonts w:hint="eastAsia" w:ascii="宋体" w:hAnsi="宋体"/>
                <w:sz w:val="24"/>
                <w:highlight w:val="none"/>
              </w:rPr>
              <w:t>预算金额</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highlight w:val="none"/>
              </w:rPr>
            </w:pPr>
            <w:r>
              <w:rPr>
                <w:rFonts w:hint="eastAsia" w:ascii="宋体" w:hAnsi="宋体"/>
                <w:sz w:val="24"/>
                <w:highlight w:val="none"/>
              </w:rPr>
              <w:t>服务期限</w:t>
            </w:r>
          </w:p>
        </w:tc>
        <w:tc>
          <w:tcPr>
            <w:tcW w:w="21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highlight w:val="none"/>
              </w:rPr>
            </w:pPr>
            <w:r>
              <w:rPr>
                <w:rFonts w:hint="eastAsia" w:ascii="宋体" w:hAnsi="宋体"/>
                <w:sz w:val="24"/>
                <w:highlight w:val="none"/>
              </w:rPr>
              <w:t>简要技术规格</w:t>
            </w:r>
          </w:p>
        </w:tc>
      </w:tr>
      <w:tr>
        <w:tblPrEx>
          <w:tblCellMar>
            <w:top w:w="0" w:type="dxa"/>
            <w:left w:w="15" w:type="dxa"/>
            <w:bottom w:w="0" w:type="dxa"/>
            <w:right w:w="15" w:type="dxa"/>
          </w:tblCellMar>
        </w:tblPrEx>
        <w:trPr>
          <w:trHeight w:val="581" w:hRule="atLeast"/>
          <w:jc w:val="center"/>
        </w:trPr>
        <w:tc>
          <w:tcPr>
            <w:tcW w:w="307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240" w:lineRule="auto"/>
              <w:jc w:val="center"/>
              <w:textAlignment w:val="center"/>
              <w:rPr>
                <w:rFonts w:ascii="宋体"/>
                <w:sz w:val="24"/>
                <w:highlight w:val="none"/>
              </w:rPr>
            </w:pPr>
            <w:r>
              <w:rPr>
                <w:rFonts w:hint="eastAsia" w:ascii="宋体"/>
                <w:sz w:val="24"/>
                <w:highlight w:val="none"/>
              </w:rPr>
              <w:t>山东大学第二医院医疗设备维修保养服务整体外包项目</w:t>
            </w:r>
          </w:p>
        </w:tc>
        <w:tc>
          <w:tcPr>
            <w:tcW w:w="269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s="宋体"/>
                <w:kern w:val="0"/>
                <w:sz w:val="24"/>
                <w:highlight w:val="none"/>
              </w:rPr>
            </w:pPr>
            <w:r>
              <w:rPr>
                <w:rFonts w:hint="eastAsia" w:ascii="宋体" w:hAnsi="宋体" w:cs="宋体"/>
                <w:kern w:val="0"/>
                <w:sz w:val="24"/>
                <w:highlight w:val="none"/>
              </w:rPr>
              <w:t>46万/年</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highlight w:val="none"/>
              </w:rPr>
            </w:pPr>
            <w:r>
              <w:rPr>
                <w:rFonts w:hint="eastAsia" w:ascii="宋体" w:hAnsi="宋体"/>
                <w:sz w:val="24"/>
                <w:highlight w:val="none"/>
              </w:rPr>
              <w:t>2年</w:t>
            </w:r>
          </w:p>
        </w:tc>
        <w:tc>
          <w:tcPr>
            <w:tcW w:w="21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highlight w:val="none"/>
              </w:rPr>
            </w:pPr>
            <w:r>
              <w:rPr>
                <w:rFonts w:hint="eastAsia" w:ascii="宋体" w:hAnsi="宋体"/>
                <w:sz w:val="24"/>
                <w:highlight w:val="none"/>
              </w:rPr>
              <w:t>详见招标文件</w:t>
            </w:r>
          </w:p>
        </w:tc>
      </w:tr>
    </w:tbl>
    <w:p>
      <w:pPr>
        <w:shd w:val="solid" w:color="FFFFFF" w:fill="auto"/>
        <w:autoSpaceDN w:val="0"/>
        <w:adjustRightInd w:val="0"/>
        <w:snapToGrid w:val="0"/>
        <w:spacing w:line="360" w:lineRule="auto"/>
        <w:jc w:val="left"/>
        <w:rPr>
          <w:rFonts w:ascii="Tahoma"/>
          <w:sz w:val="24"/>
          <w:highlight w:val="none"/>
          <w:shd w:val="clear" w:color="auto" w:fill="FFFFFF"/>
        </w:rPr>
      </w:pPr>
      <w:r>
        <w:rPr>
          <w:rFonts w:ascii="Tahoma"/>
          <w:sz w:val="24"/>
          <w:highlight w:val="none"/>
          <w:shd w:val="clear" w:color="auto" w:fill="FFFFFF"/>
        </w:rPr>
        <w:t xml:space="preserve"> </w:t>
      </w:r>
      <w:r>
        <w:rPr>
          <w:rFonts w:hint="eastAsia" w:ascii="宋体" w:hAnsi="宋体"/>
          <w:sz w:val="24"/>
          <w:highlight w:val="none"/>
        </w:rPr>
        <w:t>投标企业对本项目进行报价必须整包响应。具体技术要求、数量等内容详见招标文件。</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6、投标人资格要求</w:t>
      </w:r>
    </w:p>
    <w:p>
      <w:pPr>
        <w:autoSpaceDN w:val="0"/>
        <w:adjustRightInd w:val="0"/>
        <w:snapToGrid w:val="0"/>
        <w:spacing w:line="360" w:lineRule="auto"/>
        <w:jc w:val="left"/>
        <w:textAlignment w:val="center"/>
        <w:rPr>
          <w:rFonts w:ascii="宋体"/>
          <w:sz w:val="24"/>
          <w:highlight w:val="none"/>
        </w:rPr>
      </w:pPr>
      <w:r>
        <w:rPr>
          <w:rFonts w:ascii="宋体" w:hAnsi="宋体"/>
          <w:sz w:val="24"/>
          <w:highlight w:val="none"/>
        </w:rPr>
        <w:t xml:space="preserve"> </w:t>
      </w:r>
      <w:r>
        <w:rPr>
          <w:rFonts w:hint="eastAsia" w:ascii="宋体" w:hAnsi="宋体"/>
          <w:sz w:val="24"/>
          <w:highlight w:val="none"/>
        </w:rPr>
        <w:t>6</w:t>
      </w:r>
      <w:r>
        <w:rPr>
          <w:rFonts w:ascii="宋体" w:hAnsi="宋体"/>
          <w:sz w:val="24"/>
          <w:highlight w:val="none"/>
        </w:rPr>
        <w:t>.1</w:t>
      </w:r>
      <w:r>
        <w:rPr>
          <w:rFonts w:hint="eastAsia" w:ascii="宋体" w:hAnsi="宋体"/>
          <w:sz w:val="24"/>
          <w:highlight w:val="none"/>
        </w:rPr>
        <w:t>符合《中华人民共和国政府采购法》第二十二条规定；</w:t>
      </w:r>
    </w:p>
    <w:p>
      <w:pPr>
        <w:adjustRightInd w:val="0"/>
        <w:snapToGrid w:val="0"/>
        <w:spacing w:line="360" w:lineRule="auto"/>
        <w:ind w:firstLine="120" w:firstLineChars="50"/>
        <w:rPr>
          <w:rFonts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w:t>
      </w:r>
      <w:r>
        <w:rPr>
          <w:rFonts w:hint="eastAsia" w:ascii="宋体" w:hAnsi="宋体" w:cs="宋体"/>
          <w:sz w:val="24"/>
          <w:highlight w:val="none"/>
        </w:rPr>
        <w:t>必须为未列入“信用中国”、“中国政府采购网”失信被执行人、重大税收违法案件当事人名单、政府采购严重违法失信名单的企业；</w:t>
      </w:r>
    </w:p>
    <w:p>
      <w:pPr>
        <w:autoSpaceDN w:val="0"/>
        <w:adjustRightInd w:val="0"/>
        <w:snapToGrid w:val="0"/>
        <w:spacing w:line="360" w:lineRule="auto"/>
        <w:jc w:val="left"/>
        <w:textAlignment w:val="center"/>
        <w:rPr>
          <w:rFonts w:ascii="宋体" w:cs="宋体"/>
          <w:sz w:val="24"/>
          <w:highlight w:val="none"/>
        </w:rPr>
      </w:pPr>
      <w:r>
        <w:rPr>
          <w:rFonts w:hint="eastAsia" w:ascii="宋体" w:hAnsi="宋体" w:cs="宋体"/>
          <w:sz w:val="24"/>
          <w:highlight w:val="none"/>
        </w:rPr>
        <w:t xml:space="preserve"> 6.3</w:t>
      </w:r>
      <w:r>
        <w:rPr>
          <w:rFonts w:hint="eastAsia" w:ascii="宋体" w:hAnsi="宋体"/>
          <w:sz w:val="24"/>
          <w:highlight w:val="none"/>
        </w:rPr>
        <w:t>单位负责人为同一人或者存在直接控股、管理关系的不同投标人，不得参加同一合同项下的采购活动；</w:t>
      </w:r>
    </w:p>
    <w:p>
      <w:pPr>
        <w:autoSpaceDN w:val="0"/>
        <w:adjustRightInd w:val="0"/>
        <w:snapToGrid w:val="0"/>
        <w:spacing w:line="360" w:lineRule="auto"/>
        <w:ind w:firstLine="120" w:firstLineChars="50"/>
        <w:jc w:val="left"/>
        <w:textAlignment w:val="center"/>
        <w:rPr>
          <w:rFonts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4本次采购不接受联合体报价；</w:t>
      </w:r>
      <w:r>
        <w:rPr>
          <w:rFonts w:ascii="宋体" w:hAnsi="宋体"/>
          <w:sz w:val="24"/>
          <w:highlight w:val="none"/>
        </w:rPr>
        <w:t xml:space="preserve"> </w:t>
      </w:r>
    </w:p>
    <w:p>
      <w:pPr>
        <w:autoSpaceDN w:val="0"/>
        <w:adjustRightInd w:val="0"/>
        <w:snapToGrid w:val="0"/>
        <w:spacing w:line="360" w:lineRule="auto"/>
        <w:ind w:firstLine="120" w:firstLineChars="50"/>
        <w:jc w:val="left"/>
        <w:textAlignment w:val="center"/>
        <w:rPr>
          <w:rFonts w:asci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5未尽事宜，遵照国家相关规定执行。</w:t>
      </w:r>
      <w:r>
        <w:rPr>
          <w:rFonts w:ascii="宋体" w:hAnsi="宋体"/>
          <w:sz w:val="24"/>
          <w:highlight w:val="none"/>
        </w:rPr>
        <w:t xml:space="preserve"> </w:t>
      </w:r>
    </w:p>
    <w:p>
      <w:pPr>
        <w:adjustRightInd w:val="0"/>
        <w:snapToGrid w:val="0"/>
        <w:spacing w:line="360" w:lineRule="auto"/>
        <w:rPr>
          <w:rFonts w:ascii="Tahoma"/>
          <w:b/>
          <w:sz w:val="24"/>
          <w:highlight w:val="none"/>
          <w:shd w:val="clear" w:color="auto" w:fill="FFFFFF"/>
        </w:rPr>
      </w:pPr>
      <w:r>
        <w:rPr>
          <w:rFonts w:hint="eastAsia" w:ascii="宋体" w:hAnsi="宋体" w:cs="宋体"/>
          <w:b/>
          <w:sz w:val="24"/>
          <w:highlight w:val="none"/>
        </w:rPr>
        <w:t>7、获取招标文件的时间期限、地点、方式及招标文件售价：</w:t>
      </w:r>
    </w:p>
    <w:p>
      <w:pPr>
        <w:autoSpaceDN w:val="0"/>
        <w:adjustRightInd w:val="0"/>
        <w:snapToGrid w:val="0"/>
        <w:spacing w:line="360" w:lineRule="auto"/>
        <w:ind w:leftChars="-95" w:hanging="199" w:hangingChars="83"/>
        <w:jc w:val="left"/>
        <w:textAlignment w:val="center"/>
        <w:rPr>
          <w:rFonts w:hint="eastAsia" w:ascii="宋体" w:hAnsi="宋体" w:cs="宋体"/>
          <w:bCs/>
          <w:kern w:val="0"/>
          <w:sz w:val="24"/>
          <w:highlight w:val="none"/>
        </w:rPr>
      </w:pPr>
      <w:r>
        <w:rPr>
          <w:rFonts w:ascii="Tahoma"/>
          <w:sz w:val="24"/>
          <w:highlight w:val="none"/>
          <w:shd w:val="clear" w:color="auto" w:fill="FFFFFF"/>
        </w:rPr>
        <w:t xml:space="preserve"> </w:t>
      </w:r>
      <w:r>
        <w:rPr>
          <w:rFonts w:hint="eastAsia" w:ascii="Tahoma"/>
          <w:sz w:val="24"/>
          <w:highlight w:val="none"/>
          <w:shd w:val="clear" w:color="auto" w:fill="FFFFFF"/>
        </w:rPr>
        <w:t xml:space="preserve"> </w:t>
      </w:r>
      <w:r>
        <w:rPr>
          <w:rFonts w:hint="eastAsia" w:ascii="宋体" w:hAnsi="宋体" w:cs="宋体"/>
          <w:bCs/>
          <w:kern w:val="0"/>
          <w:sz w:val="24"/>
          <w:highlight w:val="none"/>
        </w:rPr>
        <w:t xml:space="preserve">   7.1凡有意参加投标者，请于</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13</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日</w:t>
      </w:r>
      <w:r>
        <w:rPr>
          <w:rFonts w:hint="eastAsia" w:ascii="宋体" w:hAnsi="宋体" w:cs="宋体"/>
          <w:bCs/>
          <w:kern w:val="0"/>
          <w:sz w:val="24"/>
          <w:highlight w:val="none"/>
        </w:rPr>
        <w:t>（不含节假日），每日上午9:00时至11:30时，下午13:30时至16:30时（北京时间，下同），按照以下方式获取招标文件（二选一）:</w:t>
      </w:r>
    </w:p>
    <w:p>
      <w:pPr>
        <w:autoSpaceDN w:val="0"/>
        <w:adjustRightInd w:val="0"/>
        <w:snapToGrid w:val="0"/>
        <w:spacing w:line="360" w:lineRule="auto"/>
        <w:ind w:left="40" w:leftChars="19" w:firstLine="516" w:firstLineChars="215"/>
        <w:jc w:val="left"/>
        <w:textAlignment w:val="center"/>
        <w:rPr>
          <w:rFonts w:hint="eastAsia" w:ascii="宋体" w:hAnsi="宋体" w:cs="宋体"/>
          <w:bCs/>
          <w:kern w:val="0"/>
          <w:sz w:val="24"/>
          <w:highlight w:val="none"/>
        </w:rPr>
      </w:pPr>
      <w:r>
        <w:rPr>
          <w:rFonts w:hint="eastAsia" w:ascii="宋体" w:hAnsi="宋体" w:cs="宋体"/>
          <w:bCs/>
          <w:kern w:val="0"/>
          <w:sz w:val="24"/>
          <w:highlight w:val="none"/>
        </w:rPr>
        <w:t>（一）现场报名：持下列资料到山东省鲁成招标有限公司2407室（济南市经十路10567号成城大厦A座）报名并购买招标文件：（1）法定代表人证书或法人授权委托书(原件)、法定代表人或授权代表身份证；（2）企业法人《营业执照》复印件加盖公章；（</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）参加政府采购活动前三年内，在经营活动中没有重大违法记录相关证明资料加盖公章；</w:t>
      </w:r>
    </w:p>
    <w:p>
      <w:pPr>
        <w:autoSpaceDN w:val="0"/>
        <w:adjustRightInd w:val="0"/>
        <w:snapToGrid w:val="0"/>
        <w:spacing w:line="360" w:lineRule="auto"/>
        <w:ind w:left="40" w:leftChars="19" w:firstLine="516" w:firstLineChars="215"/>
        <w:jc w:val="left"/>
        <w:textAlignment w:val="center"/>
        <w:rPr>
          <w:rFonts w:hint="eastAsia" w:ascii="宋体" w:hAnsi="宋体" w:cs="宋体"/>
          <w:bCs/>
          <w:kern w:val="0"/>
          <w:sz w:val="24"/>
          <w:highlight w:val="none"/>
        </w:rPr>
      </w:pPr>
      <w:r>
        <w:rPr>
          <w:rFonts w:hint="eastAsia" w:ascii="宋体" w:hAnsi="宋体" w:cs="宋体"/>
          <w:bCs/>
          <w:kern w:val="0"/>
          <w:sz w:val="24"/>
          <w:highlight w:val="none"/>
        </w:rPr>
        <w:t>（二）邮件报名：有意参加本次采购活动的供应商发送邮件。邮件内容：项目名称、项目编号、公司名称、联系人、联系电话、邮箱、营业执照扫描件加盖公章、授权委托书扫描件加盖公章、参加政府采购活动前三年内，在经营活动中没有重大违法记录相关证明资料扫描件加盖公章、标书费汇款底单发送至山东省鲁成招标有限公司邮箱lczb08@126.com，邮件名称命名为：响应单位名称-项目名称-报名。(提交标书费须从公司基本账户或一般账户转出，须标明项目编号、我公司开户银行：中国农业银行济南分行、开户名：山东省鲁成招标有限公司、银行账号：15110101040001136)</w:t>
      </w:r>
    </w:p>
    <w:p>
      <w:pPr>
        <w:autoSpaceDN w:val="0"/>
        <w:adjustRightInd w:val="0"/>
        <w:snapToGrid w:val="0"/>
        <w:spacing w:line="360" w:lineRule="auto"/>
        <w:ind w:left="40" w:leftChars="19" w:firstLine="516" w:firstLineChars="215"/>
        <w:jc w:val="left"/>
        <w:textAlignment w:val="center"/>
        <w:rPr>
          <w:rFonts w:hint="eastAsia" w:ascii="宋体" w:hAnsi="宋体" w:cs="宋体"/>
          <w:bCs/>
          <w:kern w:val="0"/>
          <w:sz w:val="24"/>
          <w:highlight w:val="none"/>
        </w:rPr>
      </w:pPr>
      <w:r>
        <w:rPr>
          <w:rFonts w:hint="eastAsia" w:ascii="宋体" w:hAnsi="宋体" w:cs="宋体"/>
          <w:bCs/>
          <w:kern w:val="0"/>
          <w:sz w:val="24"/>
          <w:highlight w:val="none"/>
        </w:rPr>
        <w:t>根据财库〔2016〕125号文的规定，采购代理机构应当通过“信用中国”网站(www.creditchina.gov.cn)、中国政府采购网(www.ccgp.gov.cn)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autoSpaceDN w:val="0"/>
        <w:adjustRightInd w:val="0"/>
        <w:snapToGrid w:val="0"/>
        <w:spacing w:line="360" w:lineRule="auto"/>
        <w:ind w:left="40" w:leftChars="19" w:firstLine="516" w:firstLineChars="215"/>
        <w:jc w:val="left"/>
        <w:textAlignment w:val="center"/>
        <w:rPr>
          <w:rFonts w:hint="eastAsia" w:ascii="宋体" w:hAnsi="宋体" w:cs="宋体"/>
          <w:bCs/>
          <w:kern w:val="0"/>
          <w:sz w:val="24"/>
          <w:highlight w:val="none"/>
        </w:rPr>
      </w:pPr>
      <w:r>
        <w:rPr>
          <w:rFonts w:hint="eastAsia" w:ascii="宋体" w:hAnsi="宋体" w:cs="宋体"/>
          <w:bCs/>
          <w:kern w:val="0"/>
          <w:sz w:val="24"/>
          <w:highlight w:val="none"/>
        </w:rPr>
        <w:t>报名时提交的资料查验不代表资格审查的最终合格或通过。</w:t>
      </w:r>
      <w:r>
        <w:rPr>
          <w:rFonts w:hint="eastAsia" w:ascii="宋体" w:hAnsi="宋体" w:cs="宋体"/>
          <w:bCs/>
          <w:kern w:val="0"/>
          <w:sz w:val="24"/>
          <w:highlight w:val="none"/>
          <w:lang w:val="en-US" w:eastAsia="zh-CN"/>
        </w:rPr>
        <w:t>投标企业</w:t>
      </w:r>
      <w:r>
        <w:rPr>
          <w:rFonts w:hint="eastAsia" w:ascii="宋体" w:hAnsi="宋体" w:cs="宋体"/>
          <w:bCs/>
          <w:kern w:val="0"/>
          <w:sz w:val="24"/>
          <w:highlight w:val="none"/>
        </w:rPr>
        <w:t>最终资格的确认以评标委员会组织的资格后审为准。</w:t>
      </w:r>
    </w:p>
    <w:p>
      <w:pPr>
        <w:autoSpaceDN w:val="0"/>
        <w:adjustRightInd w:val="0"/>
        <w:snapToGrid w:val="0"/>
        <w:spacing w:line="360" w:lineRule="auto"/>
        <w:ind w:firstLine="480"/>
        <w:jc w:val="left"/>
        <w:textAlignment w:val="center"/>
        <w:rPr>
          <w:rFonts w:ascii="宋体" w:hAnsi="宋体"/>
          <w:sz w:val="24"/>
          <w:highlight w:val="none"/>
        </w:rPr>
      </w:pPr>
      <w:r>
        <w:rPr>
          <w:rFonts w:hint="eastAsia" w:ascii="宋体" w:hAnsi="宋体" w:cs="宋体"/>
          <w:bCs/>
          <w:kern w:val="0"/>
          <w:sz w:val="24"/>
          <w:highlight w:val="none"/>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p>
    <w:p>
      <w:pPr>
        <w:adjustRightInd w:val="0"/>
        <w:snapToGrid w:val="0"/>
        <w:spacing w:line="360" w:lineRule="auto"/>
        <w:rPr>
          <w:rFonts w:ascii="宋体" w:hAnsi="宋体"/>
          <w:sz w:val="24"/>
          <w:highlight w:val="none"/>
        </w:rPr>
      </w:pPr>
      <w:r>
        <w:rPr>
          <w:rFonts w:hint="eastAsia" w:ascii="宋体" w:hAnsi="宋体" w:cs="宋体"/>
          <w:b/>
          <w:sz w:val="24"/>
          <w:highlight w:val="none"/>
        </w:rPr>
        <w:t>8、公告期限：</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13</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日</w:t>
      </w:r>
      <w:r>
        <w:rPr>
          <w:rFonts w:hint="eastAsia" w:ascii="宋体" w:hAnsi="宋体"/>
          <w:sz w:val="24"/>
          <w:highlight w:val="none"/>
        </w:rPr>
        <w:t>（不含节假日）</w:t>
      </w:r>
    </w:p>
    <w:p>
      <w:pPr>
        <w:adjustRightInd w:val="0"/>
        <w:snapToGrid w:val="0"/>
        <w:spacing w:line="360" w:lineRule="auto"/>
        <w:rPr>
          <w:rFonts w:ascii="宋体" w:cs="宋体"/>
          <w:kern w:val="0"/>
          <w:sz w:val="24"/>
          <w:highlight w:val="none"/>
        </w:rPr>
      </w:pPr>
      <w:r>
        <w:rPr>
          <w:rFonts w:hint="eastAsia" w:ascii="宋体" w:hAnsi="宋体" w:cs="宋体"/>
          <w:b/>
          <w:sz w:val="24"/>
          <w:highlight w:val="none"/>
        </w:rPr>
        <w:t>9、投标文件递交截止时间及开标时间：</w:t>
      </w:r>
      <w:r>
        <w:rPr>
          <w:rFonts w:hint="eastAsia" w:ascii="宋体" w:cs="宋体"/>
          <w:b/>
          <w:sz w:val="24"/>
          <w:highlight w:val="none"/>
        </w:rPr>
        <w:t>2020</w:t>
      </w:r>
      <w:r>
        <w:rPr>
          <w:rFonts w:hint="eastAsia" w:ascii="宋体" w:hAnsi="宋体"/>
          <w:b/>
          <w:sz w:val="24"/>
          <w:highlight w:val="none"/>
        </w:rPr>
        <w:t>年</w:t>
      </w:r>
      <w:r>
        <w:rPr>
          <w:rFonts w:hint="eastAsia" w:ascii="宋体" w:hAnsi="宋体"/>
          <w:b/>
          <w:sz w:val="24"/>
          <w:highlight w:val="none"/>
          <w:lang w:val="en-US" w:eastAsia="zh-CN"/>
        </w:rPr>
        <w:t>4</w:t>
      </w:r>
      <w:r>
        <w:rPr>
          <w:rFonts w:hint="eastAsia" w:ascii="宋体" w:hAnsi="宋体"/>
          <w:b/>
          <w:sz w:val="24"/>
          <w:highlight w:val="none"/>
        </w:rPr>
        <w:t>月</w:t>
      </w:r>
      <w:r>
        <w:rPr>
          <w:rFonts w:hint="eastAsia" w:ascii="宋体" w:hAnsi="宋体"/>
          <w:b/>
          <w:sz w:val="24"/>
          <w:highlight w:val="none"/>
          <w:lang w:val="en-US" w:eastAsia="zh-CN"/>
        </w:rPr>
        <w:t>9</w:t>
      </w:r>
      <w:r>
        <w:rPr>
          <w:rFonts w:hint="eastAsia" w:ascii="宋体" w:hAnsi="宋体"/>
          <w:b/>
          <w:sz w:val="24"/>
          <w:highlight w:val="none"/>
        </w:rPr>
        <w:t>日9</w:t>
      </w:r>
      <w:r>
        <w:rPr>
          <w:rFonts w:ascii="宋体" w:hAnsi="宋体"/>
          <w:b/>
          <w:sz w:val="24"/>
          <w:highlight w:val="none"/>
        </w:rPr>
        <w:t>:</w:t>
      </w:r>
      <w:r>
        <w:rPr>
          <w:rFonts w:hint="eastAsia" w:ascii="宋体" w:hAnsi="宋体"/>
          <w:b/>
          <w:sz w:val="24"/>
          <w:highlight w:val="none"/>
        </w:rPr>
        <w:t>0</w:t>
      </w:r>
      <w:r>
        <w:rPr>
          <w:rFonts w:ascii="宋体" w:hAnsi="宋体"/>
          <w:b/>
          <w:sz w:val="24"/>
          <w:highlight w:val="none"/>
        </w:rPr>
        <w:t>0</w:t>
      </w:r>
      <w:r>
        <w:rPr>
          <w:rFonts w:hint="eastAsia" w:ascii="宋体" w:hAnsi="宋体"/>
          <w:b/>
          <w:sz w:val="24"/>
          <w:highlight w:val="none"/>
        </w:rPr>
        <w:t>时（北京时间）</w:t>
      </w:r>
      <w:r>
        <w:rPr>
          <w:rFonts w:hint="eastAsia" w:ascii="宋体" w:hAnsi="宋体"/>
          <w:sz w:val="24"/>
          <w:highlight w:val="none"/>
        </w:rPr>
        <w:t>；</w:t>
      </w:r>
    </w:p>
    <w:p>
      <w:pPr>
        <w:adjustRightInd w:val="0"/>
        <w:snapToGrid w:val="0"/>
        <w:spacing w:line="360" w:lineRule="auto"/>
        <w:rPr>
          <w:rFonts w:asci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9.1</w:t>
      </w:r>
      <w:r>
        <w:rPr>
          <w:rFonts w:hint="eastAsia" w:ascii="宋体" w:hAnsi="宋体" w:cs="宋体"/>
          <w:b/>
          <w:bCs/>
          <w:kern w:val="0"/>
          <w:sz w:val="24"/>
          <w:highlight w:val="none"/>
        </w:rPr>
        <w:t>投标文件递交地点及开标地点：</w:t>
      </w:r>
      <w:bookmarkStart w:id="1" w:name="OLE_LINK1"/>
      <w:bookmarkStart w:id="2"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如需变更另行通知）</w:t>
      </w:r>
      <w:r>
        <w:rPr>
          <w:rFonts w:hint="eastAsia" w:ascii="宋体" w:hAnsi="宋体"/>
          <w:sz w:val="24"/>
          <w:highlight w:val="none"/>
        </w:rPr>
        <w:t>；</w:t>
      </w:r>
    </w:p>
    <w:p>
      <w:pPr>
        <w:widowControl/>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逾期送达的或者未送达指定地点的投标文件，采购人不予受理。</w:t>
      </w:r>
    </w:p>
    <w:p>
      <w:pPr>
        <w:widowControl/>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rPr>
        <w:t>0、</w:t>
      </w:r>
      <w:r>
        <w:rPr>
          <w:rFonts w:hint="eastAsia" w:ascii="宋体" w:hAnsi="宋体" w:cs="宋体"/>
          <w:b/>
          <w:bCs/>
          <w:kern w:val="0"/>
          <w:sz w:val="24"/>
          <w:highlight w:val="none"/>
        </w:rPr>
        <w:t>发布公告的媒介</w:t>
      </w:r>
    </w:p>
    <w:p>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rPr>
        <w:t>1、采购项目需要落实的政府采购政策：</w:t>
      </w:r>
    </w:p>
    <w:p>
      <w:pPr>
        <w:widowControl/>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pStyle w:val="20"/>
        <w:tabs>
          <w:tab w:val="left" w:pos="0"/>
        </w:tabs>
        <w:spacing w:line="480" w:lineRule="exact"/>
        <w:ind w:left="0" w:leftChars="0" w:firstLine="0" w:firstLineChars="0"/>
        <w:jc w:val="center"/>
        <w:outlineLvl w:val="0"/>
        <w:rPr>
          <w:rFonts w:ascii="宋体" w:cs="宋体"/>
          <w:highlight w:val="none"/>
        </w:rPr>
      </w:pPr>
      <w:bookmarkStart w:id="3" w:name="_Toc15243"/>
      <w:r>
        <w:rPr>
          <w:rFonts w:hint="eastAsia" w:ascii="宋体" w:hAnsi="宋体"/>
          <w:b/>
          <w:sz w:val="36"/>
          <w:highlight w:val="none"/>
        </w:rPr>
        <w:br w:type="page"/>
      </w:r>
      <w:r>
        <w:rPr>
          <w:rFonts w:hint="eastAsia" w:ascii="宋体" w:hAnsi="宋体"/>
          <w:b/>
          <w:sz w:val="36"/>
          <w:highlight w:val="none"/>
        </w:rPr>
        <w:t>第二部分投标人须知</w:t>
      </w:r>
      <w:bookmarkEnd w:id="3"/>
    </w:p>
    <w:p>
      <w:pPr>
        <w:pStyle w:val="88"/>
        <w:spacing w:before="240"/>
        <w:outlineLvl w:val="1"/>
        <w:rPr>
          <w:highlight w:val="none"/>
        </w:rPr>
      </w:pPr>
      <w:bookmarkStart w:id="4" w:name="_Toc243041162"/>
      <w:bookmarkStart w:id="5" w:name="_Toc1284"/>
      <w:r>
        <w:rPr>
          <w:rFonts w:hint="eastAsia"/>
          <w:highlight w:val="none"/>
        </w:rPr>
        <w:t>投标人须知前附表</w:t>
      </w:r>
      <w:bookmarkEnd w:id="4"/>
      <w:bookmarkEnd w:id="5"/>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highlight w:val="none"/>
                <w:lang w:val="en-US" w:eastAsia="zh-CN"/>
              </w:rPr>
            </w:pPr>
            <w:r>
              <w:rPr>
                <w:rFonts w:ascii="宋体" w:hAnsi="宋体" w:cs="宋体"/>
                <w:highlight w:val="none"/>
                <w:lang w:val="en-US" w:eastAsia="zh-CN"/>
              </w:rPr>
              <w:t xml:space="preserve">    </w:t>
            </w:r>
            <w:r>
              <w:rPr>
                <w:rFonts w:hint="eastAsia" w:ascii="宋体" w:hAnsi="宋体" w:cs="宋体"/>
                <w:highlight w:val="none"/>
                <w:lang w:val="en-US" w:eastAsia="zh-CN"/>
              </w:rPr>
              <w:t>项</w:t>
            </w:r>
            <w:r>
              <w:rPr>
                <w:rFonts w:ascii="宋体" w:hAnsi="宋体" w:cs="宋体"/>
                <w:highlight w:val="none"/>
                <w:lang w:val="en-US" w:eastAsia="zh-CN"/>
              </w:rPr>
              <w:t xml:space="preserve">    </w:t>
            </w:r>
            <w:r>
              <w:rPr>
                <w:rFonts w:hint="eastAsia" w:ascii="宋体" w:hAnsi="宋体" w:cs="宋体"/>
                <w:highlight w:val="none"/>
                <w:lang w:val="en-US" w:eastAsia="zh-CN"/>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highlight w:val="none"/>
                <w:lang w:val="en-US" w:eastAsia="zh-CN"/>
              </w:rPr>
            </w:pPr>
            <w:r>
              <w:rPr>
                <w:rFonts w:ascii="宋体" w:hAnsi="宋体" w:cs="宋体"/>
                <w:highlight w:val="none"/>
                <w:lang w:val="en-US" w:eastAsia="zh-CN"/>
              </w:rPr>
              <w:t xml:space="preserve">            </w:t>
            </w:r>
            <w:r>
              <w:rPr>
                <w:rFonts w:hint="eastAsia" w:ascii="宋体" w:hAnsi="宋体" w:cs="宋体"/>
                <w:highlight w:val="none"/>
                <w:lang w:val="en-US" w:eastAsia="zh-CN"/>
              </w:rPr>
              <w:t>内</w:t>
            </w:r>
            <w:r>
              <w:rPr>
                <w:rFonts w:ascii="宋体" w:hAnsi="宋体" w:cs="宋体"/>
                <w:highlight w:val="none"/>
                <w:lang w:val="en-US" w:eastAsia="zh-CN"/>
              </w:rPr>
              <w:t xml:space="preserve">       </w:t>
            </w:r>
            <w:r>
              <w:rPr>
                <w:rFonts w:hint="eastAsia" w:ascii="宋体" w:hAnsi="宋体" w:cs="宋体"/>
                <w:highlight w:val="none"/>
                <w:lang w:val="en-US"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招标人</w:t>
            </w:r>
          </w:p>
        </w:tc>
        <w:tc>
          <w:tcPr>
            <w:tcW w:w="6636" w:type="dxa"/>
            <w:vAlign w:val="center"/>
          </w:tcPr>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招标人：山东大学第二医院</w:t>
            </w:r>
          </w:p>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地</w:t>
            </w:r>
            <w:r>
              <w:rPr>
                <w:rFonts w:ascii="宋体" w:hAnsi="宋体" w:cs="宋体"/>
                <w:sz w:val="24"/>
                <w:highlight w:val="none"/>
                <w:lang w:val="en-US" w:eastAsia="zh-CN"/>
              </w:rPr>
              <w:t xml:space="preserve">  </w:t>
            </w:r>
            <w:r>
              <w:rPr>
                <w:rFonts w:hint="eastAsia" w:ascii="宋体" w:hAnsi="宋体" w:cs="宋体"/>
                <w:sz w:val="24"/>
                <w:highlight w:val="none"/>
                <w:lang w:eastAsia="zh-CN"/>
              </w:rPr>
              <w:t>址：济南市天桥区北园大街</w:t>
            </w:r>
            <w:bookmarkStart w:id="209" w:name="_GoBack"/>
            <w:bookmarkEnd w:id="209"/>
            <w:r>
              <w:rPr>
                <w:rFonts w:ascii="宋体" w:hAnsi="宋体" w:cs="宋体"/>
                <w:sz w:val="24"/>
                <w:highlight w:val="none"/>
                <w:lang w:eastAsia="zh-CN"/>
              </w:rPr>
              <w:t>247</w:t>
            </w:r>
            <w:r>
              <w:rPr>
                <w:rFonts w:hint="eastAsia" w:ascii="宋体" w:hAnsi="宋体" w:cs="宋体"/>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sz w:val="24"/>
                <w:highlight w:val="none"/>
                <w:lang w:eastAsia="zh-CN"/>
              </w:rPr>
              <w:t>联系方式：</w:t>
            </w:r>
            <w:r>
              <w:rPr>
                <w:rFonts w:ascii="宋体" w:hAnsi="宋体" w:cs="宋体"/>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招标代理机构</w:t>
            </w:r>
          </w:p>
        </w:tc>
        <w:tc>
          <w:tcPr>
            <w:tcW w:w="6636" w:type="dxa"/>
            <w:vAlign w:val="center"/>
          </w:tcPr>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名</w:t>
            </w:r>
            <w:r>
              <w:rPr>
                <w:rFonts w:ascii="宋体" w:hAnsi="宋体" w:cs="宋体"/>
                <w:sz w:val="24"/>
                <w:highlight w:val="none"/>
                <w:lang w:eastAsia="zh-CN"/>
              </w:rPr>
              <w:t xml:space="preserve">  </w:t>
            </w:r>
            <w:r>
              <w:rPr>
                <w:rFonts w:hint="eastAsia" w:ascii="宋体" w:hAnsi="宋体" w:cs="宋体"/>
                <w:sz w:val="24"/>
                <w:highlight w:val="none"/>
                <w:lang w:eastAsia="zh-CN"/>
              </w:rPr>
              <w:t>称：山东省鲁成招标有限公司</w:t>
            </w:r>
          </w:p>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地</w:t>
            </w:r>
            <w:r>
              <w:rPr>
                <w:rFonts w:ascii="宋体" w:hAnsi="宋体" w:cs="宋体"/>
                <w:sz w:val="24"/>
                <w:highlight w:val="none"/>
                <w:lang w:val="en-US" w:eastAsia="zh-CN"/>
              </w:rPr>
              <w:t xml:space="preserve">  </w:t>
            </w:r>
            <w:r>
              <w:rPr>
                <w:rFonts w:hint="eastAsia" w:ascii="宋体" w:hAnsi="宋体" w:cs="宋体"/>
                <w:sz w:val="24"/>
                <w:highlight w:val="none"/>
                <w:lang w:eastAsia="zh-CN"/>
              </w:rPr>
              <w:t>址：济南市经十东路</w:t>
            </w:r>
            <w:r>
              <w:rPr>
                <w:rFonts w:ascii="宋体" w:hAnsi="宋体" w:cs="宋体"/>
                <w:sz w:val="24"/>
                <w:highlight w:val="none"/>
                <w:lang w:eastAsia="zh-CN"/>
              </w:rPr>
              <w:t>10567</w:t>
            </w:r>
            <w:r>
              <w:rPr>
                <w:rFonts w:hint="eastAsia" w:ascii="宋体" w:hAnsi="宋体" w:cs="宋体"/>
                <w:sz w:val="24"/>
                <w:highlight w:val="none"/>
                <w:lang w:eastAsia="zh-CN"/>
              </w:rPr>
              <w:t>号成城大厦</w:t>
            </w:r>
          </w:p>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联系人：李文华、栾新宇</w:t>
            </w:r>
          </w:p>
          <w:p>
            <w:pPr>
              <w:pStyle w:val="111"/>
              <w:snapToGrid w:val="0"/>
              <w:spacing w:line="360" w:lineRule="auto"/>
              <w:jc w:val="left"/>
              <w:rPr>
                <w:rFonts w:ascii="宋体" w:cs="宋体"/>
                <w:sz w:val="24"/>
                <w:highlight w:val="none"/>
                <w:lang w:val="en-US" w:eastAsia="zh-CN"/>
              </w:rPr>
            </w:pPr>
            <w:r>
              <w:rPr>
                <w:rFonts w:hint="eastAsia" w:ascii="宋体" w:hAnsi="宋体" w:cs="宋体"/>
                <w:sz w:val="24"/>
                <w:highlight w:val="none"/>
                <w:lang w:eastAsia="zh-CN"/>
              </w:rPr>
              <w:t>联系方式：</w:t>
            </w:r>
            <w:r>
              <w:rPr>
                <w:rFonts w:ascii="宋体" w:hAnsi="宋体" w:cs="宋体"/>
                <w:sz w:val="24"/>
                <w:highlight w:val="none"/>
                <w:lang w:eastAsia="zh-CN"/>
              </w:rPr>
              <w:t>0531-831918</w:t>
            </w:r>
            <w:r>
              <w:rPr>
                <w:rFonts w:hint="eastAsia" w:ascii="宋体" w:hAnsi="宋体" w:cs="宋体"/>
                <w:sz w:val="24"/>
                <w:highlight w:val="none"/>
                <w:lang w:eastAsia="zh-CN"/>
              </w:rPr>
              <w:t>9</w:t>
            </w:r>
            <w:r>
              <w:rPr>
                <w:rFonts w:ascii="宋体" w:hAnsi="宋体" w:cs="宋体"/>
                <w:sz w:val="24"/>
                <w:highlight w:val="none"/>
                <w:lang w:eastAsia="zh-CN"/>
              </w:rPr>
              <w:t>5</w:t>
            </w:r>
            <w:r>
              <w:rPr>
                <w:rFonts w:hint="eastAsia" w:ascii="宋体" w:hAnsi="宋体" w:cs="宋体"/>
                <w:sz w:val="24"/>
                <w:highlight w:val="none"/>
                <w:lang w:eastAsia="zh-CN"/>
              </w:rPr>
              <w:t>、</w:t>
            </w:r>
            <w:r>
              <w:rPr>
                <w:rFonts w:ascii="宋体" w:hAnsi="宋体" w:cs="宋体"/>
                <w:sz w:val="24"/>
                <w:highlight w:val="none"/>
                <w:lang w:val="en-US" w:eastAsia="zh-CN"/>
              </w:rPr>
              <w:t>831918</w:t>
            </w:r>
            <w:r>
              <w:rPr>
                <w:rFonts w:hint="eastAsia" w:ascii="宋体" w:hAnsi="宋体" w:cs="宋体"/>
                <w:sz w:val="24"/>
                <w:highlight w:val="none"/>
                <w:lang w:val="en-US" w:eastAsia="zh-CN"/>
              </w:rPr>
              <w:t>6</w:t>
            </w:r>
            <w:r>
              <w:rPr>
                <w:rFonts w:ascii="宋体" w:hAnsi="宋体" w:cs="宋体"/>
                <w:sz w:val="24"/>
                <w:highlight w:val="none"/>
                <w:lang w:val="en-US" w:eastAsia="zh-CN"/>
              </w:rPr>
              <w:t>5</w:t>
            </w:r>
          </w:p>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邮箱：</w:t>
            </w:r>
            <w:r>
              <w:rPr>
                <w:rFonts w:ascii="宋体" w:hAnsi="宋体" w:cs="宋体"/>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项目编号</w:t>
            </w:r>
          </w:p>
        </w:tc>
        <w:tc>
          <w:tcPr>
            <w:tcW w:w="6636" w:type="dxa"/>
            <w:vAlign w:val="center"/>
          </w:tcPr>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项目名称：山东大学第二医院医疗设备维修保养服务整体外包</w:t>
            </w:r>
          </w:p>
          <w:p>
            <w:pPr>
              <w:pStyle w:val="111"/>
              <w:snapToGrid w:val="0"/>
              <w:spacing w:line="360" w:lineRule="auto"/>
              <w:jc w:val="left"/>
              <w:rPr>
                <w:rFonts w:ascii="宋体" w:cs="宋体"/>
                <w:sz w:val="24"/>
                <w:highlight w:val="none"/>
                <w:lang w:val="en-US" w:eastAsia="zh-CN"/>
              </w:rPr>
            </w:pPr>
            <w:r>
              <w:rPr>
                <w:rFonts w:hint="eastAsia" w:ascii="宋体" w:hAnsi="宋体" w:cs="宋体"/>
                <w:sz w:val="24"/>
                <w:highlight w:val="none"/>
                <w:lang w:eastAsia="zh-CN"/>
              </w:rPr>
              <w:t>项目编号：0676-206003ZB018004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招标范围</w:t>
            </w:r>
          </w:p>
        </w:tc>
        <w:tc>
          <w:tcPr>
            <w:tcW w:w="6636" w:type="dxa"/>
            <w:vAlign w:val="center"/>
          </w:tcPr>
          <w:p>
            <w:pPr>
              <w:pStyle w:val="111"/>
              <w:snapToGrid w:val="0"/>
              <w:spacing w:line="360" w:lineRule="auto"/>
              <w:jc w:val="left"/>
              <w:rPr>
                <w:rFonts w:ascii="宋体" w:hAnsi="宋体" w:cs="宋体"/>
                <w:sz w:val="24"/>
                <w:highlight w:val="none"/>
                <w:lang w:eastAsia="zh-CN"/>
              </w:rPr>
            </w:pPr>
            <w:r>
              <w:rPr>
                <w:rFonts w:hint="eastAsia" w:ascii="宋体" w:hAnsi="宋体" w:cs="宋体"/>
                <w:sz w:val="24"/>
                <w:highlight w:val="none"/>
                <w:lang w:eastAsia="zh-CN"/>
              </w:rPr>
              <w:t>本项目分为</w:t>
            </w:r>
            <w:r>
              <w:rPr>
                <w:rFonts w:hint="eastAsia" w:ascii="宋体" w:hAnsi="宋体" w:cs="宋体"/>
                <w:sz w:val="24"/>
                <w:highlight w:val="none"/>
                <w:lang w:val="en-US" w:eastAsia="zh-CN"/>
              </w:rPr>
              <w:t>1</w:t>
            </w:r>
            <w:r>
              <w:rPr>
                <w:rFonts w:hint="eastAsia" w:ascii="宋体" w:hAnsi="宋体" w:cs="宋体"/>
                <w:sz w:val="24"/>
                <w:highlight w:val="none"/>
                <w:lang w:eastAsia="zh-CN"/>
              </w:rPr>
              <w:t>个包：医疗设备维修保养服务整体外包。</w:t>
            </w:r>
          </w:p>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项目预算</w:t>
            </w:r>
          </w:p>
        </w:tc>
        <w:tc>
          <w:tcPr>
            <w:tcW w:w="6636" w:type="dxa"/>
            <w:vAlign w:val="center"/>
          </w:tcPr>
          <w:p>
            <w:pPr>
              <w:pStyle w:val="111"/>
              <w:tabs>
                <w:tab w:val="center" w:pos="3210"/>
              </w:tabs>
              <w:snapToGrid w:val="0"/>
              <w:spacing w:line="360" w:lineRule="auto"/>
              <w:jc w:val="left"/>
              <w:rPr>
                <w:rFonts w:ascii="宋体" w:hAnsi="宋体" w:cs="宋体"/>
                <w:sz w:val="24"/>
                <w:highlight w:val="none"/>
                <w:lang w:val="en-US" w:eastAsia="zh-CN"/>
              </w:rPr>
            </w:pPr>
            <w:r>
              <w:rPr>
                <w:rFonts w:hint="eastAsia" w:ascii="宋体" w:hAnsi="宋体" w:cs="宋体"/>
                <w:sz w:val="24"/>
                <w:highlight w:val="none"/>
                <w:lang w:eastAsia="zh-CN"/>
              </w:rPr>
              <w:t>预算金额：</w:t>
            </w:r>
            <w:r>
              <w:rPr>
                <w:rFonts w:hint="eastAsia" w:ascii="宋体" w:hAnsi="宋体" w:cs="宋体"/>
                <w:sz w:val="24"/>
                <w:highlight w:val="none"/>
                <w:lang w:val="en-US" w:eastAsia="zh-CN"/>
              </w:rPr>
              <w:t>46万元/年（包含税费）</w:t>
            </w:r>
          </w:p>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投标人资格要求</w:t>
            </w:r>
          </w:p>
        </w:tc>
        <w:tc>
          <w:tcPr>
            <w:tcW w:w="6636" w:type="dxa"/>
            <w:vAlign w:val="center"/>
          </w:tcPr>
          <w:p>
            <w:pPr>
              <w:autoSpaceDN w:val="0"/>
              <w:spacing w:line="360" w:lineRule="auto"/>
              <w:jc w:val="left"/>
              <w:textAlignment w:val="center"/>
              <w:rPr>
                <w:rFonts w:ascii="宋体"/>
                <w:sz w:val="24"/>
                <w:highlight w:val="none"/>
              </w:rPr>
            </w:pPr>
            <w:r>
              <w:rPr>
                <w:rFonts w:ascii="宋体" w:hAnsi="宋体"/>
                <w:sz w:val="24"/>
                <w:highlight w:val="none"/>
              </w:rPr>
              <w:t xml:space="preserve"> 1</w:t>
            </w:r>
            <w:r>
              <w:rPr>
                <w:rFonts w:hint="eastAsia" w:ascii="宋体" w:hAnsi="宋体"/>
                <w:sz w:val="24"/>
                <w:highlight w:val="none"/>
              </w:rPr>
              <w:t>、符合《中华人民共和国政府采购法》第二十二条规定；</w:t>
            </w:r>
          </w:p>
          <w:p>
            <w:pPr>
              <w:spacing w:line="360" w:lineRule="auto"/>
              <w:ind w:firstLine="120" w:firstLineChars="50"/>
              <w:rPr>
                <w:rFonts w:ascii="宋体" w:hAnsi="宋体"/>
                <w:sz w:val="24"/>
                <w:highlight w:val="none"/>
              </w:rPr>
            </w:pPr>
            <w:r>
              <w:rPr>
                <w:rFonts w:hint="eastAsia" w:ascii="宋体" w:hAnsi="宋体"/>
                <w:sz w:val="24"/>
                <w:highlight w:val="none"/>
              </w:rPr>
              <w:t>2、</w:t>
            </w:r>
            <w:r>
              <w:rPr>
                <w:rFonts w:hint="eastAsia" w:ascii="宋体" w:hAnsi="宋体" w:cs="宋体"/>
                <w:sz w:val="24"/>
                <w:highlight w:val="none"/>
              </w:rPr>
              <w:t>必须为未列入“信用中国”、“中国政府采购网”失信被执行人、重大税收违法案件当事人名单、政府采购严重违法失信名单的企业；</w:t>
            </w:r>
          </w:p>
          <w:p>
            <w:pPr>
              <w:autoSpaceDN w:val="0"/>
              <w:spacing w:line="360" w:lineRule="auto"/>
              <w:jc w:val="left"/>
              <w:textAlignment w:val="center"/>
              <w:rPr>
                <w:rFonts w:ascii="宋体"/>
                <w:sz w:val="24"/>
                <w:highlight w:val="none"/>
              </w:rPr>
            </w:pPr>
            <w:r>
              <w:rPr>
                <w:rFonts w:hint="eastAsia" w:ascii="宋体" w:hAnsi="宋体" w:cs="宋体"/>
                <w:sz w:val="24"/>
                <w:highlight w:val="none"/>
              </w:rPr>
              <w:t xml:space="preserve"> 3、</w:t>
            </w:r>
            <w:r>
              <w:rPr>
                <w:rFonts w:hint="eastAsia" w:ascii="宋体" w:hAnsi="宋体"/>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sz w:val="24"/>
                <w:highlight w:val="none"/>
              </w:rPr>
            </w:pPr>
            <w:r>
              <w:rPr>
                <w:rFonts w:ascii="宋体" w:hAnsi="宋体"/>
                <w:sz w:val="24"/>
                <w:highlight w:val="none"/>
              </w:rPr>
              <w:t xml:space="preserve"> </w:t>
            </w:r>
            <w:r>
              <w:rPr>
                <w:rFonts w:hint="eastAsia" w:ascii="宋体" w:hAnsi="宋体"/>
                <w:sz w:val="24"/>
                <w:highlight w:val="none"/>
              </w:rPr>
              <w:t>4、本次采购不接受联合体报价；</w:t>
            </w:r>
          </w:p>
          <w:p>
            <w:pPr>
              <w:autoSpaceDN w:val="0"/>
              <w:spacing w:line="360" w:lineRule="auto"/>
              <w:ind w:firstLine="120" w:firstLineChars="50"/>
              <w:jc w:val="left"/>
              <w:textAlignment w:val="center"/>
              <w:rPr>
                <w:rFonts w:ascii="宋体" w:cs="宋体"/>
                <w:sz w:val="24"/>
                <w:highlight w:val="none"/>
              </w:rPr>
            </w:pPr>
            <w:r>
              <w:rPr>
                <w:rFonts w:hint="eastAsia" w:ascii="宋体" w:hAnsi="宋体"/>
                <w:sz w:val="24"/>
                <w:highlight w:val="none"/>
              </w:rPr>
              <w:t>5、未尽事宜，遵照国家相关规定执行。</w:t>
            </w:r>
            <w:r>
              <w:rPr>
                <w:rFonts w:ascii="宋体" w:hAnsi="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资格审查方式</w:t>
            </w:r>
          </w:p>
        </w:tc>
        <w:tc>
          <w:tcPr>
            <w:tcW w:w="6636" w:type="dxa"/>
            <w:vAlign w:val="center"/>
          </w:tcPr>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付款方式</w:t>
            </w:r>
          </w:p>
        </w:tc>
        <w:tc>
          <w:tcPr>
            <w:tcW w:w="6636" w:type="dxa"/>
            <w:vAlign w:val="center"/>
          </w:tcPr>
          <w:p>
            <w:pPr>
              <w:pStyle w:val="111"/>
              <w:snapToGrid w:val="0"/>
              <w:spacing w:line="360" w:lineRule="auto"/>
              <w:jc w:val="left"/>
              <w:rPr>
                <w:rFonts w:ascii="宋体"/>
                <w:sz w:val="24"/>
                <w:highlight w:val="none"/>
                <w:lang w:val="en-US" w:eastAsia="zh-CN"/>
              </w:rPr>
            </w:pPr>
            <w:r>
              <w:rPr>
                <w:rFonts w:hint="eastAsia" w:ascii="宋体" w:hAnsi="宋体"/>
                <w:sz w:val="24"/>
                <w:highlight w:val="none"/>
                <w:lang w:eastAsia="zh-CN"/>
              </w:rPr>
              <w:t>每年分</w:t>
            </w:r>
            <w:r>
              <w:rPr>
                <w:rFonts w:hint="eastAsia" w:ascii="宋体" w:hAnsi="宋体"/>
                <w:sz w:val="24"/>
                <w:highlight w:val="none"/>
                <w:lang w:val="en-US" w:eastAsia="zh-CN"/>
              </w:rPr>
              <w:t>4期付款，</w:t>
            </w:r>
            <w:r>
              <w:rPr>
                <w:rFonts w:hint="eastAsia" w:ascii="宋体" w:hAnsi="宋体"/>
                <w:sz w:val="24"/>
                <w:highlight w:val="none"/>
                <w:lang w:eastAsia="zh-CN"/>
              </w:rPr>
              <w:t>签订合同并执行满一季度，设备总体开机率不低于98%，次月支付合同金额的25%，每季度依次进行。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lang w:val="en-US" w:eastAsia="zh-CN"/>
              </w:rPr>
            </w:pPr>
            <w:r>
              <w:rPr>
                <w:rFonts w:hint="eastAsia" w:ascii="宋体" w:hAnsi="宋体" w:cs="宋体"/>
                <w:highlight w:val="none"/>
                <w:lang w:val="en-US" w:eastAsia="zh-CN"/>
              </w:rPr>
              <w:t>服务期限</w:t>
            </w:r>
          </w:p>
        </w:tc>
        <w:tc>
          <w:tcPr>
            <w:tcW w:w="6636" w:type="dxa"/>
            <w:vAlign w:val="center"/>
          </w:tcPr>
          <w:p>
            <w:pPr>
              <w:pStyle w:val="111"/>
              <w:snapToGrid w:val="0"/>
              <w:spacing w:line="360" w:lineRule="auto"/>
              <w:jc w:val="left"/>
              <w:rPr>
                <w:rFonts w:ascii="宋体" w:hAnsi="宋体"/>
                <w:sz w:val="24"/>
                <w:highlight w:val="none"/>
                <w:lang w:eastAsia="zh-CN"/>
              </w:rPr>
            </w:pPr>
            <w:r>
              <w:rPr>
                <w:rFonts w:hint="eastAsia"/>
                <w:kern w:val="2"/>
                <w:sz w:val="24"/>
                <w:szCs w:val="24"/>
                <w:highlight w:val="none"/>
              </w:rPr>
              <w:t>总服务期两年，第一年结束前60天根据成交供应商上年度服务情况决定是否续签。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0</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投标文件</w:t>
            </w:r>
          </w:p>
        </w:tc>
        <w:tc>
          <w:tcPr>
            <w:tcW w:w="6636" w:type="dxa"/>
            <w:vAlign w:val="center"/>
          </w:tcPr>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投标文件共</w:t>
            </w:r>
            <w:r>
              <w:rPr>
                <w:rFonts w:hint="eastAsia" w:ascii="宋体" w:hAnsi="宋体" w:cs="宋体"/>
                <w:sz w:val="24"/>
                <w:highlight w:val="none"/>
                <w:lang w:val="en-US" w:eastAsia="zh-CN"/>
              </w:rPr>
              <w:t>5</w:t>
            </w:r>
            <w:r>
              <w:rPr>
                <w:rFonts w:hint="eastAsia" w:ascii="宋体" w:hAnsi="宋体" w:cs="宋体"/>
                <w:sz w:val="24"/>
                <w:highlight w:val="none"/>
                <w:lang w:eastAsia="zh-CN"/>
              </w:rPr>
              <w:t>份，正本</w:t>
            </w:r>
            <w:r>
              <w:rPr>
                <w:rFonts w:ascii="宋体" w:hAnsi="宋体" w:cs="宋体"/>
                <w:sz w:val="24"/>
                <w:highlight w:val="none"/>
                <w:lang w:eastAsia="zh-CN"/>
              </w:rPr>
              <w:t>1</w:t>
            </w:r>
            <w:r>
              <w:rPr>
                <w:rFonts w:hint="eastAsia" w:ascii="宋体" w:hAnsi="宋体" w:cs="宋体"/>
                <w:sz w:val="24"/>
                <w:highlight w:val="none"/>
                <w:lang w:eastAsia="zh-CN"/>
              </w:rPr>
              <w:t>份，副本</w:t>
            </w:r>
            <w:r>
              <w:rPr>
                <w:rFonts w:hint="eastAsia" w:ascii="宋体" w:hAnsi="宋体" w:cs="宋体"/>
                <w:sz w:val="24"/>
                <w:highlight w:val="none"/>
                <w:lang w:val="en-US" w:eastAsia="zh-CN"/>
              </w:rPr>
              <w:t>4</w:t>
            </w:r>
            <w:r>
              <w:rPr>
                <w:rFonts w:hint="eastAsia" w:ascii="宋体" w:hAnsi="宋体" w:cs="宋体"/>
                <w:sz w:val="24"/>
                <w:highlight w:val="none"/>
                <w:lang w:eastAsia="zh-CN"/>
              </w:rPr>
              <w:t>份；电子文档（</w:t>
            </w:r>
            <w:r>
              <w:rPr>
                <w:rFonts w:hint="eastAsia" w:ascii="宋体" w:hAnsi="宋体" w:cs="宋体"/>
                <w:b/>
                <w:sz w:val="24"/>
                <w:highlight w:val="none"/>
                <w:lang w:val="en-US" w:eastAsia="zh-CN"/>
              </w:rPr>
              <w:t>U</w:t>
            </w:r>
            <w:r>
              <w:rPr>
                <w:rFonts w:hint="eastAsia" w:ascii="宋体" w:hAnsi="宋体" w:cs="宋体"/>
                <w:b/>
                <w:sz w:val="24"/>
                <w:highlight w:val="none"/>
                <w:lang w:eastAsia="zh-CN"/>
              </w:rPr>
              <w:t>盘</w:t>
            </w:r>
            <w:r>
              <w:rPr>
                <w:rFonts w:hint="eastAsia" w:ascii="宋体" w:hAnsi="宋体" w:cs="宋体"/>
                <w:sz w:val="24"/>
                <w:highlight w:val="none"/>
                <w:lang w:eastAsia="zh-CN"/>
              </w:rPr>
              <w:t>）投标文件一份，采用</w:t>
            </w:r>
            <w:r>
              <w:rPr>
                <w:rFonts w:ascii="宋体" w:hAnsi="宋体" w:cs="宋体"/>
                <w:sz w:val="24"/>
                <w:highlight w:val="none"/>
                <w:lang w:val="en-US" w:eastAsia="zh-CN"/>
              </w:rPr>
              <w:t>PDF</w:t>
            </w:r>
            <w:r>
              <w:rPr>
                <w:rFonts w:hint="eastAsia" w:ascii="宋体" w:hAnsi="宋体" w:cs="宋体"/>
                <w:sz w:val="24"/>
                <w:highlight w:val="none"/>
                <w:lang w:eastAsia="zh-CN"/>
              </w:rPr>
              <w:t>中文版，与纸质投标文件一致。</w:t>
            </w:r>
          </w:p>
          <w:p>
            <w:pPr>
              <w:pStyle w:val="111"/>
              <w:snapToGrid w:val="0"/>
              <w:spacing w:line="360" w:lineRule="auto"/>
              <w:jc w:val="left"/>
              <w:rPr>
                <w:rFonts w:ascii="宋体" w:cs="宋体"/>
                <w:sz w:val="24"/>
                <w:highlight w:val="none"/>
                <w:lang w:eastAsia="zh-CN"/>
              </w:rPr>
            </w:pPr>
            <w:r>
              <w:rPr>
                <w:rFonts w:hint="eastAsia" w:ascii="宋体" w:hAnsi="宋体" w:cs="宋体"/>
                <w:b/>
                <w:bCs/>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开标一览表</w:t>
            </w:r>
          </w:p>
        </w:tc>
        <w:tc>
          <w:tcPr>
            <w:tcW w:w="6636" w:type="dxa"/>
            <w:vAlign w:val="center"/>
          </w:tcPr>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 xml:space="preserve">1. </w:t>
            </w:r>
            <w:r>
              <w:rPr>
                <w:rFonts w:hint="eastAsia" w:ascii="宋体" w:hAnsi="宋体" w:cs="宋体"/>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 xml:space="preserve">2. </w:t>
            </w:r>
            <w:r>
              <w:rPr>
                <w:rFonts w:hint="eastAsia" w:ascii="宋体" w:hAnsi="宋体" w:cs="宋体"/>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密封和标记</w:t>
            </w:r>
          </w:p>
        </w:tc>
        <w:tc>
          <w:tcPr>
            <w:tcW w:w="6636" w:type="dxa"/>
            <w:vAlign w:val="center"/>
          </w:tcPr>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 xml:space="preserve">1. </w:t>
            </w:r>
            <w:r>
              <w:rPr>
                <w:rFonts w:hint="eastAsia" w:ascii="宋体" w:hAnsi="宋体" w:cs="宋体"/>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 xml:space="preserve">2. </w:t>
            </w:r>
            <w:r>
              <w:rPr>
                <w:rFonts w:hint="eastAsia" w:ascii="宋体" w:hAnsi="宋体" w:cs="宋体"/>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3</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highlight w:val="none"/>
                <w:lang w:val="en-US" w:eastAsia="zh-CN"/>
              </w:rPr>
              <w:t>截止时间</w:t>
            </w:r>
          </w:p>
        </w:tc>
        <w:tc>
          <w:tcPr>
            <w:tcW w:w="6636" w:type="dxa"/>
            <w:vAlign w:val="center"/>
          </w:tcPr>
          <w:p>
            <w:pPr>
              <w:snapToGrid w:val="0"/>
              <w:spacing w:line="360" w:lineRule="auto"/>
              <w:ind w:right="113"/>
              <w:rPr>
                <w:rFonts w:ascii="宋体" w:cs="宋体"/>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4</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636" w:type="dxa"/>
            <w:vAlign w:val="center"/>
          </w:tcPr>
          <w:p>
            <w:pPr>
              <w:snapToGrid w:val="0"/>
              <w:spacing w:line="360" w:lineRule="auto"/>
              <w:rPr>
                <w:rFonts w:ascii="宋体"/>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日9时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5</w:t>
            </w:r>
          </w:p>
        </w:tc>
        <w:tc>
          <w:tcPr>
            <w:tcW w:w="2635"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636" w:type="dxa"/>
            <w:vAlign w:val="center"/>
          </w:tcPr>
          <w:p>
            <w:pPr>
              <w:snapToGrid w:val="0"/>
              <w:spacing w:line="360" w:lineRule="auto"/>
              <w:rPr>
                <w:rFonts w:ascii="宋体" w:cs="宋体"/>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日9时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投标有效期</w:t>
            </w:r>
          </w:p>
        </w:tc>
        <w:tc>
          <w:tcPr>
            <w:tcW w:w="6636" w:type="dxa"/>
            <w:vAlign w:val="center"/>
          </w:tcPr>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90</w:t>
            </w:r>
            <w:r>
              <w:rPr>
                <w:rFonts w:hint="eastAsia" w:ascii="宋体" w:hAnsi="宋体" w:cs="宋体"/>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lang w:val="en-US" w:eastAsia="zh-CN"/>
              </w:rPr>
            </w:pPr>
            <w:r>
              <w:rPr>
                <w:rFonts w:hint="eastAsia" w:ascii="宋体" w:hAnsi="宋体" w:cs="宋体"/>
                <w:highlight w:val="none"/>
                <w:lang w:val="en-US" w:eastAsia="zh-CN"/>
              </w:rPr>
              <w:t>投标保证金交纳</w:t>
            </w:r>
          </w:p>
        </w:tc>
        <w:tc>
          <w:tcPr>
            <w:tcW w:w="6636" w:type="dxa"/>
            <w:vAlign w:val="center"/>
          </w:tcPr>
          <w:p>
            <w:pPr>
              <w:pStyle w:val="111"/>
              <w:snapToGrid w:val="0"/>
              <w:spacing w:line="360" w:lineRule="auto"/>
              <w:jc w:val="left"/>
              <w:rPr>
                <w:rFonts w:ascii="宋体" w:hAnsi="宋体" w:cs="宋体"/>
                <w:b/>
                <w:bCs/>
                <w:sz w:val="24"/>
                <w:highlight w:val="none"/>
                <w:lang w:val="en-US" w:eastAsia="zh-CN"/>
              </w:rPr>
            </w:pPr>
            <w:r>
              <w:rPr>
                <w:rFonts w:hint="eastAsia" w:ascii="宋体" w:hAnsi="宋体" w:cs="宋体"/>
                <w:sz w:val="24"/>
                <w:highlight w:val="none"/>
                <w:lang w:eastAsia="zh-CN"/>
              </w:rPr>
              <w:t>投标保证金的金额：</w:t>
            </w:r>
            <w:r>
              <w:rPr>
                <w:rFonts w:hint="eastAsia" w:ascii="宋体" w:hAnsi="宋体" w:cs="宋体"/>
                <w:b/>
                <w:bCs/>
                <w:sz w:val="24"/>
                <w:highlight w:val="none"/>
                <w:lang w:val="en-US" w:eastAsia="zh-CN"/>
              </w:rPr>
              <w:t>10000元； 大写：壹万元整。</w:t>
            </w:r>
          </w:p>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2</w:t>
            </w:r>
            <w:r>
              <w:rPr>
                <w:rFonts w:hint="eastAsia" w:ascii="宋体" w:hAnsi="宋体" w:cs="宋体"/>
                <w:sz w:val="24"/>
                <w:highlight w:val="none"/>
                <w:lang w:eastAsia="zh-CN"/>
              </w:rPr>
              <w:t>、递交方式：电汇（电汇时需备注：山大二院</w:t>
            </w:r>
            <w:r>
              <w:rPr>
                <w:rFonts w:hint="eastAsia" w:ascii="宋体" w:hAnsi="宋体" w:cs="宋体"/>
                <w:sz w:val="24"/>
                <w:highlight w:val="none"/>
                <w:lang w:val="en-US" w:eastAsia="zh-CN"/>
              </w:rPr>
              <w:t>--</w:t>
            </w:r>
            <w:r>
              <w:rPr>
                <w:rFonts w:hint="eastAsia" w:ascii="宋体" w:hAnsi="宋体" w:cs="宋体"/>
                <w:sz w:val="24"/>
                <w:highlight w:val="none"/>
                <w:lang w:eastAsia="zh-CN"/>
              </w:rPr>
              <w:t>招标八部）</w:t>
            </w:r>
          </w:p>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3</w:t>
            </w:r>
            <w:r>
              <w:rPr>
                <w:rFonts w:hint="eastAsia" w:ascii="宋体" w:hAnsi="宋体" w:cs="宋体"/>
                <w:sz w:val="24"/>
                <w:highlight w:val="none"/>
                <w:lang w:eastAsia="zh-CN"/>
              </w:rPr>
              <w:t>、投标保证金汇入银行及账号：</w:t>
            </w:r>
          </w:p>
          <w:p>
            <w:pPr>
              <w:pStyle w:val="111"/>
              <w:snapToGrid w:val="0"/>
              <w:spacing w:line="360" w:lineRule="auto"/>
              <w:jc w:val="left"/>
              <w:rPr>
                <w:rFonts w:ascii="宋体" w:cs="宋体"/>
                <w:sz w:val="24"/>
                <w:highlight w:val="none"/>
                <w:lang w:eastAsia="zh-CN"/>
              </w:rPr>
            </w:pPr>
            <w:r>
              <w:rPr>
                <w:rFonts w:ascii="宋体" w:cs="宋体"/>
                <w:sz w:val="24"/>
                <w:highlight w:val="none"/>
                <w:lang w:eastAsia="zh-CN"/>
              </w:rPr>
              <w:t> </w:t>
            </w:r>
            <w:r>
              <w:rPr>
                <w:rFonts w:ascii="宋体" w:hAnsi="宋体" w:cs="宋体"/>
                <w:sz w:val="24"/>
                <w:highlight w:val="none"/>
                <w:lang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开户名称：山东省鲁成招标有限公司</w:t>
            </w:r>
          </w:p>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开户银行：中国农业银行济南分行</w:t>
            </w:r>
          </w:p>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 xml:space="preserve">   </w:t>
            </w:r>
            <w:r>
              <w:rPr>
                <w:rFonts w:hint="eastAsia" w:ascii="宋体" w:hAnsi="宋体" w:cs="宋体"/>
                <w:sz w:val="24"/>
                <w:highlight w:val="none"/>
                <w:lang w:eastAsia="zh-CN"/>
              </w:rPr>
              <w:t>银行账号：</w:t>
            </w:r>
            <w:r>
              <w:rPr>
                <w:rFonts w:ascii="宋体" w:hAnsi="宋体" w:cs="宋体"/>
                <w:sz w:val="24"/>
                <w:highlight w:val="none"/>
                <w:lang w:eastAsia="zh-CN"/>
              </w:rPr>
              <w:t>15110101040001136</w:t>
            </w:r>
          </w:p>
          <w:p>
            <w:pPr>
              <w:pStyle w:val="111"/>
              <w:snapToGrid w:val="0"/>
              <w:spacing w:line="360" w:lineRule="auto"/>
              <w:jc w:val="left"/>
              <w:rPr>
                <w:rFonts w:ascii="宋体" w:cs="宋体"/>
                <w:sz w:val="24"/>
                <w:highlight w:val="none"/>
                <w:lang w:eastAsia="zh-CN"/>
              </w:rPr>
            </w:pPr>
            <w:r>
              <w:rPr>
                <w:rFonts w:ascii="宋体" w:hAnsi="宋体" w:cs="宋体"/>
                <w:sz w:val="24"/>
                <w:highlight w:val="none"/>
                <w:lang w:eastAsia="zh-CN"/>
              </w:rPr>
              <w:t xml:space="preserve">  </w:t>
            </w:r>
            <w:r>
              <w:rPr>
                <w:rFonts w:hint="eastAsia" w:ascii="宋体" w:hAnsi="宋体" w:cs="宋体"/>
                <w:sz w:val="24"/>
                <w:highlight w:val="none"/>
                <w:lang w:eastAsia="zh-CN"/>
              </w:rPr>
              <w:t>（行号：</w:t>
            </w:r>
            <w:r>
              <w:rPr>
                <w:rFonts w:ascii="宋体" w:hAnsi="宋体" w:cs="宋体"/>
                <w:sz w:val="24"/>
                <w:highlight w:val="none"/>
                <w:lang w:eastAsia="zh-CN"/>
              </w:rPr>
              <w:t>103451011106</w:t>
            </w:r>
            <w:r>
              <w:rPr>
                <w:rFonts w:hint="eastAsia" w:ascii="宋体" w:hAnsi="宋体" w:cs="宋体"/>
                <w:sz w:val="24"/>
                <w:highlight w:val="none"/>
                <w:lang w:eastAsia="zh-CN"/>
              </w:rPr>
              <w:t>）</w:t>
            </w:r>
          </w:p>
          <w:p>
            <w:pPr>
              <w:pStyle w:val="111"/>
              <w:snapToGrid w:val="0"/>
              <w:spacing w:line="360" w:lineRule="auto"/>
              <w:jc w:val="left"/>
              <w:rPr>
                <w:rFonts w:ascii="宋体" w:hAnsi="宋体" w:cs="宋体"/>
                <w:sz w:val="24"/>
                <w:highlight w:val="none"/>
                <w:lang w:eastAsia="zh-CN"/>
              </w:rPr>
            </w:pPr>
            <w:r>
              <w:rPr>
                <w:rFonts w:ascii="宋体" w:hAnsi="宋体" w:cs="宋体"/>
                <w:sz w:val="24"/>
                <w:highlight w:val="none"/>
                <w:lang w:eastAsia="zh-CN"/>
              </w:rPr>
              <w:t xml:space="preserve"> </w:t>
            </w:r>
            <w:r>
              <w:rPr>
                <w:rFonts w:hint="eastAsia" w:ascii="宋体" w:hAnsi="宋体" w:cs="宋体"/>
                <w:sz w:val="24"/>
                <w:highlight w:val="none"/>
                <w:lang w:eastAsia="zh-CN"/>
              </w:rPr>
              <w:t>投标保证金应当在</w:t>
            </w:r>
            <w:r>
              <w:rPr>
                <w:rFonts w:hint="eastAsia" w:ascii="宋体" w:hAnsi="宋体" w:cs="宋体"/>
                <w:b/>
                <w:bCs/>
                <w:highlight w:val="none"/>
                <w:lang w:eastAsia="zh-CN"/>
              </w:rPr>
              <w:t>20</w:t>
            </w:r>
            <w:r>
              <w:rPr>
                <w:rFonts w:hint="eastAsia" w:ascii="宋体" w:hAnsi="宋体" w:cs="宋体"/>
                <w:b/>
                <w:bCs/>
                <w:highlight w:val="none"/>
                <w:lang w:val="en-US" w:eastAsia="zh-CN"/>
              </w:rPr>
              <w:t>20</w:t>
            </w:r>
            <w:r>
              <w:rPr>
                <w:rFonts w:hint="eastAsia" w:ascii="宋体" w:hAnsi="宋体" w:cs="宋体"/>
                <w:b/>
                <w:bCs/>
                <w:highlight w:val="none"/>
                <w:lang w:eastAsia="zh-CN"/>
              </w:rPr>
              <w:t>年</w:t>
            </w:r>
            <w:r>
              <w:rPr>
                <w:rFonts w:hint="eastAsia" w:ascii="宋体" w:hAnsi="宋体" w:cs="宋体"/>
                <w:b/>
                <w:bCs/>
                <w:highlight w:val="none"/>
                <w:lang w:val="en-US" w:eastAsia="zh-CN"/>
              </w:rPr>
              <w:t>4月9</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w:t>
            </w:r>
            <w:r>
              <w:rPr>
                <w:rFonts w:hint="eastAsia" w:ascii="宋体" w:hAnsi="宋体" w:cs="宋体"/>
                <w:b/>
                <w:bCs/>
                <w:highlight w:val="none"/>
                <w:lang w:val="en-US" w:eastAsia="zh-CN"/>
              </w:rPr>
              <w:t>0</w:t>
            </w:r>
            <w:r>
              <w:rPr>
                <w:rFonts w:hint="eastAsia" w:ascii="宋体" w:hAnsi="宋体" w:cs="宋体"/>
                <w:b/>
                <w:bCs/>
                <w:highlight w:val="none"/>
                <w:lang w:eastAsia="zh-CN"/>
              </w:rPr>
              <w:t>0</w:t>
            </w:r>
            <w:r>
              <w:rPr>
                <w:rFonts w:hint="eastAsia" w:ascii="宋体" w:hAnsi="宋体" w:cs="宋体"/>
                <w:sz w:val="24"/>
                <w:highlight w:val="none"/>
                <w:lang w:eastAsia="zh-CN"/>
              </w:rPr>
              <w:t>之前到达上述帐户，逾期不予受理。并将开户许可证及投标保证金电汇凭证扫描版发送邮件至</w:t>
            </w:r>
            <w:r>
              <w:rPr>
                <w:rFonts w:hint="eastAsia" w:ascii="宋体" w:hAnsi="宋体" w:cs="宋体"/>
                <w:sz w:val="24"/>
                <w:highlight w:val="none"/>
                <w:lang w:val="en-US" w:eastAsia="zh-CN"/>
              </w:rPr>
              <w:t>lczb08@126.com</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1</w:t>
            </w:r>
            <w:r>
              <w:rPr>
                <w:rFonts w:hint="eastAsia" w:ascii="宋体" w:hAnsi="宋体" w:cs="宋体"/>
                <w:highlight w:val="none"/>
                <w:lang w:val="en-US" w:eastAsia="zh-CN"/>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highlight w:val="none"/>
                <w:lang w:val="en-US" w:eastAsia="zh-CN"/>
              </w:rPr>
            </w:pPr>
            <w:r>
              <w:rPr>
                <w:rFonts w:hint="eastAsia" w:ascii="宋体" w:hAnsi="宋体" w:cs="宋体"/>
                <w:b/>
                <w:bCs/>
                <w:highlight w:val="none"/>
                <w:lang w:val="en-US" w:eastAsia="zh-CN"/>
              </w:rPr>
              <w:t>2020年4月9日8：00至9:00（超时不收）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19</w:t>
            </w:r>
          </w:p>
        </w:tc>
        <w:tc>
          <w:tcPr>
            <w:tcW w:w="2635" w:type="dxa"/>
            <w:vAlign w:val="center"/>
          </w:tcPr>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投标文件递交的</w:t>
            </w:r>
          </w:p>
          <w:p>
            <w:pPr>
              <w:pStyle w:val="111"/>
              <w:snapToGrid w:val="0"/>
              <w:spacing w:line="360" w:lineRule="auto"/>
              <w:ind w:firstLine="480" w:firstLineChars="200"/>
              <w:rPr>
                <w:rFonts w:ascii="宋体" w:cs="宋体"/>
                <w:highlight w:val="none"/>
              </w:rPr>
            </w:pPr>
            <w:r>
              <w:rPr>
                <w:rFonts w:hint="eastAsia" w:ascii="宋体" w:hAnsi="宋体" w:cs="宋体"/>
                <w:sz w:val="24"/>
                <w:highlight w:val="none"/>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highlight w:val="none"/>
                <w:lang w:val="en-US" w:eastAsia="zh-CN"/>
              </w:rPr>
            </w:pPr>
            <w:r>
              <w:rPr>
                <w:rFonts w:hint="eastAsia" w:ascii="宋体" w:hAnsi="宋体" w:cs="宋体"/>
                <w:b/>
                <w:bCs/>
                <w:highlight w:val="none"/>
                <w:lang w:val="en-US" w:eastAsia="zh-CN"/>
              </w:rPr>
              <w:t>2020年4月9日9：00时整(北京时间)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ascii="宋体" w:hAnsi="宋体" w:cs="宋体"/>
                <w:highlight w:val="none"/>
                <w:lang w:val="en-US" w:eastAsia="zh-CN"/>
              </w:rPr>
              <w:t>2</w:t>
            </w:r>
            <w:r>
              <w:rPr>
                <w:rFonts w:hint="eastAsia" w:ascii="宋体" w:hAnsi="宋体" w:cs="宋体"/>
                <w:highlight w:val="none"/>
                <w:lang w:val="en-US" w:eastAsia="zh-CN"/>
              </w:rPr>
              <w:t>0</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递交投标文件地点</w:t>
            </w:r>
          </w:p>
        </w:tc>
        <w:tc>
          <w:tcPr>
            <w:tcW w:w="6636" w:type="dxa"/>
            <w:vAlign w:val="center"/>
          </w:tcPr>
          <w:p>
            <w:pPr>
              <w:pStyle w:val="111"/>
              <w:snapToGrid w:val="0"/>
              <w:spacing w:line="360" w:lineRule="auto"/>
              <w:jc w:val="left"/>
              <w:rPr>
                <w:rFonts w:ascii="宋体" w:cs="宋体"/>
                <w:highlight w:val="none"/>
              </w:rPr>
            </w:pPr>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r>
              <w:rPr>
                <w:rFonts w:hint="eastAsia" w:ascii="宋体" w:hAnsi="宋体"/>
                <w:color w:val="000000"/>
                <w:sz w:val="24"/>
                <w:highlight w:val="none"/>
                <w:lang w:eastAsia="zh-CN"/>
              </w:rPr>
              <w:t>，如需变更另行通知</w:t>
            </w:r>
            <w:r>
              <w:rPr>
                <w:rFonts w:hint="eastAsia" w:ascii="宋体" w:cs="宋体"/>
                <w:sz w:val="24"/>
                <w:highlight w:val="none"/>
                <w:lang w:eastAsia="zh-CN"/>
              </w:rPr>
              <w:t>）</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cs="宋体"/>
                <w:highlight w:val="none"/>
                <w:lang w:val="en-US" w:eastAsia="zh-CN"/>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评审方法</w:t>
            </w:r>
          </w:p>
        </w:tc>
        <w:tc>
          <w:tcPr>
            <w:tcW w:w="6636" w:type="dxa"/>
            <w:vAlign w:val="center"/>
          </w:tcPr>
          <w:p>
            <w:pPr>
              <w:pStyle w:val="111"/>
              <w:snapToGrid w:val="0"/>
              <w:spacing w:line="360" w:lineRule="auto"/>
              <w:jc w:val="left"/>
              <w:rPr>
                <w:rFonts w:ascii="宋体" w:cs="宋体"/>
                <w:sz w:val="24"/>
                <w:highlight w:val="none"/>
                <w:lang w:eastAsia="zh-CN"/>
              </w:rPr>
            </w:pPr>
            <w:r>
              <w:rPr>
                <w:rFonts w:hint="eastAsia" w:ascii="宋体" w:hAnsi="宋体" w:cs="宋体"/>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cs="宋体"/>
                <w:highlight w:val="none"/>
                <w:lang w:val="en-US" w:eastAsia="zh-CN"/>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lang w:val="en-US" w:eastAsia="zh-CN"/>
              </w:rPr>
            </w:pPr>
            <w:r>
              <w:rPr>
                <w:rFonts w:hint="eastAsia" w:ascii="宋体" w:hAnsi="宋体" w:cs="宋体"/>
                <w:highlight w:val="none"/>
                <w:lang w:val="en-US" w:eastAsia="zh-CN"/>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highlight w:val="none"/>
                <w:lang w:val="en-US" w:eastAsia="zh-CN"/>
              </w:rPr>
            </w:pPr>
            <w:r>
              <w:rPr>
                <w:rFonts w:hint="eastAsia" w:ascii="宋体" w:hAnsi="宋体" w:cs="宋体"/>
                <w:highlight w:val="none"/>
                <w:lang w:val="en-US" w:eastAsia="zh-CN"/>
              </w:rPr>
              <w:t>中标服务费：按国家计委计价格</w:t>
            </w:r>
            <w:r>
              <w:rPr>
                <w:rFonts w:ascii="宋体" w:hAnsi="宋体" w:cs="宋体"/>
                <w:highlight w:val="none"/>
                <w:lang w:val="en-US" w:eastAsia="zh-CN"/>
              </w:rPr>
              <w:t>[2002]1980</w:t>
            </w:r>
            <w:r>
              <w:rPr>
                <w:rFonts w:hint="eastAsia" w:ascii="宋体" w:hAnsi="宋体" w:cs="宋体"/>
                <w:highlight w:val="none"/>
                <w:lang w:val="en-US" w:eastAsia="zh-CN"/>
              </w:rPr>
              <w:t>号文收费标准下浮30%向代理招标人交纳中标服务费。中标服务费由中标人支付。无论投标过程中的方法和结果如何，投标人自行承担所有与参加投标有关的费用。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6191"/>
      <w:bookmarkStart w:id="7" w:name="_Toc12225"/>
      <w:bookmarkStart w:id="8" w:name="_Toc10957"/>
      <w:r>
        <w:rPr>
          <w:rFonts w:hint="eastAsia" w:ascii="宋体" w:hAnsi="宋体"/>
          <w:b/>
          <w:sz w:val="28"/>
          <w:highlight w:val="none"/>
        </w:rPr>
        <w:t>一、说明</w:t>
      </w:r>
      <w:bookmarkEnd w:id="6"/>
      <w:bookmarkEnd w:id="7"/>
      <w:bookmarkEnd w:id="8"/>
    </w:p>
    <w:p>
      <w:pPr>
        <w:pStyle w:val="13"/>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3"/>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3"/>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3"/>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32185"/>
      <w:bookmarkStart w:id="10" w:name="_Toc7693"/>
      <w:bookmarkStart w:id="11" w:name="_Toc6481"/>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3.1.7</w:t>
      </w:r>
      <w:r>
        <w:rPr>
          <w:rFonts w:hint="eastAsia" w:ascii="宋体"/>
          <w:sz w:val="24"/>
          <w:highlight w:val="none"/>
        </w:rPr>
        <w:t>法律、行政法规规定的其他条件；</w:t>
      </w:r>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2" w:name="_Toc28524"/>
      <w:bookmarkStart w:id="13" w:name="_Toc9430"/>
      <w:bookmarkStart w:id="14" w:name="_Toc10338"/>
      <w:r>
        <w:rPr>
          <w:rFonts w:ascii="宋体" w:hAnsi="宋体"/>
          <w:b/>
          <w:sz w:val="24"/>
          <w:highlight w:val="none"/>
        </w:rPr>
        <w:t xml:space="preserve">4  </w:t>
      </w:r>
      <w:r>
        <w:rPr>
          <w:rFonts w:hint="eastAsia" w:ascii="宋体" w:hAnsi="宋体"/>
          <w:b/>
          <w:sz w:val="24"/>
          <w:highlight w:val="none"/>
        </w:rPr>
        <w:t>服务定义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13517"/>
      <w:bookmarkStart w:id="16" w:name="_Toc979"/>
      <w:bookmarkStart w:id="17" w:name="_Toc1705"/>
      <w:r>
        <w:rPr>
          <w:rFonts w:ascii="宋体" w:hAnsi="宋体"/>
          <w:sz w:val="24"/>
          <w:highlight w:val="none"/>
        </w:rPr>
        <w:t xml:space="preserve">4.1 </w:t>
      </w:r>
      <w:r>
        <w:rPr>
          <w:rFonts w:hint="eastAsia" w:ascii="宋体" w:hAnsi="宋体"/>
          <w:sz w:val="24"/>
          <w:highlight w:val="none"/>
        </w:rPr>
        <w:t>“服务”</w:t>
      </w:r>
      <w:r>
        <w:rPr>
          <w:rFonts w:hint="eastAsia"/>
          <w:highlight w:val="none"/>
        </w:rPr>
        <w:t xml:space="preserve"> </w:t>
      </w:r>
      <w:r>
        <w:rPr>
          <w:rFonts w:hint="eastAsia" w:ascii="宋体" w:hAnsi="宋体"/>
          <w:sz w:val="24"/>
          <w:highlight w:val="none"/>
        </w:rPr>
        <w:t>指本招标文件中所述产品的维保服务。</w:t>
      </w:r>
      <w:bookmarkEnd w:id="15"/>
      <w:bookmarkEnd w:id="16"/>
      <w:bookmarkEnd w:id="17"/>
    </w:p>
    <w:p>
      <w:pPr>
        <w:pStyle w:val="21"/>
        <w:tabs>
          <w:tab w:val="left" w:pos="955"/>
        </w:tabs>
        <w:spacing w:line="480" w:lineRule="exact"/>
        <w:ind w:left="571" w:leftChars="272" w:firstLine="2" w:firstLineChars="0"/>
        <w:outlineLvl w:val="0"/>
        <w:rPr>
          <w:rFonts w:ascii="宋体"/>
          <w:b/>
          <w:sz w:val="24"/>
          <w:highlight w:val="none"/>
        </w:rPr>
      </w:pPr>
      <w:bookmarkStart w:id="18" w:name="_Toc32728"/>
      <w:bookmarkStart w:id="19" w:name="_Toc30324"/>
      <w:bookmarkStart w:id="20" w:name="_Toc6605"/>
      <w:r>
        <w:rPr>
          <w:rFonts w:ascii="宋体" w:hAnsi="宋体"/>
          <w:b/>
          <w:sz w:val="24"/>
          <w:highlight w:val="none"/>
        </w:rPr>
        <w:t xml:space="preserve">5.  </w:t>
      </w:r>
      <w:r>
        <w:rPr>
          <w:rFonts w:hint="eastAsia" w:ascii="宋体" w:hAnsi="宋体"/>
          <w:b/>
          <w:sz w:val="24"/>
          <w:highlight w:val="none"/>
        </w:rPr>
        <w:t>投标费用</w:t>
      </w:r>
      <w:bookmarkEnd w:id="18"/>
      <w:bookmarkEnd w:id="19"/>
      <w:bookmarkEnd w:id="20"/>
    </w:p>
    <w:p>
      <w:pPr>
        <w:pStyle w:val="21"/>
        <w:spacing w:line="480" w:lineRule="exact"/>
        <w:ind w:left="48" w:leftChars="23" w:firstLine="480" w:firstLineChars="200"/>
        <w:outlineLvl w:val="0"/>
        <w:rPr>
          <w:rFonts w:ascii="宋体"/>
          <w:sz w:val="24"/>
          <w:highlight w:val="none"/>
        </w:rPr>
      </w:pPr>
      <w:bookmarkStart w:id="21" w:name="_Toc7414"/>
      <w:bookmarkStart w:id="22" w:name="_Toc8916"/>
      <w:bookmarkStart w:id="23"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rFonts w:hint="eastAsia"/>
          <w:sz w:val="24"/>
          <w:szCs w:val="22"/>
          <w:highlight w:val="none"/>
          <w:lang w:val="en-US" w:eastAsia="zh-CN"/>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4"/>
    </w:p>
    <w:p>
      <w:pPr>
        <w:pStyle w:val="21"/>
        <w:spacing w:line="480" w:lineRule="exact"/>
        <w:ind w:left="0" w:leftChars="0" w:firstLine="0" w:firstLineChars="0"/>
        <w:outlineLvl w:val="1"/>
        <w:rPr>
          <w:rFonts w:ascii="宋体"/>
          <w:b/>
          <w:sz w:val="28"/>
          <w:highlight w:val="none"/>
        </w:rPr>
      </w:pPr>
      <w:bookmarkStart w:id="25" w:name="_Toc22107"/>
      <w:bookmarkStart w:id="26" w:name="_Toc8225"/>
      <w:bookmarkStart w:id="27" w:name="_Toc7019"/>
      <w:r>
        <w:rPr>
          <w:rFonts w:hint="eastAsia" w:ascii="宋体" w:hAnsi="宋体"/>
          <w:b/>
          <w:sz w:val="28"/>
          <w:highlight w:val="none"/>
        </w:rPr>
        <w:t>二、招标文件</w:t>
      </w:r>
      <w:bookmarkEnd w:id="25"/>
      <w:bookmarkEnd w:id="26"/>
      <w:bookmarkEnd w:id="27"/>
    </w:p>
    <w:p>
      <w:pPr>
        <w:pStyle w:val="21"/>
        <w:spacing w:line="480" w:lineRule="exact"/>
        <w:ind w:left="569" w:leftChars="271" w:firstLine="2" w:firstLineChars="1"/>
        <w:outlineLvl w:val="0"/>
        <w:rPr>
          <w:rFonts w:ascii="宋体"/>
          <w:b/>
          <w:sz w:val="24"/>
          <w:highlight w:val="none"/>
        </w:rPr>
      </w:pPr>
      <w:bookmarkStart w:id="28" w:name="_Toc29387"/>
      <w:bookmarkStart w:id="29" w:name="_Toc8798"/>
      <w:bookmarkStart w:id="30" w:name="_Toc31893"/>
      <w:r>
        <w:rPr>
          <w:rFonts w:ascii="宋体" w:hAnsi="宋体"/>
          <w:b/>
          <w:sz w:val="24"/>
          <w:highlight w:val="none"/>
        </w:rPr>
        <w:t xml:space="preserve">6.  </w:t>
      </w:r>
      <w:r>
        <w:rPr>
          <w:rFonts w:hint="eastAsia" w:ascii="宋体" w:hAnsi="宋体"/>
          <w:b/>
          <w:sz w:val="24"/>
          <w:highlight w:val="none"/>
        </w:rPr>
        <w:t>招标文件构成</w:t>
      </w:r>
      <w:bookmarkEnd w:id="28"/>
      <w:bookmarkEnd w:id="29"/>
      <w:bookmarkEnd w:id="30"/>
    </w:p>
    <w:p>
      <w:pPr>
        <w:pStyle w:val="21"/>
        <w:spacing w:line="480" w:lineRule="exact"/>
        <w:ind w:left="197" w:leftChars="94" w:firstLine="360" w:firstLineChars="150"/>
        <w:outlineLvl w:val="0"/>
        <w:rPr>
          <w:rFonts w:ascii="宋体"/>
          <w:sz w:val="24"/>
          <w:highlight w:val="none"/>
        </w:rPr>
      </w:pPr>
      <w:bookmarkStart w:id="31" w:name="_Toc22244"/>
      <w:bookmarkStart w:id="32" w:name="_Toc29308"/>
      <w:bookmarkStart w:id="33" w:name="_Toc27616"/>
      <w:r>
        <w:rPr>
          <w:rFonts w:hint="eastAsia" w:ascii="宋体" w:hAnsi="宋体"/>
          <w:sz w:val="24"/>
          <w:highlight w:val="none"/>
        </w:rPr>
        <w:t>本招标文件共分五部分，内容如下：</w:t>
      </w:r>
      <w:bookmarkEnd w:id="31"/>
      <w:bookmarkEnd w:id="32"/>
      <w:bookmarkEnd w:id="33"/>
    </w:p>
    <w:p>
      <w:pPr>
        <w:pStyle w:val="21"/>
        <w:spacing w:line="480" w:lineRule="exact"/>
        <w:ind w:left="199" w:leftChars="95" w:firstLine="840" w:firstLineChars="350"/>
        <w:outlineLvl w:val="0"/>
        <w:rPr>
          <w:rFonts w:ascii="宋体"/>
          <w:sz w:val="24"/>
          <w:highlight w:val="none"/>
        </w:rPr>
      </w:pPr>
      <w:bookmarkStart w:id="34" w:name="_Toc22769"/>
      <w:bookmarkStart w:id="35" w:name="_Toc22328"/>
      <w:bookmarkStart w:id="36" w:name="_Toc24847"/>
      <w:r>
        <w:rPr>
          <w:rFonts w:hint="eastAsia" w:ascii="宋体" w:hAnsi="宋体"/>
          <w:sz w:val="24"/>
          <w:highlight w:val="none"/>
        </w:rPr>
        <w:t>第一部分招标公告</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1707"/>
      <w:bookmarkStart w:id="38" w:name="_Toc30737"/>
      <w:bookmarkStart w:id="39" w:name="_Toc3662"/>
      <w:r>
        <w:rPr>
          <w:rFonts w:hint="eastAsia" w:ascii="宋体" w:hAnsi="宋体"/>
          <w:sz w:val="24"/>
          <w:highlight w:val="none"/>
        </w:rPr>
        <w:t>第二部分投标人须知</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6061"/>
      <w:bookmarkStart w:id="41" w:name="_Toc5592"/>
      <w:bookmarkStart w:id="42" w:name="_Toc25164"/>
      <w:r>
        <w:rPr>
          <w:rFonts w:hint="eastAsia" w:ascii="宋体" w:hAnsi="宋体"/>
          <w:sz w:val="24"/>
          <w:highlight w:val="none"/>
        </w:rPr>
        <w:t>第三部分招标要求</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27874"/>
      <w:bookmarkStart w:id="44" w:name="_Toc26235"/>
      <w:bookmarkStart w:id="45" w:name="_Toc8921"/>
      <w:r>
        <w:rPr>
          <w:rFonts w:hint="eastAsia" w:ascii="宋体" w:hAnsi="宋体"/>
          <w:sz w:val="24"/>
          <w:highlight w:val="none"/>
        </w:rPr>
        <w:t>第四部分合同条款及格式</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24995"/>
      <w:bookmarkStart w:id="47" w:name="_Toc1085"/>
      <w:bookmarkStart w:id="48" w:name="_Toc23721"/>
      <w:r>
        <w:rPr>
          <w:rFonts w:hint="eastAsia" w:ascii="宋体" w:hAnsi="宋体"/>
          <w:sz w:val="24"/>
          <w:highlight w:val="none"/>
        </w:rPr>
        <w:t>第五部分附件</w:t>
      </w:r>
      <w:bookmarkEnd w:id="46"/>
      <w:bookmarkEnd w:id="47"/>
      <w:bookmarkEnd w:id="48"/>
    </w:p>
    <w:p>
      <w:pPr>
        <w:pStyle w:val="21"/>
        <w:spacing w:line="480" w:lineRule="exact"/>
        <w:ind w:left="197" w:leftChars="94" w:firstLine="376" w:firstLineChars="156"/>
        <w:outlineLvl w:val="0"/>
        <w:rPr>
          <w:rFonts w:ascii="宋体"/>
          <w:b/>
          <w:sz w:val="24"/>
          <w:highlight w:val="none"/>
        </w:rPr>
      </w:pPr>
      <w:bookmarkStart w:id="49" w:name="_Toc27057"/>
      <w:bookmarkStart w:id="50" w:name="_Toc4919"/>
      <w:bookmarkStart w:id="51" w:name="_Toc31858"/>
      <w:r>
        <w:rPr>
          <w:rFonts w:ascii="宋体" w:hAnsi="宋体"/>
          <w:b/>
          <w:sz w:val="24"/>
          <w:highlight w:val="none"/>
        </w:rPr>
        <w:t xml:space="preserve">7.  </w:t>
      </w:r>
      <w:r>
        <w:rPr>
          <w:rFonts w:hint="eastAsia" w:ascii="宋体" w:hAnsi="宋体"/>
          <w:b/>
          <w:sz w:val="24"/>
          <w:highlight w:val="none"/>
        </w:rPr>
        <w:t>招标文件澄清和修改</w:t>
      </w:r>
      <w:bookmarkEnd w:id="49"/>
      <w:bookmarkEnd w:id="50"/>
      <w:bookmarkEnd w:id="51"/>
    </w:p>
    <w:p>
      <w:pPr>
        <w:pStyle w:val="21"/>
        <w:spacing w:line="480" w:lineRule="exact"/>
        <w:ind w:left="286" w:leftChars="136" w:firstLine="480" w:firstLineChars="200"/>
        <w:outlineLvl w:val="0"/>
        <w:rPr>
          <w:rFonts w:ascii="宋体"/>
          <w:sz w:val="24"/>
          <w:highlight w:val="none"/>
        </w:rPr>
      </w:pPr>
      <w:bookmarkStart w:id="52" w:name="_Toc14329"/>
      <w:bookmarkStart w:id="53" w:name="_Toc32322"/>
      <w:bookmarkStart w:id="54"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30033"/>
      <w:bookmarkStart w:id="56" w:name="_Toc7023"/>
      <w:bookmarkStart w:id="57" w:name="_Toc250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27548"/>
      <w:bookmarkStart w:id="59" w:name="_Toc6239"/>
      <w:bookmarkStart w:id="60"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6905"/>
      <w:bookmarkStart w:id="62" w:name="_Toc17449"/>
      <w:bookmarkStart w:id="63" w:name="_Toc1785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1"/>
      <w:bookmarkEnd w:id="62"/>
      <w:bookmarkEnd w:id="63"/>
    </w:p>
    <w:p>
      <w:pPr>
        <w:pStyle w:val="21"/>
        <w:spacing w:line="480" w:lineRule="exact"/>
        <w:ind w:left="0" w:leftChars="0" w:firstLine="0" w:firstLineChars="0"/>
        <w:outlineLvl w:val="1"/>
        <w:rPr>
          <w:rFonts w:ascii="宋体"/>
          <w:b/>
          <w:sz w:val="28"/>
          <w:highlight w:val="none"/>
        </w:rPr>
      </w:pPr>
      <w:bookmarkStart w:id="64" w:name="_Toc20316"/>
      <w:bookmarkStart w:id="65" w:name="_Toc21443"/>
      <w:bookmarkStart w:id="66" w:name="_Toc13670"/>
      <w:r>
        <w:rPr>
          <w:rFonts w:hint="eastAsia" w:ascii="宋体" w:hAnsi="宋体"/>
          <w:b/>
          <w:sz w:val="28"/>
          <w:highlight w:val="none"/>
        </w:rPr>
        <w:t>三、投标文件编制</w:t>
      </w:r>
      <w:bookmarkEnd w:id="64"/>
      <w:bookmarkEnd w:id="65"/>
      <w:bookmarkEnd w:id="66"/>
    </w:p>
    <w:p>
      <w:pPr>
        <w:pStyle w:val="2"/>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rPr>
        <w:t>4除招标文件的技术规格中另有规定外，投标文件中所使用的计量单位应使用中华人民共和国法定计量单位。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2"/>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2"/>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2"/>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3"/>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3"/>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2"/>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3"/>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3"/>
        <w:spacing w:line="480" w:lineRule="exact"/>
        <w:ind w:left="197" w:leftChars="94" w:firstLine="360" w:firstLineChars="150"/>
        <w:rPr>
          <w:rFonts w:ascii="宋体"/>
          <w:sz w:val="24"/>
          <w:highlight w:val="none"/>
        </w:rPr>
      </w:pPr>
      <w:r>
        <w:rPr>
          <w:rFonts w:hint="eastAsia" w:ascii="宋体" w:hAnsi="宋体"/>
          <w:sz w:val="24"/>
          <w:highlight w:val="none"/>
        </w:rPr>
        <w:t>3）近三年（</w:t>
      </w:r>
      <w:r>
        <w:rPr>
          <w:rFonts w:ascii="宋体" w:hAnsi="宋体"/>
          <w:sz w:val="24"/>
          <w:highlight w:val="none"/>
        </w:rPr>
        <w:t>2017年3月1日</w:t>
      </w:r>
      <w:r>
        <w:rPr>
          <w:rFonts w:hint="eastAsia" w:ascii="宋体" w:hAnsi="宋体"/>
          <w:sz w:val="24"/>
          <w:highlight w:val="none"/>
        </w:rPr>
        <w:t>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如投标单位成立不足三年供应商需提供自成立至今的。（附件九的格式</w:t>
      </w:r>
      <w:r>
        <w:rPr>
          <w:rFonts w:ascii="宋体" w:hAnsi="宋体"/>
          <w:sz w:val="24"/>
          <w:highlight w:val="none"/>
        </w:rPr>
        <w:t>1</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8年财务状况报告（附件九的格式</w:t>
      </w:r>
      <w:r>
        <w:rPr>
          <w:rFonts w:ascii="宋体" w:hAnsi="宋体"/>
          <w:sz w:val="24"/>
          <w:highlight w:val="none"/>
        </w:rPr>
        <w:t>2</w:t>
      </w:r>
      <w:r>
        <w:rPr>
          <w:rFonts w:hint="eastAsia" w:ascii="宋体" w:hAnsi="宋体"/>
          <w:sz w:val="24"/>
          <w:highlight w:val="none"/>
        </w:rPr>
        <w:t>）及依法缴纳税收和社会保障资金的相关材料，（附件九的格式</w:t>
      </w:r>
      <w:r>
        <w:rPr>
          <w:rFonts w:ascii="宋体" w:hAnsi="宋体"/>
          <w:sz w:val="24"/>
          <w:highlight w:val="none"/>
        </w:rPr>
        <w:t>3</w:t>
      </w:r>
      <w:r>
        <w:rPr>
          <w:rFonts w:hint="eastAsia" w:ascii="宋体" w:hAnsi="宋体"/>
          <w:sz w:val="24"/>
          <w:highlight w:val="none"/>
        </w:rPr>
        <w:t>），如投标单位成立不足一年供应商需提供自成立至今的；</w:t>
      </w:r>
    </w:p>
    <w:p>
      <w:pPr>
        <w:pStyle w:val="13"/>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）具备履行合同所必需的设备和专业技术能力的证明材料（附件九的格式</w:t>
      </w:r>
      <w:r>
        <w:rPr>
          <w:rFonts w:ascii="宋体" w:hAnsi="宋体"/>
          <w:sz w:val="24"/>
          <w:highlight w:val="none"/>
        </w:rPr>
        <w:t>4</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hint="eastAsia" w:ascii="宋体" w:hAnsi="宋体"/>
          <w:sz w:val="24"/>
          <w:highlight w:val="none"/>
        </w:rPr>
        <w:t>8）有关的质量体系、安全等认证证书：例如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3"/>
        <w:spacing w:line="480" w:lineRule="exact"/>
        <w:ind w:left="197" w:leftChars="94" w:firstLine="360" w:firstLineChars="150"/>
        <w:rPr>
          <w:rFonts w:ascii="宋体"/>
          <w:sz w:val="24"/>
          <w:highlight w:val="none"/>
        </w:rPr>
      </w:pPr>
      <w:r>
        <w:rPr>
          <w:rFonts w:hint="eastAsia" w:ascii="宋体" w:hAnsi="宋体"/>
          <w:sz w:val="24"/>
          <w:highlight w:val="none"/>
        </w:rPr>
        <w:t>9）</w:t>
      </w:r>
      <w:r>
        <w:rPr>
          <w:rFonts w:hint="eastAsia" w:ascii="宋体" w:hAnsi="宋体"/>
          <w:kern w:val="0"/>
          <w:sz w:val="24"/>
          <w:highlight w:val="none"/>
        </w:rPr>
        <w:t>近三年（2017年3月1日至今）维保业绩一览表及合同复印件加盖公章；维保业绩，应提供维修过该产品用户的单位名称、地址、邮编、联系电话、联系人（附件九的格式8），如投标单位成立不足三年需提供自成立至今的；</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0）投标人为小型和微型企业的，须提供企业所在地的县级以上中小企业主管部门出具的证明文件、《小微企业声明函》（附件九的格式</w:t>
      </w:r>
      <w:r>
        <w:rPr>
          <w:rFonts w:ascii="宋体" w:hAnsi="宋体"/>
          <w:sz w:val="24"/>
          <w:highlight w:val="none"/>
        </w:rPr>
        <w:t>5</w:t>
      </w:r>
      <w:r>
        <w:rPr>
          <w:rFonts w:hint="eastAsia" w:ascii="宋体" w:hAnsi="宋体"/>
          <w:sz w:val="24"/>
          <w:highlight w:val="none"/>
        </w:rPr>
        <w:t>）、《从业人员声明函》（附件九的格式</w:t>
      </w:r>
      <w:r>
        <w:rPr>
          <w:rFonts w:ascii="宋体" w:hAnsi="宋体"/>
          <w:sz w:val="24"/>
          <w:highlight w:val="none"/>
        </w:rPr>
        <w:t>6</w:t>
      </w:r>
      <w:r>
        <w:rPr>
          <w:rFonts w:hint="eastAsia" w:ascii="宋体" w:hAnsi="宋体"/>
          <w:sz w:val="24"/>
          <w:highlight w:val="none"/>
        </w:rPr>
        <w:t>）原件及复印件（如果有）；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1）投标人为监狱企业的，须提供省级以上监狱管理局、戒毒管理局（含新疆生产建设兵团）出具的属于监狱企业的证明文件原件（如果有）；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2）节能或环保产品证明（如果有）；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3）投标人认为需要提交的其他文件。</w:t>
      </w:r>
    </w:p>
    <w:p>
      <w:pPr>
        <w:pStyle w:val="13"/>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3"/>
        <w:spacing w:line="480" w:lineRule="exact"/>
        <w:ind w:left="197" w:leftChars="94" w:firstLine="480" w:firstLineChars="200"/>
        <w:rPr>
          <w:rFonts w:ascii="宋体" w:hAnsi="宋体"/>
          <w:sz w:val="24"/>
          <w:highlight w:val="none"/>
        </w:rPr>
      </w:pPr>
      <w:r>
        <w:rPr>
          <w:rFonts w:hint="eastAsia" w:ascii="宋体" w:hAnsi="宋体"/>
          <w:sz w:val="24"/>
          <w:highlight w:val="none"/>
        </w:rPr>
        <w:t>1) 维保技术服务方案：包含但不限于：响应时间、修复时间、出现维修质量问题解决方案；</w:t>
      </w:r>
    </w:p>
    <w:p>
      <w:pPr>
        <w:pStyle w:val="13"/>
        <w:spacing w:line="480" w:lineRule="exact"/>
        <w:ind w:left="197" w:leftChars="94" w:firstLine="480" w:firstLineChars="200"/>
        <w:rPr>
          <w:rFonts w:ascii="宋体" w:hAnsi="宋体"/>
          <w:sz w:val="24"/>
          <w:highlight w:val="none"/>
        </w:rPr>
      </w:pPr>
      <w:r>
        <w:rPr>
          <w:rFonts w:hint="eastAsia" w:ascii="宋体" w:hAnsi="宋体"/>
          <w:sz w:val="24"/>
          <w:highlight w:val="none"/>
        </w:rPr>
        <w:t>2) 服务保证措施：包含但不限于：返修承诺、施救承诺、维修配件承诺、客户回访承诺等内容；</w:t>
      </w:r>
    </w:p>
    <w:p>
      <w:pPr>
        <w:pStyle w:val="13"/>
        <w:spacing w:line="480" w:lineRule="exact"/>
        <w:ind w:left="197" w:leftChars="94" w:firstLine="480" w:firstLineChars="200"/>
        <w:rPr>
          <w:rFonts w:ascii="宋体" w:hAnsi="宋体"/>
          <w:sz w:val="24"/>
          <w:highlight w:val="none"/>
        </w:rPr>
      </w:pPr>
      <w:r>
        <w:rPr>
          <w:rFonts w:hint="eastAsia" w:ascii="宋体" w:hAnsi="宋体"/>
          <w:sz w:val="24"/>
          <w:highlight w:val="none"/>
        </w:rPr>
        <w:t>3) 设备出现故障的应急措施（含故障排除期间确保医院正常检测的应急措施）；</w:t>
      </w:r>
    </w:p>
    <w:p>
      <w:pPr>
        <w:pStyle w:val="13"/>
        <w:spacing w:line="480" w:lineRule="exact"/>
        <w:ind w:left="99" w:leftChars="47" w:firstLine="600" w:firstLineChars="250"/>
        <w:rPr>
          <w:rFonts w:ascii="宋体" w:hAnsi="宋体"/>
          <w:sz w:val="24"/>
          <w:highlight w:val="none"/>
        </w:rPr>
      </w:pPr>
      <w:r>
        <w:rPr>
          <w:rFonts w:hint="eastAsia" w:ascii="宋体" w:hAnsi="宋体"/>
          <w:sz w:val="24"/>
          <w:highlight w:val="none"/>
        </w:rPr>
        <w:t>4) 技术规格偏离表（附件五）；</w:t>
      </w:r>
    </w:p>
    <w:p>
      <w:pPr>
        <w:pStyle w:val="2"/>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720" w:firstLineChars="300"/>
        <w:jc w:val="left"/>
        <w:rPr>
          <w:rFonts w:ascii="宋体" w:hAnsi="宋体" w:cs="宋体"/>
          <w:kern w:val="0"/>
          <w:sz w:val="24"/>
          <w:highlight w:val="none"/>
        </w:rPr>
      </w:pPr>
      <w:r>
        <w:rPr>
          <w:rFonts w:hint="eastAsia" w:ascii="宋体" w:hAnsi="宋体" w:cs="宋体"/>
          <w:kern w:val="0"/>
          <w:sz w:val="24"/>
          <w:highlight w:val="none"/>
        </w:rPr>
        <w:t>1) 投标单位综合实力和竞争优势；</w:t>
      </w:r>
    </w:p>
    <w:p>
      <w:pPr>
        <w:widowControl/>
        <w:spacing w:line="360" w:lineRule="auto"/>
        <w:ind w:firstLine="720" w:firstLineChars="300"/>
        <w:jc w:val="left"/>
        <w:rPr>
          <w:rFonts w:ascii="宋体" w:hAnsi="宋体" w:cs="宋体"/>
          <w:kern w:val="0"/>
          <w:sz w:val="24"/>
          <w:highlight w:val="none"/>
        </w:rPr>
      </w:pPr>
      <w:r>
        <w:rPr>
          <w:rFonts w:hint="eastAsia" w:ascii="宋体" w:hAnsi="宋体" w:cs="宋体"/>
          <w:kern w:val="0"/>
          <w:sz w:val="24"/>
          <w:highlight w:val="none"/>
        </w:rPr>
        <w:t>2) 服务承诺及优惠方案；</w:t>
      </w:r>
    </w:p>
    <w:p>
      <w:pPr>
        <w:widowControl/>
        <w:spacing w:line="360" w:lineRule="auto"/>
        <w:ind w:firstLine="720" w:firstLineChars="300"/>
        <w:jc w:val="left"/>
        <w:rPr>
          <w:rFonts w:ascii="宋体" w:hAnsi="宋体" w:cs="宋体"/>
          <w:kern w:val="0"/>
          <w:sz w:val="24"/>
          <w:highlight w:val="none"/>
        </w:rPr>
      </w:pPr>
      <w:r>
        <w:rPr>
          <w:rFonts w:hint="eastAsia" w:ascii="宋体" w:hAnsi="宋体" w:cs="宋体"/>
          <w:kern w:val="0"/>
          <w:sz w:val="24"/>
          <w:highlight w:val="none"/>
        </w:rPr>
        <w:t>3) 人员配备情况（附人员社保缴纳证明）；</w:t>
      </w:r>
    </w:p>
    <w:p>
      <w:pPr>
        <w:widowControl/>
        <w:spacing w:line="360" w:lineRule="auto"/>
        <w:ind w:firstLine="720" w:firstLineChars="300"/>
        <w:jc w:val="left"/>
        <w:rPr>
          <w:rFonts w:ascii="宋体" w:hAnsi="宋体" w:cs="宋体"/>
          <w:kern w:val="0"/>
          <w:sz w:val="24"/>
          <w:highlight w:val="none"/>
        </w:rPr>
      </w:pPr>
      <w:r>
        <w:rPr>
          <w:rFonts w:hint="eastAsia" w:ascii="宋体" w:hAnsi="宋体" w:cs="宋体"/>
          <w:kern w:val="0"/>
          <w:sz w:val="24"/>
          <w:highlight w:val="none"/>
        </w:rPr>
        <w:t>4）应急处理方案；</w:t>
      </w:r>
    </w:p>
    <w:p>
      <w:pPr>
        <w:widowControl/>
        <w:spacing w:line="360" w:lineRule="auto"/>
        <w:ind w:firstLine="720" w:firstLineChars="300"/>
        <w:jc w:val="left"/>
        <w:rPr>
          <w:rFonts w:ascii="宋体" w:cs="宋体"/>
          <w:kern w:val="0"/>
          <w:sz w:val="24"/>
          <w:highlight w:val="none"/>
        </w:rPr>
      </w:pPr>
      <w:r>
        <w:rPr>
          <w:rFonts w:hint="eastAsia" w:ascii="宋体" w:hAnsi="宋体" w:cs="宋体"/>
          <w:kern w:val="0"/>
          <w:sz w:val="24"/>
          <w:highlight w:val="none"/>
        </w:rPr>
        <w:t>5) 商务条款偏离表（附件六）。</w:t>
      </w:r>
    </w:p>
    <w:p>
      <w:pPr>
        <w:pStyle w:val="13"/>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10.1</w:t>
      </w:r>
      <w:r>
        <w:rPr>
          <w:rFonts w:hint="eastAsia" w:ascii="宋体" w:hAnsi="宋体"/>
          <w:kern w:val="0"/>
          <w:sz w:val="24"/>
          <w:highlight w:val="none"/>
        </w:rPr>
        <w:t>本次投标报价为一次性报价。投标币种为人民币，投标报价应报出到项目现场维保服务的价格，含维保服务范围内提供的维保配件、标准附件、备品备件、专用工具、安装调试费、检验、培训、技术服务、运输、保险及因购买维保服务所需缴纳的所有税、费等全部费用。报价应包括达到采购单位使用要求的含税全包价，包含提供相关服务的所有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维保服务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投标人在投标文件中应明确达不到检测和维修质量要求应负的责任。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投标文件应对达不到承诺的相关条款要求应负的责任和义务。</w:t>
      </w:r>
    </w:p>
    <w:p>
      <w:pPr>
        <w:widowControl/>
        <w:spacing w:line="360" w:lineRule="auto"/>
        <w:ind w:firstLine="480" w:firstLineChars="200"/>
        <w:jc w:val="left"/>
        <w:rPr>
          <w:rFonts w:ascii="宋体" w:cs="宋体"/>
          <w:kern w:val="0"/>
          <w:sz w:val="24"/>
          <w:highlight w:val="none"/>
        </w:rPr>
      </w:pPr>
      <w:bookmarkStart w:id="67" w:name="_Toc5125"/>
      <w:bookmarkStart w:id="68" w:name="_Toc16942"/>
      <w:bookmarkStart w:id="69"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7"/>
      <w:bookmarkEnd w:id="68"/>
      <w:bookmarkEnd w:id="69"/>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投标人应准备五份投标文件，一份正本和四份副本以及单独密封的开标一览表一份。在每一份投标文件上要注明“正本”或“副本”字样。投标文件每册不超过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0" w:name="_Toc14371"/>
      <w:bookmarkStart w:id="71" w:name="_Toc8600"/>
      <w:bookmarkStart w:id="72"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3" w:name="_Toc28358"/>
      <w:bookmarkStart w:id="74" w:name="_Toc26505"/>
      <w:bookmarkStart w:id="75" w:name="_Toc9239"/>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6" w:name="_Toc31899"/>
      <w:bookmarkStart w:id="77" w:name="_Toc9397"/>
      <w:bookmarkStart w:id="78"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79" w:name="_Toc18910"/>
      <w:bookmarkStart w:id="80" w:name="_Toc1930"/>
      <w:bookmarkStart w:id="81" w:name="_Toc3684"/>
      <w:r>
        <w:rPr>
          <w:rFonts w:hint="eastAsia" w:ascii="宋体" w:hAnsi="宋体"/>
          <w:b/>
          <w:bCs/>
          <w:sz w:val="24"/>
          <w:highlight w:val="none"/>
        </w:rPr>
        <w:t>四、投标文件递交</w:t>
      </w:r>
      <w:bookmarkEnd w:id="79"/>
      <w:bookmarkEnd w:id="80"/>
      <w:bookmarkEnd w:id="81"/>
    </w:p>
    <w:p>
      <w:pPr>
        <w:pStyle w:val="2"/>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2"/>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2"/>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2"/>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2"/>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2"/>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2" w:name="_Toc5371"/>
      <w:bookmarkStart w:id="83" w:name="_Toc13548"/>
      <w:bookmarkStart w:id="84" w:name="_Toc22790"/>
      <w:r>
        <w:rPr>
          <w:rFonts w:ascii="宋体" w:hAnsi="宋体"/>
          <w:bCs/>
          <w:sz w:val="24"/>
          <w:highlight w:val="none"/>
        </w:rPr>
        <w:t xml:space="preserve">18.  </w:t>
      </w:r>
      <w:r>
        <w:rPr>
          <w:rFonts w:hint="eastAsia" w:ascii="宋体" w:hAnsi="宋体"/>
          <w:bCs/>
          <w:sz w:val="24"/>
          <w:highlight w:val="none"/>
        </w:rPr>
        <w:t>投标文件修改与撤回</w:t>
      </w:r>
      <w:bookmarkEnd w:id="82"/>
      <w:bookmarkEnd w:id="83"/>
      <w:bookmarkEnd w:id="84"/>
    </w:p>
    <w:p>
      <w:pPr>
        <w:pStyle w:val="2"/>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2"/>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2"/>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5" w:name="_Toc29966"/>
      <w:bookmarkStart w:id="86" w:name="_Toc142"/>
      <w:r>
        <w:rPr>
          <w:rFonts w:hint="eastAsia" w:ascii="宋体" w:hAnsi="宋体"/>
          <w:b/>
          <w:bCs/>
          <w:sz w:val="24"/>
          <w:highlight w:val="none"/>
        </w:rPr>
        <w:t>五、开标与评标</w:t>
      </w:r>
      <w:bookmarkEnd w:id="85"/>
      <w:bookmarkEnd w:id="86"/>
    </w:p>
    <w:p>
      <w:pPr>
        <w:pStyle w:val="2"/>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2"/>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2"/>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2"/>
        <w:spacing w:line="480" w:lineRule="exact"/>
        <w:ind w:left="420" w:leftChars="200"/>
        <w:rPr>
          <w:rFonts w:ascii="宋体" w:hAns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p>
    <w:p>
      <w:pPr>
        <w:pStyle w:val="2"/>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）开标会结束，投标人退场。</w:t>
      </w:r>
    </w:p>
    <w:p>
      <w:pPr>
        <w:pStyle w:val="2"/>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2"/>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2"/>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ascii="宋体" w:hAns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2"/>
        <w:spacing w:line="480" w:lineRule="exact"/>
        <w:ind w:firstLine="480" w:firstLineChars="200"/>
        <w:rPr>
          <w:rFonts w:ascii="宋体" w:hAns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2"/>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rPr>
        <w:t>6</w:t>
      </w:r>
      <w:r>
        <w:rPr>
          <w:rFonts w:ascii="宋体" w:hAnsi="宋体"/>
          <w:bCs/>
          <w:highlight w:val="none"/>
        </w:rPr>
        <w:t>)</w:t>
      </w:r>
      <w:r>
        <w:rPr>
          <w:rFonts w:hint="eastAsia" w:ascii="宋体" w:hAnsi="宋体"/>
          <w:bCs/>
          <w:highlight w:val="none"/>
        </w:rPr>
        <w:t>评标委员会认定投标人有围标、串通投标情形，按废标处理，取消其投标资格。</w:t>
      </w:r>
    </w:p>
    <w:p>
      <w:pPr>
        <w:pStyle w:val="2"/>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2"/>
        <w:spacing w:line="480" w:lineRule="exact"/>
        <w:ind w:firstLine="480" w:firstLineChars="200"/>
        <w:rPr>
          <w:rFonts w:ascii="宋体"/>
          <w:bCs/>
          <w:highlight w:val="none"/>
        </w:rPr>
      </w:pPr>
      <w:r>
        <w:rPr>
          <w:rFonts w:hint="eastAsia" w:ascii="宋体" w:hAnsi="宋体"/>
          <w:bCs/>
          <w:highlight w:val="none"/>
        </w:rPr>
        <w:t>招标代理将根据本项目的特点组建评标委员会，其成员由招标人代表及有关方面的专家</w:t>
      </w:r>
      <w:r>
        <w:rPr>
          <w:rFonts w:ascii="宋体" w:hAnsi="宋体"/>
          <w:bCs/>
          <w:highlight w:val="none"/>
        </w:rPr>
        <w:t>5</w:t>
      </w:r>
      <w:r>
        <w:rPr>
          <w:rFonts w:hint="eastAsia" w:ascii="宋体" w:hAnsi="宋体"/>
          <w:bCs/>
          <w:highlight w:val="none"/>
        </w:rPr>
        <w:t>人或以上单数组成，其中技术、经济等方面的专家不少于成员总数的三分之二，评标委员会负责对投标文件进行审查、澄清、推荐中标候选人或经招标人授权直接确定中标人。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7" w:name="_Toc26178"/>
      <w:bookmarkStart w:id="88" w:name="_Toc6823"/>
      <w:bookmarkStart w:id="89" w:name="_Toc24408"/>
      <w:r>
        <w:rPr>
          <w:rFonts w:ascii="宋体" w:hAnsi="宋体"/>
          <w:bCs/>
          <w:sz w:val="24"/>
          <w:highlight w:val="none"/>
        </w:rPr>
        <w:t xml:space="preserve">21.  </w:t>
      </w:r>
      <w:r>
        <w:rPr>
          <w:rFonts w:hint="eastAsia" w:ascii="宋体" w:hAnsi="宋体"/>
          <w:bCs/>
          <w:sz w:val="24"/>
          <w:highlight w:val="none"/>
        </w:rPr>
        <w:t>评标原则</w:t>
      </w:r>
      <w:bookmarkEnd w:id="87"/>
      <w:bookmarkEnd w:id="88"/>
      <w:bookmarkEnd w:id="89"/>
    </w:p>
    <w:p>
      <w:pPr>
        <w:pStyle w:val="2"/>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2"/>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2"/>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2"/>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2"/>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2"/>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2"/>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2"/>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2"/>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2"/>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2"/>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2"/>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2"/>
        <w:tabs>
          <w:tab w:val="left" w:pos="0"/>
        </w:tabs>
        <w:spacing w:line="480" w:lineRule="exact"/>
        <w:ind w:firstLine="720" w:firstLineChars="300"/>
        <w:rPr>
          <w:rFonts w:ascii="宋体" w:hAnsi="宋体"/>
          <w:bCs/>
          <w:highlight w:val="none"/>
        </w:rPr>
      </w:pPr>
      <w:r>
        <w:rPr>
          <w:rFonts w:ascii="宋体" w:hAnsi="宋体"/>
          <w:bCs/>
          <w:highlight w:val="none"/>
        </w:rPr>
        <w:t>H</w:t>
      </w:r>
      <w:r>
        <w:rPr>
          <w:rFonts w:hint="eastAsia" w:ascii="宋体" w:hAnsi="宋体"/>
          <w:bCs/>
          <w:highlight w:val="none"/>
        </w:rPr>
        <w:t>、</w:t>
      </w:r>
      <w:r>
        <w:rPr>
          <w:rFonts w:hint="eastAsia" w:ascii="宋体" w:hAnsi="宋体"/>
          <w:kern w:val="0"/>
          <w:highlight w:val="none"/>
        </w:rPr>
        <w:t>投标文件中的商务条款、服务内容、技术参数（或使用功能）明显不符合招标文件要求；</w:t>
      </w:r>
    </w:p>
    <w:p>
      <w:pPr>
        <w:pStyle w:val="2"/>
        <w:tabs>
          <w:tab w:val="left" w:pos="0"/>
        </w:tabs>
        <w:spacing w:line="480" w:lineRule="exact"/>
        <w:ind w:firstLine="720" w:firstLineChars="300"/>
        <w:rPr>
          <w:rFonts w:ascii="宋体" w:hAnsi="宋体"/>
          <w:bCs/>
          <w:highlight w:val="none"/>
        </w:rPr>
      </w:pPr>
      <w:r>
        <w:rPr>
          <w:rFonts w:hint="eastAsia" w:ascii="宋体" w:hAnsi="宋体"/>
          <w:bCs/>
          <w:highlight w:val="none"/>
        </w:rPr>
        <w:t>I、未全部响应招标文件规定的实质性要求（含*项）的；</w:t>
      </w:r>
    </w:p>
    <w:p>
      <w:pPr>
        <w:pStyle w:val="2"/>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2"/>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2"/>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2"/>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2"/>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2"/>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2"/>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2"/>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2"/>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2"/>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spacing w:line="480" w:lineRule="exact"/>
        <w:ind w:left="571" w:leftChars="272" w:firstLine="0" w:firstLineChars="0"/>
        <w:outlineLvl w:val="0"/>
        <w:rPr>
          <w:rFonts w:ascii="宋体"/>
          <w:bCs/>
          <w:sz w:val="24"/>
          <w:highlight w:val="none"/>
        </w:rPr>
      </w:pPr>
      <w:bookmarkStart w:id="90" w:name="_Toc27597"/>
      <w:bookmarkStart w:id="91" w:name="_Toc31292"/>
      <w:bookmarkStart w:id="92" w:name="_Toc2195"/>
      <w:r>
        <w:rPr>
          <w:rFonts w:ascii="宋体" w:hAnsi="宋体"/>
          <w:bCs/>
          <w:sz w:val="24"/>
          <w:highlight w:val="none"/>
        </w:rPr>
        <w:t xml:space="preserve">24.  </w:t>
      </w:r>
      <w:r>
        <w:rPr>
          <w:rFonts w:hint="eastAsia" w:ascii="宋体" w:hAnsi="宋体"/>
          <w:bCs/>
          <w:sz w:val="24"/>
          <w:highlight w:val="none"/>
        </w:rPr>
        <w:t>综合评审</w:t>
      </w:r>
      <w:bookmarkEnd w:id="90"/>
      <w:bookmarkEnd w:id="91"/>
      <w:bookmarkEnd w:id="92"/>
    </w:p>
    <w:p>
      <w:pPr>
        <w:pStyle w:val="2"/>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2"/>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kern w:val="0"/>
          <w:highlight w:val="none"/>
        </w:rPr>
        <w:t>维保方案的合理性、可行性、先进性</w:t>
      </w:r>
      <w:r>
        <w:rPr>
          <w:rFonts w:hint="eastAsia" w:ascii="宋体" w:hAnsi="宋体"/>
          <w:bCs/>
          <w:highlight w:val="none"/>
        </w:rPr>
        <w:t>；</w:t>
      </w:r>
    </w:p>
    <w:p>
      <w:pPr>
        <w:pStyle w:val="2"/>
        <w:spacing w:line="360" w:lineRule="auto"/>
        <w:ind w:firstLine="480" w:firstLineChars="200"/>
        <w:rPr>
          <w:rFonts w:ascii="宋体" w:hAnsi="宋体"/>
          <w:bCs/>
          <w:highlight w:val="none"/>
        </w:rPr>
      </w:pPr>
      <w:r>
        <w:rPr>
          <w:rFonts w:hint="eastAsia" w:ascii="宋体" w:hAnsi="宋体"/>
          <w:bCs/>
          <w:highlight w:val="none"/>
        </w:rPr>
        <w:t xml:space="preserve">3) 服务承诺及优惠条件； </w:t>
      </w:r>
    </w:p>
    <w:p>
      <w:pPr>
        <w:pStyle w:val="2"/>
        <w:spacing w:line="360" w:lineRule="auto"/>
        <w:ind w:firstLine="480" w:firstLineChars="200"/>
        <w:rPr>
          <w:rFonts w:ascii="宋体" w:hAnsi="宋体"/>
          <w:bCs/>
          <w:highlight w:val="none"/>
        </w:rPr>
      </w:pPr>
      <w:r>
        <w:rPr>
          <w:rFonts w:hint="eastAsia" w:ascii="宋体" w:hAnsi="宋体"/>
          <w:bCs/>
          <w:highlight w:val="none"/>
        </w:rPr>
        <w:t xml:space="preserve">4) 人员配备及售后服务条款；  </w:t>
      </w:r>
    </w:p>
    <w:p>
      <w:pPr>
        <w:pStyle w:val="2"/>
        <w:spacing w:line="360" w:lineRule="auto"/>
        <w:ind w:firstLine="480" w:firstLineChars="200"/>
        <w:rPr>
          <w:rFonts w:ascii="宋体" w:hAnsi="宋体"/>
          <w:bCs/>
          <w:highlight w:val="none"/>
        </w:rPr>
      </w:pPr>
      <w:r>
        <w:rPr>
          <w:rFonts w:hint="eastAsia" w:ascii="宋体" w:hAnsi="宋体"/>
          <w:bCs/>
          <w:highlight w:val="none"/>
        </w:rPr>
        <w:t>5) 技术及商务有无偏离；</w:t>
      </w:r>
    </w:p>
    <w:p>
      <w:pPr>
        <w:pStyle w:val="2"/>
        <w:spacing w:line="360" w:lineRule="auto"/>
        <w:ind w:firstLine="480" w:firstLineChars="200"/>
        <w:rPr>
          <w:rFonts w:ascii="宋体" w:hAnsi="宋体"/>
          <w:bCs/>
          <w:highlight w:val="none"/>
        </w:rPr>
      </w:pPr>
      <w:r>
        <w:rPr>
          <w:rFonts w:hint="eastAsia" w:ascii="宋体" w:hAnsi="宋体"/>
          <w:bCs/>
          <w:highlight w:val="none"/>
        </w:rPr>
        <w:t>6) 投标人资信情况和履约能力；</w:t>
      </w:r>
    </w:p>
    <w:p>
      <w:pPr>
        <w:pStyle w:val="2"/>
        <w:spacing w:line="360" w:lineRule="auto"/>
        <w:ind w:firstLine="480" w:firstLineChars="200"/>
        <w:rPr>
          <w:rFonts w:ascii="宋体"/>
          <w:bCs/>
          <w:highlight w:val="none"/>
        </w:rPr>
      </w:pPr>
      <w:r>
        <w:rPr>
          <w:rFonts w:hint="eastAsia" w:ascii="宋体" w:hAnsi="宋体"/>
          <w:bCs/>
          <w:highlight w:val="none"/>
        </w:rPr>
        <w:t>7）其他。</w:t>
      </w:r>
    </w:p>
    <w:p>
      <w:pPr>
        <w:pStyle w:val="2"/>
        <w:adjustRightInd w:val="0"/>
        <w:snapToGrid w:val="0"/>
        <w:spacing w:line="360" w:lineRule="auto"/>
        <w:ind w:firstLine="480" w:firstLineChars="200"/>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评标方法：本项目采用综合评分法，评标委员会将对投标人的报价、人员配备、服务保证措施、维保方案、设备出现故障的应急措施、服务承诺及优惠方案等综合评分，择优选择中标人。</w:t>
      </w:r>
    </w:p>
    <w:p>
      <w:pPr>
        <w:pStyle w:val="13"/>
        <w:spacing w:line="480" w:lineRule="exact"/>
        <w:ind w:left="197" w:leftChars="94" w:firstLine="482" w:firstLineChars="150"/>
        <w:jc w:val="center"/>
        <w:rPr>
          <w:rFonts w:ascii="宋体" w:hAnsi="宋体"/>
          <w:b/>
          <w:bCs/>
          <w:sz w:val="32"/>
          <w:szCs w:val="32"/>
          <w:highlight w:val="none"/>
        </w:rPr>
      </w:pPr>
      <w:bookmarkStart w:id="93" w:name="_Toc482367258"/>
      <w:bookmarkStart w:id="94" w:name="_Toc326"/>
      <w:r>
        <w:rPr>
          <w:rFonts w:ascii="宋体"/>
          <w:b/>
          <w:bCs/>
          <w:sz w:val="32"/>
          <w:szCs w:val="32"/>
          <w:highlight w:val="none"/>
        </w:rPr>
        <w:br w:type="page"/>
      </w:r>
      <w:r>
        <w:rPr>
          <w:rFonts w:hint="eastAsia" w:ascii="宋体" w:hAnsi="宋体"/>
          <w:b/>
          <w:bCs/>
          <w:sz w:val="32"/>
          <w:szCs w:val="32"/>
          <w:highlight w:val="none"/>
        </w:rPr>
        <w:t>评分细则</w:t>
      </w:r>
      <w:bookmarkEnd w:id="93"/>
      <w:bookmarkEnd w:id="94"/>
    </w:p>
    <w:tbl>
      <w:tblPr>
        <w:tblStyle w:val="49"/>
        <w:tblW w:w="10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842"/>
        <w:gridCol w:w="7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5"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szCs w:val="21"/>
                <w:highlight w:val="none"/>
                <w:lang w:val="zh-CN"/>
              </w:rPr>
            </w:pPr>
            <w:r>
              <w:rPr>
                <w:rFonts w:hint="eastAsia" w:ascii="宋体" w:hAnsi="宋体"/>
                <w:szCs w:val="21"/>
                <w:highlight w:val="none"/>
                <w:lang w:val="zh-CN"/>
              </w:rPr>
              <w:t>序号</w:t>
            </w:r>
          </w:p>
        </w:tc>
        <w:tc>
          <w:tcPr>
            <w:tcW w:w="1842"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szCs w:val="21"/>
                <w:highlight w:val="none"/>
              </w:rPr>
            </w:pPr>
            <w:r>
              <w:rPr>
                <w:rFonts w:hint="eastAsia" w:ascii="宋体" w:hAnsi="宋体"/>
                <w:szCs w:val="21"/>
                <w:highlight w:val="none"/>
                <w:lang w:val="zh-CN"/>
              </w:rPr>
              <w:t>评审项目</w:t>
            </w:r>
          </w:p>
        </w:tc>
        <w:tc>
          <w:tcPr>
            <w:tcW w:w="795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szCs w:val="21"/>
                <w:highlight w:val="none"/>
              </w:rPr>
            </w:pPr>
            <w:r>
              <w:rPr>
                <w:rFonts w:hint="eastAsia" w:ascii="宋体" w:hAnsi="宋体"/>
                <w:szCs w:val="21"/>
                <w:highlight w:val="none"/>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5"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szCs w:val="21"/>
                <w:highlight w:val="none"/>
              </w:rPr>
            </w:pPr>
            <w:r>
              <w:rPr>
                <w:rFonts w:hint="eastAsia" w:ascii="宋体" w:hAnsi="宋体"/>
                <w:szCs w:val="21"/>
                <w:highlight w:val="none"/>
              </w:rPr>
              <w:t>1</w:t>
            </w:r>
          </w:p>
        </w:tc>
        <w:tc>
          <w:tcPr>
            <w:tcW w:w="1842"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投标报价</w:t>
            </w:r>
          </w:p>
          <w:p>
            <w:pPr>
              <w:spacing w:line="380" w:lineRule="exact"/>
              <w:jc w:val="center"/>
              <w:rPr>
                <w:rFonts w:ascii="宋体" w:cs="宋体"/>
                <w:kern w:val="0"/>
                <w:szCs w:val="21"/>
                <w:highlight w:val="none"/>
              </w:rPr>
            </w:pPr>
            <w:r>
              <w:rPr>
                <w:rFonts w:hint="eastAsia" w:ascii="宋体" w:hAnsi="宋体" w:cs="宋体"/>
                <w:kern w:val="0"/>
                <w:szCs w:val="21"/>
                <w:highlight w:val="none"/>
              </w:rPr>
              <w:t>（1</w:t>
            </w:r>
            <w:r>
              <w:rPr>
                <w:rFonts w:hint="eastAsia" w:ascii="宋体" w:cs="宋体"/>
                <w:kern w:val="0"/>
                <w:szCs w:val="21"/>
                <w:highlight w:val="none"/>
              </w:rPr>
              <w:t>0</w:t>
            </w:r>
            <w:r>
              <w:rPr>
                <w:rFonts w:hint="eastAsia" w:ascii="宋体" w:hAnsi="宋体" w:cs="宋体"/>
                <w:kern w:val="0"/>
                <w:szCs w:val="21"/>
                <w:highlight w:val="none"/>
              </w:rPr>
              <w:t>分）</w:t>
            </w:r>
          </w:p>
        </w:tc>
        <w:tc>
          <w:tcPr>
            <w:tcW w:w="795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宋体" w:cs="宋体"/>
                <w:kern w:val="0"/>
                <w:szCs w:val="21"/>
                <w:highlight w:val="none"/>
              </w:rPr>
            </w:pPr>
            <w:r>
              <w:rPr>
                <w:rFonts w:hint="eastAsia" w:ascii="宋体" w:hAnsi="宋体" w:cs="宋体"/>
                <w:kern w:val="0"/>
                <w:szCs w:val="21"/>
                <w:highlight w:val="none"/>
              </w:rPr>
              <w:t>满足招标文件要求且投标价格最低的投标报价为评标基准价，其价格分为满分（1</w:t>
            </w:r>
            <w:r>
              <w:rPr>
                <w:rFonts w:hint="eastAsia" w:ascii="宋体" w:cs="宋体"/>
                <w:kern w:val="0"/>
                <w:szCs w:val="21"/>
                <w:highlight w:val="none"/>
              </w:rPr>
              <w:t>0</w:t>
            </w:r>
            <w:r>
              <w:rPr>
                <w:rFonts w:hint="eastAsia" w:ascii="宋体" w:hAnsi="宋体" w:cs="宋体"/>
                <w:kern w:val="0"/>
                <w:szCs w:val="21"/>
                <w:highlight w:val="none"/>
              </w:rPr>
              <w:t>分）。其他投标人的价格统一按照下列公式计算：投标报价得分＝（评标基准价／投标报价）×1</w:t>
            </w:r>
            <w:r>
              <w:rPr>
                <w:rFonts w:hint="eastAsia" w:ascii="宋体" w:cs="宋体"/>
                <w:kern w:val="0"/>
                <w:szCs w:val="21"/>
                <w:highlight w:val="none"/>
              </w:rPr>
              <w:t>0</w:t>
            </w:r>
            <w:r>
              <w:rPr>
                <w:rFonts w:hint="eastAsia" w:ascii="宋体" w:hAnsi="宋体" w:cs="宋体"/>
                <w:kern w:val="0"/>
                <w:szCs w:val="21"/>
                <w:highlight w:val="none"/>
              </w:rPr>
              <w:t>。若投标报价超出采购预算的，作为无效投标处理。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5"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2</w:t>
            </w:r>
          </w:p>
        </w:tc>
        <w:tc>
          <w:tcPr>
            <w:tcW w:w="1842"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lang w:val="zh-CN"/>
              </w:rPr>
            </w:pPr>
            <w:r>
              <w:rPr>
                <w:rFonts w:hint="eastAsia" w:ascii="宋体" w:hAnsi="宋体" w:cs="宋体"/>
                <w:kern w:val="0"/>
                <w:szCs w:val="21"/>
                <w:highlight w:val="none"/>
                <w:lang w:val="zh-CN"/>
              </w:rPr>
              <w:t>维保方案</w:t>
            </w:r>
          </w:p>
          <w:p>
            <w:pPr>
              <w:spacing w:line="380" w:lineRule="exact"/>
              <w:jc w:val="center"/>
              <w:rPr>
                <w:rFonts w:ascii="宋体" w:cs="宋体"/>
                <w:kern w:val="0"/>
                <w:szCs w:val="21"/>
                <w:highlight w:val="none"/>
              </w:rPr>
            </w:pPr>
            <w:r>
              <w:rPr>
                <w:rFonts w:hint="eastAsia" w:ascii="宋体" w:hAnsi="宋体" w:cs="宋体"/>
                <w:kern w:val="0"/>
                <w:szCs w:val="21"/>
                <w:highlight w:val="none"/>
              </w:rPr>
              <w:t>（30分）</w:t>
            </w:r>
          </w:p>
        </w:tc>
        <w:tc>
          <w:tcPr>
            <w:tcW w:w="7959" w:type="dxa"/>
            <w:tcBorders>
              <w:top w:val="single" w:color="000000" w:sz="4" w:space="0"/>
              <w:left w:val="single" w:color="000000" w:sz="4" w:space="0"/>
              <w:bottom w:val="single" w:color="000000" w:sz="4" w:space="0"/>
              <w:right w:val="single" w:color="000000" w:sz="4" w:space="0"/>
            </w:tcBorders>
          </w:tcPr>
          <w:p>
            <w:pPr>
              <w:spacing w:line="380" w:lineRule="exact"/>
              <w:jc w:val="left"/>
              <w:rPr>
                <w:highlight w:val="none"/>
              </w:rPr>
            </w:pPr>
            <w:r>
              <w:rPr>
                <w:rFonts w:hint="eastAsia" w:ascii="宋体" w:hAnsi="宋体" w:cs="宋体"/>
                <w:kern w:val="0"/>
                <w:szCs w:val="21"/>
                <w:highlight w:val="none"/>
              </w:rPr>
              <w:t>投标人提供的维保方案对项目需求理解充分，整体方案合理全面、思路清晰得30分；对项目需求理解欠缺，整体方案较为全面的得</w:t>
            </w:r>
            <w:r>
              <w:rPr>
                <w:rFonts w:ascii="宋体" w:hAnsi="宋体" w:cs="宋体"/>
                <w:kern w:val="0"/>
                <w:szCs w:val="21"/>
                <w:highlight w:val="none"/>
              </w:rPr>
              <w:t>2</w:t>
            </w:r>
            <w:r>
              <w:rPr>
                <w:rFonts w:hint="eastAsia" w:ascii="宋体" w:hAnsi="宋体" w:cs="宋体"/>
                <w:kern w:val="0"/>
                <w:szCs w:val="21"/>
                <w:highlight w:val="none"/>
              </w:rPr>
              <w:t>0分；维保方案理解不明确，整体方案繁琐、无条理性，思路混乱得10分；缺项不得分。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2"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3</w:t>
            </w:r>
          </w:p>
        </w:tc>
        <w:tc>
          <w:tcPr>
            <w:tcW w:w="1842"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kern w:val="0"/>
                <w:szCs w:val="21"/>
                <w:highlight w:val="none"/>
              </w:rPr>
            </w:pPr>
            <w:r>
              <w:rPr>
                <w:rFonts w:hint="eastAsia" w:ascii="宋体" w:hAnsi="宋体" w:cs="宋体"/>
                <w:kern w:val="0"/>
                <w:szCs w:val="21"/>
                <w:highlight w:val="none"/>
              </w:rPr>
              <w:t>应急处理方案</w:t>
            </w:r>
          </w:p>
          <w:p>
            <w:pPr>
              <w:spacing w:line="380" w:lineRule="exact"/>
              <w:jc w:val="center"/>
              <w:rPr>
                <w:rFonts w:ascii="宋体" w:cs="宋体"/>
                <w:kern w:val="0"/>
                <w:szCs w:val="21"/>
                <w:highlight w:val="none"/>
              </w:rPr>
            </w:pPr>
            <w:r>
              <w:rPr>
                <w:rFonts w:hint="eastAsia" w:ascii="宋体" w:hAnsi="宋体" w:cs="宋体"/>
                <w:kern w:val="0"/>
                <w:szCs w:val="21"/>
                <w:highlight w:val="none"/>
              </w:rPr>
              <w:t>（8分）</w:t>
            </w:r>
          </w:p>
        </w:tc>
        <w:tc>
          <w:tcPr>
            <w:tcW w:w="795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宋体" w:cs="宋体"/>
                <w:kern w:val="0"/>
                <w:szCs w:val="21"/>
                <w:highlight w:val="none"/>
              </w:rPr>
            </w:pPr>
            <w:r>
              <w:rPr>
                <w:rFonts w:hint="eastAsia" w:ascii="宋体" w:hAnsi="宋体" w:cs="宋体"/>
                <w:kern w:val="0"/>
                <w:szCs w:val="21"/>
                <w:highlight w:val="none"/>
              </w:rPr>
              <w:t>投标人对维保过程中可能发生的突发事件制定的应急处理方案内容全面完备、有针对性，得</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分；应急预案方案单一、内容繁琐得</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39"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4</w:t>
            </w:r>
          </w:p>
        </w:tc>
        <w:tc>
          <w:tcPr>
            <w:tcW w:w="1842"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lang w:val="zh-CN"/>
              </w:rPr>
              <w:t>服务保证措施及承诺</w:t>
            </w:r>
            <w:r>
              <w:rPr>
                <w:rFonts w:hint="eastAsia" w:ascii="宋体" w:hAnsi="宋体" w:cs="宋体"/>
                <w:kern w:val="0"/>
                <w:szCs w:val="21"/>
                <w:highlight w:val="none"/>
              </w:rPr>
              <w:t>（20分）</w:t>
            </w:r>
          </w:p>
        </w:tc>
        <w:tc>
          <w:tcPr>
            <w:tcW w:w="795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宋体" w:cs="宋体"/>
                <w:kern w:val="0"/>
                <w:szCs w:val="21"/>
                <w:highlight w:val="none"/>
              </w:rPr>
            </w:pPr>
            <w:r>
              <w:rPr>
                <w:rFonts w:hint="eastAsia" w:ascii="宋体" w:hAnsi="宋体" w:cs="宋体"/>
                <w:kern w:val="0"/>
                <w:szCs w:val="21"/>
                <w:highlight w:val="none"/>
                <w:lang w:val="zh-CN"/>
              </w:rPr>
              <w:t>投标人提供的</w:t>
            </w:r>
            <w:r>
              <w:rPr>
                <w:rFonts w:hint="eastAsia" w:ascii="宋体" w:hAnsi="宋体" w:cs="宋体"/>
                <w:kern w:val="0"/>
                <w:szCs w:val="21"/>
                <w:highlight w:val="none"/>
              </w:rPr>
              <w:t>服务保障体系完善、</w:t>
            </w:r>
            <w:r>
              <w:rPr>
                <w:rFonts w:hint="eastAsia" w:ascii="宋体" w:hAnsi="宋体" w:cs="宋体"/>
                <w:kern w:val="0"/>
                <w:szCs w:val="21"/>
                <w:highlight w:val="none"/>
                <w:lang w:val="zh-CN"/>
              </w:rPr>
              <w:t>服务质量保证措施全面、保密措施合理可行、工作台帐清晰完整、售后服务响应迅速、工作信息收集及反馈及时、工作人员安全保障措施方案安全可靠，</w:t>
            </w:r>
            <w:r>
              <w:rPr>
                <w:rFonts w:hint="eastAsia" w:ascii="宋体" w:hAnsi="宋体" w:cs="宋体"/>
                <w:kern w:val="0"/>
                <w:szCs w:val="21"/>
                <w:highlight w:val="none"/>
              </w:rPr>
              <w:t>投标人提供的服务承诺内容详细，有条理性，得20分；每出现一处相对弱势项减3分，减完为止。缺项0分。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3"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5</w:t>
            </w:r>
          </w:p>
        </w:tc>
        <w:tc>
          <w:tcPr>
            <w:tcW w:w="18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80" w:lineRule="exact"/>
              <w:jc w:val="center"/>
              <w:rPr>
                <w:rFonts w:ascii="宋体" w:cs="宋体"/>
                <w:kern w:val="0"/>
                <w:szCs w:val="21"/>
                <w:highlight w:val="none"/>
                <w:lang w:val="zh-CN"/>
              </w:rPr>
            </w:pPr>
            <w:r>
              <w:rPr>
                <w:rFonts w:hint="eastAsia" w:ascii="宋体" w:hAnsi="宋体" w:cs="宋体"/>
                <w:kern w:val="0"/>
                <w:szCs w:val="21"/>
                <w:highlight w:val="none"/>
                <w:lang w:val="zh-CN"/>
              </w:rPr>
              <w:t>开机率</w:t>
            </w:r>
            <w:r>
              <w:rPr>
                <w:rFonts w:hint="eastAsia" w:ascii="宋体" w:hAnsi="宋体" w:cs="宋体"/>
                <w:kern w:val="0"/>
                <w:szCs w:val="21"/>
                <w:highlight w:val="none"/>
              </w:rPr>
              <w:t>（10分）</w:t>
            </w:r>
          </w:p>
        </w:tc>
        <w:tc>
          <w:tcPr>
            <w:tcW w:w="7959" w:type="dxa"/>
            <w:tcBorders>
              <w:top w:val="single" w:color="000000" w:sz="4" w:space="0"/>
              <w:left w:val="single" w:color="000000" w:sz="4" w:space="0"/>
              <w:bottom w:val="single" w:color="000000" w:sz="4" w:space="0"/>
              <w:right w:val="single" w:color="000000" w:sz="4" w:space="0"/>
            </w:tcBorders>
          </w:tcPr>
          <w:p>
            <w:pPr>
              <w:spacing w:line="380" w:lineRule="exact"/>
              <w:jc w:val="left"/>
              <w:rPr>
                <w:rFonts w:ascii="宋体" w:cs="宋体"/>
                <w:kern w:val="0"/>
                <w:szCs w:val="21"/>
                <w:highlight w:val="none"/>
              </w:rPr>
            </w:pPr>
            <w:r>
              <w:rPr>
                <w:rFonts w:hint="eastAsia" w:ascii="宋体" w:hAnsi="宋体" w:cs="宋体"/>
                <w:kern w:val="0"/>
                <w:szCs w:val="21"/>
                <w:highlight w:val="none"/>
                <w:lang w:val="zh-CN"/>
              </w:rPr>
              <w:t>保证机器年平均开机率在</w:t>
            </w:r>
            <w:r>
              <w:rPr>
                <w:rFonts w:ascii="宋体" w:hAnsi="宋体" w:cs="宋体"/>
                <w:kern w:val="0"/>
                <w:szCs w:val="21"/>
                <w:highlight w:val="none"/>
              </w:rPr>
              <w:t>9</w:t>
            </w:r>
            <w:r>
              <w:rPr>
                <w:rFonts w:hint="eastAsia" w:ascii="宋体" w:hAnsi="宋体" w:cs="宋体"/>
                <w:kern w:val="0"/>
                <w:szCs w:val="21"/>
                <w:highlight w:val="none"/>
              </w:rPr>
              <w:t>8</w:t>
            </w:r>
            <w:r>
              <w:rPr>
                <w:rFonts w:ascii="宋体" w:hAnsi="宋体" w:cs="宋体"/>
                <w:kern w:val="0"/>
                <w:szCs w:val="21"/>
                <w:highlight w:val="none"/>
              </w:rPr>
              <w:t>%</w:t>
            </w:r>
            <w:r>
              <w:rPr>
                <w:rFonts w:hint="eastAsia" w:ascii="宋体" w:hAnsi="宋体" w:cs="宋体"/>
                <w:kern w:val="0"/>
                <w:szCs w:val="21"/>
                <w:highlight w:val="none"/>
              </w:rPr>
              <w:t>以上，（以影像、超声、手术类、生命支持及急救类设备开机率为考核指标）投标人对机器开机率的保障措施表述合理、内容全面得10分；对机器开机率的保障措施表述欠缺、内容不完整得5分。缺项不得分。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5"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6</w:t>
            </w:r>
          </w:p>
        </w:tc>
        <w:tc>
          <w:tcPr>
            <w:tcW w:w="18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拟派维修保养人员技术情况</w:t>
            </w:r>
            <w:r>
              <w:rPr>
                <w:rFonts w:hint="eastAsia" w:ascii="宋体" w:hAnsi="宋体" w:cs="宋体"/>
                <w:kern w:val="0"/>
                <w:szCs w:val="21"/>
                <w:highlight w:val="none"/>
              </w:rPr>
              <w:br w:type="textWrapping"/>
            </w:r>
            <w:r>
              <w:rPr>
                <w:rFonts w:hint="eastAsia" w:ascii="宋体" w:hAnsi="宋体" w:cs="宋体"/>
                <w:kern w:val="0"/>
                <w:szCs w:val="21"/>
                <w:highlight w:val="none"/>
              </w:rPr>
              <w:t>（12分）</w:t>
            </w:r>
          </w:p>
        </w:tc>
        <w:tc>
          <w:tcPr>
            <w:tcW w:w="795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宋体" w:cs="宋体"/>
                <w:kern w:val="0"/>
                <w:szCs w:val="21"/>
                <w:highlight w:val="none"/>
              </w:rPr>
            </w:pPr>
            <w:r>
              <w:rPr>
                <w:rFonts w:hint="eastAsia" w:ascii="宋体" w:hAnsi="宋体"/>
                <w:szCs w:val="21"/>
                <w:highlight w:val="none"/>
              </w:rPr>
              <w:t>投标人拟派维修保养技术服务人员服务经验丰富</w:t>
            </w:r>
            <w:r>
              <w:rPr>
                <w:rFonts w:hint="eastAsia" w:ascii="宋体"/>
                <w:szCs w:val="21"/>
                <w:highlight w:val="none"/>
              </w:rPr>
              <w:t>,</w:t>
            </w:r>
            <w:r>
              <w:rPr>
                <w:rFonts w:hint="eastAsia" w:ascii="宋体" w:hAnsi="宋体"/>
                <w:szCs w:val="21"/>
                <w:highlight w:val="none"/>
              </w:rPr>
              <w:t>专业对口，从事医疗器械维修3年以上，驻院主管从事医疗器械维修行业5年以上，得12分；拟派维修保养技术服务人员服务经验较为丰富，专业对口，从事医疗器械维修 2 年以上，驻院管从事医疗器械维修行业 3 年以上得8分；拟派维修保养技术服务人员数量能满足项目服务需要得4分；缺项不得分。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0" w:hRule="atLeast"/>
          <w:jc w:val="center"/>
        </w:trPr>
        <w:tc>
          <w:tcPr>
            <w:tcW w:w="699"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8</w:t>
            </w:r>
          </w:p>
        </w:tc>
        <w:tc>
          <w:tcPr>
            <w:tcW w:w="1842"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cs="宋体"/>
                <w:kern w:val="0"/>
                <w:szCs w:val="21"/>
                <w:highlight w:val="none"/>
              </w:rPr>
            </w:pPr>
            <w:r>
              <w:rPr>
                <w:rFonts w:hint="eastAsia" w:ascii="宋体" w:hAnsi="宋体" w:cs="宋体"/>
                <w:kern w:val="0"/>
                <w:szCs w:val="21"/>
                <w:highlight w:val="none"/>
              </w:rPr>
              <w:t>业绩（10分）</w:t>
            </w:r>
          </w:p>
        </w:tc>
        <w:tc>
          <w:tcPr>
            <w:tcW w:w="795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宋体" w:cs="宋体"/>
                <w:kern w:val="0"/>
                <w:szCs w:val="21"/>
                <w:highlight w:val="none"/>
              </w:rPr>
            </w:pPr>
            <w:r>
              <w:rPr>
                <w:rFonts w:hint="eastAsia" w:ascii="宋体" w:hAnsi="宋体" w:cs="宋体"/>
                <w:kern w:val="0"/>
                <w:szCs w:val="21"/>
                <w:highlight w:val="none"/>
              </w:rPr>
              <w:t>提供自2017年</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月1日至今（以签订合同且尚在有效期内为准）的同类业绩合同复印件，每份合同得1分，最高得10分。在投标文件中提供合同复印件并加盖投标人公章，合同复印件至少包括合同首页、建设内容以及签署页。</w:t>
            </w:r>
          </w:p>
        </w:tc>
      </w:tr>
    </w:tbl>
    <w:p>
      <w:pPr>
        <w:pStyle w:val="13"/>
        <w:spacing w:line="480" w:lineRule="exact"/>
        <w:ind w:left="197" w:leftChars="94" w:firstLine="482" w:firstLineChars="150"/>
        <w:jc w:val="center"/>
        <w:rPr>
          <w:rFonts w:ascii="宋体"/>
          <w:b/>
          <w:bCs/>
          <w:sz w:val="32"/>
          <w:szCs w:val="32"/>
          <w:highlight w:val="none"/>
        </w:rPr>
      </w:pPr>
    </w:p>
    <w:p>
      <w:pPr>
        <w:rPr>
          <w:rFonts w:ascii="宋体"/>
          <w:sz w:val="24"/>
          <w:highlight w:val="none"/>
          <w:u w:val="single"/>
        </w:rPr>
      </w:pPr>
      <w:r>
        <w:rPr>
          <w:rFonts w:hint="eastAsia" w:ascii="宋体" w:hAnsi="宋体"/>
          <w:sz w:val="24"/>
          <w:highlight w:val="none"/>
        </w:rPr>
        <w:t>说明：</w:t>
      </w:r>
      <w:r>
        <w:rPr>
          <w:rFonts w:ascii="宋体" w:hAnsi="宋体"/>
          <w:sz w:val="24"/>
          <w:highlight w:val="none"/>
        </w:rPr>
        <w:t>1</w:t>
      </w:r>
      <w:r>
        <w:rPr>
          <w:rFonts w:hint="eastAsia" w:ascii="宋体" w:hAnsi="宋体"/>
          <w:sz w:val="24"/>
          <w:highlight w:val="none"/>
        </w:rPr>
        <w:t>、同类业绩指：</w:t>
      </w:r>
      <w:r>
        <w:rPr>
          <w:rFonts w:hint="eastAsia" w:ascii="宋体" w:hAnsi="宋体"/>
          <w:sz w:val="24"/>
          <w:highlight w:val="none"/>
          <w:u w:val="single"/>
        </w:rPr>
        <w:t>医疗设备维修保养服务整体外包类的业绩。</w:t>
      </w:r>
    </w:p>
    <w:p>
      <w:pPr>
        <w:adjustRightInd w:val="0"/>
        <w:snapToGrid w:val="0"/>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adjustRightInd w:val="0"/>
        <w:snapToGrid w:val="0"/>
        <w:spacing w:line="360" w:lineRule="auto"/>
        <w:rPr>
          <w:rFonts w:ascii="宋体"/>
          <w:sz w:val="24"/>
          <w:highlight w:val="none"/>
        </w:rPr>
      </w:pPr>
      <w:r>
        <w:rPr>
          <w:rFonts w:ascii="宋体" w:hAnsi="宋体"/>
          <w:sz w:val="24"/>
          <w:highlight w:val="none"/>
        </w:rPr>
        <w:t>3</w:t>
      </w:r>
      <w:r>
        <w:rPr>
          <w:rFonts w:hint="eastAsia" w:ascii="宋体" w:hAnsi="宋体"/>
          <w:sz w:val="24"/>
          <w:highlight w:val="none"/>
        </w:rPr>
        <w:t>、近三年是指2017年</w:t>
      </w:r>
      <w:r>
        <w:rPr>
          <w:rFonts w:hint="eastAsia" w:ascii="宋体" w:hAnsi="宋体"/>
          <w:sz w:val="24"/>
          <w:highlight w:val="none"/>
          <w:lang w:val="en-US" w:eastAsia="zh-CN"/>
        </w:rPr>
        <w:t>3</w:t>
      </w:r>
      <w:r>
        <w:rPr>
          <w:rFonts w:hint="eastAsia" w:ascii="宋体" w:hAnsi="宋体"/>
          <w:sz w:val="24"/>
          <w:highlight w:val="none"/>
        </w:rPr>
        <w:t>月1日至今。</w:t>
      </w:r>
    </w:p>
    <w:p>
      <w:pPr>
        <w:adjustRightInd w:val="0"/>
        <w:snapToGrid w:val="0"/>
        <w:spacing w:line="360" w:lineRule="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adjustRightInd w:val="0"/>
        <w:snapToGrid w:val="0"/>
        <w:spacing w:line="360" w:lineRule="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2"/>
        <w:spacing w:line="360" w:lineRule="auto"/>
        <w:ind w:firstLine="480" w:firstLineChars="200"/>
        <w:rPr>
          <w:rFonts w:hint="eastAsia" w:ascii="宋体" w:hAnsi="宋体"/>
          <w:bCs/>
          <w:highlight w:val="none"/>
        </w:rPr>
      </w:pP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2"/>
        <w:spacing w:line="360" w:lineRule="auto"/>
        <w:ind w:firstLine="480" w:firstLineChars="200"/>
        <w:rPr>
          <w:rFonts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报价时，投标人须提供企业所在地的县级以上中小企业主管部门出具的证明文件和《小微企业声明函》原件，否则不给予价格扣除。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2"/>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2"/>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2"/>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2"/>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2"/>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2"/>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2"/>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2"/>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sz w:val="24"/>
          <w:highlight w:val="none"/>
        </w:rPr>
      </w:pPr>
      <w:bookmarkStart w:id="95" w:name="_Toc30962"/>
      <w:bookmarkStart w:id="96" w:name="_Toc10857"/>
      <w:bookmarkStart w:id="97" w:name="_Toc29202"/>
      <w:r>
        <w:rPr>
          <w:rFonts w:ascii="宋体" w:hAnsi="宋体"/>
          <w:bCs/>
          <w:sz w:val="24"/>
          <w:highlight w:val="none"/>
        </w:rPr>
        <w:t xml:space="preserve">27.  </w:t>
      </w:r>
      <w:r>
        <w:rPr>
          <w:rFonts w:hint="eastAsia" w:ascii="宋体" w:hAnsi="宋体"/>
          <w:bCs/>
          <w:sz w:val="24"/>
          <w:highlight w:val="none"/>
        </w:rPr>
        <w:t>投标人瑕疵滞后的处理</w:t>
      </w:r>
      <w:bookmarkEnd w:id="95"/>
      <w:bookmarkEnd w:id="96"/>
      <w:bookmarkEnd w:id="97"/>
    </w:p>
    <w:p>
      <w:pPr>
        <w:pStyle w:val="2"/>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98" w:name="_Toc7870"/>
      <w:bookmarkStart w:id="99" w:name="_Toc28609"/>
      <w:r>
        <w:rPr>
          <w:rFonts w:hint="eastAsia" w:ascii="宋体" w:hAnsi="宋体"/>
          <w:b/>
          <w:bCs/>
          <w:sz w:val="24"/>
          <w:highlight w:val="none"/>
        </w:rPr>
        <w:t>六、合同签订</w:t>
      </w:r>
      <w:bookmarkEnd w:id="98"/>
      <w:bookmarkEnd w:id="99"/>
    </w:p>
    <w:p>
      <w:pPr>
        <w:pStyle w:val="2"/>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2"/>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2"/>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2"/>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2"/>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2"/>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2"/>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2"/>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0" w:name="_Toc30952"/>
      <w:bookmarkStart w:id="101" w:name="_Toc3157"/>
      <w:bookmarkStart w:id="102" w:name="_Toc13878"/>
      <w:r>
        <w:rPr>
          <w:rFonts w:hint="eastAsia" w:ascii="宋体" w:hAnsi="宋体"/>
          <w:b/>
          <w:bCs/>
          <w:sz w:val="24"/>
          <w:highlight w:val="none"/>
        </w:rPr>
        <w:t>七、处罚、质疑</w:t>
      </w:r>
      <w:bookmarkEnd w:id="100"/>
      <w:bookmarkEnd w:id="101"/>
      <w:bookmarkEnd w:id="102"/>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2"/>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2"/>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）质疑项目名称、招标编号、招标公告发布时间、开标时间；</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3" w:name="_Toc26147"/>
      <w:bookmarkStart w:id="104" w:name="_Toc1876"/>
      <w:bookmarkStart w:id="105" w:name="_Toc1537"/>
      <w:r>
        <w:rPr>
          <w:rFonts w:hint="eastAsia" w:ascii="宋体" w:hAnsi="宋体"/>
          <w:b/>
          <w:bCs/>
          <w:sz w:val="24"/>
          <w:highlight w:val="none"/>
        </w:rPr>
        <w:t>八、保密</w:t>
      </w:r>
      <w:bookmarkEnd w:id="103"/>
      <w:bookmarkEnd w:id="104"/>
      <w:bookmarkEnd w:id="105"/>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2"/>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6" w:name="_Toc14534"/>
      <w:bookmarkStart w:id="107" w:name="_Toc11927"/>
      <w:bookmarkStart w:id="108" w:name="_Toc28213"/>
      <w:r>
        <w:rPr>
          <w:rFonts w:hint="eastAsia" w:ascii="宋体" w:hAnsi="宋体"/>
          <w:b/>
          <w:bCs/>
          <w:sz w:val="24"/>
          <w:highlight w:val="none"/>
        </w:rPr>
        <w:t>九、专利权</w:t>
      </w:r>
      <w:bookmarkEnd w:id="106"/>
      <w:bookmarkEnd w:id="107"/>
      <w:bookmarkEnd w:id="108"/>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2"/>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09" w:name="_Toc5288"/>
      <w:bookmarkStart w:id="110" w:name="_Toc1386"/>
      <w:bookmarkStart w:id="111" w:name="_Toc9163"/>
      <w:r>
        <w:rPr>
          <w:rFonts w:hint="eastAsia" w:ascii="宋体" w:hAnsi="宋体"/>
          <w:b/>
          <w:bCs/>
          <w:sz w:val="24"/>
          <w:highlight w:val="none"/>
        </w:rPr>
        <w:t>十、解释权</w:t>
      </w:r>
      <w:bookmarkEnd w:id="109"/>
      <w:bookmarkEnd w:id="110"/>
      <w:bookmarkEnd w:id="111"/>
    </w:p>
    <w:p>
      <w:pPr>
        <w:pStyle w:val="2"/>
        <w:spacing w:line="360" w:lineRule="auto"/>
        <w:ind w:firstLine="480" w:firstLineChars="200"/>
        <w:rPr>
          <w:rFonts w:ascii="宋体" w:hAnsi="宋体"/>
          <w:bCs/>
          <w:highlight w:val="none"/>
        </w:rPr>
      </w:pPr>
      <w:r>
        <w:rPr>
          <w:rFonts w:hint="eastAsia" w:ascii="宋体" w:hAnsi="宋体"/>
          <w:bCs/>
          <w:highlight w:val="none"/>
        </w:rPr>
        <w:t>35.  解释权</w:t>
      </w:r>
    </w:p>
    <w:p>
      <w:pPr>
        <w:pStyle w:val="2"/>
        <w:spacing w:line="360" w:lineRule="auto"/>
        <w:ind w:firstLine="480" w:firstLineChars="200"/>
        <w:rPr>
          <w:rFonts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2" w:name="_Toc8805"/>
      <w:bookmarkStart w:id="113" w:name="_Toc1488"/>
      <w:bookmarkStart w:id="114" w:name="_Toc27088"/>
      <w:r>
        <w:rPr>
          <w:rFonts w:hint="eastAsia" w:ascii="宋体" w:hAnsi="宋体"/>
          <w:b/>
          <w:bCs/>
          <w:sz w:val="24"/>
          <w:highlight w:val="none"/>
        </w:rPr>
        <w:t>十一、其他</w:t>
      </w:r>
      <w:bookmarkEnd w:id="112"/>
      <w:bookmarkEnd w:id="113"/>
      <w:bookmarkEnd w:id="114"/>
    </w:p>
    <w:p>
      <w:pPr>
        <w:pStyle w:val="21"/>
        <w:numPr>
          <w:ilvl w:val="0"/>
          <w:numId w:val="4"/>
        </w:numPr>
        <w:snapToGrid w:val="0"/>
        <w:spacing w:line="360" w:lineRule="auto"/>
        <w:ind w:leftChars="0" w:firstLineChars="0"/>
        <w:outlineLvl w:val="0"/>
        <w:rPr>
          <w:rFonts w:ascii="宋体"/>
          <w:bCs/>
          <w:sz w:val="24"/>
          <w:highlight w:val="none"/>
        </w:rPr>
      </w:pPr>
      <w:bookmarkStart w:id="115" w:name="_Toc17247"/>
      <w:bookmarkStart w:id="116" w:name="_Toc19127"/>
      <w:bookmarkStart w:id="117" w:name="_Toc30190"/>
      <w:r>
        <w:rPr>
          <w:rFonts w:hint="eastAsia" w:ascii="宋体" w:hAnsi="宋体"/>
          <w:bCs/>
          <w:sz w:val="24"/>
          <w:highlight w:val="none"/>
        </w:rPr>
        <w:t>其他</w:t>
      </w:r>
      <w:bookmarkEnd w:id="115"/>
      <w:bookmarkEnd w:id="116"/>
      <w:bookmarkEnd w:id="117"/>
    </w:p>
    <w:p>
      <w:pPr>
        <w:pStyle w:val="21"/>
        <w:snapToGrid w:val="0"/>
        <w:spacing w:line="360" w:lineRule="auto"/>
        <w:ind w:left="570" w:leftChars="0" w:firstLine="0" w:firstLineChars="0"/>
        <w:outlineLvl w:val="0"/>
        <w:rPr>
          <w:rFonts w:ascii="宋体"/>
          <w:bCs/>
          <w:sz w:val="24"/>
          <w:highlight w:val="none"/>
        </w:rPr>
      </w:pPr>
      <w:bookmarkStart w:id="118" w:name="_Toc7890"/>
      <w:bookmarkStart w:id="119" w:name="_Toc4557"/>
      <w:bookmarkStart w:id="120" w:name="_Toc12623"/>
      <w:r>
        <w:rPr>
          <w:rFonts w:ascii="宋体" w:hAnsi="宋体"/>
          <w:bCs/>
          <w:sz w:val="24"/>
          <w:highlight w:val="none"/>
        </w:rPr>
        <w:t>36.1</w:t>
      </w:r>
      <w:r>
        <w:rPr>
          <w:rFonts w:hint="eastAsia" w:ascii="宋体" w:hAnsi="宋体"/>
          <w:kern w:val="0"/>
          <w:sz w:val="24"/>
          <w:highlight w:val="none"/>
        </w:rPr>
        <w:t>投标人所报维保服务必须满足招标人的使用要求</w:t>
      </w:r>
      <w:r>
        <w:rPr>
          <w:rFonts w:hint="eastAsia" w:ascii="宋体" w:hAnsi="宋体"/>
          <w:bCs/>
          <w:sz w:val="24"/>
          <w:highlight w:val="none"/>
        </w:rPr>
        <w:t>。</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30966"/>
      <w:bookmarkStart w:id="122" w:name="_Toc9875"/>
      <w:bookmarkStart w:id="123"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1"/>
      <w:bookmarkEnd w:id="122"/>
      <w:bookmarkEnd w:id="123"/>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4" w:name="_Toc21726"/>
      <w:r>
        <w:rPr>
          <w:rFonts w:hint="eastAsia" w:ascii="宋体" w:hAnsi="宋体"/>
          <w:b/>
          <w:sz w:val="36"/>
          <w:highlight w:val="none"/>
        </w:rPr>
        <w:t>第三部分招标要求</w:t>
      </w:r>
      <w:bookmarkEnd w:id="124"/>
    </w:p>
    <w:p>
      <w:pPr>
        <w:spacing w:line="440" w:lineRule="exact"/>
        <w:rPr>
          <w:rFonts w:ascii="宋体"/>
          <w:bCs/>
          <w:highlight w:val="none"/>
        </w:rPr>
      </w:pPr>
    </w:p>
    <w:p>
      <w:pPr>
        <w:spacing w:line="360" w:lineRule="auto"/>
        <w:rPr>
          <w:rFonts w:ascii="宋体" w:hAnsi="宋体" w:cs="宋体"/>
          <w:b/>
          <w:sz w:val="24"/>
          <w:highlight w:val="none"/>
        </w:rPr>
      </w:pPr>
      <w:bookmarkStart w:id="125" w:name="_Toc2031"/>
      <w:r>
        <w:rPr>
          <w:rFonts w:hint="eastAsia" w:ascii="宋体" w:hAnsi="宋体" w:cs="宋体"/>
          <w:b/>
          <w:sz w:val="24"/>
          <w:highlight w:val="none"/>
        </w:rPr>
        <w:t>一、项目说明</w:t>
      </w:r>
    </w:p>
    <w:p>
      <w:pPr>
        <w:spacing w:line="360" w:lineRule="auto"/>
        <w:rPr>
          <w:rFonts w:ascii="宋体" w:hAnsi="宋体" w:cs="宋体"/>
          <w:sz w:val="24"/>
          <w:highlight w:val="none"/>
        </w:rPr>
      </w:pPr>
      <w:r>
        <w:rPr>
          <w:rFonts w:hint="eastAsia" w:ascii="宋体" w:hAnsi="宋体" w:cs="宋体"/>
          <w:sz w:val="24"/>
          <w:highlight w:val="none"/>
        </w:rPr>
        <w:t>1、本部分内容是根据采购项目的实际需求制定的。</w:t>
      </w:r>
    </w:p>
    <w:p>
      <w:pPr>
        <w:spacing w:line="360" w:lineRule="auto"/>
        <w:rPr>
          <w:rFonts w:ascii="宋体" w:hAnsi="宋体" w:cs="宋体"/>
          <w:sz w:val="24"/>
          <w:highlight w:val="none"/>
        </w:rPr>
      </w:pPr>
      <w:r>
        <w:rPr>
          <w:rFonts w:hint="eastAsia" w:ascii="宋体" w:hAnsi="宋体" w:cs="宋体"/>
          <w:sz w:val="24"/>
          <w:highlight w:val="none"/>
        </w:rPr>
        <w:t>2、投标人所报价格应为含税全包价，包含提供相关服务的所有费用。</w:t>
      </w:r>
    </w:p>
    <w:p>
      <w:pPr>
        <w:spacing w:line="360" w:lineRule="auto"/>
        <w:rPr>
          <w:rFonts w:ascii="宋体" w:hAnsi="宋体" w:cs="宋体"/>
          <w:b/>
          <w:sz w:val="24"/>
          <w:highlight w:val="none"/>
        </w:rPr>
      </w:pPr>
      <w:r>
        <w:rPr>
          <w:rFonts w:hint="eastAsia" w:ascii="宋体" w:hAnsi="宋体" w:cs="宋体"/>
          <w:b/>
          <w:sz w:val="24"/>
          <w:highlight w:val="none"/>
        </w:rPr>
        <w:t>二、服务期限</w:t>
      </w:r>
    </w:p>
    <w:p>
      <w:pPr>
        <w:spacing w:line="360" w:lineRule="auto"/>
        <w:rPr>
          <w:rFonts w:ascii="宋体" w:hAnsi="宋体" w:cs="宋体"/>
          <w:sz w:val="24"/>
          <w:highlight w:val="none"/>
        </w:rPr>
      </w:pPr>
      <w:r>
        <w:rPr>
          <w:rFonts w:hint="eastAsia" w:ascii="宋体" w:hAnsi="宋体" w:cs="宋体"/>
          <w:sz w:val="24"/>
          <w:highlight w:val="none"/>
        </w:rPr>
        <w:t>1、总服务期贰年。</w:t>
      </w:r>
    </w:p>
    <w:p>
      <w:pPr>
        <w:spacing w:line="360" w:lineRule="auto"/>
        <w:rPr>
          <w:rFonts w:ascii="宋体" w:hAnsi="宋体" w:cs="宋体"/>
          <w:b/>
          <w:sz w:val="24"/>
          <w:highlight w:val="none"/>
        </w:rPr>
      </w:pPr>
      <w:r>
        <w:rPr>
          <w:rFonts w:hint="eastAsia" w:ascii="宋体" w:hAnsi="宋体" w:cs="宋体"/>
          <w:b/>
          <w:sz w:val="24"/>
          <w:highlight w:val="none"/>
        </w:rPr>
        <w:t>三、项目概况</w:t>
      </w:r>
    </w:p>
    <w:p>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b/>
          <w:bCs/>
          <w:sz w:val="24"/>
          <w:highlight w:val="none"/>
        </w:rPr>
        <w:t>包含设备范围：2018年12月1日到2020年11月30日之间出保的账面设备，</w:t>
      </w:r>
      <w:r>
        <w:rPr>
          <w:rFonts w:hint="eastAsia" w:ascii="宋体" w:hAnsi="宋体" w:cs="宋体"/>
          <w:b/>
          <w:bCs/>
          <w:sz w:val="24"/>
          <w:szCs w:val="24"/>
          <w:highlight w:val="none"/>
        </w:rPr>
        <w:t>详见</w:t>
      </w:r>
      <w:r>
        <w:rPr>
          <w:rFonts w:hint="eastAsia" w:ascii="宋体" w:hAnsi="宋体" w:cs="宋体"/>
          <w:b/>
          <w:bCs/>
          <w:sz w:val="24"/>
          <w:szCs w:val="24"/>
          <w:highlight w:val="none"/>
          <w:lang w:eastAsia="zh-CN"/>
        </w:rPr>
        <w:t>附件设备</w:t>
      </w:r>
      <w:r>
        <w:rPr>
          <w:rFonts w:hint="eastAsia" w:ascii="宋体" w:hAnsi="宋体" w:cs="宋体"/>
          <w:b/>
          <w:bCs/>
          <w:sz w:val="24"/>
          <w:szCs w:val="24"/>
          <w:highlight w:val="none"/>
        </w:rPr>
        <w:t>目录清单</w:t>
      </w:r>
      <w:r>
        <w:rPr>
          <w:rFonts w:hint="eastAsia" w:ascii="宋体" w:hAnsi="宋体" w:cs="宋体"/>
          <w:b/>
          <w:bCs/>
          <w:sz w:val="24"/>
          <w:highlight w:val="none"/>
        </w:rPr>
        <w:t>。</w:t>
      </w:r>
      <w:r>
        <w:rPr>
          <w:rFonts w:hint="eastAsia" w:ascii="宋体" w:hAnsi="宋体" w:cs="宋体"/>
          <w:sz w:val="24"/>
          <w:highlight w:val="none"/>
        </w:rPr>
        <w:t>（办公类设备及制冷设备除外，</w:t>
      </w:r>
      <w:r>
        <w:rPr>
          <w:rFonts w:hint="eastAsia" w:ascii="宋体" w:hAnsi="宋体" w:cs="宋体"/>
          <w:b/>
          <w:sz w:val="24"/>
          <w:highlight w:val="none"/>
        </w:rPr>
        <w:t>服务器硬件、LED显示屏等包含在内</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服务内容：根据医院提供的设备范围，提供全方位托管及整体维保服务。设备验收、保养、维修、配件更换淘汰、使用评价、医疗器械不良事件上报、人员培训、协助计量检定、协助特种设备检测、协助放射诊疗场所检测、设备档案等整个设备生命周期的管理服务。</w:t>
      </w:r>
    </w:p>
    <w:p>
      <w:pPr>
        <w:spacing w:line="360" w:lineRule="auto"/>
        <w:rPr>
          <w:rFonts w:ascii="宋体" w:hAnsi="宋体" w:cs="宋体"/>
          <w:sz w:val="24"/>
          <w:highlight w:val="none"/>
        </w:rPr>
      </w:pPr>
      <w:r>
        <w:rPr>
          <w:rFonts w:hint="eastAsia" w:ascii="宋体" w:hAnsi="宋体" w:cs="宋体"/>
          <w:sz w:val="24"/>
          <w:highlight w:val="none"/>
        </w:rPr>
        <w:t>3、保修内容：包含设备范围内设备维修全保（人工、零备件及易损件、不含耗材、移机等。（耗材及维保内容界定以医院历年曾发生维修更换为准，院方有最终解释权）。</w:t>
      </w:r>
    </w:p>
    <w:p>
      <w:pPr>
        <w:spacing w:line="360" w:lineRule="auto"/>
        <w:rPr>
          <w:rFonts w:ascii="宋体" w:hAnsi="宋体" w:cs="宋体"/>
          <w:b/>
          <w:sz w:val="24"/>
          <w:highlight w:val="none"/>
        </w:rPr>
      </w:pPr>
      <w:r>
        <w:rPr>
          <w:rFonts w:hint="eastAsia" w:ascii="宋体" w:hAnsi="宋体" w:cs="宋体"/>
          <w:b/>
          <w:sz w:val="24"/>
          <w:highlight w:val="none"/>
        </w:rPr>
        <w:t>四、服务要求</w:t>
      </w:r>
    </w:p>
    <w:p>
      <w:pPr>
        <w:spacing w:line="360" w:lineRule="auto"/>
        <w:rPr>
          <w:rFonts w:ascii="宋体" w:hAnsi="宋体" w:cs="宋体"/>
          <w:b/>
          <w:sz w:val="24"/>
          <w:highlight w:val="none"/>
        </w:rPr>
      </w:pPr>
      <w:r>
        <w:rPr>
          <w:rFonts w:hint="eastAsia" w:ascii="宋体" w:hAnsi="宋体" w:cs="宋体"/>
          <w:b/>
          <w:sz w:val="24"/>
          <w:highlight w:val="none"/>
        </w:rPr>
        <w:t>（一）基本要求</w:t>
      </w:r>
    </w:p>
    <w:p>
      <w:pPr>
        <w:spacing w:line="360" w:lineRule="auto"/>
        <w:rPr>
          <w:rFonts w:ascii="宋体" w:hAnsi="宋体" w:cs="宋体"/>
          <w:b/>
          <w:sz w:val="24"/>
          <w:highlight w:val="none"/>
        </w:rPr>
      </w:pPr>
      <w:r>
        <w:rPr>
          <w:rFonts w:hint="eastAsia" w:ascii="宋体" w:hAnsi="宋体" w:cs="宋体"/>
          <w:b/>
          <w:sz w:val="24"/>
          <w:highlight w:val="none"/>
        </w:rPr>
        <w:t>1、维保单位应具备的基础条件</w:t>
      </w:r>
    </w:p>
    <w:p>
      <w:pPr>
        <w:spacing w:line="360" w:lineRule="auto"/>
        <w:rPr>
          <w:rFonts w:ascii="宋体" w:hAnsi="宋体" w:cs="宋体"/>
          <w:sz w:val="24"/>
          <w:highlight w:val="none"/>
        </w:rPr>
      </w:pPr>
      <w:r>
        <w:rPr>
          <w:rFonts w:hint="eastAsia" w:ascii="宋体" w:hAnsi="宋体" w:cs="宋体"/>
          <w:sz w:val="24"/>
          <w:highlight w:val="none"/>
        </w:rPr>
        <w:t>1.1维保单位有明确的服务承诺，维护方案能满足医院需求、合理优化，应急处理方案合理；</w:t>
      </w:r>
    </w:p>
    <w:p>
      <w:pPr>
        <w:spacing w:line="360" w:lineRule="auto"/>
        <w:rPr>
          <w:rFonts w:ascii="宋体" w:hAnsi="宋体" w:cs="宋体"/>
          <w:b/>
          <w:sz w:val="24"/>
          <w:highlight w:val="none"/>
        </w:rPr>
      </w:pPr>
      <w:r>
        <w:rPr>
          <w:rFonts w:hint="eastAsia" w:ascii="宋体" w:hAnsi="宋体" w:cs="宋体"/>
          <w:b/>
          <w:sz w:val="24"/>
          <w:highlight w:val="none"/>
        </w:rPr>
        <w:t>1.2维保单位有免费服务热线，如800或者400电话；</w:t>
      </w:r>
    </w:p>
    <w:p>
      <w:pPr>
        <w:spacing w:line="360" w:lineRule="auto"/>
        <w:rPr>
          <w:rFonts w:ascii="宋体" w:hAnsi="宋体" w:cs="宋体"/>
          <w:sz w:val="24"/>
          <w:highlight w:val="none"/>
        </w:rPr>
      </w:pPr>
      <w:r>
        <w:rPr>
          <w:rFonts w:hint="eastAsia" w:ascii="宋体" w:hAnsi="宋体" w:cs="宋体"/>
          <w:sz w:val="24"/>
          <w:highlight w:val="none"/>
        </w:rPr>
        <w:t>1.3维保单位须打包提供医疗装备管理系统，该系统能为医院提供医疗设备从采购到报废全生命周期的管理，能免费开放端口与医院现有管理系统兼容、对接，实现资源共享。该系统至少具备如下功能：</w:t>
      </w:r>
    </w:p>
    <w:p>
      <w:pPr>
        <w:spacing w:line="360" w:lineRule="auto"/>
        <w:rPr>
          <w:rFonts w:ascii="宋体" w:hAnsi="宋体" w:cs="宋体"/>
          <w:sz w:val="24"/>
          <w:highlight w:val="none"/>
        </w:rPr>
      </w:pPr>
      <w:r>
        <w:rPr>
          <w:rFonts w:hint="eastAsia" w:ascii="宋体" w:hAnsi="宋体" w:cs="宋体"/>
          <w:sz w:val="24"/>
          <w:highlight w:val="none"/>
        </w:rPr>
        <w:t>1.3.1实现从报修到维修完毕的全过程管理。并纪录设备维修中的各类的信息,包括故障情况,维修备件,时间节点等,并可通过系统对维修效率等环节进行分析。</w:t>
      </w:r>
    </w:p>
    <w:p>
      <w:pPr>
        <w:spacing w:line="360" w:lineRule="auto"/>
        <w:rPr>
          <w:rFonts w:ascii="宋体" w:hAnsi="宋体" w:cs="宋体"/>
          <w:sz w:val="24"/>
          <w:highlight w:val="none"/>
        </w:rPr>
      </w:pPr>
      <w:r>
        <w:rPr>
          <w:rFonts w:hint="eastAsia" w:ascii="宋体" w:hAnsi="宋体" w:cs="宋体"/>
          <w:sz w:val="24"/>
          <w:highlight w:val="none"/>
        </w:rPr>
        <w:t>1.3.2具备固定资产的条形码生成和扫码查询功能。</w:t>
      </w:r>
    </w:p>
    <w:p>
      <w:pPr>
        <w:spacing w:line="360" w:lineRule="auto"/>
        <w:rPr>
          <w:rFonts w:ascii="宋体" w:hAnsi="宋体" w:cs="宋体"/>
          <w:sz w:val="24"/>
          <w:highlight w:val="none"/>
        </w:rPr>
      </w:pPr>
      <w:r>
        <w:rPr>
          <w:rFonts w:hint="eastAsia" w:ascii="宋体" w:hAnsi="宋体" w:cs="宋体"/>
          <w:sz w:val="24"/>
          <w:highlight w:val="none"/>
        </w:rPr>
        <w:t>1.3.3实现设备管理的移动终端化（PC端、手机端），包括：设备维修、设备保养、设备巡检。并提供移动端的信息推送。</w:t>
      </w:r>
    </w:p>
    <w:p>
      <w:pPr>
        <w:spacing w:line="360" w:lineRule="auto"/>
        <w:rPr>
          <w:rFonts w:ascii="宋体" w:hAnsi="宋体" w:cs="宋体"/>
          <w:sz w:val="24"/>
          <w:highlight w:val="none"/>
        </w:rPr>
      </w:pPr>
      <w:r>
        <w:rPr>
          <w:rFonts w:hint="eastAsia" w:ascii="宋体" w:hAnsi="宋体" w:cs="宋体"/>
          <w:sz w:val="24"/>
          <w:highlight w:val="none"/>
        </w:rPr>
        <w:t>1.3.4能通过监控中心大屏，监管医疗设备运行的情况。</w:t>
      </w:r>
    </w:p>
    <w:p>
      <w:pPr>
        <w:spacing w:line="360" w:lineRule="auto"/>
        <w:rPr>
          <w:rFonts w:ascii="宋体" w:hAnsi="宋体" w:cs="宋体"/>
          <w:sz w:val="24"/>
          <w:highlight w:val="none"/>
        </w:rPr>
      </w:pPr>
      <w:r>
        <w:rPr>
          <w:rFonts w:hint="eastAsia" w:ascii="宋体" w:hAnsi="宋体" w:cs="宋体"/>
          <w:sz w:val="24"/>
          <w:highlight w:val="none"/>
        </w:rPr>
        <w:t>1.3.5具备根据既定的条件自动产生巡检、强检、保养等信息并及时提醒。</w:t>
      </w:r>
    </w:p>
    <w:p>
      <w:pPr>
        <w:spacing w:line="360" w:lineRule="auto"/>
        <w:rPr>
          <w:rFonts w:ascii="宋体" w:hAnsi="宋体" w:cs="宋体"/>
          <w:sz w:val="24"/>
          <w:highlight w:val="none"/>
        </w:rPr>
      </w:pPr>
      <w:r>
        <w:rPr>
          <w:rFonts w:hint="eastAsia" w:ascii="宋体" w:hAnsi="宋体" w:cs="宋体"/>
          <w:sz w:val="24"/>
          <w:highlight w:val="none"/>
        </w:rPr>
        <w:t>1.3.6对医疗设备在使用过程中发生的不良事件和自查报告等关键信息进行实时记录。</w:t>
      </w:r>
    </w:p>
    <w:p>
      <w:pPr>
        <w:spacing w:line="360" w:lineRule="auto"/>
        <w:rPr>
          <w:rFonts w:ascii="宋体" w:hAnsi="宋体" w:cs="宋体"/>
          <w:sz w:val="24"/>
          <w:highlight w:val="none"/>
        </w:rPr>
      </w:pPr>
      <w:r>
        <w:rPr>
          <w:rFonts w:hint="eastAsia" w:ascii="宋体" w:hAnsi="宋体" w:cs="宋体"/>
          <w:sz w:val="24"/>
          <w:highlight w:val="none"/>
        </w:rPr>
        <w:t>1.3.7计量设备管理：建立全院医学计量设备台账，具备在医疗设备强检前自动产生预警,为设备的强检提供全面实时管理。确保医院使用的计量设备具有检测合格标志且在有效期内。</w:t>
      </w:r>
    </w:p>
    <w:p>
      <w:pPr>
        <w:spacing w:line="360" w:lineRule="auto"/>
        <w:rPr>
          <w:rFonts w:ascii="宋体" w:hAnsi="宋体" w:cs="宋体"/>
          <w:sz w:val="24"/>
          <w:highlight w:val="none"/>
        </w:rPr>
      </w:pPr>
      <w:r>
        <w:rPr>
          <w:rFonts w:hint="eastAsia" w:ascii="宋体" w:hAnsi="宋体" w:cs="宋体"/>
          <w:sz w:val="24"/>
          <w:highlight w:val="none"/>
        </w:rPr>
        <w:t>1.3.8设备盘点：通过移动端实现医疗设备的盘点管理功能。并及时更新。</w:t>
      </w:r>
    </w:p>
    <w:p>
      <w:pPr>
        <w:spacing w:line="360" w:lineRule="auto"/>
        <w:rPr>
          <w:rFonts w:ascii="宋体" w:hAnsi="宋体" w:cs="宋体"/>
          <w:sz w:val="24"/>
          <w:highlight w:val="none"/>
        </w:rPr>
      </w:pPr>
      <w:r>
        <w:rPr>
          <w:rFonts w:hint="eastAsia" w:ascii="宋体" w:hAnsi="宋体" w:cs="宋体"/>
          <w:sz w:val="24"/>
          <w:highlight w:val="none"/>
        </w:rPr>
        <w:t>1.3.9设备巡检：实现设备的日常巡检管理，并标记巡检贴，巡检贴上记录巡检时间、巡检工程师姓名。并能产生相应的提示和报表分析。对急救类、生命支持类设备完好情况和使用状态进行实时监管，设备完好率100%。每季度对医疗设备的使用，保养和维护进行监管、评价、分析，提出整改建议。对问题整改情况进行追踪。</w:t>
      </w:r>
    </w:p>
    <w:p>
      <w:pPr>
        <w:spacing w:line="360" w:lineRule="auto"/>
        <w:rPr>
          <w:rFonts w:ascii="宋体" w:hAnsi="宋体" w:cs="宋体"/>
          <w:sz w:val="24"/>
          <w:highlight w:val="none"/>
        </w:rPr>
      </w:pPr>
      <w:r>
        <w:rPr>
          <w:rFonts w:hint="eastAsia" w:ascii="宋体" w:hAnsi="宋体" w:cs="宋体"/>
          <w:sz w:val="24"/>
          <w:highlight w:val="none"/>
        </w:rPr>
        <w:t>1.3.10报表管理：系统提供医疗设备管理报表。如：维修费、开机率、维修时间等。每季度上报一次医疗设备的检修和故障分析报告，并提出整改建议。</w:t>
      </w:r>
    </w:p>
    <w:p>
      <w:pPr>
        <w:spacing w:line="360" w:lineRule="auto"/>
        <w:rPr>
          <w:rFonts w:ascii="宋体" w:hAnsi="宋体" w:cs="宋体"/>
          <w:sz w:val="24"/>
          <w:highlight w:val="none"/>
        </w:rPr>
      </w:pPr>
      <w:r>
        <w:rPr>
          <w:rFonts w:hint="eastAsia" w:ascii="宋体" w:hAnsi="宋体" w:cs="宋体"/>
          <w:sz w:val="24"/>
          <w:highlight w:val="none"/>
        </w:rPr>
        <w:t>1.3.11设备资料库：具备记录并分析设备全生命周期的数据，如：设备采购、维修、保养、巡检等，为用户采购提供有效的科学依据。</w:t>
      </w:r>
    </w:p>
    <w:p>
      <w:pPr>
        <w:spacing w:line="360" w:lineRule="auto"/>
        <w:rPr>
          <w:rFonts w:ascii="宋体" w:hAnsi="宋体" w:cs="宋体"/>
          <w:sz w:val="24"/>
          <w:highlight w:val="none"/>
        </w:rPr>
      </w:pPr>
      <w:r>
        <w:rPr>
          <w:rFonts w:hint="eastAsia" w:ascii="宋体" w:hAnsi="宋体" w:cs="宋体"/>
          <w:sz w:val="24"/>
          <w:highlight w:val="none"/>
        </w:rPr>
        <w:t>1.3.12应急调配管理：提供部分应急设备，及时对应急设备进行调配。每季度对医学装备应急调配情况进行汇总分析，并有改进措施。</w:t>
      </w:r>
    </w:p>
    <w:p>
      <w:pPr>
        <w:spacing w:line="360" w:lineRule="auto"/>
        <w:rPr>
          <w:rFonts w:ascii="宋体" w:hAnsi="宋体" w:cs="宋体"/>
          <w:sz w:val="24"/>
          <w:highlight w:val="none"/>
        </w:rPr>
      </w:pPr>
      <w:r>
        <w:rPr>
          <w:rFonts w:hint="eastAsia" w:ascii="宋体" w:hAnsi="宋体" w:cs="宋体"/>
          <w:sz w:val="24"/>
          <w:highlight w:val="none"/>
        </w:rPr>
        <w:t>1.3.13合同终止后设备资产管理软件归医院所有，并将医院资产数据转移给医院。</w:t>
      </w:r>
    </w:p>
    <w:p>
      <w:pPr>
        <w:spacing w:line="360" w:lineRule="auto"/>
        <w:rPr>
          <w:rFonts w:ascii="宋体" w:hAnsi="宋体" w:cs="宋体"/>
          <w:sz w:val="24"/>
          <w:highlight w:val="none"/>
        </w:rPr>
      </w:pPr>
      <w:r>
        <w:rPr>
          <w:rFonts w:hint="eastAsia" w:ascii="宋体" w:hAnsi="宋体" w:cs="宋体"/>
          <w:sz w:val="24"/>
          <w:highlight w:val="none"/>
        </w:rPr>
        <w:t>1.4维保单位能够为按照医院要求，为医院派驻适当规模的现场工程师队伍。</w:t>
      </w:r>
    </w:p>
    <w:p>
      <w:pPr>
        <w:spacing w:line="360" w:lineRule="auto"/>
        <w:rPr>
          <w:rFonts w:ascii="宋体" w:hAnsi="宋体" w:cs="宋体"/>
          <w:sz w:val="24"/>
          <w:highlight w:val="none"/>
        </w:rPr>
      </w:pPr>
      <w:r>
        <w:rPr>
          <w:rFonts w:hint="eastAsia" w:ascii="宋体" w:hAnsi="宋体" w:cs="宋体"/>
          <w:sz w:val="24"/>
          <w:highlight w:val="none"/>
        </w:rPr>
        <w:t>1.5维保单位保障医院所有医疗设备年平均开机率不低于95%（一年按365天计算）。对高端设备的保修计划医院有最终决定权。对于通用设备，维保单位能提供满足基本需要的备用机。</w:t>
      </w:r>
    </w:p>
    <w:p>
      <w:pPr>
        <w:spacing w:line="360" w:lineRule="auto"/>
        <w:rPr>
          <w:rFonts w:ascii="宋体" w:hAnsi="宋体" w:cs="宋体"/>
          <w:sz w:val="24"/>
          <w:highlight w:val="none"/>
        </w:rPr>
      </w:pPr>
      <w:r>
        <w:rPr>
          <w:rFonts w:hint="eastAsia" w:ascii="宋体" w:hAnsi="宋体" w:cs="宋体"/>
          <w:sz w:val="24"/>
          <w:highlight w:val="none"/>
        </w:rPr>
        <w:t>1.6定期对新进医学装备人员和新上岗使用科室人员进行业务培训和考核。有完整的培训计划、培训内容、考核等资料。</w:t>
      </w:r>
    </w:p>
    <w:p>
      <w:pPr>
        <w:spacing w:line="360" w:lineRule="auto"/>
        <w:rPr>
          <w:rFonts w:ascii="宋体" w:hAnsi="宋体" w:cs="宋体"/>
          <w:b/>
          <w:sz w:val="24"/>
          <w:highlight w:val="none"/>
        </w:rPr>
      </w:pPr>
      <w:r>
        <w:rPr>
          <w:rFonts w:hint="eastAsia" w:ascii="宋体" w:hAnsi="宋体" w:cs="宋体"/>
          <w:b/>
          <w:sz w:val="24"/>
          <w:highlight w:val="none"/>
        </w:rPr>
        <w:t>2.维保服务内容——双方认定范围有歧义的设备院方拥有最终解释权。</w:t>
      </w:r>
    </w:p>
    <w:p>
      <w:pPr>
        <w:spacing w:line="360" w:lineRule="auto"/>
        <w:rPr>
          <w:rFonts w:ascii="宋体" w:hAnsi="宋体" w:cs="宋体"/>
          <w:sz w:val="24"/>
          <w:highlight w:val="none"/>
        </w:rPr>
      </w:pPr>
      <w:r>
        <w:rPr>
          <w:rFonts w:hint="eastAsia" w:ascii="宋体" w:hAnsi="宋体" w:cs="宋体"/>
          <w:sz w:val="24"/>
          <w:highlight w:val="none"/>
        </w:rPr>
        <w:t>2.1维保公司负责承担驻院服务技术人员的全部费用，包含劳动报酬、各项纳金、技术培训、安全保险、劳动关系的建立等费用。</w:t>
      </w:r>
    </w:p>
    <w:p>
      <w:pPr>
        <w:spacing w:line="360" w:lineRule="auto"/>
        <w:rPr>
          <w:rFonts w:ascii="宋体" w:hAnsi="宋体" w:cs="宋体"/>
          <w:sz w:val="24"/>
          <w:highlight w:val="none"/>
        </w:rPr>
      </w:pPr>
      <w:r>
        <w:rPr>
          <w:rFonts w:hint="eastAsia" w:ascii="宋体" w:hAnsi="宋体" w:cs="宋体"/>
          <w:sz w:val="24"/>
          <w:highlight w:val="none"/>
        </w:rPr>
        <w:t>2.2医院为维保公司提供适当的办公场所，办公场所的装修及办公使用的所有的软件设施、硬件设施（如电脑、维修工具等）及其维护费用由维保公司负责。</w:t>
      </w:r>
    </w:p>
    <w:p>
      <w:pPr>
        <w:spacing w:line="360" w:lineRule="auto"/>
        <w:rPr>
          <w:rFonts w:ascii="宋体" w:hAnsi="宋体" w:cs="宋体"/>
          <w:sz w:val="24"/>
          <w:highlight w:val="none"/>
        </w:rPr>
      </w:pPr>
      <w:r>
        <w:rPr>
          <w:rFonts w:hint="eastAsia" w:ascii="宋体" w:hAnsi="宋体" w:cs="宋体"/>
          <w:sz w:val="24"/>
          <w:highlight w:val="none"/>
        </w:rPr>
        <w:t>2.3维保单位负责对医院保修设备的零配件及易损件更换，不包含在内更换部件如下：（以医院历年曾发生维修更换为准，院方有最终解释权）</w:t>
      </w:r>
    </w:p>
    <w:p>
      <w:pPr>
        <w:spacing w:line="360" w:lineRule="auto"/>
        <w:rPr>
          <w:rFonts w:ascii="宋体" w:hAnsi="宋体" w:cs="宋体"/>
          <w:sz w:val="24"/>
          <w:highlight w:val="none"/>
        </w:rPr>
      </w:pPr>
      <w:r>
        <w:rPr>
          <w:rFonts w:hint="eastAsia" w:ascii="宋体" w:hAnsi="宋体" w:cs="宋体"/>
          <w:sz w:val="24"/>
          <w:highlight w:val="none"/>
        </w:rPr>
        <w:t xml:space="preserve">2.3.1一次性耗材：手套、口罩、鞋套、呼吸面罩、鼻塞、插管及管路、 输液管路、注射器、吹嘴、比色/样品杯、电极片、一次性血氧探头等厂家配套配件定义的一次性用品。  </w:t>
      </w:r>
    </w:p>
    <w:p>
      <w:pPr>
        <w:spacing w:line="360" w:lineRule="auto"/>
        <w:rPr>
          <w:rFonts w:ascii="宋体" w:hAnsi="宋体" w:cs="宋体"/>
          <w:sz w:val="24"/>
          <w:highlight w:val="none"/>
        </w:rPr>
      </w:pPr>
      <w:r>
        <w:rPr>
          <w:rFonts w:hint="eastAsia" w:ascii="宋体" w:hAnsi="宋体" w:cs="宋体"/>
          <w:sz w:val="24"/>
          <w:highlight w:val="none"/>
        </w:rPr>
        <w:t>2.3.2消耗类物品:胶片、打印纸、色带、耦合剂、导电膏、腿套、绑带、气体、清洗液、反应杯、指示卡、清洗剂、再生剂(软水盐、树脂、石英砂)、钠石灰、钙石灰、水机滤芯、负极板、高低温包装材料、电刀笔、单极电凝线等。</w:t>
      </w:r>
    </w:p>
    <w:p>
      <w:pPr>
        <w:spacing w:line="360" w:lineRule="auto"/>
        <w:rPr>
          <w:rFonts w:ascii="宋体" w:hAnsi="宋体" w:cs="宋体"/>
          <w:sz w:val="24"/>
          <w:highlight w:val="none"/>
        </w:rPr>
      </w:pPr>
      <w:r>
        <w:rPr>
          <w:rFonts w:hint="eastAsia" w:ascii="宋体" w:hAnsi="宋体" w:cs="宋体"/>
          <w:sz w:val="24"/>
          <w:highlight w:val="none"/>
        </w:rPr>
        <w:t>2.3.3高值耗材、厂家有明确使用次数或时间限制的物品:刀头</w:t>
      </w:r>
    </w:p>
    <w:p>
      <w:pPr>
        <w:spacing w:line="360" w:lineRule="auto"/>
        <w:rPr>
          <w:rFonts w:ascii="宋体" w:hAnsi="宋体" w:cs="宋体"/>
          <w:sz w:val="24"/>
          <w:highlight w:val="none"/>
        </w:rPr>
      </w:pPr>
      <w:r>
        <w:rPr>
          <w:rFonts w:hint="eastAsia" w:ascii="宋体" w:hAnsi="宋体" w:cs="宋体"/>
          <w:sz w:val="24"/>
          <w:highlight w:val="none"/>
        </w:rPr>
        <w:t>2.3.4器械类: 如:活检钳、细胞刷、清洗刷、异物钳以及刀剪钳镊针等手术器械等，该类设备维修不在此列。</w:t>
      </w:r>
    </w:p>
    <w:p>
      <w:pPr>
        <w:spacing w:line="360" w:lineRule="auto"/>
        <w:rPr>
          <w:rFonts w:ascii="宋体" w:hAnsi="宋体" w:cs="宋体"/>
          <w:sz w:val="24"/>
          <w:highlight w:val="none"/>
        </w:rPr>
      </w:pPr>
      <w:r>
        <w:rPr>
          <w:rFonts w:hint="eastAsia" w:ascii="宋体" w:hAnsi="宋体" w:cs="宋体"/>
          <w:sz w:val="24"/>
          <w:highlight w:val="none"/>
        </w:rPr>
        <w:t>2.4做好设备维保工作，包括设备维修、巡检、设备定期保养、设备质控、协助安装、验收和报废等，对所有维保服务范围内的设备必须确保医疗设备质量，达到临床、医技科室安全使用要求。</w:t>
      </w:r>
    </w:p>
    <w:p>
      <w:pPr>
        <w:spacing w:line="360" w:lineRule="auto"/>
        <w:rPr>
          <w:rFonts w:ascii="宋体" w:hAnsi="宋体" w:cs="宋体"/>
          <w:sz w:val="24"/>
          <w:highlight w:val="none"/>
        </w:rPr>
      </w:pPr>
      <w:r>
        <w:rPr>
          <w:rFonts w:hint="eastAsia" w:ascii="宋体" w:hAnsi="宋体" w:cs="宋体"/>
          <w:sz w:val="24"/>
          <w:highlight w:val="none"/>
        </w:rPr>
        <w:t>2.5维保单位因为设备维修和维护等不当，造成设备使用中出现质量等问题，维保单位应承担由此引发的全部责任。</w:t>
      </w:r>
    </w:p>
    <w:p>
      <w:pPr>
        <w:spacing w:line="360" w:lineRule="auto"/>
        <w:rPr>
          <w:rFonts w:ascii="宋体" w:hAnsi="宋体" w:cs="宋体"/>
          <w:sz w:val="24"/>
          <w:highlight w:val="none"/>
        </w:rPr>
      </w:pPr>
      <w:r>
        <w:rPr>
          <w:rFonts w:hint="eastAsia" w:ascii="宋体" w:hAnsi="宋体" w:cs="宋体"/>
          <w:sz w:val="24"/>
          <w:highlight w:val="none"/>
        </w:rPr>
        <w:t>2.6因维保单位维修过的设备，而遭到生产厂家拒绝提供后续服务的事件发生，医院有权追溯维保单位责任并要求赔款。</w:t>
      </w:r>
    </w:p>
    <w:p>
      <w:pPr>
        <w:spacing w:line="360" w:lineRule="auto"/>
        <w:rPr>
          <w:rFonts w:ascii="宋体" w:hAnsi="宋体" w:cs="宋体"/>
          <w:sz w:val="24"/>
          <w:highlight w:val="none"/>
        </w:rPr>
      </w:pPr>
      <w:r>
        <w:rPr>
          <w:rFonts w:hint="eastAsia" w:ascii="宋体" w:hAnsi="宋体" w:cs="宋体"/>
          <w:sz w:val="24"/>
          <w:highlight w:val="none"/>
        </w:rPr>
        <w:t>2.7维保单位与医院签订信息保密协议，因维保单位或个人原因造成医院设备信息资料泄漏，造成影响的，医院有权追溯维保单位责任并要求赔款。</w:t>
      </w:r>
    </w:p>
    <w:p>
      <w:pPr>
        <w:spacing w:line="360" w:lineRule="auto"/>
        <w:rPr>
          <w:rFonts w:ascii="宋体" w:hAnsi="宋体" w:cs="宋体"/>
          <w:sz w:val="24"/>
          <w:highlight w:val="none"/>
        </w:rPr>
      </w:pPr>
      <w:r>
        <w:rPr>
          <w:rFonts w:hint="eastAsia" w:ascii="宋体" w:hAnsi="宋体" w:cs="宋体"/>
          <w:sz w:val="24"/>
          <w:highlight w:val="none"/>
        </w:rPr>
        <w:t xml:space="preserve"> 2.8因维保单位或维保人员态度、语言沟通等原因，导致医患纠纷，维保单位应承担相应的责任。</w:t>
      </w:r>
    </w:p>
    <w:p>
      <w:pPr>
        <w:spacing w:line="360" w:lineRule="auto"/>
        <w:rPr>
          <w:rFonts w:ascii="宋体" w:hAnsi="宋体" w:cs="宋体"/>
          <w:sz w:val="24"/>
          <w:highlight w:val="none"/>
        </w:rPr>
      </w:pPr>
      <w:r>
        <w:rPr>
          <w:rFonts w:hint="eastAsia" w:ascii="宋体" w:hAnsi="宋体" w:cs="宋体"/>
          <w:sz w:val="24"/>
          <w:highlight w:val="none"/>
        </w:rPr>
        <w:t>2.9中标范围内的维保人员只对中心院区、南部院区及医院所属三所社区医院提供维保服务。</w:t>
      </w:r>
    </w:p>
    <w:p>
      <w:pPr>
        <w:spacing w:line="360" w:lineRule="auto"/>
        <w:rPr>
          <w:rFonts w:ascii="宋体" w:hAnsi="宋体" w:cs="宋体"/>
          <w:b/>
          <w:sz w:val="24"/>
          <w:highlight w:val="none"/>
        </w:rPr>
      </w:pPr>
      <w:r>
        <w:rPr>
          <w:rFonts w:hint="eastAsia" w:ascii="宋体" w:hAnsi="宋体" w:cs="宋体"/>
          <w:b/>
          <w:sz w:val="24"/>
          <w:highlight w:val="none"/>
        </w:rPr>
        <w:t>（二）、 设备巡检、保养、维修等工作要求</w:t>
      </w:r>
    </w:p>
    <w:p>
      <w:pPr>
        <w:spacing w:line="360" w:lineRule="auto"/>
        <w:rPr>
          <w:rFonts w:ascii="宋体" w:hAnsi="宋体" w:cs="宋体"/>
          <w:b/>
          <w:sz w:val="24"/>
          <w:highlight w:val="none"/>
        </w:rPr>
      </w:pPr>
      <w:r>
        <w:rPr>
          <w:rFonts w:hint="eastAsia" w:ascii="宋体" w:hAnsi="宋体" w:cs="宋体"/>
          <w:b/>
          <w:sz w:val="24"/>
          <w:highlight w:val="none"/>
        </w:rPr>
        <w:t>1. 巡检工作要求</w:t>
      </w:r>
    </w:p>
    <w:p>
      <w:pPr>
        <w:spacing w:line="360" w:lineRule="auto"/>
        <w:rPr>
          <w:rFonts w:ascii="宋体" w:hAnsi="宋体" w:cs="宋体"/>
          <w:sz w:val="24"/>
          <w:highlight w:val="none"/>
        </w:rPr>
      </w:pPr>
      <w:r>
        <w:rPr>
          <w:rFonts w:hint="eastAsia" w:ascii="宋体" w:hAnsi="宋体" w:cs="宋体"/>
          <w:sz w:val="24"/>
          <w:highlight w:val="none"/>
        </w:rPr>
        <w:t>1.1定期巡检</w:t>
      </w:r>
    </w:p>
    <w:p>
      <w:pPr>
        <w:spacing w:line="360" w:lineRule="auto"/>
        <w:rPr>
          <w:rFonts w:ascii="宋体" w:hAnsi="宋体" w:cs="宋体"/>
          <w:sz w:val="24"/>
          <w:highlight w:val="none"/>
        </w:rPr>
      </w:pPr>
      <w:r>
        <w:rPr>
          <w:rFonts w:hint="eastAsia" w:ascii="宋体" w:hAnsi="宋体" w:cs="宋体"/>
          <w:sz w:val="24"/>
          <w:highlight w:val="none"/>
        </w:rPr>
        <w:t>1.1.1通过定期巡检是对设备的运行情况、磨损和老化程度进行检查，以便早期发现设备存在的隐患，及时进行修理，避免或减少突发故障，减少设备故障率，提高设备使用率。巡检须标记巡检贴，巡检贴上记录巡检时间、巡检工程师姓名。</w:t>
      </w:r>
    </w:p>
    <w:p>
      <w:pPr>
        <w:spacing w:line="360" w:lineRule="auto"/>
        <w:rPr>
          <w:rFonts w:ascii="宋体" w:hAnsi="宋体" w:cs="宋体"/>
          <w:sz w:val="24"/>
          <w:highlight w:val="none"/>
        </w:rPr>
      </w:pPr>
      <w:r>
        <w:rPr>
          <w:rFonts w:hint="eastAsia" w:ascii="宋体" w:hAnsi="宋体" w:cs="宋体"/>
          <w:sz w:val="24"/>
          <w:highlight w:val="none"/>
        </w:rPr>
        <w:t>1.1.2巡检周期：生命急救类设备、特种设备、大型医疗设备与重点设备（放射类、超声类等影像设备及医院指定的消毒类等重点设备）每月一次，其他设备每季度一次</w:t>
      </w:r>
    </w:p>
    <w:p>
      <w:pPr>
        <w:spacing w:line="360" w:lineRule="auto"/>
        <w:rPr>
          <w:rFonts w:ascii="宋体" w:hAnsi="宋体" w:cs="宋体"/>
          <w:sz w:val="24"/>
          <w:highlight w:val="none"/>
        </w:rPr>
      </w:pPr>
      <w:r>
        <w:rPr>
          <w:rFonts w:hint="eastAsia" w:ascii="宋体" w:hAnsi="宋体" w:cs="宋体"/>
          <w:sz w:val="24"/>
          <w:highlight w:val="none"/>
        </w:rPr>
        <w:t>1.1.3巡检内容：设备摆放位置检查；设备外观检查；设备开机运行状态（功能、性能、噪音等）检查；设备安全检查；使用人员操作设备情况检查；同时询问设备日常使用人员有关设备的日常使用与保养的情况，做好相关记录。</w:t>
      </w:r>
    </w:p>
    <w:p>
      <w:pPr>
        <w:spacing w:line="360" w:lineRule="auto"/>
        <w:rPr>
          <w:rFonts w:ascii="宋体" w:hAnsi="宋体" w:cs="宋体"/>
          <w:b/>
          <w:sz w:val="24"/>
          <w:highlight w:val="none"/>
        </w:rPr>
      </w:pPr>
      <w:r>
        <w:rPr>
          <w:rFonts w:hint="eastAsia" w:ascii="宋体" w:hAnsi="宋体" w:cs="宋体"/>
          <w:b/>
          <w:sz w:val="24"/>
          <w:highlight w:val="none"/>
        </w:rPr>
        <w:t>2.保养工作要求</w:t>
      </w:r>
    </w:p>
    <w:p>
      <w:pPr>
        <w:spacing w:line="360" w:lineRule="auto"/>
        <w:rPr>
          <w:rFonts w:ascii="宋体" w:hAnsi="宋体" w:cs="宋体"/>
          <w:sz w:val="24"/>
          <w:highlight w:val="none"/>
        </w:rPr>
      </w:pPr>
      <w:r>
        <w:rPr>
          <w:rFonts w:hint="eastAsia" w:ascii="宋体" w:hAnsi="宋体" w:cs="宋体"/>
          <w:sz w:val="24"/>
          <w:highlight w:val="none"/>
        </w:rPr>
        <w:t>2.1日常保养（由设备临床使用人员负责，大型设备机组如空压机等由维保公司人员负责）</w:t>
      </w:r>
    </w:p>
    <w:p>
      <w:pPr>
        <w:spacing w:line="360" w:lineRule="auto"/>
        <w:rPr>
          <w:rFonts w:ascii="宋体" w:hAnsi="宋体" w:cs="宋体"/>
          <w:sz w:val="24"/>
          <w:highlight w:val="none"/>
        </w:rPr>
      </w:pPr>
      <w:r>
        <w:rPr>
          <w:rFonts w:hint="eastAsia" w:ascii="宋体" w:hAnsi="宋体" w:cs="宋体"/>
          <w:sz w:val="24"/>
          <w:highlight w:val="none"/>
        </w:rPr>
        <w:t>2.1.1维保单位负责对设备的临床使用人员进行培训、指导；</w:t>
      </w:r>
    </w:p>
    <w:p>
      <w:pPr>
        <w:spacing w:line="360" w:lineRule="auto"/>
        <w:rPr>
          <w:rFonts w:ascii="宋体" w:hAnsi="宋体" w:cs="宋体"/>
          <w:sz w:val="24"/>
          <w:highlight w:val="none"/>
        </w:rPr>
      </w:pPr>
      <w:r>
        <w:rPr>
          <w:rFonts w:hint="eastAsia" w:ascii="宋体" w:hAnsi="宋体" w:cs="宋体"/>
          <w:sz w:val="24"/>
          <w:highlight w:val="none"/>
        </w:rPr>
        <w:t>2.1.2日常保养内容应包括：保持仪器表面清洁，电压、电源或稳压装置的检查，在使用的过程中注意观察仪器的功能、性能是否正常并及时填写使用记录，按要求加注润滑油或保养液，仪器设备发生故障时，除做好必要的记录外，要及时通知维修人员，不得私自拆卸。</w:t>
      </w:r>
    </w:p>
    <w:p>
      <w:pPr>
        <w:spacing w:line="360" w:lineRule="auto"/>
        <w:rPr>
          <w:rFonts w:ascii="宋体" w:hAnsi="宋体" w:cs="宋体"/>
          <w:sz w:val="24"/>
          <w:highlight w:val="none"/>
        </w:rPr>
      </w:pPr>
      <w:r>
        <w:rPr>
          <w:rFonts w:hint="eastAsia" w:ascii="宋体" w:hAnsi="宋体" w:cs="宋体"/>
          <w:sz w:val="24"/>
          <w:highlight w:val="none"/>
        </w:rPr>
        <w:t>2.2一级保养（由维保公司人员负责）</w:t>
      </w:r>
    </w:p>
    <w:p>
      <w:pPr>
        <w:spacing w:line="360" w:lineRule="auto"/>
        <w:rPr>
          <w:rFonts w:ascii="宋体" w:hAnsi="宋体" w:cs="宋体"/>
          <w:sz w:val="24"/>
          <w:highlight w:val="none"/>
        </w:rPr>
      </w:pPr>
      <w:r>
        <w:rPr>
          <w:rFonts w:hint="eastAsia" w:ascii="宋体" w:hAnsi="宋体" w:cs="宋体"/>
          <w:sz w:val="24"/>
          <w:highlight w:val="none"/>
        </w:rPr>
        <w:t>2.2.1外观检查：外观检查首先检查仪器各按钮、开关、接头插座有无松动及错位，插头插座的接触有无氧化、生锈或接触不良，电源线有无老化，散热排风是否正常，各种接地的连接和管道的连接是否良好。</w:t>
      </w:r>
    </w:p>
    <w:p>
      <w:pPr>
        <w:spacing w:line="360" w:lineRule="auto"/>
        <w:rPr>
          <w:rFonts w:ascii="宋体" w:hAnsi="宋体" w:cs="宋体"/>
          <w:sz w:val="24"/>
          <w:highlight w:val="none"/>
        </w:rPr>
      </w:pPr>
      <w:r>
        <w:rPr>
          <w:rFonts w:hint="eastAsia" w:ascii="宋体" w:hAnsi="宋体" w:cs="宋体"/>
          <w:sz w:val="24"/>
          <w:highlight w:val="none"/>
        </w:rPr>
        <w:t>2.2.2清洁保养：是对仪器表面与内部电气部分、机械部分进行清洁，包括清洗过滤网及有关管道，对仪器有关插头插座进行清洁，防止接触不良，对必要的机械部分进行加油润滑。</w:t>
      </w:r>
    </w:p>
    <w:p>
      <w:pPr>
        <w:spacing w:line="360" w:lineRule="auto"/>
        <w:rPr>
          <w:rFonts w:ascii="宋体" w:hAnsi="宋体" w:cs="宋体"/>
          <w:sz w:val="24"/>
          <w:highlight w:val="none"/>
        </w:rPr>
      </w:pPr>
      <w:r>
        <w:rPr>
          <w:rFonts w:hint="eastAsia" w:ascii="宋体" w:hAnsi="宋体" w:cs="宋体"/>
          <w:sz w:val="24"/>
          <w:highlight w:val="none"/>
        </w:rPr>
        <w:t>2.2.3功能检查：开机检查各指示灯、指示器是否正常，通过调节、设置各个开关和按钮，进入各功能设置，以检查设备的基本功能是否正常。通过模拟测试，检查设备各项报警功能是否正常。</w:t>
      </w:r>
    </w:p>
    <w:p>
      <w:pPr>
        <w:spacing w:line="360" w:lineRule="auto"/>
        <w:rPr>
          <w:rFonts w:ascii="宋体" w:hAnsi="宋体" w:cs="宋体"/>
          <w:sz w:val="24"/>
          <w:highlight w:val="none"/>
        </w:rPr>
      </w:pPr>
      <w:r>
        <w:rPr>
          <w:rFonts w:hint="eastAsia" w:ascii="宋体" w:hAnsi="宋体" w:cs="宋体"/>
          <w:sz w:val="24"/>
          <w:highlight w:val="none"/>
        </w:rPr>
        <w:t>2.2.4安全检查：</w:t>
      </w:r>
    </w:p>
    <w:p>
      <w:pPr>
        <w:spacing w:line="360" w:lineRule="auto"/>
        <w:rPr>
          <w:rFonts w:ascii="宋体" w:hAnsi="宋体" w:cs="宋体"/>
          <w:sz w:val="24"/>
          <w:highlight w:val="none"/>
        </w:rPr>
      </w:pPr>
      <w:r>
        <w:rPr>
          <w:rFonts w:hint="eastAsia" w:ascii="宋体" w:hAnsi="宋体" w:cs="宋体"/>
          <w:sz w:val="24"/>
          <w:highlight w:val="none"/>
        </w:rPr>
        <w:t>a.电气安全检查：检查各种引线、插头、连接器等有无破损，接地线是否牢靠， 接地电阻和漏电，电流是否在允许限度内。</w:t>
      </w:r>
    </w:p>
    <w:p>
      <w:pPr>
        <w:spacing w:line="360" w:lineRule="auto"/>
        <w:rPr>
          <w:rFonts w:ascii="宋体" w:hAnsi="宋体" w:cs="宋体"/>
          <w:sz w:val="24"/>
          <w:highlight w:val="none"/>
        </w:rPr>
      </w:pPr>
      <w:r>
        <w:rPr>
          <w:rFonts w:hint="eastAsia" w:ascii="宋体" w:hAnsi="宋体" w:cs="宋体"/>
          <w:sz w:val="24"/>
          <w:highlight w:val="none"/>
        </w:rPr>
        <w:t>b.机械检查：检查机架是否牢固，机械运转是否正常，各连接部件有无松动、脱落或破裂现象。</w:t>
      </w:r>
    </w:p>
    <w:p>
      <w:pPr>
        <w:spacing w:line="360" w:lineRule="auto"/>
        <w:rPr>
          <w:rFonts w:ascii="宋体" w:hAnsi="宋体" w:cs="宋体"/>
          <w:sz w:val="24"/>
          <w:highlight w:val="none"/>
        </w:rPr>
      </w:pPr>
      <w:r>
        <w:rPr>
          <w:rFonts w:hint="eastAsia" w:ascii="宋体" w:hAnsi="宋体" w:cs="宋体"/>
          <w:sz w:val="24"/>
          <w:highlight w:val="none"/>
        </w:rPr>
        <w:t>2.2.5保养周期：</w:t>
      </w:r>
    </w:p>
    <w:p>
      <w:pPr>
        <w:spacing w:line="360" w:lineRule="auto"/>
        <w:rPr>
          <w:rFonts w:ascii="宋体" w:hAnsi="宋体" w:cs="宋体"/>
          <w:sz w:val="24"/>
          <w:highlight w:val="none"/>
        </w:rPr>
      </w:pPr>
      <w:r>
        <w:rPr>
          <w:rFonts w:hint="eastAsia" w:ascii="宋体" w:hAnsi="宋体" w:cs="宋体"/>
          <w:sz w:val="24"/>
          <w:highlight w:val="none"/>
        </w:rPr>
        <w:t>a.纳入定期保养的设备（如生命急救类）要求驻场工程师至少每半年一次派专业人员进行设备的点检保养维护校准；</w:t>
      </w:r>
    </w:p>
    <w:p>
      <w:pPr>
        <w:spacing w:line="360" w:lineRule="auto"/>
        <w:rPr>
          <w:rFonts w:ascii="宋体" w:hAnsi="宋体" w:cs="宋体"/>
          <w:sz w:val="24"/>
          <w:highlight w:val="none"/>
        </w:rPr>
      </w:pPr>
      <w:r>
        <w:rPr>
          <w:rFonts w:hint="eastAsia" w:ascii="宋体" w:hAnsi="宋体" w:cs="宋体"/>
          <w:sz w:val="24"/>
          <w:highlight w:val="none"/>
        </w:rPr>
        <w:t>b.未纳入定期保养的其他医疗设备（如常规护理设备）要求驻场工程师每年至少 一次专业人员进行设备的保养维护校准；</w:t>
      </w:r>
    </w:p>
    <w:p>
      <w:pPr>
        <w:spacing w:line="360" w:lineRule="auto"/>
        <w:rPr>
          <w:rFonts w:ascii="宋体" w:hAnsi="宋体" w:cs="宋体"/>
          <w:sz w:val="24"/>
          <w:highlight w:val="none"/>
        </w:rPr>
      </w:pPr>
      <w:r>
        <w:rPr>
          <w:rFonts w:hint="eastAsia" w:ascii="宋体" w:hAnsi="宋体" w:cs="宋体"/>
          <w:sz w:val="24"/>
          <w:highlight w:val="none"/>
        </w:rPr>
        <w:t>c.特种设备严格按照国家《特种设备管理办法》维护保养并协助报检、陪检；</w:t>
      </w:r>
    </w:p>
    <w:p>
      <w:pPr>
        <w:spacing w:line="360" w:lineRule="auto"/>
        <w:rPr>
          <w:rFonts w:ascii="宋体" w:hAnsi="宋体" w:cs="宋体"/>
          <w:sz w:val="24"/>
          <w:highlight w:val="none"/>
        </w:rPr>
      </w:pPr>
      <w:r>
        <w:rPr>
          <w:rFonts w:hint="eastAsia" w:ascii="宋体" w:hAnsi="宋体" w:cs="宋体"/>
          <w:sz w:val="24"/>
          <w:highlight w:val="none"/>
        </w:rPr>
        <w:t>d.计量设备、压力表等严格按照国家规定维护保养并协助报检、陪检；</w:t>
      </w:r>
    </w:p>
    <w:p>
      <w:pPr>
        <w:spacing w:line="360" w:lineRule="auto"/>
        <w:rPr>
          <w:rFonts w:ascii="宋体" w:hAnsi="宋体" w:cs="宋体"/>
          <w:sz w:val="24"/>
          <w:highlight w:val="none"/>
        </w:rPr>
      </w:pPr>
      <w:r>
        <w:rPr>
          <w:rFonts w:hint="eastAsia" w:ascii="宋体" w:hAnsi="宋体" w:cs="宋体"/>
          <w:sz w:val="24"/>
          <w:highlight w:val="none"/>
        </w:rPr>
        <w:t>e.放射诊疗场所严格按照国家规定协助报检、陪检；</w:t>
      </w:r>
    </w:p>
    <w:p>
      <w:pPr>
        <w:spacing w:line="360" w:lineRule="auto"/>
        <w:rPr>
          <w:rFonts w:ascii="宋体" w:hAnsi="宋体" w:cs="宋体"/>
          <w:sz w:val="24"/>
          <w:highlight w:val="none"/>
        </w:rPr>
      </w:pPr>
      <w:r>
        <w:rPr>
          <w:rFonts w:hint="eastAsia" w:ascii="宋体" w:hAnsi="宋体" w:cs="宋体"/>
          <w:sz w:val="24"/>
          <w:highlight w:val="none"/>
        </w:rPr>
        <w:t>2.3二级保养要求</w:t>
      </w:r>
    </w:p>
    <w:p>
      <w:pPr>
        <w:spacing w:line="360" w:lineRule="auto"/>
        <w:rPr>
          <w:rFonts w:ascii="宋体" w:hAnsi="宋体" w:cs="宋体"/>
          <w:sz w:val="24"/>
          <w:highlight w:val="none"/>
        </w:rPr>
      </w:pPr>
      <w:r>
        <w:rPr>
          <w:rFonts w:hint="eastAsia" w:ascii="宋体" w:hAnsi="宋体" w:cs="宋体"/>
          <w:sz w:val="24"/>
          <w:highlight w:val="none"/>
        </w:rPr>
        <w:t>2.3.1由维保公司人员进行，对设备的主体部分或主要组件进行检查，调整精度，必要时更换已达到磨损限度的机械易损部件，抽样检查一些性能变差的电子元器件，提前进行更换。</w:t>
      </w:r>
    </w:p>
    <w:p>
      <w:pPr>
        <w:spacing w:line="360" w:lineRule="auto"/>
        <w:rPr>
          <w:rFonts w:ascii="宋体" w:hAnsi="宋体" w:cs="宋体"/>
          <w:sz w:val="24"/>
          <w:highlight w:val="none"/>
        </w:rPr>
      </w:pPr>
      <w:r>
        <w:rPr>
          <w:rFonts w:hint="eastAsia" w:ascii="宋体" w:hAnsi="宋体" w:cs="宋体"/>
          <w:sz w:val="24"/>
          <w:highlight w:val="none"/>
        </w:rPr>
        <w:t>2.3.2更换易损件：对已达到使用寿命及性能下降，不合要求的元器件或使用说明中规定的要求定期更换的配件要进行及时地更换，预防可能发生的故障扩大或造成整机故障，排除设备明显的和潜在的各种故障。</w:t>
      </w:r>
    </w:p>
    <w:p>
      <w:pPr>
        <w:spacing w:line="360" w:lineRule="auto"/>
        <w:rPr>
          <w:rFonts w:ascii="宋体" w:hAnsi="宋体" w:cs="宋体"/>
          <w:sz w:val="24"/>
          <w:highlight w:val="none"/>
        </w:rPr>
      </w:pPr>
      <w:r>
        <w:rPr>
          <w:rFonts w:hint="eastAsia" w:ascii="宋体" w:hAnsi="宋体" w:cs="宋体"/>
          <w:sz w:val="24"/>
          <w:highlight w:val="none"/>
        </w:rPr>
        <w:t>2.3.3性能测试校准：能自行校准的设备，进行必要的校准和调整，以保证仪器各项技术指标达到标准，确保仪器在医疗诊断与治疗中的质量。</w:t>
      </w:r>
    </w:p>
    <w:p>
      <w:pPr>
        <w:spacing w:line="360" w:lineRule="auto"/>
        <w:rPr>
          <w:rFonts w:ascii="宋体" w:hAnsi="宋体" w:cs="宋体"/>
          <w:sz w:val="24"/>
          <w:highlight w:val="none"/>
        </w:rPr>
      </w:pPr>
      <w:r>
        <w:rPr>
          <w:rFonts w:hint="eastAsia" w:ascii="宋体" w:hAnsi="宋体" w:cs="宋体"/>
          <w:sz w:val="24"/>
          <w:highlight w:val="none"/>
        </w:rPr>
        <w:t>2.3.4设备质控：提供医疗设备检测服务并提供必要的检测设备</w:t>
      </w:r>
    </w:p>
    <w:p>
      <w:pPr>
        <w:spacing w:line="360" w:lineRule="auto"/>
        <w:rPr>
          <w:rFonts w:ascii="宋体" w:hAnsi="宋体" w:cs="宋体"/>
          <w:sz w:val="24"/>
          <w:highlight w:val="none"/>
        </w:rPr>
      </w:pPr>
      <w:r>
        <w:rPr>
          <w:rFonts w:hint="eastAsia" w:ascii="宋体" w:hAnsi="宋体" w:cs="宋体"/>
          <w:sz w:val="24"/>
          <w:highlight w:val="none"/>
        </w:rPr>
        <w:t>2.3.5保养周期：大型医疗设备与重点设备（磁共振、CT 类、放射类、超声类等影像设备及医院制定的重点设备）按照说明书或保养手册要求进行保养，其他设备按季度进行保养。</w:t>
      </w:r>
    </w:p>
    <w:p>
      <w:pPr>
        <w:spacing w:line="360" w:lineRule="auto"/>
        <w:rPr>
          <w:rFonts w:ascii="宋体" w:hAnsi="宋体" w:cs="宋体"/>
          <w:sz w:val="24"/>
          <w:highlight w:val="none"/>
        </w:rPr>
      </w:pPr>
      <w:r>
        <w:rPr>
          <w:rFonts w:hint="eastAsia" w:ascii="宋体" w:hAnsi="宋体" w:cs="宋体"/>
          <w:sz w:val="24"/>
          <w:highlight w:val="none"/>
        </w:rPr>
        <w:t>2.4保养记录</w:t>
      </w:r>
    </w:p>
    <w:p>
      <w:pPr>
        <w:spacing w:line="360" w:lineRule="auto"/>
        <w:rPr>
          <w:rFonts w:ascii="宋体" w:hAnsi="宋体" w:cs="宋体"/>
          <w:sz w:val="24"/>
          <w:highlight w:val="none"/>
        </w:rPr>
      </w:pPr>
      <w:r>
        <w:rPr>
          <w:rFonts w:hint="eastAsia" w:ascii="宋体" w:hAnsi="宋体" w:cs="宋体"/>
          <w:sz w:val="24"/>
          <w:highlight w:val="none"/>
        </w:rPr>
        <w:t>2.4.1大型医疗设备与重点设备提供的定期维护、保养、校正服务，应提供详细定期保养报告，计划性定期的维护保养服务检测包括设备清洁、性能测试及校准、必要的机械或电气的检查，以及非紧急性质的预防性维修，并定期对设备的数据进行备份，以及确保系统能按照制造商的产品规格运行的其它维护，保养报告上交设备科，并做好记录。</w:t>
      </w:r>
    </w:p>
    <w:p>
      <w:pPr>
        <w:spacing w:line="360" w:lineRule="auto"/>
        <w:rPr>
          <w:rFonts w:ascii="宋体" w:hAnsi="宋体" w:cs="宋体"/>
          <w:sz w:val="24"/>
          <w:highlight w:val="none"/>
        </w:rPr>
      </w:pPr>
      <w:r>
        <w:rPr>
          <w:rFonts w:hint="eastAsia" w:ascii="宋体" w:hAnsi="宋体" w:cs="宋体"/>
          <w:sz w:val="24"/>
          <w:highlight w:val="none"/>
        </w:rPr>
        <w:t>2.4.2利用医疗设备管理软件系统，建立医疗设备、器械维修保养的全过程记录。</w:t>
      </w:r>
    </w:p>
    <w:p>
      <w:pPr>
        <w:spacing w:line="360" w:lineRule="auto"/>
        <w:rPr>
          <w:rFonts w:ascii="宋体" w:hAnsi="宋体" w:cs="宋体"/>
          <w:sz w:val="24"/>
          <w:highlight w:val="none"/>
        </w:rPr>
      </w:pPr>
      <w:r>
        <w:rPr>
          <w:rFonts w:hint="eastAsia" w:ascii="宋体" w:hAnsi="宋体" w:cs="宋体"/>
          <w:sz w:val="24"/>
          <w:highlight w:val="none"/>
        </w:rPr>
        <w:t>2.4.3认真填写设备定期保养项目单的内容，做好设备的维修、保养记录，包括维修时间、维修情况简述、更换配件情况等。</w:t>
      </w:r>
    </w:p>
    <w:p>
      <w:pPr>
        <w:spacing w:line="360" w:lineRule="auto"/>
        <w:rPr>
          <w:rFonts w:ascii="宋体" w:hAnsi="宋体" w:cs="宋体"/>
          <w:sz w:val="24"/>
          <w:highlight w:val="none"/>
        </w:rPr>
      </w:pPr>
      <w:r>
        <w:rPr>
          <w:rFonts w:hint="eastAsia" w:ascii="宋体" w:hAnsi="宋体" w:cs="宋体"/>
          <w:sz w:val="24"/>
          <w:highlight w:val="none"/>
        </w:rPr>
        <w:t>2.4.4每次保养后记录单放回相应的档案内，通过查看记录可以了解使用科室对维修服务情况的满意度。</w:t>
      </w:r>
    </w:p>
    <w:p>
      <w:pPr>
        <w:spacing w:line="360" w:lineRule="auto"/>
        <w:rPr>
          <w:rFonts w:ascii="宋体" w:hAnsi="宋体" w:cs="宋体"/>
          <w:sz w:val="24"/>
          <w:highlight w:val="none"/>
        </w:rPr>
      </w:pPr>
      <w:r>
        <w:rPr>
          <w:rFonts w:hint="eastAsia" w:ascii="宋体" w:hAnsi="宋体" w:cs="宋体"/>
          <w:sz w:val="24"/>
          <w:highlight w:val="none"/>
        </w:rPr>
        <w:t>2.4.5根据维修保养情况记录表的内容，分析设备是由于主机故障还是辅助设备故障，追踪设备的故障和维修情况，动态掌握和分析设备故障的原因，了解配件的更换情况。</w:t>
      </w:r>
    </w:p>
    <w:p>
      <w:pPr>
        <w:spacing w:line="360" w:lineRule="auto"/>
        <w:rPr>
          <w:rFonts w:ascii="宋体" w:hAnsi="宋体" w:cs="宋体"/>
          <w:b/>
          <w:sz w:val="24"/>
          <w:highlight w:val="none"/>
        </w:rPr>
      </w:pPr>
      <w:r>
        <w:rPr>
          <w:rFonts w:hint="eastAsia" w:ascii="宋体" w:hAnsi="宋体" w:cs="宋体"/>
          <w:b/>
          <w:sz w:val="24"/>
          <w:highlight w:val="none"/>
        </w:rPr>
        <w:t>3.设备维修工作要求</w:t>
      </w:r>
    </w:p>
    <w:p>
      <w:pPr>
        <w:spacing w:line="360" w:lineRule="auto"/>
        <w:rPr>
          <w:rFonts w:ascii="宋体" w:hAnsi="宋体" w:cs="宋体"/>
          <w:sz w:val="24"/>
          <w:highlight w:val="none"/>
        </w:rPr>
      </w:pPr>
      <w:r>
        <w:rPr>
          <w:rFonts w:hint="eastAsia" w:ascii="宋体" w:hAnsi="宋体" w:cs="宋体"/>
          <w:sz w:val="24"/>
          <w:highlight w:val="none"/>
        </w:rPr>
        <w:t>3.1设备故障出现后工作日内30分钟，非工作日2小时内工程师及时响应到达现场，急救手术设备在治疗运行过程中发生故障立即赶往现场（到场时间小于20分钟），不得以任何非不可抗力的理由拖延维修响应时间。依托公司服务平台支持,对于现场不能解决处理完成的设备，通过公司服务平台支持，确保精细化针对性服务，及时修复设备，尽快重回医院临床。</w:t>
      </w:r>
    </w:p>
    <w:p>
      <w:pPr>
        <w:spacing w:line="360" w:lineRule="auto"/>
        <w:rPr>
          <w:rFonts w:ascii="宋体" w:hAnsi="宋体" w:cs="宋体"/>
          <w:sz w:val="24"/>
          <w:highlight w:val="none"/>
        </w:rPr>
      </w:pPr>
      <w:r>
        <w:rPr>
          <w:rFonts w:hint="eastAsia" w:ascii="宋体" w:hAnsi="宋体" w:cs="宋体"/>
          <w:sz w:val="24"/>
          <w:highlight w:val="none"/>
        </w:rPr>
        <w:t>3.2全年周一至周日365日含节假日24小时响应。</w:t>
      </w:r>
    </w:p>
    <w:p>
      <w:pPr>
        <w:spacing w:line="360" w:lineRule="auto"/>
        <w:rPr>
          <w:rFonts w:ascii="宋体" w:hAnsi="宋体" w:cs="宋体"/>
          <w:sz w:val="24"/>
          <w:highlight w:val="none"/>
        </w:rPr>
      </w:pPr>
      <w:r>
        <w:rPr>
          <w:rFonts w:hint="eastAsia" w:ascii="宋体" w:hAnsi="宋体" w:cs="宋体"/>
          <w:sz w:val="24"/>
          <w:highlight w:val="none"/>
        </w:rPr>
        <w:t>3.3统计设备的设备开机率；设备故障率等。</w:t>
      </w:r>
    </w:p>
    <w:p>
      <w:pPr>
        <w:spacing w:line="360" w:lineRule="auto"/>
        <w:rPr>
          <w:rFonts w:ascii="宋体" w:hAnsi="宋体" w:cs="宋体"/>
          <w:sz w:val="24"/>
          <w:highlight w:val="none"/>
        </w:rPr>
      </w:pPr>
      <w:r>
        <w:rPr>
          <w:rFonts w:hint="eastAsia" w:ascii="宋体" w:hAnsi="宋体" w:cs="宋体"/>
          <w:sz w:val="24"/>
          <w:highlight w:val="none"/>
        </w:rPr>
        <w:t>3.4维保单位的员工进行服务时必须做好安全保障措施，不得损坏医院所有设备。</w:t>
      </w:r>
    </w:p>
    <w:p>
      <w:pPr>
        <w:spacing w:line="360" w:lineRule="auto"/>
        <w:rPr>
          <w:rFonts w:ascii="宋体" w:hAnsi="宋体" w:cs="宋体"/>
          <w:sz w:val="24"/>
          <w:highlight w:val="none"/>
        </w:rPr>
      </w:pPr>
      <w:r>
        <w:rPr>
          <w:rFonts w:hint="eastAsia" w:ascii="宋体" w:hAnsi="宋体" w:cs="宋体"/>
          <w:sz w:val="24"/>
          <w:highlight w:val="none"/>
        </w:rPr>
        <w:t>3.5入驻维修人员需服从医院维修管理人员安排，及时对维保设备进行处理，一般性故障要求即时修复，不能即时修复的较复杂故障要求三日内完成，不能自行修复的复杂故障原则上一周内修复，如因特殊原因不能如期修复的，需提交书面材料详细说明，急救类设备提供备用机，尽力减少对使用科室的影响。</w:t>
      </w:r>
    </w:p>
    <w:p>
      <w:pPr>
        <w:spacing w:line="360" w:lineRule="auto"/>
        <w:rPr>
          <w:rFonts w:ascii="宋体" w:hAnsi="宋体" w:cs="宋体"/>
          <w:sz w:val="24"/>
          <w:highlight w:val="none"/>
        </w:rPr>
      </w:pPr>
      <w:r>
        <w:rPr>
          <w:rFonts w:hint="eastAsia" w:ascii="宋体" w:hAnsi="宋体" w:cs="宋体"/>
          <w:sz w:val="24"/>
          <w:highlight w:val="none"/>
        </w:rPr>
        <w:t>3.6针对每一次设备维修情况，对故障进行记录并进行分析，详细记录故障属于日常使用故障、设备老化磨损故障、电路故障、设备软件故障、还是机械故障，在及时排除故障的同时针对每种故障类型做出相对应的应急措施，及时告知院方设备管理人员或使用人员避免该类故障的正确做法。</w:t>
      </w:r>
    </w:p>
    <w:p>
      <w:pPr>
        <w:spacing w:line="360" w:lineRule="auto"/>
        <w:rPr>
          <w:rFonts w:ascii="宋体" w:hAnsi="宋体" w:cs="宋体"/>
          <w:sz w:val="24"/>
          <w:highlight w:val="none"/>
        </w:rPr>
      </w:pPr>
      <w:r>
        <w:rPr>
          <w:rFonts w:hint="eastAsia" w:ascii="宋体" w:hAnsi="宋体" w:cs="宋体"/>
          <w:sz w:val="24"/>
          <w:highlight w:val="none"/>
        </w:rPr>
        <w:t>3.7大型医疗与重点设备维保。维保单位对医院现有的以及在服务期内新购置的设备，由设备制造商及其授权的售后机构（以下简称原厂）或具备此设备维修资质和能力的公司维修保养，设备出现故障时，维保单位具备远程技术服务支持，必须由持有生产厂家培训合格证书的工程师在医院的监督下进行维修，无证人员不得拆机。维保单位可委托原厂或具备维修资质和能力的公司进行维保或签订维保合同，无论采用哪种方式，所产生的全部费用均由维保单位承担。以上设备故障天数均与年开机率挂钩。</w:t>
      </w:r>
    </w:p>
    <w:p>
      <w:pPr>
        <w:spacing w:line="360" w:lineRule="auto"/>
        <w:rPr>
          <w:rFonts w:ascii="宋体" w:hAnsi="宋体" w:cs="宋体"/>
          <w:b/>
          <w:sz w:val="24"/>
          <w:highlight w:val="none"/>
        </w:rPr>
      </w:pPr>
      <w:r>
        <w:rPr>
          <w:rFonts w:hint="eastAsia" w:ascii="宋体" w:hAnsi="宋体" w:cs="宋体"/>
          <w:b/>
          <w:sz w:val="24"/>
          <w:highlight w:val="none"/>
        </w:rPr>
        <w:t>（三）、零配件供货要求</w:t>
      </w:r>
    </w:p>
    <w:p>
      <w:pPr>
        <w:spacing w:line="360" w:lineRule="auto"/>
        <w:rPr>
          <w:rFonts w:ascii="宋体" w:hAnsi="宋体" w:cs="宋体"/>
          <w:sz w:val="24"/>
          <w:highlight w:val="none"/>
        </w:rPr>
      </w:pPr>
      <w:r>
        <w:rPr>
          <w:rFonts w:hint="eastAsia" w:ascii="宋体" w:hAnsi="宋体" w:cs="宋体"/>
          <w:b/>
          <w:sz w:val="24"/>
          <w:highlight w:val="none"/>
        </w:rPr>
        <w:t>1. 更换零配件为全新配件</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 院内设置常用配件库，保证为用户提供及时准确的备件供应，对于常规医疗设备，保证有在8小时内提供备品备件的能力</w:t>
      </w:r>
    </w:p>
    <w:p>
      <w:pPr>
        <w:spacing w:line="360" w:lineRule="auto"/>
        <w:rPr>
          <w:rFonts w:ascii="宋体" w:hAnsi="宋体" w:cs="宋体"/>
          <w:sz w:val="24"/>
          <w:highlight w:val="none"/>
        </w:rPr>
      </w:pPr>
      <w:r>
        <w:rPr>
          <w:rFonts w:hint="eastAsia" w:ascii="宋体" w:hAnsi="宋体" w:cs="宋体"/>
          <w:sz w:val="24"/>
          <w:highlight w:val="none"/>
        </w:rPr>
        <w:t>3. 产品质量应符合中华人民共和国国家安全质量标准、环保标准、行业标准或货物来源国官方标准；产品所有技术性能规格及参数，应符合生产厂商公开的宣传资料和生产厂商官方网站宣传内容的标准要求。供应商应保证提供的产品是全新的原厂合格的零部件，表面无划损、无任何缺陷隐患，在中国境内可依常规安全合法使用。</w:t>
      </w:r>
    </w:p>
    <w:p>
      <w:pPr>
        <w:spacing w:line="360" w:lineRule="auto"/>
        <w:rPr>
          <w:rFonts w:ascii="宋体" w:hAnsi="宋体" w:cs="宋体"/>
          <w:sz w:val="24"/>
          <w:highlight w:val="none"/>
        </w:rPr>
      </w:pPr>
      <w:r>
        <w:rPr>
          <w:rFonts w:hint="eastAsia" w:ascii="宋体" w:hAnsi="宋体" w:cs="宋体"/>
          <w:sz w:val="24"/>
          <w:highlight w:val="none"/>
        </w:rPr>
        <w:t>4. 供应商应保证因维修更换的零配件的任何部分非他人所有或与他人共有，未设有抵押权、租赁权，未侵犯他人的专利权、版权、商标权等知识产权。一旦出现侵权， 维保单位应承担全部责任。</w:t>
      </w:r>
    </w:p>
    <w:p>
      <w:pPr>
        <w:spacing w:line="360" w:lineRule="auto"/>
        <w:rPr>
          <w:rFonts w:ascii="宋体" w:hAnsi="宋体" w:cs="宋体"/>
          <w:sz w:val="24"/>
          <w:highlight w:val="none"/>
        </w:rPr>
      </w:pPr>
      <w:r>
        <w:rPr>
          <w:rFonts w:hint="eastAsia" w:ascii="宋体" w:hAnsi="宋体" w:cs="宋体"/>
          <w:sz w:val="24"/>
          <w:highlight w:val="none"/>
        </w:rPr>
        <w:t>5. 针对每一次设备的更换配件的情况，对故障进行记录并进行分析并详细记录，在合同期内因故障而需更换的备件，不受数量限制。</w:t>
      </w:r>
    </w:p>
    <w:p>
      <w:pPr>
        <w:spacing w:line="360" w:lineRule="auto"/>
        <w:rPr>
          <w:rFonts w:ascii="宋体" w:hAnsi="宋体" w:cs="宋体"/>
          <w:sz w:val="24"/>
          <w:highlight w:val="none"/>
        </w:rPr>
      </w:pPr>
      <w:r>
        <w:rPr>
          <w:rFonts w:hint="eastAsia" w:ascii="宋体" w:hAnsi="宋体" w:cs="宋体"/>
          <w:sz w:val="24"/>
          <w:highlight w:val="none"/>
        </w:rPr>
        <w:t>6. 对常用配件进行采购库存，保证配件的更换及时有效，根据医院医疗设备情况提供配件清单。</w:t>
      </w:r>
    </w:p>
    <w:p>
      <w:pPr>
        <w:spacing w:line="360" w:lineRule="auto"/>
        <w:rPr>
          <w:rFonts w:ascii="宋体" w:hAnsi="宋体" w:cs="宋体"/>
          <w:sz w:val="24"/>
          <w:highlight w:val="none"/>
        </w:rPr>
      </w:pPr>
      <w:r>
        <w:rPr>
          <w:rFonts w:hint="eastAsia" w:ascii="宋体" w:hAnsi="宋体" w:cs="宋体"/>
          <w:sz w:val="24"/>
          <w:highlight w:val="none"/>
        </w:rPr>
        <w:t>7.服务期内不限次数的故障诊断、维修人工技术服务，全院所有设备的零配件均由维保单位维修或更换。对于维修中需更换的配件须提供正规厂家生产的合格配件。</w:t>
      </w:r>
    </w:p>
    <w:p>
      <w:pPr>
        <w:spacing w:line="360" w:lineRule="auto"/>
        <w:rPr>
          <w:rFonts w:ascii="宋体" w:hAnsi="宋体" w:cs="宋体"/>
          <w:b/>
          <w:sz w:val="24"/>
          <w:highlight w:val="none"/>
        </w:rPr>
      </w:pPr>
      <w:r>
        <w:rPr>
          <w:rFonts w:hint="eastAsia" w:ascii="宋体" w:hAnsi="宋体" w:cs="宋体"/>
          <w:b/>
          <w:sz w:val="24"/>
          <w:highlight w:val="none"/>
        </w:rPr>
        <w:t>（四）、 维保人员及其他要求</w:t>
      </w:r>
    </w:p>
    <w:p>
      <w:pPr>
        <w:widowControl/>
        <w:spacing w:line="450" w:lineRule="atLeast"/>
        <w:jc w:val="left"/>
        <w:textAlignment w:val="baseline"/>
        <w:rPr>
          <w:rFonts w:ascii="宋体" w:hAnsi="宋体" w:cs="宋体"/>
          <w:sz w:val="24"/>
          <w:highlight w:val="none"/>
        </w:rPr>
      </w:pPr>
      <w:r>
        <w:rPr>
          <w:rFonts w:hint="eastAsia" w:ascii="宋体" w:hAnsi="宋体" w:cs="宋体"/>
          <w:sz w:val="24"/>
          <w:highlight w:val="none"/>
        </w:rPr>
        <w:t>1.驻院维保人员要求数量≥5人以上（含一名主管人员），医院根据科室设备维修需求进行增减，常驻医院≥9名专业医用设备维修工程师，能提供现场或电话技术咨询，随时保持保修联系，必须完全服从医院发展策略的要求，适应院方管理体制和制度的变化。</w:t>
      </w:r>
    </w:p>
    <w:p>
      <w:pPr>
        <w:widowControl/>
        <w:spacing w:line="450" w:lineRule="atLeast"/>
        <w:jc w:val="left"/>
        <w:textAlignment w:val="baseline"/>
        <w:rPr>
          <w:rFonts w:ascii="宋体" w:hAnsi="宋体" w:cs="宋体"/>
          <w:sz w:val="24"/>
          <w:highlight w:val="none"/>
        </w:rPr>
      </w:pPr>
      <w:r>
        <w:rPr>
          <w:rFonts w:hint="eastAsia" w:ascii="宋体" w:hAnsi="宋体" w:cs="宋体"/>
          <w:sz w:val="24"/>
          <w:highlight w:val="none"/>
        </w:rPr>
        <w:t>2.在实施本项目经营管理时须符合国家相关的政策法规。特种设备（如高压氧舱、液氧罐、灭菌器、蒸气发生器、锅炉类等）、特殊设备（如血透机等）严格按各级主管部门要求持证上岗进行维保和管理。</w:t>
      </w:r>
    </w:p>
    <w:p>
      <w:pPr>
        <w:widowControl/>
        <w:spacing w:line="450" w:lineRule="atLeast"/>
        <w:jc w:val="left"/>
        <w:textAlignment w:val="baseline"/>
        <w:rPr>
          <w:rFonts w:ascii="宋体" w:hAnsi="宋体" w:cs="宋体"/>
          <w:sz w:val="24"/>
          <w:highlight w:val="none"/>
        </w:rPr>
      </w:pPr>
      <w:r>
        <w:rPr>
          <w:rFonts w:hint="eastAsia" w:ascii="宋体" w:hAnsi="宋体" w:cs="宋体"/>
          <w:sz w:val="24"/>
          <w:highlight w:val="none"/>
        </w:rPr>
        <w:t>3.中标供应商须配置质量检测设备，协助医院做好相关质控工作。</w:t>
      </w:r>
    </w:p>
    <w:p>
      <w:pPr>
        <w:widowControl/>
        <w:spacing w:line="450" w:lineRule="atLeast"/>
        <w:jc w:val="left"/>
        <w:textAlignment w:val="baseline"/>
        <w:rPr>
          <w:rFonts w:ascii="宋体" w:hAnsi="宋体" w:cs="宋体"/>
          <w:sz w:val="24"/>
          <w:highlight w:val="none"/>
        </w:rPr>
      </w:pPr>
      <w:r>
        <w:rPr>
          <w:rFonts w:hint="eastAsia" w:ascii="宋体" w:hAnsi="宋体" w:cs="宋体"/>
          <w:sz w:val="24"/>
          <w:highlight w:val="none"/>
        </w:rPr>
        <w:t>4.服务质量总体上应达到“及时、到位、可靠、保证和满意”的效果，符合国家、省、市、区等各级组织进行的检查标准，符合医院有关部门和科室的工作时间和工作要求。</w:t>
      </w:r>
    </w:p>
    <w:p>
      <w:pPr>
        <w:widowControl/>
        <w:spacing w:line="450" w:lineRule="atLeast"/>
        <w:jc w:val="left"/>
        <w:textAlignment w:val="baseline"/>
        <w:rPr>
          <w:rFonts w:ascii="宋体" w:hAnsi="宋体" w:cs="宋体"/>
          <w:sz w:val="24"/>
          <w:highlight w:val="none"/>
        </w:rPr>
      </w:pPr>
      <w:r>
        <w:rPr>
          <w:rFonts w:hint="eastAsia" w:ascii="宋体" w:hAnsi="宋体" w:cs="宋体"/>
          <w:sz w:val="24"/>
          <w:highlight w:val="none"/>
        </w:rPr>
        <w:t>5.中标供应商围绕医院设备维修制定的各种管理制度、操作规程及其他有关规定，须报院方审定备案后方可实施。</w:t>
      </w:r>
    </w:p>
    <w:p>
      <w:pPr>
        <w:widowControl/>
        <w:spacing w:line="450" w:lineRule="atLeast"/>
        <w:jc w:val="left"/>
        <w:textAlignment w:val="baseline"/>
        <w:rPr>
          <w:szCs w:val="20"/>
          <w:highlight w:val="none"/>
        </w:rPr>
      </w:pPr>
      <w:r>
        <w:rPr>
          <w:rFonts w:hint="eastAsia" w:ascii="宋体" w:hAnsi="宋体" w:cs="宋体"/>
          <w:sz w:val="24"/>
          <w:highlight w:val="none"/>
        </w:rPr>
        <w:t>6.中标供应商根据医院设备的架构，对保有量大的常规设备（如监护仪、推注泵等）应配备一定数量的备用设备。建立配件库，备有关键设备常用的配件。</w:t>
      </w:r>
    </w:p>
    <w:p>
      <w:pPr>
        <w:spacing w:line="360" w:lineRule="auto"/>
        <w:rPr>
          <w:rFonts w:ascii="宋体" w:hAnsi="宋体" w:cs="宋体"/>
          <w:sz w:val="24"/>
          <w:highlight w:val="none"/>
        </w:rPr>
      </w:pPr>
      <w:r>
        <w:rPr>
          <w:rFonts w:hint="eastAsia" w:ascii="宋体" w:hAnsi="宋体" w:cs="宋体"/>
          <w:sz w:val="24"/>
          <w:highlight w:val="none"/>
        </w:rPr>
        <w:t>7.要求维保人员具有较好的沟通能力，良好的服务意识，积极的工作态度；严格遵守医院及维保单位的各项规章制度及流程；能熟练使用计算机软件。</w:t>
      </w:r>
    </w:p>
    <w:p>
      <w:pPr>
        <w:spacing w:line="360" w:lineRule="auto"/>
        <w:rPr>
          <w:rFonts w:ascii="宋体" w:hAnsi="宋体" w:cs="宋体"/>
          <w:sz w:val="24"/>
          <w:highlight w:val="none"/>
        </w:rPr>
      </w:pPr>
      <w:r>
        <w:rPr>
          <w:rFonts w:hint="eastAsia" w:ascii="宋体" w:hAnsi="宋体" w:cs="宋体"/>
          <w:sz w:val="24"/>
          <w:highlight w:val="none"/>
        </w:rPr>
        <w:t>8.公司中层以上（含中层）管理人员、住院设备维修人员配备必须经医院认可，均需服从医院管理，中标供应商需成立专业的服务团队，围绕医院设备维修服务聘的工作人员必须身体健康、遵纪守法、无不良行为倾向，在上岗前必须进行安全教育和与岗位相关的业务技能培训。按受院方管理部门考核医院有权根据考核情况要求维保公司调换不满意的维保公司人员。</w:t>
      </w:r>
    </w:p>
    <w:p>
      <w:pPr>
        <w:spacing w:line="360" w:lineRule="auto"/>
        <w:rPr>
          <w:szCs w:val="20"/>
          <w:highlight w:val="none"/>
        </w:rPr>
      </w:pPr>
      <w:r>
        <w:rPr>
          <w:rFonts w:hint="eastAsia" w:ascii="宋体" w:hAnsi="宋体" w:cs="宋体"/>
          <w:sz w:val="24"/>
          <w:highlight w:val="none"/>
        </w:rPr>
        <w:t>9.中标供应商不能依条款按质按量完成工作，院方有权按实际情况酌情扣除维修服务费，年内出现3次以上的，医院有权终止合同。由此对医院或患者造成的损失，由中标供应商全部承担。</w:t>
      </w:r>
    </w:p>
    <w:p>
      <w:pPr>
        <w:spacing w:line="360" w:lineRule="auto"/>
        <w:rPr>
          <w:rFonts w:ascii="宋体" w:hAnsi="宋体" w:cs="宋体"/>
          <w:sz w:val="24"/>
          <w:highlight w:val="none"/>
        </w:rPr>
      </w:pPr>
      <w:r>
        <w:rPr>
          <w:rFonts w:hint="eastAsia" w:ascii="宋体" w:hAnsi="宋体" w:cs="宋体"/>
          <w:sz w:val="24"/>
          <w:highlight w:val="none"/>
        </w:rPr>
        <w:t>10、对于不在维修范围内（医院已自行买保）的医疗设备，中标供应商有义务协助配合厂家技术人员，尽快解决故障，并按维保范围内设备同等的各项要求管理。</w:t>
      </w:r>
    </w:p>
    <w:p>
      <w:pPr>
        <w:spacing w:line="360" w:lineRule="auto"/>
        <w:rPr>
          <w:rFonts w:ascii="宋体" w:hAnsi="宋体" w:cs="宋体"/>
          <w:sz w:val="24"/>
          <w:highlight w:val="none"/>
        </w:rPr>
      </w:pPr>
      <w:r>
        <w:rPr>
          <w:rFonts w:hint="eastAsia" w:ascii="宋体" w:hAnsi="宋体" w:cs="宋体"/>
          <w:sz w:val="24"/>
          <w:highlight w:val="none"/>
        </w:rPr>
        <w:t>11.中标供应商需编制各科室医疗设备巡检报告，编制医疗设备标准操作流程（SOP) ，编写并提供针对医院医疗设备的保养路径图（五万元以上设备），编写并提供医院医疗设备的维修保养流程图。</w:t>
      </w:r>
    </w:p>
    <w:p>
      <w:pPr>
        <w:spacing w:line="360" w:lineRule="auto"/>
        <w:rPr>
          <w:rFonts w:ascii="宋体" w:hAnsi="宋体" w:cs="宋体"/>
          <w:sz w:val="24"/>
          <w:highlight w:val="none"/>
        </w:rPr>
      </w:pPr>
      <w:r>
        <w:rPr>
          <w:rFonts w:hint="eastAsia" w:ascii="宋体" w:hAnsi="宋体" w:cs="宋体"/>
          <w:sz w:val="24"/>
          <w:highlight w:val="none"/>
        </w:rPr>
        <w:t>12.中标供应商应每月向我院递交设备维护维修状况分析报表。</w:t>
      </w:r>
    </w:p>
    <w:p>
      <w:pPr>
        <w:spacing w:line="360" w:lineRule="auto"/>
        <w:rPr>
          <w:rFonts w:ascii="宋体" w:hAnsi="宋体" w:cs="宋体"/>
          <w:sz w:val="24"/>
          <w:highlight w:val="none"/>
        </w:rPr>
      </w:pPr>
      <w:r>
        <w:rPr>
          <w:rFonts w:hint="eastAsia" w:ascii="宋体" w:hAnsi="宋体" w:cs="宋体"/>
          <w:sz w:val="24"/>
          <w:highlight w:val="none"/>
        </w:rPr>
        <w:t>13.对于我院医疗设备的硬件，软件安装和定期升级要求，中标供应商应主动积极与我院相关部门协商沟通、安排相应的工作进度，保障相关工作的顺利进行，确保其安全性和可靠性。</w:t>
      </w:r>
    </w:p>
    <w:p>
      <w:pPr>
        <w:spacing w:line="360" w:lineRule="auto"/>
        <w:rPr>
          <w:rFonts w:ascii="宋体" w:hAnsi="宋体" w:cs="宋体"/>
          <w:sz w:val="24"/>
          <w:highlight w:val="none"/>
        </w:rPr>
      </w:pPr>
      <w:r>
        <w:rPr>
          <w:rFonts w:hint="eastAsia" w:ascii="宋体" w:hAnsi="宋体" w:cs="宋体"/>
          <w:sz w:val="24"/>
          <w:highlight w:val="none"/>
        </w:rPr>
        <w:t>14.中标供应商需对医疗设备进行注册管理，建立新设备装机验收档案，并对相关技术资料（如用户操作手册，电路图），进行分类、归档。</w:t>
      </w:r>
    </w:p>
    <w:p>
      <w:pPr>
        <w:spacing w:line="360" w:lineRule="auto"/>
        <w:rPr>
          <w:rFonts w:ascii="宋体" w:hAnsi="宋体" w:cs="宋体"/>
          <w:sz w:val="24"/>
          <w:highlight w:val="none"/>
        </w:rPr>
      </w:pPr>
      <w:r>
        <w:rPr>
          <w:rFonts w:hint="eastAsia" w:ascii="宋体" w:hAnsi="宋体" w:cs="宋体"/>
          <w:sz w:val="24"/>
          <w:highlight w:val="none"/>
        </w:rPr>
        <w:t>15.对于我院新购医疗设备，中标供应商有义务协助我院进行相关技术验收工作，并根据诚实信用原则，为我院提供医疗设备技术咨询。</w:t>
      </w:r>
    </w:p>
    <w:p>
      <w:pPr>
        <w:spacing w:line="360" w:lineRule="auto"/>
        <w:rPr>
          <w:rFonts w:ascii="宋体" w:hAnsi="宋体" w:cs="宋体"/>
          <w:sz w:val="24"/>
          <w:highlight w:val="none"/>
        </w:rPr>
      </w:pPr>
      <w:r>
        <w:rPr>
          <w:rFonts w:hint="eastAsia" w:ascii="宋体" w:hAnsi="宋体" w:cs="宋体"/>
          <w:sz w:val="24"/>
          <w:highlight w:val="none"/>
        </w:rPr>
        <w:t>16.中标供应商需定期对我院设备操作人员进行技术操作培训，制订培训计划或日程表，经我院主管部门审查后，认真执行。</w:t>
      </w:r>
    </w:p>
    <w:p>
      <w:pPr>
        <w:spacing w:line="360" w:lineRule="auto"/>
        <w:rPr>
          <w:rFonts w:ascii="宋体" w:hAnsi="宋体" w:cs="宋体"/>
          <w:sz w:val="24"/>
          <w:highlight w:val="none"/>
        </w:rPr>
      </w:pPr>
      <w:r>
        <w:rPr>
          <w:rFonts w:hint="eastAsia" w:ascii="宋体" w:hAnsi="宋体" w:cs="宋体"/>
          <w:sz w:val="24"/>
          <w:highlight w:val="none"/>
        </w:rPr>
        <w:t>17.代办全院医用设备强检（免代办手续费）。</w:t>
      </w:r>
    </w:p>
    <w:p>
      <w:pPr>
        <w:spacing w:line="360" w:lineRule="auto"/>
        <w:rPr>
          <w:rFonts w:ascii="宋体" w:hAnsi="宋体" w:cs="宋体"/>
          <w:b/>
          <w:sz w:val="24"/>
          <w:highlight w:val="none"/>
        </w:rPr>
      </w:pPr>
      <w:r>
        <w:rPr>
          <w:rFonts w:hint="eastAsia" w:ascii="宋体" w:hAnsi="宋体" w:cs="宋体"/>
          <w:b/>
          <w:sz w:val="24"/>
          <w:highlight w:val="none"/>
        </w:rPr>
        <w:t>五、医院老旧设备的退出和新设备的增加方式约定</w:t>
      </w:r>
    </w:p>
    <w:p>
      <w:pPr>
        <w:spacing w:line="360" w:lineRule="auto"/>
        <w:rPr>
          <w:rFonts w:ascii="宋体" w:hAnsi="宋体" w:cs="宋体"/>
          <w:sz w:val="24"/>
          <w:highlight w:val="none"/>
        </w:rPr>
      </w:pPr>
      <w:r>
        <w:rPr>
          <w:rFonts w:hint="eastAsia" w:ascii="宋体" w:hAnsi="宋体" w:cs="宋体"/>
          <w:sz w:val="24"/>
          <w:highlight w:val="none"/>
        </w:rPr>
        <w:t>1.一个合同年度内不得以任何理由进行单方面设备报废，报废按照院方报废流程办理。</w:t>
      </w:r>
    </w:p>
    <w:p>
      <w:pPr>
        <w:spacing w:line="360" w:lineRule="auto"/>
        <w:rPr>
          <w:rFonts w:ascii="宋体" w:hAnsi="宋体" w:cs="宋体"/>
          <w:sz w:val="24"/>
          <w:highlight w:val="none"/>
        </w:rPr>
      </w:pPr>
      <w:r>
        <w:rPr>
          <w:rFonts w:hint="eastAsia" w:ascii="宋体" w:hAnsi="宋体" w:cs="宋体"/>
          <w:sz w:val="24"/>
          <w:highlight w:val="none"/>
        </w:rPr>
        <w:t>2.一个合同年度内，设备清单发生变化时，维保总费用不变。</w:t>
      </w:r>
    </w:p>
    <w:p>
      <w:pPr>
        <w:spacing w:line="360" w:lineRule="auto"/>
        <w:rPr>
          <w:rFonts w:ascii="宋体" w:hAnsi="宋体" w:cs="宋体"/>
          <w:b/>
          <w:sz w:val="24"/>
          <w:highlight w:val="none"/>
        </w:rPr>
      </w:pPr>
      <w:r>
        <w:rPr>
          <w:rFonts w:hint="eastAsia" w:ascii="宋体" w:hAnsi="宋体" w:cs="宋体"/>
          <w:b/>
          <w:sz w:val="24"/>
          <w:highlight w:val="none"/>
        </w:rPr>
        <w:t>六、 服务期限</w:t>
      </w:r>
    </w:p>
    <w:p>
      <w:pPr>
        <w:spacing w:line="360" w:lineRule="auto"/>
        <w:ind w:firstLine="426" w:firstLineChars="177"/>
        <w:rPr>
          <w:rFonts w:ascii="宋体" w:hAnsi="宋体" w:cs="宋体"/>
          <w:b/>
          <w:sz w:val="24"/>
          <w:highlight w:val="none"/>
        </w:rPr>
      </w:pPr>
      <w:r>
        <w:rPr>
          <w:rFonts w:hint="eastAsia" w:ascii="宋体" w:hAnsi="宋体" w:cs="宋体"/>
          <w:b/>
          <w:sz w:val="24"/>
          <w:highlight w:val="none"/>
        </w:rPr>
        <w:t>总服务期2年，合同按一年度签订，每一年结束前60天根据中标人上年度服务情况决定是否续签。</w:t>
      </w:r>
    </w:p>
    <w:p>
      <w:pPr>
        <w:numPr>
          <w:ilvl w:val="0"/>
          <w:numId w:val="5"/>
        </w:numPr>
        <w:spacing w:line="360" w:lineRule="auto"/>
        <w:rPr>
          <w:rFonts w:hint="eastAsia" w:ascii="宋体" w:hAnsi="宋体" w:cs="宋体"/>
          <w:sz w:val="24"/>
          <w:highlight w:val="none"/>
        </w:rPr>
      </w:pPr>
      <w:r>
        <w:rPr>
          <w:rFonts w:hint="eastAsia" w:ascii="宋体" w:hAnsi="宋体" w:cs="宋体"/>
          <w:b/>
          <w:sz w:val="24"/>
          <w:highlight w:val="none"/>
        </w:rPr>
        <w:t>服务地点：</w:t>
      </w:r>
      <w:r>
        <w:rPr>
          <w:rFonts w:hint="eastAsia" w:ascii="宋体" w:hAnsi="宋体" w:cs="宋体"/>
          <w:sz w:val="24"/>
          <w:highlight w:val="none"/>
        </w:rPr>
        <w:t>山东大学第二医院</w:t>
      </w: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p>
    <w:p>
      <w:pPr>
        <w:spacing w:line="360" w:lineRule="auto"/>
        <w:jc w:val="both"/>
        <w:rPr>
          <w:rFonts w:hint="eastAsia" w:ascii="宋体" w:hAnsi="宋体"/>
          <w:b/>
          <w:sz w:val="36"/>
          <w:highlight w:val="none"/>
          <w:lang w:val="en-US" w:eastAsia="zh-CN"/>
        </w:rPr>
      </w:pPr>
      <w:r>
        <w:rPr>
          <w:rFonts w:hint="eastAsia" w:ascii="宋体" w:hAnsi="宋体"/>
          <w:b/>
          <w:sz w:val="36"/>
          <w:highlight w:val="none"/>
          <w:lang w:val="en-US" w:eastAsia="zh-CN"/>
        </w:rPr>
        <w:t>附件：</w:t>
      </w:r>
    </w:p>
    <w:tbl>
      <w:tblPr>
        <w:tblStyle w:val="49"/>
        <w:tblW w:w="10229" w:type="dxa"/>
        <w:jc w:val="center"/>
        <w:shd w:val="clear" w:color="auto" w:fill="auto"/>
        <w:tblLayout w:type="autofit"/>
        <w:tblCellMar>
          <w:top w:w="0" w:type="dxa"/>
          <w:left w:w="0" w:type="dxa"/>
          <w:bottom w:w="0" w:type="dxa"/>
          <w:right w:w="0" w:type="dxa"/>
        </w:tblCellMar>
      </w:tblPr>
      <w:tblGrid>
        <w:gridCol w:w="687"/>
        <w:gridCol w:w="3845"/>
        <w:gridCol w:w="629"/>
        <w:gridCol w:w="53"/>
        <w:gridCol w:w="687"/>
        <w:gridCol w:w="3699"/>
        <w:gridCol w:w="629"/>
      </w:tblGrid>
      <w:tr>
        <w:tblPrEx>
          <w:shd w:val="clear" w:color="auto" w:fill="auto"/>
          <w:tblCellMar>
            <w:top w:w="0" w:type="dxa"/>
            <w:left w:w="0" w:type="dxa"/>
            <w:bottom w:w="0" w:type="dxa"/>
            <w:right w:w="0" w:type="dxa"/>
          </w:tblCellMar>
        </w:tblPrEx>
        <w:trPr>
          <w:trHeight w:val="435" w:hRule="atLeast"/>
          <w:jc w:val="center"/>
        </w:trPr>
        <w:tc>
          <w:tcPr>
            <w:tcW w:w="10229" w:type="dxa"/>
            <w:gridSpan w:val="7"/>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40"/>
                <w:szCs w:val="40"/>
                <w:highlight w:val="none"/>
                <w:u w:val="none"/>
              </w:rPr>
            </w:pPr>
            <w:r>
              <w:rPr>
                <w:rFonts w:hint="eastAsia" w:ascii="宋体" w:hAnsi="宋体" w:eastAsia="宋体" w:cs="宋体"/>
                <w:b/>
                <w:i w:val="0"/>
                <w:color w:val="000000"/>
                <w:kern w:val="0"/>
                <w:sz w:val="40"/>
                <w:szCs w:val="40"/>
                <w:highlight w:val="none"/>
                <w:u w:val="none"/>
                <w:lang w:val="en-US" w:eastAsia="zh-CN" w:bidi="ar"/>
              </w:rPr>
              <w:t>设备目录清单</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编号</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数量</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编号</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数量</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耳鼻喉专用CT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玻片自动打号机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激光扫描共聚焦显微镜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耳鸣综合诊断治疗仪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3D腹腔镜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亚低温治疗仪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激光显微切割系统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经皮氧/二氧化碳分压检测仪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流式细胞仪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滑走式石蜡切片机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彩色超声诊断系统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蛋白质组学双向电泳仪系统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多光谱切片成像系统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石蜡切片机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电子胆道镜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语言测听设备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消化内镜主机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半导体激光治疗仪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放射治疗计划系统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皮肤镜图像诊断工作站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前庭功能诊断及康复系统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心脏自主神经检测仪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眶内泪道治疗系统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一氧化氮治疗仪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双能X线骨密度仪系统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小儿输尿管电切镜及器械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乳腺三维断层摄像(升级)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电穿孔转移系统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全自动大容量快速脱水机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小儿膀胱镜及器械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全自动组织脱水机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激光坐浴机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高清小儿腹腔镜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血液透析机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频闪动态喉镜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小儿输尿管肾镜及器械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宫腔镜双极电切系统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宫腔内凝器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视觉质量分析系统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微电脑干式血浆速溶机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快速多舱式全自动清洗消毒器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运输用培养箱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数字切片扫描系统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检眼台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超声皮肤影像仪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支气管纤维镜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乳腺导管内窥镜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纤维支气管镜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核酸提取分析仪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压力滴定呼吸机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多维图像分析系统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耳鼻喉综合动力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电动胸骨锯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外周血管系统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自动指趾压力检测装置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组织粉碎器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显微成像分析系统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前庭功能检查系统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宫腔检查镜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眼科电动手术床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影像板扫描仪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便携式彩超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超声牙科治疗仪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超声清创治疗仪系统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除颤起搏监护仪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HE组织染色机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干眼雾化治疗仪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超速离心机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全自动免疫组化染色仪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眩晕诊断治疗仪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Remb通用手机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新生儿无创高频呼吸机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口腔清洗消毒锅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810治疗激光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纯水系统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双能X线骨密度测定仪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12导联动态心电分析系统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干眼分析仪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全自动条码信息标注仪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大标本高清成像台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间接检眼镜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尿动力学检查系统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低温等离子灭菌器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免散瞳数码眼底照相机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超纯水机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肺功能测试系统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三气培养箱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动脉硬化仪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PCR仪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口腔手机清洗机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激光手术椅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盖片机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裂隙灯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DSA高压注射器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开眶动力系统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眼科A/B超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儿童专用超声骨密度仪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液氮罐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环氧乙烷灭菌系统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术中显微多普勒探测仪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细胞计数仪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婴儿培养箱（暖箱）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克氏针接头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手持检测仪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bl>
    <w:p/>
    <w:tbl>
      <w:tblPr>
        <w:tblStyle w:val="49"/>
        <w:tblW w:w="10229" w:type="dxa"/>
        <w:jc w:val="center"/>
        <w:shd w:val="clear" w:color="auto" w:fill="auto"/>
        <w:tblLayout w:type="autofit"/>
        <w:tblCellMar>
          <w:top w:w="0" w:type="dxa"/>
          <w:left w:w="0" w:type="dxa"/>
          <w:bottom w:w="0" w:type="dxa"/>
          <w:right w:w="0" w:type="dxa"/>
        </w:tblCellMar>
      </w:tblPr>
      <w:tblGrid>
        <w:gridCol w:w="586"/>
        <w:gridCol w:w="3960"/>
        <w:gridCol w:w="538"/>
        <w:gridCol w:w="59"/>
        <w:gridCol w:w="587"/>
        <w:gridCol w:w="3961"/>
        <w:gridCol w:w="538"/>
      </w:tblGrid>
      <w:tr>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专用复视屏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担架车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角膜地形图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经皮黄疸测试仪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降温毯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恒温金属浴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高端监护仪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聚丙烯酰胺凝胶电泳仪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热牙胶充填系统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视网膜镜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回弹眼压计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恒温水浴箱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便携式除颤监护仪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床单位消毒机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中药熏蒸仪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电泳仪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偏光显微套装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医用开颅钻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台式低温离心机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术中房角镜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中药气疗饥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三面镜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铅屏风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混匀仪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72小时动态心电记录盒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超净工作台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婴儿培养箱（蓝光箱）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转膜仪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立式高压灭菌器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牙科手机自动注油机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智能艾灸治疗仪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升降平车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医用低温冷藏箱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琼脂糖凝胶电泳仪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温毯机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铅防护屏风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胎儿监护仪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铅防护屏风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温液系统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液氮运输罐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动态血压记录分析系统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混匀仪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Western全套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洁牙手柄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环境辐射监测仪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放大镜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二氧化碳浓度测定仪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47</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液氮储存罐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电子支气管镜及主机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间歇脉冲加压抗栓系统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治疗车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体视显微镜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磁力搅拌器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层流床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微量涡旋混合器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心电监护仪（飞利浦）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柔软型铅衣（无袖）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全自动生化分析仪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矢状锯接头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口腔超声治疗仪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摇床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生物安全柜（双人）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电动流产吸引器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标准型PH计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微型台式真空泵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全温震荡培养箱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新生儿黄疸治疗箱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正畸钳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29</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口腔低速手机套装（马达）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脉氧仪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电动移液器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心电监护仪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个人计量仪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脉氧仪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铅帽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细胞孵箱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fldChar w:fldCharType="begin"/>
            </w:r>
            <w:r>
              <w:rPr>
                <w:rFonts w:hint="eastAsia" w:ascii="宋体" w:hAnsi="宋体" w:eastAsia="宋体" w:cs="宋体"/>
                <w:i w:val="0"/>
                <w:color w:val="auto"/>
                <w:kern w:val="0"/>
                <w:sz w:val="22"/>
                <w:szCs w:val="22"/>
                <w:highlight w:val="none"/>
                <w:u w:val="none"/>
                <w:lang w:val="en-US" w:eastAsia="zh-CN" w:bidi="ar"/>
              </w:rPr>
              <w:instrText xml:space="preserve"> HYPERLINK "mailto:铅围脖*@" </w:instrText>
            </w:r>
            <w:r>
              <w:rPr>
                <w:rFonts w:hint="eastAsia" w:ascii="宋体" w:hAnsi="宋体" w:eastAsia="宋体" w:cs="宋体"/>
                <w:i w:val="0"/>
                <w:color w:val="auto"/>
                <w:kern w:val="0"/>
                <w:sz w:val="22"/>
                <w:szCs w:val="22"/>
                <w:highlight w:val="none"/>
                <w:u w:val="none"/>
                <w:lang w:val="en-US" w:eastAsia="zh-CN" w:bidi="ar"/>
              </w:rPr>
              <w:fldChar w:fldCharType="separate"/>
            </w:r>
            <w:r>
              <w:rPr>
                <w:rStyle w:val="56"/>
                <w:rFonts w:hint="eastAsia" w:ascii="宋体" w:hAnsi="宋体" w:eastAsia="宋体" w:cs="宋体"/>
                <w:i w:val="0"/>
                <w:color w:val="auto"/>
                <w:sz w:val="22"/>
                <w:szCs w:val="22"/>
                <w:highlight w:val="none"/>
                <w:u w:val="none"/>
              </w:rPr>
              <w:t>铅围脖</w:t>
            </w:r>
            <w:r>
              <w:rPr>
                <w:rFonts w:hint="eastAsia" w:ascii="宋体" w:hAnsi="宋体" w:eastAsia="宋体" w:cs="宋体"/>
                <w:i w:val="0"/>
                <w:color w:val="auto"/>
                <w:kern w:val="0"/>
                <w:sz w:val="22"/>
                <w:szCs w:val="22"/>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脉氧仪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数字万用表（科研设备）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消毒锅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组织匀浆机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恒温平板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综合诊疗台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超净化台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自动气压止血带机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显微手术架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柱形垫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红外热成像仪（科研设备）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制冰机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视频会议系统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折叠双目筒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婴儿床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运动平衡仪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阴道微生态评价系统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圆形头圈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医用冷冻箱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荧光定量PCR仪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医用恒温箱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巨鲨专业显示器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医用高速离心机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精密三气细胞培养箱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液氮容器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角膜侧厚仪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眼前节激光系统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急诊专用吊塔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眼科广域成像系统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混匀仪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言语训练系统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恒温蜡疗箱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bl>
    <w:p/>
    <w:tbl>
      <w:tblPr>
        <w:tblStyle w:val="49"/>
        <w:tblW w:w="10229" w:type="dxa"/>
        <w:jc w:val="center"/>
        <w:shd w:val="clear" w:color="auto" w:fill="auto"/>
        <w:tblLayout w:type="autofit"/>
        <w:tblCellMar>
          <w:top w:w="0" w:type="dxa"/>
          <w:left w:w="0" w:type="dxa"/>
          <w:bottom w:w="0" w:type="dxa"/>
          <w:right w:w="0" w:type="dxa"/>
        </w:tblCellMar>
      </w:tblPr>
      <w:tblGrid>
        <w:gridCol w:w="560"/>
        <w:gridCol w:w="3780"/>
        <w:gridCol w:w="358"/>
        <w:gridCol w:w="56"/>
        <w:gridCol w:w="560"/>
        <w:gridCol w:w="4489"/>
        <w:gridCol w:w="426"/>
      </w:tblGrid>
      <w:tr>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牙科综合治疗椅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280</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光学倒置显微镜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血球前处理系统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281</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关节镜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新生儿暖箱（国产）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282</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高压立式灭菌锅</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新生儿黄疸治疗仪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283</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高速冷冻离心机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心肺复苏机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284</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高频呼吸机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小型台式高速低温离心机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285</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干湿分离吊塔</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显微操作系统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286</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腹部提压心肺复苏仪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下肢关节康复器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287</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封口机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脱色摇床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288</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非接触眼压计</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听力筛查仪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289</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防水型CCD摄像头</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台式冷冻离心机及其附件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290</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方垫</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台式高速离心机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291</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儿童型头圈</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数字握力计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292</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儿童病床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数字胃肠图仪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293</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儿科吊塔</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数字人解剖系统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多色荧光发光凝胶成像系统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数字PCR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295</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多功能激光光电平台（红蓝光）</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输液/输血加温仪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296</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多功能呼吸机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手套式操作箱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297</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多导睡眠监测系统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手术放大镜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298</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多舱清洗架</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手术对接车外车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299</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对手桥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手动分液器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电热恒温培养箱</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手持眼底相机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电脑验光仪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视力筛查仪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低温冷冻装置</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实时荧光定量PCR仪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倒置生物显微镜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升降平车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304</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除颤仪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伤口治疗仪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305</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超微量分光光度计</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乳腺关节镜（配件）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306</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彩车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全自动血液分析流水线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307</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鼻阻力/声反射仪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全自动血型配血分析仪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308</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半圆形体位垫</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全自动血沉仪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309</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八道移液器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全自动细胞形态学分析仪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X射线床旁防护装置</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全自动尿液分析系统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311</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C型架</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全自动尿液分析流水线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312</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4度层析柜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全胸震荡排痰机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313</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10倍双目镜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普通双摇病床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314</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数字化泌尿X射线系统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皮试仪（定向药透仪）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315</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4K超高清腹腔镜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316</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心脏彩超</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离子成像系统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317</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大视野口腔CT</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口腔快速手机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318</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体外循环机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可视喉镜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319</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强光和激光皮肤治疗系统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输尿管镜系统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320</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新生儿超细支气管镜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移动DR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321</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超声骨刀</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细胞实时功能分析系统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322</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离心泵</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经颅多普勒仪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323</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一体式连续冲洗宫腔镜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324</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光学相干断层扫描前节镜头</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肺功能仪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325</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电动手术台</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关节镜系统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326</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腹部探头</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荧光显微镜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327</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十人共览显微镜高清成像系统升级</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细胞扩增系统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328</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手术床沙滩椅附件</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电子肠镜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329</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纤维支气管镜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张力及压力记录系统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330</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自动化样品粉碎仪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单纤维放电系统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331</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乳内动脉牵开器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鼻内镜高清系统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332</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人体成分分析仪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电动骨科手术床（手术台）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333</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三人共览显微镜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电子胃镜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334</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医用臭氧治疗仪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主动脉内球囊反搏泵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335</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全自动免疫分析仪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肌电诱发电位仪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336</w:t>
            </w:r>
          </w:p>
        </w:tc>
        <w:tc>
          <w:tcPr>
            <w:tcW w:w="44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臭氧治疗仪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bl>
    <w:p/>
    <w:tbl>
      <w:tblPr>
        <w:tblStyle w:val="49"/>
        <w:tblW w:w="10229" w:type="dxa"/>
        <w:jc w:val="center"/>
        <w:shd w:val="clear" w:color="auto" w:fill="auto"/>
        <w:tblLayout w:type="fixed"/>
        <w:tblCellMar>
          <w:top w:w="0" w:type="dxa"/>
          <w:left w:w="0" w:type="dxa"/>
          <w:bottom w:w="0" w:type="dxa"/>
          <w:right w:w="0" w:type="dxa"/>
        </w:tblCellMar>
      </w:tblPr>
      <w:tblGrid>
        <w:gridCol w:w="552"/>
        <w:gridCol w:w="3791"/>
        <w:gridCol w:w="510"/>
        <w:gridCol w:w="240"/>
        <w:gridCol w:w="525"/>
        <w:gridCol w:w="4185"/>
        <w:gridCol w:w="426"/>
      </w:tblGrid>
      <w:tr>
        <w:tblPrEx>
          <w:shd w:val="clear" w:color="auto" w:fill="auto"/>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337</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骨动力来复锯</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394</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水处理机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338</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等离子手术系统</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395</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IVC小鼠饲养系统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339</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骨盆固定器</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396</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LVC独立送风隔离笼具</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340</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手术床</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397</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双人共览显微镜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341</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电动手术床（手术台）</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398</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生物显微镜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342</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实时荧光定量PCR仪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光子治疗仪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343</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体视显微镜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医用超低温冰箱（﹣80℃）</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344</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鼻窦镜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401</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干眼雾化治疗仪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345</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经颅多普勒血流分析仪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402</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正置显微镜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346</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视频脑电图机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403</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五官科清洗器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347</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荧光原位杂交技术分析系统</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404</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吞咽治疗仪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348</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儿童呼吸机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405</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实时动态胰岛素泵</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349</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婴儿、儿童无创呼吸机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406</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储血专用冰箱</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350</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动态脑电图仪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407</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温热磁治疗仪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351</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电子直乙结肠镜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408</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冰点渗透压仪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352</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精子分析仪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409</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促射精电动按摩仪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353</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气道清除系统</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410</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牙科综合治疗椅</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354</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开颅动力系统</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411</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无影灯</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355</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软式内镜清洗消毒器</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412</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高压蒸汽消毒锅</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356</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心肺复苏机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413</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多通道输注工作站</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357</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自体血液回收机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414</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冠脉剪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358</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生物反馈电刺激仪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415</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便携式X线机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359</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持续床旁血液净化机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416</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普通正置显微镜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超脉冲二氧化碳点阵激光</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417</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便携式下肢康复训练仪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361</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PET/CT放射性药物自动分装仪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418</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降温毯 降温帽</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362</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酶标仪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419</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大小鼠尾部自动标号仪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363</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骨髓细胞分析系统</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420</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热循环仪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364</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精子分析仪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421</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二氧化碳培养箱</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365</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荧光式核算蛋白定量仪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422</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DMS深层肌肉刺激仪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366</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手术动力系统</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423</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半干转膜仪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367</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电热蒸汽发生器</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424</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手术无影灯</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368</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酸化水消毒机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425</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负极回路垫</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369</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M4手柄（美敦力）</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426</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倒置显微镜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370</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纤维支气管镜</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427</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病人转运床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371</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化学发光免疫分析仪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428</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胰岛素泵</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372</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光子治疗仪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429</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电动手术台</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373</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吊塔</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430</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灭菌硬质容器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374</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双光束紫外可见分光光度计（张羽</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431</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铅防护服</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375</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腹腔镜模拟训练器</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432</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克氏针接头</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376</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腹部牵开器</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433</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分体防护服</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377</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温毯机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434</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小动物雾化给药仪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378</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侧壁钳</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435</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四道微量注射泵</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379</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微型内窥镜视频系统</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436</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蜡疗机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380</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圈镊</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437</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心电图机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381</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冠脉剪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438</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哈巴狗夹</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382</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输卵管通液诊断治疗仪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439</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空气波压力治疗仪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383</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妇科检查床</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440</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抗血栓压力泵</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384</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可见光分光光度计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441</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心包膜牵开器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385</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缝线环</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442</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剥离子</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386</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5-6/0针持</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443</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神经经皮刺激仪</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387</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主动脉瘤阻断钳</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444</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探条</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388</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视力表投影仪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445</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耳内窥镜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389</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振动排痰机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446</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医用冷藏箱</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390</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显微刀</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447</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取乳内镊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391</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无损伤镊</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448</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床边小型下肢活动器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392</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阻断钳</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449</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床单位消毒器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w:t>
            </w:r>
          </w:p>
        </w:tc>
      </w:tr>
      <w:tr>
        <w:tblPrEx>
          <w:tblCellMar>
            <w:top w:w="0" w:type="dxa"/>
            <w:left w:w="0" w:type="dxa"/>
            <w:bottom w:w="0" w:type="dxa"/>
            <w:right w:w="0" w:type="dxa"/>
          </w:tblCellMar>
        </w:tblPrEx>
        <w:trPr>
          <w:trHeight w:val="27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393</w:t>
            </w:r>
          </w:p>
        </w:tc>
        <w:tc>
          <w:tcPr>
            <w:tcW w:w="3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主动脉阻断钳</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0"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450</w:t>
            </w:r>
          </w:p>
        </w:tc>
        <w:tc>
          <w:tcPr>
            <w:tcW w:w="4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显微剪刀</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bl>
    <w:p/>
    <w:tbl>
      <w:tblPr>
        <w:tblStyle w:val="49"/>
        <w:tblW w:w="10229" w:type="dxa"/>
        <w:jc w:val="center"/>
        <w:shd w:val="clear" w:color="auto" w:fill="auto"/>
        <w:tblLayout w:type="autofit"/>
        <w:tblCellMar>
          <w:top w:w="0" w:type="dxa"/>
          <w:left w:w="0" w:type="dxa"/>
          <w:bottom w:w="0" w:type="dxa"/>
          <w:right w:w="0" w:type="dxa"/>
        </w:tblCellMar>
      </w:tblPr>
      <w:tblGrid>
        <w:gridCol w:w="616"/>
        <w:gridCol w:w="3817"/>
        <w:gridCol w:w="565"/>
        <w:gridCol w:w="62"/>
        <w:gridCol w:w="616"/>
        <w:gridCol w:w="4159"/>
        <w:gridCol w:w="394"/>
      </w:tblGrid>
      <w:tr>
        <w:tblPrEx>
          <w:shd w:val="clear" w:color="auto" w:fill="auto"/>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矢状锯接头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恒温混匀仪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抗酸染色机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多功能治疗车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颅内压监测仪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微量分析天平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可升降治疗椅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神经拉钩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动态血压检测仪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肝素针头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呼末二氧化碳模块及附件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OT综合训练工作台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无损伤镊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多抽屉急救彩车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层析柜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恒温试管架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麻醉彩车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辐射安全报警仪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双道微量注射泵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软骨切割器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鼻内窥镜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全自动电子血压计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转运车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手功能评估箱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生化培养箱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平台镊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PET-CT用放射性废物桶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髂动脉阻断钳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紫外线辐射照度仪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恒温振荡器（摇床）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湿式电转槽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小型振捣器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辅料车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踝关节康复器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心肺复苏模拟人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裂隙灯显微镜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紫外线治疗仪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无损伤两用镊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肠内营养泵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麻醉视频喉镜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静脉可视大鼠尾注射固定器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超短波治疗仪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平行杠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动态心电图记录盒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抢救车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手持匀浆机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3-4/0弯头针持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身高体重测量仪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大鼠电动断头器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超锋利剪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摇摆秤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打耳器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微量注射泵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微量单通道注射泵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镜片箱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手术对接车内车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制氧机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胎心监测仪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抽滤泵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呼出气一氧化氮检测仪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不锈钢器械台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36</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微量电动组织匀浆器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病历车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不锈钢喷塑治疗彩车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双摇杆手动病床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不锈钢治疗车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被服车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水平摇床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股四头肌训练椅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水质监测仪（电导率仪）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医用冷链监控系统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双联观片灯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单列病历夹彩车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电热恒温干燥箱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扫床车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观片灯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手术对接车担架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阅片灯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铅围脖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手功能训练器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493</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旋转摇床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不锈钢污物车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494</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脉冲磁治疗仪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污物车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防护围脖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充电式检眼镜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496</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转运监护仪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负压吸引器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27</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四联观片灯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真空泵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电脑中频电疗机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迷你离心机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三联观片灯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单联观片灯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水平电泳槽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不锈钢手术圆凳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涡旋振荡器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可调节磨砂台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视力表灯箱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highlight w:val="none"/>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bl>
    <w:p>
      <w:pPr>
        <w:spacing w:line="360" w:lineRule="auto"/>
        <w:jc w:val="center"/>
        <w:rPr>
          <w:rFonts w:ascii="宋体"/>
          <w:sz w:val="28"/>
          <w:szCs w:val="28"/>
          <w:highlight w:val="none"/>
        </w:rPr>
      </w:pPr>
      <w:r>
        <w:rPr>
          <w:rFonts w:hint="eastAsia" w:ascii="宋体" w:hAnsi="宋体"/>
          <w:b/>
          <w:sz w:val="36"/>
          <w:highlight w:val="none"/>
        </w:rPr>
        <w:br w:type="page"/>
      </w:r>
      <w:r>
        <w:rPr>
          <w:rFonts w:hint="eastAsia" w:ascii="宋体" w:hAnsi="宋体"/>
          <w:b/>
          <w:sz w:val="36"/>
          <w:highlight w:val="none"/>
        </w:rPr>
        <w:t>第四部分合同条款及格式</w:t>
      </w:r>
      <w:bookmarkEnd w:id="125"/>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2"/>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2"/>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2"/>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2"/>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2"/>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2"/>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2"/>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2"/>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2"/>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2"/>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2"/>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ind w:left="1"/>
        <w:rPr>
          <w:rFonts w:ascii="宋体" w:hAnsi="宋体"/>
          <w:bCs/>
          <w:highlight w:val="none"/>
        </w:rPr>
      </w:pPr>
      <w:r>
        <w:rPr>
          <w:rFonts w:hint="eastAsia" w:ascii="宋体" w:hAnsi="宋体"/>
          <w:bCs/>
          <w:highlight w:val="none"/>
        </w:rPr>
        <w:t>4、付款</w:t>
      </w:r>
    </w:p>
    <w:p>
      <w:pPr>
        <w:pStyle w:val="2"/>
        <w:spacing w:line="480" w:lineRule="exact"/>
        <w:ind w:left="1"/>
        <w:rPr>
          <w:rFonts w:ascii="宋体" w:hAnsi="宋体"/>
          <w:bCs/>
          <w:highlight w:val="none"/>
        </w:rPr>
      </w:pPr>
      <w:r>
        <w:rPr>
          <w:rFonts w:hint="eastAsia" w:ascii="宋体" w:hAnsi="宋体"/>
          <w:b/>
          <w:bCs/>
          <w:highlight w:val="none"/>
        </w:rPr>
        <w:t>付款方式：</w:t>
      </w:r>
      <w:r>
        <w:rPr>
          <w:rFonts w:hint="eastAsia" w:ascii="宋体" w:hAnsi="宋体"/>
          <w:highlight w:val="none"/>
          <w:lang w:eastAsia="zh-CN"/>
        </w:rPr>
        <w:t>每年分</w:t>
      </w:r>
      <w:r>
        <w:rPr>
          <w:rFonts w:hint="eastAsia" w:ascii="宋体" w:hAnsi="宋体"/>
          <w:highlight w:val="none"/>
          <w:lang w:val="en-US" w:eastAsia="zh-CN"/>
        </w:rPr>
        <w:t>4期付款，</w:t>
      </w:r>
      <w:r>
        <w:rPr>
          <w:rFonts w:hint="eastAsia" w:ascii="宋体" w:hAnsi="宋体"/>
          <w:highlight w:val="none"/>
        </w:rPr>
        <w:t>签订合同并执行满一季度，设备总体开机率不低于98%，次月支付合同金额的25%，每季度依次进行。</w:t>
      </w:r>
    </w:p>
    <w:p>
      <w:pPr>
        <w:pStyle w:val="2"/>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2"/>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2"/>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2"/>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2"/>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2"/>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2"/>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2"/>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2"/>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2"/>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2"/>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2"/>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2"/>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2"/>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2"/>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2"/>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highlight w:val="none"/>
        </w:rPr>
      </w:pPr>
      <w:bookmarkStart w:id="126" w:name="_Toc487900361"/>
      <w:r>
        <w:rPr>
          <w:rFonts w:ascii="宋体" w:hAnsi="宋体"/>
          <w:bCs/>
          <w:highlight w:val="none"/>
        </w:rPr>
        <w:t>11</w:t>
      </w:r>
      <w:r>
        <w:rPr>
          <w:rFonts w:hint="eastAsia" w:ascii="宋体" w:hAnsi="宋体"/>
          <w:bCs/>
          <w:highlight w:val="none"/>
        </w:rPr>
        <w:t>、索赔</w:t>
      </w:r>
      <w:bookmarkEnd w:id="126"/>
    </w:p>
    <w:p>
      <w:pPr>
        <w:pStyle w:val="2"/>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highlight w:val="none"/>
        </w:rPr>
      </w:pPr>
      <w:bookmarkStart w:id="127"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7"/>
    </w:p>
    <w:p>
      <w:pPr>
        <w:pStyle w:val="2"/>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2"/>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2"/>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2"/>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2"/>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2"/>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2"/>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2"/>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2"/>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2"/>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2"/>
        <w:spacing w:line="480" w:lineRule="exact"/>
        <w:ind w:left="1"/>
        <w:rPr>
          <w:rFonts w:ascii="宋体"/>
          <w:bCs/>
          <w:highlight w:val="none"/>
        </w:rPr>
      </w:pPr>
      <w:bookmarkStart w:id="128"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spacing w:line="420" w:lineRule="exact"/>
        <w:ind w:left="1"/>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2"/>
        <w:spacing w:line="420" w:lineRule="exact"/>
        <w:ind w:left="763" w:hanging="763" w:hangingChars="318"/>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2"/>
        <w:spacing w:line="420" w:lineRule="exact"/>
        <w:rPr>
          <w:rFonts w:ascii="宋体"/>
          <w:bCs/>
          <w:highlight w:val="none"/>
        </w:rPr>
      </w:pPr>
      <w:r>
        <w:rPr>
          <w:rFonts w:ascii="宋体" w:hAnsi="宋体"/>
          <w:bCs/>
          <w:highlight w:val="none"/>
        </w:rPr>
        <w:t xml:space="preserve">17   </w:t>
      </w:r>
      <w:r>
        <w:rPr>
          <w:rFonts w:hint="eastAsia" w:ascii="宋体" w:hAnsi="宋体"/>
          <w:bCs/>
          <w:highlight w:val="none"/>
        </w:rPr>
        <w:t>税费</w:t>
      </w:r>
      <w:bookmarkEnd w:id="128"/>
    </w:p>
    <w:p>
      <w:pPr>
        <w:pStyle w:val="2"/>
        <w:spacing w:line="420" w:lineRule="exact"/>
        <w:ind w:left="763" w:hanging="763" w:hangingChars="318"/>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2"/>
        <w:spacing w:line="420" w:lineRule="exact"/>
        <w:rPr>
          <w:rFonts w:ascii="宋体"/>
          <w:bCs/>
          <w:highlight w:val="none"/>
        </w:rPr>
      </w:pPr>
      <w:bookmarkStart w:id="129" w:name="_Toc487900369"/>
      <w:r>
        <w:rPr>
          <w:rFonts w:ascii="宋体" w:hAnsi="宋体"/>
          <w:bCs/>
          <w:highlight w:val="none"/>
        </w:rPr>
        <w:t xml:space="preserve">18   </w:t>
      </w:r>
      <w:r>
        <w:rPr>
          <w:rFonts w:hint="eastAsia" w:ascii="宋体" w:hAnsi="宋体"/>
          <w:bCs/>
          <w:highlight w:val="none"/>
        </w:rPr>
        <w:t>转让和分包</w:t>
      </w:r>
      <w:bookmarkEnd w:id="129"/>
    </w:p>
    <w:p>
      <w:pPr>
        <w:pStyle w:val="2"/>
        <w:spacing w:line="420" w:lineRule="exact"/>
        <w:ind w:left="763" w:hanging="763" w:hangingChars="318"/>
        <w:rPr>
          <w:rFonts w:ascii="宋体"/>
          <w:bCs/>
          <w:highlight w:val="none"/>
        </w:rPr>
      </w:pPr>
      <w:r>
        <w:rPr>
          <w:rFonts w:hint="eastAsia" w:ascii="宋体" w:hAnsi="宋体"/>
          <w:bCs/>
          <w:highlight w:val="none"/>
        </w:rPr>
        <w:t>未经允许，本招标采购项目不得转让。</w:t>
      </w:r>
    </w:p>
    <w:p>
      <w:pPr>
        <w:pStyle w:val="2"/>
        <w:spacing w:line="420" w:lineRule="exact"/>
        <w:rPr>
          <w:rFonts w:ascii="宋体"/>
          <w:bCs/>
          <w:highlight w:val="none"/>
        </w:rPr>
      </w:pPr>
      <w:bookmarkStart w:id="130" w:name="_Toc487900371"/>
      <w:r>
        <w:rPr>
          <w:rFonts w:ascii="宋体" w:hAnsi="宋体"/>
          <w:bCs/>
          <w:highlight w:val="none"/>
        </w:rPr>
        <w:t xml:space="preserve">19   </w:t>
      </w:r>
      <w:r>
        <w:rPr>
          <w:rFonts w:hint="eastAsia" w:ascii="宋体" w:hAnsi="宋体"/>
          <w:bCs/>
          <w:highlight w:val="none"/>
        </w:rPr>
        <w:t>通知</w:t>
      </w:r>
      <w:bookmarkEnd w:id="130"/>
    </w:p>
    <w:p>
      <w:pPr>
        <w:pStyle w:val="2"/>
        <w:spacing w:line="420" w:lineRule="exact"/>
        <w:ind w:left="1"/>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2"/>
        <w:spacing w:line="420" w:lineRule="exact"/>
        <w:rPr>
          <w:rFonts w:ascii="宋体"/>
          <w:bCs/>
          <w:highlight w:val="none"/>
        </w:rPr>
      </w:pPr>
      <w:r>
        <w:rPr>
          <w:rFonts w:ascii="宋体" w:hAnsi="宋体"/>
          <w:bCs/>
          <w:highlight w:val="none"/>
        </w:rPr>
        <w:t>20</w:t>
      </w:r>
      <w:r>
        <w:rPr>
          <w:rFonts w:hint="eastAsia" w:ascii="宋体" w:hAnsi="宋体"/>
          <w:bCs/>
          <w:highlight w:val="none"/>
        </w:rPr>
        <w:t>、争议的解决</w:t>
      </w:r>
    </w:p>
    <w:p>
      <w:pPr>
        <w:pStyle w:val="2"/>
        <w:spacing w:line="420" w:lineRule="exact"/>
        <w:ind w:firstLine="480" w:firstLineChars="200"/>
        <w:rPr>
          <w:rFonts w:ascii="宋体"/>
          <w:bCs/>
          <w:highlight w:val="none"/>
        </w:rPr>
      </w:pPr>
      <w:r>
        <w:rPr>
          <w:rFonts w:hint="eastAsia" w:ascii="宋体" w:hAnsi="宋体"/>
          <w:bCs/>
          <w:highlight w:val="none"/>
        </w:rPr>
        <w:t>合同发生纠纷时，双方应协商解决，协商不成可以提交济南仲裁委员会仲裁。</w:t>
      </w:r>
    </w:p>
    <w:p>
      <w:pPr>
        <w:pStyle w:val="2"/>
        <w:spacing w:line="420" w:lineRule="exact"/>
        <w:rPr>
          <w:rFonts w:ascii="宋体"/>
          <w:bCs/>
          <w:highlight w:val="none"/>
        </w:rPr>
      </w:pPr>
      <w:r>
        <w:rPr>
          <w:rFonts w:ascii="宋体" w:hAnsi="宋体"/>
          <w:bCs/>
          <w:highlight w:val="none"/>
        </w:rPr>
        <w:t>21</w:t>
      </w:r>
      <w:r>
        <w:rPr>
          <w:rFonts w:hint="eastAsia" w:ascii="宋体" w:hAnsi="宋体"/>
          <w:bCs/>
          <w:highlight w:val="none"/>
        </w:rPr>
        <w:t>、合同生效   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（服务类）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服务名称</w:t>
      </w:r>
      <w:r>
        <w:rPr>
          <w:rFonts w:ascii="宋体" w:hAnsi="宋体"/>
          <w:sz w:val="24"/>
          <w:highlight w:val="none"/>
        </w:rPr>
        <w:t>)</w:t>
      </w:r>
      <w:r>
        <w:rPr>
          <w:rFonts w:hint="eastAsia" w:ascii="宋体" w:hAnsi="宋体"/>
          <w:sz w:val="24"/>
          <w:highlight w:val="none"/>
        </w:rPr>
        <w:t>经（代理机构名称）以招标形式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1" w:name="_Toc15866"/>
      <w:bookmarkStart w:id="132" w:name="_Toc27021"/>
      <w:bookmarkStart w:id="133" w:name="_Toc15550"/>
      <w:r>
        <w:rPr>
          <w:rFonts w:hint="eastAsia" w:ascii="宋体" w:hAnsi="宋体"/>
          <w:b/>
          <w:bCs/>
          <w:sz w:val="24"/>
          <w:highlight w:val="none"/>
        </w:rPr>
        <w:t>一、本合同由合同文本和下列文件组成</w:t>
      </w:r>
      <w:bookmarkEnd w:id="131"/>
      <w:bookmarkEnd w:id="132"/>
      <w:bookmarkEnd w:id="133"/>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4" w:name="_Toc9153"/>
      <w:bookmarkStart w:id="135" w:name="_Toc16073"/>
      <w:bookmarkStart w:id="136" w:name="_Toc9903"/>
      <w:r>
        <w:rPr>
          <w:rFonts w:hint="eastAsia" w:ascii="宋体" w:hAnsi="宋体"/>
          <w:b/>
          <w:bCs/>
          <w:sz w:val="24"/>
          <w:highlight w:val="none"/>
        </w:rPr>
        <w:t>二、服务的名称、数量</w:t>
      </w:r>
      <w:bookmarkEnd w:id="134"/>
      <w:bookmarkEnd w:id="135"/>
      <w:bookmarkEnd w:id="136"/>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7" w:name="_Toc4618"/>
      <w:bookmarkStart w:id="138" w:name="_Toc14263"/>
      <w:bookmarkStart w:id="139" w:name="_Toc1690"/>
      <w:r>
        <w:rPr>
          <w:rFonts w:hint="eastAsia" w:ascii="宋体" w:hAnsi="宋体"/>
          <w:b/>
          <w:bCs/>
          <w:sz w:val="24"/>
          <w:highlight w:val="none"/>
        </w:rPr>
        <w:t>三、合同金额</w:t>
      </w:r>
      <w:bookmarkEnd w:id="137"/>
      <w:bookmarkEnd w:id="138"/>
      <w:bookmarkEnd w:id="139"/>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5"/>
        <w:snapToGrid w:val="0"/>
        <w:spacing w:line="480" w:lineRule="exact"/>
        <w:ind w:firstLine="960" w:firstLineChars="400"/>
        <w:rPr>
          <w:rFonts w:ascii="宋体"/>
          <w:sz w:val="24"/>
          <w:highlight w:val="none"/>
        </w:rPr>
      </w:pPr>
      <w:r>
        <w:rPr>
          <w:rFonts w:hint="eastAsia" w:ascii="宋体" w:hAnsi="宋体"/>
          <w:sz w:val="24"/>
          <w:highlight w:val="none"/>
        </w:rPr>
        <w:t>分项价格见中标清单</w:t>
      </w:r>
    </w:p>
    <w:p>
      <w:pPr>
        <w:snapToGrid w:val="0"/>
        <w:spacing w:line="480" w:lineRule="exact"/>
        <w:ind w:firstLine="482" w:firstLineChars="200"/>
        <w:rPr>
          <w:rFonts w:ascii="宋体" w:hAnsi="宋体"/>
          <w:sz w:val="24"/>
          <w:highlight w:val="none"/>
        </w:rPr>
      </w:pPr>
      <w:bookmarkStart w:id="140" w:name="_Toc19878"/>
      <w:bookmarkStart w:id="141" w:name="_Toc23604"/>
      <w:bookmarkStart w:id="142" w:name="_Toc10675"/>
      <w:r>
        <w:rPr>
          <w:rFonts w:hint="eastAsia" w:ascii="宋体" w:hAnsi="宋体"/>
          <w:b/>
          <w:bCs/>
          <w:sz w:val="24"/>
          <w:highlight w:val="none"/>
        </w:rPr>
        <w:t>四、</w:t>
      </w:r>
      <w:bookmarkEnd w:id="140"/>
      <w:bookmarkEnd w:id="141"/>
      <w:bookmarkEnd w:id="142"/>
      <w:r>
        <w:rPr>
          <w:rFonts w:hint="eastAsia" w:ascii="宋体" w:hAnsi="宋体"/>
          <w:b/>
          <w:bCs/>
          <w:sz w:val="24"/>
          <w:highlight w:val="none"/>
        </w:rPr>
        <w:t>付款方式：</w:t>
      </w:r>
      <w:r>
        <w:rPr>
          <w:rFonts w:hint="eastAsia" w:ascii="宋体" w:hAnsi="宋体"/>
          <w:sz w:val="24"/>
          <w:highlight w:val="none"/>
          <w:lang w:eastAsia="zh-CN"/>
        </w:rPr>
        <w:t>每年分</w:t>
      </w:r>
      <w:r>
        <w:rPr>
          <w:rFonts w:hint="eastAsia" w:ascii="宋体" w:hAnsi="宋体"/>
          <w:sz w:val="24"/>
          <w:highlight w:val="none"/>
          <w:lang w:val="en-US" w:eastAsia="zh-CN"/>
        </w:rPr>
        <w:t>4期付款，</w:t>
      </w:r>
      <w:r>
        <w:rPr>
          <w:rFonts w:hint="eastAsia" w:ascii="宋体" w:hAnsi="宋体"/>
          <w:sz w:val="24"/>
          <w:highlight w:val="none"/>
        </w:rPr>
        <w:t>签订合同并执行满一季度，设备总体开机率不低于98%，次月支付合同金额的25%，每季度依次进行。</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、时间：合同生效后。</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3" w:name="_Toc28569"/>
      <w:bookmarkStart w:id="144" w:name="_Toc28907"/>
      <w:bookmarkStart w:id="145" w:name="_Toc12280"/>
      <w:r>
        <w:rPr>
          <w:rFonts w:hint="eastAsia" w:ascii="宋体" w:hAnsi="宋体"/>
          <w:b/>
          <w:bCs/>
          <w:sz w:val="24"/>
          <w:highlight w:val="none"/>
        </w:rPr>
        <w:t>六、履约保证金</w:t>
      </w:r>
      <w:bookmarkEnd w:id="143"/>
      <w:bookmarkEnd w:id="144"/>
      <w:bookmarkEnd w:id="145"/>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lang w:val="en-US" w:eastAsia="zh-CN"/>
        </w:rPr>
        <w:t xml:space="preserve">  </w:t>
      </w:r>
      <w:r>
        <w:rPr>
          <w:rFonts w:hint="eastAsia" w:ascii="宋体" w:hAnsi="宋体"/>
          <w:sz w:val="24"/>
          <w:highlight w:val="none"/>
          <w:u w:val="non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6" w:name="_Toc24320"/>
      <w:bookmarkStart w:id="147" w:name="_Toc29637"/>
      <w:bookmarkStart w:id="148" w:name="_Toc609"/>
      <w:r>
        <w:rPr>
          <w:rFonts w:hint="eastAsia" w:ascii="宋体" w:hAnsi="宋体"/>
          <w:b/>
          <w:bCs/>
          <w:sz w:val="24"/>
          <w:highlight w:val="none"/>
        </w:rPr>
        <w:t>七、合同生效</w:t>
      </w:r>
      <w:bookmarkEnd w:id="146"/>
      <w:bookmarkEnd w:id="147"/>
      <w:bookmarkEnd w:id="148"/>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49" w:name="_Toc28312"/>
      <w:bookmarkStart w:id="150" w:name="_Toc20385"/>
      <w:bookmarkStart w:id="151" w:name="_Toc10585"/>
      <w:r>
        <w:rPr>
          <w:rFonts w:hint="eastAsia" w:ascii="宋体" w:hAnsi="宋体"/>
          <w:b/>
          <w:bCs/>
          <w:sz w:val="24"/>
          <w:highlight w:val="none"/>
        </w:rPr>
        <w:t>八、合同保存</w:t>
      </w:r>
      <w:bookmarkEnd w:id="149"/>
      <w:bookmarkEnd w:id="150"/>
      <w:bookmarkEnd w:id="151"/>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2" w:name="_Toc14149"/>
      <w:bookmarkStart w:id="153" w:name="_Toc23003"/>
      <w:bookmarkStart w:id="154" w:name="_Toc17788"/>
      <w:r>
        <w:rPr>
          <w:rFonts w:hint="eastAsia" w:ascii="宋体" w:hAnsi="宋体"/>
          <w:b/>
          <w:bCs/>
          <w:sz w:val="24"/>
          <w:highlight w:val="none"/>
        </w:rPr>
        <w:t>九、违约条款</w:t>
      </w:r>
      <w:bookmarkEnd w:id="152"/>
      <w:bookmarkEnd w:id="153"/>
      <w:bookmarkEnd w:id="154"/>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5" w:name="_Toc25277"/>
      <w:bookmarkStart w:id="156" w:name="_Toc4944"/>
      <w:bookmarkStart w:id="157"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5"/>
      <w:bookmarkEnd w:id="156"/>
      <w:bookmarkEnd w:id="157"/>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Lines="100" w:line="480" w:lineRule="exact"/>
        <w:jc w:val="center"/>
        <w:outlineLvl w:val="0"/>
        <w:rPr>
          <w:rFonts w:ascii="宋体"/>
          <w:b/>
          <w:sz w:val="36"/>
          <w:highlight w:val="none"/>
        </w:rPr>
      </w:pPr>
      <w:r>
        <w:rPr>
          <w:rFonts w:ascii="宋体"/>
          <w:sz w:val="24"/>
          <w:highlight w:val="none"/>
        </w:rPr>
        <w:br w:type="page"/>
      </w:r>
      <w:bookmarkStart w:id="158" w:name="_Toc4921"/>
      <w:r>
        <w:rPr>
          <w:rFonts w:hint="eastAsia" w:ascii="宋体" w:hAnsi="宋体"/>
          <w:b/>
          <w:kern w:val="0"/>
          <w:sz w:val="36"/>
          <w:szCs w:val="20"/>
          <w:highlight w:val="none"/>
        </w:rPr>
        <w:t>第五部分附件</w:t>
      </w:r>
      <w:bookmarkEnd w:id="158"/>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的维保服务、售后服务等投标活动并提交投标文件。为此，我方郑重声明以下诸点，并负法律责任。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w:t>
      </w:r>
      <w:r>
        <w:rPr>
          <w:rFonts w:hint="eastAsia" w:ascii="宋体" w:hAnsi="宋体"/>
          <w:highlight w:val="none"/>
          <w:lang w:eastAsia="zh-CN"/>
        </w:rPr>
        <w:t>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2"/>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2"/>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2"/>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2"/>
        <w:spacing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2"/>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投标报价/年</w:t>
            </w:r>
          </w:p>
        </w:tc>
        <w:tc>
          <w:tcPr>
            <w:tcW w:w="7125" w:type="dxa"/>
            <w:vAlign w:val="center"/>
          </w:tcPr>
          <w:p>
            <w:pPr>
              <w:spacing w:line="360" w:lineRule="auto"/>
              <w:rPr>
                <w:rFonts w:ascii="宋体" w:hAnsi="宋体" w:cs="宋体"/>
                <w:szCs w:val="20"/>
                <w:highlight w:val="none"/>
              </w:rPr>
            </w:pPr>
            <w:r>
              <w:rPr>
                <w:rFonts w:ascii="宋体" w:hAnsi="宋体" w:cs="宋体"/>
                <w:szCs w:val="20"/>
                <w:highlight w:val="none"/>
              </w:rPr>
              <w:t>（大写）：</w:t>
            </w:r>
          </w:p>
          <w:p>
            <w:pPr>
              <w:spacing w:line="480" w:lineRule="exact"/>
              <w:rPr>
                <w:rFonts w:ascii="宋体" w:hAnsi="宋体"/>
                <w:sz w:val="24"/>
                <w:highlight w:val="none"/>
              </w:rPr>
            </w:pPr>
            <w:r>
              <w:rPr>
                <w:rFonts w:ascii="宋体" w:hAnsi="宋体" w:cs="宋体"/>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服务期限</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10" w:type="first"/>
          <w:footerReference r:id="rId9" w:type="default"/>
          <w:type w:val="continuous"/>
          <w:pgSz w:w="11907" w:h="16840"/>
          <w:pgMar w:top="1304" w:right="1383" w:bottom="1157" w:left="1531" w:header="851" w:footer="850" w:gutter="0"/>
          <w:pgNumType w:start="1"/>
          <w:cols w:space="0" w:num="1"/>
          <w:titlePg/>
          <w:docGrid w:type="lines" w:linePitch="290" w:charSpace="0"/>
        </w:sectPr>
      </w:pPr>
    </w:p>
    <w:p>
      <w:pPr>
        <w:pStyle w:val="2"/>
        <w:spacing w:line="480" w:lineRule="exact"/>
        <w:outlineLvl w:val="0"/>
        <w:rPr>
          <w:rFonts w:ascii="宋体"/>
          <w:highlight w:val="none"/>
        </w:rPr>
      </w:pPr>
      <w:bookmarkStart w:id="159" w:name="_Toc23111"/>
      <w:bookmarkStart w:id="160" w:name="_Toc5221"/>
      <w:bookmarkStart w:id="161" w:name="_Toc32015"/>
      <w:r>
        <w:rPr>
          <w:rFonts w:hint="eastAsia" w:ascii="宋体" w:hAnsi="宋体"/>
          <w:highlight w:val="none"/>
        </w:rPr>
        <w:t>附件四：</w:t>
      </w:r>
      <w:bookmarkEnd w:id="159"/>
      <w:bookmarkEnd w:id="160"/>
      <w:bookmarkEnd w:id="161"/>
    </w:p>
    <w:p>
      <w:pPr>
        <w:pStyle w:val="2"/>
        <w:spacing w:line="480" w:lineRule="exact"/>
        <w:jc w:val="center"/>
        <w:outlineLvl w:val="0"/>
        <w:rPr>
          <w:rFonts w:ascii="宋体"/>
          <w:b/>
          <w:sz w:val="32"/>
          <w:szCs w:val="32"/>
          <w:highlight w:val="none"/>
        </w:rPr>
      </w:pPr>
      <w:bookmarkStart w:id="162" w:name="_Toc26583"/>
      <w:bookmarkStart w:id="163" w:name="_Toc27446"/>
      <w:bookmarkStart w:id="164" w:name="_Toc17048"/>
      <w:r>
        <w:rPr>
          <w:rFonts w:hint="eastAsia" w:ascii="宋体" w:hAnsi="宋体"/>
          <w:b/>
          <w:sz w:val="32"/>
          <w:szCs w:val="32"/>
          <w:highlight w:val="none"/>
        </w:rPr>
        <w:t>投标明细表</w:t>
      </w:r>
      <w:bookmarkEnd w:id="162"/>
      <w:bookmarkEnd w:id="163"/>
      <w:bookmarkEnd w:id="164"/>
    </w:p>
    <w:p>
      <w:pPr>
        <w:tabs>
          <w:tab w:val="left" w:pos="1785"/>
        </w:tabs>
        <w:spacing w:line="480" w:lineRule="exact"/>
        <w:jc w:val="left"/>
        <w:rPr>
          <w:rFonts w:ascii="宋体"/>
          <w:sz w:val="24"/>
          <w:highlight w:val="none"/>
        </w:rPr>
      </w:pPr>
      <w:r>
        <w:rPr>
          <w:rFonts w:hint="eastAsia" w:ascii="宋体" w:hAnsi="宋体"/>
          <w:sz w:val="24"/>
          <w:highlight w:val="none"/>
        </w:rPr>
        <w:t>项目名称</w:t>
      </w:r>
      <w:r>
        <w:rPr>
          <w:rFonts w:ascii="宋体" w:hAnsi="宋体"/>
          <w:sz w:val="24"/>
          <w:highlight w:val="none"/>
        </w:rPr>
        <w:t xml:space="preserve">:            </w:t>
      </w:r>
      <w:r>
        <w:rPr>
          <w:rFonts w:hint="eastAsia" w:ascii="宋体" w:hAnsi="宋体"/>
          <w:sz w:val="24"/>
          <w:highlight w:val="none"/>
        </w:rPr>
        <w:t xml:space="preserve">                                  项目编号：</w:t>
      </w:r>
      <w:r>
        <w:rPr>
          <w:rFonts w:ascii="宋体" w:hAnsi="宋体"/>
          <w:sz w:val="24"/>
          <w:highlight w:val="non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765"/>
        <w:gridCol w:w="1582"/>
        <w:gridCol w:w="2629"/>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tabs>
                <w:tab w:val="left" w:pos="1337"/>
              </w:tabs>
              <w:ind w:left="-42" w:right="-42"/>
              <w:jc w:val="center"/>
              <w:rPr>
                <w:bCs/>
                <w:sz w:val="24"/>
                <w:highlight w:val="none"/>
              </w:rPr>
            </w:pPr>
            <w:r>
              <w:rPr>
                <w:rFonts w:hint="eastAsia"/>
                <w:bCs/>
                <w:sz w:val="24"/>
                <w:highlight w:val="none"/>
              </w:rPr>
              <w:t>序号</w:t>
            </w:r>
          </w:p>
        </w:tc>
        <w:tc>
          <w:tcPr>
            <w:tcW w:w="176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bCs/>
                <w:sz w:val="24"/>
                <w:highlight w:val="none"/>
              </w:rPr>
            </w:pPr>
            <w:r>
              <w:rPr>
                <w:rFonts w:hint="eastAsia"/>
                <w:bCs/>
                <w:sz w:val="24"/>
                <w:highlight w:val="none"/>
              </w:rPr>
              <w:t>项目服务内容</w:t>
            </w: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1337"/>
              </w:tabs>
              <w:ind w:left="-42" w:right="-42"/>
              <w:jc w:val="center"/>
              <w:rPr>
                <w:bCs/>
                <w:sz w:val="24"/>
                <w:highlight w:val="none"/>
              </w:rPr>
            </w:pPr>
            <w:r>
              <w:rPr>
                <w:rFonts w:hint="eastAsia"/>
                <w:bCs/>
                <w:sz w:val="24"/>
                <w:highlight w:val="none"/>
              </w:rPr>
              <w:t>数量</w:t>
            </w:r>
          </w:p>
        </w:tc>
        <w:tc>
          <w:tcPr>
            <w:tcW w:w="2629" w:type="dxa"/>
            <w:tcBorders>
              <w:top w:val="single" w:color="auto" w:sz="4" w:space="0"/>
              <w:left w:val="single" w:color="auto" w:sz="4" w:space="0"/>
              <w:bottom w:val="single" w:color="auto" w:sz="4" w:space="0"/>
              <w:right w:val="single" w:color="auto" w:sz="4" w:space="0"/>
            </w:tcBorders>
            <w:vAlign w:val="center"/>
          </w:tcPr>
          <w:p>
            <w:pPr>
              <w:tabs>
                <w:tab w:val="left" w:pos="1337"/>
              </w:tabs>
              <w:ind w:left="-42" w:right="-42"/>
              <w:jc w:val="center"/>
              <w:rPr>
                <w:bCs/>
                <w:sz w:val="24"/>
                <w:highlight w:val="none"/>
              </w:rPr>
            </w:pPr>
            <w:r>
              <w:rPr>
                <w:rFonts w:hint="eastAsia"/>
                <w:bCs/>
                <w:sz w:val="24"/>
                <w:highlight w:val="none"/>
              </w:rPr>
              <w:t>单价</w:t>
            </w: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1337"/>
              </w:tabs>
              <w:ind w:left="-42" w:right="-42"/>
              <w:jc w:val="center"/>
              <w:rPr>
                <w:bCs/>
                <w:sz w:val="24"/>
                <w:highlight w:val="none"/>
              </w:rPr>
            </w:pPr>
            <w:r>
              <w:rPr>
                <w:rFonts w:hint="eastAsia"/>
                <w:bCs/>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r>
              <w:rPr>
                <w:sz w:val="24"/>
                <w:highlight w:val="none"/>
              </w:rPr>
              <w:t>1</w:t>
            </w:r>
          </w:p>
        </w:tc>
        <w:tc>
          <w:tcPr>
            <w:tcW w:w="176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r>
              <w:rPr>
                <w:sz w:val="24"/>
                <w:highlight w:val="none"/>
              </w:rPr>
              <w:t>2</w:t>
            </w:r>
          </w:p>
        </w:tc>
        <w:tc>
          <w:tcPr>
            <w:tcW w:w="176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r>
              <w:rPr>
                <w:sz w:val="24"/>
                <w:highlight w:val="none"/>
              </w:rPr>
              <w:t>3</w:t>
            </w:r>
          </w:p>
        </w:tc>
        <w:tc>
          <w:tcPr>
            <w:tcW w:w="176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r>
              <w:rPr>
                <w:sz w:val="24"/>
                <w:highlight w:val="none"/>
              </w:rPr>
              <w:t>4</w:t>
            </w:r>
          </w:p>
        </w:tc>
        <w:tc>
          <w:tcPr>
            <w:tcW w:w="176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r>
              <w:rPr>
                <w:sz w:val="24"/>
                <w:highlight w:val="none"/>
              </w:rPr>
              <w:t>5</w:t>
            </w:r>
          </w:p>
        </w:tc>
        <w:tc>
          <w:tcPr>
            <w:tcW w:w="176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r>
              <w:rPr>
                <w:rFonts w:hint="eastAsia"/>
                <w:sz w:val="24"/>
                <w:highlight w:val="none"/>
              </w:rPr>
              <w:t>合计</w:t>
            </w: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sz w:val="24"/>
                <w:highlight w:val="none"/>
              </w:rPr>
            </w:pPr>
          </w:p>
        </w:tc>
      </w:tr>
    </w:tbl>
    <w:p>
      <w:pPr>
        <w:pStyle w:val="96"/>
        <w:spacing w:before="240" w:line="480" w:lineRule="exact"/>
        <w:ind w:firstLine="0" w:firstLineChars="0"/>
        <w:rPr>
          <w:rFonts w:ascii="宋体" w:hAnsi="宋体"/>
          <w:highlight w:val="none"/>
        </w:rPr>
      </w:pPr>
    </w:p>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Ansi="宋体"/>
          <w:highlight w:val="none"/>
        </w:rPr>
      </w:pPr>
      <w:r>
        <w:rPr>
          <w:rFonts w:hint="eastAsia" w:ascii="宋体" w:hAnsi="宋体"/>
          <w:highlight w:val="none"/>
        </w:rPr>
        <w:t>授权代表（签字或盖章）：</w:t>
      </w:r>
    </w:p>
    <w:p>
      <w:pPr>
        <w:pStyle w:val="96"/>
        <w:spacing w:before="240" w:line="480" w:lineRule="exact"/>
        <w:ind w:firstLine="7922" w:firstLineChars="3400"/>
        <w:rPr>
          <w:rFonts w:ascii="宋体"/>
          <w:highlight w:val="none"/>
        </w:rPr>
      </w:pPr>
      <w:r>
        <w:rPr>
          <w:rFonts w:hint="eastAsia" w:ascii="宋体" w:hAnsi="宋体"/>
          <w:highlight w:val="none"/>
        </w:rPr>
        <w:t>年月日</w:t>
      </w:r>
    </w:p>
    <w:p>
      <w:pPr>
        <w:widowControl/>
        <w:jc w:val="left"/>
        <w:rPr>
          <w:rFonts w:ascii="宋体"/>
          <w:kern w:val="0"/>
          <w:sz w:val="24"/>
          <w:highlight w:val="none"/>
        </w:rPr>
        <w:sectPr>
          <w:pgSz w:w="11907" w:h="16840"/>
          <w:pgMar w:top="1304" w:right="1418" w:bottom="1157" w:left="1418" w:header="851" w:footer="851" w:gutter="0"/>
          <w:cols w:space="720" w:num="1"/>
          <w:docGrid w:type="linesAndChars" w:linePitch="290" w:charSpace="-3931"/>
        </w:sectPr>
      </w:pPr>
    </w:p>
    <w:p>
      <w:pPr>
        <w:spacing w:line="480" w:lineRule="exact"/>
        <w:rPr>
          <w:rFonts w:ascii="宋体" w:hAnsi="宋体"/>
          <w:sz w:val="24"/>
          <w:highlight w:val="none"/>
        </w:rPr>
      </w:pPr>
    </w:p>
    <w:p>
      <w:pPr>
        <w:spacing w:line="480" w:lineRule="exact"/>
        <w:rPr>
          <w:rFonts w:ascii="宋体" w:hAnsi="宋体"/>
          <w:sz w:val="24"/>
          <w:highlight w:val="none"/>
        </w:rPr>
      </w:pPr>
      <w:r>
        <w:rPr>
          <w:rFonts w:hint="eastAsia" w:ascii="宋体" w:hAnsi="宋体"/>
          <w:sz w:val="24"/>
          <w:highlight w:val="none"/>
        </w:rPr>
        <w:t>说明：（1）投标人必须按以上格式填写此表。</w:t>
      </w:r>
    </w:p>
    <w:p>
      <w:pPr>
        <w:spacing w:line="480" w:lineRule="exact"/>
        <w:rPr>
          <w:rFonts w:ascii="宋体" w:hAnsi="宋体"/>
          <w:sz w:val="24"/>
          <w:highlight w:val="none"/>
        </w:rPr>
      </w:pPr>
      <w:r>
        <w:rPr>
          <w:rFonts w:hint="eastAsia" w:ascii="宋体" w:hAnsi="宋体"/>
          <w:sz w:val="24"/>
          <w:highlight w:val="none"/>
        </w:rPr>
        <w:t xml:space="preserve">  （2）该表总计价应与附件三《开标一览表》中报价相符。</w:t>
      </w:r>
    </w:p>
    <w:p>
      <w:pPr>
        <w:spacing w:line="480" w:lineRule="exact"/>
        <w:rPr>
          <w:rFonts w:ascii="宋体" w:hAnsi="宋体"/>
          <w:sz w:val="24"/>
          <w:highlight w:val="none"/>
        </w:rPr>
      </w:pPr>
      <w:r>
        <w:rPr>
          <w:rFonts w:hint="eastAsia" w:ascii="宋体" w:hAnsi="宋体"/>
          <w:sz w:val="24"/>
          <w:highlight w:val="none"/>
        </w:rPr>
        <w:t xml:space="preserve">  （3）如上表中有关费用投标人免费提供,请注明“免费”字样。</w:t>
      </w:r>
    </w:p>
    <w:p>
      <w:pPr>
        <w:spacing w:line="480" w:lineRule="exact"/>
        <w:rPr>
          <w:rFonts w:ascii="宋体" w:hAnsi="宋体"/>
          <w:sz w:val="24"/>
          <w:highlight w:val="none"/>
        </w:rPr>
      </w:pPr>
      <w:r>
        <w:rPr>
          <w:rFonts w:hint="eastAsia" w:ascii="宋体" w:hAnsi="宋体"/>
          <w:sz w:val="24"/>
          <w:highlight w:val="none"/>
        </w:rPr>
        <w:t xml:space="preserve">  （4）如果按单价计算的结果与总价不一致，以单价为准修正总价；</w:t>
      </w:r>
    </w:p>
    <w:p>
      <w:pPr>
        <w:pStyle w:val="16"/>
        <w:spacing w:line="480" w:lineRule="exact"/>
        <w:rPr>
          <w:rFonts w:ascii="宋体" w:hAnsi="宋体" w:eastAsia="宋体" w:cs="Times New Roman"/>
          <w:sz w:val="24"/>
          <w:szCs w:val="24"/>
          <w:highlight w:val="none"/>
        </w:rPr>
      </w:pPr>
    </w:p>
    <w:p>
      <w:pPr>
        <w:pStyle w:val="16"/>
        <w:spacing w:line="480" w:lineRule="exact"/>
        <w:rPr>
          <w:rFonts w:ascii="宋体" w:hAnsi="宋体" w:eastAsia="宋体" w:cs="Times New Roman"/>
          <w:sz w:val="24"/>
          <w:szCs w:val="24"/>
          <w:highlight w:val="none"/>
        </w:rPr>
      </w:pPr>
    </w:p>
    <w:p>
      <w:pPr>
        <w:pStyle w:val="16"/>
        <w:spacing w:line="480" w:lineRule="exact"/>
        <w:rPr>
          <w:rFonts w:ascii="宋体" w:hAnsi="宋体" w:eastAsia="宋体" w:cs="Times New Roman"/>
          <w:sz w:val="24"/>
          <w:szCs w:val="24"/>
          <w:highlight w:val="none"/>
        </w:rPr>
      </w:pPr>
    </w:p>
    <w:p>
      <w:pPr>
        <w:pStyle w:val="16"/>
        <w:spacing w:line="480" w:lineRule="exact"/>
        <w:rPr>
          <w:rFonts w:ascii="宋体" w:hAnsi="宋体" w:eastAsia="宋体" w:cs="Times New Roman"/>
          <w:sz w:val="24"/>
          <w:szCs w:val="24"/>
          <w:highlight w:val="none"/>
        </w:rPr>
      </w:pPr>
    </w:p>
    <w:p>
      <w:pPr>
        <w:pStyle w:val="16"/>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r>
        <w:rPr>
          <w:rFonts w:hint="eastAsia" w:ascii="宋体" w:hAnsi="宋体"/>
          <w:sz w:val="24"/>
          <w:highlight w:val="none"/>
        </w:rPr>
        <w:t xml:space="preserve">                     项目编号：</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6"/>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r>
        <w:rPr>
          <w:rFonts w:hint="eastAsia" w:ascii="宋体" w:hAnsi="宋体"/>
          <w:sz w:val="24"/>
          <w:highlight w:val="none"/>
        </w:rPr>
        <w:t xml:space="preserve">                      项目标号：</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、请填写招标文件已列明并要求投标人响应的如付款方式、服务期限、培训方案、售后服务等商务条款，并逐一做出承诺。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5" w:name="_Toc13424"/>
      <w:bookmarkStart w:id="166" w:name="_Toc29000"/>
      <w:bookmarkStart w:id="167" w:name="_Toc13100"/>
      <w:r>
        <w:rPr>
          <w:rFonts w:hint="eastAsia" w:ascii="宋体" w:hAnsi="宋体"/>
          <w:sz w:val="24"/>
          <w:highlight w:val="none"/>
        </w:rPr>
        <w:t>附件七：</w:t>
      </w:r>
      <w:r>
        <w:rPr>
          <w:rFonts w:hint="eastAsia" w:ascii="宋体" w:hAnsi="宋体"/>
          <w:b/>
          <w:sz w:val="28"/>
          <w:highlight w:val="none"/>
        </w:rPr>
        <w:t>服务承诺及其它优惠条件</w:t>
      </w:r>
      <w:bookmarkEnd w:id="165"/>
      <w:bookmarkEnd w:id="166"/>
      <w:bookmarkEnd w:id="167"/>
    </w:p>
    <w:p>
      <w:pPr>
        <w:spacing w:line="480" w:lineRule="exact"/>
        <w:jc w:val="center"/>
        <w:outlineLvl w:val="0"/>
        <w:rPr>
          <w:rFonts w:ascii="宋体"/>
          <w:bCs/>
          <w:sz w:val="28"/>
          <w:szCs w:val="28"/>
          <w:highlight w:val="none"/>
        </w:rPr>
      </w:pPr>
      <w:bookmarkStart w:id="168" w:name="_Toc22463"/>
      <w:bookmarkStart w:id="169" w:name="_Toc24720"/>
      <w:bookmarkStart w:id="170" w:name="_Toc13684"/>
      <w:r>
        <w:rPr>
          <w:rFonts w:hint="eastAsia" w:ascii="宋体" w:hAnsi="宋体"/>
          <w:bCs/>
          <w:sz w:val="28"/>
          <w:szCs w:val="28"/>
          <w:highlight w:val="none"/>
        </w:rPr>
        <w:t>（格式自定）</w:t>
      </w:r>
      <w:bookmarkEnd w:id="168"/>
      <w:bookmarkEnd w:id="169"/>
      <w:bookmarkEnd w:id="170"/>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71" w:name="_Toc26987"/>
      <w:bookmarkStart w:id="172" w:name="_Toc27071"/>
      <w:bookmarkStart w:id="173" w:name="_Toc13044"/>
      <w:r>
        <w:rPr>
          <w:rFonts w:hint="eastAsia" w:ascii="宋体" w:hAnsi="宋体"/>
          <w:sz w:val="24"/>
          <w:highlight w:val="none"/>
        </w:rPr>
        <w:t>附件八：</w:t>
      </w:r>
      <w:r>
        <w:rPr>
          <w:rFonts w:hint="eastAsia" w:ascii="宋体" w:hAnsi="宋体"/>
          <w:b/>
          <w:sz w:val="28"/>
          <w:highlight w:val="none"/>
        </w:rPr>
        <w:t>维保方案</w:t>
      </w:r>
      <w:bookmarkEnd w:id="171"/>
      <w:bookmarkEnd w:id="172"/>
      <w:bookmarkEnd w:id="173"/>
    </w:p>
    <w:p>
      <w:pPr>
        <w:spacing w:line="440" w:lineRule="exact"/>
        <w:rPr>
          <w:rFonts w:ascii="宋体"/>
          <w:b/>
          <w:bCs/>
          <w:sz w:val="24"/>
          <w:highlight w:val="none"/>
        </w:rPr>
      </w:pPr>
      <w:r>
        <w:rPr>
          <w:rFonts w:hint="eastAsia" w:ascii="宋体" w:hAnsi="宋体"/>
          <w:b/>
          <w:bCs/>
          <w:sz w:val="24"/>
          <w:highlight w:val="none"/>
        </w:rPr>
        <w:t>维护方案</w:t>
      </w:r>
      <w:r>
        <w:rPr>
          <w:rFonts w:hint="eastAsia" w:ascii="宋体" w:hAnsi="宋体"/>
          <w:b/>
          <w:bCs/>
          <w:kern w:val="0"/>
          <w:sz w:val="24"/>
          <w:highlight w:val="none"/>
        </w:rPr>
        <w:t>（包含但不限于）</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4"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hint="eastAsia" w:ascii="宋体" w:hAnsi="宋体"/>
                <w:sz w:val="24"/>
                <w:highlight w:val="none"/>
              </w:rPr>
              <w:t>5、达不到维保服务要求应负的责任</w:t>
            </w:r>
          </w:p>
          <w:p>
            <w:pPr>
              <w:spacing w:line="440" w:lineRule="exact"/>
              <w:rPr>
                <w:rFonts w:ascii="宋体"/>
                <w:sz w:val="24"/>
                <w:highlight w:val="none"/>
              </w:rPr>
            </w:pPr>
            <w:r>
              <w:rPr>
                <w:rFonts w:hint="eastAsia" w:ascii="宋体" w:hAnsi="宋体"/>
                <w:kern w:val="0"/>
                <w:sz w:val="24"/>
                <w:highlight w:val="none"/>
              </w:rPr>
              <w:t>6、其他</w:t>
            </w:r>
          </w:p>
        </w:tc>
      </w:tr>
    </w:tbl>
    <w:p>
      <w:pPr>
        <w:spacing w:line="480" w:lineRule="exact"/>
        <w:jc w:val="center"/>
        <w:outlineLvl w:val="0"/>
        <w:rPr>
          <w:rFonts w:ascii="宋体" w:hAnsi="宋体"/>
          <w:sz w:val="24"/>
          <w:highlight w:val="none"/>
        </w:rPr>
      </w:pPr>
    </w:p>
    <w:p>
      <w:pPr>
        <w:pStyle w:val="2"/>
        <w:rPr>
          <w:highlight w:val="none"/>
        </w:rPr>
      </w:pPr>
    </w:p>
    <w:p>
      <w:pPr>
        <w:pStyle w:val="2"/>
        <w:rPr>
          <w:highlight w:val="none"/>
        </w:rPr>
      </w:pPr>
    </w:p>
    <w:p>
      <w:pPr>
        <w:pStyle w:val="2"/>
        <w:rPr>
          <w:highlight w:val="none"/>
        </w:rPr>
      </w:pPr>
    </w:p>
    <w:p>
      <w:pPr>
        <w:spacing w:line="480" w:lineRule="exact"/>
        <w:jc w:val="center"/>
        <w:outlineLvl w:val="0"/>
        <w:rPr>
          <w:rFonts w:ascii="宋体"/>
          <w:sz w:val="24"/>
          <w:highlight w:val="none"/>
        </w:rPr>
      </w:pPr>
      <w:bookmarkStart w:id="174" w:name="_Toc14477"/>
      <w:bookmarkStart w:id="175" w:name="_Toc14611"/>
      <w:bookmarkStart w:id="176" w:name="_Toc15805"/>
      <w:r>
        <w:rPr>
          <w:rFonts w:hint="eastAsia" w:ascii="宋体" w:hAnsi="宋体"/>
          <w:sz w:val="24"/>
          <w:highlight w:val="none"/>
        </w:rPr>
        <w:t>附件九：</w:t>
      </w:r>
      <w:r>
        <w:rPr>
          <w:rFonts w:hint="eastAsia" w:ascii="宋体" w:hAnsi="宋体"/>
          <w:b/>
          <w:sz w:val="28"/>
          <w:highlight w:val="none"/>
        </w:rPr>
        <w:t>证明文件格式</w:t>
      </w:r>
      <w:bookmarkEnd w:id="174"/>
      <w:bookmarkEnd w:id="175"/>
      <w:bookmarkEnd w:id="176"/>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77" w:name="_Toc19508"/>
      <w:bookmarkStart w:id="178" w:name="_Toc5230"/>
      <w:bookmarkStart w:id="179" w:name="_Toc28149"/>
      <w:r>
        <w:rPr>
          <w:rFonts w:hint="eastAsia" w:ascii="宋体" w:hAnsi="宋体"/>
          <w:b/>
          <w:sz w:val="24"/>
          <w:highlight w:val="none"/>
        </w:rPr>
        <w:t xml:space="preserve"> 格式</w:t>
      </w:r>
      <w:r>
        <w:rPr>
          <w:rFonts w:ascii="宋体" w:hAnsi="宋体"/>
          <w:b/>
          <w:sz w:val="24"/>
          <w:highlight w:val="none"/>
        </w:rPr>
        <w:t xml:space="preserve">1  </w:t>
      </w:r>
      <w:r>
        <w:rPr>
          <w:rFonts w:hint="eastAsia" w:ascii="宋体" w:hAnsi="宋体"/>
          <w:b/>
          <w:sz w:val="24"/>
          <w:highlight w:val="none"/>
        </w:rPr>
        <w:t>近三年（</w:t>
      </w:r>
      <w:r>
        <w:rPr>
          <w:rFonts w:ascii="宋体" w:hAnsi="宋体"/>
          <w:b/>
          <w:bCs w:val="0"/>
          <w:sz w:val="24"/>
          <w:highlight w:val="none"/>
        </w:rPr>
        <w:t>2017年3月1日</w:t>
      </w:r>
      <w:r>
        <w:rPr>
          <w:rFonts w:hint="eastAsia" w:ascii="宋体" w:hAnsi="宋体"/>
          <w:b/>
          <w:bCs w:val="0"/>
          <w:sz w:val="24"/>
          <w:highlight w:val="none"/>
        </w:rPr>
        <w:t>至今</w:t>
      </w:r>
      <w:r>
        <w:rPr>
          <w:rFonts w:hint="eastAsia" w:ascii="宋体" w:hAnsi="宋体"/>
          <w:b/>
          <w:sz w:val="24"/>
          <w:highlight w:val="none"/>
        </w:rPr>
        <w:t>）无不良信誉证明</w:t>
      </w:r>
      <w:bookmarkEnd w:id="177"/>
      <w:bookmarkEnd w:id="178"/>
      <w:bookmarkEnd w:id="179"/>
    </w:p>
    <w:p>
      <w:pPr>
        <w:spacing w:line="480" w:lineRule="exact"/>
        <w:jc w:val="center"/>
        <w:outlineLvl w:val="0"/>
        <w:rPr>
          <w:rFonts w:ascii="宋体"/>
          <w:sz w:val="24"/>
          <w:highlight w:val="none"/>
        </w:rPr>
      </w:pPr>
      <w:bookmarkStart w:id="180" w:name="_Toc5579"/>
      <w:bookmarkStart w:id="181" w:name="_Toc16969"/>
      <w:bookmarkStart w:id="182"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80"/>
      <w:bookmarkEnd w:id="181"/>
      <w:bookmarkEnd w:id="182"/>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3" w:name="_Toc1781"/>
      <w:bookmarkStart w:id="184" w:name="_Toc5573"/>
      <w:bookmarkStart w:id="185" w:name="_Toc25890"/>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rPr>
        <w:t>8年财务状况报告</w:t>
      </w:r>
      <w:bookmarkEnd w:id="183"/>
      <w:bookmarkEnd w:id="184"/>
      <w:bookmarkEnd w:id="185"/>
    </w:p>
    <w:p>
      <w:pPr>
        <w:spacing w:line="480" w:lineRule="exact"/>
        <w:jc w:val="center"/>
        <w:outlineLvl w:val="0"/>
        <w:rPr>
          <w:rFonts w:ascii="宋体"/>
          <w:sz w:val="24"/>
          <w:highlight w:val="none"/>
        </w:rPr>
      </w:pPr>
      <w:bookmarkStart w:id="186" w:name="_Toc29391"/>
      <w:bookmarkStart w:id="187" w:name="_Toc3211"/>
      <w:bookmarkStart w:id="188" w:name="_Toc24571"/>
      <w:r>
        <w:rPr>
          <w:rFonts w:hint="eastAsia" w:ascii="宋体" w:hAnsi="宋体"/>
          <w:sz w:val="24"/>
          <w:highlight w:val="none"/>
        </w:rPr>
        <w:t>（附财务报表（含资产负债表、现金流量表、利润表的复印件），或其基本开户银行出具的资信证明）</w:t>
      </w:r>
      <w:bookmarkEnd w:id="186"/>
      <w:bookmarkEnd w:id="187"/>
      <w:bookmarkEnd w:id="188"/>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9" w:name="_Toc13521"/>
      <w:bookmarkStart w:id="190" w:name="_Toc23883"/>
      <w:bookmarkStart w:id="191" w:name="_Toc23494"/>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89"/>
      <w:bookmarkEnd w:id="190"/>
      <w:bookmarkEnd w:id="191"/>
    </w:p>
    <w:p>
      <w:pPr>
        <w:spacing w:line="480" w:lineRule="exact"/>
        <w:jc w:val="center"/>
        <w:outlineLvl w:val="0"/>
        <w:rPr>
          <w:rFonts w:ascii="宋体" w:hAnsi="宋体"/>
          <w:sz w:val="24"/>
          <w:highlight w:val="none"/>
        </w:rPr>
      </w:pPr>
      <w:bookmarkStart w:id="192" w:name="_Toc16451"/>
      <w:bookmarkStart w:id="193" w:name="_Toc20732"/>
      <w:bookmarkStart w:id="194" w:name="_Toc1183"/>
      <w:r>
        <w:rPr>
          <w:rFonts w:hint="eastAsia" w:ascii="宋体" w:hAnsi="宋体"/>
          <w:sz w:val="24"/>
          <w:highlight w:val="none"/>
        </w:rPr>
        <w:t>1、附近三个月的纳税凭证：完税凭证或免税证明或纳税申报表或银行缴税电汇凭证；</w:t>
      </w:r>
    </w:p>
    <w:p>
      <w:pPr>
        <w:spacing w:line="480" w:lineRule="exact"/>
        <w:outlineLvl w:val="0"/>
        <w:rPr>
          <w:rFonts w:ascii="宋体" w:hAnsi="宋体"/>
          <w:sz w:val="24"/>
          <w:highlight w:val="none"/>
        </w:rPr>
      </w:pPr>
      <w:r>
        <w:rPr>
          <w:rFonts w:hint="eastAsia" w:ascii="宋体" w:hAnsi="宋体"/>
          <w:sz w:val="24"/>
          <w:highlight w:val="none"/>
        </w:rPr>
        <w:t>2、近三个月缴纳社会保险的凭据：专用收据或社会保险缴纳清单。</w:t>
      </w:r>
    </w:p>
    <w:bookmarkEnd w:id="192"/>
    <w:bookmarkEnd w:id="193"/>
    <w:bookmarkEnd w:id="194"/>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195" w:name="_Toc31328"/>
      <w:bookmarkStart w:id="196" w:name="_Toc3815"/>
      <w:bookmarkStart w:id="197"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195"/>
      <w:bookmarkEnd w:id="196"/>
      <w:bookmarkEnd w:id="197"/>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98" w:name="_Toc4460"/>
      <w:bookmarkStart w:id="199" w:name="_Toc11678"/>
      <w:bookmarkStart w:id="200" w:name="_Toc15082"/>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198"/>
      <w:bookmarkEnd w:id="199"/>
      <w:bookmarkEnd w:id="200"/>
    </w:p>
    <w:p>
      <w:pPr>
        <w:spacing w:line="360" w:lineRule="auto"/>
        <w:ind w:firstLine="482" w:firstLineChars="200"/>
        <w:jc w:val="center"/>
        <w:rPr>
          <w:rFonts w:ascii="仿宋" w:hAnsi="仿宋" w:eastAsia="仿宋"/>
          <w:b/>
          <w:sz w:val="24"/>
          <w:highlight w:val="none"/>
        </w:rPr>
      </w:pPr>
    </w:p>
    <w:p>
      <w:pPr>
        <w:spacing w:line="360" w:lineRule="auto"/>
        <w:ind w:firstLine="480" w:firstLineChars="200"/>
        <w:rPr>
          <w:rFonts w:ascii="宋体"/>
          <w:sz w:val="24"/>
          <w:highlight w:val="none"/>
          <w:u w:val="single"/>
        </w:rPr>
      </w:pPr>
      <w:r>
        <w:rPr>
          <w:rFonts w:hint="eastAsia" w:ascii="宋体" w:hAnsi="宋体"/>
          <w:sz w:val="24"/>
          <w:highlight w:val="none"/>
        </w:rPr>
        <w:t>项目编号：</w:t>
      </w:r>
      <w:r>
        <w:rPr>
          <w:rFonts w:ascii="宋体" w:hAnsi="宋体"/>
          <w:sz w:val="24"/>
          <w:highlight w:val="none"/>
          <w:u w:val="single"/>
        </w:rPr>
        <w:t xml:space="preserve">               </w:t>
      </w:r>
    </w:p>
    <w:p>
      <w:pPr>
        <w:spacing w:line="360" w:lineRule="auto"/>
        <w:ind w:firstLine="480" w:firstLineChars="200"/>
        <w:rPr>
          <w:rFonts w:ascii="宋体"/>
          <w:sz w:val="24"/>
          <w:highlight w:val="none"/>
        </w:rPr>
      </w:pPr>
      <w:r>
        <w:rPr>
          <w:rFonts w:hint="eastAsia" w:ascii="宋体" w:hAnsi="宋体"/>
          <w:sz w:val="24"/>
          <w:highlight w:val="none"/>
        </w:rPr>
        <w:t>本公司郑重声明，根据《政府采购促进中小企业发展暂行办法》（财库【</w:t>
      </w:r>
      <w:r>
        <w:rPr>
          <w:rFonts w:ascii="宋体" w:hAnsi="宋体"/>
          <w:sz w:val="24"/>
          <w:highlight w:val="none"/>
        </w:rPr>
        <w:t>2011</w:t>
      </w:r>
      <w:r>
        <w:rPr>
          <w:rFonts w:hint="eastAsia" w:ascii="宋体" w:hAnsi="宋体"/>
          <w:sz w:val="24"/>
          <w:highlight w:val="none"/>
        </w:rPr>
        <w:t>】</w:t>
      </w:r>
      <w:r>
        <w:rPr>
          <w:rFonts w:ascii="宋体" w:hAnsi="宋体"/>
          <w:sz w:val="24"/>
          <w:highlight w:val="none"/>
        </w:rPr>
        <w:t>181</w:t>
      </w:r>
      <w:r>
        <w:rPr>
          <w:rFonts w:hint="eastAsia" w:ascii="宋体" w:hAnsi="宋体"/>
          <w:sz w:val="24"/>
          <w:highlight w:val="none"/>
        </w:rPr>
        <w:t>号）的规定，本公司为</w:t>
      </w:r>
      <w:r>
        <w:rPr>
          <w:rFonts w:ascii="宋体" w:hAnsi="宋体"/>
          <w:sz w:val="24"/>
          <w:highlight w:val="none"/>
          <w:u w:val="single"/>
        </w:rPr>
        <w:t xml:space="preserve">         </w:t>
      </w:r>
      <w:r>
        <w:rPr>
          <w:rFonts w:hint="eastAsia" w:ascii="宋体" w:hAnsi="宋体"/>
          <w:sz w:val="24"/>
          <w:highlight w:val="none"/>
        </w:rPr>
        <w:t>（请填写：小型、微型）企业。即，本公司同时满足以下条件：</w:t>
      </w:r>
    </w:p>
    <w:p>
      <w:pPr>
        <w:spacing w:line="360" w:lineRule="auto"/>
        <w:ind w:firstLine="600" w:firstLineChars="250"/>
        <w:rPr>
          <w:rFonts w:ascii="宋体"/>
          <w:sz w:val="24"/>
          <w:highlight w:val="none"/>
        </w:rPr>
      </w:pPr>
      <w:r>
        <w:rPr>
          <w:rFonts w:ascii="宋体" w:hAnsi="宋体"/>
          <w:sz w:val="24"/>
          <w:highlight w:val="none"/>
        </w:rPr>
        <w:t>1</w:t>
      </w:r>
      <w:r>
        <w:rPr>
          <w:rFonts w:hint="eastAsia" w:ascii="宋体" w:hAnsi="宋体"/>
          <w:sz w:val="24"/>
          <w:highlight w:val="none"/>
        </w:rPr>
        <w:t>、根据《工业和信息化部、国家统计局、国家发展和改革委员会、财政部关于印发中小企业划型规定的通知》（工信部联企业【</w:t>
      </w:r>
      <w:r>
        <w:rPr>
          <w:rFonts w:ascii="宋体" w:hAnsi="宋体"/>
          <w:sz w:val="24"/>
          <w:highlight w:val="none"/>
        </w:rPr>
        <w:t>2011</w:t>
      </w:r>
      <w:r>
        <w:rPr>
          <w:rFonts w:hint="eastAsia" w:ascii="宋体" w:hAnsi="宋体"/>
          <w:sz w:val="24"/>
          <w:highlight w:val="none"/>
        </w:rPr>
        <w:t>】</w:t>
      </w:r>
      <w:r>
        <w:rPr>
          <w:rFonts w:ascii="宋体" w:hAnsi="宋体"/>
          <w:sz w:val="24"/>
          <w:highlight w:val="none"/>
        </w:rPr>
        <w:t>300</w:t>
      </w:r>
      <w:r>
        <w:rPr>
          <w:rFonts w:hint="eastAsia" w:ascii="宋体" w:hAnsi="宋体"/>
          <w:sz w:val="24"/>
          <w:highlight w:val="none"/>
        </w:rPr>
        <w:t>号）规定的划分标准，本公司为</w:t>
      </w:r>
      <w:r>
        <w:rPr>
          <w:rFonts w:ascii="宋体" w:hAnsi="宋体"/>
          <w:sz w:val="24"/>
          <w:highlight w:val="none"/>
          <w:u w:val="single"/>
        </w:rPr>
        <w:t xml:space="preserve">       </w:t>
      </w:r>
      <w:r>
        <w:rPr>
          <w:rFonts w:hint="eastAsia" w:ascii="宋体" w:hAnsi="宋体"/>
          <w:sz w:val="24"/>
          <w:highlight w:val="none"/>
        </w:rPr>
        <w:t>（请填写：小型、微型）企业。</w:t>
      </w:r>
    </w:p>
    <w:p>
      <w:pPr>
        <w:spacing w:line="360" w:lineRule="auto"/>
        <w:ind w:firstLine="600" w:firstLineChars="250"/>
        <w:rPr>
          <w:rFonts w:ascii="宋体"/>
          <w:sz w:val="24"/>
          <w:highlight w:val="none"/>
        </w:rPr>
      </w:pPr>
      <w:r>
        <w:rPr>
          <w:rFonts w:ascii="宋体" w:hAnsi="宋体"/>
          <w:sz w:val="24"/>
          <w:highlight w:val="none"/>
        </w:rPr>
        <w:t>2</w:t>
      </w:r>
      <w:r>
        <w:rPr>
          <w:rFonts w:hint="eastAsia" w:ascii="宋体" w:hAnsi="宋体"/>
          <w:sz w:val="24"/>
          <w:highlight w:val="none"/>
        </w:rPr>
        <w:t>、本公司参加</w:t>
      </w:r>
      <w:r>
        <w:rPr>
          <w:rFonts w:ascii="宋体" w:hAnsi="宋体"/>
          <w:sz w:val="24"/>
          <w:highlight w:val="none"/>
          <w:u w:val="single"/>
        </w:rPr>
        <w:t xml:space="preserve">      </w:t>
      </w:r>
      <w:r>
        <w:rPr>
          <w:rFonts w:hint="eastAsia" w:ascii="宋体" w:hAnsi="宋体"/>
          <w:sz w:val="24"/>
          <w:highlight w:val="none"/>
        </w:rPr>
        <w:t>单位的</w:t>
      </w:r>
      <w:r>
        <w:rPr>
          <w:rFonts w:ascii="宋体" w:hAnsi="宋体"/>
          <w:sz w:val="24"/>
          <w:highlight w:val="none"/>
          <w:u w:val="single"/>
        </w:rPr>
        <w:t xml:space="preserve">        </w:t>
      </w:r>
      <w:r>
        <w:rPr>
          <w:rFonts w:hint="eastAsia" w:ascii="宋体" w:hAnsi="宋体"/>
          <w:sz w:val="24"/>
          <w:highlight w:val="none"/>
        </w:rPr>
        <w:t>项目采购活动提供本企业制造的货物。由本企业承担工程、提供服务，或者提供其他</w:t>
      </w:r>
      <w:r>
        <w:rPr>
          <w:rFonts w:ascii="宋体" w:hAnsi="宋体"/>
          <w:sz w:val="24"/>
          <w:highlight w:val="none"/>
          <w:u w:val="single"/>
        </w:rPr>
        <w:t xml:space="preserve">       </w:t>
      </w:r>
      <w:r>
        <w:rPr>
          <w:rFonts w:hint="eastAsia" w:ascii="宋体" w:hAnsi="宋体"/>
          <w:sz w:val="24"/>
          <w:highlight w:val="none"/>
        </w:rPr>
        <w:t>（请填写：小型、微型）企业制造的货物。本条所称货物不包括使用大型企业注册商标的货物。</w:t>
      </w:r>
    </w:p>
    <w:p>
      <w:pPr>
        <w:spacing w:line="360" w:lineRule="auto"/>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sz w:val="24"/>
          <w:highlight w:val="none"/>
        </w:rPr>
      </w:pP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spacing w:line="480" w:lineRule="exact"/>
        <w:jc w:val="center"/>
        <w:outlineLvl w:val="0"/>
        <w:rPr>
          <w:rFonts w:ascii="仿宋" w:hAnsi="仿宋" w:eastAsia="仿宋"/>
          <w:sz w:val="24"/>
          <w:highlight w:val="none"/>
        </w:rPr>
      </w:pPr>
      <w:r>
        <w:rPr>
          <w:rFonts w:ascii="仿宋" w:hAnsi="仿宋" w:eastAsia="仿宋"/>
          <w:sz w:val="24"/>
          <w:highlight w:val="none"/>
        </w:rPr>
        <w:br w:type="page"/>
      </w:r>
    </w:p>
    <w:p>
      <w:pPr>
        <w:spacing w:line="480" w:lineRule="exact"/>
        <w:jc w:val="center"/>
        <w:outlineLvl w:val="0"/>
        <w:rPr>
          <w:rFonts w:ascii="宋体"/>
          <w:b/>
          <w:sz w:val="28"/>
          <w:highlight w:val="none"/>
        </w:rPr>
      </w:pPr>
      <w:bookmarkStart w:id="201" w:name="_Toc14964"/>
      <w:bookmarkStart w:id="202" w:name="_Toc9435"/>
      <w:bookmarkStart w:id="203" w:name="_Toc170"/>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01"/>
      <w:bookmarkEnd w:id="202"/>
      <w:bookmarkEnd w:id="203"/>
    </w:p>
    <w:p>
      <w:pPr>
        <w:spacing w:line="480" w:lineRule="exact"/>
        <w:jc w:val="center"/>
        <w:outlineLvl w:val="0"/>
        <w:rPr>
          <w:rFonts w:ascii="宋体"/>
          <w:b/>
          <w:sz w:val="28"/>
          <w:highlight w:val="none"/>
        </w:rPr>
      </w:pPr>
    </w:p>
    <w:p>
      <w:pPr>
        <w:spacing w:line="360" w:lineRule="auto"/>
        <w:ind w:firstLine="480" w:firstLineChars="200"/>
        <w:rPr>
          <w:rFonts w:ascii="宋体"/>
          <w:sz w:val="24"/>
          <w:highlight w:val="none"/>
          <w:u w:val="single"/>
        </w:rPr>
      </w:pPr>
      <w:r>
        <w:rPr>
          <w:rFonts w:hint="eastAsia" w:ascii="宋体" w:hAnsi="宋体"/>
          <w:sz w:val="24"/>
          <w:highlight w:val="none"/>
        </w:rPr>
        <w:t>项目编号：</w:t>
      </w:r>
      <w:r>
        <w:rPr>
          <w:rFonts w:ascii="宋体" w:hAnsi="宋体"/>
          <w:sz w:val="24"/>
          <w:highlight w:val="none"/>
          <w:u w:val="single"/>
        </w:rPr>
        <w:t xml:space="preserve">          </w:t>
      </w:r>
    </w:p>
    <w:p>
      <w:pPr>
        <w:spacing w:line="360" w:lineRule="auto"/>
        <w:ind w:firstLine="480" w:firstLineChars="200"/>
        <w:rPr>
          <w:rFonts w:ascii="宋体"/>
          <w:sz w:val="24"/>
          <w:highlight w:val="none"/>
        </w:rPr>
      </w:pPr>
      <w:r>
        <w:rPr>
          <w:rFonts w:hint="eastAsia" w:ascii="宋体" w:hAnsi="宋体"/>
          <w:sz w:val="24"/>
          <w:highlight w:val="none"/>
        </w:rPr>
        <w:t>本公司郑重声明：根据《政府采购促进中小企业发展暂行办法》（财库【</w:t>
      </w:r>
      <w:r>
        <w:rPr>
          <w:rFonts w:ascii="宋体" w:hAnsi="宋体"/>
          <w:sz w:val="24"/>
          <w:highlight w:val="none"/>
        </w:rPr>
        <w:t>2011</w:t>
      </w:r>
      <w:r>
        <w:rPr>
          <w:rFonts w:hint="eastAsia" w:ascii="宋体" w:hAnsi="宋体"/>
          <w:sz w:val="24"/>
          <w:highlight w:val="none"/>
        </w:rPr>
        <w:t>】</w:t>
      </w:r>
      <w:r>
        <w:rPr>
          <w:rFonts w:ascii="宋体" w:hAnsi="宋体"/>
          <w:sz w:val="24"/>
          <w:highlight w:val="none"/>
        </w:rPr>
        <w:t>181</w:t>
      </w:r>
      <w:r>
        <w:rPr>
          <w:rFonts w:hint="eastAsia" w:ascii="宋体" w:hAnsi="宋体"/>
          <w:sz w:val="24"/>
          <w:highlight w:val="none"/>
        </w:rPr>
        <w:t>号）、《工业和信息化部、国家统计局、国家发展和改革委员会、财政部关于印发中小企业划型规定的通知》（工信部联企业【</w:t>
      </w:r>
      <w:r>
        <w:rPr>
          <w:rFonts w:ascii="宋体" w:hAnsi="宋体"/>
          <w:sz w:val="24"/>
          <w:highlight w:val="none"/>
        </w:rPr>
        <w:t>2011</w:t>
      </w:r>
      <w:r>
        <w:rPr>
          <w:rFonts w:hint="eastAsia" w:ascii="宋体" w:hAnsi="宋体"/>
          <w:sz w:val="24"/>
          <w:highlight w:val="none"/>
        </w:rPr>
        <w:t>】</w:t>
      </w:r>
      <w:r>
        <w:rPr>
          <w:rFonts w:ascii="宋体" w:hAnsi="宋体"/>
          <w:sz w:val="24"/>
          <w:highlight w:val="none"/>
        </w:rPr>
        <w:t>300</w:t>
      </w:r>
      <w:r>
        <w:rPr>
          <w:rFonts w:hint="eastAsia" w:ascii="宋体" w:hAnsi="宋体"/>
          <w:sz w:val="24"/>
          <w:highlight w:val="none"/>
        </w:rPr>
        <w:t>号）规定，本公司从业人员数为</w:t>
      </w:r>
      <w:r>
        <w:rPr>
          <w:rFonts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80" w:firstLineChars="20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sz w:val="24"/>
          <w:highlight w:val="none"/>
        </w:rPr>
      </w:pPr>
    </w:p>
    <w:p>
      <w:pPr>
        <w:spacing w:line="360" w:lineRule="auto"/>
        <w:ind w:right="240"/>
        <w:jc w:val="right"/>
        <w:rPr>
          <w:rFonts w:ascii="宋体"/>
          <w:sz w:val="24"/>
          <w:highlight w:val="none"/>
        </w:rPr>
      </w:pP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3"/>
        <w:spacing w:line="580" w:lineRule="exact"/>
        <w:jc w:val="center"/>
        <w:rPr>
          <w:sz w:val="28"/>
          <w:szCs w:val="28"/>
          <w:highlight w:val="none"/>
        </w:rPr>
      </w:pPr>
      <w:r>
        <w:rPr>
          <w:rFonts w:ascii="宋体"/>
          <w:highlight w:val="none"/>
        </w:rPr>
        <w:br w:type="page"/>
      </w:r>
      <w:bookmarkStart w:id="204" w:name="_Toc492372156"/>
      <w:bookmarkStart w:id="205" w:name="_Toc499831025"/>
      <w:bookmarkStart w:id="206" w:name="_Toc15306"/>
      <w:bookmarkStart w:id="207" w:name="_Toc499827580"/>
      <w:bookmarkStart w:id="208" w:name="_Toc503943637"/>
      <w:r>
        <w:rPr>
          <w:rFonts w:hint="eastAsia"/>
          <w:sz w:val="28"/>
          <w:szCs w:val="28"/>
          <w:highlight w:val="none"/>
        </w:rPr>
        <w:t>格式</w:t>
      </w:r>
      <w:r>
        <w:rPr>
          <w:sz w:val="28"/>
          <w:szCs w:val="28"/>
          <w:highlight w:val="none"/>
        </w:rPr>
        <w:t xml:space="preserve">7  </w:t>
      </w:r>
      <w:bookmarkEnd w:id="204"/>
      <w:r>
        <w:rPr>
          <w:rFonts w:hint="eastAsia"/>
          <w:sz w:val="28"/>
          <w:szCs w:val="28"/>
          <w:highlight w:val="none"/>
        </w:rPr>
        <w:t>残疾人福利性单位声明函</w:t>
      </w:r>
      <w:bookmarkEnd w:id="205"/>
      <w:bookmarkEnd w:id="206"/>
      <w:bookmarkEnd w:id="207"/>
      <w:bookmarkEnd w:id="208"/>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注：</w:t>
      </w:r>
      <w:r>
        <w:rPr>
          <w:rFonts w:ascii="宋体" w:hAnsi="宋体"/>
          <w:spacing w:val="6"/>
          <w:sz w:val="24"/>
          <w:highlight w:val="none"/>
        </w:rPr>
        <w:t>1</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lang w:val="zh-CN"/>
        </w:rPr>
        <w:t xml:space="preserve">             </w:t>
      </w:r>
      <w:r>
        <w:rPr>
          <w:rFonts w:hint="eastAsia" w:ascii="宋体" w:hAnsi="宋体" w:cs="宋体"/>
          <w:sz w:val="24"/>
          <w:highlight w:val="none"/>
          <w:lang w:val="zh-CN"/>
        </w:rPr>
        <w:t xml:space="preserve">                                项目标号：</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lang w:val="en-US" w:eastAsia="zh-CN"/>
              </w:rPr>
            </w:pPr>
          </w:p>
          <w:p>
            <w:pPr>
              <w:pStyle w:val="20"/>
              <w:spacing w:line="480" w:lineRule="exact"/>
              <w:ind w:left="0" w:leftChars="0" w:firstLine="0" w:firstLineChars="0"/>
              <w:jc w:val="center"/>
              <w:rPr>
                <w:rFonts w:ascii="宋体"/>
                <w:b/>
                <w:kern w:val="2"/>
                <w:sz w:val="32"/>
                <w:szCs w:val="32"/>
                <w:highlight w:val="none"/>
                <w:lang w:val="en-US" w:eastAsia="zh-CN"/>
              </w:rPr>
            </w:pPr>
            <w:r>
              <w:rPr>
                <w:rFonts w:hint="eastAsia" w:ascii="宋体" w:hAnsi="宋体"/>
                <w:b/>
                <w:kern w:val="2"/>
                <w:sz w:val="32"/>
                <w:szCs w:val="32"/>
                <w:highlight w:val="none"/>
                <w:lang w:val="en-US" w:eastAsia="zh-CN"/>
              </w:rPr>
              <w:t>投标文件</w:t>
            </w:r>
          </w:p>
          <w:p>
            <w:pPr>
              <w:pStyle w:val="20"/>
              <w:spacing w:line="480" w:lineRule="exact"/>
              <w:ind w:left="0" w:leftChars="0" w:firstLine="0" w:firstLineChars="0"/>
              <w:jc w:val="center"/>
              <w:rPr>
                <w:rFonts w:ascii="宋体"/>
                <w:b/>
                <w:kern w:val="2"/>
                <w:sz w:val="32"/>
                <w:szCs w:val="32"/>
                <w:highlight w:val="none"/>
                <w:lang w:val="en-US" w:eastAsia="zh-CN"/>
              </w:rPr>
            </w:pPr>
            <w:r>
              <w:rPr>
                <w:rFonts w:hint="eastAsia" w:ascii="宋体" w:hAnsi="宋体"/>
                <w:b/>
                <w:kern w:val="2"/>
                <w:sz w:val="32"/>
                <w:szCs w:val="32"/>
                <w:highlight w:val="none"/>
                <w:lang w:val="en-US" w:eastAsia="zh-CN"/>
              </w:rPr>
              <w:t>（正本）</w:t>
            </w:r>
          </w:p>
          <w:p>
            <w:pPr>
              <w:pStyle w:val="20"/>
              <w:spacing w:line="480" w:lineRule="exact"/>
              <w:ind w:left="1747" w:firstLine="353"/>
              <w:jc w:val="left"/>
              <w:rPr>
                <w:rFonts w:ascii="宋体"/>
                <w:kern w:val="2"/>
                <w:sz w:val="18"/>
                <w:szCs w:val="24"/>
                <w:highlight w:val="none"/>
                <w:lang w:val="en-US" w:eastAsia="zh-CN"/>
              </w:rPr>
            </w:pP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招标编号：</w:t>
            </w:r>
          </w:p>
          <w:p>
            <w:pPr>
              <w:pStyle w:val="20"/>
              <w:spacing w:line="480" w:lineRule="exact"/>
              <w:ind w:left="0" w:leftChars="0" w:firstLine="0" w:firstLineChars="0"/>
              <w:jc w:val="left"/>
              <w:rPr>
                <w:rFonts w:ascii="宋体" w:hAnsi="宋体"/>
                <w:kern w:val="2"/>
                <w:szCs w:val="24"/>
                <w:highlight w:val="none"/>
                <w:lang w:val="en-US" w:eastAsia="zh-CN"/>
              </w:rPr>
            </w:pPr>
            <w:r>
              <w:rPr>
                <w:rFonts w:hint="eastAsia" w:ascii="宋体" w:hAnsi="宋体"/>
                <w:kern w:val="2"/>
                <w:szCs w:val="24"/>
                <w:highlight w:val="none"/>
                <w:lang w:val="en-US" w:eastAsia="zh-CN"/>
              </w:rPr>
              <w:t>项目名称：</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投标人名称（公章）：</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地址：</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邮编：</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电话：</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传真：</w:t>
            </w:r>
          </w:p>
        </w:tc>
        <w:tc>
          <w:tcPr>
            <w:tcW w:w="4775" w:type="dxa"/>
          </w:tcPr>
          <w:p>
            <w:pPr>
              <w:pStyle w:val="20"/>
              <w:spacing w:line="480" w:lineRule="exact"/>
              <w:ind w:left="1747" w:firstLine="470"/>
              <w:jc w:val="left"/>
              <w:rPr>
                <w:rFonts w:ascii="宋体"/>
                <w:kern w:val="2"/>
                <w:szCs w:val="24"/>
                <w:highlight w:val="none"/>
                <w:lang w:val="en-US" w:eastAsia="zh-CN"/>
              </w:rPr>
            </w:pPr>
          </w:p>
          <w:p>
            <w:pPr>
              <w:pStyle w:val="20"/>
              <w:spacing w:line="480" w:lineRule="exact"/>
              <w:ind w:left="0" w:leftChars="0" w:firstLine="0" w:firstLineChars="0"/>
              <w:jc w:val="center"/>
              <w:rPr>
                <w:rFonts w:ascii="宋体"/>
                <w:b/>
                <w:kern w:val="2"/>
                <w:sz w:val="32"/>
                <w:szCs w:val="32"/>
                <w:highlight w:val="none"/>
                <w:lang w:val="en-US" w:eastAsia="zh-CN"/>
              </w:rPr>
            </w:pPr>
            <w:r>
              <w:rPr>
                <w:rFonts w:hint="eastAsia" w:ascii="宋体" w:hAnsi="宋体"/>
                <w:b/>
                <w:kern w:val="2"/>
                <w:sz w:val="32"/>
                <w:szCs w:val="32"/>
                <w:highlight w:val="none"/>
                <w:lang w:val="en-US" w:eastAsia="zh-CN"/>
              </w:rPr>
              <w:t>投标文件</w:t>
            </w:r>
          </w:p>
          <w:p>
            <w:pPr>
              <w:pStyle w:val="20"/>
              <w:spacing w:line="480" w:lineRule="exact"/>
              <w:ind w:left="0" w:leftChars="0" w:firstLine="0" w:firstLineChars="0"/>
              <w:jc w:val="center"/>
              <w:rPr>
                <w:rFonts w:ascii="宋体"/>
                <w:b/>
                <w:kern w:val="2"/>
                <w:sz w:val="32"/>
                <w:szCs w:val="32"/>
                <w:highlight w:val="none"/>
                <w:lang w:val="en-US" w:eastAsia="zh-CN"/>
              </w:rPr>
            </w:pPr>
            <w:r>
              <w:rPr>
                <w:rFonts w:hint="eastAsia" w:ascii="宋体" w:hAnsi="宋体"/>
                <w:b/>
                <w:kern w:val="2"/>
                <w:sz w:val="32"/>
                <w:szCs w:val="32"/>
                <w:highlight w:val="none"/>
                <w:lang w:val="en-US" w:eastAsia="zh-CN"/>
              </w:rPr>
              <w:t>（副本）</w:t>
            </w:r>
          </w:p>
          <w:p>
            <w:pPr>
              <w:pStyle w:val="20"/>
              <w:spacing w:line="480" w:lineRule="exact"/>
              <w:ind w:left="1747" w:firstLine="353"/>
              <w:jc w:val="left"/>
              <w:rPr>
                <w:rFonts w:ascii="宋体"/>
                <w:kern w:val="2"/>
                <w:sz w:val="18"/>
                <w:szCs w:val="24"/>
                <w:highlight w:val="none"/>
                <w:lang w:val="en-US" w:eastAsia="zh-CN"/>
              </w:rPr>
            </w:pP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招标编号：</w:t>
            </w:r>
          </w:p>
          <w:p>
            <w:pPr>
              <w:pStyle w:val="20"/>
              <w:spacing w:line="480" w:lineRule="exact"/>
              <w:ind w:left="0" w:leftChars="0" w:firstLine="0" w:firstLineChars="0"/>
              <w:jc w:val="left"/>
              <w:rPr>
                <w:rFonts w:ascii="宋体" w:hAnsi="宋体"/>
                <w:b/>
                <w:bCs/>
                <w:kern w:val="2"/>
                <w:szCs w:val="24"/>
                <w:highlight w:val="none"/>
                <w:lang w:val="en-US" w:eastAsia="zh-CN"/>
              </w:rPr>
            </w:pPr>
            <w:r>
              <w:rPr>
                <w:rFonts w:hint="eastAsia" w:ascii="宋体" w:hAnsi="宋体"/>
                <w:kern w:val="2"/>
                <w:szCs w:val="24"/>
                <w:highlight w:val="none"/>
                <w:lang w:val="en-US" w:eastAsia="zh-CN"/>
              </w:rPr>
              <w:t>项目名称：</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投标人名称（公章）：</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地址：</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邮编：</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电话：</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lang w:val="en-US" w:eastAsia="zh-CN"/>
              </w:rPr>
            </w:pPr>
          </w:p>
          <w:p>
            <w:pPr>
              <w:pStyle w:val="20"/>
              <w:spacing w:line="480" w:lineRule="exact"/>
              <w:ind w:left="0" w:leftChars="0" w:firstLine="0" w:firstLineChars="0"/>
              <w:jc w:val="center"/>
              <w:rPr>
                <w:rFonts w:ascii="宋体"/>
                <w:kern w:val="2"/>
                <w:sz w:val="30"/>
                <w:szCs w:val="24"/>
                <w:highlight w:val="none"/>
                <w:lang w:val="en-US" w:eastAsia="zh-CN"/>
              </w:rPr>
            </w:pPr>
            <w:r>
              <w:rPr>
                <w:rFonts w:hint="eastAsia" w:ascii="宋体" w:hAnsi="宋体"/>
                <w:b/>
                <w:kern w:val="2"/>
                <w:sz w:val="32"/>
                <w:szCs w:val="32"/>
                <w:highlight w:val="none"/>
                <w:lang w:val="en-US" w:eastAsia="zh-CN"/>
              </w:rPr>
              <w:t>开标一览表</w:t>
            </w:r>
          </w:p>
          <w:p>
            <w:pPr>
              <w:pStyle w:val="20"/>
              <w:spacing w:line="480" w:lineRule="exact"/>
              <w:ind w:left="1747" w:firstLine="470"/>
              <w:rPr>
                <w:rFonts w:ascii="宋体"/>
                <w:kern w:val="2"/>
                <w:szCs w:val="24"/>
                <w:highlight w:val="none"/>
                <w:lang w:val="en-US" w:eastAsia="zh-CN"/>
              </w:rPr>
            </w:pPr>
          </w:p>
          <w:p>
            <w:pPr>
              <w:pStyle w:val="20"/>
              <w:spacing w:line="480" w:lineRule="exact"/>
              <w:ind w:left="0" w:leftChars="0" w:firstLine="0" w:firstLineChars="0"/>
              <w:jc w:val="left"/>
              <w:rPr>
                <w:rFonts w:ascii="宋体" w:hAnsi="宋体"/>
                <w:kern w:val="2"/>
                <w:szCs w:val="24"/>
                <w:highlight w:val="none"/>
                <w:lang w:val="en-US" w:eastAsia="zh-CN"/>
              </w:rPr>
            </w:pPr>
            <w:r>
              <w:rPr>
                <w:rFonts w:hint="eastAsia" w:ascii="宋体" w:hAnsi="宋体"/>
                <w:kern w:val="2"/>
                <w:szCs w:val="24"/>
                <w:highlight w:val="none"/>
                <w:lang w:val="en-US" w:eastAsia="zh-CN"/>
              </w:rPr>
              <w:t>招标编号：</w:t>
            </w:r>
          </w:p>
          <w:p>
            <w:pPr>
              <w:pStyle w:val="20"/>
              <w:spacing w:line="480" w:lineRule="exact"/>
              <w:ind w:left="0" w:leftChars="0" w:firstLine="0" w:firstLineChars="0"/>
              <w:jc w:val="left"/>
              <w:rPr>
                <w:rFonts w:ascii="宋体" w:hAnsi="宋体"/>
                <w:kern w:val="2"/>
                <w:szCs w:val="24"/>
                <w:highlight w:val="none"/>
                <w:lang w:val="en-US" w:eastAsia="zh-CN"/>
              </w:rPr>
            </w:pPr>
            <w:r>
              <w:rPr>
                <w:rFonts w:hint="eastAsia" w:ascii="宋体" w:hAnsi="宋体"/>
                <w:kern w:val="2"/>
                <w:szCs w:val="24"/>
                <w:highlight w:val="none"/>
                <w:lang w:val="en-US" w:eastAsia="zh-CN"/>
              </w:rPr>
              <w:t>项目名称：</w:t>
            </w:r>
          </w:p>
          <w:p>
            <w:pPr>
              <w:pStyle w:val="20"/>
              <w:spacing w:line="480" w:lineRule="exact"/>
              <w:ind w:left="0" w:leftChars="0" w:firstLine="0" w:firstLineChars="0"/>
              <w:jc w:val="left"/>
              <w:rPr>
                <w:rFonts w:ascii="宋体"/>
                <w:kern w:val="2"/>
                <w:szCs w:val="24"/>
                <w:highlight w:val="none"/>
                <w:lang w:val="en-US" w:eastAsia="zh-CN"/>
              </w:rPr>
            </w:pPr>
            <w:r>
              <w:rPr>
                <w:rFonts w:hint="eastAsia" w:ascii="宋体" w:hAnsi="宋体"/>
                <w:kern w:val="2"/>
                <w:szCs w:val="24"/>
                <w:highlight w:val="none"/>
                <w:lang w:val="en-US" w:eastAsia="zh-CN"/>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lang w:val="en-US" w:eastAsia="zh-CN"/>
              </w:rPr>
            </w:pPr>
            <w:r>
              <w:rPr>
                <w:rFonts w:hint="eastAsia" w:ascii="宋体" w:hAnsi="宋体"/>
                <w:kern w:val="2"/>
                <w:szCs w:val="24"/>
                <w:highlight w:val="none"/>
                <w:lang w:val="en-US" w:eastAsia="zh-CN"/>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099" o:spid="_x0000_s409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19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100" o:spid="_x0000_s410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6A52C"/>
    <w:multiLevelType w:val="singleLevel"/>
    <w:tmpl w:val="C1E6A52C"/>
    <w:lvl w:ilvl="0" w:tentative="0">
      <w:start w:val="1"/>
      <w:numFmt w:val="chineseCounting"/>
      <w:suff w:val="space"/>
      <w:lvlText w:val="第%1部分"/>
      <w:lvlJc w:val="left"/>
      <w:rPr>
        <w:rFonts w:hint="eastAsia"/>
      </w:rPr>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34EE3702"/>
    <w:multiLevelType w:val="singleLevel"/>
    <w:tmpl w:val="34EE3702"/>
    <w:lvl w:ilvl="0" w:tentative="0">
      <w:start w:val="7"/>
      <w:numFmt w:val="chineseCounting"/>
      <w:suff w:val="space"/>
      <w:lvlText w:val="%1、"/>
      <w:lvlJc w:val="left"/>
      <w:rPr>
        <w:rFonts w:hint="eastAsia"/>
      </w:rPr>
    </w:lvl>
  </w:abstractNum>
  <w:abstractNum w:abstractNumId="4">
    <w:nsid w:val="5AE0118E"/>
    <w:multiLevelType w:val="singleLevel"/>
    <w:tmpl w:val="5AE0118E"/>
    <w:lvl w:ilvl="0" w:tentative="0">
      <w:start w:val="5"/>
      <w:numFmt w:val="decimal"/>
      <w:suff w:val="nothing"/>
      <w:lvlText w:val="%1、"/>
      <w:lvlJc w:val="left"/>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5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47237"/>
    <w:rsid w:val="000B01B5"/>
    <w:rsid w:val="000C678F"/>
    <w:rsid w:val="000E145A"/>
    <w:rsid w:val="000E2449"/>
    <w:rsid w:val="00113618"/>
    <w:rsid w:val="00131905"/>
    <w:rsid w:val="00145A42"/>
    <w:rsid w:val="00145D35"/>
    <w:rsid w:val="00162C5D"/>
    <w:rsid w:val="001707D7"/>
    <w:rsid w:val="001713F3"/>
    <w:rsid w:val="00172A27"/>
    <w:rsid w:val="0017628F"/>
    <w:rsid w:val="001914BD"/>
    <w:rsid w:val="00194DBA"/>
    <w:rsid w:val="00195DA1"/>
    <w:rsid w:val="00205145"/>
    <w:rsid w:val="00243E3D"/>
    <w:rsid w:val="00246731"/>
    <w:rsid w:val="002636B8"/>
    <w:rsid w:val="00276B8B"/>
    <w:rsid w:val="002A7D87"/>
    <w:rsid w:val="002C1BB4"/>
    <w:rsid w:val="002D5FC0"/>
    <w:rsid w:val="002F4ECD"/>
    <w:rsid w:val="00302DBF"/>
    <w:rsid w:val="00310FAD"/>
    <w:rsid w:val="00323006"/>
    <w:rsid w:val="00356D4F"/>
    <w:rsid w:val="00370188"/>
    <w:rsid w:val="00386985"/>
    <w:rsid w:val="00394398"/>
    <w:rsid w:val="003A6204"/>
    <w:rsid w:val="003C419A"/>
    <w:rsid w:val="003D1EDA"/>
    <w:rsid w:val="003E5F81"/>
    <w:rsid w:val="003E74A2"/>
    <w:rsid w:val="003F33E7"/>
    <w:rsid w:val="00411488"/>
    <w:rsid w:val="00432143"/>
    <w:rsid w:val="00453B30"/>
    <w:rsid w:val="0046019C"/>
    <w:rsid w:val="004772C0"/>
    <w:rsid w:val="004B244C"/>
    <w:rsid w:val="004D1A53"/>
    <w:rsid w:val="00517D33"/>
    <w:rsid w:val="00527409"/>
    <w:rsid w:val="0053706A"/>
    <w:rsid w:val="005525EA"/>
    <w:rsid w:val="00566766"/>
    <w:rsid w:val="0056703D"/>
    <w:rsid w:val="005735D4"/>
    <w:rsid w:val="00575932"/>
    <w:rsid w:val="00576D88"/>
    <w:rsid w:val="00592153"/>
    <w:rsid w:val="005B2561"/>
    <w:rsid w:val="005D2392"/>
    <w:rsid w:val="005D7CBB"/>
    <w:rsid w:val="005F3E92"/>
    <w:rsid w:val="00661BDA"/>
    <w:rsid w:val="006769D2"/>
    <w:rsid w:val="0067730B"/>
    <w:rsid w:val="0069381A"/>
    <w:rsid w:val="006A54E5"/>
    <w:rsid w:val="006C069F"/>
    <w:rsid w:val="006E1D66"/>
    <w:rsid w:val="006F1251"/>
    <w:rsid w:val="00700477"/>
    <w:rsid w:val="00761902"/>
    <w:rsid w:val="00774762"/>
    <w:rsid w:val="007838AB"/>
    <w:rsid w:val="007A5FB1"/>
    <w:rsid w:val="00807342"/>
    <w:rsid w:val="0082141B"/>
    <w:rsid w:val="00827EF9"/>
    <w:rsid w:val="00846709"/>
    <w:rsid w:val="008F5DC5"/>
    <w:rsid w:val="00920411"/>
    <w:rsid w:val="009420DA"/>
    <w:rsid w:val="00991453"/>
    <w:rsid w:val="00995536"/>
    <w:rsid w:val="009B1504"/>
    <w:rsid w:val="009C2647"/>
    <w:rsid w:val="009D2573"/>
    <w:rsid w:val="009D5D9A"/>
    <w:rsid w:val="009F1C91"/>
    <w:rsid w:val="00A27B05"/>
    <w:rsid w:val="00A35668"/>
    <w:rsid w:val="00A478A0"/>
    <w:rsid w:val="00A51568"/>
    <w:rsid w:val="00A540D0"/>
    <w:rsid w:val="00A75CA1"/>
    <w:rsid w:val="00AA49DB"/>
    <w:rsid w:val="00AD5758"/>
    <w:rsid w:val="00AF6B68"/>
    <w:rsid w:val="00B0178F"/>
    <w:rsid w:val="00B14739"/>
    <w:rsid w:val="00B3167C"/>
    <w:rsid w:val="00B75A55"/>
    <w:rsid w:val="00B76074"/>
    <w:rsid w:val="00BF1996"/>
    <w:rsid w:val="00BF5D8C"/>
    <w:rsid w:val="00C22CF4"/>
    <w:rsid w:val="00C30279"/>
    <w:rsid w:val="00CD32B3"/>
    <w:rsid w:val="00CE6A2C"/>
    <w:rsid w:val="00CF633E"/>
    <w:rsid w:val="00D0384D"/>
    <w:rsid w:val="00D20821"/>
    <w:rsid w:val="00D2184F"/>
    <w:rsid w:val="00D262AB"/>
    <w:rsid w:val="00D31FE3"/>
    <w:rsid w:val="00D76286"/>
    <w:rsid w:val="00D90AF6"/>
    <w:rsid w:val="00DB598B"/>
    <w:rsid w:val="00DD5723"/>
    <w:rsid w:val="00DE054B"/>
    <w:rsid w:val="00DE31F6"/>
    <w:rsid w:val="00E17C0E"/>
    <w:rsid w:val="00E352B5"/>
    <w:rsid w:val="00E55B96"/>
    <w:rsid w:val="00E61B1C"/>
    <w:rsid w:val="00E6261D"/>
    <w:rsid w:val="00E849CB"/>
    <w:rsid w:val="00EA13C3"/>
    <w:rsid w:val="00EA48C3"/>
    <w:rsid w:val="00EB320E"/>
    <w:rsid w:val="00EB7236"/>
    <w:rsid w:val="00EF7851"/>
    <w:rsid w:val="00F5673C"/>
    <w:rsid w:val="00F70A2F"/>
    <w:rsid w:val="00F712B4"/>
    <w:rsid w:val="00F749FD"/>
    <w:rsid w:val="00FC0E0C"/>
    <w:rsid w:val="00FD1F62"/>
    <w:rsid w:val="00FD3231"/>
    <w:rsid w:val="00FD5088"/>
    <w:rsid w:val="01172614"/>
    <w:rsid w:val="012C7451"/>
    <w:rsid w:val="01367B2E"/>
    <w:rsid w:val="013B7FED"/>
    <w:rsid w:val="01477457"/>
    <w:rsid w:val="01483AE6"/>
    <w:rsid w:val="016171C3"/>
    <w:rsid w:val="01674088"/>
    <w:rsid w:val="0178463B"/>
    <w:rsid w:val="01833406"/>
    <w:rsid w:val="018B4463"/>
    <w:rsid w:val="018B6312"/>
    <w:rsid w:val="018E50CB"/>
    <w:rsid w:val="01921D31"/>
    <w:rsid w:val="019D0F86"/>
    <w:rsid w:val="019F1051"/>
    <w:rsid w:val="01B0280C"/>
    <w:rsid w:val="01BD5753"/>
    <w:rsid w:val="01CA0740"/>
    <w:rsid w:val="01CA7137"/>
    <w:rsid w:val="01CB7896"/>
    <w:rsid w:val="01CF1035"/>
    <w:rsid w:val="01E6238E"/>
    <w:rsid w:val="01F902EC"/>
    <w:rsid w:val="02226D7C"/>
    <w:rsid w:val="02227C57"/>
    <w:rsid w:val="022C7141"/>
    <w:rsid w:val="02347B0F"/>
    <w:rsid w:val="023777D9"/>
    <w:rsid w:val="023A5D18"/>
    <w:rsid w:val="023D5D3A"/>
    <w:rsid w:val="024A7919"/>
    <w:rsid w:val="0257572E"/>
    <w:rsid w:val="027236E2"/>
    <w:rsid w:val="0276583F"/>
    <w:rsid w:val="02852E05"/>
    <w:rsid w:val="02855076"/>
    <w:rsid w:val="02930443"/>
    <w:rsid w:val="02A254D3"/>
    <w:rsid w:val="02B053ED"/>
    <w:rsid w:val="02B16F47"/>
    <w:rsid w:val="02BB6203"/>
    <w:rsid w:val="02CF61B0"/>
    <w:rsid w:val="02D20845"/>
    <w:rsid w:val="02D35B8B"/>
    <w:rsid w:val="02D601CF"/>
    <w:rsid w:val="02DC73A5"/>
    <w:rsid w:val="02E45A48"/>
    <w:rsid w:val="02EE0490"/>
    <w:rsid w:val="02FA6999"/>
    <w:rsid w:val="03190F6E"/>
    <w:rsid w:val="031B5DA2"/>
    <w:rsid w:val="03522D6F"/>
    <w:rsid w:val="03537474"/>
    <w:rsid w:val="03563A14"/>
    <w:rsid w:val="03654C99"/>
    <w:rsid w:val="0368561C"/>
    <w:rsid w:val="036E457D"/>
    <w:rsid w:val="037B55A1"/>
    <w:rsid w:val="037E752F"/>
    <w:rsid w:val="03853B1A"/>
    <w:rsid w:val="03984A78"/>
    <w:rsid w:val="03D9691B"/>
    <w:rsid w:val="03E60572"/>
    <w:rsid w:val="03FB5460"/>
    <w:rsid w:val="03FF0065"/>
    <w:rsid w:val="040E3633"/>
    <w:rsid w:val="040F7D90"/>
    <w:rsid w:val="042D27C9"/>
    <w:rsid w:val="04322750"/>
    <w:rsid w:val="048C0542"/>
    <w:rsid w:val="04A270F4"/>
    <w:rsid w:val="04BD332D"/>
    <w:rsid w:val="04C53E66"/>
    <w:rsid w:val="04C60BF6"/>
    <w:rsid w:val="04C64C86"/>
    <w:rsid w:val="04D04155"/>
    <w:rsid w:val="04D46BF9"/>
    <w:rsid w:val="04F856AF"/>
    <w:rsid w:val="0526784C"/>
    <w:rsid w:val="052E7492"/>
    <w:rsid w:val="05446C17"/>
    <w:rsid w:val="054A7C05"/>
    <w:rsid w:val="05563819"/>
    <w:rsid w:val="055838CE"/>
    <w:rsid w:val="055D0DAD"/>
    <w:rsid w:val="05755832"/>
    <w:rsid w:val="05834B6F"/>
    <w:rsid w:val="05B575B8"/>
    <w:rsid w:val="05B9289A"/>
    <w:rsid w:val="05C6569E"/>
    <w:rsid w:val="05E35544"/>
    <w:rsid w:val="05F0753E"/>
    <w:rsid w:val="06250628"/>
    <w:rsid w:val="064B02D7"/>
    <w:rsid w:val="06542070"/>
    <w:rsid w:val="0662376A"/>
    <w:rsid w:val="06893342"/>
    <w:rsid w:val="06B35D6A"/>
    <w:rsid w:val="06BE6F0A"/>
    <w:rsid w:val="06C26570"/>
    <w:rsid w:val="06D23153"/>
    <w:rsid w:val="06D50301"/>
    <w:rsid w:val="06D80483"/>
    <w:rsid w:val="06E51FD2"/>
    <w:rsid w:val="07011658"/>
    <w:rsid w:val="07205DD5"/>
    <w:rsid w:val="07255034"/>
    <w:rsid w:val="072630C4"/>
    <w:rsid w:val="073C5E08"/>
    <w:rsid w:val="07404625"/>
    <w:rsid w:val="074155D6"/>
    <w:rsid w:val="074D6753"/>
    <w:rsid w:val="075258A9"/>
    <w:rsid w:val="075713E8"/>
    <w:rsid w:val="076C384E"/>
    <w:rsid w:val="077567D5"/>
    <w:rsid w:val="078218A9"/>
    <w:rsid w:val="07834944"/>
    <w:rsid w:val="078475F2"/>
    <w:rsid w:val="078B0666"/>
    <w:rsid w:val="07963322"/>
    <w:rsid w:val="07BD01C3"/>
    <w:rsid w:val="07BD4DD1"/>
    <w:rsid w:val="07D31B3F"/>
    <w:rsid w:val="07D84AF8"/>
    <w:rsid w:val="08010237"/>
    <w:rsid w:val="080B3E19"/>
    <w:rsid w:val="0811349E"/>
    <w:rsid w:val="08121A78"/>
    <w:rsid w:val="081F4806"/>
    <w:rsid w:val="08212655"/>
    <w:rsid w:val="08397BFF"/>
    <w:rsid w:val="08490850"/>
    <w:rsid w:val="08524CAF"/>
    <w:rsid w:val="085415DF"/>
    <w:rsid w:val="087C3B7A"/>
    <w:rsid w:val="087E2D69"/>
    <w:rsid w:val="087E432D"/>
    <w:rsid w:val="08873EAB"/>
    <w:rsid w:val="089116C8"/>
    <w:rsid w:val="08BA02CC"/>
    <w:rsid w:val="08BB68E7"/>
    <w:rsid w:val="08CE65E6"/>
    <w:rsid w:val="08D614C7"/>
    <w:rsid w:val="08E30A55"/>
    <w:rsid w:val="08FB7CC6"/>
    <w:rsid w:val="0926027A"/>
    <w:rsid w:val="094C1DDF"/>
    <w:rsid w:val="09646610"/>
    <w:rsid w:val="097621BE"/>
    <w:rsid w:val="09782E97"/>
    <w:rsid w:val="09955B90"/>
    <w:rsid w:val="0996643B"/>
    <w:rsid w:val="09A1593F"/>
    <w:rsid w:val="09A6309D"/>
    <w:rsid w:val="09BA02F2"/>
    <w:rsid w:val="09CA79E9"/>
    <w:rsid w:val="09DC115C"/>
    <w:rsid w:val="09DD512F"/>
    <w:rsid w:val="09F0493D"/>
    <w:rsid w:val="09F55CE3"/>
    <w:rsid w:val="0A014875"/>
    <w:rsid w:val="0A0F6BF1"/>
    <w:rsid w:val="0A1A3BD9"/>
    <w:rsid w:val="0A405D2D"/>
    <w:rsid w:val="0A5A6458"/>
    <w:rsid w:val="0A6F663E"/>
    <w:rsid w:val="0A7C58C9"/>
    <w:rsid w:val="0A8054FA"/>
    <w:rsid w:val="0A9831F7"/>
    <w:rsid w:val="0A9973FC"/>
    <w:rsid w:val="0ABE12B6"/>
    <w:rsid w:val="0AC241A3"/>
    <w:rsid w:val="0AD00FE0"/>
    <w:rsid w:val="0AE21508"/>
    <w:rsid w:val="0AE73FAC"/>
    <w:rsid w:val="0AE77507"/>
    <w:rsid w:val="0AEF47FB"/>
    <w:rsid w:val="0AF9564E"/>
    <w:rsid w:val="0AFD64FB"/>
    <w:rsid w:val="0B033309"/>
    <w:rsid w:val="0B07100B"/>
    <w:rsid w:val="0B1B6B69"/>
    <w:rsid w:val="0B1C2A5E"/>
    <w:rsid w:val="0B235BF3"/>
    <w:rsid w:val="0B3B14EB"/>
    <w:rsid w:val="0B4D0516"/>
    <w:rsid w:val="0B8D10E4"/>
    <w:rsid w:val="0B942855"/>
    <w:rsid w:val="0B981026"/>
    <w:rsid w:val="0B997C0B"/>
    <w:rsid w:val="0BB53F4D"/>
    <w:rsid w:val="0BBC08C3"/>
    <w:rsid w:val="0BBC755F"/>
    <w:rsid w:val="0BCF4CB4"/>
    <w:rsid w:val="0C0D3E59"/>
    <w:rsid w:val="0C3E6AC4"/>
    <w:rsid w:val="0C5E5EA1"/>
    <w:rsid w:val="0C620D79"/>
    <w:rsid w:val="0C6B59DB"/>
    <w:rsid w:val="0C7C3E7D"/>
    <w:rsid w:val="0C9A2D16"/>
    <w:rsid w:val="0C9E6B40"/>
    <w:rsid w:val="0CA61420"/>
    <w:rsid w:val="0CAC6AE8"/>
    <w:rsid w:val="0CC37BE2"/>
    <w:rsid w:val="0CC64DD0"/>
    <w:rsid w:val="0CDA0C1F"/>
    <w:rsid w:val="0CE2121D"/>
    <w:rsid w:val="0CE41B37"/>
    <w:rsid w:val="0CF4329D"/>
    <w:rsid w:val="0D0750CB"/>
    <w:rsid w:val="0D086F79"/>
    <w:rsid w:val="0D0B7061"/>
    <w:rsid w:val="0D2A2B39"/>
    <w:rsid w:val="0D4E351D"/>
    <w:rsid w:val="0D596AD5"/>
    <w:rsid w:val="0D6774D6"/>
    <w:rsid w:val="0D856B1B"/>
    <w:rsid w:val="0D8717DD"/>
    <w:rsid w:val="0D8D2290"/>
    <w:rsid w:val="0D962F24"/>
    <w:rsid w:val="0D9945DA"/>
    <w:rsid w:val="0D99769E"/>
    <w:rsid w:val="0DA07A20"/>
    <w:rsid w:val="0DA85075"/>
    <w:rsid w:val="0DD80D8A"/>
    <w:rsid w:val="0DE02318"/>
    <w:rsid w:val="0E007950"/>
    <w:rsid w:val="0E090B33"/>
    <w:rsid w:val="0E172A1B"/>
    <w:rsid w:val="0E1967C1"/>
    <w:rsid w:val="0E2F42D1"/>
    <w:rsid w:val="0E335405"/>
    <w:rsid w:val="0E3661BB"/>
    <w:rsid w:val="0E3B2EEC"/>
    <w:rsid w:val="0E4D3146"/>
    <w:rsid w:val="0E4F7EDC"/>
    <w:rsid w:val="0E6626F2"/>
    <w:rsid w:val="0E6813FF"/>
    <w:rsid w:val="0E6F5851"/>
    <w:rsid w:val="0E770F0B"/>
    <w:rsid w:val="0E9E438C"/>
    <w:rsid w:val="0EB52579"/>
    <w:rsid w:val="0EC04FFF"/>
    <w:rsid w:val="0ECB11B5"/>
    <w:rsid w:val="0ED22571"/>
    <w:rsid w:val="0ED7443F"/>
    <w:rsid w:val="0ED974C9"/>
    <w:rsid w:val="0EDB0F07"/>
    <w:rsid w:val="0EDF2B60"/>
    <w:rsid w:val="0EEB32B4"/>
    <w:rsid w:val="0EEE03B8"/>
    <w:rsid w:val="0EF512E5"/>
    <w:rsid w:val="0F167C07"/>
    <w:rsid w:val="0F2A62A0"/>
    <w:rsid w:val="0F501C07"/>
    <w:rsid w:val="0F507736"/>
    <w:rsid w:val="0F5751E3"/>
    <w:rsid w:val="0F583E24"/>
    <w:rsid w:val="0F5A58B2"/>
    <w:rsid w:val="0F7449C0"/>
    <w:rsid w:val="0F973E9F"/>
    <w:rsid w:val="0FA57FED"/>
    <w:rsid w:val="0FA77CA7"/>
    <w:rsid w:val="0FA82E1F"/>
    <w:rsid w:val="0FA96252"/>
    <w:rsid w:val="0FB03457"/>
    <w:rsid w:val="0FBC441C"/>
    <w:rsid w:val="0FC116A7"/>
    <w:rsid w:val="0FC95D8D"/>
    <w:rsid w:val="0FE576A4"/>
    <w:rsid w:val="0FEA2AA1"/>
    <w:rsid w:val="0FF225F5"/>
    <w:rsid w:val="0FF4498A"/>
    <w:rsid w:val="1012750F"/>
    <w:rsid w:val="1019649C"/>
    <w:rsid w:val="102E1942"/>
    <w:rsid w:val="103C0FFB"/>
    <w:rsid w:val="10404573"/>
    <w:rsid w:val="104352A2"/>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442249"/>
    <w:rsid w:val="11476285"/>
    <w:rsid w:val="114D3221"/>
    <w:rsid w:val="114E2729"/>
    <w:rsid w:val="114E7E07"/>
    <w:rsid w:val="1150132F"/>
    <w:rsid w:val="11792AEC"/>
    <w:rsid w:val="11CE7DFC"/>
    <w:rsid w:val="11D11A92"/>
    <w:rsid w:val="11E95CE2"/>
    <w:rsid w:val="11E96D3A"/>
    <w:rsid w:val="11EA4504"/>
    <w:rsid w:val="120129C4"/>
    <w:rsid w:val="120301D5"/>
    <w:rsid w:val="122649FF"/>
    <w:rsid w:val="123B2C78"/>
    <w:rsid w:val="124219E9"/>
    <w:rsid w:val="1256132F"/>
    <w:rsid w:val="125C1D1E"/>
    <w:rsid w:val="125D168B"/>
    <w:rsid w:val="126B3ACC"/>
    <w:rsid w:val="12713747"/>
    <w:rsid w:val="12720074"/>
    <w:rsid w:val="127B5B8A"/>
    <w:rsid w:val="127C7A7B"/>
    <w:rsid w:val="12815604"/>
    <w:rsid w:val="12861902"/>
    <w:rsid w:val="1297465C"/>
    <w:rsid w:val="129E3A93"/>
    <w:rsid w:val="12AB251F"/>
    <w:rsid w:val="12E37BC0"/>
    <w:rsid w:val="12F234F4"/>
    <w:rsid w:val="12F31760"/>
    <w:rsid w:val="12F70183"/>
    <w:rsid w:val="12F75240"/>
    <w:rsid w:val="13153B92"/>
    <w:rsid w:val="132F60FE"/>
    <w:rsid w:val="13410E38"/>
    <w:rsid w:val="134E6871"/>
    <w:rsid w:val="1363513D"/>
    <w:rsid w:val="136658C4"/>
    <w:rsid w:val="136B4814"/>
    <w:rsid w:val="1377104B"/>
    <w:rsid w:val="137E50DC"/>
    <w:rsid w:val="138F504A"/>
    <w:rsid w:val="13902017"/>
    <w:rsid w:val="139103F2"/>
    <w:rsid w:val="13A64BAD"/>
    <w:rsid w:val="13B13EB8"/>
    <w:rsid w:val="13B25516"/>
    <w:rsid w:val="13B34CC6"/>
    <w:rsid w:val="13BA0ACF"/>
    <w:rsid w:val="13CD17A6"/>
    <w:rsid w:val="13D705AF"/>
    <w:rsid w:val="13DA4BD2"/>
    <w:rsid w:val="13E75305"/>
    <w:rsid w:val="13F546AA"/>
    <w:rsid w:val="13F906A1"/>
    <w:rsid w:val="140C65BF"/>
    <w:rsid w:val="141410A4"/>
    <w:rsid w:val="14175C7D"/>
    <w:rsid w:val="141845CC"/>
    <w:rsid w:val="14272C54"/>
    <w:rsid w:val="14372245"/>
    <w:rsid w:val="143945FD"/>
    <w:rsid w:val="143B1B2A"/>
    <w:rsid w:val="1444263A"/>
    <w:rsid w:val="14497C26"/>
    <w:rsid w:val="144C1E1B"/>
    <w:rsid w:val="146A73ED"/>
    <w:rsid w:val="14744D84"/>
    <w:rsid w:val="1476244A"/>
    <w:rsid w:val="147D31D6"/>
    <w:rsid w:val="1487005D"/>
    <w:rsid w:val="148A1490"/>
    <w:rsid w:val="14970036"/>
    <w:rsid w:val="149C57CE"/>
    <w:rsid w:val="14A251C4"/>
    <w:rsid w:val="14AB5BA1"/>
    <w:rsid w:val="14AF4025"/>
    <w:rsid w:val="14D51C51"/>
    <w:rsid w:val="14E37F8F"/>
    <w:rsid w:val="14FB7612"/>
    <w:rsid w:val="15046A51"/>
    <w:rsid w:val="15431BD8"/>
    <w:rsid w:val="1544535D"/>
    <w:rsid w:val="15520C88"/>
    <w:rsid w:val="15531B38"/>
    <w:rsid w:val="155C65D2"/>
    <w:rsid w:val="156231BF"/>
    <w:rsid w:val="157442E0"/>
    <w:rsid w:val="15772110"/>
    <w:rsid w:val="157D04F6"/>
    <w:rsid w:val="158762D8"/>
    <w:rsid w:val="158A61CC"/>
    <w:rsid w:val="15AA5AE6"/>
    <w:rsid w:val="15AD53FA"/>
    <w:rsid w:val="15B863E2"/>
    <w:rsid w:val="15C17AA5"/>
    <w:rsid w:val="15C336BD"/>
    <w:rsid w:val="15CB45F5"/>
    <w:rsid w:val="15D00CD4"/>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161D"/>
    <w:rsid w:val="169822DD"/>
    <w:rsid w:val="16993D4F"/>
    <w:rsid w:val="16AC36D9"/>
    <w:rsid w:val="16BF72A7"/>
    <w:rsid w:val="16DF10FC"/>
    <w:rsid w:val="16E921F4"/>
    <w:rsid w:val="16EB36B3"/>
    <w:rsid w:val="16ED1D96"/>
    <w:rsid w:val="1708759E"/>
    <w:rsid w:val="170A75B6"/>
    <w:rsid w:val="1714786D"/>
    <w:rsid w:val="172743CE"/>
    <w:rsid w:val="173F77C4"/>
    <w:rsid w:val="174113AF"/>
    <w:rsid w:val="174803AD"/>
    <w:rsid w:val="17682F23"/>
    <w:rsid w:val="178017C5"/>
    <w:rsid w:val="17862DA8"/>
    <w:rsid w:val="178C35AF"/>
    <w:rsid w:val="17991B6E"/>
    <w:rsid w:val="17B02FF0"/>
    <w:rsid w:val="17B113C3"/>
    <w:rsid w:val="17B331B6"/>
    <w:rsid w:val="17CB4092"/>
    <w:rsid w:val="17D016D3"/>
    <w:rsid w:val="17D63E38"/>
    <w:rsid w:val="17EF3778"/>
    <w:rsid w:val="180E66C1"/>
    <w:rsid w:val="18256140"/>
    <w:rsid w:val="18274AC7"/>
    <w:rsid w:val="18294C2A"/>
    <w:rsid w:val="182D47C2"/>
    <w:rsid w:val="18363926"/>
    <w:rsid w:val="183752E1"/>
    <w:rsid w:val="18433E74"/>
    <w:rsid w:val="186D4C9B"/>
    <w:rsid w:val="187A0FF6"/>
    <w:rsid w:val="188651D5"/>
    <w:rsid w:val="189F70A8"/>
    <w:rsid w:val="18BB1E8F"/>
    <w:rsid w:val="18C37E50"/>
    <w:rsid w:val="18EA314B"/>
    <w:rsid w:val="18EB1198"/>
    <w:rsid w:val="18EB3D30"/>
    <w:rsid w:val="18F843A5"/>
    <w:rsid w:val="19075860"/>
    <w:rsid w:val="19124162"/>
    <w:rsid w:val="1931210B"/>
    <w:rsid w:val="193A692A"/>
    <w:rsid w:val="19424471"/>
    <w:rsid w:val="194B5E15"/>
    <w:rsid w:val="194C631E"/>
    <w:rsid w:val="195C72B3"/>
    <w:rsid w:val="1968709D"/>
    <w:rsid w:val="198056E5"/>
    <w:rsid w:val="198236EE"/>
    <w:rsid w:val="19862474"/>
    <w:rsid w:val="198854CF"/>
    <w:rsid w:val="198E5062"/>
    <w:rsid w:val="19BA593C"/>
    <w:rsid w:val="19C76609"/>
    <w:rsid w:val="19CB2001"/>
    <w:rsid w:val="19D83891"/>
    <w:rsid w:val="19DA4BAF"/>
    <w:rsid w:val="19DF6584"/>
    <w:rsid w:val="19F75513"/>
    <w:rsid w:val="19FE5F9F"/>
    <w:rsid w:val="1A106F9A"/>
    <w:rsid w:val="1A1E020D"/>
    <w:rsid w:val="1A233813"/>
    <w:rsid w:val="1A2D54E1"/>
    <w:rsid w:val="1A6B7E1C"/>
    <w:rsid w:val="1A725B2F"/>
    <w:rsid w:val="1A8A2B1B"/>
    <w:rsid w:val="1AAA4ADA"/>
    <w:rsid w:val="1AAD7C8B"/>
    <w:rsid w:val="1AB07BA3"/>
    <w:rsid w:val="1ADA7273"/>
    <w:rsid w:val="1AE63CDE"/>
    <w:rsid w:val="1AEE232C"/>
    <w:rsid w:val="1AF47D69"/>
    <w:rsid w:val="1B05081F"/>
    <w:rsid w:val="1B0C07E7"/>
    <w:rsid w:val="1B103B48"/>
    <w:rsid w:val="1B3215A8"/>
    <w:rsid w:val="1B363BB8"/>
    <w:rsid w:val="1B3D67C6"/>
    <w:rsid w:val="1B3E5015"/>
    <w:rsid w:val="1B41002B"/>
    <w:rsid w:val="1B4B4775"/>
    <w:rsid w:val="1B6E0CCB"/>
    <w:rsid w:val="1B72013B"/>
    <w:rsid w:val="1B7319FB"/>
    <w:rsid w:val="1B78453C"/>
    <w:rsid w:val="1B835053"/>
    <w:rsid w:val="1B895B5F"/>
    <w:rsid w:val="1B956B43"/>
    <w:rsid w:val="1B9C3B8A"/>
    <w:rsid w:val="1BBC1D6E"/>
    <w:rsid w:val="1BC001BE"/>
    <w:rsid w:val="1BC02796"/>
    <w:rsid w:val="1BCE25D1"/>
    <w:rsid w:val="1BD902FA"/>
    <w:rsid w:val="1BE549F6"/>
    <w:rsid w:val="1BE94888"/>
    <w:rsid w:val="1BEC3F86"/>
    <w:rsid w:val="1C253871"/>
    <w:rsid w:val="1C4B064F"/>
    <w:rsid w:val="1C6249AB"/>
    <w:rsid w:val="1C6B1C30"/>
    <w:rsid w:val="1CC0618E"/>
    <w:rsid w:val="1CC32179"/>
    <w:rsid w:val="1CDA24D0"/>
    <w:rsid w:val="1CEA0481"/>
    <w:rsid w:val="1CEF4CDC"/>
    <w:rsid w:val="1CF80043"/>
    <w:rsid w:val="1D0028D6"/>
    <w:rsid w:val="1D2A03E0"/>
    <w:rsid w:val="1D2C750D"/>
    <w:rsid w:val="1D305E01"/>
    <w:rsid w:val="1D3925B2"/>
    <w:rsid w:val="1D4072F6"/>
    <w:rsid w:val="1D5B00E9"/>
    <w:rsid w:val="1D720F42"/>
    <w:rsid w:val="1D7442DF"/>
    <w:rsid w:val="1D7C7E64"/>
    <w:rsid w:val="1D897F94"/>
    <w:rsid w:val="1D904EA6"/>
    <w:rsid w:val="1D9C3BA7"/>
    <w:rsid w:val="1DA03982"/>
    <w:rsid w:val="1DB117B6"/>
    <w:rsid w:val="1DC12E2D"/>
    <w:rsid w:val="1DC44009"/>
    <w:rsid w:val="1DCC1FD2"/>
    <w:rsid w:val="1DCD5344"/>
    <w:rsid w:val="1DD84FE2"/>
    <w:rsid w:val="1DD9314E"/>
    <w:rsid w:val="1DE514B9"/>
    <w:rsid w:val="1DE541A6"/>
    <w:rsid w:val="1E085D9B"/>
    <w:rsid w:val="1E10357E"/>
    <w:rsid w:val="1E13128E"/>
    <w:rsid w:val="1E1A5F3A"/>
    <w:rsid w:val="1E1B3F90"/>
    <w:rsid w:val="1E31391F"/>
    <w:rsid w:val="1E372513"/>
    <w:rsid w:val="1E45640A"/>
    <w:rsid w:val="1E590170"/>
    <w:rsid w:val="1E6A29D6"/>
    <w:rsid w:val="1E711D3D"/>
    <w:rsid w:val="1E7A7A7D"/>
    <w:rsid w:val="1EB44780"/>
    <w:rsid w:val="1EC36841"/>
    <w:rsid w:val="1EC74D10"/>
    <w:rsid w:val="1ED00F92"/>
    <w:rsid w:val="1ED560B1"/>
    <w:rsid w:val="1EDA73E1"/>
    <w:rsid w:val="1EEF4F9A"/>
    <w:rsid w:val="1F083EC3"/>
    <w:rsid w:val="1F091532"/>
    <w:rsid w:val="1F39229F"/>
    <w:rsid w:val="1F574973"/>
    <w:rsid w:val="1F7C6A96"/>
    <w:rsid w:val="1F9D5791"/>
    <w:rsid w:val="1F9E611E"/>
    <w:rsid w:val="1FB10B7E"/>
    <w:rsid w:val="1FB57903"/>
    <w:rsid w:val="1FC2047B"/>
    <w:rsid w:val="1FDA2BD1"/>
    <w:rsid w:val="1FDC172F"/>
    <w:rsid w:val="1FF33CDA"/>
    <w:rsid w:val="1FFB5863"/>
    <w:rsid w:val="1FFC257E"/>
    <w:rsid w:val="20095C49"/>
    <w:rsid w:val="20153B98"/>
    <w:rsid w:val="2024199B"/>
    <w:rsid w:val="20844FBF"/>
    <w:rsid w:val="20870B0E"/>
    <w:rsid w:val="20AE149D"/>
    <w:rsid w:val="20B45D5E"/>
    <w:rsid w:val="20B7137B"/>
    <w:rsid w:val="20D5415A"/>
    <w:rsid w:val="20DB381D"/>
    <w:rsid w:val="20E51521"/>
    <w:rsid w:val="20E62554"/>
    <w:rsid w:val="20E772E0"/>
    <w:rsid w:val="21014780"/>
    <w:rsid w:val="2108623C"/>
    <w:rsid w:val="210A7125"/>
    <w:rsid w:val="21165399"/>
    <w:rsid w:val="211F3838"/>
    <w:rsid w:val="213C1F4F"/>
    <w:rsid w:val="214370C8"/>
    <w:rsid w:val="214D5AC1"/>
    <w:rsid w:val="214E32E4"/>
    <w:rsid w:val="21577A83"/>
    <w:rsid w:val="215D4DDE"/>
    <w:rsid w:val="21610A7A"/>
    <w:rsid w:val="216B37D0"/>
    <w:rsid w:val="217164C2"/>
    <w:rsid w:val="217976A3"/>
    <w:rsid w:val="21854D0F"/>
    <w:rsid w:val="21B06DEE"/>
    <w:rsid w:val="21B827F2"/>
    <w:rsid w:val="21C46CEC"/>
    <w:rsid w:val="21D234BA"/>
    <w:rsid w:val="21D40159"/>
    <w:rsid w:val="21E9518C"/>
    <w:rsid w:val="22287787"/>
    <w:rsid w:val="22295968"/>
    <w:rsid w:val="2241166E"/>
    <w:rsid w:val="22495289"/>
    <w:rsid w:val="224A3975"/>
    <w:rsid w:val="2262123C"/>
    <w:rsid w:val="226405F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0468D5"/>
    <w:rsid w:val="231453D0"/>
    <w:rsid w:val="23160B35"/>
    <w:rsid w:val="231E6A95"/>
    <w:rsid w:val="231F0708"/>
    <w:rsid w:val="231F3121"/>
    <w:rsid w:val="23442187"/>
    <w:rsid w:val="2355113E"/>
    <w:rsid w:val="23561CF1"/>
    <w:rsid w:val="23677AC0"/>
    <w:rsid w:val="23771D9F"/>
    <w:rsid w:val="237B53EB"/>
    <w:rsid w:val="238064FD"/>
    <w:rsid w:val="23810C52"/>
    <w:rsid w:val="23903082"/>
    <w:rsid w:val="2391601A"/>
    <w:rsid w:val="239A4148"/>
    <w:rsid w:val="23A25530"/>
    <w:rsid w:val="23CD38EE"/>
    <w:rsid w:val="23DE5801"/>
    <w:rsid w:val="23F255AF"/>
    <w:rsid w:val="23F615E6"/>
    <w:rsid w:val="24052EB3"/>
    <w:rsid w:val="240A3D34"/>
    <w:rsid w:val="241234A7"/>
    <w:rsid w:val="241F0CB3"/>
    <w:rsid w:val="243162EE"/>
    <w:rsid w:val="24332838"/>
    <w:rsid w:val="24485949"/>
    <w:rsid w:val="244D4391"/>
    <w:rsid w:val="24710A0A"/>
    <w:rsid w:val="247A3095"/>
    <w:rsid w:val="247F7B7E"/>
    <w:rsid w:val="2487513F"/>
    <w:rsid w:val="24937AF5"/>
    <w:rsid w:val="24942F10"/>
    <w:rsid w:val="24965A1A"/>
    <w:rsid w:val="24AE3517"/>
    <w:rsid w:val="24B60F3A"/>
    <w:rsid w:val="24B95AB2"/>
    <w:rsid w:val="25024A59"/>
    <w:rsid w:val="250D78DC"/>
    <w:rsid w:val="25103F6B"/>
    <w:rsid w:val="25261969"/>
    <w:rsid w:val="252C2BB4"/>
    <w:rsid w:val="254E4CA3"/>
    <w:rsid w:val="255D7BED"/>
    <w:rsid w:val="25626910"/>
    <w:rsid w:val="25696BEC"/>
    <w:rsid w:val="257379EA"/>
    <w:rsid w:val="257F3DD2"/>
    <w:rsid w:val="25823AF8"/>
    <w:rsid w:val="258C4B91"/>
    <w:rsid w:val="258D58DB"/>
    <w:rsid w:val="259D7AF5"/>
    <w:rsid w:val="25A11A81"/>
    <w:rsid w:val="25A352DC"/>
    <w:rsid w:val="25BD613A"/>
    <w:rsid w:val="25E30E41"/>
    <w:rsid w:val="25E56A7A"/>
    <w:rsid w:val="25EE1A8D"/>
    <w:rsid w:val="25FD5076"/>
    <w:rsid w:val="260362D3"/>
    <w:rsid w:val="260531C3"/>
    <w:rsid w:val="260D5DE2"/>
    <w:rsid w:val="26103C4A"/>
    <w:rsid w:val="263B0ED9"/>
    <w:rsid w:val="26614252"/>
    <w:rsid w:val="266734AD"/>
    <w:rsid w:val="267079A3"/>
    <w:rsid w:val="26750E3C"/>
    <w:rsid w:val="267968DD"/>
    <w:rsid w:val="267A507D"/>
    <w:rsid w:val="2681167F"/>
    <w:rsid w:val="26974EBE"/>
    <w:rsid w:val="26A230F1"/>
    <w:rsid w:val="26A42E23"/>
    <w:rsid w:val="26AE7538"/>
    <w:rsid w:val="26BC1220"/>
    <w:rsid w:val="26C9354E"/>
    <w:rsid w:val="26E36D28"/>
    <w:rsid w:val="2701252A"/>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667E28"/>
    <w:rsid w:val="27845067"/>
    <w:rsid w:val="27906AFD"/>
    <w:rsid w:val="279573FC"/>
    <w:rsid w:val="279B6F30"/>
    <w:rsid w:val="27C83924"/>
    <w:rsid w:val="27D17719"/>
    <w:rsid w:val="27D22A70"/>
    <w:rsid w:val="27D75CDB"/>
    <w:rsid w:val="27DD3D8A"/>
    <w:rsid w:val="27F14FB6"/>
    <w:rsid w:val="27F17F52"/>
    <w:rsid w:val="27FC08D7"/>
    <w:rsid w:val="280005D9"/>
    <w:rsid w:val="28011091"/>
    <w:rsid w:val="280C219C"/>
    <w:rsid w:val="280E5E45"/>
    <w:rsid w:val="280F1C18"/>
    <w:rsid w:val="281B4F97"/>
    <w:rsid w:val="281C6476"/>
    <w:rsid w:val="28400D6D"/>
    <w:rsid w:val="28655342"/>
    <w:rsid w:val="287219E8"/>
    <w:rsid w:val="28852ECD"/>
    <w:rsid w:val="289A2570"/>
    <w:rsid w:val="28AA32D9"/>
    <w:rsid w:val="28B962B7"/>
    <w:rsid w:val="28BE47BE"/>
    <w:rsid w:val="28C43CBF"/>
    <w:rsid w:val="28CC3A27"/>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306A0"/>
    <w:rsid w:val="2A6A01CF"/>
    <w:rsid w:val="2A763C3F"/>
    <w:rsid w:val="2A78203F"/>
    <w:rsid w:val="2A812209"/>
    <w:rsid w:val="2A9161AE"/>
    <w:rsid w:val="2AA208EC"/>
    <w:rsid w:val="2AA9729F"/>
    <w:rsid w:val="2AC6783D"/>
    <w:rsid w:val="2ACA0522"/>
    <w:rsid w:val="2ADC4EDF"/>
    <w:rsid w:val="2AEC2DEC"/>
    <w:rsid w:val="2B0351AB"/>
    <w:rsid w:val="2B293278"/>
    <w:rsid w:val="2BC0015D"/>
    <w:rsid w:val="2BC33263"/>
    <w:rsid w:val="2BC55D1D"/>
    <w:rsid w:val="2BC602CD"/>
    <w:rsid w:val="2BD346BF"/>
    <w:rsid w:val="2BE27F4D"/>
    <w:rsid w:val="2C0A79D9"/>
    <w:rsid w:val="2C103E0B"/>
    <w:rsid w:val="2C1D0A52"/>
    <w:rsid w:val="2C406641"/>
    <w:rsid w:val="2C4E313C"/>
    <w:rsid w:val="2C501893"/>
    <w:rsid w:val="2C595DDD"/>
    <w:rsid w:val="2C6B7811"/>
    <w:rsid w:val="2C6C41B6"/>
    <w:rsid w:val="2C722DD2"/>
    <w:rsid w:val="2C8D48A3"/>
    <w:rsid w:val="2C8E2D71"/>
    <w:rsid w:val="2C906D72"/>
    <w:rsid w:val="2CA57250"/>
    <w:rsid w:val="2CAD6985"/>
    <w:rsid w:val="2CAE72C6"/>
    <w:rsid w:val="2CAF6E62"/>
    <w:rsid w:val="2CB32C76"/>
    <w:rsid w:val="2CB4229C"/>
    <w:rsid w:val="2CB92B18"/>
    <w:rsid w:val="2CBC0038"/>
    <w:rsid w:val="2CD262A2"/>
    <w:rsid w:val="2CE547A4"/>
    <w:rsid w:val="2CF7361C"/>
    <w:rsid w:val="2CFA7496"/>
    <w:rsid w:val="2CFF6EF7"/>
    <w:rsid w:val="2D0D5988"/>
    <w:rsid w:val="2D16157A"/>
    <w:rsid w:val="2D2C151F"/>
    <w:rsid w:val="2D2C1CEC"/>
    <w:rsid w:val="2D302CE5"/>
    <w:rsid w:val="2D3629D1"/>
    <w:rsid w:val="2D3D4090"/>
    <w:rsid w:val="2D4D04D3"/>
    <w:rsid w:val="2D760C43"/>
    <w:rsid w:val="2D7A3452"/>
    <w:rsid w:val="2DA53DE6"/>
    <w:rsid w:val="2DBE1E56"/>
    <w:rsid w:val="2DC710BF"/>
    <w:rsid w:val="2DF37F4C"/>
    <w:rsid w:val="2E06172C"/>
    <w:rsid w:val="2E162CEE"/>
    <w:rsid w:val="2E274498"/>
    <w:rsid w:val="2E2C6BEF"/>
    <w:rsid w:val="2E2D3233"/>
    <w:rsid w:val="2E8E0891"/>
    <w:rsid w:val="2E9750CF"/>
    <w:rsid w:val="2EA760C8"/>
    <w:rsid w:val="2EB840F8"/>
    <w:rsid w:val="2EBF18B7"/>
    <w:rsid w:val="2EC24D67"/>
    <w:rsid w:val="2ED66A2F"/>
    <w:rsid w:val="2EF14075"/>
    <w:rsid w:val="2EF34A61"/>
    <w:rsid w:val="2EF933C4"/>
    <w:rsid w:val="2F003836"/>
    <w:rsid w:val="2F1C2B33"/>
    <w:rsid w:val="2F1E33A2"/>
    <w:rsid w:val="2F4F2FBB"/>
    <w:rsid w:val="2F6616FB"/>
    <w:rsid w:val="2F6C68D2"/>
    <w:rsid w:val="2F70132B"/>
    <w:rsid w:val="2F7D7574"/>
    <w:rsid w:val="2F9B417A"/>
    <w:rsid w:val="2FAF6E10"/>
    <w:rsid w:val="2FC26088"/>
    <w:rsid w:val="2FD779F9"/>
    <w:rsid w:val="2FED4A2A"/>
    <w:rsid w:val="2FF93510"/>
    <w:rsid w:val="301C20C2"/>
    <w:rsid w:val="30245948"/>
    <w:rsid w:val="302C497D"/>
    <w:rsid w:val="302F78CB"/>
    <w:rsid w:val="3031468D"/>
    <w:rsid w:val="30362101"/>
    <w:rsid w:val="30396264"/>
    <w:rsid w:val="304609FF"/>
    <w:rsid w:val="304D4243"/>
    <w:rsid w:val="304F3F34"/>
    <w:rsid w:val="30500FC1"/>
    <w:rsid w:val="30721654"/>
    <w:rsid w:val="30724CBD"/>
    <w:rsid w:val="308530E8"/>
    <w:rsid w:val="309B676F"/>
    <w:rsid w:val="30B33417"/>
    <w:rsid w:val="30B75341"/>
    <w:rsid w:val="30B927A4"/>
    <w:rsid w:val="30C54725"/>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B20F7"/>
    <w:rsid w:val="31AC3F86"/>
    <w:rsid w:val="31B07155"/>
    <w:rsid w:val="31BA5FB3"/>
    <w:rsid w:val="31BB225F"/>
    <w:rsid w:val="31C00B70"/>
    <w:rsid w:val="31C04C8B"/>
    <w:rsid w:val="31D521C9"/>
    <w:rsid w:val="31E234A2"/>
    <w:rsid w:val="31F41846"/>
    <w:rsid w:val="320C1B00"/>
    <w:rsid w:val="322940DE"/>
    <w:rsid w:val="323C4A94"/>
    <w:rsid w:val="32480A64"/>
    <w:rsid w:val="324827C7"/>
    <w:rsid w:val="324F2948"/>
    <w:rsid w:val="324F7F9E"/>
    <w:rsid w:val="32581AE0"/>
    <w:rsid w:val="325B4AA4"/>
    <w:rsid w:val="32631746"/>
    <w:rsid w:val="3264364B"/>
    <w:rsid w:val="327E07FD"/>
    <w:rsid w:val="327F49C9"/>
    <w:rsid w:val="32820D11"/>
    <w:rsid w:val="32897A58"/>
    <w:rsid w:val="32A45645"/>
    <w:rsid w:val="32B91B04"/>
    <w:rsid w:val="32D91938"/>
    <w:rsid w:val="32F31F65"/>
    <w:rsid w:val="32F442F8"/>
    <w:rsid w:val="32F73034"/>
    <w:rsid w:val="33031CA3"/>
    <w:rsid w:val="33100032"/>
    <w:rsid w:val="33172F9D"/>
    <w:rsid w:val="33177552"/>
    <w:rsid w:val="331B1158"/>
    <w:rsid w:val="3324428B"/>
    <w:rsid w:val="334D4B72"/>
    <w:rsid w:val="335E5632"/>
    <w:rsid w:val="33667F60"/>
    <w:rsid w:val="337136E5"/>
    <w:rsid w:val="337D2FA4"/>
    <w:rsid w:val="33821D7D"/>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7D5F42"/>
    <w:rsid w:val="34910710"/>
    <w:rsid w:val="34B52C24"/>
    <w:rsid w:val="34B6472B"/>
    <w:rsid w:val="34C653E6"/>
    <w:rsid w:val="34CB09E3"/>
    <w:rsid w:val="34CE5BEE"/>
    <w:rsid w:val="34D57484"/>
    <w:rsid w:val="34EF1945"/>
    <w:rsid w:val="35016370"/>
    <w:rsid w:val="350A6DBB"/>
    <w:rsid w:val="353064DB"/>
    <w:rsid w:val="3538476B"/>
    <w:rsid w:val="35401164"/>
    <w:rsid w:val="35443611"/>
    <w:rsid w:val="35461E69"/>
    <w:rsid w:val="354C4CB9"/>
    <w:rsid w:val="35695C04"/>
    <w:rsid w:val="357C2E1A"/>
    <w:rsid w:val="357F7A06"/>
    <w:rsid w:val="35946B47"/>
    <w:rsid w:val="359F63EE"/>
    <w:rsid w:val="35D27572"/>
    <w:rsid w:val="35E85002"/>
    <w:rsid w:val="35F46FC2"/>
    <w:rsid w:val="360021C7"/>
    <w:rsid w:val="360151C5"/>
    <w:rsid w:val="36112DD8"/>
    <w:rsid w:val="363A4577"/>
    <w:rsid w:val="363A49EC"/>
    <w:rsid w:val="3640342D"/>
    <w:rsid w:val="36A16820"/>
    <w:rsid w:val="36A77B65"/>
    <w:rsid w:val="36B00264"/>
    <w:rsid w:val="36B07A45"/>
    <w:rsid w:val="36F43CD9"/>
    <w:rsid w:val="36F50FF0"/>
    <w:rsid w:val="370E6157"/>
    <w:rsid w:val="372D14D8"/>
    <w:rsid w:val="373418ED"/>
    <w:rsid w:val="37351E78"/>
    <w:rsid w:val="373E147E"/>
    <w:rsid w:val="37440291"/>
    <w:rsid w:val="37594CF8"/>
    <w:rsid w:val="37616FF2"/>
    <w:rsid w:val="37756351"/>
    <w:rsid w:val="37774365"/>
    <w:rsid w:val="378549D4"/>
    <w:rsid w:val="378A1189"/>
    <w:rsid w:val="379E19F4"/>
    <w:rsid w:val="37A503C1"/>
    <w:rsid w:val="37AB2367"/>
    <w:rsid w:val="37AE1114"/>
    <w:rsid w:val="37C74FB0"/>
    <w:rsid w:val="37DF38FD"/>
    <w:rsid w:val="37FA3778"/>
    <w:rsid w:val="3807791B"/>
    <w:rsid w:val="380F2703"/>
    <w:rsid w:val="38107A88"/>
    <w:rsid w:val="381941D9"/>
    <w:rsid w:val="38230347"/>
    <w:rsid w:val="38245841"/>
    <w:rsid w:val="382F21F6"/>
    <w:rsid w:val="3838592B"/>
    <w:rsid w:val="3841192C"/>
    <w:rsid w:val="384A4B92"/>
    <w:rsid w:val="385722CC"/>
    <w:rsid w:val="385873D9"/>
    <w:rsid w:val="38595DF5"/>
    <w:rsid w:val="38600975"/>
    <w:rsid w:val="386D69C1"/>
    <w:rsid w:val="387B354E"/>
    <w:rsid w:val="387C3895"/>
    <w:rsid w:val="388616BA"/>
    <w:rsid w:val="388A1154"/>
    <w:rsid w:val="3899137B"/>
    <w:rsid w:val="389978B1"/>
    <w:rsid w:val="38AB7213"/>
    <w:rsid w:val="38AE26B5"/>
    <w:rsid w:val="38BB74B3"/>
    <w:rsid w:val="38C026D8"/>
    <w:rsid w:val="38C212FE"/>
    <w:rsid w:val="38C93F0B"/>
    <w:rsid w:val="38CD585B"/>
    <w:rsid w:val="38F20527"/>
    <w:rsid w:val="38FD4BDC"/>
    <w:rsid w:val="391C30A1"/>
    <w:rsid w:val="391D4AA2"/>
    <w:rsid w:val="39314547"/>
    <w:rsid w:val="393343DF"/>
    <w:rsid w:val="39452871"/>
    <w:rsid w:val="39467EA2"/>
    <w:rsid w:val="39473146"/>
    <w:rsid w:val="3959196E"/>
    <w:rsid w:val="3960729B"/>
    <w:rsid w:val="39764C13"/>
    <w:rsid w:val="397D5852"/>
    <w:rsid w:val="397E3E8C"/>
    <w:rsid w:val="398205C3"/>
    <w:rsid w:val="399105D0"/>
    <w:rsid w:val="39950593"/>
    <w:rsid w:val="39A55ED8"/>
    <w:rsid w:val="39B62462"/>
    <w:rsid w:val="39BE0852"/>
    <w:rsid w:val="39C14BBD"/>
    <w:rsid w:val="39D92EFE"/>
    <w:rsid w:val="39DE4367"/>
    <w:rsid w:val="39E264FC"/>
    <w:rsid w:val="39E72493"/>
    <w:rsid w:val="39EC4F48"/>
    <w:rsid w:val="39F01169"/>
    <w:rsid w:val="39F31009"/>
    <w:rsid w:val="3A1B1537"/>
    <w:rsid w:val="3A283C67"/>
    <w:rsid w:val="3A3A68A8"/>
    <w:rsid w:val="3A3B2A87"/>
    <w:rsid w:val="3A41272A"/>
    <w:rsid w:val="3A551997"/>
    <w:rsid w:val="3A5B0712"/>
    <w:rsid w:val="3A5B2342"/>
    <w:rsid w:val="3A6A3CA7"/>
    <w:rsid w:val="3A6F37A7"/>
    <w:rsid w:val="3A732F0A"/>
    <w:rsid w:val="3A795124"/>
    <w:rsid w:val="3A7F32C6"/>
    <w:rsid w:val="3A8C69D8"/>
    <w:rsid w:val="3A9009FF"/>
    <w:rsid w:val="3A997359"/>
    <w:rsid w:val="3AA008D0"/>
    <w:rsid w:val="3AAD3EFA"/>
    <w:rsid w:val="3AAD5053"/>
    <w:rsid w:val="3AB72BEB"/>
    <w:rsid w:val="3ACE57AF"/>
    <w:rsid w:val="3AE47094"/>
    <w:rsid w:val="3B217D16"/>
    <w:rsid w:val="3B2C5CE6"/>
    <w:rsid w:val="3B301DF4"/>
    <w:rsid w:val="3B344C46"/>
    <w:rsid w:val="3B5B6B36"/>
    <w:rsid w:val="3B6B0742"/>
    <w:rsid w:val="3B713E35"/>
    <w:rsid w:val="3B843773"/>
    <w:rsid w:val="3B8E4649"/>
    <w:rsid w:val="3BE81CC8"/>
    <w:rsid w:val="3BF533F0"/>
    <w:rsid w:val="3BF63C17"/>
    <w:rsid w:val="3C0122B4"/>
    <w:rsid w:val="3C0B47C3"/>
    <w:rsid w:val="3C0F2E5C"/>
    <w:rsid w:val="3C2301CF"/>
    <w:rsid w:val="3C232E49"/>
    <w:rsid w:val="3C294808"/>
    <w:rsid w:val="3C4C6AAE"/>
    <w:rsid w:val="3C5A1F12"/>
    <w:rsid w:val="3C662EDF"/>
    <w:rsid w:val="3C6831A0"/>
    <w:rsid w:val="3C6D4187"/>
    <w:rsid w:val="3C980C8C"/>
    <w:rsid w:val="3C9B4D04"/>
    <w:rsid w:val="3CA72903"/>
    <w:rsid w:val="3CAE4F60"/>
    <w:rsid w:val="3CC9647F"/>
    <w:rsid w:val="3CDC2B0A"/>
    <w:rsid w:val="3CE14229"/>
    <w:rsid w:val="3CF96CA1"/>
    <w:rsid w:val="3D031DD8"/>
    <w:rsid w:val="3D092504"/>
    <w:rsid w:val="3D1B751F"/>
    <w:rsid w:val="3D1D3010"/>
    <w:rsid w:val="3D212D9D"/>
    <w:rsid w:val="3D2D4894"/>
    <w:rsid w:val="3D320965"/>
    <w:rsid w:val="3D3246B3"/>
    <w:rsid w:val="3D4B1114"/>
    <w:rsid w:val="3D4E790E"/>
    <w:rsid w:val="3D700D52"/>
    <w:rsid w:val="3D770A1E"/>
    <w:rsid w:val="3D78505A"/>
    <w:rsid w:val="3DA26D47"/>
    <w:rsid w:val="3DAD3632"/>
    <w:rsid w:val="3DB01E78"/>
    <w:rsid w:val="3DB24B0C"/>
    <w:rsid w:val="3DB270E9"/>
    <w:rsid w:val="3DBC092E"/>
    <w:rsid w:val="3DDD25C1"/>
    <w:rsid w:val="3DE9435F"/>
    <w:rsid w:val="3DF82797"/>
    <w:rsid w:val="3E053264"/>
    <w:rsid w:val="3E083B2C"/>
    <w:rsid w:val="3E0C40FA"/>
    <w:rsid w:val="3E1F0680"/>
    <w:rsid w:val="3E310817"/>
    <w:rsid w:val="3E326BFC"/>
    <w:rsid w:val="3E481A2D"/>
    <w:rsid w:val="3E4B0C50"/>
    <w:rsid w:val="3E5C4F6C"/>
    <w:rsid w:val="3E7660CC"/>
    <w:rsid w:val="3E7819B1"/>
    <w:rsid w:val="3E802B14"/>
    <w:rsid w:val="3EA7676B"/>
    <w:rsid w:val="3EAA6139"/>
    <w:rsid w:val="3EB021FA"/>
    <w:rsid w:val="3EC43DC1"/>
    <w:rsid w:val="3ED17795"/>
    <w:rsid w:val="3EE438DF"/>
    <w:rsid w:val="3EE651EF"/>
    <w:rsid w:val="3F000F93"/>
    <w:rsid w:val="3F042F23"/>
    <w:rsid w:val="3F0C13B6"/>
    <w:rsid w:val="3F0C45A4"/>
    <w:rsid w:val="3F40400F"/>
    <w:rsid w:val="3F407B38"/>
    <w:rsid w:val="3F6B3B01"/>
    <w:rsid w:val="3F9A7607"/>
    <w:rsid w:val="3F9D1772"/>
    <w:rsid w:val="3F9E338F"/>
    <w:rsid w:val="3FAB63AE"/>
    <w:rsid w:val="40033BCB"/>
    <w:rsid w:val="400B3D58"/>
    <w:rsid w:val="402166A4"/>
    <w:rsid w:val="402B17FD"/>
    <w:rsid w:val="4039779C"/>
    <w:rsid w:val="403F4AD6"/>
    <w:rsid w:val="40471F6D"/>
    <w:rsid w:val="4055421F"/>
    <w:rsid w:val="407F379A"/>
    <w:rsid w:val="4098721B"/>
    <w:rsid w:val="40A30CB7"/>
    <w:rsid w:val="40AC304B"/>
    <w:rsid w:val="410D50E4"/>
    <w:rsid w:val="410E3226"/>
    <w:rsid w:val="411E1F5F"/>
    <w:rsid w:val="41287C6E"/>
    <w:rsid w:val="412C6073"/>
    <w:rsid w:val="41335E35"/>
    <w:rsid w:val="41625ED3"/>
    <w:rsid w:val="416A5C1B"/>
    <w:rsid w:val="416F2BBE"/>
    <w:rsid w:val="417144B1"/>
    <w:rsid w:val="4189511A"/>
    <w:rsid w:val="419E2F2A"/>
    <w:rsid w:val="41A03E55"/>
    <w:rsid w:val="41B60441"/>
    <w:rsid w:val="41BC42BB"/>
    <w:rsid w:val="41C77ADF"/>
    <w:rsid w:val="41CB13D4"/>
    <w:rsid w:val="41D47FBA"/>
    <w:rsid w:val="41ED1B1E"/>
    <w:rsid w:val="4211574A"/>
    <w:rsid w:val="4216392F"/>
    <w:rsid w:val="421D7007"/>
    <w:rsid w:val="42264F86"/>
    <w:rsid w:val="423B58E6"/>
    <w:rsid w:val="425A401B"/>
    <w:rsid w:val="425B0051"/>
    <w:rsid w:val="42905AAA"/>
    <w:rsid w:val="429B3F8F"/>
    <w:rsid w:val="42C22E45"/>
    <w:rsid w:val="42CC0EFF"/>
    <w:rsid w:val="42CE6B71"/>
    <w:rsid w:val="42D71369"/>
    <w:rsid w:val="42DB7DEF"/>
    <w:rsid w:val="42DF0DF6"/>
    <w:rsid w:val="42E01D63"/>
    <w:rsid w:val="42E34D2A"/>
    <w:rsid w:val="42EA5C2A"/>
    <w:rsid w:val="42EB1A6F"/>
    <w:rsid w:val="42EB44C6"/>
    <w:rsid w:val="42F4186C"/>
    <w:rsid w:val="42F56A59"/>
    <w:rsid w:val="42F805B7"/>
    <w:rsid w:val="43017D07"/>
    <w:rsid w:val="43077EB0"/>
    <w:rsid w:val="4328593E"/>
    <w:rsid w:val="4346230B"/>
    <w:rsid w:val="43470790"/>
    <w:rsid w:val="43635240"/>
    <w:rsid w:val="436D72EA"/>
    <w:rsid w:val="43793D50"/>
    <w:rsid w:val="437B1757"/>
    <w:rsid w:val="43923707"/>
    <w:rsid w:val="43BB1045"/>
    <w:rsid w:val="43C91B45"/>
    <w:rsid w:val="43C96C82"/>
    <w:rsid w:val="43CC0A77"/>
    <w:rsid w:val="43CD568F"/>
    <w:rsid w:val="43F244DD"/>
    <w:rsid w:val="43F34F0A"/>
    <w:rsid w:val="43F67CAD"/>
    <w:rsid w:val="440962F5"/>
    <w:rsid w:val="44197675"/>
    <w:rsid w:val="44203A0D"/>
    <w:rsid w:val="442134A5"/>
    <w:rsid w:val="446B0DA7"/>
    <w:rsid w:val="44896E05"/>
    <w:rsid w:val="448D0722"/>
    <w:rsid w:val="449263B1"/>
    <w:rsid w:val="44A252E3"/>
    <w:rsid w:val="44CE05B1"/>
    <w:rsid w:val="44EC5492"/>
    <w:rsid w:val="44F5583F"/>
    <w:rsid w:val="44F642D5"/>
    <w:rsid w:val="45143E62"/>
    <w:rsid w:val="451963D2"/>
    <w:rsid w:val="453462E5"/>
    <w:rsid w:val="45357187"/>
    <w:rsid w:val="45472394"/>
    <w:rsid w:val="45724740"/>
    <w:rsid w:val="45776E42"/>
    <w:rsid w:val="457B07D4"/>
    <w:rsid w:val="4584601C"/>
    <w:rsid w:val="459201FE"/>
    <w:rsid w:val="45A17614"/>
    <w:rsid w:val="45A77792"/>
    <w:rsid w:val="45AC2C16"/>
    <w:rsid w:val="45B8521A"/>
    <w:rsid w:val="45CF386F"/>
    <w:rsid w:val="46056421"/>
    <w:rsid w:val="460C04D4"/>
    <w:rsid w:val="460E5C1F"/>
    <w:rsid w:val="46113C23"/>
    <w:rsid w:val="46215D1B"/>
    <w:rsid w:val="46501BFD"/>
    <w:rsid w:val="466331AA"/>
    <w:rsid w:val="466A1851"/>
    <w:rsid w:val="46787235"/>
    <w:rsid w:val="46885EC5"/>
    <w:rsid w:val="46887AEB"/>
    <w:rsid w:val="46951251"/>
    <w:rsid w:val="46A176A3"/>
    <w:rsid w:val="46A454F9"/>
    <w:rsid w:val="46B27462"/>
    <w:rsid w:val="46BC31AA"/>
    <w:rsid w:val="46C637F7"/>
    <w:rsid w:val="46C93A01"/>
    <w:rsid w:val="46D404E0"/>
    <w:rsid w:val="46D44364"/>
    <w:rsid w:val="46E2098A"/>
    <w:rsid w:val="46EA0B8E"/>
    <w:rsid w:val="46F31900"/>
    <w:rsid w:val="46F5741D"/>
    <w:rsid w:val="470803C0"/>
    <w:rsid w:val="471E5360"/>
    <w:rsid w:val="472B3E49"/>
    <w:rsid w:val="473105C2"/>
    <w:rsid w:val="47320C89"/>
    <w:rsid w:val="475F0E32"/>
    <w:rsid w:val="47692187"/>
    <w:rsid w:val="476F4169"/>
    <w:rsid w:val="476F45D2"/>
    <w:rsid w:val="4778041E"/>
    <w:rsid w:val="47890CE4"/>
    <w:rsid w:val="479E05BC"/>
    <w:rsid w:val="47AC6675"/>
    <w:rsid w:val="47B209AA"/>
    <w:rsid w:val="47B41CE4"/>
    <w:rsid w:val="47B47EEE"/>
    <w:rsid w:val="47BB12D0"/>
    <w:rsid w:val="47F77B0F"/>
    <w:rsid w:val="48071BA2"/>
    <w:rsid w:val="4810446B"/>
    <w:rsid w:val="48111F72"/>
    <w:rsid w:val="48231F9F"/>
    <w:rsid w:val="483D2593"/>
    <w:rsid w:val="48676FF8"/>
    <w:rsid w:val="486B7B90"/>
    <w:rsid w:val="487A64E1"/>
    <w:rsid w:val="487C7380"/>
    <w:rsid w:val="48842DA4"/>
    <w:rsid w:val="488525DC"/>
    <w:rsid w:val="488C3A69"/>
    <w:rsid w:val="488C7D67"/>
    <w:rsid w:val="488F6164"/>
    <w:rsid w:val="48997517"/>
    <w:rsid w:val="48A02163"/>
    <w:rsid w:val="48A67A6B"/>
    <w:rsid w:val="48AB7154"/>
    <w:rsid w:val="48B37A1C"/>
    <w:rsid w:val="48DB33FE"/>
    <w:rsid w:val="48E558E1"/>
    <w:rsid w:val="48E66A8B"/>
    <w:rsid w:val="48F33CDD"/>
    <w:rsid w:val="49230E35"/>
    <w:rsid w:val="492A0B4A"/>
    <w:rsid w:val="493E5FDF"/>
    <w:rsid w:val="493F3170"/>
    <w:rsid w:val="49486A0E"/>
    <w:rsid w:val="49495705"/>
    <w:rsid w:val="494B6EB7"/>
    <w:rsid w:val="495513EB"/>
    <w:rsid w:val="497A03CE"/>
    <w:rsid w:val="497A5C3A"/>
    <w:rsid w:val="49B74CC7"/>
    <w:rsid w:val="49C93046"/>
    <w:rsid w:val="49CB6EC3"/>
    <w:rsid w:val="49D2508E"/>
    <w:rsid w:val="49DF06B0"/>
    <w:rsid w:val="49E83ADC"/>
    <w:rsid w:val="4A086368"/>
    <w:rsid w:val="4A37247D"/>
    <w:rsid w:val="4A3856F6"/>
    <w:rsid w:val="4A5D1A04"/>
    <w:rsid w:val="4A5D7DAA"/>
    <w:rsid w:val="4A641C09"/>
    <w:rsid w:val="4A6A29D9"/>
    <w:rsid w:val="4A724ECC"/>
    <w:rsid w:val="4A987EF3"/>
    <w:rsid w:val="4A995123"/>
    <w:rsid w:val="4A9C57AF"/>
    <w:rsid w:val="4AA0090F"/>
    <w:rsid w:val="4AA210C1"/>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18355B"/>
    <w:rsid w:val="4C3342E0"/>
    <w:rsid w:val="4C416776"/>
    <w:rsid w:val="4C451933"/>
    <w:rsid w:val="4C522EDB"/>
    <w:rsid w:val="4C53587C"/>
    <w:rsid w:val="4C565D4A"/>
    <w:rsid w:val="4C662841"/>
    <w:rsid w:val="4C6E2B8E"/>
    <w:rsid w:val="4C6F48C3"/>
    <w:rsid w:val="4C7C3B09"/>
    <w:rsid w:val="4C8205AE"/>
    <w:rsid w:val="4C9E7FD4"/>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34050"/>
    <w:rsid w:val="4D4A5484"/>
    <w:rsid w:val="4D552535"/>
    <w:rsid w:val="4D73653A"/>
    <w:rsid w:val="4D8D7B77"/>
    <w:rsid w:val="4D9715DC"/>
    <w:rsid w:val="4D9F307A"/>
    <w:rsid w:val="4DB925D0"/>
    <w:rsid w:val="4DC45731"/>
    <w:rsid w:val="4DD17A54"/>
    <w:rsid w:val="4DE76A72"/>
    <w:rsid w:val="4DED7B7B"/>
    <w:rsid w:val="4DF0776C"/>
    <w:rsid w:val="4DFC6F40"/>
    <w:rsid w:val="4E1F151F"/>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66E5A"/>
    <w:rsid w:val="4E977205"/>
    <w:rsid w:val="4EB827B3"/>
    <w:rsid w:val="4EC90885"/>
    <w:rsid w:val="4ED3637B"/>
    <w:rsid w:val="4EE20D35"/>
    <w:rsid w:val="4EFC2AE7"/>
    <w:rsid w:val="4F0C05E8"/>
    <w:rsid w:val="4F1F345D"/>
    <w:rsid w:val="4F333B3B"/>
    <w:rsid w:val="4F622289"/>
    <w:rsid w:val="4F712C49"/>
    <w:rsid w:val="4F7B27D9"/>
    <w:rsid w:val="4F836C6B"/>
    <w:rsid w:val="4F87770B"/>
    <w:rsid w:val="4F90601D"/>
    <w:rsid w:val="4F9C7801"/>
    <w:rsid w:val="4FB82836"/>
    <w:rsid w:val="4FC56263"/>
    <w:rsid w:val="4FC9190E"/>
    <w:rsid w:val="4FD330DE"/>
    <w:rsid w:val="4FD82EBA"/>
    <w:rsid w:val="4FE0355B"/>
    <w:rsid w:val="4FE03B09"/>
    <w:rsid w:val="4FEA1DA8"/>
    <w:rsid w:val="4FED7E4A"/>
    <w:rsid w:val="5005319C"/>
    <w:rsid w:val="500F018A"/>
    <w:rsid w:val="500F0855"/>
    <w:rsid w:val="501248D5"/>
    <w:rsid w:val="50392091"/>
    <w:rsid w:val="50427DA2"/>
    <w:rsid w:val="504815B1"/>
    <w:rsid w:val="504E5BD3"/>
    <w:rsid w:val="505C1EA2"/>
    <w:rsid w:val="507C7ECF"/>
    <w:rsid w:val="508B6AC9"/>
    <w:rsid w:val="508B799F"/>
    <w:rsid w:val="50995FE1"/>
    <w:rsid w:val="50A57F20"/>
    <w:rsid w:val="50B62894"/>
    <w:rsid w:val="50B630A1"/>
    <w:rsid w:val="50B6395E"/>
    <w:rsid w:val="50B8297E"/>
    <w:rsid w:val="50DA59F5"/>
    <w:rsid w:val="50E25EDC"/>
    <w:rsid w:val="51070192"/>
    <w:rsid w:val="51221EB8"/>
    <w:rsid w:val="512A162D"/>
    <w:rsid w:val="513A5742"/>
    <w:rsid w:val="514F6C05"/>
    <w:rsid w:val="515A6CD7"/>
    <w:rsid w:val="516616C7"/>
    <w:rsid w:val="517109FA"/>
    <w:rsid w:val="51717A51"/>
    <w:rsid w:val="51781C23"/>
    <w:rsid w:val="519C32A5"/>
    <w:rsid w:val="51B035DC"/>
    <w:rsid w:val="51B404DB"/>
    <w:rsid w:val="51B410B6"/>
    <w:rsid w:val="51C66A25"/>
    <w:rsid w:val="51D54204"/>
    <w:rsid w:val="51EC12C8"/>
    <w:rsid w:val="51F31836"/>
    <w:rsid w:val="51F67C2A"/>
    <w:rsid w:val="52030077"/>
    <w:rsid w:val="521A7F24"/>
    <w:rsid w:val="52200C03"/>
    <w:rsid w:val="52246CE1"/>
    <w:rsid w:val="52302068"/>
    <w:rsid w:val="52363611"/>
    <w:rsid w:val="52445434"/>
    <w:rsid w:val="52485217"/>
    <w:rsid w:val="525E02D9"/>
    <w:rsid w:val="52626214"/>
    <w:rsid w:val="52650E7F"/>
    <w:rsid w:val="52651E63"/>
    <w:rsid w:val="528C5A97"/>
    <w:rsid w:val="52931EA1"/>
    <w:rsid w:val="52A33D9C"/>
    <w:rsid w:val="52A50F59"/>
    <w:rsid w:val="52B61BC0"/>
    <w:rsid w:val="52BA5D97"/>
    <w:rsid w:val="52C21A5F"/>
    <w:rsid w:val="52DD11F2"/>
    <w:rsid w:val="52F45961"/>
    <w:rsid w:val="53476E1B"/>
    <w:rsid w:val="536F7B71"/>
    <w:rsid w:val="53715C89"/>
    <w:rsid w:val="53767BA3"/>
    <w:rsid w:val="53844150"/>
    <w:rsid w:val="538E3101"/>
    <w:rsid w:val="53955515"/>
    <w:rsid w:val="53B0479A"/>
    <w:rsid w:val="53B25A85"/>
    <w:rsid w:val="53C85EEB"/>
    <w:rsid w:val="53D86CEE"/>
    <w:rsid w:val="53E006DD"/>
    <w:rsid w:val="53F83D51"/>
    <w:rsid w:val="542B3576"/>
    <w:rsid w:val="542E33A9"/>
    <w:rsid w:val="54370630"/>
    <w:rsid w:val="543A749F"/>
    <w:rsid w:val="543E0450"/>
    <w:rsid w:val="543F7DF3"/>
    <w:rsid w:val="546035E4"/>
    <w:rsid w:val="5468040B"/>
    <w:rsid w:val="54723980"/>
    <w:rsid w:val="547804C3"/>
    <w:rsid w:val="54874078"/>
    <w:rsid w:val="548C33FA"/>
    <w:rsid w:val="54967F9A"/>
    <w:rsid w:val="549B378E"/>
    <w:rsid w:val="549C1223"/>
    <w:rsid w:val="54A7060D"/>
    <w:rsid w:val="54B94A3F"/>
    <w:rsid w:val="54C932E2"/>
    <w:rsid w:val="54CB0AD8"/>
    <w:rsid w:val="54DC57FB"/>
    <w:rsid w:val="55063AA0"/>
    <w:rsid w:val="551B3C23"/>
    <w:rsid w:val="552B3541"/>
    <w:rsid w:val="55372F94"/>
    <w:rsid w:val="553A6E72"/>
    <w:rsid w:val="554C2981"/>
    <w:rsid w:val="555173B6"/>
    <w:rsid w:val="555C44A6"/>
    <w:rsid w:val="557A3593"/>
    <w:rsid w:val="557F05FE"/>
    <w:rsid w:val="55986395"/>
    <w:rsid w:val="559F4DDF"/>
    <w:rsid w:val="55B01C76"/>
    <w:rsid w:val="55BB3B99"/>
    <w:rsid w:val="55D56AB5"/>
    <w:rsid w:val="55ED6EBD"/>
    <w:rsid w:val="55F112D3"/>
    <w:rsid w:val="55F17802"/>
    <w:rsid w:val="560A3DED"/>
    <w:rsid w:val="561E74E0"/>
    <w:rsid w:val="563D63D6"/>
    <w:rsid w:val="565E25B5"/>
    <w:rsid w:val="5660004C"/>
    <w:rsid w:val="566019EA"/>
    <w:rsid w:val="566036F6"/>
    <w:rsid w:val="566912B5"/>
    <w:rsid w:val="5679751E"/>
    <w:rsid w:val="56C204B1"/>
    <w:rsid w:val="56DC07B3"/>
    <w:rsid w:val="56E124D0"/>
    <w:rsid w:val="56E70EE9"/>
    <w:rsid w:val="56F11C95"/>
    <w:rsid w:val="56F65FA4"/>
    <w:rsid w:val="57085A5F"/>
    <w:rsid w:val="5712294D"/>
    <w:rsid w:val="57203CE2"/>
    <w:rsid w:val="57245E6C"/>
    <w:rsid w:val="5729516E"/>
    <w:rsid w:val="574143BC"/>
    <w:rsid w:val="574A48FC"/>
    <w:rsid w:val="57516D3B"/>
    <w:rsid w:val="575B5170"/>
    <w:rsid w:val="576205A6"/>
    <w:rsid w:val="576B13D9"/>
    <w:rsid w:val="57716D4D"/>
    <w:rsid w:val="577F3A42"/>
    <w:rsid w:val="57957FA2"/>
    <w:rsid w:val="57A074AD"/>
    <w:rsid w:val="57A76B2E"/>
    <w:rsid w:val="57B80494"/>
    <w:rsid w:val="57CC2E79"/>
    <w:rsid w:val="57D54F13"/>
    <w:rsid w:val="57D868C5"/>
    <w:rsid w:val="57F2716B"/>
    <w:rsid w:val="57F31A73"/>
    <w:rsid w:val="580B6363"/>
    <w:rsid w:val="581500E7"/>
    <w:rsid w:val="581570D7"/>
    <w:rsid w:val="582B75FD"/>
    <w:rsid w:val="582C3328"/>
    <w:rsid w:val="58483122"/>
    <w:rsid w:val="584E60DA"/>
    <w:rsid w:val="58584D43"/>
    <w:rsid w:val="58585757"/>
    <w:rsid w:val="585F4ABD"/>
    <w:rsid w:val="586A54E0"/>
    <w:rsid w:val="58763C80"/>
    <w:rsid w:val="587A4F22"/>
    <w:rsid w:val="588D3903"/>
    <w:rsid w:val="58AD2A41"/>
    <w:rsid w:val="58CA22FD"/>
    <w:rsid w:val="58CB571C"/>
    <w:rsid w:val="58D671EC"/>
    <w:rsid w:val="58E16224"/>
    <w:rsid w:val="58FA36DF"/>
    <w:rsid w:val="590D0757"/>
    <w:rsid w:val="59185B23"/>
    <w:rsid w:val="591A0FF8"/>
    <w:rsid w:val="59224DFD"/>
    <w:rsid w:val="592F48C7"/>
    <w:rsid w:val="594413B6"/>
    <w:rsid w:val="5945092A"/>
    <w:rsid w:val="594E47FA"/>
    <w:rsid w:val="595D44CA"/>
    <w:rsid w:val="596229BA"/>
    <w:rsid w:val="5965407F"/>
    <w:rsid w:val="596A67EE"/>
    <w:rsid w:val="597B059B"/>
    <w:rsid w:val="598D2DC2"/>
    <w:rsid w:val="598E798D"/>
    <w:rsid w:val="59933A11"/>
    <w:rsid w:val="59B370DF"/>
    <w:rsid w:val="5A0B0F42"/>
    <w:rsid w:val="5A1B655D"/>
    <w:rsid w:val="5A405D38"/>
    <w:rsid w:val="5A423CC1"/>
    <w:rsid w:val="5A4F77F7"/>
    <w:rsid w:val="5A540A75"/>
    <w:rsid w:val="5A5F3C5F"/>
    <w:rsid w:val="5A645E19"/>
    <w:rsid w:val="5A6B4B3B"/>
    <w:rsid w:val="5A6E0946"/>
    <w:rsid w:val="5A74777A"/>
    <w:rsid w:val="5A960341"/>
    <w:rsid w:val="5AC1451D"/>
    <w:rsid w:val="5B1970BC"/>
    <w:rsid w:val="5B1B278B"/>
    <w:rsid w:val="5B356B4F"/>
    <w:rsid w:val="5B45668A"/>
    <w:rsid w:val="5B483D9D"/>
    <w:rsid w:val="5B4B4861"/>
    <w:rsid w:val="5B4F4307"/>
    <w:rsid w:val="5B514E4B"/>
    <w:rsid w:val="5B550F93"/>
    <w:rsid w:val="5B5540FC"/>
    <w:rsid w:val="5B5D5684"/>
    <w:rsid w:val="5B625BE5"/>
    <w:rsid w:val="5B743EDD"/>
    <w:rsid w:val="5B8C2470"/>
    <w:rsid w:val="5B96174C"/>
    <w:rsid w:val="5BA302A1"/>
    <w:rsid w:val="5BA86868"/>
    <w:rsid w:val="5BAE772A"/>
    <w:rsid w:val="5BAF03D2"/>
    <w:rsid w:val="5BB04AD9"/>
    <w:rsid w:val="5BC72BD2"/>
    <w:rsid w:val="5BD137D6"/>
    <w:rsid w:val="5BDC4156"/>
    <w:rsid w:val="5BDC75E5"/>
    <w:rsid w:val="5BDF75DB"/>
    <w:rsid w:val="5BE565AF"/>
    <w:rsid w:val="5BF52022"/>
    <w:rsid w:val="5BF81582"/>
    <w:rsid w:val="5BFA45DF"/>
    <w:rsid w:val="5C01463C"/>
    <w:rsid w:val="5C027076"/>
    <w:rsid w:val="5C170312"/>
    <w:rsid w:val="5C1A475E"/>
    <w:rsid w:val="5C1B112A"/>
    <w:rsid w:val="5C233D13"/>
    <w:rsid w:val="5C306CA5"/>
    <w:rsid w:val="5C3830AD"/>
    <w:rsid w:val="5C4252F8"/>
    <w:rsid w:val="5C4C407B"/>
    <w:rsid w:val="5C4F7F3B"/>
    <w:rsid w:val="5C9D156D"/>
    <w:rsid w:val="5CA049EF"/>
    <w:rsid w:val="5CA13735"/>
    <w:rsid w:val="5CA14451"/>
    <w:rsid w:val="5CAD02F5"/>
    <w:rsid w:val="5CB56D9E"/>
    <w:rsid w:val="5CDF305C"/>
    <w:rsid w:val="5CF30491"/>
    <w:rsid w:val="5CFA684E"/>
    <w:rsid w:val="5D2E1346"/>
    <w:rsid w:val="5D435AE7"/>
    <w:rsid w:val="5D4A1997"/>
    <w:rsid w:val="5D625B21"/>
    <w:rsid w:val="5D707DA0"/>
    <w:rsid w:val="5D74299B"/>
    <w:rsid w:val="5D7D7A3B"/>
    <w:rsid w:val="5D90700D"/>
    <w:rsid w:val="5DA50DB0"/>
    <w:rsid w:val="5DC90247"/>
    <w:rsid w:val="5DC95E97"/>
    <w:rsid w:val="5E0A377C"/>
    <w:rsid w:val="5E230525"/>
    <w:rsid w:val="5E2324B5"/>
    <w:rsid w:val="5E265D92"/>
    <w:rsid w:val="5E316D7C"/>
    <w:rsid w:val="5E3A62FF"/>
    <w:rsid w:val="5E3A7444"/>
    <w:rsid w:val="5E4C71CC"/>
    <w:rsid w:val="5E4E0212"/>
    <w:rsid w:val="5E4E5FEC"/>
    <w:rsid w:val="5E7A4C32"/>
    <w:rsid w:val="5E82190F"/>
    <w:rsid w:val="5E8B02E6"/>
    <w:rsid w:val="5EA47F79"/>
    <w:rsid w:val="5EA70C56"/>
    <w:rsid w:val="5EA7756C"/>
    <w:rsid w:val="5EAC7C32"/>
    <w:rsid w:val="5EB313FE"/>
    <w:rsid w:val="5EBC35F3"/>
    <w:rsid w:val="5EC42360"/>
    <w:rsid w:val="5ECA7640"/>
    <w:rsid w:val="5ED57C67"/>
    <w:rsid w:val="5EF24B7B"/>
    <w:rsid w:val="5EF34571"/>
    <w:rsid w:val="5EFD5FFE"/>
    <w:rsid w:val="5F0D086F"/>
    <w:rsid w:val="5F173A2B"/>
    <w:rsid w:val="5F243B32"/>
    <w:rsid w:val="5F25704F"/>
    <w:rsid w:val="5F2D64C4"/>
    <w:rsid w:val="5F302A42"/>
    <w:rsid w:val="5F601C30"/>
    <w:rsid w:val="5F676A86"/>
    <w:rsid w:val="5F816F30"/>
    <w:rsid w:val="5F95270F"/>
    <w:rsid w:val="5FBA092D"/>
    <w:rsid w:val="5FC35293"/>
    <w:rsid w:val="60033374"/>
    <w:rsid w:val="600D1887"/>
    <w:rsid w:val="601F39AC"/>
    <w:rsid w:val="602E7B13"/>
    <w:rsid w:val="60456E5A"/>
    <w:rsid w:val="60480474"/>
    <w:rsid w:val="60575BC9"/>
    <w:rsid w:val="605A2913"/>
    <w:rsid w:val="606611F8"/>
    <w:rsid w:val="606A0927"/>
    <w:rsid w:val="60750A5B"/>
    <w:rsid w:val="607522E4"/>
    <w:rsid w:val="607934F6"/>
    <w:rsid w:val="607A0CA4"/>
    <w:rsid w:val="607F0D85"/>
    <w:rsid w:val="608D6203"/>
    <w:rsid w:val="60A7237F"/>
    <w:rsid w:val="60C93A07"/>
    <w:rsid w:val="60CA3909"/>
    <w:rsid w:val="60D914F9"/>
    <w:rsid w:val="60DC420F"/>
    <w:rsid w:val="60E129A8"/>
    <w:rsid w:val="60EA42BB"/>
    <w:rsid w:val="60FC1D03"/>
    <w:rsid w:val="610048E8"/>
    <w:rsid w:val="610B17B3"/>
    <w:rsid w:val="610E045B"/>
    <w:rsid w:val="6130219C"/>
    <w:rsid w:val="613C0D89"/>
    <w:rsid w:val="61435A3E"/>
    <w:rsid w:val="6148513F"/>
    <w:rsid w:val="614900DA"/>
    <w:rsid w:val="614958AE"/>
    <w:rsid w:val="614B2C99"/>
    <w:rsid w:val="614E5F8D"/>
    <w:rsid w:val="61501332"/>
    <w:rsid w:val="61517704"/>
    <w:rsid w:val="61882D2D"/>
    <w:rsid w:val="619D4BBA"/>
    <w:rsid w:val="61A00D01"/>
    <w:rsid w:val="61B42B6D"/>
    <w:rsid w:val="61B6022C"/>
    <w:rsid w:val="61C54E24"/>
    <w:rsid w:val="61CB0398"/>
    <w:rsid w:val="61E77F11"/>
    <w:rsid w:val="61FA2D57"/>
    <w:rsid w:val="62035A21"/>
    <w:rsid w:val="62073131"/>
    <w:rsid w:val="620B5412"/>
    <w:rsid w:val="620F34E4"/>
    <w:rsid w:val="621D2C7D"/>
    <w:rsid w:val="622531CD"/>
    <w:rsid w:val="62304F98"/>
    <w:rsid w:val="624C7762"/>
    <w:rsid w:val="62622680"/>
    <w:rsid w:val="62651F9B"/>
    <w:rsid w:val="62785189"/>
    <w:rsid w:val="627C2E83"/>
    <w:rsid w:val="628561B1"/>
    <w:rsid w:val="62884D5E"/>
    <w:rsid w:val="62936A2E"/>
    <w:rsid w:val="62B16368"/>
    <w:rsid w:val="62B23C0C"/>
    <w:rsid w:val="62C76522"/>
    <w:rsid w:val="62CF5395"/>
    <w:rsid w:val="62DF451C"/>
    <w:rsid w:val="62E33D26"/>
    <w:rsid w:val="62E479F1"/>
    <w:rsid w:val="62E75E06"/>
    <w:rsid w:val="62E84015"/>
    <w:rsid w:val="62EE7FBB"/>
    <w:rsid w:val="630E3028"/>
    <w:rsid w:val="632743B5"/>
    <w:rsid w:val="632D111C"/>
    <w:rsid w:val="6337726C"/>
    <w:rsid w:val="633D728E"/>
    <w:rsid w:val="634D6422"/>
    <w:rsid w:val="63575E31"/>
    <w:rsid w:val="63590CEE"/>
    <w:rsid w:val="63593384"/>
    <w:rsid w:val="636A08A2"/>
    <w:rsid w:val="636B2783"/>
    <w:rsid w:val="63777684"/>
    <w:rsid w:val="639022D0"/>
    <w:rsid w:val="63D1144F"/>
    <w:rsid w:val="63DA603A"/>
    <w:rsid w:val="63E83945"/>
    <w:rsid w:val="64066321"/>
    <w:rsid w:val="640A6589"/>
    <w:rsid w:val="642F23C5"/>
    <w:rsid w:val="64427CA3"/>
    <w:rsid w:val="648C53B3"/>
    <w:rsid w:val="649E03FE"/>
    <w:rsid w:val="64A47D9C"/>
    <w:rsid w:val="64BE53A3"/>
    <w:rsid w:val="64D1763C"/>
    <w:rsid w:val="64DB4A0D"/>
    <w:rsid w:val="64F3490E"/>
    <w:rsid w:val="64F475D0"/>
    <w:rsid w:val="64FB09DF"/>
    <w:rsid w:val="6502028F"/>
    <w:rsid w:val="650A4E00"/>
    <w:rsid w:val="650C0EDE"/>
    <w:rsid w:val="65123550"/>
    <w:rsid w:val="6517300B"/>
    <w:rsid w:val="651960B3"/>
    <w:rsid w:val="65267D7D"/>
    <w:rsid w:val="654C0271"/>
    <w:rsid w:val="654D1FDF"/>
    <w:rsid w:val="657140B6"/>
    <w:rsid w:val="65743936"/>
    <w:rsid w:val="657630EF"/>
    <w:rsid w:val="657F249E"/>
    <w:rsid w:val="65AC593A"/>
    <w:rsid w:val="65B0610E"/>
    <w:rsid w:val="65DA6CA5"/>
    <w:rsid w:val="65DE07B2"/>
    <w:rsid w:val="65EC496C"/>
    <w:rsid w:val="65F1000E"/>
    <w:rsid w:val="660B002C"/>
    <w:rsid w:val="661638FC"/>
    <w:rsid w:val="66200283"/>
    <w:rsid w:val="663F542A"/>
    <w:rsid w:val="664C0DCF"/>
    <w:rsid w:val="66724724"/>
    <w:rsid w:val="66842EF1"/>
    <w:rsid w:val="66BB5299"/>
    <w:rsid w:val="66C759D2"/>
    <w:rsid w:val="66C8550E"/>
    <w:rsid w:val="66CD4FB4"/>
    <w:rsid w:val="66E35836"/>
    <w:rsid w:val="670747EC"/>
    <w:rsid w:val="672C00C7"/>
    <w:rsid w:val="67301B6F"/>
    <w:rsid w:val="6733350B"/>
    <w:rsid w:val="67493059"/>
    <w:rsid w:val="675672BB"/>
    <w:rsid w:val="675D6959"/>
    <w:rsid w:val="676E3F0B"/>
    <w:rsid w:val="676F738F"/>
    <w:rsid w:val="67722BEE"/>
    <w:rsid w:val="678A77BE"/>
    <w:rsid w:val="67907BF8"/>
    <w:rsid w:val="67A14CCC"/>
    <w:rsid w:val="67A84C8D"/>
    <w:rsid w:val="67AA4A48"/>
    <w:rsid w:val="67B0630D"/>
    <w:rsid w:val="67B853CF"/>
    <w:rsid w:val="67C83087"/>
    <w:rsid w:val="67DF74D4"/>
    <w:rsid w:val="67F37CEC"/>
    <w:rsid w:val="680F66F8"/>
    <w:rsid w:val="6816723B"/>
    <w:rsid w:val="6827226A"/>
    <w:rsid w:val="682C2940"/>
    <w:rsid w:val="683E75F2"/>
    <w:rsid w:val="68467ABC"/>
    <w:rsid w:val="6865718C"/>
    <w:rsid w:val="68680574"/>
    <w:rsid w:val="689602F4"/>
    <w:rsid w:val="68AC2936"/>
    <w:rsid w:val="68C15FD1"/>
    <w:rsid w:val="690C66BC"/>
    <w:rsid w:val="691122AE"/>
    <w:rsid w:val="695406E0"/>
    <w:rsid w:val="695A6274"/>
    <w:rsid w:val="697D5D48"/>
    <w:rsid w:val="697F2809"/>
    <w:rsid w:val="698F17E8"/>
    <w:rsid w:val="6991028E"/>
    <w:rsid w:val="699A1E01"/>
    <w:rsid w:val="69A52777"/>
    <w:rsid w:val="69C0298F"/>
    <w:rsid w:val="69CA4BCF"/>
    <w:rsid w:val="6A020F97"/>
    <w:rsid w:val="6A082292"/>
    <w:rsid w:val="6A13208F"/>
    <w:rsid w:val="6A227444"/>
    <w:rsid w:val="6A3D1A13"/>
    <w:rsid w:val="6A4673F3"/>
    <w:rsid w:val="6A472C58"/>
    <w:rsid w:val="6A502AF1"/>
    <w:rsid w:val="6A51156E"/>
    <w:rsid w:val="6A6F5DBB"/>
    <w:rsid w:val="6A9B7DD8"/>
    <w:rsid w:val="6AA46897"/>
    <w:rsid w:val="6AAA418C"/>
    <w:rsid w:val="6ABD3077"/>
    <w:rsid w:val="6AC54CFD"/>
    <w:rsid w:val="6AD505F2"/>
    <w:rsid w:val="6ADF1416"/>
    <w:rsid w:val="6AED38B0"/>
    <w:rsid w:val="6AF066C5"/>
    <w:rsid w:val="6B0D2E6C"/>
    <w:rsid w:val="6B1A18CC"/>
    <w:rsid w:val="6B1E47C4"/>
    <w:rsid w:val="6B3107E2"/>
    <w:rsid w:val="6B385F86"/>
    <w:rsid w:val="6B393D38"/>
    <w:rsid w:val="6B3C1ADE"/>
    <w:rsid w:val="6B420443"/>
    <w:rsid w:val="6B442E5D"/>
    <w:rsid w:val="6B497AC5"/>
    <w:rsid w:val="6B507B81"/>
    <w:rsid w:val="6B5E61DF"/>
    <w:rsid w:val="6B611003"/>
    <w:rsid w:val="6B6E6074"/>
    <w:rsid w:val="6B7A7584"/>
    <w:rsid w:val="6B905B10"/>
    <w:rsid w:val="6B9337AD"/>
    <w:rsid w:val="6B9D5759"/>
    <w:rsid w:val="6BBE7F33"/>
    <w:rsid w:val="6BBF2471"/>
    <w:rsid w:val="6BC3620B"/>
    <w:rsid w:val="6BDF7F28"/>
    <w:rsid w:val="6BE6057A"/>
    <w:rsid w:val="6C340198"/>
    <w:rsid w:val="6C34518E"/>
    <w:rsid w:val="6C3B455C"/>
    <w:rsid w:val="6C404726"/>
    <w:rsid w:val="6C465105"/>
    <w:rsid w:val="6C61108B"/>
    <w:rsid w:val="6C627E5D"/>
    <w:rsid w:val="6C6A7B7C"/>
    <w:rsid w:val="6C6B76E4"/>
    <w:rsid w:val="6CC130B0"/>
    <w:rsid w:val="6CE31E95"/>
    <w:rsid w:val="6CEA2506"/>
    <w:rsid w:val="6CFA02EB"/>
    <w:rsid w:val="6D0A2DFE"/>
    <w:rsid w:val="6D146220"/>
    <w:rsid w:val="6D2C4A4E"/>
    <w:rsid w:val="6D2D541D"/>
    <w:rsid w:val="6D2E3930"/>
    <w:rsid w:val="6D2F26CC"/>
    <w:rsid w:val="6D3839A0"/>
    <w:rsid w:val="6D5E05B4"/>
    <w:rsid w:val="6D6340C5"/>
    <w:rsid w:val="6D6D4857"/>
    <w:rsid w:val="6D8952C4"/>
    <w:rsid w:val="6D9466CD"/>
    <w:rsid w:val="6D984603"/>
    <w:rsid w:val="6D9A2ED9"/>
    <w:rsid w:val="6DAC05E0"/>
    <w:rsid w:val="6DAF0687"/>
    <w:rsid w:val="6DC3749A"/>
    <w:rsid w:val="6DCF0DA8"/>
    <w:rsid w:val="6DD06048"/>
    <w:rsid w:val="6DE2571C"/>
    <w:rsid w:val="6DE27B17"/>
    <w:rsid w:val="6DE32D68"/>
    <w:rsid w:val="6DE42F2A"/>
    <w:rsid w:val="6DE62102"/>
    <w:rsid w:val="6DE6550C"/>
    <w:rsid w:val="6DF12EF5"/>
    <w:rsid w:val="6DF403D5"/>
    <w:rsid w:val="6DF52370"/>
    <w:rsid w:val="6E054ED2"/>
    <w:rsid w:val="6E0F7187"/>
    <w:rsid w:val="6E3B7F3D"/>
    <w:rsid w:val="6E3F24E3"/>
    <w:rsid w:val="6E446567"/>
    <w:rsid w:val="6E4C231E"/>
    <w:rsid w:val="6E613DC6"/>
    <w:rsid w:val="6E674D77"/>
    <w:rsid w:val="6E6F5947"/>
    <w:rsid w:val="6E70561A"/>
    <w:rsid w:val="6E825173"/>
    <w:rsid w:val="6E935534"/>
    <w:rsid w:val="6E9B3CBB"/>
    <w:rsid w:val="6E9E245F"/>
    <w:rsid w:val="6EBB33FE"/>
    <w:rsid w:val="6ED23C2E"/>
    <w:rsid w:val="6EE07773"/>
    <w:rsid w:val="6EEA078C"/>
    <w:rsid w:val="6EF675F4"/>
    <w:rsid w:val="6EFF0393"/>
    <w:rsid w:val="6F224A9A"/>
    <w:rsid w:val="6F2D2520"/>
    <w:rsid w:val="6F3D7F1F"/>
    <w:rsid w:val="6F43582A"/>
    <w:rsid w:val="6F4E6A62"/>
    <w:rsid w:val="6F51727C"/>
    <w:rsid w:val="6F891938"/>
    <w:rsid w:val="6F93722C"/>
    <w:rsid w:val="6F99791C"/>
    <w:rsid w:val="6FD35B04"/>
    <w:rsid w:val="6FDE5BAB"/>
    <w:rsid w:val="6FF036DD"/>
    <w:rsid w:val="7001053D"/>
    <w:rsid w:val="702919CF"/>
    <w:rsid w:val="70321169"/>
    <w:rsid w:val="703F56BE"/>
    <w:rsid w:val="70461870"/>
    <w:rsid w:val="704E6BC7"/>
    <w:rsid w:val="70574C0E"/>
    <w:rsid w:val="7066163C"/>
    <w:rsid w:val="7075449A"/>
    <w:rsid w:val="70957F22"/>
    <w:rsid w:val="70A77AA7"/>
    <w:rsid w:val="70B42564"/>
    <w:rsid w:val="70BB629C"/>
    <w:rsid w:val="70C5515B"/>
    <w:rsid w:val="70CA434A"/>
    <w:rsid w:val="70D464A7"/>
    <w:rsid w:val="70D727DD"/>
    <w:rsid w:val="70DF51FC"/>
    <w:rsid w:val="70E15AF5"/>
    <w:rsid w:val="70EF0410"/>
    <w:rsid w:val="70F11914"/>
    <w:rsid w:val="70F62BCC"/>
    <w:rsid w:val="70F71484"/>
    <w:rsid w:val="70FF136C"/>
    <w:rsid w:val="710010D9"/>
    <w:rsid w:val="71013CFA"/>
    <w:rsid w:val="710D23FB"/>
    <w:rsid w:val="710D6FFB"/>
    <w:rsid w:val="710E1C9F"/>
    <w:rsid w:val="711112DF"/>
    <w:rsid w:val="711F132C"/>
    <w:rsid w:val="7134426B"/>
    <w:rsid w:val="714A7EE7"/>
    <w:rsid w:val="716A1FBB"/>
    <w:rsid w:val="716E32F1"/>
    <w:rsid w:val="718772EB"/>
    <w:rsid w:val="718D7630"/>
    <w:rsid w:val="71910A05"/>
    <w:rsid w:val="719879CA"/>
    <w:rsid w:val="71BF767B"/>
    <w:rsid w:val="71C84253"/>
    <w:rsid w:val="71CE63D4"/>
    <w:rsid w:val="71CE74DD"/>
    <w:rsid w:val="71D22D28"/>
    <w:rsid w:val="71D671D6"/>
    <w:rsid w:val="71E03E7D"/>
    <w:rsid w:val="71E12F48"/>
    <w:rsid w:val="71E44647"/>
    <w:rsid w:val="720B4476"/>
    <w:rsid w:val="72290171"/>
    <w:rsid w:val="722A607A"/>
    <w:rsid w:val="72330259"/>
    <w:rsid w:val="724F4046"/>
    <w:rsid w:val="72730BC3"/>
    <w:rsid w:val="72790A3E"/>
    <w:rsid w:val="729749D4"/>
    <w:rsid w:val="72AE0C4A"/>
    <w:rsid w:val="72B375A2"/>
    <w:rsid w:val="72C0586E"/>
    <w:rsid w:val="72D04FBB"/>
    <w:rsid w:val="72E44ABC"/>
    <w:rsid w:val="72F8181C"/>
    <w:rsid w:val="72FE0D2A"/>
    <w:rsid w:val="73163B23"/>
    <w:rsid w:val="731B3260"/>
    <w:rsid w:val="7334225F"/>
    <w:rsid w:val="73471F21"/>
    <w:rsid w:val="734D438E"/>
    <w:rsid w:val="734E4B79"/>
    <w:rsid w:val="735C1BCC"/>
    <w:rsid w:val="735C2A7D"/>
    <w:rsid w:val="736F5EC2"/>
    <w:rsid w:val="73761D4B"/>
    <w:rsid w:val="737C5956"/>
    <w:rsid w:val="7382006E"/>
    <w:rsid w:val="73845FEE"/>
    <w:rsid w:val="73A91A87"/>
    <w:rsid w:val="73B10B9E"/>
    <w:rsid w:val="73E349D9"/>
    <w:rsid w:val="73F36DD0"/>
    <w:rsid w:val="73FF0421"/>
    <w:rsid w:val="74105E85"/>
    <w:rsid w:val="74146B4F"/>
    <w:rsid w:val="74186CF5"/>
    <w:rsid w:val="74280B5A"/>
    <w:rsid w:val="742F0606"/>
    <w:rsid w:val="743E01B2"/>
    <w:rsid w:val="74492D05"/>
    <w:rsid w:val="745768E1"/>
    <w:rsid w:val="74611604"/>
    <w:rsid w:val="74616FA7"/>
    <w:rsid w:val="746B6C95"/>
    <w:rsid w:val="747B74C6"/>
    <w:rsid w:val="74A244E1"/>
    <w:rsid w:val="74A93E82"/>
    <w:rsid w:val="74BD73CE"/>
    <w:rsid w:val="74BF628F"/>
    <w:rsid w:val="74CF24EA"/>
    <w:rsid w:val="74DF64DD"/>
    <w:rsid w:val="75017DB1"/>
    <w:rsid w:val="75044D2B"/>
    <w:rsid w:val="751A26FA"/>
    <w:rsid w:val="751A6AA1"/>
    <w:rsid w:val="751B5142"/>
    <w:rsid w:val="7526066C"/>
    <w:rsid w:val="753A2E76"/>
    <w:rsid w:val="75437EB4"/>
    <w:rsid w:val="754E7664"/>
    <w:rsid w:val="75611536"/>
    <w:rsid w:val="757C338F"/>
    <w:rsid w:val="75906F35"/>
    <w:rsid w:val="75D07212"/>
    <w:rsid w:val="75DB58CF"/>
    <w:rsid w:val="75EA0514"/>
    <w:rsid w:val="75EE0A32"/>
    <w:rsid w:val="75F61D4B"/>
    <w:rsid w:val="760714CE"/>
    <w:rsid w:val="76191871"/>
    <w:rsid w:val="76235D28"/>
    <w:rsid w:val="76290E42"/>
    <w:rsid w:val="763C49A2"/>
    <w:rsid w:val="764B4E40"/>
    <w:rsid w:val="76553137"/>
    <w:rsid w:val="76692A30"/>
    <w:rsid w:val="767E55CF"/>
    <w:rsid w:val="768D7E18"/>
    <w:rsid w:val="76913910"/>
    <w:rsid w:val="7692221F"/>
    <w:rsid w:val="76944F51"/>
    <w:rsid w:val="76951C2D"/>
    <w:rsid w:val="76976122"/>
    <w:rsid w:val="769B4F81"/>
    <w:rsid w:val="76A50F7A"/>
    <w:rsid w:val="76B64AD8"/>
    <w:rsid w:val="76C14FEB"/>
    <w:rsid w:val="76E621C3"/>
    <w:rsid w:val="76F81151"/>
    <w:rsid w:val="76FD13E4"/>
    <w:rsid w:val="77395144"/>
    <w:rsid w:val="77417882"/>
    <w:rsid w:val="77616036"/>
    <w:rsid w:val="776C52DC"/>
    <w:rsid w:val="778E761C"/>
    <w:rsid w:val="77916499"/>
    <w:rsid w:val="77A96C0F"/>
    <w:rsid w:val="77AB3782"/>
    <w:rsid w:val="77C16D8A"/>
    <w:rsid w:val="77D31D57"/>
    <w:rsid w:val="77D53B7E"/>
    <w:rsid w:val="77E0692E"/>
    <w:rsid w:val="77F07BA5"/>
    <w:rsid w:val="77F35B67"/>
    <w:rsid w:val="7806547C"/>
    <w:rsid w:val="78080864"/>
    <w:rsid w:val="780A05C0"/>
    <w:rsid w:val="78276BEA"/>
    <w:rsid w:val="78337AD6"/>
    <w:rsid w:val="783A2BBF"/>
    <w:rsid w:val="784B4388"/>
    <w:rsid w:val="78840773"/>
    <w:rsid w:val="788A5245"/>
    <w:rsid w:val="78990D40"/>
    <w:rsid w:val="78B47DF0"/>
    <w:rsid w:val="78BD7CCE"/>
    <w:rsid w:val="78BF75CB"/>
    <w:rsid w:val="78C01776"/>
    <w:rsid w:val="78C0654C"/>
    <w:rsid w:val="78C748FE"/>
    <w:rsid w:val="78CD1AB1"/>
    <w:rsid w:val="78CF03ED"/>
    <w:rsid w:val="78D808F3"/>
    <w:rsid w:val="78D9272A"/>
    <w:rsid w:val="78E63BF6"/>
    <w:rsid w:val="78F61FAE"/>
    <w:rsid w:val="78FF12E8"/>
    <w:rsid w:val="791548EA"/>
    <w:rsid w:val="791B1828"/>
    <w:rsid w:val="792A6FFF"/>
    <w:rsid w:val="792B2AD0"/>
    <w:rsid w:val="79330898"/>
    <w:rsid w:val="79362295"/>
    <w:rsid w:val="7946391D"/>
    <w:rsid w:val="796D406D"/>
    <w:rsid w:val="79717EC3"/>
    <w:rsid w:val="79760722"/>
    <w:rsid w:val="79A15A0C"/>
    <w:rsid w:val="79A278DB"/>
    <w:rsid w:val="79A32C7B"/>
    <w:rsid w:val="79A41C89"/>
    <w:rsid w:val="79A51A9C"/>
    <w:rsid w:val="79A81FAE"/>
    <w:rsid w:val="79AA64F8"/>
    <w:rsid w:val="79AC0891"/>
    <w:rsid w:val="79AC45E0"/>
    <w:rsid w:val="79AC4D82"/>
    <w:rsid w:val="79D336E1"/>
    <w:rsid w:val="79D9115C"/>
    <w:rsid w:val="79E97912"/>
    <w:rsid w:val="79FB0742"/>
    <w:rsid w:val="7A0213AE"/>
    <w:rsid w:val="7A0B0004"/>
    <w:rsid w:val="7A172839"/>
    <w:rsid w:val="7A306A90"/>
    <w:rsid w:val="7A630BC9"/>
    <w:rsid w:val="7A8909C8"/>
    <w:rsid w:val="7A890A65"/>
    <w:rsid w:val="7A8F26A7"/>
    <w:rsid w:val="7A925C99"/>
    <w:rsid w:val="7A9961D7"/>
    <w:rsid w:val="7A9C34D6"/>
    <w:rsid w:val="7AAC76B9"/>
    <w:rsid w:val="7ABF51CD"/>
    <w:rsid w:val="7AD63E87"/>
    <w:rsid w:val="7AE12202"/>
    <w:rsid w:val="7AF172B8"/>
    <w:rsid w:val="7B022F10"/>
    <w:rsid w:val="7B0D2F9A"/>
    <w:rsid w:val="7B234D31"/>
    <w:rsid w:val="7B3B125D"/>
    <w:rsid w:val="7B3F013E"/>
    <w:rsid w:val="7B43183F"/>
    <w:rsid w:val="7B590B76"/>
    <w:rsid w:val="7B5D451C"/>
    <w:rsid w:val="7B6139F0"/>
    <w:rsid w:val="7B873792"/>
    <w:rsid w:val="7B8B23D4"/>
    <w:rsid w:val="7B8B5F71"/>
    <w:rsid w:val="7BA75729"/>
    <w:rsid w:val="7BAD2CDB"/>
    <w:rsid w:val="7BB14D15"/>
    <w:rsid w:val="7BD9713D"/>
    <w:rsid w:val="7BFB2649"/>
    <w:rsid w:val="7C02600A"/>
    <w:rsid w:val="7C153412"/>
    <w:rsid w:val="7C195509"/>
    <w:rsid w:val="7C400E30"/>
    <w:rsid w:val="7C511DFE"/>
    <w:rsid w:val="7C561F9F"/>
    <w:rsid w:val="7C593EAE"/>
    <w:rsid w:val="7C8860C7"/>
    <w:rsid w:val="7C902283"/>
    <w:rsid w:val="7CB50CEE"/>
    <w:rsid w:val="7CBE0892"/>
    <w:rsid w:val="7CD97BC1"/>
    <w:rsid w:val="7CE55FBE"/>
    <w:rsid w:val="7CE80B33"/>
    <w:rsid w:val="7CF60453"/>
    <w:rsid w:val="7D102D16"/>
    <w:rsid w:val="7D134E44"/>
    <w:rsid w:val="7D171DDD"/>
    <w:rsid w:val="7D2A2F5A"/>
    <w:rsid w:val="7D3F16EC"/>
    <w:rsid w:val="7D4679B5"/>
    <w:rsid w:val="7D5167D6"/>
    <w:rsid w:val="7D5E31AA"/>
    <w:rsid w:val="7D611DF2"/>
    <w:rsid w:val="7D6502C0"/>
    <w:rsid w:val="7D7C35F3"/>
    <w:rsid w:val="7D8B55FE"/>
    <w:rsid w:val="7D8D4931"/>
    <w:rsid w:val="7D996693"/>
    <w:rsid w:val="7DAB1DCD"/>
    <w:rsid w:val="7DC3440A"/>
    <w:rsid w:val="7DDA027D"/>
    <w:rsid w:val="7DDC349F"/>
    <w:rsid w:val="7DE201AC"/>
    <w:rsid w:val="7DE46520"/>
    <w:rsid w:val="7DF65060"/>
    <w:rsid w:val="7E0702D8"/>
    <w:rsid w:val="7E1A1248"/>
    <w:rsid w:val="7E312E27"/>
    <w:rsid w:val="7E3E621B"/>
    <w:rsid w:val="7E4013C8"/>
    <w:rsid w:val="7E417660"/>
    <w:rsid w:val="7E611873"/>
    <w:rsid w:val="7E65055E"/>
    <w:rsid w:val="7E6C7A13"/>
    <w:rsid w:val="7E6E3F80"/>
    <w:rsid w:val="7E722E15"/>
    <w:rsid w:val="7E83663A"/>
    <w:rsid w:val="7E846634"/>
    <w:rsid w:val="7E8D2601"/>
    <w:rsid w:val="7EB31AB8"/>
    <w:rsid w:val="7EBB77C0"/>
    <w:rsid w:val="7EBC71FA"/>
    <w:rsid w:val="7ECB3119"/>
    <w:rsid w:val="7ED118F1"/>
    <w:rsid w:val="7ED3266C"/>
    <w:rsid w:val="7EE80BF5"/>
    <w:rsid w:val="7EEA70CD"/>
    <w:rsid w:val="7EEE218F"/>
    <w:rsid w:val="7EEE6B7F"/>
    <w:rsid w:val="7EF4144E"/>
    <w:rsid w:val="7EF71EEB"/>
    <w:rsid w:val="7EF7261F"/>
    <w:rsid w:val="7F15145C"/>
    <w:rsid w:val="7F18573F"/>
    <w:rsid w:val="7F3A7824"/>
    <w:rsid w:val="7F4360B6"/>
    <w:rsid w:val="7F46795F"/>
    <w:rsid w:val="7F4D7148"/>
    <w:rsid w:val="7F577569"/>
    <w:rsid w:val="7F5C35AF"/>
    <w:rsid w:val="7F627193"/>
    <w:rsid w:val="7FBC7702"/>
    <w:rsid w:val="7FC2761A"/>
    <w:rsid w:val="7FDB6025"/>
    <w:rsid w:val="7FDC6B6B"/>
    <w:rsid w:val="7FDE3199"/>
    <w:rsid w:val="7FE626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0"/>
    <w:link w:val="64"/>
    <w:qFormat/>
    <w:uiPriority w:val="99"/>
    <w:pPr>
      <w:keepNext/>
      <w:keepLines/>
      <w:spacing w:beforeAutospacing="1" w:afterAutospacing="1" w:line="360" w:lineRule="auto"/>
      <w:ind w:left="1296" w:hanging="1296"/>
      <w:outlineLvl w:val="6"/>
    </w:pPr>
    <w:rPr>
      <w:b/>
      <w:kern w:val="0"/>
      <w:sz w:val="24"/>
      <w:szCs w:val="20"/>
    </w:rPr>
  </w:style>
  <w:style w:type="paragraph" w:styleId="11">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Char"/>
    <w:link w:val="3"/>
    <w:qFormat/>
    <w:locked/>
    <w:uiPriority w:val="99"/>
    <w:rPr>
      <w:rFonts w:eastAsia="宋体" w:cs="Times New Roman"/>
      <w:b/>
      <w:kern w:val="44"/>
      <w:sz w:val="44"/>
      <w:lang w:val="en-US" w:eastAsia="zh-CN"/>
    </w:rPr>
  </w:style>
  <w:style w:type="character" w:customStyle="1" w:styleId="59">
    <w:name w:val="标题 2 Char"/>
    <w:link w:val="4"/>
    <w:qFormat/>
    <w:locked/>
    <w:uiPriority w:val="99"/>
    <w:rPr>
      <w:rFonts w:ascii="Cambria" w:hAnsi="Cambria" w:eastAsia="宋体" w:cs="Times New Roman"/>
      <w:b/>
      <w:sz w:val="32"/>
    </w:rPr>
  </w:style>
  <w:style w:type="character" w:customStyle="1" w:styleId="60">
    <w:name w:val="标题 3 Char"/>
    <w:link w:val="5"/>
    <w:qFormat/>
    <w:locked/>
    <w:uiPriority w:val="99"/>
    <w:rPr>
      <w:rFonts w:cs="Times New Roman"/>
      <w:b/>
      <w:sz w:val="32"/>
    </w:rPr>
  </w:style>
  <w:style w:type="character" w:customStyle="1" w:styleId="61">
    <w:name w:val="标题 4 Char"/>
    <w:link w:val="6"/>
    <w:qFormat/>
    <w:locked/>
    <w:uiPriority w:val="99"/>
    <w:rPr>
      <w:rFonts w:ascii="Cambria" w:hAnsi="Cambria" w:eastAsia="宋体" w:cs="Times New Roman"/>
      <w:b/>
      <w:sz w:val="28"/>
    </w:rPr>
  </w:style>
  <w:style w:type="character" w:customStyle="1" w:styleId="62">
    <w:name w:val="标题 5 Char"/>
    <w:link w:val="7"/>
    <w:qFormat/>
    <w:locked/>
    <w:uiPriority w:val="99"/>
    <w:rPr>
      <w:rFonts w:cs="Times New Roman"/>
      <w:b/>
      <w:sz w:val="28"/>
    </w:rPr>
  </w:style>
  <w:style w:type="character" w:customStyle="1" w:styleId="63">
    <w:name w:val="标题 6 Char"/>
    <w:link w:val="8"/>
    <w:qFormat/>
    <w:locked/>
    <w:uiPriority w:val="99"/>
    <w:rPr>
      <w:rFonts w:ascii="Cambria" w:hAnsi="Cambria" w:eastAsia="宋体" w:cs="Times New Roman"/>
      <w:b/>
      <w:sz w:val="24"/>
    </w:rPr>
  </w:style>
  <w:style w:type="character" w:customStyle="1" w:styleId="64">
    <w:name w:val="标题 7 Char"/>
    <w:link w:val="9"/>
    <w:qFormat/>
    <w:locked/>
    <w:uiPriority w:val="99"/>
    <w:rPr>
      <w:rFonts w:cs="Times New Roman"/>
      <w:b/>
      <w:sz w:val="24"/>
    </w:rPr>
  </w:style>
  <w:style w:type="character" w:customStyle="1" w:styleId="65">
    <w:name w:val="标题 8 Char"/>
    <w:link w:val="11"/>
    <w:qFormat/>
    <w:locked/>
    <w:uiPriority w:val="99"/>
    <w:rPr>
      <w:rFonts w:ascii="Cambria" w:hAnsi="Cambria" w:eastAsia="宋体" w:cs="Times New Roman"/>
      <w:sz w:val="24"/>
    </w:rPr>
  </w:style>
  <w:style w:type="character" w:customStyle="1" w:styleId="66">
    <w:name w:val="标题 9 Char"/>
    <w:link w:val="12"/>
    <w:qFormat/>
    <w:locked/>
    <w:uiPriority w:val="99"/>
    <w:rPr>
      <w:rFonts w:ascii="Cambria" w:hAnsi="Cambria" w:eastAsia="宋体" w:cs="Times New Roman"/>
      <w:sz w:val="21"/>
    </w:rPr>
  </w:style>
  <w:style w:type="character" w:customStyle="1" w:styleId="67">
    <w:name w:val="批注文字 Char"/>
    <w:link w:val="18"/>
    <w:qFormat/>
    <w:locked/>
    <w:uiPriority w:val="99"/>
    <w:rPr>
      <w:rFonts w:cs="Times New Roman"/>
      <w:sz w:val="24"/>
    </w:rPr>
  </w:style>
  <w:style w:type="character" w:customStyle="1" w:styleId="68">
    <w:name w:val="批注主题 Char"/>
    <w:link w:val="48"/>
    <w:qFormat/>
    <w:locked/>
    <w:uiPriority w:val="99"/>
    <w:rPr>
      <w:rFonts w:cs="Times New Roman"/>
      <w:b/>
      <w:sz w:val="24"/>
    </w:rPr>
  </w:style>
  <w:style w:type="character" w:customStyle="1" w:styleId="69">
    <w:name w:val="文档结构图 Char"/>
    <w:link w:val="17"/>
    <w:qFormat/>
    <w:locked/>
    <w:uiPriority w:val="99"/>
    <w:rPr>
      <w:rFonts w:cs="Times New Roman"/>
      <w:sz w:val="2"/>
    </w:rPr>
  </w:style>
  <w:style w:type="character" w:customStyle="1" w:styleId="70">
    <w:name w:val="正文文本 3 Char"/>
    <w:link w:val="19"/>
    <w:qFormat/>
    <w:locked/>
    <w:uiPriority w:val="99"/>
    <w:rPr>
      <w:rFonts w:cs="Times New Roman"/>
      <w:sz w:val="16"/>
    </w:rPr>
  </w:style>
  <w:style w:type="character" w:customStyle="1" w:styleId="71">
    <w:name w:val="正文文本 Char"/>
    <w:link w:val="2"/>
    <w:qFormat/>
    <w:locked/>
    <w:uiPriority w:val="99"/>
    <w:rPr>
      <w:rFonts w:eastAsia="宋体" w:cs="Times New Roman"/>
      <w:kern w:val="2"/>
      <w:sz w:val="24"/>
      <w:lang w:val="en-US" w:eastAsia="zh-CN"/>
    </w:rPr>
  </w:style>
  <w:style w:type="character" w:customStyle="1" w:styleId="72">
    <w:name w:val="正文文本缩进 Char"/>
    <w:link w:val="20"/>
    <w:qFormat/>
    <w:locked/>
    <w:uiPriority w:val="99"/>
    <w:rPr>
      <w:rFonts w:cs="Times New Roman"/>
      <w:sz w:val="24"/>
    </w:rPr>
  </w:style>
  <w:style w:type="character" w:customStyle="1" w:styleId="73">
    <w:name w:val="HTML 地址 Char"/>
    <w:link w:val="23"/>
    <w:qFormat/>
    <w:locked/>
    <w:uiPriority w:val="99"/>
    <w:rPr>
      <w:rFonts w:cs="Times New Roman"/>
      <w:i/>
      <w:sz w:val="24"/>
    </w:rPr>
  </w:style>
  <w:style w:type="character" w:customStyle="1" w:styleId="74">
    <w:name w:val="纯文本 Char"/>
    <w:link w:val="26"/>
    <w:qFormat/>
    <w:locked/>
    <w:uiPriority w:val="99"/>
    <w:rPr>
      <w:rFonts w:ascii="宋体" w:hAnsi="Courier New" w:eastAsia="宋体" w:cs="Times New Roman"/>
      <w:kern w:val="2"/>
      <w:sz w:val="21"/>
      <w:lang w:val="en-US" w:eastAsia="zh-CN"/>
    </w:rPr>
  </w:style>
  <w:style w:type="character" w:customStyle="1" w:styleId="75">
    <w:name w:val="日期 Char"/>
    <w:link w:val="28"/>
    <w:qFormat/>
    <w:locked/>
    <w:uiPriority w:val="99"/>
    <w:rPr>
      <w:rFonts w:cs="Times New Roman"/>
      <w:sz w:val="24"/>
    </w:rPr>
  </w:style>
  <w:style w:type="character" w:customStyle="1" w:styleId="76">
    <w:name w:val="正文文本缩进 2 Char"/>
    <w:link w:val="29"/>
    <w:qFormat/>
    <w:locked/>
    <w:uiPriority w:val="99"/>
    <w:rPr>
      <w:rFonts w:cs="Times New Roman"/>
      <w:sz w:val="24"/>
    </w:rPr>
  </w:style>
  <w:style w:type="character" w:customStyle="1" w:styleId="77">
    <w:name w:val="批注框文本 Char"/>
    <w:link w:val="30"/>
    <w:qFormat/>
    <w:locked/>
    <w:uiPriority w:val="99"/>
    <w:rPr>
      <w:rFonts w:cs="Times New Roman"/>
      <w:sz w:val="2"/>
    </w:rPr>
  </w:style>
  <w:style w:type="character" w:customStyle="1" w:styleId="78">
    <w:name w:val="页脚 Char"/>
    <w:link w:val="31"/>
    <w:qFormat/>
    <w:locked/>
    <w:uiPriority w:val="99"/>
    <w:rPr>
      <w:rFonts w:eastAsia="宋体" w:cs="Times New Roman"/>
      <w:kern w:val="2"/>
      <w:sz w:val="18"/>
      <w:lang w:val="en-US" w:eastAsia="zh-CN"/>
    </w:rPr>
  </w:style>
  <w:style w:type="character" w:customStyle="1" w:styleId="79">
    <w:name w:val="页眉 Char"/>
    <w:link w:val="32"/>
    <w:qFormat/>
    <w:locked/>
    <w:uiPriority w:val="99"/>
    <w:rPr>
      <w:rFonts w:eastAsia="宋体" w:cs="Times New Roman"/>
      <w:kern w:val="2"/>
      <w:sz w:val="18"/>
      <w:lang w:val="en-US" w:eastAsia="zh-CN"/>
    </w:rPr>
  </w:style>
  <w:style w:type="character" w:customStyle="1" w:styleId="80">
    <w:name w:val="签名 Char"/>
    <w:link w:val="33"/>
    <w:qFormat/>
    <w:locked/>
    <w:uiPriority w:val="99"/>
    <w:rPr>
      <w:rFonts w:cs="Times New Roman"/>
      <w:sz w:val="24"/>
    </w:rPr>
  </w:style>
  <w:style w:type="character" w:customStyle="1" w:styleId="81">
    <w:name w:val="正文文本缩进 3 Char"/>
    <w:link w:val="40"/>
    <w:qFormat/>
    <w:locked/>
    <w:uiPriority w:val="99"/>
    <w:rPr>
      <w:rFonts w:cs="Times New Roman"/>
      <w:sz w:val="16"/>
    </w:rPr>
  </w:style>
  <w:style w:type="character" w:customStyle="1" w:styleId="82">
    <w:name w:val="正文文本 2 Char"/>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bidi="ar-SA"/>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 w:type="paragraph" w:customStyle="1" w:styleId="133">
    <w:name w:val="_Style 1"/>
    <w:basedOn w:val="1"/>
    <w:qFormat/>
    <w:uiPriority w:val="34"/>
    <w:pPr>
      <w:ind w:firstLine="420" w:firstLineChars="200"/>
    </w:pPr>
  </w:style>
  <w:style w:type="character" w:customStyle="1" w:styleId="134">
    <w:name w:val="font21"/>
    <w:basedOn w:val="51"/>
    <w:qFormat/>
    <w:uiPriority w:val="0"/>
    <w:rPr>
      <w:rFonts w:hint="eastAsia" w:ascii="宋体" w:hAnsi="宋体" w:eastAsia="宋体" w:cs="宋体"/>
      <w:color w:val="000000"/>
      <w:sz w:val="24"/>
      <w:szCs w:val="24"/>
      <w:u w:val="none"/>
    </w:rPr>
  </w:style>
  <w:style w:type="paragraph" w:customStyle="1" w:styleId="135">
    <w:name w:val="Table Paragraph"/>
    <w:basedOn w:val="1"/>
    <w:qFormat/>
    <w:uiPriority w:val="1"/>
    <w:rPr>
      <w:rFonts w:ascii="仿宋" w:hAnsi="仿宋" w:eastAsia="仿宋" w:cs="仿宋"/>
      <w:lang w:val="zh-CN" w:bidi="zh-CN"/>
    </w:rPr>
  </w:style>
  <w:style w:type="paragraph" w:customStyle="1" w:styleId="136">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60</Pages>
  <Words>5152</Words>
  <Characters>29367</Characters>
  <Lines>244</Lines>
  <Paragraphs>68</Paragraphs>
  <TotalTime>9</TotalTime>
  <ScaleCrop>false</ScaleCrop>
  <LinksUpToDate>false</LinksUpToDate>
  <CharactersWithSpaces>34451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2020-03-10T07:24:00Z</cp:lastPrinted>
  <dcterms:modified xsi:type="dcterms:W3CDTF">2020-03-13T07:09:23Z</dcterms:modified>
  <dc:title>招标文件目录</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