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Lines="150" w:afterLines="119" w:line="440" w:lineRule="exact"/>
        <w:ind w:left="307" w:leftChars="-100" w:hanging="517" w:hangingChars="47"/>
        <w:jc w:val="left"/>
        <w:rPr>
          <w:rFonts w:ascii="仿宋_GB2312" w:hAnsi="宋体" w:eastAsia="仿宋_GB2312"/>
          <w:b w:val="0"/>
          <w:bCs/>
          <w:sz w:val="48"/>
          <w:szCs w:val="48"/>
          <w:highlight w:val="none"/>
        </w:rPr>
      </w:pPr>
      <w:r>
        <w:rPr>
          <w:rFonts w:ascii="微软雅黑" w:hAnsi="微软雅黑" w:eastAsia="微软雅黑" w:cs="微软雅黑"/>
          <w:color w:val="000000"/>
          <w:highlight w:val="none"/>
        </w:rPr>
        <w:pict>
          <v:shape id="_x0000_i1025" o:spt="75" type="#_x0000_t75" style="height:34.5pt;width:87.75pt;" filled="f" o:preferrelative="t" stroked="f" coordsize="21600,21600">
            <v:path/>
            <v:fill on="f" focussize="0,0"/>
            <v:stroke on="f" joinstyle="miter"/>
            <v:imagedata r:id="rId10" o:title=""/>
            <o:lock v:ext="edit" aspectratio="t"/>
            <w10:wrap type="none"/>
            <w10:anchorlock/>
          </v:shape>
        </w:pict>
      </w:r>
    </w:p>
    <w:p>
      <w:pPr>
        <w:jc w:val="center"/>
        <w:rPr>
          <w:rFonts w:hint="eastAsia" w:ascii="宋体" w:hAnsi="宋体" w:cs="宋体"/>
          <w:b/>
          <w:bCs/>
          <w:sz w:val="48"/>
          <w:szCs w:val="48"/>
          <w:highlight w:val="none"/>
        </w:rPr>
      </w:pPr>
    </w:p>
    <w:p>
      <w:pPr>
        <w:jc w:val="center"/>
        <w:rPr>
          <w:rFonts w:hint="eastAsia" w:ascii="宋体" w:hAnsi="宋体" w:cs="宋体"/>
          <w:b/>
          <w:bCs/>
          <w:sz w:val="48"/>
          <w:szCs w:val="48"/>
          <w:highlight w:val="none"/>
        </w:rPr>
      </w:pPr>
    </w:p>
    <w:p>
      <w:pPr>
        <w:jc w:val="center"/>
        <w:rPr>
          <w:rFonts w:hint="eastAsia" w:ascii="宋体" w:hAnsi="宋体" w:cs="宋体"/>
          <w:b/>
          <w:bCs/>
          <w:sz w:val="48"/>
          <w:szCs w:val="48"/>
          <w:highlight w:val="none"/>
          <w:lang w:eastAsia="zh-CN"/>
        </w:rPr>
      </w:pPr>
      <w:r>
        <w:rPr>
          <w:rFonts w:hint="eastAsia" w:ascii="宋体" w:hAnsi="宋体" w:cs="宋体"/>
          <w:b/>
          <w:bCs/>
          <w:sz w:val="48"/>
          <w:szCs w:val="48"/>
          <w:highlight w:val="none"/>
        </w:rPr>
        <w:t>山东大学第二医院</w:t>
      </w:r>
      <w:r>
        <w:rPr>
          <w:rFonts w:hint="eastAsia" w:ascii="宋体" w:hAnsi="宋体" w:cs="宋体"/>
          <w:b/>
          <w:bCs/>
          <w:sz w:val="48"/>
          <w:szCs w:val="48"/>
          <w:highlight w:val="none"/>
          <w:lang w:eastAsia="zh-CN"/>
        </w:rPr>
        <w:t>护士鞋采购项目</w:t>
      </w:r>
    </w:p>
    <w:p>
      <w:pPr>
        <w:jc w:val="center"/>
        <w:rPr>
          <w:rFonts w:ascii="仿宋_GB2312" w:hAnsi="宋体" w:eastAsia="仿宋_GB2312"/>
          <w:b/>
          <w:bCs/>
          <w:highlight w:val="none"/>
        </w:rPr>
      </w:pPr>
    </w:p>
    <w:p>
      <w:pPr>
        <w:jc w:val="center"/>
        <w:rPr>
          <w:rFonts w:ascii="仿宋_GB2312" w:hAnsi="宋体" w:eastAsia="仿宋_GB2312"/>
          <w:b/>
          <w:bCs/>
          <w:highlight w:val="none"/>
        </w:rPr>
      </w:pPr>
    </w:p>
    <w:p>
      <w:pPr>
        <w:jc w:val="center"/>
        <w:rPr>
          <w:rFonts w:ascii="仿宋_GB2312" w:hAnsi="宋体" w:eastAsia="仿宋_GB2312"/>
          <w:b/>
          <w:bCs/>
          <w:highlight w:val="none"/>
        </w:rPr>
      </w:pPr>
    </w:p>
    <w:p>
      <w:pPr>
        <w:jc w:val="center"/>
        <w:rPr>
          <w:rFonts w:ascii="仿宋_GB2312" w:hAnsi="宋体" w:eastAsia="仿宋_GB2312"/>
          <w:b/>
          <w:bCs/>
          <w:highlight w:val="none"/>
        </w:rPr>
      </w:pPr>
    </w:p>
    <w:p>
      <w:pPr>
        <w:jc w:val="center"/>
        <w:rPr>
          <w:rFonts w:ascii="仿宋_GB2312" w:hAnsi="宋体" w:eastAsia="仿宋_GB2312"/>
          <w:b/>
          <w:bCs/>
          <w:highlight w:val="none"/>
        </w:rPr>
      </w:pPr>
    </w:p>
    <w:p>
      <w:pPr>
        <w:jc w:val="center"/>
        <w:rPr>
          <w:rFonts w:ascii="仿宋_GB2312" w:hAnsi="宋体" w:eastAsia="仿宋_GB2312"/>
          <w:b/>
          <w:bCs/>
          <w:highlight w:val="none"/>
        </w:rPr>
      </w:pPr>
    </w:p>
    <w:p>
      <w:pPr>
        <w:jc w:val="center"/>
        <w:rPr>
          <w:rFonts w:ascii="仿宋_GB2312" w:hAnsi="宋体" w:eastAsia="仿宋_GB2312"/>
          <w:b/>
          <w:bCs/>
          <w:highlight w:val="none"/>
        </w:rPr>
      </w:pPr>
    </w:p>
    <w:p>
      <w:pPr>
        <w:jc w:val="center"/>
        <w:rPr>
          <w:rFonts w:ascii="仿宋_GB2312" w:hAnsi="宋体" w:eastAsia="仿宋_GB2312"/>
          <w:b/>
          <w:bCs/>
          <w:highlight w:val="none"/>
        </w:rPr>
      </w:pPr>
    </w:p>
    <w:p>
      <w:pPr>
        <w:jc w:val="center"/>
        <w:rPr>
          <w:rFonts w:ascii="仿宋_GB2312" w:hAnsi="宋体" w:eastAsia="仿宋_GB2312"/>
          <w:b/>
          <w:bCs/>
          <w:highlight w:val="none"/>
        </w:rPr>
      </w:pPr>
    </w:p>
    <w:p>
      <w:pPr>
        <w:jc w:val="center"/>
        <w:rPr>
          <w:rFonts w:ascii="宋体" w:cs="宋体"/>
          <w:b/>
          <w:color w:val="000000"/>
          <w:spacing w:val="20"/>
          <w:kern w:val="0"/>
          <w:sz w:val="72"/>
          <w:szCs w:val="72"/>
          <w:highlight w:val="none"/>
        </w:rPr>
      </w:pPr>
      <w:r>
        <w:rPr>
          <w:rFonts w:hint="eastAsia" w:ascii="黑体" w:hAnsi="黑体" w:eastAsia="黑体" w:cs="黑体"/>
          <w:b/>
          <w:bCs/>
          <w:color w:val="000000"/>
          <w:spacing w:val="20"/>
          <w:sz w:val="90"/>
          <w:szCs w:val="90"/>
          <w:highlight w:val="none"/>
        </w:rPr>
        <w:t>竞争性磋商文件</w:t>
      </w:r>
    </w:p>
    <w:p>
      <w:pPr>
        <w:spacing w:line="360" w:lineRule="auto"/>
        <w:jc w:val="center"/>
        <w:rPr>
          <w:rFonts w:ascii="仿宋_GB2312" w:hAnsi="宋体" w:eastAsia="仿宋_GB2312"/>
          <w:b/>
          <w:kern w:val="0"/>
          <w:sz w:val="32"/>
          <w:szCs w:val="32"/>
          <w:highlight w:val="none"/>
        </w:rPr>
      </w:pPr>
    </w:p>
    <w:p>
      <w:pPr>
        <w:spacing w:line="360" w:lineRule="auto"/>
        <w:rPr>
          <w:rFonts w:hint="eastAsia" w:ascii="宋体" w:hAnsi="宋体" w:eastAsia="宋体" w:cs="宋体"/>
          <w:b/>
          <w:kern w:val="0"/>
          <w:sz w:val="32"/>
          <w:szCs w:val="32"/>
          <w:highlight w:val="none"/>
          <w:lang w:val="en-US" w:eastAsia="zh-CN"/>
        </w:rPr>
      </w:pPr>
      <w:r>
        <w:rPr>
          <w:rFonts w:ascii="仿宋_GB2312" w:hAnsi="宋体" w:eastAsia="仿宋_GB2312"/>
          <w:b/>
          <w:kern w:val="0"/>
          <w:sz w:val="32"/>
          <w:szCs w:val="32"/>
          <w:highlight w:val="none"/>
        </w:rPr>
        <w:t xml:space="preserve">            </w:t>
      </w:r>
      <w:r>
        <w:rPr>
          <w:rFonts w:hint="eastAsia" w:ascii="仿宋_GB2312" w:hAnsi="宋体" w:eastAsia="仿宋_GB2312"/>
          <w:b/>
          <w:kern w:val="0"/>
          <w:sz w:val="32"/>
          <w:szCs w:val="32"/>
          <w:highlight w:val="none"/>
          <w:lang w:val="en-US" w:eastAsia="zh-CN"/>
        </w:rPr>
        <w:t xml:space="preserve">  </w:t>
      </w:r>
      <w:r>
        <w:rPr>
          <w:rFonts w:hint="eastAsia" w:ascii="宋体" w:hAnsi="宋体" w:eastAsia="宋体" w:cs="宋体"/>
          <w:b/>
          <w:kern w:val="0"/>
          <w:sz w:val="32"/>
          <w:szCs w:val="32"/>
          <w:highlight w:val="none"/>
          <w:lang w:eastAsia="zh-CN"/>
        </w:rPr>
        <w:t>采购</w:t>
      </w:r>
      <w:r>
        <w:rPr>
          <w:rFonts w:hint="eastAsia" w:ascii="宋体" w:hAnsi="宋体" w:eastAsia="宋体" w:cs="宋体"/>
          <w:b/>
          <w:kern w:val="0"/>
          <w:sz w:val="32"/>
          <w:szCs w:val="32"/>
          <w:highlight w:val="none"/>
        </w:rPr>
        <w:t>编号：</w:t>
      </w:r>
      <w:r>
        <w:rPr>
          <w:rFonts w:hint="eastAsia" w:ascii="宋体" w:hAnsi="宋体" w:cs="宋体"/>
          <w:b/>
          <w:kern w:val="0"/>
          <w:sz w:val="32"/>
          <w:szCs w:val="32"/>
          <w:highlight w:val="none"/>
          <w:lang w:val="en-US" w:eastAsia="zh-CN"/>
        </w:rPr>
        <w:t>0676-206003ZB018007</w:t>
      </w:r>
      <w:r>
        <w:rPr>
          <w:rFonts w:hint="eastAsia" w:ascii="宋体" w:hAnsi="宋体" w:eastAsia="宋体" w:cs="宋体"/>
          <w:b/>
          <w:kern w:val="0"/>
          <w:sz w:val="32"/>
          <w:szCs w:val="32"/>
          <w:highlight w:val="none"/>
          <w:lang w:val="en-US" w:eastAsia="zh-CN"/>
        </w:rPr>
        <w:t xml:space="preserve">              </w:t>
      </w:r>
    </w:p>
    <w:p>
      <w:pPr>
        <w:spacing w:line="360" w:lineRule="auto"/>
        <w:ind w:firstLine="2249" w:firstLineChars="700"/>
        <w:rPr>
          <w:rFonts w:hint="eastAsia" w:ascii="宋体" w:hAnsi="宋体" w:eastAsia="宋体" w:cs="宋体"/>
          <w:b/>
          <w:kern w:val="0"/>
          <w:sz w:val="32"/>
          <w:szCs w:val="32"/>
          <w:highlight w:val="none"/>
          <w:lang w:val="en-US" w:eastAsia="zh-CN"/>
        </w:rPr>
      </w:pPr>
      <w:r>
        <w:rPr>
          <w:rFonts w:hint="eastAsia" w:ascii="宋体" w:hAnsi="宋体" w:eastAsia="宋体" w:cs="宋体"/>
          <w:b/>
          <w:kern w:val="0"/>
          <w:sz w:val="32"/>
          <w:szCs w:val="32"/>
          <w:highlight w:val="none"/>
          <w:lang w:val="en-US" w:eastAsia="zh-CN"/>
        </w:rPr>
        <w:t>采购内容：护士鞋采购</w:t>
      </w:r>
    </w:p>
    <w:p>
      <w:pPr>
        <w:rPr>
          <w:rFonts w:ascii="仿宋_GB2312" w:hAnsi="宋体" w:eastAsia="仿宋_GB2312"/>
          <w:highlight w:val="none"/>
        </w:rPr>
      </w:pPr>
    </w:p>
    <w:p>
      <w:pPr>
        <w:rPr>
          <w:rFonts w:ascii="仿宋_GB2312" w:hAnsi="宋体" w:eastAsia="仿宋_GB2312"/>
          <w:highlight w:val="none"/>
        </w:rPr>
      </w:pPr>
    </w:p>
    <w:p>
      <w:pPr>
        <w:rPr>
          <w:rFonts w:ascii="仿宋_GB2312" w:hAnsi="宋体" w:eastAsia="仿宋_GB2312"/>
          <w:highlight w:val="none"/>
        </w:rPr>
      </w:pPr>
    </w:p>
    <w:p>
      <w:pPr>
        <w:rPr>
          <w:rFonts w:ascii="仿宋_GB2312" w:hAnsi="宋体" w:eastAsia="仿宋_GB2312"/>
          <w:highlight w:val="none"/>
        </w:rPr>
      </w:pPr>
    </w:p>
    <w:p>
      <w:pPr>
        <w:rPr>
          <w:rFonts w:ascii="仿宋_GB2312" w:hAnsi="宋体" w:eastAsia="仿宋_GB2312"/>
          <w:highlight w:val="none"/>
        </w:rPr>
      </w:pPr>
    </w:p>
    <w:p>
      <w:pPr>
        <w:rPr>
          <w:rFonts w:ascii="仿宋_GB2312" w:hAnsi="宋体" w:eastAsia="仿宋_GB2312"/>
          <w:highlight w:val="none"/>
        </w:rPr>
      </w:pPr>
    </w:p>
    <w:p>
      <w:pPr>
        <w:rPr>
          <w:rFonts w:ascii="仿宋_GB2312" w:hAnsi="宋体" w:eastAsia="仿宋_GB2312"/>
          <w:highlight w:val="none"/>
        </w:rPr>
      </w:pPr>
    </w:p>
    <w:p>
      <w:pPr>
        <w:rPr>
          <w:rFonts w:ascii="仿宋_GB2312" w:hAnsi="宋体" w:eastAsia="仿宋_GB2312"/>
          <w:highlight w:val="none"/>
        </w:rPr>
      </w:pPr>
    </w:p>
    <w:p>
      <w:pPr>
        <w:rPr>
          <w:rFonts w:ascii="仿宋_GB2312" w:hAnsi="宋体" w:eastAsia="仿宋_GB2312"/>
          <w:highlight w:val="none"/>
        </w:rPr>
      </w:pPr>
    </w:p>
    <w:p>
      <w:pPr>
        <w:rPr>
          <w:rFonts w:ascii="仿宋_GB2312" w:hAnsi="宋体" w:eastAsia="仿宋_GB2312"/>
          <w:highlight w:val="none"/>
        </w:rPr>
      </w:pPr>
    </w:p>
    <w:p>
      <w:pPr>
        <w:rPr>
          <w:rFonts w:ascii="仿宋_GB2312" w:hAnsi="宋体" w:eastAsia="仿宋_GB2312"/>
          <w:highlight w:val="none"/>
        </w:rPr>
      </w:pPr>
    </w:p>
    <w:p>
      <w:pPr>
        <w:spacing w:line="360" w:lineRule="auto"/>
        <w:ind w:firstLine="1767" w:firstLineChars="550"/>
        <w:rPr>
          <w:rFonts w:ascii="宋体" w:cs="宋体"/>
          <w:b/>
          <w:kern w:val="0"/>
          <w:sz w:val="32"/>
          <w:szCs w:val="32"/>
          <w:highlight w:val="none"/>
        </w:rPr>
      </w:pPr>
      <w:r>
        <w:rPr>
          <w:rFonts w:hint="eastAsia" w:ascii="宋体" w:hAnsi="宋体" w:cs="宋体"/>
          <w:b/>
          <w:kern w:val="0"/>
          <w:sz w:val="32"/>
          <w:szCs w:val="32"/>
          <w:highlight w:val="none"/>
        </w:rPr>
        <w:t>采</w:t>
      </w:r>
      <w:r>
        <w:rPr>
          <w:rFonts w:ascii="宋体" w:hAnsi="宋体" w:cs="宋体"/>
          <w:b/>
          <w:kern w:val="0"/>
          <w:sz w:val="32"/>
          <w:szCs w:val="32"/>
          <w:highlight w:val="none"/>
        </w:rPr>
        <w:t xml:space="preserve"> </w:t>
      </w:r>
      <w:r>
        <w:rPr>
          <w:rFonts w:hint="eastAsia" w:ascii="宋体" w:hAnsi="宋体" w:cs="宋体"/>
          <w:b/>
          <w:kern w:val="0"/>
          <w:sz w:val="32"/>
          <w:szCs w:val="32"/>
          <w:highlight w:val="none"/>
        </w:rPr>
        <w:t>购</w:t>
      </w:r>
      <w:r>
        <w:rPr>
          <w:rFonts w:ascii="宋体" w:hAnsi="宋体" w:cs="宋体"/>
          <w:b/>
          <w:kern w:val="0"/>
          <w:sz w:val="32"/>
          <w:szCs w:val="32"/>
          <w:highlight w:val="none"/>
        </w:rPr>
        <w:t xml:space="preserve"> </w:t>
      </w:r>
      <w:r>
        <w:rPr>
          <w:rFonts w:hint="eastAsia" w:ascii="宋体" w:hAnsi="宋体" w:cs="宋体"/>
          <w:b/>
          <w:kern w:val="0"/>
          <w:sz w:val="32"/>
          <w:szCs w:val="32"/>
          <w:highlight w:val="none"/>
        </w:rPr>
        <w:t>人：</w:t>
      </w:r>
      <w:r>
        <w:rPr>
          <w:rFonts w:hint="eastAsia" w:ascii="宋体" w:hAnsi="宋体" w:cs="宋体"/>
          <w:b/>
          <w:spacing w:val="20"/>
          <w:kern w:val="0"/>
          <w:sz w:val="32"/>
          <w:szCs w:val="32"/>
          <w:highlight w:val="none"/>
        </w:rPr>
        <w:t>山东大学第二医院</w:t>
      </w:r>
    </w:p>
    <w:p>
      <w:pPr>
        <w:spacing w:line="360" w:lineRule="auto"/>
        <w:rPr>
          <w:rFonts w:ascii="宋体" w:cs="宋体"/>
          <w:b/>
          <w:kern w:val="0"/>
          <w:sz w:val="32"/>
          <w:szCs w:val="32"/>
          <w:highlight w:val="none"/>
        </w:rPr>
      </w:pPr>
      <w:r>
        <w:rPr>
          <w:rFonts w:ascii="宋体" w:hAnsi="宋体" w:cs="宋体"/>
          <w:b/>
          <w:kern w:val="0"/>
          <w:sz w:val="32"/>
          <w:szCs w:val="32"/>
          <w:highlight w:val="none"/>
        </w:rPr>
        <w:t xml:space="preserve">           </w:t>
      </w:r>
      <w:r>
        <w:rPr>
          <w:rFonts w:hint="eastAsia" w:ascii="宋体" w:hAnsi="宋体" w:cs="宋体"/>
          <w:b/>
          <w:kern w:val="0"/>
          <w:sz w:val="32"/>
          <w:szCs w:val="32"/>
          <w:highlight w:val="none"/>
        </w:rPr>
        <w:t>代理机构：山东省鲁成招标有限公司</w:t>
      </w:r>
    </w:p>
    <w:p>
      <w:pPr>
        <w:spacing w:line="360" w:lineRule="auto"/>
        <w:rPr>
          <w:rFonts w:ascii="宋体" w:cs="宋体"/>
          <w:b/>
          <w:kern w:val="0"/>
          <w:sz w:val="32"/>
          <w:szCs w:val="32"/>
          <w:highlight w:val="none"/>
        </w:rPr>
      </w:pPr>
      <w:r>
        <w:rPr>
          <w:rFonts w:ascii="宋体" w:hAnsi="宋体" w:cs="宋体"/>
          <w:b/>
          <w:kern w:val="0"/>
          <w:sz w:val="32"/>
          <w:szCs w:val="32"/>
          <w:highlight w:val="none"/>
        </w:rPr>
        <w:t xml:space="preserve">           </w:t>
      </w:r>
      <w:r>
        <w:rPr>
          <w:rFonts w:hint="eastAsia" w:ascii="宋体" w:hAnsi="宋体" w:cs="宋体"/>
          <w:b/>
          <w:kern w:val="0"/>
          <w:sz w:val="32"/>
          <w:szCs w:val="32"/>
          <w:highlight w:val="none"/>
        </w:rPr>
        <w:t>时</w:t>
      </w:r>
      <w:r>
        <w:rPr>
          <w:rFonts w:ascii="宋体" w:hAnsi="宋体" w:cs="宋体"/>
          <w:b/>
          <w:kern w:val="0"/>
          <w:sz w:val="32"/>
          <w:szCs w:val="32"/>
          <w:highlight w:val="none"/>
        </w:rPr>
        <w:t xml:space="preserve">    </w:t>
      </w:r>
      <w:r>
        <w:rPr>
          <w:rFonts w:hint="eastAsia" w:ascii="宋体" w:hAnsi="宋体" w:cs="宋体"/>
          <w:b/>
          <w:kern w:val="0"/>
          <w:sz w:val="32"/>
          <w:szCs w:val="32"/>
          <w:highlight w:val="none"/>
        </w:rPr>
        <w:t>间：二〇二〇年</w:t>
      </w:r>
      <w:r>
        <w:rPr>
          <w:rFonts w:hint="eastAsia" w:ascii="宋体" w:hAnsi="宋体" w:cs="宋体"/>
          <w:b/>
          <w:kern w:val="0"/>
          <w:sz w:val="32"/>
          <w:szCs w:val="32"/>
          <w:highlight w:val="none"/>
          <w:lang w:val="en-US" w:eastAsia="zh-CN"/>
        </w:rPr>
        <w:t>三</w:t>
      </w:r>
      <w:r>
        <w:rPr>
          <w:rFonts w:hint="eastAsia" w:ascii="宋体" w:hAnsi="宋体" w:cs="宋体"/>
          <w:b/>
          <w:kern w:val="0"/>
          <w:sz w:val="32"/>
          <w:szCs w:val="32"/>
          <w:highlight w:val="none"/>
        </w:rPr>
        <w:t>月</w:t>
      </w:r>
    </w:p>
    <w:p>
      <w:pPr>
        <w:pStyle w:val="13"/>
        <w:spacing w:line="360" w:lineRule="auto"/>
        <w:ind w:left="0" w:leftChars="0" w:firstLine="0" w:firstLineChars="0"/>
        <w:jc w:val="center"/>
        <w:rPr>
          <w:rFonts w:eastAsia="华文中宋"/>
          <w:b/>
          <w:bCs/>
          <w:caps/>
          <w:color w:val="000000"/>
          <w:kern w:val="0"/>
          <w:sz w:val="52"/>
          <w:szCs w:val="22"/>
          <w:highlight w:val="none"/>
        </w:rPr>
        <w:sectPr>
          <w:headerReference r:id="rId4" w:type="first"/>
          <w:footerReference r:id="rId6" w:type="first"/>
          <w:headerReference r:id="rId3" w:type="default"/>
          <w:footerReference r:id="rId5" w:type="default"/>
          <w:pgSz w:w="11907" w:h="16840"/>
          <w:pgMar w:top="1587" w:right="1417" w:bottom="1587" w:left="1417" w:header="851" w:footer="851" w:gutter="0"/>
          <w:pgNumType w:start="1"/>
          <w:cols w:space="720" w:num="1"/>
          <w:titlePg/>
          <w:docGrid w:linePitch="290" w:charSpace="-3931"/>
        </w:sectPr>
      </w:pPr>
    </w:p>
    <w:p>
      <w:pPr>
        <w:pStyle w:val="13"/>
        <w:spacing w:line="360" w:lineRule="auto"/>
        <w:ind w:left="0" w:leftChars="0" w:firstLine="0" w:firstLineChars="0"/>
        <w:jc w:val="center"/>
        <w:rPr>
          <w:rFonts w:eastAsia="华文中宋"/>
          <w:b/>
          <w:bCs/>
          <w:caps/>
          <w:color w:val="000000"/>
          <w:kern w:val="0"/>
          <w:sz w:val="52"/>
          <w:szCs w:val="22"/>
          <w:highlight w:val="none"/>
        </w:rPr>
        <w:sectPr>
          <w:footerReference r:id="rId8" w:type="first"/>
          <w:footerReference r:id="rId7" w:type="default"/>
          <w:pgSz w:w="11907" w:h="16840"/>
          <w:pgMar w:top="1587" w:right="1417" w:bottom="1587" w:left="1417" w:header="851" w:footer="851" w:gutter="0"/>
          <w:pgNumType w:start="1"/>
          <w:cols w:space="720" w:num="1"/>
          <w:docGrid w:linePitch="290" w:charSpace="-3931"/>
        </w:sectPr>
      </w:pPr>
      <w:r>
        <w:rPr>
          <w:rFonts w:hint="eastAsia" w:eastAsia="华文中宋"/>
          <w:b/>
          <w:bCs/>
          <w:caps/>
          <w:color w:val="000000"/>
          <w:kern w:val="0"/>
          <w:sz w:val="52"/>
          <w:szCs w:val="22"/>
          <w:highlight w:val="none"/>
        </w:rPr>
        <w:t>目录</w:t>
      </w:r>
    </w:p>
    <w:p>
      <w:pPr>
        <w:pStyle w:val="24"/>
        <w:tabs>
          <w:tab w:val="right" w:leader="dot" w:pos="9071"/>
        </w:tabs>
        <w:spacing w:line="408" w:lineRule="auto"/>
        <w:rPr>
          <w:sz w:val="24"/>
          <w:highlight w:val="none"/>
        </w:rPr>
      </w:pPr>
      <w:r>
        <w:rPr>
          <w:rFonts w:hAnsi="MingLiUfalt"/>
          <w:sz w:val="24"/>
          <w:highlight w:val="none"/>
        </w:rPr>
        <w:fldChar w:fldCharType="begin"/>
      </w:r>
      <w:r>
        <w:rPr>
          <w:rFonts w:hAnsi="MingLiUfalt"/>
          <w:sz w:val="24"/>
          <w:highlight w:val="none"/>
        </w:rPr>
        <w:instrText xml:space="preserve">TOC \o "1-3" \h \u </w:instrText>
      </w:r>
      <w:r>
        <w:rPr>
          <w:rFonts w:hAnsi="MingLiUfalt"/>
          <w:sz w:val="24"/>
          <w:highlight w:val="none"/>
        </w:rPr>
        <w:fldChar w:fldCharType="separate"/>
      </w:r>
      <w:r>
        <w:rPr>
          <w:highlight w:val="none"/>
        </w:rPr>
        <w:fldChar w:fldCharType="begin"/>
      </w:r>
      <w:r>
        <w:rPr>
          <w:highlight w:val="none"/>
        </w:rPr>
        <w:instrText xml:space="preserve"> HYPERLINK \l "_Toc28601" </w:instrText>
      </w:r>
      <w:r>
        <w:rPr>
          <w:highlight w:val="none"/>
        </w:rPr>
        <w:fldChar w:fldCharType="separate"/>
      </w:r>
      <w:r>
        <w:rPr>
          <w:rFonts w:hint="eastAsia" w:ascii="宋体" w:hAnsi="宋体" w:cs="宋体"/>
          <w:sz w:val="24"/>
          <w:highlight w:val="none"/>
        </w:rPr>
        <w:t>第一部分</w:t>
      </w:r>
      <w:r>
        <w:rPr>
          <w:rFonts w:ascii="宋体" w:hAnsi="宋体" w:cs="宋体"/>
          <w:sz w:val="24"/>
          <w:highlight w:val="none"/>
        </w:rPr>
        <w:t xml:space="preserve">  </w:t>
      </w:r>
      <w:r>
        <w:rPr>
          <w:rFonts w:hint="eastAsia" w:ascii="宋体" w:hAnsi="宋体" w:cs="宋体"/>
          <w:sz w:val="24"/>
          <w:highlight w:val="none"/>
        </w:rPr>
        <w:t>竞争性磋商公告</w:t>
      </w:r>
      <w:r>
        <w:rPr>
          <w:sz w:val="24"/>
          <w:highlight w:val="none"/>
        </w:rPr>
        <w:tab/>
      </w:r>
      <w:r>
        <w:rPr>
          <w:sz w:val="24"/>
          <w:highlight w:val="none"/>
        </w:rPr>
        <w:fldChar w:fldCharType="begin"/>
      </w:r>
      <w:r>
        <w:rPr>
          <w:sz w:val="24"/>
          <w:highlight w:val="none"/>
        </w:rPr>
        <w:instrText xml:space="preserve"> PAGEREF _Toc28601 </w:instrText>
      </w:r>
      <w:r>
        <w:rPr>
          <w:sz w:val="24"/>
          <w:highlight w:val="none"/>
        </w:rPr>
        <w:fldChar w:fldCharType="separate"/>
      </w:r>
      <w:r>
        <w:rPr>
          <w:sz w:val="24"/>
          <w:highlight w:val="none"/>
        </w:rPr>
        <w:t>2</w:t>
      </w:r>
      <w:r>
        <w:rPr>
          <w:sz w:val="24"/>
          <w:highlight w:val="none"/>
        </w:rPr>
        <w:fldChar w:fldCharType="end"/>
      </w:r>
      <w:r>
        <w:rPr>
          <w:sz w:val="24"/>
          <w:highlight w:val="none"/>
        </w:rPr>
        <w:fldChar w:fldCharType="end"/>
      </w:r>
    </w:p>
    <w:p>
      <w:pPr>
        <w:pStyle w:val="24"/>
        <w:tabs>
          <w:tab w:val="right" w:leader="dot" w:pos="9071"/>
        </w:tabs>
        <w:spacing w:line="408" w:lineRule="auto"/>
        <w:rPr>
          <w:sz w:val="24"/>
          <w:highlight w:val="none"/>
        </w:rPr>
      </w:pPr>
      <w:r>
        <w:rPr>
          <w:highlight w:val="none"/>
        </w:rPr>
        <w:fldChar w:fldCharType="begin"/>
      </w:r>
      <w:r>
        <w:rPr>
          <w:highlight w:val="none"/>
        </w:rPr>
        <w:instrText xml:space="preserve"> HYPERLINK \l "_Toc2326" </w:instrText>
      </w:r>
      <w:r>
        <w:rPr>
          <w:highlight w:val="none"/>
        </w:rPr>
        <w:fldChar w:fldCharType="separate"/>
      </w:r>
      <w:r>
        <w:rPr>
          <w:rFonts w:hint="eastAsia" w:ascii="宋体" w:hAnsi="宋体" w:cs="宋体"/>
          <w:sz w:val="24"/>
          <w:highlight w:val="none"/>
        </w:rPr>
        <w:t>第二部分</w:t>
      </w:r>
      <w:r>
        <w:rPr>
          <w:rFonts w:ascii="宋体" w:hAnsi="宋体" w:cs="宋体"/>
          <w:sz w:val="24"/>
          <w:highlight w:val="none"/>
        </w:rPr>
        <w:t xml:space="preserve">  </w:t>
      </w:r>
      <w:r>
        <w:rPr>
          <w:rFonts w:hint="eastAsia" w:ascii="宋体" w:hAnsi="宋体" w:cs="宋体"/>
          <w:sz w:val="24"/>
          <w:highlight w:val="none"/>
        </w:rPr>
        <w:t>供应商须知</w:t>
      </w:r>
      <w:r>
        <w:rPr>
          <w:sz w:val="24"/>
          <w:highlight w:val="none"/>
        </w:rPr>
        <w:tab/>
      </w:r>
      <w:r>
        <w:rPr>
          <w:sz w:val="24"/>
          <w:highlight w:val="none"/>
        </w:rPr>
        <w:fldChar w:fldCharType="begin"/>
      </w:r>
      <w:r>
        <w:rPr>
          <w:sz w:val="24"/>
          <w:highlight w:val="none"/>
        </w:rPr>
        <w:instrText xml:space="preserve"> PAGEREF _Toc2326 </w:instrText>
      </w:r>
      <w:r>
        <w:rPr>
          <w:sz w:val="24"/>
          <w:highlight w:val="none"/>
        </w:rPr>
        <w:fldChar w:fldCharType="separate"/>
      </w:r>
      <w:r>
        <w:rPr>
          <w:sz w:val="24"/>
          <w:highlight w:val="none"/>
        </w:rPr>
        <w:t>2</w:t>
      </w:r>
      <w:r>
        <w:rPr>
          <w:sz w:val="24"/>
          <w:highlight w:val="none"/>
        </w:rPr>
        <w:fldChar w:fldCharType="end"/>
      </w:r>
      <w:r>
        <w:rPr>
          <w:sz w:val="24"/>
          <w:highlight w:val="none"/>
        </w:rPr>
        <w:fldChar w:fldCharType="end"/>
      </w:r>
    </w:p>
    <w:p>
      <w:pPr>
        <w:pStyle w:val="28"/>
        <w:tabs>
          <w:tab w:val="right" w:leader="dot" w:pos="9071"/>
        </w:tabs>
        <w:spacing w:line="408" w:lineRule="auto"/>
        <w:ind w:left="31680"/>
        <w:rPr>
          <w:sz w:val="24"/>
          <w:highlight w:val="none"/>
        </w:rPr>
      </w:pPr>
      <w:r>
        <w:rPr>
          <w:highlight w:val="none"/>
        </w:rPr>
        <w:fldChar w:fldCharType="begin"/>
      </w:r>
      <w:r>
        <w:rPr>
          <w:highlight w:val="none"/>
        </w:rPr>
        <w:instrText xml:space="preserve"> HYPERLINK \l "_Toc29411" </w:instrText>
      </w:r>
      <w:r>
        <w:rPr>
          <w:highlight w:val="none"/>
        </w:rPr>
        <w:fldChar w:fldCharType="separate"/>
      </w:r>
      <w:r>
        <w:rPr>
          <w:rFonts w:hint="eastAsia" w:ascii="宋体" w:hAnsi="宋体" w:cs="宋体"/>
          <w:kern w:val="0"/>
          <w:sz w:val="24"/>
          <w:highlight w:val="none"/>
        </w:rPr>
        <w:t>一、说明</w:t>
      </w:r>
      <w:r>
        <w:rPr>
          <w:sz w:val="24"/>
          <w:highlight w:val="none"/>
        </w:rPr>
        <w:tab/>
      </w:r>
      <w:r>
        <w:rPr>
          <w:sz w:val="24"/>
          <w:highlight w:val="none"/>
        </w:rPr>
        <w:fldChar w:fldCharType="begin"/>
      </w:r>
      <w:r>
        <w:rPr>
          <w:sz w:val="24"/>
          <w:highlight w:val="none"/>
        </w:rPr>
        <w:instrText xml:space="preserve"> PAGEREF _Toc29411 </w:instrText>
      </w:r>
      <w:r>
        <w:rPr>
          <w:sz w:val="24"/>
          <w:highlight w:val="none"/>
        </w:rPr>
        <w:fldChar w:fldCharType="separate"/>
      </w:r>
      <w:r>
        <w:rPr>
          <w:sz w:val="24"/>
          <w:highlight w:val="none"/>
        </w:rPr>
        <w:t>7</w:t>
      </w:r>
      <w:r>
        <w:rPr>
          <w:sz w:val="24"/>
          <w:highlight w:val="none"/>
        </w:rPr>
        <w:fldChar w:fldCharType="end"/>
      </w:r>
      <w:r>
        <w:rPr>
          <w:sz w:val="24"/>
          <w:highlight w:val="none"/>
        </w:rPr>
        <w:fldChar w:fldCharType="end"/>
      </w:r>
    </w:p>
    <w:p>
      <w:pPr>
        <w:pStyle w:val="28"/>
        <w:tabs>
          <w:tab w:val="right" w:leader="dot" w:pos="9071"/>
        </w:tabs>
        <w:spacing w:line="408" w:lineRule="auto"/>
        <w:ind w:left="31680"/>
        <w:rPr>
          <w:sz w:val="24"/>
          <w:highlight w:val="none"/>
        </w:rPr>
      </w:pPr>
      <w:r>
        <w:rPr>
          <w:highlight w:val="none"/>
        </w:rPr>
        <w:fldChar w:fldCharType="begin"/>
      </w:r>
      <w:r>
        <w:rPr>
          <w:highlight w:val="none"/>
        </w:rPr>
        <w:instrText xml:space="preserve"> HYPERLINK \l "_Toc7809" </w:instrText>
      </w:r>
      <w:r>
        <w:rPr>
          <w:highlight w:val="none"/>
        </w:rPr>
        <w:fldChar w:fldCharType="separate"/>
      </w:r>
      <w:r>
        <w:rPr>
          <w:rFonts w:hint="eastAsia" w:ascii="宋体" w:hAnsi="宋体" w:cs="宋体"/>
          <w:kern w:val="0"/>
          <w:sz w:val="24"/>
          <w:highlight w:val="none"/>
        </w:rPr>
        <w:t>二、竞争性磋商文件</w:t>
      </w:r>
      <w:r>
        <w:rPr>
          <w:sz w:val="24"/>
          <w:highlight w:val="none"/>
        </w:rPr>
        <w:tab/>
      </w:r>
      <w:r>
        <w:rPr>
          <w:sz w:val="24"/>
          <w:highlight w:val="none"/>
        </w:rPr>
        <w:fldChar w:fldCharType="begin"/>
      </w:r>
      <w:r>
        <w:rPr>
          <w:sz w:val="24"/>
          <w:highlight w:val="none"/>
        </w:rPr>
        <w:instrText xml:space="preserve"> PAGEREF _Toc7809 </w:instrText>
      </w:r>
      <w:r>
        <w:rPr>
          <w:sz w:val="24"/>
          <w:highlight w:val="none"/>
        </w:rPr>
        <w:fldChar w:fldCharType="separate"/>
      </w:r>
      <w:r>
        <w:rPr>
          <w:sz w:val="24"/>
          <w:highlight w:val="none"/>
        </w:rPr>
        <w:t>7</w:t>
      </w:r>
      <w:r>
        <w:rPr>
          <w:sz w:val="24"/>
          <w:highlight w:val="none"/>
        </w:rPr>
        <w:fldChar w:fldCharType="end"/>
      </w:r>
      <w:r>
        <w:rPr>
          <w:sz w:val="24"/>
          <w:highlight w:val="none"/>
        </w:rPr>
        <w:fldChar w:fldCharType="end"/>
      </w:r>
    </w:p>
    <w:p>
      <w:pPr>
        <w:pStyle w:val="28"/>
        <w:tabs>
          <w:tab w:val="right" w:leader="dot" w:pos="9071"/>
        </w:tabs>
        <w:spacing w:line="408" w:lineRule="auto"/>
        <w:ind w:left="31680"/>
        <w:rPr>
          <w:sz w:val="24"/>
          <w:highlight w:val="none"/>
        </w:rPr>
      </w:pPr>
      <w:r>
        <w:rPr>
          <w:highlight w:val="none"/>
        </w:rPr>
        <w:fldChar w:fldCharType="begin"/>
      </w:r>
      <w:r>
        <w:rPr>
          <w:highlight w:val="none"/>
        </w:rPr>
        <w:instrText xml:space="preserve"> HYPERLINK \l "_Toc130" </w:instrText>
      </w:r>
      <w:r>
        <w:rPr>
          <w:highlight w:val="none"/>
        </w:rPr>
        <w:fldChar w:fldCharType="separate"/>
      </w:r>
      <w:r>
        <w:rPr>
          <w:rFonts w:hint="eastAsia" w:ascii="宋体" w:hAnsi="宋体" w:cs="宋体"/>
          <w:kern w:val="0"/>
          <w:sz w:val="24"/>
          <w:highlight w:val="none"/>
        </w:rPr>
        <w:t>三、响应文件编制</w:t>
      </w:r>
      <w:r>
        <w:rPr>
          <w:sz w:val="24"/>
          <w:highlight w:val="none"/>
        </w:rPr>
        <w:tab/>
      </w:r>
      <w:r>
        <w:rPr>
          <w:sz w:val="24"/>
          <w:highlight w:val="none"/>
        </w:rPr>
        <w:fldChar w:fldCharType="begin"/>
      </w:r>
      <w:r>
        <w:rPr>
          <w:sz w:val="24"/>
          <w:highlight w:val="none"/>
        </w:rPr>
        <w:instrText xml:space="preserve"> PAGEREF _Toc130 </w:instrText>
      </w:r>
      <w:r>
        <w:rPr>
          <w:sz w:val="24"/>
          <w:highlight w:val="none"/>
        </w:rPr>
        <w:fldChar w:fldCharType="separate"/>
      </w:r>
      <w:r>
        <w:rPr>
          <w:sz w:val="24"/>
          <w:highlight w:val="none"/>
        </w:rPr>
        <w:t>8</w:t>
      </w:r>
      <w:r>
        <w:rPr>
          <w:sz w:val="24"/>
          <w:highlight w:val="none"/>
        </w:rPr>
        <w:fldChar w:fldCharType="end"/>
      </w:r>
      <w:r>
        <w:rPr>
          <w:sz w:val="24"/>
          <w:highlight w:val="none"/>
        </w:rPr>
        <w:fldChar w:fldCharType="end"/>
      </w:r>
    </w:p>
    <w:p>
      <w:pPr>
        <w:pStyle w:val="28"/>
        <w:tabs>
          <w:tab w:val="right" w:leader="dot" w:pos="9071"/>
        </w:tabs>
        <w:spacing w:line="408" w:lineRule="auto"/>
        <w:ind w:left="31680"/>
        <w:rPr>
          <w:sz w:val="24"/>
          <w:highlight w:val="none"/>
        </w:rPr>
      </w:pPr>
      <w:r>
        <w:rPr>
          <w:highlight w:val="none"/>
        </w:rPr>
        <w:fldChar w:fldCharType="begin"/>
      </w:r>
      <w:r>
        <w:rPr>
          <w:highlight w:val="none"/>
        </w:rPr>
        <w:instrText xml:space="preserve"> HYPERLINK \l "_Toc3106" </w:instrText>
      </w:r>
      <w:r>
        <w:rPr>
          <w:highlight w:val="none"/>
        </w:rPr>
        <w:fldChar w:fldCharType="separate"/>
      </w:r>
      <w:r>
        <w:rPr>
          <w:rFonts w:hint="eastAsia" w:ascii="宋体" w:hAnsi="宋体" w:cs="宋体"/>
          <w:bCs/>
          <w:kern w:val="0"/>
          <w:sz w:val="24"/>
          <w:highlight w:val="none"/>
        </w:rPr>
        <w:t>四、响应文件递交</w:t>
      </w:r>
      <w:r>
        <w:rPr>
          <w:sz w:val="24"/>
          <w:highlight w:val="none"/>
        </w:rPr>
        <w:tab/>
      </w:r>
      <w:r>
        <w:rPr>
          <w:sz w:val="24"/>
          <w:highlight w:val="none"/>
        </w:rPr>
        <w:fldChar w:fldCharType="begin"/>
      </w:r>
      <w:r>
        <w:rPr>
          <w:sz w:val="24"/>
          <w:highlight w:val="none"/>
        </w:rPr>
        <w:instrText xml:space="preserve"> PAGEREF _Toc3106 </w:instrText>
      </w:r>
      <w:r>
        <w:rPr>
          <w:sz w:val="24"/>
          <w:highlight w:val="none"/>
        </w:rPr>
        <w:fldChar w:fldCharType="separate"/>
      </w:r>
      <w:r>
        <w:rPr>
          <w:sz w:val="24"/>
          <w:highlight w:val="none"/>
        </w:rPr>
        <w:t>15</w:t>
      </w:r>
      <w:r>
        <w:rPr>
          <w:sz w:val="24"/>
          <w:highlight w:val="none"/>
        </w:rPr>
        <w:fldChar w:fldCharType="end"/>
      </w:r>
      <w:r>
        <w:rPr>
          <w:sz w:val="24"/>
          <w:highlight w:val="none"/>
        </w:rPr>
        <w:fldChar w:fldCharType="end"/>
      </w:r>
    </w:p>
    <w:p>
      <w:pPr>
        <w:pStyle w:val="28"/>
        <w:tabs>
          <w:tab w:val="right" w:leader="dot" w:pos="9071"/>
        </w:tabs>
        <w:spacing w:line="408" w:lineRule="auto"/>
        <w:ind w:left="31680"/>
        <w:rPr>
          <w:sz w:val="24"/>
          <w:highlight w:val="none"/>
        </w:rPr>
      </w:pPr>
      <w:r>
        <w:rPr>
          <w:highlight w:val="none"/>
        </w:rPr>
        <w:fldChar w:fldCharType="begin"/>
      </w:r>
      <w:r>
        <w:rPr>
          <w:highlight w:val="none"/>
        </w:rPr>
        <w:instrText xml:space="preserve"> HYPERLINK \l "_Toc29646" </w:instrText>
      </w:r>
      <w:r>
        <w:rPr>
          <w:highlight w:val="none"/>
        </w:rPr>
        <w:fldChar w:fldCharType="separate"/>
      </w:r>
      <w:r>
        <w:rPr>
          <w:rFonts w:hint="eastAsia" w:ascii="宋体" w:hAnsi="宋体" w:cs="宋体"/>
          <w:kern w:val="0"/>
          <w:sz w:val="24"/>
          <w:highlight w:val="none"/>
        </w:rPr>
        <w:t>五、公开报价、磋商、评审</w:t>
      </w:r>
      <w:r>
        <w:rPr>
          <w:sz w:val="24"/>
          <w:highlight w:val="none"/>
        </w:rPr>
        <w:tab/>
      </w:r>
      <w:r>
        <w:rPr>
          <w:sz w:val="24"/>
          <w:highlight w:val="none"/>
        </w:rPr>
        <w:fldChar w:fldCharType="begin"/>
      </w:r>
      <w:r>
        <w:rPr>
          <w:sz w:val="24"/>
          <w:highlight w:val="none"/>
        </w:rPr>
        <w:instrText xml:space="preserve"> PAGEREF _Toc29646 </w:instrText>
      </w:r>
      <w:r>
        <w:rPr>
          <w:sz w:val="24"/>
          <w:highlight w:val="none"/>
        </w:rPr>
        <w:fldChar w:fldCharType="separate"/>
      </w:r>
      <w:r>
        <w:rPr>
          <w:sz w:val="24"/>
          <w:highlight w:val="none"/>
        </w:rPr>
        <w:t>16</w:t>
      </w:r>
      <w:r>
        <w:rPr>
          <w:sz w:val="24"/>
          <w:highlight w:val="none"/>
        </w:rPr>
        <w:fldChar w:fldCharType="end"/>
      </w:r>
      <w:r>
        <w:rPr>
          <w:sz w:val="24"/>
          <w:highlight w:val="none"/>
        </w:rPr>
        <w:fldChar w:fldCharType="end"/>
      </w:r>
    </w:p>
    <w:p>
      <w:pPr>
        <w:pStyle w:val="28"/>
        <w:tabs>
          <w:tab w:val="right" w:leader="dot" w:pos="9071"/>
        </w:tabs>
        <w:spacing w:line="408" w:lineRule="auto"/>
        <w:ind w:left="31680"/>
        <w:rPr>
          <w:sz w:val="24"/>
          <w:highlight w:val="none"/>
        </w:rPr>
      </w:pPr>
      <w:r>
        <w:rPr>
          <w:highlight w:val="none"/>
        </w:rPr>
        <w:fldChar w:fldCharType="begin"/>
      </w:r>
      <w:r>
        <w:rPr>
          <w:highlight w:val="none"/>
        </w:rPr>
        <w:instrText xml:space="preserve"> HYPERLINK \l "_Toc32466" </w:instrText>
      </w:r>
      <w:r>
        <w:rPr>
          <w:highlight w:val="none"/>
        </w:rPr>
        <w:fldChar w:fldCharType="separate"/>
      </w:r>
      <w:r>
        <w:rPr>
          <w:rFonts w:hint="eastAsia" w:ascii="宋体" w:hAnsi="宋体" w:cs="宋体"/>
          <w:kern w:val="0"/>
          <w:sz w:val="24"/>
          <w:highlight w:val="none"/>
        </w:rPr>
        <w:t>六、合同签订</w:t>
      </w:r>
      <w:r>
        <w:rPr>
          <w:sz w:val="24"/>
          <w:highlight w:val="none"/>
        </w:rPr>
        <w:tab/>
      </w:r>
      <w:r>
        <w:rPr>
          <w:sz w:val="24"/>
          <w:highlight w:val="none"/>
        </w:rPr>
        <w:fldChar w:fldCharType="begin"/>
      </w:r>
      <w:r>
        <w:rPr>
          <w:sz w:val="24"/>
          <w:highlight w:val="none"/>
        </w:rPr>
        <w:instrText xml:space="preserve"> PAGEREF _Toc32466 </w:instrText>
      </w:r>
      <w:r>
        <w:rPr>
          <w:sz w:val="24"/>
          <w:highlight w:val="none"/>
        </w:rPr>
        <w:fldChar w:fldCharType="separate"/>
      </w:r>
      <w:r>
        <w:rPr>
          <w:sz w:val="24"/>
          <w:highlight w:val="none"/>
        </w:rPr>
        <w:t>25</w:t>
      </w:r>
      <w:r>
        <w:rPr>
          <w:sz w:val="24"/>
          <w:highlight w:val="none"/>
        </w:rPr>
        <w:fldChar w:fldCharType="end"/>
      </w:r>
      <w:r>
        <w:rPr>
          <w:sz w:val="24"/>
          <w:highlight w:val="none"/>
        </w:rPr>
        <w:fldChar w:fldCharType="end"/>
      </w:r>
    </w:p>
    <w:p>
      <w:pPr>
        <w:pStyle w:val="28"/>
        <w:tabs>
          <w:tab w:val="right" w:leader="dot" w:pos="9071"/>
        </w:tabs>
        <w:spacing w:line="408" w:lineRule="auto"/>
        <w:ind w:left="31680"/>
        <w:rPr>
          <w:sz w:val="24"/>
          <w:highlight w:val="none"/>
        </w:rPr>
      </w:pPr>
      <w:r>
        <w:rPr>
          <w:highlight w:val="none"/>
        </w:rPr>
        <w:fldChar w:fldCharType="begin"/>
      </w:r>
      <w:r>
        <w:rPr>
          <w:highlight w:val="none"/>
        </w:rPr>
        <w:instrText xml:space="preserve"> HYPERLINK \l "_Toc12952" </w:instrText>
      </w:r>
      <w:r>
        <w:rPr>
          <w:highlight w:val="none"/>
        </w:rPr>
        <w:fldChar w:fldCharType="separate"/>
      </w:r>
      <w:r>
        <w:rPr>
          <w:rFonts w:hint="eastAsia" w:ascii="宋体" w:hAnsi="宋体" w:cs="宋体"/>
          <w:kern w:val="0"/>
          <w:sz w:val="24"/>
          <w:highlight w:val="none"/>
        </w:rPr>
        <w:t>七、保密和披露</w:t>
      </w:r>
      <w:r>
        <w:rPr>
          <w:sz w:val="24"/>
          <w:highlight w:val="none"/>
        </w:rPr>
        <w:tab/>
      </w:r>
      <w:r>
        <w:rPr>
          <w:sz w:val="24"/>
          <w:highlight w:val="none"/>
        </w:rPr>
        <w:fldChar w:fldCharType="begin"/>
      </w:r>
      <w:r>
        <w:rPr>
          <w:sz w:val="24"/>
          <w:highlight w:val="none"/>
        </w:rPr>
        <w:instrText xml:space="preserve"> PAGEREF _Toc12952 </w:instrText>
      </w:r>
      <w:r>
        <w:rPr>
          <w:sz w:val="24"/>
          <w:highlight w:val="none"/>
        </w:rPr>
        <w:fldChar w:fldCharType="separate"/>
      </w:r>
      <w:r>
        <w:rPr>
          <w:sz w:val="24"/>
          <w:highlight w:val="none"/>
        </w:rPr>
        <w:t>26</w:t>
      </w:r>
      <w:r>
        <w:rPr>
          <w:sz w:val="24"/>
          <w:highlight w:val="none"/>
        </w:rPr>
        <w:fldChar w:fldCharType="end"/>
      </w:r>
      <w:r>
        <w:rPr>
          <w:sz w:val="24"/>
          <w:highlight w:val="none"/>
        </w:rPr>
        <w:fldChar w:fldCharType="end"/>
      </w:r>
    </w:p>
    <w:p>
      <w:pPr>
        <w:pStyle w:val="28"/>
        <w:tabs>
          <w:tab w:val="right" w:leader="dot" w:pos="9071"/>
        </w:tabs>
        <w:spacing w:line="408" w:lineRule="auto"/>
        <w:ind w:left="31680"/>
        <w:rPr>
          <w:sz w:val="24"/>
          <w:highlight w:val="none"/>
        </w:rPr>
      </w:pPr>
      <w:r>
        <w:rPr>
          <w:highlight w:val="none"/>
        </w:rPr>
        <w:fldChar w:fldCharType="begin"/>
      </w:r>
      <w:r>
        <w:rPr>
          <w:highlight w:val="none"/>
        </w:rPr>
        <w:instrText xml:space="preserve"> HYPERLINK \l "_Toc2049" </w:instrText>
      </w:r>
      <w:r>
        <w:rPr>
          <w:highlight w:val="none"/>
        </w:rPr>
        <w:fldChar w:fldCharType="separate"/>
      </w:r>
      <w:r>
        <w:rPr>
          <w:rFonts w:hint="eastAsia" w:ascii="宋体" w:hAnsi="宋体" w:cs="宋体"/>
          <w:kern w:val="0"/>
          <w:sz w:val="24"/>
          <w:highlight w:val="none"/>
        </w:rPr>
        <w:t>八、代理服务费</w:t>
      </w:r>
      <w:r>
        <w:rPr>
          <w:sz w:val="24"/>
          <w:highlight w:val="none"/>
        </w:rPr>
        <w:tab/>
      </w:r>
      <w:r>
        <w:rPr>
          <w:sz w:val="24"/>
          <w:highlight w:val="none"/>
        </w:rPr>
        <w:fldChar w:fldCharType="begin"/>
      </w:r>
      <w:r>
        <w:rPr>
          <w:sz w:val="24"/>
          <w:highlight w:val="none"/>
        </w:rPr>
        <w:instrText xml:space="preserve"> PAGEREF _Toc2049 </w:instrText>
      </w:r>
      <w:r>
        <w:rPr>
          <w:sz w:val="24"/>
          <w:highlight w:val="none"/>
        </w:rPr>
        <w:fldChar w:fldCharType="separate"/>
      </w:r>
      <w:r>
        <w:rPr>
          <w:sz w:val="24"/>
          <w:highlight w:val="none"/>
        </w:rPr>
        <w:t>26</w:t>
      </w:r>
      <w:r>
        <w:rPr>
          <w:sz w:val="24"/>
          <w:highlight w:val="none"/>
        </w:rPr>
        <w:fldChar w:fldCharType="end"/>
      </w:r>
      <w:r>
        <w:rPr>
          <w:sz w:val="24"/>
          <w:highlight w:val="none"/>
        </w:rPr>
        <w:fldChar w:fldCharType="end"/>
      </w:r>
    </w:p>
    <w:p>
      <w:pPr>
        <w:pStyle w:val="28"/>
        <w:tabs>
          <w:tab w:val="right" w:leader="dot" w:pos="9071"/>
        </w:tabs>
        <w:spacing w:line="408" w:lineRule="auto"/>
        <w:ind w:left="31680"/>
        <w:rPr>
          <w:sz w:val="24"/>
          <w:highlight w:val="none"/>
        </w:rPr>
      </w:pPr>
      <w:r>
        <w:rPr>
          <w:highlight w:val="none"/>
        </w:rPr>
        <w:fldChar w:fldCharType="begin"/>
      </w:r>
      <w:r>
        <w:rPr>
          <w:highlight w:val="none"/>
        </w:rPr>
        <w:instrText xml:space="preserve"> HYPERLINK \l "_Toc10250" </w:instrText>
      </w:r>
      <w:r>
        <w:rPr>
          <w:highlight w:val="none"/>
        </w:rPr>
        <w:fldChar w:fldCharType="separate"/>
      </w:r>
      <w:r>
        <w:rPr>
          <w:rFonts w:hint="eastAsia" w:ascii="宋体" w:hAnsi="宋体" w:cs="宋体"/>
          <w:kern w:val="0"/>
          <w:sz w:val="24"/>
          <w:highlight w:val="none"/>
        </w:rPr>
        <w:t>九、解释权</w:t>
      </w:r>
      <w:r>
        <w:rPr>
          <w:sz w:val="24"/>
          <w:highlight w:val="none"/>
        </w:rPr>
        <w:tab/>
      </w:r>
      <w:r>
        <w:rPr>
          <w:sz w:val="24"/>
          <w:highlight w:val="none"/>
        </w:rPr>
        <w:fldChar w:fldCharType="begin"/>
      </w:r>
      <w:r>
        <w:rPr>
          <w:sz w:val="24"/>
          <w:highlight w:val="none"/>
        </w:rPr>
        <w:instrText xml:space="preserve"> PAGEREF _Toc10250 </w:instrText>
      </w:r>
      <w:r>
        <w:rPr>
          <w:sz w:val="24"/>
          <w:highlight w:val="none"/>
        </w:rPr>
        <w:fldChar w:fldCharType="separate"/>
      </w:r>
      <w:r>
        <w:rPr>
          <w:sz w:val="24"/>
          <w:highlight w:val="none"/>
        </w:rPr>
        <w:t>26</w:t>
      </w:r>
      <w:r>
        <w:rPr>
          <w:sz w:val="24"/>
          <w:highlight w:val="none"/>
        </w:rPr>
        <w:fldChar w:fldCharType="end"/>
      </w:r>
      <w:r>
        <w:rPr>
          <w:sz w:val="24"/>
          <w:highlight w:val="none"/>
        </w:rPr>
        <w:fldChar w:fldCharType="end"/>
      </w:r>
    </w:p>
    <w:p>
      <w:pPr>
        <w:pStyle w:val="24"/>
        <w:tabs>
          <w:tab w:val="right" w:leader="dot" w:pos="9071"/>
        </w:tabs>
        <w:spacing w:line="408" w:lineRule="auto"/>
        <w:rPr>
          <w:sz w:val="24"/>
          <w:highlight w:val="none"/>
        </w:rPr>
      </w:pPr>
      <w:r>
        <w:rPr>
          <w:highlight w:val="none"/>
        </w:rPr>
        <w:fldChar w:fldCharType="begin"/>
      </w:r>
      <w:r>
        <w:rPr>
          <w:highlight w:val="none"/>
        </w:rPr>
        <w:instrText xml:space="preserve"> HYPERLINK \l "_Toc20439" </w:instrText>
      </w:r>
      <w:r>
        <w:rPr>
          <w:highlight w:val="none"/>
        </w:rPr>
        <w:fldChar w:fldCharType="separate"/>
      </w:r>
      <w:r>
        <w:rPr>
          <w:rFonts w:hint="eastAsia" w:ascii="宋体" w:hAnsi="宋体" w:cs="宋体"/>
          <w:sz w:val="24"/>
          <w:highlight w:val="none"/>
        </w:rPr>
        <w:t>第三部分</w:t>
      </w:r>
      <w:r>
        <w:rPr>
          <w:rFonts w:ascii="宋体" w:hAnsi="宋体" w:cs="宋体"/>
          <w:sz w:val="24"/>
          <w:highlight w:val="none"/>
        </w:rPr>
        <w:t xml:space="preserve">  </w:t>
      </w:r>
      <w:r>
        <w:rPr>
          <w:rFonts w:hint="eastAsia" w:ascii="宋体" w:hAnsi="宋体" w:cs="宋体"/>
          <w:sz w:val="24"/>
          <w:highlight w:val="none"/>
        </w:rPr>
        <w:t>项目要求</w:t>
      </w:r>
      <w:r>
        <w:rPr>
          <w:sz w:val="24"/>
          <w:highlight w:val="none"/>
        </w:rPr>
        <w:tab/>
      </w:r>
      <w:r>
        <w:rPr>
          <w:sz w:val="24"/>
          <w:highlight w:val="none"/>
        </w:rPr>
        <w:fldChar w:fldCharType="begin"/>
      </w:r>
      <w:r>
        <w:rPr>
          <w:sz w:val="24"/>
          <w:highlight w:val="none"/>
        </w:rPr>
        <w:instrText xml:space="preserve"> PAGEREF _Toc20439 </w:instrText>
      </w:r>
      <w:r>
        <w:rPr>
          <w:sz w:val="24"/>
          <w:highlight w:val="none"/>
        </w:rPr>
        <w:fldChar w:fldCharType="separate"/>
      </w:r>
      <w:r>
        <w:rPr>
          <w:sz w:val="24"/>
          <w:highlight w:val="none"/>
        </w:rPr>
        <w:t>27</w:t>
      </w:r>
      <w:r>
        <w:rPr>
          <w:sz w:val="24"/>
          <w:highlight w:val="none"/>
        </w:rPr>
        <w:fldChar w:fldCharType="end"/>
      </w:r>
      <w:r>
        <w:rPr>
          <w:sz w:val="24"/>
          <w:highlight w:val="none"/>
        </w:rPr>
        <w:fldChar w:fldCharType="end"/>
      </w:r>
    </w:p>
    <w:p>
      <w:pPr>
        <w:pStyle w:val="24"/>
        <w:tabs>
          <w:tab w:val="right" w:leader="dot" w:pos="9071"/>
        </w:tabs>
        <w:spacing w:line="408" w:lineRule="auto"/>
        <w:rPr>
          <w:sz w:val="24"/>
          <w:highlight w:val="none"/>
        </w:rPr>
      </w:pPr>
      <w:r>
        <w:rPr>
          <w:highlight w:val="none"/>
        </w:rPr>
        <w:fldChar w:fldCharType="begin"/>
      </w:r>
      <w:r>
        <w:rPr>
          <w:highlight w:val="none"/>
        </w:rPr>
        <w:instrText xml:space="preserve"> HYPERLINK \l "_Toc20707" </w:instrText>
      </w:r>
      <w:r>
        <w:rPr>
          <w:highlight w:val="none"/>
        </w:rPr>
        <w:fldChar w:fldCharType="separate"/>
      </w:r>
      <w:r>
        <w:rPr>
          <w:rFonts w:hint="eastAsia"/>
          <w:sz w:val="24"/>
          <w:highlight w:val="none"/>
        </w:rPr>
        <w:t>第四部分</w:t>
      </w:r>
      <w:r>
        <w:rPr>
          <w:sz w:val="24"/>
          <w:highlight w:val="none"/>
        </w:rPr>
        <w:t xml:space="preserve"> </w:t>
      </w:r>
      <w:r>
        <w:rPr>
          <w:rFonts w:hint="eastAsia"/>
          <w:sz w:val="24"/>
          <w:highlight w:val="none"/>
        </w:rPr>
        <w:t>授予合同</w:t>
      </w:r>
      <w:r>
        <w:rPr>
          <w:sz w:val="24"/>
          <w:highlight w:val="none"/>
        </w:rPr>
        <w:tab/>
      </w:r>
      <w:r>
        <w:rPr>
          <w:sz w:val="24"/>
          <w:highlight w:val="none"/>
        </w:rPr>
        <w:t>2</w:t>
      </w:r>
      <w:r>
        <w:rPr>
          <w:sz w:val="24"/>
          <w:highlight w:val="none"/>
        </w:rPr>
        <w:fldChar w:fldCharType="end"/>
      </w:r>
      <w:r>
        <w:rPr>
          <w:sz w:val="24"/>
          <w:highlight w:val="none"/>
        </w:rPr>
        <w:t>8</w:t>
      </w:r>
    </w:p>
    <w:p>
      <w:pPr>
        <w:pStyle w:val="28"/>
        <w:tabs>
          <w:tab w:val="right" w:leader="dot" w:pos="9071"/>
        </w:tabs>
        <w:spacing w:line="408" w:lineRule="auto"/>
        <w:ind w:left="31680"/>
        <w:rPr>
          <w:sz w:val="24"/>
          <w:highlight w:val="none"/>
        </w:rPr>
      </w:pPr>
      <w:r>
        <w:rPr>
          <w:highlight w:val="none"/>
        </w:rPr>
        <w:fldChar w:fldCharType="begin"/>
      </w:r>
      <w:r>
        <w:rPr>
          <w:highlight w:val="none"/>
        </w:rPr>
        <w:instrText xml:space="preserve"> HYPERLINK \l "_Toc31719" </w:instrText>
      </w:r>
      <w:r>
        <w:rPr>
          <w:highlight w:val="none"/>
        </w:rPr>
        <w:fldChar w:fldCharType="separate"/>
      </w:r>
      <w:r>
        <w:rPr>
          <w:rFonts w:hint="eastAsia" w:ascii="宋体" w:hAnsi="宋体" w:cs="宋体"/>
          <w:sz w:val="24"/>
          <w:highlight w:val="none"/>
        </w:rPr>
        <w:t>一、签订合同</w:t>
      </w:r>
      <w:r>
        <w:rPr>
          <w:sz w:val="24"/>
          <w:highlight w:val="none"/>
        </w:rPr>
        <w:tab/>
      </w:r>
      <w:r>
        <w:rPr>
          <w:sz w:val="24"/>
          <w:highlight w:val="none"/>
        </w:rPr>
        <w:t>2</w:t>
      </w:r>
      <w:r>
        <w:rPr>
          <w:sz w:val="24"/>
          <w:highlight w:val="none"/>
        </w:rPr>
        <w:fldChar w:fldCharType="end"/>
      </w:r>
      <w:r>
        <w:rPr>
          <w:rFonts w:hAnsi="MingLiUfalt"/>
          <w:sz w:val="24"/>
          <w:highlight w:val="none"/>
        </w:rPr>
        <w:t>8</w:t>
      </w:r>
    </w:p>
    <w:p>
      <w:pPr>
        <w:pStyle w:val="28"/>
        <w:tabs>
          <w:tab w:val="right" w:leader="dot" w:pos="9071"/>
        </w:tabs>
        <w:spacing w:line="408" w:lineRule="auto"/>
        <w:ind w:left="31680"/>
        <w:rPr>
          <w:sz w:val="24"/>
          <w:highlight w:val="none"/>
        </w:rPr>
      </w:pPr>
      <w:r>
        <w:rPr>
          <w:highlight w:val="none"/>
        </w:rPr>
        <w:fldChar w:fldCharType="begin"/>
      </w:r>
      <w:r>
        <w:rPr>
          <w:highlight w:val="none"/>
        </w:rPr>
        <w:instrText xml:space="preserve"> HYPERLINK \l "_Toc27421" </w:instrText>
      </w:r>
      <w:r>
        <w:rPr>
          <w:highlight w:val="none"/>
        </w:rPr>
        <w:fldChar w:fldCharType="separate"/>
      </w:r>
      <w:r>
        <w:rPr>
          <w:rFonts w:hint="eastAsia" w:ascii="宋体" w:hAnsi="宋体" w:cs="宋体"/>
          <w:sz w:val="24"/>
          <w:highlight w:val="none"/>
        </w:rPr>
        <w:t>二、合同格式</w:t>
      </w:r>
      <w:r>
        <w:rPr>
          <w:sz w:val="24"/>
          <w:highlight w:val="none"/>
        </w:rPr>
        <w:tab/>
      </w:r>
      <w:r>
        <w:rPr>
          <w:sz w:val="24"/>
          <w:highlight w:val="none"/>
        </w:rPr>
        <w:t>2</w:t>
      </w:r>
      <w:r>
        <w:rPr>
          <w:sz w:val="24"/>
          <w:highlight w:val="none"/>
        </w:rPr>
        <w:fldChar w:fldCharType="end"/>
      </w:r>
      <w:r>
        <w:rPr>
          <w:rFonts w:hAnsi="MingLiUfalt"/>
          <w:sz w:val="24"/>
          <w:highlight w:val="none"/>
        </w:rPr>
        <w:t>8</w:t>
      </w:r>
    </w:p>
    <w:p>
      <w:pPr>
        <w:pStyle w:val="24"/>
        <w:tabs>
          <w:tab w:val="right" w:pos="2800"/>
          <w:tab w:val="right" w:leader="dot" w:pos="9071"/>
        </w:tabs>
        <w:spacing w:line="408" w:lineRule="auto"/>
        <w:rPr>
          <w:sz w:val="24"/>
          <w:highlight w:val="none"/>
        </w:rPr>
      </w:pPr>
      <w:r>
        <w:rPr>
          <w:highlight w:val="none"/>
        </w:rPr>
        <w:fldChar w:fldCharType="begin"/>
      </w:r>
      <w:r>
        <w:rPr>
          <w:highlight w:val="none"/>
        </w:rPr>
        <w:instrText xml:space="preserve"> HYPERLINK \l "_Toc2279" </w:instrText>
      </w:r>
      <w:r>
        <w:rPr>
          <w:highlight w:val="none"/>
        </w:rPr>
        <w:fldChar w:fldCharType="separate"/>
      </w:r>
      <w:r>
        <w:rPr>
          <w:rFonts w:hint="eastAsia" w:ascii="宋体" w:hAnsi="宋体" w:cs="宋体"/>
          <w:sz w:val="24"/>
          <w:highlight w:val="none"/>
        </w:rPr>
        <w:t>第五部分</w:t>
      </w:r>
      <w:r>
        <w:rPr>
          <w:rFonts w:ascii="宋体" w:hAnsi="宋体" w:cs="宋体"/>
          <w:sz w:val="24"/>
          <w:highlight w:val="none"/>
        </w:rPr>
        <w:t xml:space="preserve"> </w:t>
      </w:r>
      <w:r>
        <w:rPr>
          <w:rFonts w:hint="eastAsia" w:ascii="宋体" w:hAnsi="宋体" w:cs="宋体"/>
          <w:sz w:val="24"/>
          <w:highlight w:val="none"/>
        </w:rPr>
        <w:t>响应文件格式</w:t>
      </w:r>
      <w:r>
        <w:rPr>
          <w:sz w:val="24"/>
          <w:highlight w:val="none"/>
        </w:rPr>
        <w:tab/>
      </w:r>
      <w:r>
        <w:rPr>
          <w:sz w:val="24"/>
          <w:highlight w:val="none"/>
        </w:rPr>
        <w:tab/>
      </w:r>
      <w:r>
        <w:rPr>
          <w:sz w:val="24"/>
          <w:highlight w:val="none"/>
        </w:rPr>
        <w:fldChar w:fldCharType="begin"/>
      </w:r>
      <w:r>
        <w:rPr>
          <w:sz w:val="24"/>
          <w:highlight w:val="none"/>
        </w:rPr>
        <w:instrText xml:space="preserve"> PAGEREF _Toc2279 </w:instrText>
      </w:r>
      <w:r>
        <w:rPr>
          <w:sz w:val="24"/>
          <w:highlight w:val="none"/>
        </w:rPr>
        <w:fldChar w:fldCharType="separate"/>
      </w:r>
      <w:r>
        <w:rPr>
          <w:sz w:val="24"/>
          <w:highlight w:val="none"/>
        </w:rPr>
        <w:t>37</w:t>
      </w:r>
      <w:r>
        <w:rPr>
          <w:sz w:val="24"/>
          <w:highlight w:val="none"/>
        </w:rPr>
        <w:fldChar w:fldCharType="end"/>
      </w:r>
      <w:r>
        <w:rPr>
          <w:sz w:val="24"/>
          <w:highlight w:val="none"/>
        </w:rPr>
        <w:fldChar w:fldCharType="end"/>
      </w:r>
    </w:p>
    <w:p>
      <w:pPr>
        <w:pStyle w:val="24"/>
        <w:rPr>
          <w:rFonts w:hAnsi="MingLiUfalt"/>
          <w:sz w:val="24"/>
          <w:highlight w:val="none"/>
        </w:rPr>
        <w:sectPr>
          <w:type w:val="continuous"/>
          <w:pgSz w:w="11907" w:h="16840"/>
          <w:pgMar w:top="1587" w:right="1417" w:bottom="1587" w:left="1417" w:header="851" w:footer="851" w:gutter="0"/>
          <w:cols w:space="720" w:num="1"/>
          <w:titlePg/>
          <w:docGrid w:linePitch="290" w:charSpace="-3931"/>
        </w:sectPr>
      </w:pPr>
      <w:r>
        <w:rPr>
          <w:rFonts w:hAnsi="MingLiUfalt"/>
          <w:sz w:val="24"/>
          <w:highlight w:val="none"/>
        </w:rPr>
        <w:fldChar w:fldCharType="end"/>
      </w:r>
    </w:p>
    <w:p>
      <w:pPr>
        <w:pStyle w:val="31"/>
        <w:spacing w:before="0" w:after="240"/>
        <w:rPr>
          <w:rFonts w:ascii="宋体" w:hAnsi="宋体" w:eastAsia="宋体" w:cs="宋体"/>
          <w:sz w:val="36"/>
          <w:szCs w:val="36"/>
          <w:highlight w:val="none"/>
        </w:rPr>
      </w:pPr>
      <w:bookmarkStart w:id="0" w:name="_Toc338187338"/>
      <w:bookmarkStart w:id="1" w:name="_Toc193"/>
      <w:bookmarkStart w:id="2" w:name="_Toc28601"/>
      <w:bookmarkStart w:id="3" w:name="_Toc425434449"/>
    </w:p>
    <w:p>
      <w:pPr>
        <w:numPr>
          <w:ilvl w:val="0"/>
          <w:numId w:val="1"/>
        </w:numPr>
        <w:shd w:val="solid" w:color="FFFFFF" w:fill="auto"/>
        <w:autoSpaceDN w:val="0"/>
        <w:snapToGrid w:val="0"/>
        <w:spacing w:line="500" w:lineRule="exact"/>
        <w:jc w:val="center"/>
        <w:rPr>
          <w:rFonts w:hint="eastAsia" w:ascii="宋体" w:hAnsi="宋体" w:cs="宋体"/>
          <w:sz w:val="36"/>
          <w:szCs w:val="36"/>
          <w:highlight w:val="none"/>
        </w:rPr>
      </w:pPr>
      <w:r>
        <w:rPr>
          <w:rFonts w:ascii="宋体" w:cs="宋体"/>
          <w:sz w:val="36"/>
          <w:szCs w:val="36"/>
          <w:highlight w:val="none"/>
        </w:rPr>
        <w:br w:type="page"/>
      </w:r>
      <w:r>
        <w:rPr>
          <w:rFonts w:ascii="宋体" w:hAnsi="宋体" w:cs="宋体"/>
          <w:sz w:val="36"/>
          <w:szCs w:val="36"/>
          <w:highlight w:val="none"/>
        </w:rPr>
        <w:t xml:space="preserve"> </w:t>
      </w:r>
      <w:bookmarkEnd w:id="0"/>
      <w:r>
        <w:rPr>
          <w:rFonts w:hint="eastAsia" w:ascii="宋体" w:hAnsi="宋体" w:cs="宋体"/>
          <w:sz w:val="36"/>
          <w:szCs w:val="36"/>
          <w:highlight w:val="none"/>
        </w:rPr>
        <w:t>竞争性磋商公告</w:t>
      </w:r>
      <w:bookmarkEnd w:id="1"/>
      <w:bookmarkEnd w:id="2"/>
      <w:bookmarkEnd w:id="3"/>
    </w:p>
    <w:p>
      <w:pPr>
        <w:pStyle w:val="2"/>
        <w:numPr>
          <w:ilvl w:val="0"/>
          <w:numId w:val="0"/>
        </w:numPr>
      </w:pPr>
    </w:p>
    <w:p>
      <w:pPr>
        <w:pStyle w:val="72"/>
        <w:keepNext w:val="0"/>
        <w:keepLines w:val="0"/>
        <w:pageBreakBefore w:val="0"/>
        <w:kinsoku/>
        <w:wordWrap/>
        <w:overflowPunct/>
        <w:topLinePunct w:val="0"/>
        <w:autoSpaceDE/>
        <w:bidi w:val="0"/>
        <w:adjustRightInd w:val="0"/>
        <w:snapToGrid w:val="0"/>
        <w:spacing w:line="360" w:lineRule="auto"/>
        <w:ind w:firstLine="0" w:firstLineChars="0"/>
        <w:rPr>
          <w:rFonts w:ascii="宋体" w:cs="宋体"/>
          <w:sz w:val="24"/>
          <w:highlight w:val="none"/>
        </w:rPr>
      </w:pPr>
      <w:bookmarkStart w:id="4" w:name="_Toc338187339"/>
      <w:bookmarkStart w:id="5" w:name="_Toc425434450"/>
      <w:bookmarkStart w:id="6" w:name="_Toc2326"/>
      <w:bookmarkStart w:id="7" w:name="_Toc12292"/>
      <w:r>
        <w:rPr>
          <w:rFonts w:ascii="宋体" w:hAnsi="宋体" w:cs="宋体"/>
          <w:b/>
          <w:sz w:val="24"/>
          <w:highlight w:val="none"/>
        </w:rPr>
        <w:t>1</w:t>
      </w:r>
      <w:r>
        <w:rPr>
          <w:rFonts w:hint="eastAsia" w:ascii="宋体" w:hAnsi="宋体" w:cs="宋体"/>
          <w:b/>
          <w:sz w:val="24"/>
          <w:highlight w:val="none"/>
        </w:rPr>
        <w:t>、采购人名称:</w:t>
      </w:r>
      <w:r>
        <w:rPr>
          <w:rFonts w:hint="eastAsia" w:ascii="宋体" w:hAnsi="宋体" w:cs="宋体"/>
          <w:sz w:val="24"/>
          <w:highlight w:val="none"/>
        </w:rPr>
        <w:t>山东大学第二医院</w:t>
      </w:r>
    </w:p>
    <w:p>
      <w:pPr>
        <w:keepNext w:val="0"/>
        <w:keepLines w:val="0"/>
        <w:pageBreakBefore w:val="0"/>
        <w:kinsoku/>
        <w:wordWrap/>
        <w:overflowPunct/>
        <w:topLinePunct w:val="0"/>
        <w:autoSpaceDE/>
        <w:bidi w:val="0"/>
        <w:adjustRightInd w:val="0"/>
        <w:snapToGrid w:val="0"/>
        <w:spacing w:line="360" w:lineRule="auto"/>
        <w:ind w:firstLine="420" w:firstLineChars="175"/>
        <w:rPr>
          <w:rFonts w:ascii="宋体" w:cs="宋体"/>
          <w:sz w:val="24"/>
          <w:highlight w:val="none"/>
        </w:rPr>
      </w:pPr>
      <w:r>
        <w:rPr>
          <w:rFonts w:hint="eastAsia" w:ascii="宋体" w:hAnsi="宋体" w:cs="宋体"/>
          <w:sz w:val="24"/>
          <w:highlight w:val="none"/>
        </w:rPr>
        <w:t>地址：济南市天桥区北园路</w:t>
      </w:r>
      <w:r>
        <w:rPr>
          <w:rFonts w:ascii="宋体" w:hAnsi="宋体" w:cs="宋体"/>
          <w:sz w:val="24"/>
          <w:highlight w:val="none"/>
        </w:rPr>
        <w:t>247</w:t>
      </w:r>
      <w:r>
        <w:rPr>
          <w:rFonts w:hint="eastAsia" w:ascii="宋体" w:hAnsi="宋体" w:cs="宋体"/>
          <w:sz w:val="24"/>
          <w:highlight w:val="none"/>
        </w:rPr>
        <w:t>号</w:t>
      </w:r>
    </w:p>
    <w:p>
      <w:pPr>
        <w:keepNext w:val="0"/>
        <w:keepLines w:val="0"/>
        <w:pageBreakBefore w:val="0"/>
        <w:kinsoku/>
        <w:wordWrap/>
        <w:overflowPunct/>
        <w:topLinePunct w:val="0"/>
        <w:autoSpaceDE/>
        <w:bidi w:val="0"/>
        <w:adjustRightInd w:val="0"/>
        <w:snapToGrid w:val="0"/>
        <w:spacing w:line="360" w:lineRule="auto"/>
        <w:ind w:firstLine="420" w:firstLineChars="175"/>
        <w:rPr>
          <w:rFonts w:ascii="宋体" w:cs="宋体"/>
          <w:sz w:val="24"/>
          <w:highlight w:val="none"/>
        </w:rPr>
      </w:pPr>
      <w:r>
        <w:rPr>
          <w:rFonts w:hint="eastAsia" w:ascii="宋体" w:hAnsi="宋体" w:cs="宋体"/>
          <w:sz w:val="24"/>
          <w:highlight w:val="none"/>
        </w:rPr>
        <w:t>联系方式：</w:t>
      </w:r>
      <w:r>
        <w:rPr>
          <w:rFonts w:ascii="宋体" w:hAnsi="宋体" w:cs="宋体"/>
          <w:sz w:val="24"/>
          <w:highlight w:val="none"/>
        </w:rPr>
        <w:t>0531-85875076</w:t>
      </w:r>
    </w:p>
    <w:p>
      <w:pPr>
        <w:pStyle w:val="72"/>
        <w:keepNext w:val="0"/>
        <w:keepLines w:val="0"/>
        <w:pageBreakBefore w:val="0"/>
        <w:kinsoku/>
        <w:wordWrap/>
        <w:overflowPunct/>
        <w:topLinePunct w:val="0"/>
        <w:autoSpaceDE/>
        <w:bidi w:val="0"/>
        <w:adjustRightInd w:val="0"/>
        <w:snapToGrid w:val="0"/>
        <w:spacing w:line="360" w:lineRule="auto"/>
        <w:ind w:firstLine="0" w:firstLineChars="0"/>
        <w:rPr>
          <w:rFonts w:ascii="宋体" w:cs="宋体"/>
          <w:sz w:val="24"/>
          <w:highlight w:val="none"/>
        </w:rPr>
      </w:pPr>
      <w:r>
        <w:rPr>
          <w:rFonts w:ascii="宋体" w:hAnsi="宋体" w:cs="宋体"/>
          <w:b/>
          <w:sz w:val="24"/>
          <w:highlight w:val="none"/>
        </w:rPr>
        <w:t>2</w:t>
      </w:r>
      <w:r>
        <w:rPr>
          <w:rFonts w:hint="eastAsia" w:ascii="宋体" w:hAnsi="宋体" w:cs="宋体"/>
          <w:b/>
          <w:sz w:val="24"/>
          <w:highlight w:val="none"/>
        </w:rPr>
        <w:t>、采购代理机构名称：</w:t>
      </w:r>
      <w:r>
        <w:rPr>
          <w:rFonts w:hint="eastAsia" w:ascii="宋体" w:hAnsi="宋体" w:cs="宋体"/>
          <w:sz w:val="24"/>
          <w:highlight w:val="none"/>
        </w:rPr>
        <w:t>山东省鲁成招标有限公司</w:t>
      </w:r>
    </w:p>
    <w:p>
      <w:pPr>
        <w:pStyle w:val="72"/>
        <w:keepNext w:val="0"/>
        <w:keepLines w:val="0"/>
        <w:pageBreakBefore w:val="0"/>
        <w:kinsoku/>
        <w:wordWrap/>
        <w:overflowPunct/>
        <w:topLinePunct w:val="0"/>
        <w:autoSpaceDE/>
        <w:bidi w:val="0"/>
        <w:adjustRightInd w:val="0"/>
        <w:snapToGrid w:val="0"/>
        <w:spacing w:line="360" w:lineRule="auto"/>
        <w:ind w:left="390" w:firstLine="0" w:firstLineChars="0"/>
        <w:rPr>
          <w:rFonts w:ascii="宋体" w:hAnsi="宋体" w:cs="宋体"/>
          <w:sz w:val="24"/>
          <w:highlight w:val="none"/>
        </w:rPr>
      </w:pPr>
      <w:r>
        <w:rPr>
          <w:rFonts w:hint="eastAsia" w:ascii="宋体" w:hAnsi="宋体" w:cs="宋体"/>
          <w:sz w:val="24"/>
          <w:highlight w:val="none"/>
        </w:rPr>
        <w:t>地址：济南市经十路</w:t>
      </w:r>
      <w:r>
        <w:rPr>
          <w:rFonts w:ascii="宋体" w:hAnsi="宋体" w:cs="宋体"/>
          <w:sz w:val="24"/>
          <w:highlight w:val="none"/>
        </w:rPr>
        <w:t>10567</w:t>
      </w:r>
      <w:r>
        <w:rPr>
          <w:rFonts w:hint="eastAsia" w:ascii="宋体" w:hAnsi="宋体" w:cs="宋体"/>
          <w:sz w:val="24"/>
          <w:highlight w:val="none"/>
        </w:rPr>
        <w:t>号成城大厦</w:t>
      </w:r>
      <w:r>
        <w:rPr>
          <w:rFonts w:ascii="宋体" w:hAnsi="宋体" w:cs="宋体"/>
          <w:sz w:val="24"/>
          <w:highlight w:val="none"/>
        </w:rPr>
        <w:t>A</w:t>
      </w:r>
      <w:r>
        <w:rPr>
          <w:rFonts w:hint="eastAsia" w:ascii="宋体" w:hAnsi="宋体" w:cs="宋体"/>
          <w:sz w:val="24"/>
          <w:highlight w:val="none"/>
        </w:rPr>
        <w:t>座</w:t>
      </w:r>
    </w:p>
    <w:p>
      <w:pPr>
        <w:pStyle w:val="72"/>
        <w:keepNext w:val="0"/>
        <w:keepLines w:val="0"/>
        <w:pageBreakBefore w:val="0"/>
        <w:kinsoku/>
        <w:wordWrap/>
        <w:overflowPunct/>
        <w:topLinePunct w:val="0"/>
        <w:autoSpaceDE/>
        <w:bidi w:val="0"/>
        <w:adjustRightInd w:val="0"/>
        <w:snapToGrid w:val="0"/>
        <w:spacing w:line="360" w:lineRule="auto"/>
        <w:ind w:left="390" w:firstLine="0" w:firstLineChars="0"/>
        <w:rPr>
          <w:rFonts w:ascii="宋体" w:hAnsi="宋体" w:cs="宋体"/>
          <w:sz w:val="24"/>
          <w:highlight w:val="none"/>
        </w:rPr>
      </w:pPr>
      <w:r>
        <w:rPr>
          <w:rFonts w:hint="eastAsia" w:ascii="宋体" w:hAnsi="宋体" w:cs="宋体"/>
          <w:sz w:val="24"/>
          <w:highlight w:val="none"/>
        </w:rPr>
        <w:t>联系人：李文华、栾新宇</w:t>
      </w:r>
    </w:p>
    <w:p>
      <w:pPr>
        <w:pStyle w:val="72"/>
        <w:keepNext w:val="0"/>
        <w:keepLines w:val="0"/>
        <w:pageBreakBefore w:val="0"/>
        <w:kinsoku/>
        <w:wordWrap/>
        <w:overflowPunct/>
        <w:topLinePunct w:val="0"/>
        <w:autoSpaceDE/>
        <w:bidi w:val="0"/>
        <w:adjustRightInd w:val="0"/>
        <w:snapToGrid w:val="0"/>
        <w:spacing w:line="360" w:lineRule="auto"/>
        <w:ind w:left="390" w:firstLine="0" w:firstLineChars="0"/>
        <w:rPr>
          <w:rFonts w:ascii="宋体" w:hAnsi="宋体" w:cs="宋体"/>
          <w:sz w:val="24"/>
          <w:highlight w:val="none"/>
        </w:rPr>
      </w:pPr>
      <w:r>
        <w:rPr>
          <w:rFonts w:hint="eastAsia" w:ascii="宋体" w:hAnsi="宋体" w:cs="宋体"/>
          <w:sz w:val="24"/>
          <w:highlight w:val="none"/>
        </w:rPr>
        <w:t>联系方式：0531-83191895/0531-83191865</w:t>
      </w:r>
    </w:p>
    <w:p>
      <w:pPr>
        <w:pStyle w:val="72"/>
        <w:keepNext w:val="0"/>
        <w:keepLines w:val="0"/>
        <w:pageBreakBefore w:val="0"/>
        <w:kinsoku/>
        <w:wordWrap/>
        <w:overflowPunct/>
        <w:topLinePunct w:val="0"/>
        <w:autoSpaceDE/>
        <w:bidi w:val="0"/>
        <w:adjustRightInd w:val="0"/>
        <w:snapToGrid w:val="0"/>
        <w:spacing w:line="360" w:lineRule="auto"/>
        <w:ind w:left="390" w:firstLine="0" w:firstLineChars="0"/>
        <w:rPr>
          <w:rFonts w:ascii="宋体" w:hAnsi="宋体" w:cs="宋体"/>
          <w:sz w:val="24"/>
          <w:highlight w:val="none"/>
        </w:rPr>
      </w:pPr>
      <w:r>
        <w:rPr>
          <w:rFonts w:hint="eastAsia" w:ascii="宋体" w:hAnsi="宋体" w:cs="宋体"/>
          <w:sz w:val="24"/>
          <w:highlight w:val="none"/>
        </w:rPr>
        <w:t>电子邮件：</w:t>
      </w:r>
      <w:r>
        <w:rPr>
          <w:highlight w:val="none"/>
        </w:rPr>
        <w:fldChar w:fldCharType="begin"/>
      </w:r>
      <w:r>
        <w:rPr>
          <w:highlight w:val="none"/>
        </w:rPr>
        <w:instrText xml:space="preserve"> HYPERLINK "mailto:lc83191789@126.com" </w:instrText>
      </w:r>
      <w:r>
        <w:rPr>
          <w:highlight w:val="none"/>
        </w:rPr>
        <w:fldChar w:fldCharType="separate"/>
      </w:r>
      <w:r>
        <w:rPr>
          <w:rFonts w:hint="eastAsia" w:ascii="宋体" w:hAnsi="宋体" w:cs="宋体"/>
          <w:sz w:val="24"/>
          <w:highlight w:val="none"/>
        </w:rPr>
        <w:t>lczb08@126.com</w:t>
      </w:r>
      <w:r>
        <w:rPr>
          <w:rFonts w:hint="eastAsia" w:ascii="宋体" w:hAnsi="宋体" w:cs="宋体"/>
          <w:sz w:val="24"/>
          <w:highlight w:val="none"/>
        </w:rPr>
        <w:fldChar w:fldCharType="end"/>
      </w:r>
    </w:p>
    <w:p>
      <w:pPr>
        <w:keepNext w:val="0"/>
        <w:keepLines w:val="0"/>
        <w:pageBreakBefore w:val="0"/>
        <w:numPr>
          <w:ilvl w:val="0"/>
          <w:numId w:val="2"/>
        </w:numPr>
        <w:kinsoku/>
        <w:wordWrap/>
        <w:overflowPunct/>
        <w:topLinePunct w:val="0"/>
        <w:autoSpaceDE/>
        <w:bidi w:val="0"/>
        <w:adjustRightInd w:val="0"/>
        <w:snapToGrid w:val="0"/>
        <w:spacing w:line="360" w:lineRule="auto"/>
        <w:rPr>
          <w:rFonts w:hint="eastAsia" w:ascii="宋体" w:hAnsi="宋体" w:cs="宋体"/>
          <w:sz w:val="24"/>
          <w:highlight w:val="none"/>
        </w:rPr>
      </w:pPr>
      <w:r>
        <w:rPr>
          <w:rFonts w:hint="eastAsia" w:ascii="宋体" w:hAnsi="宋体" w:cs="宋体"/>
          <w:b/>
          <w:sz w:val="24"/>
          <w:highlight w:val="none"/>
        </w:rPr>
        <w:t>项目名称：</w:t>
      </w:r>
      <w:r>
        <w:rPr>
          <w:rFonts w:hint="eastAsia" w:ascii="宋体" w:hAnsi="宋体" w:cs="宋体"/>
          <w:sz w:val="24"/>
          <w:highlight w:val="none"/>
        </w:rPr>
        <w:t>山东大学第二医院护士鞋采购项目</w:t>
      </w:r>
    </w:p>
    <w:p>
      <w:pPr>
        <w:keepNext w:val="0"/>
        <w:keepLines w:val="0"/>
        <w:pageBreakBefore w:val="0"/>
        <w:numPr>
          <w:ilvl w:val="0"/>
          <w:numId w:val="0"/>
        </w:numPr>
        <w:kinsoku/>
        <w:wordWrap/>
        <w:overflowPunct/>
        <w:topLinePunct w:val="0"/>
        <w:autoSpaceDE/>
        <w:bidi w:val="0"/>
        <w:adjustRightInd w:val="0"/>
        <w:snapToGrid w:val="0"/>
        <w:spacing w:line="360" w:lineRule="auto"/>
        <w:rPr>
          <w:rFonts w:hint="eastAsia" w:ascii="宋体" w:hAnsi="宋体" w:cs="宋体"/>
          <w:b/>
          <w:sz w:val="24"/>
          <w:highlight w:val="yellow"/>
          <w:lang w:val="en-US" w:eastAsia="zh-CN"/>
        </w:rPr>
      </w:pPr>
      <w:r>
        <w:rPr>
          <w:rFonts w:ascii="宋体" w:hAnsi="宋体" w:cs="宋体"/>
          <w:b/>
          <w:sz w:val="24"/>
          <w:highlight w:val="none"/>
        </w:rPr>
        <w:t>4</w:t>
      </w:r>
      <w:r>
        <w:rPr>
          <w:rFonts w:hint="eastAsia" w:ascii="宋体" w:hAnsi="宋体" w:cs="宋体"/>
          <w:b/>
          <w:sz w:val="24"/>
          <w:highlight w:val="none"/>
        </w:rPr>
        <w:t>、</w:t>
      </w:r>
      <w:r>
        <w:rPr>
          <w:rFonts w:hint="eastAsia" w:ascii="宋体" w:hAnsi="宋体" w:cs="宋体"/>
          <w:b/>
          <w:sz w:val="24"/>
          <w:highlight w:val="none"/>
          <w:lang w:val="en-US" w:eastAsia="zh-CN"/>
        </w:rPr>
        <w:t>采购</w:t>
      </w:r>
      <w:r>
        <w:rPr>
          <w:rFonts w:hint="eastAsia" w:ascii="宋体" w:hAnsi="宋体" w:cs="宋体"/>
          <w:b/>
          <w:sz w:val="24"/>
          <w:highlight w:val="none"/>
        </w:rPr>
        <w:t>编号：0676-206003ZB018007</w:t>
      </w:r>
    </w:p>
    <w:p>
      <w:pPr>
        <w:keepNext w:val="0"/>
        <w:keepLines w:val="0"/>
        <w:pageBreakBefore w:val="0"/>
        <w:kinsoku/>
        <w:wordWrap/>
        <w:overflowPunct/>
        <w:topLinePunct w:val="0"/>
        <w:autoSpaceDE/>
        <w:bidi w:val="0"/>
        <w:adjustRightInd w:val="0"/>
        <w:snapToGrid w:val="0"/>
        <w:spacing w:line="360" w:lineRule="auto"/>
        <w:rPr>
          <w:rFonts w:hint="eastAsia" w:ascii="宋体" w:hAnsi="宋体" w:cs="宋体"/>
          <w:sz w:val="24"/>
          <w:highlight w:val="none"/>
        </w:rPr>
      </w:pPr>
      <w:r>
        <w:rPr>
          <w:rFonts w:ascii="宋体" w:hAnsi="宋体" w:cs="宋体"/>
          <w:b/>
          <w:sz w:val="24"/>
          <w:highlight w:val="none"/>
        </w:rPr>
        <w:t>5</w:t>
      </w:r>
      <w:r>
        <w:rPr>
          <w:rFonts w:hint="eastAsia" w:ascii="宋体" w:hAnsi="宋体" w:cs="宋体"/>
          <w:b/>
          <w:sz w:val="24"/>
          <w:highlight w:val="none"/>
        </w:rPr>
        <w:t>、采购项目分包情况：</w:t>
      </w:r>
      <w:r>
        <w:rPr>
          <w:rFonts w:hint="eastAsia" w:ascii="宋体" w:hAnsi="宋体" w:cs="宋体"/>
          <w:sz w:val="24"/>
          <w:highlight w:val="none"/>
        </w:rPr>
        <w:t>本次</w:t>
      </w:r>
      <w:r>
        <w:rPr>
          <w:rFonts w:hint="eastAsia" w:ascii="宋体" w:hAnsi="宋体" w:cs="宋体"/>
          <w:sz w:val="24"/>
          <w:highlight w:val="none"/>
          <w:lang w:val="en-US" w:eastAsia="zh-CN"/>
        </w:rPr>
        <w:t>采购</w:t>
      </w:r>
      <w:r>
        <w:rPr>
          <w:rFonts w:hint="eastAsia" w:ascii="宋体" w:hAnsi="宋体" w:cs="宋体"/>
          <w:sz w:val="24"/>
          <w:highlight w:val="none"/>
        </w:rPr>
        <w:t>为山东大学第二医院护士鞋采购项目，具体技术要求详见</w:t>
      </w:r>
      <w:r>
        <w:rPr>
          <w:rFonts w:hint="eastAsia" w:ascii="宋体" w:hAnsi="宋体" w:cs="宋体"/>
          <w:sz w:val="24"/>
          <w:highlight w:val="none"/>
          <w:lang w:val="en-US" w:eastAsia="zh-CN"/>
        </w:rPr>
        <w:t>竞争性磋商</w:t>
      </w:r>
      <w:r>
        <w:rPr>
          <w:rFonts w:hint="eastAsia" w:ascii="宋体" w:hAnsi="宋体" w:cs="宋体"/>
          <w:sz w:val="24"/>
          <w:highlight w:val="none"/>
        </w:rPr>
        <w:t>文件，共分1个包，分包情况如下：</w:t>
      </w:r>
    </w:p>
    <w:tbl>
      <w:tblPr>
        <w:tblStyle w:val="34"/>
        <w:tblW w:w="8797" w:type="dxa"/>
        <w:jc w:val="center"/>
        <w:tblLayout w:type="fixed"/>
        <w:tblCellMar>
          <w:top w:w="0" w:type="dxa"/>
          <w:left w:w="15" w:type="dxa"/>
          <w:bottom w:w="0" w:type="dxa"/>
          <w:right w:w="15" w:type="dxa"/>
        </w:tblCellMar>
      </w:tblPr>
      <w:tblGrid>
        <w:gridCol w:w="1573"/>
        <w:gridCol w:w="1809"/>
        <w:gridCol w:w="2147"/>
        <w:gridCol w:w="3268"/>
      </w:tblGrid>
      <w:tr>
        <w:tblPrEx>
          <w:tblCellMar>
            <w:top w:w="0" w:type="dxa"/>
            <w:left w:w="15" w:type="dxa"/>
            <w:bottom w:w="0" w:type="dxa"/>
            <w:right w:w="15" w:type="dxa"/>
          </w:tblCellMar>
        </w:tblPrEx>
        <w:trPr>
          <w:trHeight w:val="504" w:hRule="atLeast"/>
          <w:jc w:val="center"/>
        </w:trPr>
        <w:tc>
          <w:tcPr>
            <w:tcW w:w="15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napToGrid w:val="0"/>
              <w:spacing w:line="360" w:lineRule="auto"/>
              <w:jc w:val="center"/>
              <w:textAlignment w:val="center"/>
              <w:rPr>
                <w:rFonts w:hint="eastAsia" w:ascii="宋体" w:eastAsia="宋体"/>
                <w:color w:val="000000"/>
                <w:sz w:val="24"/>
                <w:highlight w:val="none"/>
                <w:lang w:eastAsia="zh-CN"/>
              </w:rPr>
            </w:pPr>
            <w:r>
              <w:rPr>
                <w:rFonts w:hint="eastAsia" w:ascii="宋体" w:hAnsi="宋体"/>
                <w:color w:val="000000"/>
                <w:sz w:val="24"/>
                <w:highlight w:val="none"/>
                <w:lang w:eastAsia="zh-CN"/>
              </w:rPr>
              <w:t>采购内容</w:t>
            </w:r>
          </w:p>
        </w:tc>
        <w:tc>
          <w:tcPr>
            <w:tcW w:w="18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数量（</w:t>
            </w:r>
            <w:r>
              <w:rPr>
                <w:rFonts w:hint="eastAsia" w:ascii="宋体" w:hAnsi="宋体"/>
                <w:color w:val="000000"/>
                <w:sz w:val="24"/>
                <w:highlight w:val="none"/>
                <w:lang w:eastAsia="zh-CN"/>
              </w:rPr>
              <w:t>双</w:t>
            </w:r>
            <w:r>
              <w:rPr>
                <w:rFonts w:hint="eastAsia" w:ascii="宋体" w:hAnsi="宋体"/>
                <w:color w:val="000000"/>
                <w:sz w:val="24"/>
                <w:highlight w:val="none"/>
              </w:rPr>
              <w:t>）</w:t>
            </w:r>
          </w:p>
        </w:tc>
        <w:tc>
          <w:tcPr>
            <w:tcW w:w="21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预算金额（万元）</w:t>
            </w:r>
          </w:p>
        </w:tc>
        <w:tc>
          <w:tcPr>
            <w:tcW w:w="3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简要技术规格</w:t>
            </w:r>
          </w:p>
        </w:tc>
      </w:tr>
      <w:tr>
        <w:tblPrEx>
          <w:tblCellMar>
            <w:top w:w="0" w:type="dxa"/>
            <w:left w:w="15" w:type="dxa"/>
            <w:bottom w:w="0" w:type="dxa"/>
            <w:right w:w="15" w:type="dxa"/>
          </w:tblCellMar>
        </w:tblPrEx>
        <w:trPr>
          <w:trHeight w:val="814" w:hRule="atLeast"/>
          <w:jc w:val="center"/>
        </w:trPr>
        <w:tc>
          <w:tcPr>
            <w:tcW w:w="1573"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pageBreakBefore w:val="0"/>
              <w:kinsoku/>
              <w:wordWrap/>
              <w:overflowPunct/>
              <w:topLinePunct w:val="0"/>
              <w:autoSpaceDE/>
              <w:autoSpaceDN w:val="0"/>
              <w:bidi w:val="0"/>
              <w:snapToGrid w:val="0"/>
              <w:spacing w:line="360" w:lineRule="auto"/>
              <w:jc w:val="center"/>
              <w:textAlignment w:val="center"/>
              <w:rPr>
                <w:rFonts w:ascii="宋体"/>
                <w:color w:val="000000"/>
                <w:sz w:val="24"/>
                <w:highlight w:val="none"/>
              </w:rPr>
            </w:pPr>
            <w:r>
              <w:rPr>
                <w:rFonts w:hint="eastAsia" w:ascii="宋体" w:hAnsi="宋体" w:cs="宋体"/>
                <w:sz w:val="24"/>
                <w:highlight w:val="none"/>
                <w:lang w:eastAsia="zh-CN"/>
              </w:rPr>
              <w:t>护士鞋采购</w:t>
            </w:r>
          </w:p>
        </w:tc>
        <w:tc>
          <w:tcPr>
            <w:tcW w:w="1809"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pageBreakBefore w:val="0"/>
              <w:kinsoku/>
              <w:wordWrap/>
              <w:overflowPunct/>
              <w:topLinePunct w:val="0"/>
              <w:autoSpaceDE/>
              <w:autoSpaceDN w:val="0"/>
              <w:bidi w:val="0"/>
              <w:snapToGrid w:val="0"/>
              <w:spacing w:line="360" w:lineRule="auto"/>
              <w:jc w:val="center"/>
              <w:textAlignment w:val="center"/>
              <w:rPr>
                <w:rFonts w:hint="default" w:ascii="宋体" w:eastAsia="宋体"/>
                <w:color w:val="000000"/>
                <w:sz w:val="24"/>
                <w:highlight w:val="none"/>
                <w:lang w:val="en-US" w:eastAsia="zh-CN"/>
              </w:rPr>
            </w:pPr>
            <w:r>
              <w:rPr>
                <w:rFonts w:hint="eastAsia" w:ascii="宋体"/>
                <w:color w:val="000000"/>
                <w:sz w:val="24"/>
                <w:highlight w:val="none"/>
                <w:lang w:val="en-US" w:eastAsia="zh-CN"/>
              </w:rPr>
              <w:t>约</w:t>
            </w:r>
            <w:r>
              <w:rPr>
                <w:rFonts w:hint="eastAsia" w:ascii="宋体" w:eastAsia="宋体"/>
                <w:color w:val="000000"/>
                <w:sz w:val="24"/>
                <w:highlight w:val="none"/>
                <w:lang w:val="en-US" w:eastAsia="zh-CN"/>
              </w:rPr>
              <w:t>1648</w:t>
            </w:r>
          </w:p>
        </w:tc>
        <w:tc>
          <w:tcPr>
            <w:tcW w:w="2147" w:type="dxa"/>
            <w:tcBorders>
              <w:top w:val="single" w:color="000000" w:sz="4" w:space="0"/>
              <w:left w:val="single" w:color="000000" w:sz="4" w:space="0"/>
              <w:bottom w:val="single" w:color="000000" w:sz="4" w:space="0"/>
              <w:right w:val="single" w:color="000000" w:sz="4" w:space="0"/>
            </w:tcBorders>
            <w:shd w:val="solid" w:color="FFFFFF" w:fill="auto"/>
            <w:vAlign w:val="center"/>
          </w:tcPr>
          <w:p>
            <w:pPr>
              <w:keepNext w:val="0"/>
              <w:keepLines w:val="0"/>
              <w:pageBreakBefore w:val="0"/>
              <w:kinsoku/>
              <w:wordWrap/>
              <w:overflowPunct/>
              <w:topLinePunct w:val="0"/>
              <w:autoSpaceDE/>
              <w:autoSpaceDN w:val="0"/>
              <w:bidi w:val="0"/>
              <w:snapToGrid w:val="0"/>
              <w:spacing w:line="360" w:lineRule="auto"/>
              <w:jc w:val="center"/>
              <w:textAlignment w:val="center"/>
              <w:rPr>
                <w:rFonts w:hint="default" w:ascii="宋体" w:eastAsia="宋体"/>
                <w:color w:val="000000"/>
                <w:sz w:val="24"/>
                <w:highlight w:val="none"/>
                <w:lang w:val="en-US" w:eastAsia="zh-CN"/>
              </w:rPr>
            </w:pPr>
            <w:r>
              <w:rPr>
                <w:rFonts w:hint="eastAsia" w:ascii="宋体" w:hAnsi="宋体"/>
                <w:color w:val="000000"/>
                <w:sz w:val="24"/>
                <w:highlight w:val="none"/>
                <w:lang w:val="en-US" w:eastAsia="zh-CN"/>
              </w:rPr>
              <w:t>24</w:t>
            </w:r>
          </w:p>
        </w:tc>
        <w:tc>
          <w:tcPr>
            <w:tcW w:w="3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snapToGrid w:val="0"/>
              <w:spacing w:line="360" w:lineRule="auto"/>
              <w:ind w:firstLine="480" w:firstLineChars="200"/>
              <w:jc w:val="left"/>
              <w:textAlignment w:val="center"/>
              <w:rPr>
                <w:rFonts w:hint="default" w:ascii="宋体" w:eastAsia="宋体"/>
                <w:color w:val="000000"/>
                <w:sz w:val="24"/>
                <w:highlight w:val="none"/>
                <w:lang w:val="en-US" w:eastAsia="zh-CN"/>
              </w:rPr>
            </w:pPr>
            <w:r>
              <w:rPr>
                <w:rFonts w:hint="eastAsia" w:ascii="宋体" w:hAnsi="宋体"/>
                <w:color w:val="000000"/>
                <w:sz w:val="24"/>
                <w:highlight w:val="none"/>
                <w:lang w:val="en-US" w:eastAsia="zh-CN"/>
              </w:rPr>
              <w:t>详见竞争性磋商文件</w:t>
            </w:r>
          </w:p>
        </w:tc>
      </w:tr>
    </w:tbl>
    <w:p>
      <w:pPr>
        <w:keepNext w:val="0"/>
        <w:keepLines w:val="0"/>
        <w:pageBreakBefore w:val="0"/>
        <w:shd w:val="solid" w:color="FFFFFF" w:fill="auto"/>
        <w:kinsoku/>
        <w:wordWrap/>
        <w:overflowPunct/>
        <w:topLinePunct w:val="0"/>
        <w:autoSpaceDE/>
        <w:autoSpaceDN w:val="0"/>
        <w:bidi w:val="0"/>
        <w:adjustRightInd w:val="0"/>
        <w:snapToGrid w:val="0"/>
        <w:spacing w:line="360" w:lineRule="auto"/>
        <w:jc w:val="left"/>
        <w:rPr>
          <w:rFonts w:ascii="Tahoma"/>
          <w:sz w:val="24"/>
          <w:highlight w:val="none"/>
          <w:shd w:val="clear" w:color="auto" w:fill="FFFFFF"/>
        </w:rPr>
      </w:pPr>
      <w:r>
        <w:rPr>
          <w:rFonts w:ascii="Tahoma"/>
          <w:sz w:val="24"/>
          <w:highlight w:val="none"/>
          <w:shd w:val="clear" w:color="auto" w:fill="FFFFFF"/>
        </w:rPr>
        <w:t xml:space="preserve"> </w:t>
      </w:r>
      <w:r>
        <w:rPr>
          <w:rFonts w:hint="eastAsia" w:ascii="宋体" w:hAnsi="宋体"/>
          <w:sz w:val="24"/>
          <w:highlight w:val="none"/>
          <w:lang w:val="en-US" w:eastAsia="zh-CN"/>
        </w:rPr>
        <w:t>供应商</w:t>
      </w:r>
      <w:r>
        <w:rPr>
          <w:rFonts w:hint="eastAsia" w:ascii="宋体" w:hAnsi="宋体"/>
          <w:sz w:val="24"/>
          <w:highlight w:val="none"/>
        </w:rPr>
        <w:t>对本项目进行报价必须整包响应。具体技术要求、数量等内容详见</w:t>
      </w:r>
      <w:r>
        <w:rPr>
          <w:rFonts w:hint="eastAsia" w:ascii="宋体" w:hAnsi="宋体"/>
          <w:sz w:val="24"/>
          <w:highlight w:val="none"/>
          <w:lang w:val="en-US" w:eastAsia="zh-CN"/>
        </w:rPr>
        <w:t>竞争性磋商</w:t>
      </w:r>
      <w:r>
        <w:rPr>
          <w:rFonts w:hint="eastAsia" w:ascii="宋体" w:hAnsi="宋体"/>
          <w:sz w:val="24"/>
          <w:highlight w:val="none"/>
        </w:rPr>
        <w:t>。</w:t>
      </w:r>
    </w:p>
    <w:p>
      <w:pPr>
        <w:keepNext w:val="0"/>
        <w:keepLines w:val="0"/>
        <w:pageBreakBefore w:val="0"/>
        <w:kinsoku/>
        <w:wordWrap/>
        <w:overflowPunct/>
        <w:topLinePunct w:val="0"/>
        <w:autoSpaceDE/>
        <w:bidi w:val="0"/>
        <w:adjustRightInd w:val="0"/>
        <w:snapToGrid w:val="0"/>
        <w:spacing w:line="360" w:lineRule="auto"/>
        <w:rPr>
          <w:rFonts w:ascii="宋体" w:hAnsi="宋体" w:cs="宋体"/>
          <w:b/>
          <w:sz w:val="24"/>
          <w:highlight w:val="none"/>
        </w:rPr>
      </w:pPr>
      <w:r>
        <w:rPr>
          <w:rFonts w:hint="eastAsia" w:ascii="宋体" w:hAnsi="宋体" w:cs="宋体"/>
          <w:b/>
          <w:sz w:val="24"/>
          <w:highlight w:val="none"/>
        </w:rPr>
        <w:t>6、</w:t>
      </w:r>
      <w:r>
        <w:rPr>
          <w:rFonts w:hint="eastAsia" w:ascii="宋体" w:hAnsi="宋体" w:cs="宋体"/>
          <w:b/>
          <w:sz w:val="24"/>
          <w:highlight w:val="none"/>
          <w:lang w:val="en-US" w:eastAsia="zh-CN"/>
        </w:rPr>
        <w:t>供应商</w:t>
      </w:r>
      <w:r>
        <w:rPr>
          <w:rFonts w:hint="eastAsia" w:ascii="宋体" w:hAnsi="宋体" w:cs="宋体"/>
          <w:b/>
          <w:sz w:val="24"/>
          <w:highlight w:val="none"/>
        </w:rPr>
        <w:t>资格要求</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hint="eastAsia" w:ascii="宋体" w:hAnsi="宋体" w:eastAsia="宋体"/>
          <w:sz w:val="24"/>
          <w:highlight w:val="none"/>
          <w:lang w:eastAsia="zh-CN"/>
        </w:rPr>
      </w:pPr>
      <w:r>
        <w:rPr>
          <w:rFonts w:ascii="宋体" w:hAnsi="宋体"/>
          <w:sz w:val="24"/>
          <w:highlight w:val="none"/>
        </w:rPr>
        <w:t xml:space="preserve"> </w:t>
      </w:r>
      <w:r>
        <w:rPr>
          <w:rFonts w:hint="eastAsia" w:ascii="宋体" w:hAnsi="宋体"/>
          <w:sz w:val="24"/>
          <w:highlight w:val="none"/>
        </w:rPr>
        <w:t>6</w:t>
      </w:r>
      <w:r>
        <w:rPr>
          <w:rFonts w:ascii="宋体" w:hAnsi="宋体"/>
          <w:sz w:val="24"/>
          <w:highlight w:val="none"/>
        </w:rPr>
        <w:t>.1</w:t>
      </w:r>
      <w:r>
        <w:rPr>
          <w:rFonts w:hint="eastAsia" w:ascii="宋体" w:hAnsi="宋体"/>
          <w:sz w:val="24"/>
          <w:highlight w:val="none"/>
        </w:rPr>
        <w:t>符合《中华人民共和国政府采购法》第二十二条第一款的规定条件并按《中华人民共和国政府采购法实施条例》第十七条第一款的规定提供相关证明材料</w:t>
      </w:r>
      <w:r>
        <w:rPr>
          <w:rFonts w:hint="eastAsia" w:ascii="宋体" w:hAnsi="宋体"/>
          <w:sz w:val="24"/>
          <w:highlight w:val="none"/>
          <w:lang w:eastAsia="zh-CN"/>
        </w:rPr>
        <w:t>；</w:t>
      </w:r>
    </w:p>
    <w:p>
      <w:pPr>
        <w:keepNext w:val="0"/>
        <w:keepLines w:val="0"/>
        <w:pageBreakBefore w:val="0"/>
        <w:kinsoku/>
        <w:wordWrap/>
        <w:overflowPunct/>
        <w:topLinePunct w:val="0"/>
        <w:autoSpaceDE/>
        <w:bidi w:val="0"/>
        <w:adjustRightInd w:val="0"/>
        <w:snapToGrid w:val="0"/>
        <w:spacing w:line="360" w:lineRule="auto"/>
        <w:ind w:firstLine="120" w:firstLineChars="50"/>
        <w:rPr>
          <w:rFonts w:ascii="宋体" w:hAns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2</w:t>
      </w:r>
      <w:r>
        <w:rPr>
          <w:rFonts w:hint="eastAsia" w:ascii="宋体" w:hAnsi="宋体" w:cs="宋体"/>
          <w:sz w:val="24"/>
          <w:highlight w:val="none"/>
        </w:rPr>
        <w:t>必须为未列入“信用中国”、“中国政府采购网”失信被执行人、重大税收违法案件当事人名单、政府采购严重违法失信名单的企业；</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hAnsi="宋体"/>
          <w:sz w:val="24"/>
          <w:highlight w:val="none"/>
        </w:rPr>
      </w:pPr>
      <w:r>
        <w:rPr>
          <w:rFonts w:hint="eastAsia" w:ascii="宋体" w:hAnsi="宋体" w:cs="宋体"/>
          <w:sz w:val="24"/>
          <w:highlight w:val="none"/>
          <w:lang w:val="en-US" w:eastAsia="zh-CN"/>
        </w:rPr>
        <w:t>6.3</w:t>
      </w:r>
      <w:r>
        <w:rPr>
          <w:rFonts w:hint="eastAsia" w:ascii="宋体" w:hAnsi="宋体"/>
          <w:sz w:val="24"/>
          <w:highlight w:val="none"/>
        </w:rPr>
        <w:t>单位负责人为同一人或者存在直接控股、管理关系的不同投标人，不得参加同一合同项下的采购活动；</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s="宋体"/>
          <w:sz w:val="24"/>
          <w:highlight w:val="none"/>
        </w:rPr>
      </w:pPr>
      <w:r>
        <w:rPr>
          <w:rFonts w:hint="eastAsia" w:ascii="宋体" w:hAnsi="宋体" w:cs="宋体"/>
          <w:sz w:val="24"/>
          <w:highlight w:val="none"/>
        </w:rPr>
        <w:t xml:space="preserve"> 6.</w:t>
      </w:r>
      <w:r>
        <w:rPr>
          <w:rFonts w:hint="eastAsia" w:ascii="宋体" w:hAnsi="宋体" w:cs="宋体"/>
          <w:sz w:val="24"/>
          <w:highlight w:val="none"/>
          <w:lang w:val="en-US" w:eastAsia="zh-CN"/>
        </w:rPr>
        <w:t>4</w:t>
      </w:r>
      <w:r>
        <w:rPr>
          <w:rFonts w:hint="eastAsia" w:ascii="宋体" w:hAnsi="宋体"/>
          <w:sz w:val="24"/>
          <w:highlight w:val="none"/>
        </w:rPr>
        <w:t>本次采购不接受联合体报价；</w:t>
      </w:r>
    </w:p>
    <w:p>
      <w:pPr>
        <w:keepNext w:val="0"/>
        <w:keepLines w:val="0"/>
        <w:pageBreakBefore w:val="0"/>
        <w:kinsoku/>
        <w:wordWrap/>
        <w:overflowPunct/>
        <w:topLinePunct w:val="0"/>
        <w:autoSpaceDE/>
        <w:autoSpaceDN w:val="0"/>
        <w:bidi w:val="0"/>
        <w:adjustRightInd w:val="0"/>
        <w:snapToGrid w:val="0"/>
        <w:spacing w:line="360" w:lineRule="auto"/>
        <w:ind w:firstLine="120" w:firstLineChars="50"/>
        <w:jc w:val="left"/>
        <w:textAlignment w:val="center"/>
        <w:rPr>
          <w:rFonts w:ascii="宋体"/>
          <w:sz w:val="24"/>
          <w:highlight w:val="none"/>
        </w:rPr>
      </w:pPr>
      <w:r>
        <w:rPr>
          <w:rFonts w:hint="eastAsia" w:ascii="宋体" w:hAnsi="宋体"/>
          <w:sz w:val="24"/>
          <w:highlight w:val="none"/>
        </w:rPr>
        <w:t>6</w:t>
      </w:r>
      <w:r>
        <w:rPr>
          <w:rFonts w:ascii="宋体" w:hAnsi="宋体"/>
          <w:sz w:val="24"/>
          <w:highlight w:val="none"/>
        </w:rPr>
        <w:t>.</w:t>
      </w:r>
      <w:r>
        <w:rPr>
          <w:rFonts w:hint="eastAsia" w:ascii="宋体" w:hAnsi="宋体"/>
          <w:sz w:val="24"/>
          <w:highlight w:val="none"/>
          <w:lang w:val="en-US" w:eastAsia="zh-CN"/>
        </w:rPr>
        <w:t>5</w:t>
      </w:r>
      <w:r>
        <w:rPr>
          <w:rFonts w:ascii="宋体" w:hAnsi="宋体"/>
          <w:sz w:val="24"/>
          <w:highlight w:val="none"/>
        </w:rPr>
        <w:t xml:space="preserve"> </w:t>
      </w:r>
      <w:r>
        <w:rPr>
          <w:rFonts w:hint="eastAsia" w:ascii="宋体" w:hAnsi="宋体"/>
          <w:sz w:val="24"/>
          <w:highlight w:val="none"/>
        </w:rPr>
        <w:t>未尽事宜，遵照国家相关规定执行。</w:t>
      </w:r>
      <w:r>
        <w:rPr>
          <w:rFonts w:ascii="宋体" w:hAnsi="宋体"/>
          <w:sz w:val="24"/>
          <w:highlight w:val="none"/>
        </w:rPr>
        <w:t xml:space="preserve"> </w:t>
      </w:r>
    </w:p>
    <w:p>
      <w:pPr>
        <w:keepNext w:val="0"/>
        <w:keepLines w:val="0"/>
        <w:pageBreakBefore w:val="0"/>
        <w:kinsoku/>
        <w:wordWrap/>
        <w:overflowPunct/>
        <w:topLinePunct w:val="0"/>
        <w:autoSpaceDE/>
        <w:bidi w:val="0"/>
        <w:adjustRightInd w:val="0"/>
        <w:snapToGrid w:val="0"/>
        <w:spacing w:line="360" w:lineRule="auto"/>
        <w:rPr>
          <w:rFonts w:ascii="Tahoma"/>
          <w:b/>
          <w:sz w:val="24"/>
          <w:highlight w:val="none"/>
          <w:shd w:val="clear" w:color="auto" w:fill="FFFFFF"/>
        </w:rPr>
      </w:pPr>
      <w:r>
        <w:rPr>
          <w:rFonts w:hint="eastAsia" w:ascii="宋体" w:hAnsi="宋体" w:cs="宋体"/>
          <w:b/>
          <w:sz w:val="24"/>
          <w:highlight w:val="none"/>
        </w:rPr>
        <w:t>7、获取</w:t>
      </w:r>
      <w:r>
        <w:rPr>
          <w:rFonts w:hint="eastAsia" w:ascii="宋体" w:hAnsi="宋体" w:cs="宋体"/>
          <w:b/>
          <w:sz w:val="24"/>
          <w:highlight w:val="none"/>
          <w:lang w:val="en-US" w:eastAsia="zh-CN"/>
        </w:rPr>
        <w:t>竞争性磋商文件</w:t>
      </w:r>
      <w:r>
        <w:rPr>
          <w:rFonts w:hint="eastAsia" w:ascii="宋体" w:hAnsi="宋体" w:cs="宋体"/>
          <w:b/>
          <w:sz w:val="24"/>
          <w:highlight w:val="none"/>
        </w:rPr>
        <w:t>的时间期限、地点、方式及</w:t>
      </w:r>
      <w:r>
        <w:rPr>
          <w:rFonts w:hint="eastAsia" w:ascii="宋体" w:hAnsi="宋体" w:cs="宋体"/>
          <w:b/>
          <w:sz w:val="24"/>
          <w:highlight w:val="none"/>
          <w:lang w:val="en-US" w:eastAsia="zh-CN"/>
        </w:rPr>
        <w:t>争性磋商文件</w:t>
      </w:r>
      <w:r>
        <w:rPr>
          <w:rFonts w:hint="eastAsia" w:ascii="宋体" w:hAnsi="宋体" w:cs="宋体"/>
          <w:b/>
          <w:sz w:val="24"/>
          <w:highlight w:val="none"/>
        </w:rPr>
        <w:t>售价：</w:t>
      </w:r>
    </w:p>
    <w:p>
      <w:pPr>
        <w:keepNext w:val="0"/>
        <w:keepLines w:val="0"/>
        <w:pageBreakBefore w:val="0"/>
        <w:kinsoku/>
        <w:wordWrap/>
        <w:overflowPunct/>
        <w:topLinePunct w:val="0"/>
        <w:autoSpaceDE/>
        <w:autoSpaceDN w:val="0"/>
        <w:bidi w:val="0"/>
        <w:adjustRightInd w:val="0"/>
        <w:snapToGrid w:val="0"/>
        <w:spacing w:line="360" w:lineRule="auto"/>
        <w:ind w:leftChars="-95" w:hanging="199" w:hangingChars="83"/>
        <w:jc w:val="left"/>
        <w:textAlignment w:val="center"/>
        <w:rPr>
          <w:rFonts w:hint="eastAsia" w:ascii="宋体" w:hAnsi="宋体" w:cs="宋体"/>
          <w:bCs/>
          <w:kern w:val="0"/>
          <w:sz w:val="24"/>
          <w:highlight w:val="none"/>
        </w:rPr>
      </w:pPr>
      <w:r>
        <w:rPr>
          <w:rFonts w:ascii="Tahoma"/>
          <w:sz w:val="24"/>
          <w:highlight w:val="none"/>
          <w:shd w:val="clear" w:color="auto" w:fill="FFFFFF"/>
        </w:rPr>
        <w:t xml:space="preserve"> </w:t>
      </w:r>
      <w:r>
        <w:rPr>
          <w:rFonts w:hint="eastAsia" w:ascii="Tahoma"/>
          <w:sz w:val="24"/>
          <w:highlight w:val="none"/>
          <w:shd w:val="clear" w:color="auto" w:fill="FFFFFF"/>
        </w:rPr>
        <w:t xml:space="preserve"> </w:t>
      </w:r>
      <w:r>
        <w:rPr>
          <w:rFonts w:hint="eastAsia" w:ascii="宋体" w:hAnsi="宋体" w:cs="宋体"/>
          <w:bCs/>
          <w:kern w:val="0"/>
          <w:sz w:val="24"/>
          <w:highlight w:val="none"/>
        </w:rPr>
        <w:t xml:space="preserve">   7.1凡有意参加投标者，请于</w:t>
      </w:r>
      <w:r>
        <w:rPr>
          <w:rFonts w:hint="eastAsia" w:ascii="宋体" w:hAnsi="宋体" w:cs="宋体"/>
          <w:b/>
          <w:bCs/>
          <w:sz w:val="24"/>
          <w:highlight w:val="none"/>
          <w:shd w:val="clear" w:color="auto" w:fill="FFFFFF"/>
        </w:rPr>
        <w:t>2020年</w:t>
      </w:r>
      <w:r>
        <w:rPr>
          <w:rFonts w:hint="eastAsia" w:ascii="宋体" w:hAnsi="宋体" w:cs="宋体"/>
          <w:b/>
          <w:bCs/>
          <w:sz w:val="24"/>
          <w:highlight w:val="none"/>
          <w:shd w:val="clear" w:color="auto" w:fill="FFFFFF"/>
          <w:lang w:val="en-US" w:eastAsia="zh-CN"/>
        </w:rPr>
        <w:t>3</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30</w:t>
      </w:r>
      <w:r>
        <w:rPr>
          <w:rFonts w:hint="eastAsia" w:ascii="宋体" w:hAnsi="宋体" w:cs="宋体"/>
          <w:b/>
          <w:bCs/>
          <w:sz w:val="24"/>
          <w:highlight w:val="none"/>
          <w:shd w:val="clear" w:color="auto" w:fill="FFFFFF"/>
        </w:rPr>
        <w:t>日-2020年</w:t>
      </w:r>
      <w:r>
        <w:rPr>
          <w:rFonts w:hint="eastAsia" w:ascii="宋体" w:hAnsi="宋体" w:cs="宋体"/>
          <w:b/>
          <w:bCs/>
          <w:sz w:val="24"/>
          <w:highlight w:val="none"/>
          <w:shd w:val="clear" w:color="auto" w:fill="FFFFFF"/>
          <w:lang w:val="en-US" w:eastAsia="zh-CN"/>
        </w:rPr>
        <w:t>4</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3</w:t>
      </w:r>
      <w:r>
        <w:rPr>
          <w:rFonts w:hint="eastAsia" w:ascii="宋体" w:hAnsi="宋体" w:cs="宋体"/>
          <w:b/>
          <w:bCs/>
          <w:sz w:val="24"/>
          <w:highlight w:val="none"/>
          <w:shd w:val="clear" w:color="auto" w:fill="FFFFFF"/>
        </w:rPr>
        <w:t>日</w:t>
      </w:r>
      <w:r>
        <w:rPr>
          <w:rFonts w:hint="eastAsia" w:ascii="宋体" w:hAnsi="宋体" w:cs="宋体"/>
          <w:bCs/>
          <w:kern w:val="0"/>
          <w:sz w:val="24"/>
          <w:highlight w:val="none"/>
        </w:rPr>
        <w:t>（不含节假日），每日上午9:00时至11:30时，下午13:30时至16:30时（北京时间，下同），按照以下方式获取</w:t>
      </w:r>
      <w:r>
        <w:rPr>
          <w:rFonts w:hint="eastAsia" w:ascii="宋体" w:hAnsi="宋体" w:cs="宋体"/>
          <w:bCs/>
          <w:kern w:val="0"/>
          <w:sz w:val="24"/>
          <w:highlight w:val="none"/>
          <w:lang w:val="en-US" w:eastAsia="zh-CN"/>
        </w:rPr>
        <w:t>竞争性磋商</w:t>
      </w:r>
      <w:r>
        <w:rPr>
          <w:rFonts w:hint="eastAsia" w:ascii="宋体" w:hAnsi="宋体" w:cs="宋体"/>
          <w:bCs/>
          <w:kern w:val="0"/>
          <w:sz w:val="24"/>
          <w:highlight w:val="none"/>
        </w:rPr>
        <w:t>文件（二选一）:</w:t>
      </w:r>
    </w:p>
    <w:p>
      <w:pPr>
        <w:keepNext w:val="0"/>
        <w:keepLines w:val="0"/>
        <w:pageBreakBefore w:val="0"/>
        <w:kinsoku/>
        <w:wordWrap/>
        <w:overflowPunct/>
        <w:topLinePunct w:val="0"/>
        <w:autoSpaceDE/>
        <w:autoSpaceDN w:val="0"/>
        <w:bidi w:val="0"/>
        <w:adjustRightInd w:val="0"/>
        <w:snapToGrid w:val="0"/>
        <w:spacing w:line="360" w:lineRule="auto"/>
        <w:ind w:left="40" w:leftChars="19" w:firstLine="516" w:firstLineChars="215"/>
        <w:jc w:val="left"/>
        <w:textAlignment w:val="center"/>
        <w:rPr>
          <w:rFonts w:hint="eastAsia" w:ascii="宋体" w:hAnsi="宋体" w:eastAsia="宋体" w:cs="宋体"/>
          <w:bCs/>
          <w:kern w:val="0"/>
          <w:sz w:val="24"/>
          <w:highlight w:val="none"/>
          <w:lang w:eastAsia="zh-CN"/>
        </w:rPr>
      </w:pPr>
      <w:r>
        <w:rPr>
          <w:rFonts w:hint="eastAsia" w:ascii="宋体" w:hAnsi="宋体" w:cs="宋体"/>
          <w:bCs/>
          <w:kern w:val="0"/>
          <w:sz w:val="24"/>
          <w:highlight w:val="none"/>
        </w:rPr>
        <w:t>（一）现场报名：持下列资料到山东省鲁成招标有限公司2407室（济南市经十路10567号成城大厦A座）报名并购买争性磋商文件文件：（1）法定代表人证书或法人授权委托书(原件)、法定代表人或授权代表身份证；</w:t>
      </w:r>
      <w:r>
        <w:rPr>
          <w:rFonts w:hint="eastAsia" w:ascii="宋体" w:hAnsi="宋体" w:cs="宋体"/>
          <w:bCs/>
          <w:kern w:val="0"/>
          <w:sz w:val="24"/>
          <w:highlight w:val="none"/>
          <w:lang w:eastAsia="zh-CN"/>
        </w:rPr>
        <w:t>（</w:t>
      </w:r>
      <w:r>
        <w:rPr>
          <w:rFonts w:hint="eastAsia" w:ascii="宋体" w:hAnsi="宋体" w:cs="宋体"/>
          <w:bCs/>
          <w:kern w:val="0"/>
          <w:sz w:val="24"/>
          <w:highlight w:val="none"/>
          <w:lang w:val="en-US" w:eastAsia="zh-CN"/>
        </w:rPr>
        <w:t>2</w:t>
      </w:r>
      <w:r>
        <w:rPr>
          <w:rFonts w:hint="eastAsia" w:ascii="宋体" w:hAnsi="宋体" w:cs="宋体"/>
          <w:bCs/>
          <w:kern w:val="0"/>
          <w:sz w:val="24"/>
          <w:highlight w:val="none"/>
          <w:lang w:eastAsia="zh-CN"/>
        </w:rPr>
        <w:t>）《中华人民共和国政府采购法实施条例》</w:t>
      </w:r>
      <w:r>
        <w:rPr>
          <w:rFonts w:hint="eastAsia" w:ascii="宋体" w:hAnsi="宋体" w:cs="宋体"/>
          <w:bCs/>
          <w:kern w:val="0"/>
          <w:sz w:val="24"/>
          <w:highlight w:val="none"/>
        </w:rPr>
        <w:t>第十七条第一款规定</w:t>
      </w:r>
      <w:r>
        <w:rPr>
          <w:rFonts w:hint="eastAsia" w:ascii="宋体" w:hAnsi="宋体" w:cs="宋体"/>
          <w:bCs/>
          <w:kern w:val="0"/>
          <w:sz w:val="24"/>
          <w:highlight w:val="none"/>
          <w:lang w:val="en-US" w:eastAsia="zh-CN"/>
        </w:rPr>
        <w:t>的</w:t>
      </w:r>
      <w:r>
        <w:rPr>
          <w:rFonts w:hint="eastAsia" w:ascii="宋体" w:hAnsi="宋体" w:cs="宋体"/>
          <w:bCs/>
          <w:kern w:val="0"/>
          <w:sz w:val="24"/>
          <w:highlight w:val="none"/>
        </w:rPr>
        <w:t>相关证明材料加盖公章</w:t>
      </w:r>
      <w:r>
        <w:rPr>
          <w:rFonts w:hint="eastAsia" w:ascii="宋体" w:hAnsi="宋体" w:cs="宋体"/>
          <w:bCs/>
          <w:kern w:val="0"/>
          <w:sz w:val="24"/>
          <w:highlight w:val="none"/>
          <w:lang w:eastAsia="zh-CN"/>
        </w:rPr>
        <w:t>。</w:t>
      </w:r>
    </w:p>
    <w:p>
      <w:pPr>
        <w:keepNext w:val="0"/>
        <w:keepLines w:val="0"/>
        <w:pageBreakBefore w:val="0"/>
        <w:kinsoku/>
        <w:wordWrap/>
        <w:overflowPunct/>
        <w:topLinePunct w:val="0"/>
        <w:autoSpaceDE/>
        <w:autoSpaceDN w:val="0"/>
        <w:bidi w:val="0"/>
        <w:adjustRightInd w:val="0"/>
        <w:snapToGrid w:val="0"/>
        <w:spacing w:line="360" w:lineRule="auto"/>
        <w:ind w:left="40" w:leftChars="19" w:firstLine="516" w:firstLineChars="215"/>
        <w:jc w:val="left"/>
        <w:textAlignment w:val="center"/>
        <w:rPr>
          <w:rFonts w:hint="eastAsia" w:ascii="宋体" w:hAnsi="宋体" w:cs="宋体"/>
          <w:bCs/>
          <w:kern w:val="0"/>
          <w:sz w:val="24"/>
          <w:highlight w:val="none"/>
        </w:rPr>
      </w:pPr>
      <w:r>
        <w:rPr>
          <w:rFonts w:hint="eastAsia" w:ascii="宋体" w:hAnsi="宋体" w:cs="宋体"/>
          <w:bCs/>
          <w:kern w:val="0"/>
          <w:sz w:val="24"/>
          <w:highlight w:val="none"/>
        </w:rPr>
        <w:t>（二）邮件报名：有意参加本次采购活动的供应商发送邮件。邮件内容：项目名称、项目编号、公司名称、联系人、联系电话、邮箱、《中华人民共和国政府采购法实施条例》第十七条第一款规定</w:t>
      </w:r>
      <w:r>
        <w:rPr>
          <w:rFonts w:hint="eastAsia" w:ascii="宋体" w:hAnsi="宋体" w:cs="宋体"/>
          <w:bCs/>
          <w:kern w:val="0"/>
          <w:sz w:val="24"/>
          <w:highlight w:val="none"/>
          <w:lang w:val="en-US" w:eastAsia="zh-CN"/>
        </w:rPr>
        <w:t>的</w:t>
      </w:r>
      <w:r>
        <w:rPr>
          <w:rFonts w:hint="eastAsia" w:ascii="宋体" w:hAnsi="宋体" w:cs="宋体"/>
          <w:bCs/>
          <w:kern w:val="0"/>
          <w:sz w:val="24"/>
          <w:highlight w:val="none"/>
        </w:rPr>
        <w:t>相关证明材料加盖公章</w:t>
      </w:r>
      <w:r>
        <w:rPr>
          <w:rFonts w:hint="eastAsia" w:ascii="宋体" w:hAnsi="宋体" w:cs="宋体"/>
          <w:bCs/>
          <w:kern w:val="0"/>
          <w:sz w:val="24"/>
          <w:highlight w:val="none"/>
          <w:lang w:val="en-US" w:eastAsia="zh-CN"/>
        </w:rPr>
        <w:t>扫描件</w:t>
      </w:r>
      <w:r>
        <w:rPr>
          <w:rFonts w:hint="eastAsia" w:ascii="宋体" w:hAnsi="宋体" w:cs="宋体"/>
          <w:bCs/>
          <w:kern w:val="0"/>
          <w:sz w:val="24"/>
          <w:highlight w:val="none"/>
        </w:rPr>
        <w:t>、授权委托书扫描件加盖公章扫描件加盖公章、标书费汇款底单发送至山东省鲁成招标有限公司邮箱lczb08@126.com，邮件名称命名为：响应单位名称-项目名称-报名。(提交标书费须从公司基本账户或一般账户转出，须标明项目编号、我公司开户银行：中国农业银行济南分行、开户名：山东省鲁成招标有限公司、银行账号：15110101040001136)</w:t>
      </w:r>
    </w:p>
    <w:p>
      <w:pPr>
        <w:keepNext w:val="0"/>
        <w:keepLines w:val="0"/>
        <w:pageBreakBefore w:val="0"/>
        <w:kinsoku/>
        <w:wordWrap/>
        <w:overflowPunct/>
        <w:topLinePunct w:val="0"/>
        <w:autoSpaceDE/>
        <w:autoSpaceDN w:val="0"/>
        <w:bidi w:val="0"/>
        <w:adjustRightInd w:val="0"/>
        <w:snapToGrid w:val="0"/>
        <w:spacing w:line="360" w:lineRule="auto"/>
        <w:ind w:firstLine="482" w:firstLineChars="200"/>
        <w:jc w:val="left"/>
        <w:textAlignment w:val="center"/>
        <w:rPr>
          <w:rFonts w:hint="eastAsia"/>
          <w:color w:val="C00000"/>
        </w:rPr>
      </w:pPr>
      <w:r>
        <w:rPr>
          <w:rFonts w:hint="eastAsia" w:ascii="宋体" w:hAnsi="宋体" w:cs="宋体"/>
          <w:b/>
          <w:bCs w:val="0"/>
          <w:color w:val="C00000"/>
          <w:kern w:val="0"/>
          <w:sz w:val="24"/>
          <w:szCs w:val="24"/>
          <w:highlight w:val="none"/>
          <w:lang w:val="en-US" w:eastAsia="zh-CN"/>
        </w:rPr>
        <w:t>（注：疫情期间提倡通过邮件形式报名）</w:t>
      </w:r>
    </w:p>
    <w:p>
      <w:pPr>
        <w:keepNext w:val="0"/>
        <w:keepLines w:val="0"/>
        <w:pageBreakBefore w:val="0"/>
        <w:kinsoku/>
        <w:wordWrap/>
        <w:overflowPunct/>
        <w:topLinePunct w:val="0"/>
        <w:autoSpaceDE/>
        <w:autoSpaceDN w:val="0"/>
        <w:bidi w:val="0"/>
        <w:adjustRightInd w:val="0"/>
        <w:snapToGrid w:val="0"/>
        <w:spacing w:line="360" w:lineRule="auto"/>
        <w:ind w:left="40" w:leftChars="19" w:firstLine="516" w:firstLineChars="215"/>
        <w:jc w:val="left"/>
        <w:textAlignment w:val="center"/>
        <w:rPr>
          <w:rFonts w:hint="eastAsia" w:ascii="宋体" w:hAnsi="宋体" w:cs="宋体"/>
          <w:bCs/>
          <w:kern w:val="0"/>
          <w:sz w:val="24"/>
          <w:highlight w:val="none"/>
        </w:rPr>
      </w:pPr>
      <w:r>
        <w:rPr>
          <w:rFonts w:hint="eastAsia" w:ascii="宋体" w:hAnsi="宋体" w:cs="宋体"/>
          <w:bCs/>
          <w:kern w:val="0"/>
          <w:sz w:val="24"/>
          <w:highlight w:val="none"/>
        </w:rPr>
        <w:t>根据财库〔2016〕125号文的规定，采购代理机构应当通过“信用中国”网站(www.creditchina.gov.cn)、中国政府采购网(www.ccgp.gov.cn)等渠道查询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pPr>
        <w:keepNext w:val="0"/>
        <w:keepLines w:val="0"/>
        <w:pageBreakBefore w:val="0"/>
        <w:kinsoku/>
        <w:wordWrap/>
        <w:overflowPunct/>
        <w:topLinePunct w:val="0"/>
        <w:autoSpaceDE/>
        <w:autoSpaceDN w:val="0"/>
        <w:bidi w:val="0"/>
        <w:adjustRightInd w:val="0"/>
        <w:snapToGrid w:val="0"/>
        <w:spacing w:line="360" w:lineRule="auto"/>
        <w:ind w:left="40" w:leftChars="19" w:firstLine="516" w:firstLineChars="215"/>
        <w:jc w:val="left"/>
        <w:textAlignment w:val="center"/>
        <w:rPr>
          <w:rFonts w:hint="eastAsia" w:ascii="宋体" w:hAnsi="宋体" w:cs="宋体"/>
          <w:bCs/>
          <w:kern w:val="0"/>
          <w:sz w:val="24"/>
          <w:highlight w:val="none"/>
        </w:rPr>
      </w:pPr>
      <w:r>
        <w:rPr>
          <w:rFonts w:hint="eastAsia" w:ascii="宋体" w:hAnsi="宋体" w:cs="宋体"/>
          <w:bCs/>
          <w:kern w:val="0"/>
          <w:sz w:val="24"/>
          <w:highlight w:val="none"/>
          <w:lang w:val="en-US" w:eastAsia="zh-CN"/>
        </w:rPr>
        <w:t xml:space="preserve">  </w:t>
      </w:r>
      <w:r>
        <w:rPr>
          <w:rFonts w:hint="eastAsia" w:ascii="宋体" w:hAnsi="宋体" w:cs="宋体"/>
          <w:b/>
          <w:bCs w:val="0"/>
          <w:kern w:val="0"/>
          <w:sz w:val="28"/>
          <w:szCs w:val="28"/>
          <w:highlight w:val="none"/>
          <w:lang w:val="en-US" w:eastAsia="zh-CN"/>
        </w:rPr>
        <w:t xml:space="preserve"> </w:t>
      </w:r>
      <w:r>
        <w:rPr>
          <w:rFonts w:hint="eastAsia" w:ascii="宋体" w:hAnsi="宋体" w:cs="宋体"/>
          <w:bCs/>
          <w:kern w:val="0"/>
          <w:sz w:val="24"/>
          <w:highlight w:val="none"/>
        </w:rPr>
        <w:t>报名时提交的资料查验不代表资格审查的最终合格或通过。</w:t>
      </w:r>
      <w:r>
        <w:rPr>
          <w:rFonts w:hint="eastAsia" w:ascii="宋体" w:hAnsi="宋体" w:cs="宋体"/>
          <w:bCs/>
          <w:kern w:val="0"/>
          <w:sz w:val="24"/>
          <w:highlight w:val="none"/>
          <w:lang w:val="en-US" w:eastAsia="zh-CN"/>
        </w:rPr>
        <w:t>供应商</w:t>
      </w:r>
      <w:r>
        <w:rPr>
          <w:rFonts w:hint="eastAsia" w:ascii="宋体" w:hAnsi="宋体" w:cs="宋体"/>
          <w:bCs/>
          <w:kern w:val="0"/>
          <w:sz w:val="24"/>
          <w:highlight w:val="none"/>
        </w:rPr>
        <w:t>最终资格的确认以评标委员会组织的资格后审为准。</w:t>
      </w:r>
    </w:p>
    <w:p>
      <w:pPr>
        <w:keepNext w:val="0"/>
        <w:keepLines w:val="0"/>
        <w:pageBreakBefore w:val="0"/>
        <w:kinsoku/>
        <w:wordWrap/>
        <w:overflowPunct/>
        <w:topLinePunct w:val="0"/>
        <w:autoSpaceDE/>
        <w:autoSpaceDN w:val="0"/>
        <w:bidi w:val="0"/>
        <w:adjustRightInd w:val="0"/>
        <w:snapToGrid w:val="0"/>
        <w:spacing w:line="360" w:lineRule="auto"/>
        <w:ind w:firstLine="480"/>
        <w:jc w:val="left"/>
        <w:textAlignment w:val="center"/>
        <w:rPr>
          <w:rFonts w:ascii="宋体" w:hAnsi="宋体"/>
          <w:sz w:val="24"/>
          <w:highlight w:val="none"/>
        </w:rPr>
      </w:pPr>
      <w:r>
        <w:rPr>
          <w:rFonts w:hint="eastAsia" w:ascii="宋体" w:hAnsi="宋体" w:cs="宋体"/>
          <w:bCs/>
          <w:kern w:val="0"/>
          <w:sz w:val="24"/>
          <w:highlight w:val="none"/>
        </w:rPr>
        <w:t>7</w:t>
      </w:r>
      <w:r>
        <w:rPr>
          <w:rFonts w:ascii="宋体" w:hAnsi="宋体" w:cs="宋体"/>
          <w:bCs/>
          <w:kern w:val="0"/>
          <w:sz w:val="24"/>
          <w:highlight w:val="none"/>
        </w:rPr>
        <w:t>.2</w:t>
      </w:r>
      <w:r>
        <w:rPr>
          <w:rFonts w:hint="eastAsia" w:ascii="宋体" w:hAnsi="宋体" w:cs="宋体"/>
          <w:sz w:val="24"/>
          <w:highlight w:val="none"/>
          <w:lang w:val="en-US" w:eastAsia="zh-CN"/>
        </w:rPr>
        <w:t>竞争性磋商</w:t>
      </w:r>
      <w:r>
        <w:rPr>
          <w:rFonts w:hint="eastAsia" w:ascii="宋体" w:hAnsi="宋体" w:cs="宋体"/>
          <w:sz w:val="24"/>
          <w:highlight w:val="none"/>
        </w:rPr>
        <w:t>文件</w:t>
      </w:r>
      <w:r>
        <w:rPr>
          <w:rFonts w:hint="eastAsia" w:ascii="宋体" w:hAnsi="宋体" w:cs="宋体"/>
          <w:bCs/>
          <w:kern w:val="0"/>
          <w:sz w:val="24"/>
          <w:highlight w:val="none"/>
        </w:rPr>
        <w:t>工本费：</w:t>
      </w:r>
      <w:r>
        <w:rPr>
          <w:rFonts w:ascii="宋体" w:hAnsi="宋体" w:cs="宋体"/>
          <w:bCs/>
          <w:kern w:val="0"/>
          <w:sz w:val="24"/>
          <w:highlight w:val="none"/>
        </w:rPr>
        <w:t>300</w:t>
      </w:r>
      <w:r>
        <w:rPr>
          <w:rFonts w:hint="eastAsia" w:ascii="宋体" w:hAnsi="宋体" w:cs="宋体"/>
          <w:bCs/>
          <w:kern w:val="0"/>
          <w:sz w:val="24"/>
          <w:highlight w:val="none"/>
        </w:rPr>
        <w:t>元</w:t>
      </w:r>
      <w:r>
        <w:rPr>
          <w:rFonts w:ascii="宋体" w:hAnsi="宋体" w:cs="宋体"/>
          <w:bCs/>
          <w:kern w:val="0"/>
          <w:sz w:val="24"/>
          <w:highlight w:val="none"/>
        </w:rPr>
        <w:t>/</w:t>
      </w:r>
      <w:r>
        <w:rPr>
          <w:rFonts w:hint="eastAsia" w:ascii="宋体" w:hAnsi="宋体" w:cs="宋体"/>
          <w:bCs/>
          <w:kern w:val="0"/>
          <w:sz w:val="24"/>
          <w:highlight w:val="none"/>
        </w:rPr>
        <w:t>本，</w:t>
      </w:r>
      <w:r>
        <w:rPr>
          <w:rFonts w:hint="eastAsia" w:ascii="宋体" w:hAnsi="宋体" w:cs="宋体"/>
          <w:sz w:val="24"/>
          <w:highlight w:val="none"/>
        </w:rPr>
        <w:t>文件</w:t>
      </w:r>
      <w:r>
        <w:rPr>
          <w:rFonts w:hint="eastAsia" w:ascii="宋体" w:hAnsi="宋体" w:cs="宋体"/>
          <w:bCs/>
          <w:kern w:val="0"/>
          <w:sz w:val="24"/>
          <w:highlight w:val="none"/>
        </w:rPr>
        <w:t>售后不退。</w:t>
      </w:r>
    </w:p>
    <w:p>
      <w:pPr>
        <w:keepNext w:val="0"/>
        <w:keepLines w:val="0"/>
        <w:pageBreakBefore w:val="0"/>
        <w:kinsoku/>
        <w:wordWrap/>
        <w:overflowPunct/>
        <w:topLinePunct w:val="0"/>
        <w:autoSpaceDE/>
        <w:bidi w:val="0"/>
        <w:adjustRightInd w:val="0"/>
        <w:snapToGrid w:val="0"/>
        <w:spacing w:line="360" w:lineRule="auto"/>
        <w:rPr>
          <w:rFonts w:ascii="宋体" w:hAnsi="宋体"/>
          <w:sz w:val="24"/>
          <w:highlight w:val="none"/>
        </w:rPr>
      </w:pPr>
      <w:r>
        <w:rPr>
          <w:rFonts w:hint="eastAsia" w:ascii="宋体" w:hAnsi="宋体" w:cs="宋体"/>
          <w:b/>
          <w:sz w:val="24"/>
          <w:highlight w:val="none"/>
        </w:rPr>
        <w:t>8、公告期限：</w:t>
      </w:r>
      <w:r>
        <w:rPr>
          <w:rFonts w:hint="eastAsia" w:ascii="宋体" w:hAnsi="宋体" w:cs="宋体"/>
          <w:b/>
          <w:bCs/>
          <w:sz w:val="24"/>
          <w:highlight w:val="none"/>
          <w:shd w:val="clear" w:color="auto" w:fill="FFFFFF"/>
        </w:rPr>
        <w:t>2020年</w:t>
      </w:r>
      <w:r>
        <w:rPr>
          <w:rFonts w:hint="eastAsia" w:ascii="宋体" w:hAnsi="宋体" w:cs="宋体"/>
          <w:b/>
          <w:bCs/>
          <w:sz w:val="24"/>
          <w:highlight w:val="none"/>
          <w:shd w:val="clear" w:color="auto" w:fill="FFFFFF"/>
          <w:lang w:val="en-US" w:eastAsia="zh-CN"/>
        </w:rPr>
        <w:t>3</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30</w:t>
      </w:r>
      <w:r>
        <w:rPr>
          <w:rFonts w:hint="eastAsia" w:ascii="宋体" w:hAnsi="宋体" w:cs="宋体"/>
          <w:b/>
          <w:bCs/>
          <w:sz w:val="24"/>
          <w:highlight w:val="none"/>
          <w:shd w:val="clear" w:color="auto" w:fill="FFFFFF"/>
        </w:rPr>
        <w:t>日-2020年</w:t>
      </w:r>
      <w:r>
        <w:rPr>
          <w:rFonts w:hint="eastAsia" w:ascii="宋体" w:hAnsi="宋体" w:cs="宋体"/>
          <w:b/>
          <w:bCs/>
          <w:sz w:val="24"/>
          <w:highlight w:val="none"/>
          <w:shd w:val="clear" w:color="auto" w:fill="FFFFFF"/>
          <w:lang w:val="en-US" w:eastAsia="zh-CN"/>
        </w:rPr>
        <w:t>4</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3</w:t>
      </w:r>
      <w:r>
        <w:rPr>
          <w:rFonts w:hint="eastAsia" w:ascii="宋体" w:hAnsi="宋体" w:cs="宋体"/>
          <w:b/>
          <w:bCs/>
          <w:sz w:val="24"/>
          <w:highlight w:val="none"/>
          <w:shd w:val="clear" w:color="auto" w:fill="FFFFFF"/>
        </w:rPr>
        <w:t>日</w:t>
      </w:r>
      <w:r>
        <w:rPr>
          <w:rFonts w:hint="eastAsia" w:ascii="宋体" w:hAnsi="宋体"/>
          <w:sz w:val="24"/>
          <w:highlight w:val="none"/>
        </w:rPr>
        <w:t>（不含节假日）</w:t>
      </w:r>
    </w:p>
    <w:p>
      <w:pPr>
        <w:keepNext w:val="0"/>
        <w:keepLines w:val="0"/>
        <w:pageBreakBefore w:val="0"/>
        <w:kinsoku/>
        <w:wordWrap/>
        <w:overflowPunct/>
        <w:topLinePunct w:val="0"/>
        <w:autoSpaceDE/>
        <w:bidi w:val="0"/>
        <w:adjustRightInd w:val="0"/>
        <w:snapToGrid w:val="0"/>
        <w:spacing w:line="360" w:lineRule="auto"/>
        <w:rPr>
          <w:rFonts w:ascii="宋体" w:cs="宋体"/>
          <w:kern w:val="0"/>
          <w:sz w:val="24"/>
          <w:highlight w:val="none"/>
        </w:rPr>
      </w:pPr>
      <w:r>
        <w:rPr>
          <w:rFonts w:hint="eastAsia" w:ascii="宋体" w:hAnsi="宋体" w:cs="宋体"/>
          <w:b/>
          <w:sz w:val="24"/>
          <w:highlight w:val="none"/>
        </w:rPr>
        <w:t>9、</w:t>
      </w:r>
      <w:r>
        <w:rPr>
          <w:rFonts w:hint="eastAsia" w:ascii="宋体" w:hAnsi="宋体" w:cs="宋体"/>
          <w:b/>
          <w:sz w:val="24"/>
          <w:highlight w:val="none"/>
          <w:lang w:val="en-US" w:eastAsia="zh-CN"/>
        </w:rPr>
        <w:t>响应</w:t>
      </w:r>
      <w:r>
        <w:rPr>
          <w:rFonts w:hint="eastAsia" w:ascii="宋体" w:hAnsi="宋体" w:cs="宋体"/>
          <w:b/>
          <w:sz w:val="24"/>
          <w:highlight w:val="none"/>
        </w:rPr>
        <w:t>文件递交截止时间及</w:t>
      </w:r>
      <w:r>
        <w:rPr>
          <w:rFonts w:hint="eastAsia" w:ascii="宋体" w:hAnsi="宋体" w:cs="宋体"/>
          <w:b/>
          <w:sz w:val="24"/>
          <w:highlight w:val="none"/>
          <w:lang w:val="en-US" w:eastAsia="zh-CN"/>
        </w:rPr>
        <w:t>磋商</w:t>
      </w:r>
      <w:r>
        <w:rPr>
          <w:rFonts w:hint="eastAsia" w:ascii="宋体" w:hAnsi="宋体" w:cs="宋体"/>
          <w:b/>
          <w:sz w:val="24"/>
          <w:highlight w:val="none"/>
        </w:rPr>
        <w:t>时间：</w:t>
      </w:r>
      <w:r>
        <w:rPr>
          <w:rFonts w:hint="eastAsia" w:ascii="宋体" w:cs="宋体"/>
          <w:b/>
          <w:sz w:val="24"/>
          <w:highlight w:val="none"/>
        </w:rPr>
        <w:t>2020</w:t>
      </w:r>
      <w:r>
        <w:rPr>
          <w:rFonts w:hint="eastAsia" w:ascii="宋体" w:hAnsi="宋体"/>
          <w:b/>
          <w:sz w:val="24"/>
          <w:highlight w:val="none"/>
        </w:rPr>
        <w:t>年</w:t>
      </w:r>
      <w:r>
        <w:rPr>
          <w:rFonts w:hint="eastAsia" w:ascii="宋体" w:hAnsi="宋体"/>
          <w:b/>
          <w:sz w:val="24"/>
          <w:highlight w:val="none"/>
          <w:lang w:val="en-US" w:eastAsia="zh-CN"/>
        </w:rPr>
        <w:t>4</w:t>
      </w:r>
      <w:r>
        <w:rPr>
          <w:rFonts w:hint="eastAsia" w:ascii="宋体" w:hAnsi="宋体"/>
          <w:b/>
          <w:sz w:val="24"/>
          <w:highlight w:val="none"/>
        </w:rPr>
        <w:t>月</w:t>
      </w:r>
      <w:r>
        <w:rPr>
          <w:rFonts w:hint="eastAsia" w:ascii="宋体" w:hAnsi="宋体"/>
          <w:b/>
          <w:sz w:val="24"/>
          <w:highlight w:val="none"/>
          <w:lang w:val="en-US" w:eastAsia="zh-CN"/>
        </w:rPr>
        <w:t>15</w:t>
      </w:r>
      <w:r>
        <w:rPr>
          <w:rFonts w:hint="eastAsia" w:ascii="宋体" w:hAnsi="宋体"/>
          <w:b/>
          <w:sz w:val="24"/>
          <w:highlight w:val="none"/>
        </w:rPr>
        <w:t>日9</w:t>
      </w:r>
      <w:r>
        <w:rPr>
          <w:rFonts w:ascii="宋体" w:hAnsi="宋体"/>
          <w:b/>
          <w:sz w:val="24"/>
          <w:highlight w:val="none"/>
        </w:rPr>
        <w:t>:</w:t>
      </w:r>
      <w:r>
        <w:rPr>
          <w:rFonts w:hint="eastAsia" w:ascii="宋体" w:hAnsi="宋体"/>
          <w:b/>
          <w:sz w:val="24"/>
          <w:highlight w:val="none"/>
        </w:rPr>
        <w:t>0</w:t>
      </w:r>
      <w:r>
        <w:rPr>
          <w:rFonts w:ascii="宋体" w:hAnsi="宋体"/>
          <w:b/>
          <w:sz w:val="24"/>
          <w:highlight w:val="none"/>
        </w:rPr>
        <w:t>0</w:t>
      </w:r>
      <w:r>
        <w:rPr>
          <w:rFonts w:hint="eastAsia" w:ascii="宋体" w:hAnsi="宋体"/>
          <w:b/>
          <w:sz w:val="24"/>
          <w:highlight w:val="none"/>
        </w:rPr>
        <w:t>时（北京时间）</w:t>
      </w:r>
      <w:r>
        <w:rPr>
          <w:rFonts w:hint="eastAsia" w:ascii="宋体" w:hAnsi="宋体"/>
          <w:sz w:val="24"/>
          <w:highlight w:val="none"/>
        </w:rPr>
        <w:t>；</w:t>
      </w:r>
    </w:p>
    <w:p>
      <w:pPr>
        <w:keepNext w:val="0"/>
        <w:keepLines w:val="0"/>
        <w:pageBreakBefore w:val="0"/>
        <w:kinsoku/>
        <w:wordWrap/>
        <w:overflowPunct/>
        <w:topLinePunct w:val="0"/>
        <w:autoSpaceDE/>
        <w:bidi w:val="0"/>
        <w:adjustRightInd w:val="0"/>
        <w:snapToGrid w:val="0"/>
        <w:spacing w:line="360" w:lineRule="auto"/>
        <w:rPr>
          <w:rFonts w:asci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en-US" w:eastAsia="zh-CN"/>
        </w:rPr>
        <w:t>9.1</w:t>
      </w:r>
      <w:r>
        <w:rPr>
          <w:rFonts w:hint="eastAsia" w:ascii="宋体" w:hAnsi="宋体" w:cs="宋体"/>
          <w:b/>
          <w:bCs/>
          <w:kern w:val="0"/>
          <w:sz w:val="24"/>
          <w:highlight w:val="none"/>
          <w:lang w:val="en-US" w:eastAsia="zh-CN"/>
        </w:rPr>
        <w:t>响应</w:t>
      </w:r>
      <w:r>
        <w:rPr>
          <w:rFonts w:hint="eastAsia" w:ascii="宋体" w:hAnsi="宋体" w:cs="宋体"/>
          <w:b/>
          <w:bCs/>
          <w:kern w:val="0"/>
          <w:sz w:val="24"/>
          <w:highlight w:val="none"/>
        </w:rPr>
        <w:t>文件递交地点及</w:t>
      </w:r>
      <w:r>
        <w:rPr>
          <w:rFonts w:hint="eastAsia" w:ascii="宋体" w:hAnsi="宋体" w:cs="宋体"/>
          <w:b/>
          <w:bCs/>
          <w:kern w:val="0"/>
          <w:sz w:val="24"/>
          <w:highlight w:val="none"/>
          <w:lang w:val="en-US" w:eastAsia="zh-CN"/>
        </w:rPr>
        <w:t>磋商</w:t>
      </w:r>
      <w:r>
        <w:rPr>
          <w:rFonts w:hint="eastAsia" w:ascii="宋体" w:hAnsi="宋体" w:cs="宋体"/>
          <w:b/>
          <w:bCs/>
          <w:kern w:val="0"/>
          <w:sz w:val="24"/>
          <w:highlight w:val="none"/>
        </w:rPr>
        <w:t>地点：</w:t>
      </w:r>
      <w:bookmarkStart w:id="8" w:name="OLE_LINK1"/>
      <w:bookmarkStart w:id="9" w:name="OLE_LINK2"/>
      <w:r>
        <w:rPr>
          <w:rFonts w:hint="eastAsia" w:ascii="宋体" w:hAnsi="宋体"/>
          <w:color w:val="000000"/>
          <w:sz w:val="24"/>
          <w:highlight w:val="none"/>
        </w:rPr>
        <w:t>山东大学第二医院办公楼</w:t>
      </w:r>
      <w:r>
        <w:rPr>
          <w:rFonts w:hint="eastAsia" w:ascii="宋体" w:hAnsi="宋体"/>
          <w:color w:val="000000"/>
          <w:sz w:val="24"/>
          <w:highlight w:val="none"/>
          <w:lang w:eastAsia="zh-CN"/>
        </w:rPr>
        <w:t>五</w:t>
      </w:r>
      <w:r>
        <w:rPr>
          <w:rFonts w:hint="eastAsia" w:ascii="宋体" w:hAnsi="宋体"/>
          <w:color w:val="000000"/>
          <w:sz w:val="24"/>
          <w:highlight w:val="none"/>
        </w:rPr>
        <w:t>楼会议室（地址：济南市天桥区北园大街</w:t>
      </w:r>
      <w:r>
        <w:rPr>
          <w:rFonts w:ascii="宋体" w:hAnsi="宋体"/>
          <w:color w:val="000000"/>
          <w:sz w:val="24"/>
          <w:highlight w:val="none"/>
        </w:rPr>
        <w:t>247</w:t>
      </w:r>
      <w:r>
        <w:rPr>
          <w:rFonts w:hint="eastAsia" w:ascii="宋体" w:hAnsi="宋体"/>
          <w:color w:val="000000"/>
          <w:sz w:val="24"/>
          <w:highlight w:val="none"/>
        </w:rPr>
        <w:t>号</w:t>
      </w:r>
      <w:bookmarkEnd w:id="8"/>
      <w:bookmarkEnd w:id="9"/>
      <w:r>
        <w:rPr>
          <w:rFonts w:hint="eastAsia" w:ascii="宋体" w:hAnsi="宋体"/>
          <w:color w:val="000000"/>
          <w:sz w:val="24"/>
          <w:highlight w:val="none"/>
          <w:lang w:val="en-US" w:eastAsia="zh-CN"/>
        </w:rPr>
        <w:t>,</w:t>
      </w:r>
      <w:r>
        <w:rPr>
          <w:rFonts w:hint="eastAsia" w:ascii="宋体" w:hAnsi="宋体"/>
          <w:color w:val="000000"/>
          <w:sz w:val="24"/>
          <w:highlight w:val="none"/>
          <w:lang w:eastAsia="zh-CN"/>
        </w:rPr>
        <w:t>如需变更另行通知）</w:t>
      </w:r>
      <w:r>
        <w:rPr>
          <w:rFonts w:hint="eastAsia" w:ascii="宋体" w:hAnsi="宋体"/>
          <w:sz w:val="24"/>
          <w:highlight w:val="none"/>
        </w:rPr>
        <w:t>；</w:t>
      </w:r>
    </w:p>
    <w:p>
      <w:pPr>
        <w:keepNext w:val="0"/>
        <w:keepLines w:val="0"/>
        <w:pageBreakBefore w:val="0"/>
        <w:widowControl/>
        <w:kinsoku/>
        <w:wordWrap/>
        <w:overflowPunct/>
        <w:topLinePunct w:val="0"/>
        <w:autoSpaceDE/>
        <w:bidi w:val="0"/>
        <w:adjustRightInd w:val="0"/>
        <w:snapToGrid w:val="0"/>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rPr>
        <w:t>9</w:t>
      </w:r>
      <w:r>
        <w:rPr>
          <w:rFonts w:ascii="宋体" w:hAnsi="宋体" w:cs="宋体"/>
          <w:kern w:val="0"/>
          <w:sz w:val="24"/>
          <w:highlight w:val="none"/>
        </w:rPr>
        <w:t>.2</w:t>
      </w:r>
      <w:r>
        <w:rPr>
          <w:rFonts w:hint="eastAsia" w:ascii="宋体" w:hAnsi="宋体" w:cs="宋体"/>
          <w:kern w:val="0"/>
          <w:sz w:val="24"/>
          <w:highlight w:val="none"/>
        </w:rPr>
        <w:t>逾期送达的或者未送达指定地点的</w:t>
      </w:r>
      <w:r>
        <w:rPr>
          <w:rFonts w:hint="eastAsia" w:ascii="宋体" w:hAnsi="宋体" w:cs="宋体"/>
          <w:kern w:val="0"/>
          <w:sz w:val="24"/>
          <w:highlight w:val="none"/>
          <w:lang w:val="en-US" w:eastAsia="zh-CN"/>
        </w:rPr>
        <w:t>响应</w:t>
      </w:r>
      <w:r>
        <w:rPr>
          <w:rFonts w:hint="eastAsia" w:ascii="宋体" w:hAnsi="宋体" w:cs="宋体"/>
          <w:kern w:val="0"/>
          <w:sz w:val="24"/>
          <w:highlight w:val="none"/>
        </w:rPr>
        <w:t>文件，采购人不予受理。</w:t>
      </w:r>
    </w:p>
    <w:p>
      <w:pPr>
        <w:keepNext w:val="0"/>
        <w:keepLines w:val="0"/>
        <w:pageBreakBefore w:val="0"/>
        <w:widowControl/>
        <w:kinsoku/>
        <w:wordWrap/>
        <w:overflowPunct/>
        <w:topLinePunct w:val="0"/>
        <w:autoSpaceDE/>
        <w:bidi w:val="0"/>
        <w:adjustRightInd w:val="0"/>
        <w:snapToGrid w:val="0"/>
        <w:spacing w:line="360" w:lineRule="auto"/>
        <w:jc w:val="left"/>
        <w:rPr>
          <w:rFonts w:ascii="宋体" w:cs="宋体"/>
          <w:kern w:val="0"/>
          <w:sz w:val="18"/>
          <w:szCs w:val="18"/>
          <w:highlight w:val="none"/>
        </w:rPr>
      </w:pPr>
      <w:r>
        <w:rPr>
          <w:rFonts w:ascii="宋体" w:hAnsi="宋体" w:cs="宋体"/>
          <w:b/>
          <w:sz w:val="24"/>
          <w:highlight w:val="none"/>
        </w:rPr>
        <w:t>1</w:t>
      </w:r>
      <w:r>
        <w:rPr>
          <w:rFonts w:hint="eastAsia" w:ascii="宋体" w:hAnsi="宋体" w:cs="宋体"/>
          <w:b/>
          <w:sz w:val="24"/>
          <w:highlight w:val="none"/>
        </w:rPr>
        <w:t>0、</w:t>
      </w:r>
      <w:r>
        <w:rPr>
          <w:rFonts w:hint="eastAsia" w:ascii="宋体" w:hAnsi="宋体" w:cs="宋体"/>
          <w:b/>
          <w:bCs/>
          <w:kern w:val="0"/>
          <w:sz w:val="24"/>
          <w:highlight w:val="none"/>
        </w:rPr>
        <w:t>发布公告的媒介</w:t>
      </w:r>
    </w:p>
    <w:p>
      <w:pPr>
        <w:keepNext w:val="0"/>
        <w:keepLines w:val="0"/>
        <w:pageBreakBefore w:val="0"/>
        <w:widowControl/>
        <w:kinsoku/>
        <w:wordWrap/>
        <w:overflowPunct/>
        <w:topLinePunct w:val="0"/>
        <w:autoSpaceDE/>
        <w:bidi w:val="0"/>
        <w:adjustRightInd w:val="0"/>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本次招标公告在中国政府采购网、中国招标投标公共服务平台、山东大学第二医院官方网站同时发布。</w:t>
      </w:r>
    </w:p>
    <w:p>
      <w:pPr>
        <w:keepNext w:val="0"/>
        <w:keepLines w:val="0"/>
        <w:pageBreakBefore w:val="0"/>
        <w:widowControl/>
        <w:kinsoku/>
        <w:wordWrap/>
        <w:overflowPunct/>
        <w:topLinePunct w:val="0"/>
        <w:autoSpaceDE/>
        <w:bidi w:val="0"/>
        <w:adjustRightInd w:val="0"/>
        <w:snapToGrid w:val="0"/>
        <w:spacing w:line="360" w:lineRule="auto"/>
        <w:jc w:val="left"/>
        <w:rPr>
          <w:rFonts w:ascii="宋体" w:hAnsi="宋体" w:cs="宋体"/>
          <w:b/>
          <w:bCs/>
          <w:kern w:val="0"/>
          <w:sz w:val="24"/>
          <w:highlight w:val="none"/>
        </w:rPr>
      </w:pPr>
      <w:r>
        <w:rPr>
          <w:rFonts w:ascii="宋体" w:hAnsi="宋体" w:cs="宋体"/>
          <w:b/>
          <w:bCs/>
          <w:kern w:val="0"/>
          <w:sz w:val="24"/>
          <w:highlight w:val="none"/>
        </w:rPr>
        <w:t>1</w:t>
      </w:r>
      <w:r>
        <w:rPr>
          <w:rFonts w:hint="eastAsia" w:ascii="宋体" w:hAnsi="宋体" w:cs="宋体"/>
          <w:b/>
          <w:bCs/>
          <w:kern w:val="0"/>
          <w:sz w:val="24"/>
          <w:highlight w:val="none"/>
        </w:rPr>
        <w:t>1、采购项目需要落实的政府采购政策：</w:t>
      </w:r>
    </w:p>
    <w:p>
      <w:pPr>
        <w:keepNext w:val="0"/>
        <w:keepLines w:val="0"/>
        <w:pageBreakBefore w:val="0"/>
        <w:widowControl/>
        <w:kinsoku/>
        <w:wordWrap/>
        <w:overflowPunct/>
        <w:topLinePunct w:val="0"/>
        <w:autoSpaceDE/>
        <w:bidi w:val="0"/>
        <w:adjustRightInd w:val="0"/>
        <w:snapToGrid w:val="0"/>
        <w:spacing w:line="360" w:lineRule="auto"/>
        <w:ind w:firstLine="410"/>
        <w:jc w:val="left"/>
        <w:rPr>
          <w:rFonts w:ascii="宋体" w:hAnsi="宋体" w:cs="宋体"/>
          <w:kern w:val="0"/>
          <w:sz w:val="24"/>
          <w:highlight w:val="none"/>
        </w:rPr>
      </w:pPr>
      <w:r>
        <w:rPr>
          <w:rFonts w:hint="eastAsia" w:ascii="宋体" w:hAnsi="宋体" w:cs="宋体"/>
          <w:kern w:val="0"/>
          <w:sz w:val="24"/>
          <w:highlight w:val="none"/>
        </w:rPr>
        <w:t xml:space="preserve"> 本采购项目需落实节能产品、环境标志产品、中小型企业、监狱企业及残疾人福利性单位的优惠政策和办法，具体要求详见招标文件。</w:t>
      </w:r>
    </w:p>
    <w:p>
      <w:pPr>
        <w:pStyle w:val="13"/>
        <w:tabs>
          <w:tab w:val="left" w:pos="0"/>
          <w:tab w:val="left" w:pos="840"/>
          <w:tab w:val="left" w:pos="955"/>
        </w:tabs>
        <w:spacing w:line="360" w:lineRule="auto"/>
        <w:ind w:left="31680" w:firstLine="710" w:firstLineChars="296"/>
        <w:outlineLvl w:val="0"/>
        <w:rPr>
          <w:rFonts w:ascii="宋体" w:cs="宋体"/>
          <w:sz w:val="36"/>
          <w:szCs w:val="36"/>
          <w:highlight w:val="none"/>
        </w:rPr>
      </w:pPr>
      <w:r>
        <w:rPr>
          <w:rFonts w:ascii="宋体" w:hAnsi="宋体" w:cs="宋体"/>
          <w:highlight w:val="none"/>
        </w:rPr>
        <w:t xml:space="preserve"> </w:t>
      </w:r>
      <w:r>
        <w:rPr>
          <w:rFonts w:hint="eastAsia" w:ascii="宋体" w:hAnsi="宋体" w:cs="宋体"/>
          <w:sz w:val="36"/>
          <w:szCs w:val="36"/>
          <w:highlight w:val="none"/>
        </w:rPr>
        <w:t>第二部分</w:t>
      </w:r>
      <w:r>
        <w:rPr>
          <w:rFonts w:ascii="宋体" w:hAnsi="宋体" w:cs="宋体"/>
          <w:sz w:val="36"/>
          <w:szCs w:val="36"/>
          <w:highlight w:val="none"/>
        </w:rPr>
        <w:t xml:space="preserve">  </w:t>
      </w:r>
      <w:bookmarkEnd w:id="4"/>
      <w:r>
        <w:rPr>
          <w:rFonts w:hint="eastAsia" w:ascii="宋体" w:hAnsi="宋体" w:cs="宋体"/>
          <w:sz w:val="36"/>
          <w:szCs w:val="36"/>
          <w:highlight w:val="none"/>
        </w:rPr>
        <w:t>供应商须知</w:t>
      </w:r>
      <w:bookmarkEnd w:id="5"/>
      <w:bookmarkEnd w:id="6"/>
      <w:bookmarkEnd w:id="7"/>
    </w:p>
    <w:p>
      <w:pPr>
        <w:pStyle w:val="67"/>
        <w:spacing w:before="240"/>
        <w:rPr>
          <w:highlight w:val="none"/>
        </w:rPr>
      </w:pPr>
      <w:bookmarkStart w:id="10" w:name="_Toc243041162"/>
      <w:r>
        <w:rPr>
          <w:rFonts w:hint="eastAsia"/>
          <w:highlight w:val="none"/>
        </w:rPr>
        <w:t>供应商须知前附表</w:t>
      </w:r>
      <w:bookmarkEnd w:id="10"/>
    </w:p>
    <w:tbl>
      <w:tblPr>
        <w:tblStyle w:val="34"/>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765"/>
        <w:gridCol w:w="6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97"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cs="宋体"/>
                <w:highlight w:val="none"/>
              </w:rPr>
            </w:pPr>
            <w:r>
              <w:rPr>
                <w:rFonts w:hint="eastAsia" w:ascii="宋体" w:hAnsi="宋体" w:cs="宋体"/>
                <w:highlight w:val="none"/>
              </w:rPr>
              <w:t>序号</w:t>
            </w:r>
          </w:p>
        </w:tc>
        <w:tc>
          <w:tcPr>
            <w:tcW w:w="2765"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textAlignment w:val="auto"/>
              <w:outlineLvl w:val="9"/>
              <w:rPr>
                <w:rFonts w:ascii="宋体" w:cs="宋体"/>
                <w:highlight w:val="none"/>
              </w:rPr>
            </w:pPr>
            <w:r>
              <w:rPr>
                <w:rFonts w:ascii="宋体" w:hAnsi="宋体" w:cs="宋体"/>
                <w:highlight w:val="none"/>
              </w:rPr>
              <w:t xml:space="preserve">    </w:t>
            </w:r>
            <w:r>
              <w:rPr>
                <w:rFonts w:hint="eastAsia" w:ascii="宋体" w:hAnsi="宋体" w:cs="宋体"/>
                <w:highlight w:val="none"/>
              </w:rPr>
              <w:t>项</w:t>
            </w:r>
            <w:r>
              <w:rPr>
                <w:rFonts w:ascii="宋体" w:hAnsi="宋体" w:cs="宋体"/>
                <w:highlight w:val="none"/>
              </w:rPr>
              <w:t xml:space="preserve">    </w:t>
            </w:r>
            <w:r>
              <w:rPr>
                <w:rFonts w:hint="eastAsia" w:ascii="宋体" w:hAnsi="宋体" w:cs="宋体"/>
                <w:highlight w:val="none"/>
              </w:rPr>
              <w:t>目</w:t>
            </w:r>
          </w:p>
        </w:tc>
        <w:tc>
          <w:tcPr>
            <w:tcW w:w="6198"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960" w:firstLineChars="400"/>
              <w:textAlignment w:val="auto"/>
              <w:outlineLvl w:val="9"/>
              <w:rPr>
                <w:rFonts w:ascii="宋体" w:cs="宋体"/>
                <w:highlight w:val="none"/>
              </w:rPr>
            </w:pPr>
            <w:r>
              <w:rPr>
                <w:rFonts w:ascii="宋体" w:hAnsi="宋体" w:cs="宋体"/>
                <w:highlight w:val="none"/>
              </w:rPr>
              <w:t xml:space="preserve">            </w:t>
            </w:r>
            <w:r>
              <w:rPr>
                <w:rFonts w:hint="eastAsia" w:ascii="宋体" w:hAnsi="宋体" w:cs="宋体"/>
                <w:highlight w:val="none"/>
              </w:rPr>
              <w:t>内</w:t>
            </w:r>
            <w:r>
              <w:rPr>
                <w:rFonts w:ascii="宋体" w:hAnsi="宋体" w:cs="宋体"/>
                <w:highlight w:val="none"/>
              </w:rPr>
              <w:t xml:space="preserve">       </w:t>
            </w:r>
            <w:r>
              <w:rPr>
                <w:rFonts w:hint="eastAsia" w:ascii="宋体" w:hAnsi="宋体" w:cs="宋体"/>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97"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cs="宋体"/>
                <w:highlight w:val="none"/>
              </w:rPr>
            </w:pPr>
            <w:r>
              <w:rPr>
                <w:rFonts w:ascii="宋体" w:hAnsi="宋体" w:cs="宋体"/>
                <w:highlight w:val="none"/>
              </w:rPr>
              <w:t>1</w:t>
            </w:r>
          </w:p>
        </w:tc>
        <w:tc>
          <w:tcPr>
            <w:tcW w:w="2765"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cs="宋体"/>
                <w:highlight w:val="none"/>
              </w:rPr>
            </w:pPr>
            <w:r>
              <w:rPr>
                <w:rFonts w:hint="eastAsia" w:ascii="宋体" w:hAnsi="宋体" w:cs="宋体"/>
                <w:highlight w:val="none"/>
              </w:rPr>
              <w:t>采购人</w:t>
            </w:r>
          </w:p>
        </w:tc>
        <w:tc>
          <w:tcPr>
            <w:tcW w:w="6198" w:type="dxa"/>
            <w:vAlign w:val="center"/>
          </w:tcPr>
          <w:p>
            <w:pPr>
              <w:pStyle w:val="13"/>
              <w:keepNext w:val="0"/>
              <w:keepLines w:val="0"/>
              <w:pageBreakBefore w:val="0"/>
              <w:tabs>
                <w:tab w:val="left" w:pos="0"/>
                <w:tab w:val="left" w:pos="840"/>
                <w:tab w:val="left" w:pos="955"/>
              </w:tabs>
              <w:kinsoku/>
              <w:wordWrap/>
              <w:overflowPunct/>
              <w:topLinePunct w:val="0"/>
              <w:autoSpaceDE/>
              <w:autoSpaceDN/>
              <w:bidi w:val="0"/>
              <w:adjustRightInd w:val="0"/>
              <w:snapToGrid w:val="0"/>
              <w:spacing w:line="440" w:lineRule="exact"/>
              <w:ind w:left="0" w:leftChars="0" w:firstLine="0" w:firstLineChars="0"/>
              <w:textAlignment w:val="auto"/>
              <w:outlineLvl w:val="9"/>
              <w:rPr>
                <w:rFonts w:ascii="宋体" w:cs="宋体"/>
                <w:highlight w:val="none"/>
              </w:rPr>
            </w:pPr>
            <w:r>
              <w:rPr>
                <w:rFonts w:hint="eastAsia" w:ascii="宋体" w:hAnsi="宋体" w:cs="宋体"/>
                <w:color w:val="000000"/>
                <w:spacing w:val="7"/>
                <w:highlight w:val="none"/>
              </w:rPr>
              <w:t>采购人：</w:t>
            </w:r>
            <w:r>
              <w:rPr>
                <w:rFonts w:hint="eastAsia" w:ascii="宋体" w:hAnsi="宋体" w:cs="宋体"/>
                <w:highlight w:val="none"/>
              </w:rPr>
              <w:t>山东大学第二医院</w:t>
            </w:r>
          </w:p>
          <w:p>
            <w:pPr>
              <w:pStyle w:val="13"/>
              <w:keepNext w:val="0"/>
              <w:keepLines w:val="0"/>
              <w:pageBreakBefore w:val="0"/>
              <w:tabs>
                <w:tab w:val="left" w:pos="0"/>
                <w:tab w:val="left" w:pos="840"/>
                <w:tab w:val="left" w:pos="955"/>
              </w:tabs>
              <w:kinsoku/>
              <w:wordWrap/>
              <w:overflowPunct/>
              <w:topLinePunct w:val="0"/>
              <w:autoSpaceDE/>
              <w:autoSpaceDN/>
              <w:bidi w:val="0"/>
              <w:adjustRightInd w:val="0"/>
              <w:snapToGrid w:val="0"/>
              <w:spacing w:line="440" w:lineRule="exact"/>
              <w:ind w:left="0" w:leftChars="0" w:firstLine="0" w:firstLineChars="0"/>
              <w:textAlignment w:val="auto"/>
              <w:outlineLvl w:val="9"/>
              <w:rPr>
                <w:rFonts w:ascii="宋体" w:cs="宋体"/>
                <w:highlight w:val="none"/>
              </w:rPr>
            </w:pPr>
            <w:r>
              <w:rPr>
                <w:rFonts w:hint="eastAsia" w:ascii="宋体" w:hAnsi="宋体" w:cs="宋体"/>
                <w:highlight w:val="none"/>
              </w:rPr>
              <w:t>地</w:t>
            </w:r>
            <w:r>
              <w:rPr>
                <w:rFonts w:ascii="宋体" w:hAnsi="宋体" w:cs="宋体"/>
                <w:highlight w:val="none"/>
              </w:rPr>
              <w:t xml:space="preserve">  </w:t>
            </w:r>
            <w:r>
              <w:rPr>
                <w:rFonts w:hint="eastAsia" w:ascii="宋体" w:hAnsi="宋体" w:cs="宋体"/>
                <w:highlight w:val="none"/>
              </w:rPr>
              <w:t>址：济南市北园大街</w:t>
            </w:r>
            <w:r>
              <w:rPr>
                <w:rFonts w:ascii="宋体" w:hAnsi="宋体" w:cs="宋体"/>
                <w:highlight w:val="none"/>
              </w:rPr>
              <w:t>247</w:t>
            </w:r>
            <w:r>
              <w:rPr>
                <w:rFonts w:hint="eastAsia" w:ascii="宋体" w:hAnsi="宋体" w:cs="宋体"/>
                <w:highlight w:val="none"/>
              </w:rPr>
              <w:t>号</w:t>
            </w:r>
          </w:p>
          <w:p>
            <w:pPr>
              <w:pStyle w:val="13"/>
              <w:keepNext w:val="0"/>
              <w:keepLines w:val="0"/>
              <w:pageBreakBefore w:val="0"/>
              <w:tabs>
                <w:tab w:val="left" w:pos="0"/>
                <w:tab w:val="left" w:pos="840"/>
                <w:tab w:val="left" w:pos="955"/>
              </w:tabs>
              <w:kinsoku/>
              <w:wordWrap/>
              <w:overflowPunct/>
              <w:topLinePunct w:val="0"/>
              <w:autoSpaceDE/>
              <w:autoSpaceDN/>
              <w:bidi w:val="0"/>
              <w:adjustRightInd w:val="0"/>
              <w:snapToGrid w:val="0"/>
              <w:spacing w:line="440" w:lineRule="exact"/>
              <w:ind w:left="0" w:leftChars="0" w:firstLine="0" w:firstLineChars="0"/>
              <w:textAlignment w:val="auto"/>
              <w:outlineLvl w:val="9"/>
              <w:rPr>
                <w:rFonts w:ascii="宋体" w:cs="宋体"/>
                <w:highlight w:val="none"/>
              </w:rPr>
            </w:pPr>
            <w:r>
              <w:rPr>
                <w:rFonts w:hint="eastAsia" w:ascii="宋体" w:hAnsi="宋体" w:cs="宋体"/>
                <w:highlight w:val="none"/>
              </w:rPr>
              <w:t>联系方式：</w:t>
            </w:r>
            <w:r>
              <w:rPr>
                <w:rFonts w:ascii="宋体" w:hAnsi="宋体" w:cs="宋体"/>
                <w:highlight w:val="none"/>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797"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cs="宋体"/>
                <w:highlight w:val="none"/>
              </w:rPr>
            </w:pPr>
            <w:r>
              <w:rPr>
                <w:rFonts w:ascii="宋体" w:hAnsi="宋体" w:cs="宋体"/>
                <w:highlight w:val="none"/>
              </w:rPr>
              <w:t>2</w:t>
            </w:r>
          </w:p>
        </w:tc>
        <w:tc>
          <w:tcPr>
            <w:tcW w:w="2765"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cs="宋体"/>
                <w:highlight w:val="none"/>
              </w:rPr>
            </w:pPr>
            <w:r>
              <w:rPr>
                <w:rFonts w:hint="eastAsia" w:ascii="宋体" w:hAnsi="宋体" w:cs="宋体"/>
                <w:highlight w:val="none"/>
              </w:rPr>
              <w:t>采购代理机构</w:t>
            </w:r>
          </w:p>
        </w:tc>
        <w:tc>
          <w:tcPr>
            <w:tcW w:w="6198" w:type="dxa"/>
            <w:vAlign w:val="center"/>
          </w:tcPr>
          <w:p>
            <w:pPr>
              <w:pStyle w:val="13"/>
              <w:keepNext w:val="0"/>
              <w:keepLines w:val="0"/>
              <w:pageBreakBefore w:val="0"/>
              <w:tabs>
                <w:tab w:val="left" w:pos="0"/>
                <w:tab w:val="left" w:pos="840"/>
                <w:tab w:val="left" w:pos="955"/>
              </w:tabs>
              <w:kinsoku/>
              <w:wordWrap/>
              <w:overflowPunct/>
              <w:topLinePunct w:val="0"/>
              <w:autoSpaceDE/>
              <w:autoSpaceDN/>
              <w:bidi w:val="0"/>
              <w:adjustRightInd w:val="0"/>
              <w:snapToGrid w:val="0"/>
              <w:spacing w:line="440" w:lineRule="exact"/>
              <w:ind w:left="0" w:leftChars="0" w:firstLine="0" w:firstLineChars="0"/>
              <w:textAlignment w:val="auto"/>
              <w:outlineLvl w:val="9"/>
              <w:rPr>
                <w:rFonts w:ascii="宋体" w:cs="宋体"/>
                <w:highlight w:val="none"/>
              </w:rPr>
            </w:pPr>
            <w:r>
              <w:rPr>
                <w:rFonts w:hint="eastAsia" w:ascii="宋体" w:hAnsi="宋体" w:cs="宋体"/>
                <w:highlight w:val="none"/>
              </w:rPr>
              <w:t>名</w:t>
            </w:r>
            <w:r>
              <w:rPr>
                <w:rFonts w:ascii="宋体" w:hAnsi="宋体" w:cs="宋体"/>
                <w:highlight w:val="none"/>
              </w:rPr>
              <w:t xml:space="preserve">  </w:t>
            </w:r>
            <w:r>
              <w:rPr>
                <w:rFonts w:hint="eastAsia" w:ascii="宋体" w:hAnsi="宋体" w:cs="宋体"/>
                <w:highlight w:val="none"/>
              </w:rPr>
              <w:t>称：山东省鲁成招标有限公司</w:t>
            </w:r>
          </w:p>
          <w:p>
            <w:pPr>
              <w:pStyle w:val="13"/>
              <w:keepNext w:val="0"/>
              <w:keepLines w:val="0"/>
              <w:pageBreakBefore w:val="0"/>
              <w:tabs>
                <w:tab w:val="left" w:pos="0"/>
                <w:tab w:val="left" w:pos="840"/>
                <w:tab w:val="left" w:pos="955"/>
              </w:tabs>
              <w:kinsoku/>
              <w:wordWrap/>
              <w:overflowPunct/>
              <w:topLinePunct w:val="0"/>
              <w:autoSpaceDE/>
              <w:autoSpaceDN/>
              <w:bidi w:val="0"/>
              <w:adjustRightInd w:val="0"/>
              <w:snapToGrid w:val="0"/>
              <w:spacing w:line="440" w:lineRule="exact"/>
              <w:ind w:left="0" w:leftChars="0" w:firstLine="0" w:firstLineChars="0"/>
              <w:textAlignment w:val="auto"/>
              <w:outlineLvl w:val="9"/>
              <w:rPr>
                <w:rFonts w:ascii="宋体" w:cs="宋体"/>
                <w:highlight w:val="none"/>
              </w:rPr>
            </w:pPr>
            <w:r>
              <w:rPr>
                <w:rFonts w:hint="eastAsia" w:ascii="宋体" w:hAnsi="宋体" w:cs="宋体"/>
                <w:highlight w:val="none"/>
              </w:rPr>
              <w:t>地</w:t>
            </w:r>
            <w:r>
              <w:rPr>
                <w:rFonts w:ascii="宋体" w:hAnsi="宋体" w:cs="宋体"/>
                <w:highlight w:val="none"/>
              </w:rPr>
              <w:t xml:space="preserve">  </w:t>
            </w:r>
            <w:r>
              <w:rPr>
                <w:rFonts w:hint="eastAsia" w:ascii="宋体" w:hAnsi="宋体" w:cs="宋体"/>
                <w:highlight w:val="none"/>
              </w:rPr>
              <w:t>址：济南市经十东路</w:t>
            </w:r>
            <w:r>
              <w:rPr>
                <w:rFonts w:ascii="宋体" w:hAnsi="宋体" w:cs="宋体"/>
                <w:highlight w:val="none"/>
              </w:rPr>
              <w:t>10567</w:t>
            </w:r>
            <w:r>
              <w:rPr>
                <w:rFonts w:hint="eastAsia" w:ascii="宋体" w:hAnsi="宋体" w:cs="宋体"/>
                <w:highlight w:val="none"/>
              </w:rPr>
              <w:t>号成城大厦</w:t>
            </w:r>
          </w:p>
          <w:p>
            <w:pPr>
              <w:pStyle w:val="13"/>
              <w:keepNext w:val="0"/>
              <w:keepLines w:val="0"/>
              <w:pageBreakBefore w:val="0"/>
              <w:tabs>
                <w:tab w:val="left" w:pos="0"/>
                <w:tab w:val="left" w:pos="840"/>
                <w:tab w:val="left" w:pos="955"/>
              </w:tabs>
              <w:kinsoku/>
              <w:wordWrap/>
              <w:overflowPunct/>
              <w:topLinePunct w:val="0"/>
              <w:autoSpaceDE/>
              <w:autoSpaceDN/>
              <w:bidi w:val="0"/>
              <w:adjustRightInd w:val="0"/>
              <w:snapToGrid w:val="0"/>
              <w:spacing w:line="440" w:lineRule="exact"/>
              <w:ind w:left="0" w:leftChars="0" w:firstLine="0" w:firstLineChars="0"/>
              <w:textAlignment w:val="auto"/>
              <w:outlineLvl w:val="9"/>
              <w:rPr>
                <w:rFonts w:ascii="宋体" w:cs="宋体"/>
                <w:highlight w:val="none"/>
              </w:rPr>
            </w:pPr>
            <w:r>
              <w:rPr>
                <w:rFonts w:hint="eastAsia" w:ascii="宋体" w:hAnsi="宋体" w:cs="宋体"/>
                <w:highlight w:val="none"/>
              </w:rPr>
              <w:t>联系人：</w:t>
            </w:r>
            <w:r>
              <w:rPr>
                <w:rFonts w:hint="eastAsia" w:ascii="宋体" w:hAnsi="宋体" w:cs="宋体"/>
                <w:highlight w:val="none"/>
                <w:lang w:val="en-US" w:eastAsia="zh-CN"/>
              </w:rPr>
              <w:t>栾新宇</w:t>
            </w:r>
            <w:r>
              <w:rPr>
                <w:rFonts w:hint="eastAsia" w:ascii="宋体" w:hAnsi="宋体" w:cs="宋体"/>
                <w:highlight w:val="none"/>
              </w:rPr>
              <w:t>、李文华</w:t>
            </w:r>
          </w:p>
          <w:p>
            <w:pPr>
              <w:pStyle w:val="13"/>
              <w:keepNext w:val="0"/>
              <w:keepLines w:val="0"/>
              <w:pageBreakBefore w:val="0"/>
              <w:tabs>
                <w:tab w:val="left" w:pos="0"/>
                <w:tab w:val="left" w:pos="840"/>
                <w:tab w:val="left" w:pos="955"/>
              </w:tabs>
              <w:kinsoku/>
              <w:wordWrap/>
              <w:overflowPunct/>
              <w:topLinePunct w:val="0"/>
              <w:autoSpaceDE/>
              <w:autoSpaceDN/>
              <w:bidi w:val="0"/>
              <w:adjustRightInd w:val="0"/>
              <w:snapToGrid w:val="0"/>
              <w:spacing w:line="440" w:lineRule="exact"/>
              <w:ind w:left="0" w:leftChars="0" w:firstLine="0" w:firstLineChars="0"/>
              <w:textAlignment w:val="auto"/>
              <w:outlineLvl w:val="9"/>
              <w:rPr>
                <w:rFonts w:ascii="宋体" w:cs="宋体"/>
                <w:highlight w:val="none"/>
              </w:rPr>
            </w:pPr>
            <w:r>
              <w:rPr>
                <w:rFonts w:hint="eastAsia" w:ascii="宋体" w:hAnsi="宋体" w:cs="宋体"/>
                <w:highlight w:val="none"/>
              </w:rPr>
              <w:t>联系方式：</w:t>
            </w:r>
            <w:r>
              <w:rPr>
                <w:rFonts w:ascii="宋体" w:hAnsi="宋体" w:cs="宋体"/>
                <w:highlight w:val="none"/>
              </w:rPr>
              <w:t>0531-83191865</w:t>
            </w:r>
            <w:r>
              <w:rPr>
                <w:rFonts w:hint="eastAsia" w:ascii="宋体" w:hAnsi="宋体" w:cs="宋体"/>
                <w:highlight w:val="none"/>
              </w:rPr>
              <w:t>、</w:t>
            </w:r>
            <w:r>
              <w:rPr>
                <w:rFonts w:ascii="宋体" w:hAnsi="宋体" w:cs="宋体"/>
                <w:highlight w:val="none"/>
              </w:rPr>
              <w:t>0531-83191895</w:t>
            </w:r>
          </w:p>
          <w:p>
            <w:pPr>
              <w:pStyle w:val="13"/>
              <w:keepNext w:val="0"/>
              <w:keepLines w:val="0"/>
              <w:pageBreakBefore w:val="0"/>
              <w:tabs>
                <w:tab w:val="left" w:pos="0"/>
                <w:tab w:val="left" w:pos="840"/>
                <w:tab w:val="left" w:pos="955"/>
              </w:tabs>
              <w:kinsoku/>
              <w:wordWrap/>
              <w:overflowPunct/>
              <w:topLinePunct w:val="0"/>
              <w:autoSpaceDE/>
              <w:autoSpaceDN/>
              <w:bidi w:val="0"/>
              <w:adjustRightInd w:val="0"/>
              <w:snapToGrid w:val="0"/>
              <w:spacing w:line="440" w:lineRule="exact"/>
              <w:ind w:left="0" w:leftChars="0" w:firstLine="0" w:firstLineChars="0"/>
              <w:textAlignment w:val="auto"/>
              <w:outlineLvl w:val="9"/>
              <w:rPr>
                <w:rFonts w:ascii="宋体" w:cs="宋体"/>
                <w:highlight w:val="none"/>
              </w:rPr>
            </w:pPr>
            <w:r>
              <w:rPr>
                <w:rFonts w:hint="eastAsia" w:ascii="宋体" w:hAnsi="宋体" w:cs="宋体"/>
                <w:highlight w:val="none"/>
              </w:rPr>
              <w:t>邮箱：</w:t>
            </w:r>
            <w:r>
              <w:rPr>
                <w:rFonts w:ascii="宋体" w:hAnsi="宋体" w:cs="宋体"/>
                <w:highlight w:val="none"/>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97"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cs="宋体"/>
                <w:highlight w:val="none"/>
              </w:rPr>
            </w:pPr>
            <w:r>
              <w:rPr>
                <w:rFonts w:ascii="宋体" w:hAnsi="宋体" w:cs="宋体"/>
                <w:highlight w:val="none"/>
              </w:rPr>
              <w:t>3</w:t>
            </w:r>
          </w:p>
        </w:tc>
        <w:tc>
          <w:tcPr>
            <w:tcW w:w="2765"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jc w:val="center"/>
              <w:textAlignment w:val="auto"/>
              <w:outlineLvl w:val="9"/>
              <w:rPr>
                <w:rFonts w:ascii="宋体"/>
                <w:sz w:val="24"/>
                <w:highlight w:val="none"/>
              </w:rPr>
            </w:pPr>
            <w:r>
              <w:rPr>
                <w:rFonts w:hint="eastAsia" w:ascii="宋体" w:hAnsi="宋体"/>
                <w:sz w:val="24"/>
                <w:highlight w:val="none"/>
              </w:rPr>
              <w:t>项目名称</w:t>
            </w:r>
          </w:p>
          <w:p>
            <w:pPr>
              <w:keepNext w:val="0"/>
              <w:keepLines w:val="0"/>
              <w:pageBreakBefore w:val="0"/>
              <w:kinsoku/>
              <w:wordWrap/>
              <w:overflowPunct/>
              <w:topLinePunct w:val="0"/>
              <w:autoSpaceDE/>
              <w:autoSpaceDN/>
              <w:bidi w:val="0"/>
              <w:adjustRightInd w:val="0"/>
              <w:snapToGrid w:val="0"/>
              <w:spacing w:line="440" w:lineRule="exact"/>
              <w:ind w:left="0" w:leftChars="0"/>
              <w:jc w:val="center"/>
              <w:textAlignment w:val="auto"/>
              <w:outlineLvl w:val="9"/>
              <w:rPr>
                <w:rFonts w:ascii="宋体" w:cs="宋体"/>
                <w:highlight w:val="none"/>
              </w:rPr>
            </w:pPr>
            <w:r>
              <w:rPr>
                <w:rFonts w:hint="eastAsia" w:ascii="宋体" w:hAnsi="宋体"/>
                <w:sz w:val="24"/>
                <w:highlight w:val="none"/>
              </w:rPr>
              <w:t>项目编号</w:t>
            </w:r>
          </w:p>
        </w:tc>
        <w:tc>
          <w:tcPr>
            <w:tcW w:w="6198" w:type="dxa"/>
            <w:vAlign w:val="center"/>
          </w:tcPr>
          <w:p>
            <w:pPr>
              <w:pStyle w:val="13"/>
              <w:keepNext w:val="0"/>
              <w:keepLines w:val="0"/>
              <w:pageBreakBefore w:val="0"/>
              <w:tabs>
                <w:tab w:val="left" w:pos="0"/>
                <w:tab w:val="left" w:pos="840"/>
                <w:tab w:val="left" w:pos="955"/>
              </w:tabs>
              <w:kinsoku/>
              <w:wordWrap/>
              <w:overflowPunct/>
              <w:topLinePunct w:val="0"/>
              <w:autoSpaceDE/>
              <w:autoSpaceDN/>
              <w:bidi w:val="0"/>
              <w:adjustRightInd w:val="0"/>
              <w:snapToGrid w:val="0"/>
              <w:spacing w:line="440" w:lineRule="exact"/>
              <w:ind w:left="0" w:leftChars="0" w:firstLine="0" w:firstLineChars="0"/>
              <w:textAlignment w:val="auto"/>
              <w:outlineLvl w:val="9"/>
              <w:rPr>
                <w:rFonts w:ascii="宋体" w:cs="宋体"/>
                <w:highlight w:val="none"/>
              </w:rPr>
            </w:pPr>
            <w:r>
              <w:rPr>
                <w:rFonts w:hint="eastAsia" w:ascii="宋体" w:hAnsi="宋体" w:cs="宋体"/>
                <w:highlight w:val="none"/>
              </w:rPr>
              <w:t>项目名称：</w:t>
            </w:r>
            <w:r>
              <w:rPr>
                <w:rFonts w:hint="eastAsia" w:ascii="宋体" w:hAnsi="宋体" w:cs="宋体"/>
                <w:highlight w:val="none"/>
                <w:lang w:eastAsia="zh-CN"/>
              </w:rPr>
              <w:t>山东大学第二医院护士鞋采购</w:t>
            </w:r>
            <w:r>
              <w:rPr>
                <w:rFonts w:hint="eastAsia" w:ascii="宋体" w:hAnsi="宋体" w:cs="宋体"/>
                <w:highlight w:val="none"/>
              </w:rPr>
              <w:t>项目</w:t>
            </w:r>
          </w:p>
          <w:p>
            <w:pPr>
              <w:pStyle w:val="13"/>
              <w:keepNext w:val="0"/>
              <w:keepLines w:val="0"/>
              <w:pageBreakBefore w:val="0"/>
              <w:tabs>
                <w:tab w:val="left" w:pos="0"/>
                <w:tab w:val="left" w:pos="840"/>
                <w:tab w:val="left" w:pos="955"/>
              </w:tabs>
              <w:kinsoku/>
              <w:wordWrap/>
              <w:overflowPunct/>
              <w:topLinePunct w:val="0"/>
              <w:autoSpaceDE/>
              <w:autoSpaceDN/>
              <w:bidi w:val="0"/>
              <w:adjustRightInd w:val="0"/>
              <w:snapToGrid w:val="0"/>
              <w:spacing w:line="440" w:lineRule="exact"/>
              <w:ind w:left="0" w:leftChars="0" w:firstLine="0" w:firstLineChars="0"/>
              <w:textAlignment w:val="auto"/>
              <w:outlineLvl w:val="9"/>
              <w:rPr>
                <w:rFonts w:hint="default" w:ascii="宋体" w:eastAsia="宋体" w:cs="宋体"/>
                <w:highlight w:val="none"/>
                <w:lang w:val="en-US" w:eastAsia="zh-CN"/>
              </w:rPr>
            </w:pPr>
            <w:r>
              <w:rPr>
                <w:rFonts w:hint="eastAsia" w:ascii="宋体" w:hAnsi="宋体" w:cs="宋体"/>
                <w:highlight w:val="none"/>
              </w:rPr>
              <w:t>项目编号：0676-206003ZB018007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97"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cs="宋体"/>
                <w:highlight w:val="none"/>
              </w:rPr>
            </w:pPr>
            <w:r>
              <w:rPr>
                <w:rFonts w:ascii="宋体" w:hAnsi="宋体" w:cs="宋体"/>
                <w:highlight w:val="none"/>
              </w:rPr>
              <w:t>4</w:t>
            </w:r>
          </w:p>
        </w:tc>
        <w:tc>
          <w:tcPr>
            <w:tcW w:w="2765"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cs="宋体"/>
                <w:highlight w:val="none"/>
              </w:rPr>
            </w:pPr>
            <w:r>
              <w:rPr>
                <w:rFonts w:hint="eastAsia" w:ascii="宋体" w:hAnsi="宋体" w:cs="宋体"/>
                <w:highlight w:val="none"/>
              </w:rPr>
              <w:t>磋商范围</w:t>
            </w:r>
          </w:p>
        </w:tc>
        <w:tc>
          <w:tcPr>
            <w:tcW w:w="6198"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left"/>
              <w:textAlignment w:val="auto"/>
              <w:outlineLvl w:val="9"/>
              <w:rPr>
                <w:rFonts w:ascii="宋体" w:cs="宋体"/>
                <w:szCs w:val="32"/>
                <w:highlight w:val="none"/>
              </w:rPr>
            </w:pPr>
            <w:r>
              <w:rPr>
                <w:rFonts w:hint="eastAsia" w:ascii="宋体" w:hAnsi="宋体" w:cs="宋体"/>
                <w:highlight w:val="none"/>
              </w:rPr>
              <w:t>本项目</w:t>
            </w:r>
            <w:r>
              <w:rPr>
                <w:rFonts w:hint="eastAsia" w:ascii="宋体" w:hAnsi="宋体" w:cs="宋体"/>
                <w:highlight w:val="none"/>
                <w:lang w:eastAsia="zh-CN"/>
              </w:rPr>
              <w:t>山东大学第二医院护士鞋采购项目</w:t>
            </w:r>
            <w:r>
              <w:rPr>
                <w:rFonts w:hint="eastAsia"/>
                <w:szCs w:val="32"/>
                <w:highlight w:val="none"/>
              </w:rPr>
              <w:t>；</w:t>
            </w:r>
          </w:p>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left"/>
              <w:textAlignment w:val="auto"/>
              <w:outlineLvl w:val="9"/>
              <w:rPr>
                <w:rFonts w:ascii="宋体" w:cs="仿宋_GB2312"/>
                <w:color w:val="0D0D0D"/>
                <w:highlight w:val="none"/>
              </w:rPr>
            </w:pPr>
            <w:r>
              <w:rPr>
                <w:rFonts w:hint="eastAsia" w:ascii="宋体" w:hAnsi="宋体"/>
                <w:highlight w:val="none"/>
              </w:rPr>
              <w:t>具体要求详见磋商文件第三部分项目要求。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797"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cs="宋体"/>
                <w:highlight w:val="none"/>
              </w:rPr>
            </w:pPr>
            <w:r>
              <w:rPr>
                <w:rFonts w:ascii="宋体" w:hAnsi="宋体" w:cs="宋体"/>
                <w:highlight w:val="none"/>
              </w:rPr>
              <w:t>5</w:t>
            </w:r>
          </w:p>
        </w:tc>
        <w:tc>
          <w:tcPr>
            <w:tcW w:w="2765"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cs="宋体"/>
                <w:highlight w:val="none"/>
              </w:rPr>
            </w:pPr>
            <w:r>
              <w:rPr>
                <w:rFonts w:hint="eastAsia" w:ascii="宋体" w:hAnsi="宋体" w:cs="宋体"/>
                <w:highlight w:val="none"/>
              </w:rPr>
              <w:t>项目预算</w:t>
            </w:r>
          </w:p>
        </w:tc>
        <w:tc>
          <w:tcPr>
            <w:tcW w:w="6198" w:type="dxa"/>
            <w:vAlign w:val="center"/>
          </w:tcPr>
          <w:p>
            <w:pPr>
              <w:pStyle w:val="13"/>
              <w:keepNext w:val="0"/>
              <w:keepLines w:val="0"/>
              <w:pageBreakBefore w:val="0"/>
              <w:tabs>
                <w:tab w:val="left" w:pos="0"/>
                <w:tab w:val="left" w:pos="102"/>
              </w:tabs>
              <w:kinsoku/>
              <w:wordWrap/>
              <w:overflowPunct/>
              <w:topLinePunct w:val="0"/>
              <w:autoSpaceDE/>
              <w:autoSpaceDN/>
              <w:bidi w:val="0"/>
              <w:adjustRightInd w:val="0"/>
              <w:spacing w:line="440" w:lineRule="exact"/>
              <w:ind w:left="0" w:leftChars="0" w:firstLine="100" w:firstLineChars="42"/>
              <w:textAlignment w:val="auto"/>
              <w:outlineLvl w:val="9"/>
              <w:rPr>
                <w:rFonts w:ascii="宋体" w:cs="宋体"/>
                <w:highlight w:val="none"/>
              </w:rPr>
            </w:pPr>
            <w:r>
              <w:rPr>
                <w:rFonts w:hint="eastAsia" w:ascii="宋体" w:hAnsi="宋体" w:cs="宋体"/>
                <w:highlight w:val="none"/>
              </w:rPr>
              <w:t>预算金额：</w:t>
            </w:r>
            <w:r>
              <w:rPr>
                <w:rFonts w:hint="eastAsia" w:ascii="宋体" w:hAnsi="宋体" w:cs="宋体"/>
                <w:highlight w:val="none"/>
                <w:lang w:eastAsia="zh-CN"/>
              </w:rPr>
              <w:t>人民币</w:t>
            </w:r>
            <w:r>
              <w:rPr>
                <w:rFonts w:hint="eastAsia" w:ascii="宋体" w:hAnsi="宋体" w:cs="宋体"/>
                <w:highlight w:val="none"/>
                <w:lang w:val="en-US" w:eastAsia="zh-CN"/>
              </w:rPr>
              <w:t>24</w:t>
            </w:r>
            <w:r>
              <w:rPr>
                <w:rFonts w:hint="eastAsia" w:ascii="宋体" w:hAnsi="宋体" w:cs="宋体"/>
                <w:highlight w:val="none"/>
              </w:rPr>
              <w:t>万元（包含税费）</w:t>
            </w:r>
          </w:p>
          <w:p>
            <w:pPr>
              <w:pStyle w:val="13"/>
              <w:keepNext w:val="0"/>
              <w:keepLines w:val="0"/>
              <w:pageBreakBefore w:val="0"/>
              <w:tabs>
                <w:tab w:val="left" w:pos="0"/>
                <w:tab w:val="left" w:pos="102"/>
              </w:tabs>
              <w:kinsoku/>
              <w:wordWrap/>
              <w:overflowPunct/>
              <w:topLinePunct w:val="0"/>
              <w:autoSpaceDE/>
              <w:autoSpaceDN/>
              <w:bidi w:val="0"/>
              <w:adjustRightInd w:val="0"/>
              <w:spacing w:line="440" w:lineRule="exact"/>
              <w:ind w:left="0" w:leftChars="0" w:firstLine="100" w:firstLineChars="42"/>
              <w:textAlignment w:val="auto"/>
              <w:outlineLvl w:val="9"/>
              <w:rPr>
                <w:rFonts w:ascii="宋体" w:cs="宋体"/>
                <w:highlight w:val="none"/>
              </w:rPr>
            </w:pPr>
            <w:r>
              <w:rPr>
                <w:rFonts w:hint="eastAsia" w:ascii="宋体" w:hAnsi="宋体" w:cs="宋体"/>
                <w:highlight w:val="none"/>
              </w:rPr>
              <w:t>供应商的报价不得高于最高</w:t>
            </w:r>
            <w:r>
              <w:rPr>
                <w:rFonts w:hint="eastAsia" w:ascii="宋体" w:hAnsi="宋体" w:cs="宋体"/>
                <w:highlight w:val="none"/>
                <w:lang w:eastAsia="zh-CN"/>
              </w:rPr>
              <w:t>预算金额</w:t>
            </w:r>
            <w:r>
              <w:rPr>
                <w:rFonts w:hint="eastAsia" w:ascii="宋体" w:hAnsi="宋体" w:cs="宋体"/>
                <w:highlight w:val="none"/>
              </w:rPr>
              <w:t>，供应商报价高于</w:t>
            </w:r>
            <w:r>
              <w:rPr>
                <w:rFonts w:hint="eastAsia" w:ascii="宋体" w:hAnsi="宋体" w:cs="宋体"/>
                <w:highlight w:val="none"/>
                <w:lang w:eastAsia="zh-CN"/>
              </w:rPr>
              <w:t>预算金额的</w:t>
            </w:r>
            <w:r>
              <w:rPr>
                <w:rFonts w:hint="eastAsia" w:ascii="宋体" w:hAnsi="宋体" w:cs="宋体"/>
                <w:highlight w:val="none"/>
              </w:rPr>
              <w:t>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cs="宋体"/>
                <w:highlight w:val="none"/>
              </w:rPr>
            </w:pPr>
            <w:r>
              <w:rPr>
                <w:rFonts w:ascii="宋体" w:hAnsi="宋体" w:cs="宋体"/>
                <w:highlight w:val="none"/>
              </w:rPr>
              <w:t>6</w:t>
            </w:r>
          </w:p>
        </w:tc>
        <w:tc>
          <w:tcPr>
            <w:tcW w:w="2765"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cs="宋体"/>
                <w:highlight w:val="none"/>
              </w:rPr>
            </w:pPr>
            <w:r>
              <w:rPr>
                <w:rFonts w:hint="eastAsia" w:ascii="宋体" w:hAnsi="宋体" w:cs="宋体"/>
                <w:highlight w:val="none"/>
              </w:rPr>
              <w:t>供应商资格要求</w:t>
            </w:r>
          </w:p>
        </w:tc>
        <w:tc>
          <w:tcPr>
            <w:tcW w:w="6198" w:type="dxa"/>
            <w:vAlign w:val="center"/>
          </w:tcPr>
          <w:p>
            <w:pPr>
              <w:pStyle w:val="13"/>
              <w:keepNext w:val="0"/>
              <w:keepLines w:val="0"/>
              <w:pageBreakBefore w:val="0"/>
              <w:tabs>
                <w:tab w:val="left" w:pos="0"/>
                <w:tab w:val="left" w:pos="102"/>
              </w:tabs>
              <w:kinsoku/>
              <w:wordWrap/>
              <w:overflowPunct/>
              <w:topLinePunct w:val="0"/>
              <w:autoSpaceDE/>
              <w:autoSpaceDN/>
              <w:bidi w:val="0"/>
              <w:adjustRightInd w:val="0"/>
              <w:spacing w:line="440" w:lineRule="exact"/>
              <w:ind w:left="0" w:leftChars="0" w:firstLine="0" w:firstLineChars="0"/>
              <w:textAlignment w:val="auto"/>
              <w:outlineLvl w:val="9"/>
              <w:rPr>
                <w:rFonts w:hint="eastAsia" w:ascii="宋体" w:eastAsia="宋体" w:cs="宋体"/>
                <w:highlight w:val="none"/>
                <w:lang w:eastAsia="zh-CN"/>
              </w:rPr>
            </w:pPr>
            <w:r>
              <w:rPr>
                <w:rFonts w:hint="eastAsia" w:ascii="宋体" w:cs="宋体"/>
                <w:highlight w:val="none"/>
              </w:rPr>
              <w:t>1</w:t>
            </w:r>
            <w:r>
              <w:rPr>
                <w:rFonts w:hint="eastAsia" w:ascii="宋体" w:cs="宋体"/>
                <w:highlight w:val="none"/>
                <w:lang w:eastAsia="zh-CN"/>
              </w:rPr>
              <w:t>、</w:t>
            </w:r>
            <w:r>
              <w:rPr>
                <w:rFonts w:hint="eastAsia" w:ascii="宋体" w:cs="宋体"/>
                <w:highlight w:val="none"/>
              </w:rPr>
              <w:t>符合《中华人民共和国政府采购法》第二十二条第一款的规定条件并按《中华人民共和国政府采购法实施条例》第十七条第一款的规定提供相关证明材料</w:t>
            </w:r>
            <w:r>
              <w:rPr>
                <w:rFonts w:hint="eastAsia" w:ascii="宋体" w:cs="宋体"/>
                <w:highlight w:val="none"/>
                <w:lang w:eastAsia="zh-CN"/>
              </w:rPr>
              <w:t>；</w:t>
            </w:r>
          </w:p>
          <w:p>
            <w:pPr>
              <w:pStyle w:val="13"/>
              <w:keepNext w:val="0"/>
              <w:keepLines w:val="0"/>
              <w:pageBreakBefore w:val="0"/>
              <w:tabs>
                <w:tab w:val="left" w:pos="0"/>
                <w:tab w:val="left" w:pos="102"/>
              </w:tabs>
              <w:kinsoku/>
              <w:wordWrap/>
              <w:overflowPunct/>
              <w:topLinePunct w:val="0"/>
              <w:autoSpaceDE/>
              <w:autoSpaceDN/>
              <w:bidi w:val="0"/>
              <w:adjustRightInd w:val="0"/>
              <w:spacing w:line="440" w:lineRule="exact"/>
              <w:ind w:left="0" w:leftChars="0" w:firstLine="0" w:firstLineChars="0"/>
              <w:textAlignment w:val="auto"/>
              <w:outlineLvl w:val="9"/>
              <w:rPr>
                <w:rFonts w:hint="eastAsia" w:ascii="宋体" w:cs="宋体"/>
                <w:highlight w:val="none"/>
              </w:rPr>
            </w:pPr>
            <w:r>
              <w:rPr>
                <w:rFonts w:hint="eastAsia" w:ascii="宋体" w:cs="宋体"/>
                <w:highlight w:val="none"/>
              </w:rPr>
              <w:t>2</w:t>
            </w:r>
            <w:r>
              <w:rPr>
                <w:rFonts w:hint="eastAsia" w:ascii="宋体" w:cs="宋体"/>
                <w:highlight w:val="none"/>
                <w:lang w:eastAsia="zh-CN"/>
              </w:rPr>
              <w:t>、</w:t>
            </w:r>
            <w:r>
              <w:rPr>
                <w:rFonts w:hint="eastAsia" w:ascii="宋体" w:cs="宋体"/>
                <w:highlight w:val="none"/>
              </w:rPr>
              <w:t>必须为未列入“信用中国”、“中国政府采购网”失信被执行人、重大税收违法案件当事人名单、政府采购严重违法失信名单的企业；</w:t>
            </w:r>
          </w:p>
          <w:p>
            <w:pPr>
              <w:pStyle w:val="13"/>
              <w:keepNext w:val="0"/>
              <w:keepLines w:val="0"/>
              <w:pageBreakBefore w:val="0"/>
              <w:tabs>
                <w:tab w:val="left" w:pos="0"/>
                <w:tab w:val="left" w:pos="102"/>
              </w:tabs>
              <w:kinsoku/>
              <w:wordWrap/>
              <w:overflowPunct/>
              <w:topLinePunct w:val="0"/>
              <w:autoSpaceDE/>
              <w:autoSpaceDN/>
              <w:bidi w:val="0"/>
              <w:adjustRightInd w:val="0"/>
              <w:spacing w:line="440" w:lineRule="exact"/>
              <w:ind w:left="0" w:leftChars="0" w:firstLine="0" w:firstLineChars="0"/>
              <w:textAlignment w:val="auto"/>
              <w:outlineLvl w:val="9"/>
              <w:rPr>
                <w:rFonts w:hint="eastAsia" w:ascii="宋体" w:cs="宋体"/>
                <w:highlight w:val="none"/>
              </w:rPr>
            </w:pPr>
            <w:r>
              <w:rPr>
                <w:rFonts w:hint="eastAsia" w:ascii="宋体" w:cs="宋体"/>
                <w:highlight w:val="none"/>
              </w:rPr>
              <w:t>3</w:t>
            </w:r>
            <w:r>
              <w:rPr>
                <w:rFonts w:hint="eastAsia" w:ascii="宋体" w:cs="宋体"/>
                <w:highlight w:val="none"/>
                <w:lang w:eastAsia="zh-CN"/>
              </w:rPr>
              <w:t>、</w:t>
            </w:r>
            <w:r>
              <w:rPr>
                <w:rFonts w:hint="eastAsia" w:ascii="宋体" w:cs="宋体"/>
                <w:highlight w:val="none"/>
              </w:rPr>
              <w:t>单位负责人为同一人或者存在直接控股、管理关系的不同投标人，不得参加同一合同项下的采购活动；</w:t>
            </w:r>
          </w:p>
          <w:p>
            <w:pPr>
              <w:pStyle w:val="13"/>
              <w:keepNext w:val="0"/>
              <w:keepLines w:val="0"/>
              <w:pageBreakBefore w:val="0"/>
              <w:tabs>
                <w:tab w:val="left" w:pos="0"/>
                <w:tab w:val="left" w:pos="102"/>
              </w:tabs>
              <w:kinsoku/>
              <w:wordWrap/>
              <w:overflowPunct/>
              <w:topLinePunct w:val="0"/>
              <w:autoSpaceDE/>
              <w:autoSpaceDN/>
              <w:bidi w:val="0"/>
              <w:adjustRightInd w:val="0"/>
              <w:spacing w:line="440" w:lineRule="exact"/>
              <w:ind w:left="0" w:leftChars="0" w:firstLine="0" w:firstLineChars="0"/>
              <w:textAlignment w:val="auto"/>
              <w:outlineLvl w:val="9"/>
              <w:rPr>
                <w:rFonts w:hint="eastAsia" w:ascii="宋体" w:cs="宋体"/>
                <w:highlight w:val="none"/>
              </w:rPr>
            </w:pPr>
            <w:r>
              <w:rPr>
                <w:rFonts w:hint="eastAsia" w:ascii="宋体" w:cs="宋体"/>
                <w:highlight w:val="none"/>
              </w:rPr>
              <w:t>4</w:t>
            </w:r>
            <w:r>
              <w:rPr>
                <w:rFonts w:hint="eastAsia" w:ascii="宋体" w:cs="宋体"/>
                <w:highlight w:val="none"/>
                <w:lang w:eastAsia="zh-CN"/>
              </w:rPr>
              <w:t>、</w:t>
            </w:r>
            <w:r>
              <w:rPr>
                <w:rFonts w:hint="eastAsia" w:ascii="宋体" w:cs="宋体"/>
                <w:highlight w:val="none"/>
              </w:rPr>
              <w:t>本次采购不接受联合体报价；</w:t>
            </w:r>
          </w:p>
          <w:p>
            <w:pPr>
              <w:pStyle w:val="13"/>
              <w:keepNext w:val="0"/>
              <w:keepLines w:val="0"/>
              <w:pageBreakBefore w:val="0"/>
              <w:tabs>
                <w:tab w:val="left" w:pos="0"/>
                <w:tab w:val="left" w:pos="102"/>
              </w:tabs>
              <w:kinsoku/>
              <w:wordWrap/>
              <w:overflowPunct/>
              <w:topLinePunct w:val="0"/>
              <w:autoSpaceDE/>
              <w:autoSpaceDN/>
              <w:bidi w:val="0"/>
              <w:adjustRightInd w:val="0"/>
              <w:spacing w:line="440" w:lineRule="exact"/>
              <w:ind w:left="0" w:leftChars="0" w:firstLine="0" w:firstLineChars="0"/>
              <w:textAlignment w:val="auto"/>
              <w:outlineLvl w:val="9"/>
              <w:rPr>
                <w:rFonts w:ascii="宋体" w:cs="宋体"/>
                <w:highlight w:val="none"/>
              </w:rPr>
            </w:pPr>
            <w:r>
              <w:rPr>
                <w:rFonts w:hint="eastAsia" w:ascii="宋体" w:cs="宋体"/>
                <w:highlight w:val="none"/>
              </w:rPr>
              <w:t>5</w:t>
            </w:r>
            <w:r>
              <w:rPr>
                <w:rFonts w:hint="eastAsia" w:ascii="宋体" w:cs="宋体"/>
                <w:highlight w:val="none"/>
                <w:lang w:eastAsia="zh-CN"/>
              </w:rPr>
              <w:t>、</w:t>
            </w:r>
            <w:r>
              <w:rPr>
                <w:rFonts w:hint="eastAsia" w:ascii="宋体" w:cs="宋体"/>
                <w:highlight w:val="none"/>
              </w:rPr>
              <w:t xml:space="preserve"> 未尽事宜，遵照国家相关规定执行。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97"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cs="宋体"/>
                <w:highlight w:val="none"/>
              </w:rPr>
            </w:pPr>
            <w:r>
              <w:rPr>
                <w:rFonts w:ascii="宋体" w:hAnsi="宋体" w:cs="宋体"/>
                <w:highlight w:val="none"/>
              </w:rPr>
              <w:t>7</w:t>
            </w:r>
          </w:p>
        </w:tc>
        <w:tc>
          <w:tcPr>
            <w:tcW w:w="2765"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cs="宋体"/>
                <w:highlight w:val="none"/>
              </w:rPr>
            </w:pPr>
            <w:r>
              <w:rPr>
                <w:rFonts w:hint="eastAsia" w:ascii="宋体" w:hAnsi="宋体" w:cs="宋体"/>
                <w:highlight w:val="none"/>
              </w:rPr>
              <w:t>资格审查方式</w:t>
            </w:r>
          </w:p>
        </w:tc>
        <w:tc>
          <w:tcPr>
            <w:tcW w:w="6198" w:type="dxa"/>
            <w:vAlign w:val="center"/>
          </w:tcPr>
          <w:p>
            <w:pPr>
              <w:pStyle w:val="13"/>
              <w:keepNext w:val="0"/>
              <w:keepLines w:val="0"/>
              <w:pageBreakBefore w:val="0"/>
              <w:tabs>
                <w:tab w:val="left" w:pos="0"/>
                <w:tab w:val="left" w:pos="102"/>
              </w:tabs>
              <w:kinsoku/>
              <w:wordWrap/>
              <w:overflowPunct/>
              <w:topLinePunct w:val="0"/>
              <w:autoSpaceDE/>
              <w:autoSpaceDN/>
              <w:bidi w:val="0"/>
              <w:adjustRightInd w:val="0"/>
              <w:spacing w:line="440" w:lineRule="exact"/>
              <w:ind w:left="0" w:leftChars="0" w:firstLine="100" w:firstLineChars="42"/>
              <w:textAlignment w:val="auto"/>
              <w:outlineLvl w:val="9"/>
              <w:rPr>
                <w:rFonts w:ascii="宋体" w:cs="宋体"/>
                <w:highlight w:val="none"/>
              </w:rPr>
            </w:pPr>
            <w:r>
              <w:rPr>
                <w:rFonts w:hint="eastAsia" w:ascii="宋体" w:hAnsi="宋体" w:cs="宋体"/>
                <w:highlight w:val="none"/>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797"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cs="宋体"/>
                <w:highlight w:val="none"/>
              </w:rPr>
            </w:pPr>
            <w:r>
              <w:rPr>
                <w:rFonts w:ascii="宋体" w:hAnsi="宋体" w:cs="宋体"/>
                <w:highlight w:val="none"/>
              </w:rPr>
              <w:t>8</w:t>
            </w:r>
          </w:p>
        </w:tc>
        <w:tc>
          <w:tcPr>
            <w:tcW w:w="2765"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cs="宋体"/>
                <w:highlight w:val="none"/>
              </w:rPr>
            </w:pPr>
            <w:r>
              <w:rPr>
                <w:rFonts w:hint="eastAsia" w:ascii="宋体" w:hAnsi="宋体" w:cs="宋体"/>
                <w:highlight w:val="none"/>
              </w:rPr>
              <w:t>付款方式</w:t>
            </w:r>
          </w:p>
        </w:tc>
        <w:tc>
          <w:tcPr>
            <w:tcW w:w="6198" w:type="dxa"/>
            <w:vAlign w:val="center"/>
          </w:tcPr>
          <w:p>
            <w:pPr>
              <w:pStyle w:val="13"/>
              <w:keepNext w:val="0"/>
              <w:keepLines w:val="0"/>
              <w:pageBreakBefore w:val="0"/>
              <w:tabs>
                <w:tab w:val="left" w:pos="0"/>
                <w:tab w:val="left" w:pos="102"/>
              </w:tabs>
              <w:kinsoku/>
              <w:wordWrap/>
              <w:overflowPunct/>
              <w:topLinePunct w:val="0"/>
              <w:autoSpaceDE/>
              <w:autoSpaceDN/>
              <w:bidi w:val="0"/>
              <w:adjustRightInd w:val="0"/>
              <w:spacing w:line="440" w:lineRule="exact"/>
              <w:ind w:left="0" w:leftChars="0" w:firstLine="0" w:firstLineChars="0"/>
              <w:textAlignment w:val="auto"/>
              <w:outlineLvl w:val="9"/>
              <w:rPr>
                <w:rFonts w:ascii="宋体" w:cs="宋体"/>
                <w:highlight w:val="none"/>
              </w:rPr>
            </w:pPr>
            <w:r>
              <w:rPr>
                <w:rFonts w:hint="eastAsia" w:ascii="宋体" w:hAnsi="宋体" w:cs="宋体"/>
                <w:highlight w:val="none"/>
              </w:rPr>
              <w:t>货物全部交付完毕并验收合格后凭清单及发票办理入库手续，甲方收到前述凭证后三个月内支付合同总金额90%,货物自验收合格之日起满12个月无质量问题的，甲方付清全部货物尾款。（结算数量以审计最终审计数量</w:t>
            </w:r>
            <w:r>
              <w:rPr>
                <w:rFonts w:hint="eastAsia" w:ascii="宋体" w:hAnsi="宋体" w:cs="宋体"/>
                <w:highlight w:val="none"/>
                <w:lang w:val="en-US" w:eastAsia="zh-CN"/>
              </w:rPr>
              <w:t>为准</w:t>
            </w:r>
            <w:r>
              <w:rPr>
                <w:rFonts w:hint="eastAsia" w:ascii="宋体"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97"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hAnsi="宋体" w:cs="宋体"/>
                <w:highlight w:val="none"/>
              </w:rPr>
            </w:pPr>
            <w:r>
              <w:rPr>
                <w:rFonts w:ascii="宋体" w:hAnsi="宋体" w:cs="宋体"/>
                <w:highlight w:val="none"/>
              </w:rPr>
              <w:t>9</w:t>
            </w:r>
          </w:p>
        </w:tc>
        <w:tc>
          <w:tcPr>
            <w:tcW w:w="2765"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hint="eastAsia" w:ascii="宋体" w:hAnsi="宋体" w:eastAsia="宋体" w:cs="宋体"/>
                <w:highlight w:val="none"/>
                <w:lang w:eastAsia="zh-CN"/>
              </w:rPr>
            </w:pPr>
            <w:r>
              <w:rPr>
                <w:rFonts w:hint="eastAsia" w:ascii="宋体" w:hAnsi="宋体" w:cs="宋体"/>
                <w:highlight w:val="none"/>
                <w:lang w:eastAsia="zh-CN"/>
              </w:rPr>
              <w:t>交货期</w:t>
            </w:r>
          </w:p>
        </w:tc>
        <w:tc>
          <w:tcPr>
            <w:tcW w:w="6198" w:type="dxa"/>
            <w:vAlign w:val="center"/>
          </w:tcPr>
          <w:p>
            <w:pPr>
              <w:pStyle w:val="13"/>
              <w:keepNext w:val="0"/>
              <w:keepLines w:val="0"/>
              <w:pageBreakBefore w:val="0"/>
              <w:tabs>
                <w:tab w:val="left" w:pos="0"/>
                <w:tab w:val="left" w:pos="102"/>
              </w:tabs>
              <w:kinsoku/>
              <w:wordWrap/>
              <w:overflowPunct/>
              <w:topLinePunct w:val="0"/>
              <w:autoSpaceDE/>
              <w:autoSpaceDN/>
              <w:bidi w:val="0"/>
              <w:adjustRightInd w:val="0"/>
              <w:spacing w:line="440" w:lineRule="exact"/>
              <w:ind w:left="0" w:leftChars="0" w:firstLine="0" w:firstLineChars="0"/>
              <w:textAlignment w:val="auto"/>
              <w:outlineLvl w:val="9"/>
              <w:rPr>
                <w:rFonts w:hint="eastAsia" w:ascii="宋体" w:hAnsi="宋体" w:eastAsia="宋体" w:cs="宋体"/>
                <w:highlight w:val="none"/>
                <w:lang w:val="en-US" w:eastAsia="zh-CN"/>
              </w:rPr>
            </w:pPr>
            <w:r>
              <w:rPr>
                <w:rFonts w:hint="eastAsia" w:ascii="宋体" w:hAnsi="宋体" w:cs="宋体"/>
                <w:highlight w:val="none"/>
                <w:lang w:val="en-US" w:eastAsia="zh-CN"/>
              </w:rPr>
              <w:t>供应商可自行竞报最快交货期，但不得超过20天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97"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hAnsi="Times New Roman" w:eastAsia="宋体" w:cs="宋体"/>
                <w:kern w:val="2"/>
                <w:sz w:val="24"/>
                <w:szCs w:val="24"/>
                <w:highlight w:val="none"/>
                <w:lang w:val="en-US" w:eastAsia="zh-CN" w:bidi="ar-SA"/>
              </w:rPr>
            </w:pPr>
            <w:r>
              <w:rPr>
                <w:rFonts w:ascii="宋体" w:hAnsi="宋体" w:cs="宋体"/>
                <w:highlight w:val="none"/>
              </w:rPr>
              <w:t>10</w:t>
            </w:r>
          </w:p>
        </w:tc>
        <w:tc>
          <w:tcPr>
            <w:tcW w:w="2765"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hint="default" w:ascii="宋体" w:hAnsi="宋体" w:cs="宋体"/>
                <w:highlight w:val="none"/>
                <w:lang w:val="en-US" w:eastAsia="zh-CN"/>
              </w:rPr>
            </w:pPr>
            <w:r>
              <w:rPr>
                <w:rFonts w:hint="eastAsia" w:ascii="宋体" w:hAnsi="宋体" w:cs="宋体"/>
                <w:highlight w:val="none"/>
                <w:lang w:val="en-US" w:eastAsia="zh-CN"/>
              </w:rPr>
              <w:t>质保期</w:t>
            </w:r>
          </w:p>
        </w:tc>
        <w:tc>
          <w:tcPr>
            <w:tcW w:w="6198" w:type="dxa"/>
            <w:vAlign w:val="center"/>
          </w:tcPr>
          <w:p>
            <w:pPr>
              <w:pStyle w:val="13"/>
              <w:keepNext w:val="0"/>
              <w:keepLines w:val="0"/>
              <w:pageBreakBefore w:val="0"/>
              <w:tabs>
                <w:tab w:val="left" w:pos="0"/>
                <w:tab w:val="left" w:pos="102"/>
              </w:tabs>
              <w:kinsoku/>
              <w:wordWrap/>
              <w:overflowPunct/>
              <w:topLinePunct w:val="0"/>
              <w:autoSpaceDE/>
              <w:autoSpaceDN/>
              <w:bidi w:val="0"/>
              <w:adjustRightInd w:val="0"/>
              <w:spacing w:line="440" w:lineRule="exact"/>
              <w:ind w:left="0" w:leftChars="0" w:firstLine="0" w:firstLineChars="0"/>
              <w:textAlignment w:val="auto"/>
              <w:outlineLvl w:val="9"/>
              <w:rPr>
                <w:rFonts w:hint="default" w:ascii="宋体" w:hAnsi="宋体" w:cs="宋体"/>
                <w:highlight w:val="none"/>
                <w:lang w:val="en-US" w:eastAsia="zh-CN"/>
              </w:rPr>
            </w:pPr>
            <w:r>
              <w:rPr>
                <w:rFonts w:hint="eastAsia" w:ascii="宋体" w:hAnsi="宋体" w:cs="宋体"/>
                <w:highlight w:val="none"/>
                <w:lang w:val="en-US" w:eastAsia="zh-CN"/>
              </w:rPr>
              <w:t>不低于1年，供应商可竞报最长质保期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97"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hint="default" w:ascii="宋体" w:hAnsi="宋体" w:eastAsia="宋体" w:cs="宋体"/>
                <w:highlight w:val="none"/>
                <w:lang w:val="en-US" w:eastAsia="zh-CN"/>
              </w:rPr>
            </w:pPr>
            <w:r>
              <w:rPr>
                <w:rFonts w:hint="eastAsia" w:ascii="宋体" w:hAnsi="宋体" w:cs="宋体"/>
                <w:highlight w:val="none"/>
                <w:lang w:val="en-US" w:eastAsia="zh-CN"/>
              </w:rPr>
              <w:t>11</w:t>
            </w:r>
          </w:p>
        </w:tc>
        <w:tc>
          <w:tcPr>
            <w:tcW w:w="2765"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hint="default" w:ascii="宋体" w:hAnsi="宋体" w:cs="宋体"/>
                <w:highlight w:val="none"/>
                <w:lang w:val="en-US" w:eastAsia="zh-CN"/>
              </w:rPr>
            </w:pPr>
            <w:r>
              <w:rPr>
                <w:rFonts w:hint="eastAsia" w:ascii="宋体" w:hAnsi="宋体" w:cs="宋体"/>
                <w:highlight w:val="none"/>
                <w:lang w:val="en-US" w:eastAsia="zh-CN"/>
              </w:rPr>
              <w:t>是否需要提供样品</w:t>
            </w:r>
          </w:p>
        </w:tc>
        <w:tc>
          <w:tcPr>
            <w:tcW w:w="6198" w:type="dxa"/>
            <w:vAlign w:val="center"/>
          </w:tcPr>
          <w:p>
            <w:pPr>
              <w:pStyle w:val="13"/>
              <w:keepNext w:val="0"/>
              <w:keepLines w:val="0"/>
              <w:pageBreakBefore w:val="0"/>
              <w:tabs>
                <w:tab w:val="left" w:pos="0"/>
                <w:tab w:val="left" w:pos="102"/>
              </w:tabs>
              <w:kinsoku/>
              <w:wordWrap/>
              <w:overflowPunct/>
              <w:topLinePunct w:val="0"/>
              <w:autoSpaceDE/>
              <w:autoSpaceDN/>
              <w:bidi w:val="0"/>
              <w:adjustRightInd w:val="0"/>
              <w:spacing w:line="440" w:lineRule="exact"/>
              <w:ind w:left="0" w:leftChars="0" w:firstLine="0" w:firstLineChars="0"/>
              <w:textAlignment w:val="auto"/>
              <w:outlineLvl w:val="9"/>
              <w:rPr>
                <w:rFonts w:hint="default" w:ascii="宋体" w:hAnsi="宋体" w:cs="宋体"/>
                <w:highlight w:val="none"/>
                <w:lang w:val="en-US" w:eastAsia="zh-CN"/>
              </w:rPr>
            </w:pPr>
            <w:r>
              <w:rPr>
                <w:rFonts w:hint="eastAsia" w:ascii="宋体" w:hAnsi="宋体" w:cs="宋体"/>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797"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hAnsi="Times New Roman" w:eastAsia="宋体" w:cs="宋体"/>
                <w:kern w:val="2"/>
                <w:sz w:val="24"/>
                <w:szCs w:val="24"/>
                <w:highlight w:val="none"/>
                <w:lang w:val="en-US" w:eastAsia="zh-CN" w:bidi="ar-SA"/>
              </w:rPr>
            </w:pPr>
            <w:r>
              <w:rPr>
                <w:rFonts w:ascii="宋体" w:hAnsi="宋体" w:cs="宋体"/>
                <w:highlight w:val="none"/>
              </w:rPr>
              <w:t>12</w:t>
            </w:r>
          </w:p>
        </w:tc>
        <w:tc>
          <w:tcPr>
            <w:tcW w:w="2765"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cs="宋体"/>
                <w:highlight w:val="none"/>
              </w:rPr>
            </w:pPr>
            <w:r>
              <w:rPr>
                <w:rFonts w:hint="eastAsia" w:ascii="宋体" w:hAnsi="宋体" w:cs="宋体"/>
                <w:highlight w:val="none"/>
              </w:rPr>
              <w:t>响应文件</w:t>
            </w:r>
          </w:p>
        </w:tc>
        <w:tc>
          <w:tcPr>
            <w:tcW w:w="6198" w:type="dxa"/>
            <w:vAlign w:val="center"/>
          </w:tcPr>
          <w:p>
            <w:pPr>
              <w:pStyle w:val="13"/>
              <w:keepNext w:val="0"/>
              <w:keepLines w:val="0"/>
              <w:pageBreakBefore w:val="0"/>
              <w:tabs>
                <w:tab w:val="left" w:pos="0"/>
                <w:tab w:val="left" w:pos="102"/>
              </w:tabs>
              <w:kinsoku/>
              <w:wordWrap/>
              <w:overflowPunct/>
              <w:topLinePunct w:val="0"/>
              <w:autoSpaceDE/>
              <w:autoSpaceDN/>
              <w:bidi w:val="0"/>
              <w:adjustRightInd w:val="0"/>
              <w:spacing w:line="440" w:lineRule="exact"/>
              <w:ind w:left="0" w:leftChars="0" w:firstLine="100" w:firstLineChars="42"/>
              <w:textAlignment w:val="auto"/>
              <w:outlineLvl w:val="9"/>
              <w:rPr>
                <w:rFonts w:hint="eastAsia" w:ascii="宋体" w:hAnsi="宋体" w:cs="宋体"/>
                <w:highlight w:val="none"/>
              </w:rPr>
            </w:pPr>
            <w:r>
              <w:rPr>
                <w:rFonts w:hint="eastAsia" w:ascii="宋体" w:hAnsi="宋体" w:cs="宋体"/>
                <w:highlight w:val="none"/>
              </w:rPr>
              <w:t>响应文件</w:t>
            </w:r>
            <w:r>
              <w:rPr>
                <w:rFonts w:hint="eastAsia" w:ascii="宋体" w:hAnsi="宋体" w:cs="宋体"/>
                <w:b/>
                <w:bCs/>
                <w:highlight w:val="none"/>
              </w:rPr>
              <w:t>每包</w:t>
            </w:r>
            <w:r>
              <w:rPr>
                <w:rFonts w:hint="eastAsia" w:ascii="宋体" w:hAnsi="宋体" w:cs="宋体"/>
                <w:highlight w:val="none"/>
                <w:lang w:val="en-US" w:eastAsia="zh-CN"/>
              </w:rPr>
              <w:t>3</w:t>
            </w:r>
            <w:r>
              <w:rPr>
                <w:rFonts w:hint="eastAsia" w:ascii="宋体" w:hAnsi="宋体" w:cs="宋体"/>
                <w:highlight w:val="none"/>
              </w:rPr>
              <w:t>份，正本</w:t>
            </w:r>
            <w:r>
              <w:rPr>
                <w:rFonts w:ascii="宋体" w:hAnsi="宋体" w:cs="宋体"/>
                <w:highlight w:val="none"/>
              </w:rPr>
              <w:t>1</w:t>
            </w:r>
            <w:r>
              <w:rPr>
                <w:rFonts w:hint="eastAsia" w:ascii="宋体" w:hAnsi="宋体" w:cs="宋体"/>
                <w:highlight w:val="none"/>
              </w:rPr>
              <w:t>份，副本</w:t>
            </w:r>
            <w:r>
              <w:rPr>
                <w:rFonts w:ascii="宋体" w:hAnsi="宋体" w:cs="宋体"/>
                <w:highlight w:val="none"/>
              </w:rPr>
              <w:t>2</w:t>
            </w:r>
            <w:r>
              <w:rPr>
                <w:rFonts w:hint="eastAsia" w:ascii="宋体" w:hAnsi="宋体" w:cs="宋体"/>
                <w:highlight w:val="none"/>
              </w:rPr>
              <w:t>份；电子文档（</w:t>
            </w:r>
            <w:r>
              <w:rPr>
                <w:rFonts w:hint="eastAsia" w:ascii="宋体" w:hAnsi="宋体" w:cs="宋体"/>
                <w:highlight w:val="none"/>
                <w:lang w:val="en-US" w:eastAsia="zh-CN"/>
              </w:rPr>
              <w:t>U</w:t>
            </w:r>
            <w:r>
              <w:rPr>
                <w:rFonts w:hint="eastAsia" w:ascii="宋体" w:hAnsi="宋体" w:cs="宋体"/>
                <w:highlight w:val="none"/>
              </w:rPr>
              <w:t>盘）响应文件一份，采用</w:t>
            </w:r>
            <w:r>
              <w:rPr>
                <w:rFonts w:ascii="宋体" w:hAnsi="宋体" w:cs="宋体"/>
                <w:highlight w:val="none"/>
              </w:rPr>
              <w:t>PDF</w:t>
            </w:r>
            <w:r>
              <w:rPr>
                <w:rFonts w:hint="eastAsia" w:ascii="宋体" w:hAnsi="宋体" w:cs="宋体"/>
                <w:highlight w:val="none"/>
              </w:rPr>
              <w:t>中文版，与纸质响应文件一致。（响应文件应采用胶装方式装订，否则代理机构不承担由此引发的响应文件部分内容被替换或遗失等责任）</w:t>
            </w:r>
          </w:p>
          <w:p>
            <w:pPr>
              <w:pStyle w:val="13"/>
              <w:keepNext w:val="0"/>
              <w:keepLines w:val="0"/>
              <w:pageBreakBefore w:val="0"/>
              <w:tabs>
                <w:tab w:val="left" w:pos="0"/>
                <w:tab w:val="left" w:pos="102"/>
              </w:tabs>
              <w:kinsoku/>
              <w:wordWrap/>
              <w:overflowPunct/>
              <w:topLinePunct w:val="0"/>
              <w:autoSpaceDE/>
              <w:autoSpaceDN/>
              <w:bidi w:val="0"/>
              <w:adjustRightInd w:val="0"/>
              <w:spacing w:line="440" w:lineRule="exact"/>
              <w:ind w:left="0" w:leftChars="0" w:firstLine="107" w:firstLineChars="42"/>
              <w:textAlignment w:val="auto"/>
              <w:outlineLvl w:val="9"/>
              <w:rPr>
                <w:rFonts w:ascii="宋体" w:cs="宋体"/>
                <w:highlight w:val="none"/>
              </w:rPr>
            </w:pPr>
            <w:r>
              <w:rPr>
                <w:rFonts w:hint="eastAsia" w:ascii="宋体" w:hAnsi="宋体" w:cs="宋体"/>
                <w:b/>
                <w:bCs/>
                <w:color w:val="000000"/>
                <w:spacing w:val="7"/>
                <w:sz w:val="24"/>
                <w:highlight w:val="none"/>
                <w:lang w:eastAsia="zh-CN"/>
              </w:rPr>
              <w:t>（装订方式：为节约成本，投标文件封皮请勿使用硬版纸，每页均应标注页码，装订应牢固、不易拆散和换页。</w:t>
            </w:r>
            <w:r>
              <w:rPr>
                <w:rFonts w:hint="eastAsia" w:ascii="宋体" w:hAnsi="宋体" w:cs="宋体"/>
                <w:b/>
                <w:bCs/>
                <w:color w:val="000000"/>
                <w:spacing w:val="7"/>
                <w:sz w:val="24"/>
                <w:highlight w:val="none"/>
                <w:lang w:val="en-US" w:eastAsia="zh-CN"/>
              </w:rPr>
              <w:t>响应</w:t>
            </w:r>
            <w:r>
              <w:rPr>
                <w:rFonts w:hint="eastAsia" w:ascii="宋体" w:hAnsi="宋体" w:cs="宋体"/>
                <w:b/>
                <w:bCs/>
                <w:color w:val="000000"/>
                <w:spacing w:val="7"/>
                <w:sz w:val="24"/>
                <w:highlight w:val="none"/>
                <w:lang w:eastAsia="zh-CN"/>
              </w:rPr>
              <w:t>文件每册不超过4.5厘米，如超过请分册。）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797"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hAnsi="Times New Roman" w:eastAsia="宋体" w:cs="宋体"/>
                <w:kern w:val="2"/>
                <w:sz w:val="24"/>
                <w:szCs w:val="24"/>
                <w:highlight w:val="none"/>
                <w:lang w:val="en-US" w:eastAsia="zh-CN" w:bidi="ar-SA"/>
              </w:rPr>
            </w:pPr>
            <w:r>
              <w:rPr>
                <w:rFonts w:ascii="宋体" w:hAnsi="宋体" w:cs="宋体"/>
                <w:highlight w:val="none"/>
              </w:rPr>
              <w:t>13</w:t>
            </w:r>
          </w:p>
        </w:tc>
        <w:tc>
          <w:tcPr>
            <w:tcW w:w="2765"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cs="宋体"/>
                <w:highlight w:val="none"/>
              </w:rPr>
            </w:pPr>
            <w:r>
              <w:rPr>
                <w:rFonts w:hint="eastAsia" w:ascii="宋体" w:hAnsi="宋体" w:cs="宋体"/>
                <w:highlight w:val="none"/>
              </w:rPr>
              <w:t>报价一览表</w:t>
            </w:r>
          </w:p>
        </w:tc>
        <w:tc>
          <w:tcPr>
            <w:tcW w:w="6198" w:type="dxa"/>
            <w:vAlign w:val="center"/>
          </w:tcPr>
          <w:p>
            <w:pPr>
              <w:pStyle w:val="13"/>
              <w:keepNext w:val="0"/>
              <w:keepLines w:val="0"/>
              <w:pageBreakBefore w:val="0"/>
              <w:tabs>
                <w:tab w:val="left" w:pos="0"/>
                <w:tab w:val="left" w:pos="102"/>
              </w:tabs>
              <w:kinsoku/>
              <w:wordWrap/>
              <w:overflowPunct/>
              <w:topLinePunct w:val="0"/>
              <w:autoSpaceDE/>
              <w:autoSpaceDN/>
              <w:bidi w:val="0"/>
              <w:adjustRightInd w:val="0"/>
              <w:spacing w:line="440" w:lineRule="exact"/>
              <w:ind w:left="0" w:leftChars="0" w:firstLine="100" w:firstLineChars="42"/>
              <w:textAlignment w:val="auto"/>
              <w:outlineLvl w:val="9"/>
              <w:rPr>
                <w:rFonts w:ascii="宋体" w:cs="宋体"/>
                <w:highlight w:val="none"/>
              </w:rPr>
            </w:pPr>
            <w:r>
              <w:rPr>
                <w:rFonts w:ascii="宋体" w:hAnsi="宋体" w:cs="宋体"/>
                <w:highlight w:val="none"/>
              </w:rPr>
              <w:t xml:space="preserve">1. </w:t>
            </w:r>
            <w:r>
              <w:rPr>
                <w:rFonts w:hint="eastAsia" w:ascii="宋体" w:hAnsi="宋体" w:cs="宋体"/>
                <w:highlight w:val="none"/>
              </w:rPr>
              <w:t>供应商应将“报价一览表”单独密封，并标明“报价一览表”字样，在报价时单独递交。</w:t>
            </w:r>
          </w:p>
          <w:p>
            <w:pPr>
              <w:pStyle w:val="13"/>
              <w:keepNext w:val="0"/>
              <w:keepLines w:val="0"/>
              <w:pageBreakBefore w:val="0"/>
              <w:tabs>
                <w:tab w:val="left" w:pos="0"/>
                <w:tab w:val="left" w:pos="102"/>
              </w:tabs>
              <w:kinsoku/>
              <w:wordWrap/>
              <w:overflowPunct/>
              <w:topLinePunct w:val="0"/>
              <w:autoSpaceDE/>
              <w:autoSpaceDN/>
              <w:bidi w:val="0"/>
              <w:adjustRightInd w:val="0"/>
              <w:spacing w:line="440" w:lineRule="exact"/>
              <w:ind w:left="0" w:leftChars="0" w:firstLine="100" w:firstLineChars="42"/>
              <w:textAlignment w:val="auto"/>
              <w:outlineLvl w:val="9"/>
              <w:rPr>
                <w:rFonts w:ascii="宋体" w:cs="宋体"/>
                <w:highlight w:val="none"/>
              </w:rPr>
            </w:pPr>
            <w:r>
              <w:rPr>
                <w:rFonts w:ascii="宋体" w:hAnsi="宋体" w:cs="宋体"/>
                <w:highlight w:val="none"/>
              </w:rPr>
              <w:t xml:space="preserve">2. </w:t>
            </w:r>
            <w:r>
              <w:rPr>
                <w:rFonts w:hint="eastAsia" w:ascii="宋体" w:hAnsi="宋体" w:cs="宋体"/>
                <w:highlight w:val="none"/>
              </w:rPr>
              <w:t>报价一览表应由供应商法定代表人或授权代理人签字和加盖供应商公章，如无法定代表人或授权代理人签字和供应商公章将被判为无效报价。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797"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hAnsi="Times New Roman" w:eastAsia="宋体" w:cs="宋体"/>
                <w:kern w:val="2"/>
                <w:sz w:val="24"/>
                <w:szCs w:val="24"/>
                <w:highlight w:val="none"/>
                <w:lang w:val="en-US" w:eastAsia="zh-CN" w:bidi="ar-SA"/>
              </w:rPr>
            </w:pPr>
            <w:r>
              <w:rPr>
                <w:rFonts w:ascii="宋体" w:hAnsi="宋体" w:cs="宋体"/>
                <w:highlight w:val="none"/>
              </w:rPr>
              <w:t>14</w:t>
            </w:r>
          </w:p>
        </w:tc>
        <w:tc>
          <w:tcPr>
            <w:tcW w:w="2765"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cs="宋体"/>
                <w:highlight w:val="none"/>
              </w:rPr>
            </w:pPr>
            <w:r>
              <w:rPr>
                <w:rFonts w:hint="eastAsia" w:ascii="宋体" w:hAnsi="宋体" w:cs="宋体"/>
                <w:highlight w:val="none"/>
              </w:rPr>
              <w:t>密封和标记</w:t>
            </w:r>
          </w:p>
        </w:tc>
        <w:tc>
          <w:tcPr>
            <w:tcW w:w="6198" w:type="dxa"/>
            <w:vAlign w:val="center"/>
          </w:tcPr>
          <w:p>
            <w:pPr>
              <w:pStyle w:val="13"/>
              <w:keepNext w:val="0"/>
              <w:keepLines w:val="0"/>
              <w:pageBreakBefore w:val="0"/>
              <w:tabs>
                <w:tab w:val="left" w:pos="0"/>
                <w:tab w:val="left" w:pos="102"/>
              </w:tabs>
              <w:kinsoku/>
              <w:wordWrap/>
              <w:overflowPunct/>
              <w:topLinePunct w:val="0"/>
              <w:autoSpaceDE/>
              <w:autoSpaceDN/>
              <w:bidi w:val="0"/>
              <w:adjustRightInd w:val="0"/>
              <w:spacing w:line="440" w:lineRule="exact"/>
              <w:ind w:left="0" w:leftChars="0" w:firstLine="100" w:firstLineChars="42"/>
              <w:textAlignment w:val="auto"/>
              <w:outlineLvl w:val="9"/>
              <w:rPr>
                <w:rFonts w:ascii="宋体" w:cs="宋体"/>
                <w:highlight w:val="none"/>
              </w:rPr>
            </w:pPr>
            <w:r>
              <w:rPr>
                <w:rFonts w:ascii="宋体" w:hAnsi="宋体" w:cs="宋体"/>
                <w:highlight w:val="none"/>
              </w:rPr>
              <w:t xml:space="preserve">1. </w:t>
            </w:r>
            <w:r>
              <w:rPr>
                <w:rFonts w:hint="eastAsia" w:ascii="宋体" w:hAnsi="宋体" w:cs="宋体"/>
                <w:highlight w:val="none"/>
              </w:rPr>
              <w:t>供应商的响应文件和报价一览表必须密封，封口处加盖供应商单位公章。封皮上写明供应商的名称。</w:t>
            </w:r>
          </w:p>
          <w:p>
            <w:pPr>
              <w:pStyle w:val="13"/>
              <w:keepNext w:val="0"/>
              <w:keepLines w:val="0"/>
              <w:pageBreakBefore w:val="0"/>
              <w:tabs>
                <w:tab w:val="left" w:pos="0"/>
                <w:tab w:val="left" w:pos="102"/>
              </w:tabs>
              <w:kinsoku/>
              <w:wordWrap/>
              <w:overflowPunct/>
              <w:topLinePunct w:val="0"/>
              <w:autoSpaceDE/>
              <w:autoSpaceDN/>
              <w:bidi w:val="0"/>
              <w:adjustRightInd w:val="0"/>
              <w:spacing w:line="440" w:lineRule="exact"/>
              <w:ind w:left="0" w:leftChars="0" w:firstLine="100" w:firstLineChars="42"/>
              <w:textAlignment w:val="auto"/>
              <w:outlineLvl w:val="9"/>
              <w:rPr>
                <w:rFonts w:ascii="宋体" w:cs="宋体"/>
                <w:highlight w:val="none"/>
              </w:rPr>
            </w:pPr>
            <w:r>
              <w:rPr>
                <w:rFonts w:ascii="宋体" w:hAnsi="宋体" w:cs="宋体"/>
                <w:highlight w:val="none"/>
              </w:rPr>
              <w:t xml:space="preserve">2. </w:t>
            </w:r>
            <w:r>
              <w:rPr>
                <w:rFonts w:hint="eastAsia" w:ascii="宋体" w:hAnsi="宋体" w:cs="宋体"/>
                <w:highlight w:val="none"/>
              </w:rPr>
              <w:t>未按要求密封的响应文件和报价一览表不予接收。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97"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hAnsi="Times New Roman" w:eastAsia="宋体" w:cs="宋体"/>
                <w:kern w:val="2"/>
                <w:sz w:val="24"/>
                <w:szCs w:val="24"/>
                <w:highlight w:val="none"/>
                <w:lang w:val="en-US" w:eastAsia="zh-CN" w:bidi="ar-SA"/>
              </w:rPr>
            </w:pPr>
            <w:r>
              <w:rPr>
                <w:rFonts w:ascii="宋体" w:hAnsi="宋体" w:cs="宋体"/>
                <w:highlight w:val="none"/>
              </w:rPr>
              <w:t>15</w:t>
            </w:r>
          </w:p>
        </w:tc>
        <w:tc>
          <w:tcPr>
            <w:tcW w:w="2765"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cs="宋体"/>
                <w:highlight w:val="none"/>
              </w:rPr>
            </w:pPr>
            <w:r>
              <w:rPr>
                <w:rFonts w:hint="eastAsia" w:ascii="宋体" w:hAnsi="宋体" w:cs="宋体"/>
                <w:highlight w:val="none"/>
              </w:rPr>
              <w:t>报价有效期</w:t>
            </w:r>
          </w:p>
        </w:tc>
        <w:tc>
          <w:tcPr>
            <w:tcW w:w="6198" w:type="dxa"/>
            <w:vAlign w:val="center"/>
          </w:tcPr>
          <w:p>
            <w:pPr>
              <w:pStyle w:val="13"/>
              <w:keepNext w:val="0"/>
              <w:keepLines w:val="0"/>
              <w:pageBreakBefore w:val="0"/>
              <w:tabs>
                <w:tab w:val="left" w:pos="0"/>
                <w:tab w:val="left" w:pos="102"/>
              </w:tabs>
              <w:kinsoku/>
              <w:wordWrap/>
              <w:overflowPunct/>
              <w:topLinePunct w:val="0"/>
              <w:autoSpaceDE/>
              <w:autoSpaceDN/>
              <w:bidi w:val="0"/>
              <w:adjustRightInd w:val="0"/>
              <w:spacing w:line="440" w:lineRule="exact"/>
              <w:ind w:left="0" w:leftChars="0" w:firstLine="100" w:firstLineChars="42"/>
              <w:textAlignment w:val="auto"/>
              <w:outlineLvl w:val="9"/>
              <w:rPr>
                <w:rFonts w:ascii="宋体" w:cs="宋体"/>
                <w:highlight w:val="none"/>
              </w:rPr>
            </w:pPr>
            <w:r>
              <w:rPr>
                <w:rFonts w:ascii="宋体" w:hAnsi="宋体" w:cs="宋体"/>
                <w:highlight w:val="none"/>
              </w:rPr>
              <w:t>90</w:t>
            </w:r>
            <w:r>
              <w:rPr>
                <w:rFonts w:hint="eastAsia" w:ascii="宋体" w:hAnsi="宋体" w:cs="宋体"/>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97"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hAnsi="Times New Roman" w:eastAsia="宋体" w:cs="宋体"/>
                <w:kern w:val="2"/>
                <w:sz w:val="24"/>
                <w:szCs w:val="24"/>
                <w:highlight w:val="none"/>
                <w:lang w:val="en-US" w:eastAsia="zh-CN" w:bidi="ar-SA"/>
              </w:rPr>
            </w:pPr>
            <w:r>
              <w:rPr>
                <w:rFonts w:ascii="宋体" w:hAnsi="宋体" w:cs="宋体"/>
                <w:highlight w:val="none"/>
              </w:rPr>
              <w:t>16</w:t>
            </w:r>
          </w:p>
        </w:tc>
        <w:tc>
          <w:tcPr>
            <w:tcW w:w="2765"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jc w:val="center"/>
              <w:textAlignment w:val="auto"/>
              <w:outlineLvl w:val="9"/>
              <w:rPr>
                <w:rFonts w:ascii="宋体"/>
                <w:sz w:val="24"/>
                <w:highlight w:val="none"/>
              </w:rPr>
            </w:pPr>
            <w:r>
              <w:rPr>
                <w:rFonts w:hint="eastAsia" w:ascii="宋体" w:hAnsi="宋体"/>
                <w:sz w:val="24"/>
                <w:highlight w:val="none"/>
              </w:rPr>
              <w:t>供应商提出问题的</w:t>
            </w:r>
          </w:p>
          <w:p>
            <w:pPr>
              <w:keepNext w:val="0"/>
              <w:keepLines w:val="0"/>
              <w:pageBreakBefore w:val="0"/>
              <w:kinsoku/>
              <w:wordWrap/>
              <w:overflowPunct/>
              <w:topLinePunct w:val="0"/>
              <w:autoSpaceDE/>
              <w:autoSpaceDN/>
              <w:bidi w:val="0"/>
              <w:adjustRightInd w:val="0"/>
              <w:snapToGrid w:val="0"/>
              <w:spacing w:line="440" w:lineRule="exact"/>
              <w:ind w:left="0" w:leftChars="0"/>
              <w:jc w:val="center"/>
              <w:textAlignment w:val="auto"/>
              <w:outlineLvl w:val="9"/>
              <w:rPr>
                <w:rFonts w:ascii="宋体" w:cs="宋体"/>
                <w:highlight w:val="none"/>
              </w:rPr>
            </w:pPr>
            <w:r>
              <w:rPr>
                <w:rFonts w:hint="eastAsia" w:ascii="宋体" w:hAnsi="宋体"/>
                <w:highlight w:val="none"/>
              </w:rPr>
              <w:t>截止时间</w:t>
            </w:r>
          </w:p>
        </w:tc>
        <w:tc>
          <w:tcPr>
            <w:tcW w:w="6198" w:type="dxa"/>
            <w:vAlign w:val="center"/>
          </w:tcPr>
          <w:p>
            <w:pPr>
              <w:pStyle w:val="68"/>
              <w:keepNext w:val="0"/>
              <w:keepLines w:val="0"/>
              <w:pageBreakBefore w:val="0"/>
              <w:kinsoku/>
              <w:wordWrap/>
              <w:overflowPunct/>
              <w:topLinePunct w:val="0"/>
              <w:autoSpaceDE/>
              <w:autoSpaceDN/>
              <w:bidi w:val="0"/>
              <w:adjustRightInd w:val="0"/>
              <w:snapToGrid w:val="0"/>
              <w:spacing w:before="0" w:after="0" w:line="440" w:lineRule="exact"/>
              <w:ind w:left="0" w:leftChars="0"/>
              <w:jc w:val="left"/>
              <w:textAlignment w:val="auto"/>
              <w:outlineLvl w:val="9"/>
              <w:rPr>
                <w:rFonts w:ascii="宋体" w:cs="宋体"/>
                <w:highlight w:val="none"/>
              </w:rPr>
            </w:pPr>
            <w:r>
              <w:rPr>
                <w:rFonts w:ascii="宋体" w:eastAsia="Times New Roman"/>
                <w:sz w:val="24"/>
                <w:highlight w:val="none"/>
              </w:rPr>
              <w:t>20</w:t>
            </w:r>
            <w:r>
              <w:rPr>
                <w:rFonts w:hint="eastAsia" w:ascii="宋体"/>
                <w:sz w:val="24"/>
                <w:highlight w:val="none"/>
                <w:lang w:val="en-US" w:eastAsia="zh-CN"/>
              </w:rPr>
              <w:t>20</w:t>
            </w:r>
            <w:r>
              <w:rPr>
                <w:rFonts w:ascii="宋体" w:eastAsia="Times New Roman"/>
                <w:sz w:val="24"/>
                <w:highlight w:val="none"/>
              </w:rPr>
              <w:t>年</w:t>
            </w:r>
            <w:r>
              <w:rPr>
                <w:rFonts w:hint="eastAsia" w:ascii="宋体" w:eastAsia="宋体"/>
                <w:sz w:val="24"/>
                <w:highlight w:val="none"/>
                <w:lang w:val="en-US" w:eastAsia="zh-CN"/>
              </w:rPr>
              <w:t>4</w:t>
            </w:r>
            <w:r>
              <w:rPr>
                <w:rFonts w:ascii="宋体" w:eastAsia="Times New Roman"/>
                <w:sz w:val="24"/>
                <w:highlight w:val="none"/>
              </w:rPr>
              <w:t>月</w:t>
            </w:r>
            <w:r>
              <w:rPr>
                <w:rFonts w:hint="eastAsia" w:ascii="宋体"/>
                <w:sz w:val="24"/>
                <w:highlight w:val="none"/>
                <w:lang w:val="en-US" w:eastAsia="zh-CN"/>
              </w:rPr>
              <w:t>3</w:t>
            </w:r>
            <w:r>
              <w:rPr>
                <w:rFonts w:ascii="宋体" w:eastAsia="Times New Roman"/>
                <w:sz w:val="24"/>
                <w:highlight w:val="none"/>
              </w:rPr>
              <w:t>日</w:t>
            </w:r>
            <w:r>
              <w:rPr>
                <w:rFonts w:hint="eastAsia" w:ascii="宋体" w:eastAsia="Times New Roman"/>
                <w:sz w:val="24"/>
                <w:highlight w:val="none"/>
                <w:lang w:val="en-US" w:eastAsia="zh-CN"/>
              </w:rPr>
              <w:t>17</w:t>
            </w:r>
            <w:r>
              <w:rPr>
                <w:rFonts w:ascii="宋体" w:eastAsia="Times New Roman"/>
                <w:sz w:val="24"/>
                <w:highlight w:val="none"/>
              </w:rPr>
              <w:t>时</w:t>
            </w:r>
            <w:r>
              <w:rPr>
                <w:rFonts w:ascii="宋体"/>
                <w:sz w:val="24"/>
                <w:highlight w:val="none"/>
              </w:rPr>
              <w:t>00</w:t>
            </w:r>
            <w:r>
              <w:rPr>
                <w:rFonts w:ascii="宋体" w:eastAsia="Times New Roman"/>
                <w:sz w:val="24"/>
                <w:highlight w:val="none"/>
              </w:rPr>
              <w:t>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97"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hAnsi="Times New Roman" w:eastAsia="宋体" w:cs="宋体"/>
                <w:kern w:val="2"/>
                <w:sz w:val="24"/>
                <w:szCs w:val="24"/>
                <w:highlight w:val="none"/>
                <w:lang w:val="en-US" w:eastAsia="zh-CN" w:bidi="ar-SA"/>
              </w:rPr>
            </w:pPr>
            <w:r>
              <w:rPr>
                <w:rFonts w:ascii="宋体" w:hAnsi="宋体" w:cs="宋体"/>
                <w:highlight w:val="none"/>
              </w:rPr>
              <w:t>17</w:t>
            </w:r>
          </w:p>
        </w:tc>
        <w:tc>
          <w:tcPr>
            <w:tcW w:w="2765"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jc w:val="center"/>
              <w:textAlignment w:val="auto"/>
              <w:outlineLvl w:val="9"/>
              <w:rPr>
                <w:rFonts w:ascii="宋体"/>
                <w:sz w:val="24"/>
                <w:highlight w:val="none"/>
              </w:rPr>
            </w:pPr>
            <w:r>
              <w:rPr>
                <w:rFonts w:hint="eastAsia" w:ascii="宋体" w:hAnsi="宋体"/>
                <w:sz w:val="24"/>
                <w:highlight w:val="none"/>
              </w:rPr>
              <w:t>供应商要求澄清</w:t>
            </w:r>
          </w:p>
          <w:p>
            <w:pPr>
              <w:keepNext w:val="0"/>
              <w:keepLines w:val="0"/>
              <w:pageBreakBefore w:val="0"/>
              <w:kinsoku/>
              <w:wordWrap/>
              <w:overflowPunct/>
              <w:topLinePunct w:val="0"/>
              <w:autoSpaceDE/>
              <w:autoSpaceDN/>
              <w:bidi w:val="0"/>
              <w:adjustRightInd w:val="0"/>
              <w:snapToGrid w:val="0"/>
              <w:spacing w:line="440" w:lineRule="exact"/>
              <w:ind w:left="0" w:leftChars="0"/>
              <w:jc w:val="center"/>
              <w:textAlignment w:val="auto"/>
              <w:outlineLvl w:val="9"/>
              <w:rPr>
                <w:rFonts w:ascii="宋体" w:cs="宋体"/>
                <w:highlight w:val="none"/>
              </w:rPr>
            </w:pPr>
            <w:r>
              <w:rPr>
                <w:rFonts w:hint="eastAsia" w:ascii="宋体" w:hAnsi="宋体"/>
                <w:sz w:val="24"/>
                <w:highlight w:val="none"/>
              </w:rPr>
              <w:t>磋商文件的截止时间</w:t>
            </w:r>
          </w:p>
        </w:tc>
        <w:tc>
          <w:tcPr>
            <w:tcW w:w="6198"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113"/>
              <w:textAlignment w:val="auto"/>
              <w:outlineLvl w:val="9"/>
              <w:rPr>
                <w:rFonts w:ascii="宋体" w:cs="宋体"/>
                <w:highlight w:val="none"/>
              </w:rPr>
            </w:pPr>
            <w:r>
              <w:rPr>
                <w:rFonts w:ascii="宋体" w:eastAsia="Times New Roman"/>
                <w:sz w:val="24"/>
                <w:highlight w:val="none"/>
              </w:rPr>
              <w:t>20</w:t>
            </w:r>
            <w:r>
              <w:rPr>
                <w:rFonts w:hint="eastAsia" w:ascii="宋体"/>
                <w:sz w:val="24"/>
                <w:highlight w:val="none"/>
                <w:lang w:val="en-US" w:eastAsia="zh-CN"/>
              </w:rPr>
              <w:t>20</w:t>
            </w:r>
            <w:r>
              <w:rPr>
                <w:rFonts w:ascii="宋体" w:eastAsia="Times New Roman"/>
                <w:sz w:val="24"/>
                <w:highlight w:val="none"/>
              </w:rPr>
              <w:t>年</w:t>
            </w:r>
            <w:r>
              <w:rPr>
                <w:rFonts w:hint="eastAsia" w:ascii="宋体" w:eastAsia="宋体"/>
                <w:sz w:val="24"/>
                <w:highlight w:val="none"/>
                <w:lang w:val="en-US" w:eastAsia="zh-CN"/>
              </w:rPr>
              <w:t>4</w:t>
            </w:r>
            <w:r>
              <w:rPr>
                <w:rFonts w:ascii="宋体" w:eastAsia="Times New Roman"/>
                <w:sz w:val="24"/>
                <w:highlight w:val="none"/>
              </w:rPr>
              <w:t>月</w:t>
            </w:r>
            <w:r>
              <w:rPr>
                <w:rFonts w:hint="eastAsia" w:ascii="宋体"/>
                <w:sz w:val="24"/>
                <w:highlight w:val="none"/>
                <w:lang w:val="en-US" w:eastAsia="zh-CN"/>
              </w:rPr>
              <w:t>7</w:t>
            </w:r>
            <w:r>
              <w:rPr>
                <w:rFonts w:ascii="宋体" w:eastAsia="Times New Roman"/>
                <w:sz w:val="24"/>
                <w:highlight w:val="none"/>
              </w:rPr>
              <w:t>日</w:t>
            </w:r>
            <w:r>
              <w:rPr>
                <w:rFonts w:ascii="宋体" w:hAnsi="宋体"/>
                <w:sz w:val="24"/>
                <w:highlight w:val="none"/>
              </w:rPr>
              <w:t>17</w:t>
            </w:r>
            <w:r>
              <w:rPr>
                <w:rFonts w:hint="eastAsia" w:ascii="宋体" w:hAnsi="宋体"/>
                <w:sz w:val="24"/>
                <w:highlight w:val="none"/>
              </w:rPr>
              <w:t>时</w:t>
            </w:r>
            <w:r>
              <w:rPr>
                <w:rFonts w:ascii="宋体"/>
                <w:sz w:val="24"/>
                <w:highlight w:val="none"/>
              </w:rPr>
              <w:t>00</w:t>
            </w:r>
            <w:r>
              <w:rPr>
                <w:rFonts w:hint="eastAsia" w:ascii="宋体" w:hAnsi="宋体"/>
                <w:sz w:val="24"/>
                <w:highlight w:val="none"/>
              </w:rPr>
              <w:t>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97"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hAnsi="Times New Roman" w:eastAsia="宋体" w:cs="宋体"/>
                <w:kern w:val="2"/>
                <w:sz w:val="24"/>
                <w:szCs w:val="24"/>
                <w:highlight w:val="none"/>
                <w:lang w:val="en-US" w:eastAsia="zh-CN" w:bidi="ar-SA"/>
              </w:rPr>
            </w:pPr>
            <w:r>
              <w:rPr>
                <w:rFonts w:ascii="宋体" w:hAnsi="宋体" w:cs="宋体"/>
                <w:highlight w:val="none"/>
              </w:rPr>
              <w:t>18</w:t>
            </w:r>
          </w:p>
        </w:tc>
        <w:tc>
          <w:tcPr>
            <w:tcW w:w="2765"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jc w:val="center"/>
              <w:textAlignment w:val="auto"/>
              <w:outlineLvl w:val="9"/>
              <w:rPr>
                <w:rFonts w:ascii="宋体" w:cs="宋体"/>
                <w:highlight w:val="none"/>
              </w:rPr>
            </w:pPr>
            <w:r>
              <w:rPr>
                <w:rFonts w:hint="eastAsia" w:ascii="宋体" w:hAnsi="宋体"/>
                <w:sz w:val="24"/>
                <w:highlight w:val="none"/>
              </w:rPr>
              <w:t>供应商书面澄清的时间</w:t>
            </w:r>
          </w:p>
        </w:tc>
        <w:tc>
          <w:tcPr>
            <w:tcW w:w="6198" w:type="dxa"/>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textAlignment w:val="auto"/>
              <w:outlineLvl w:val="9"/>
              <w:rPr>
                <w:rFonts w:ascii="宋体" w:cs="宋体"/>
                <w:highlight w:val="none"/>
              </w:rPr>
            </w:pPr>
            <w:r>
              <w:rPr>
                <w:rFonts w:ascii="宋体" w:eastAsia="Times New Roman"/>
                <w:sz w:val="24"/>
                <w:highlight w:val="none"/>
              </w:rPr>
              <w:t>20</w:t>
            </w:r>
            <w:r>
              <w:rPr>
                <w:rFonts w:hint="eastAsia" w:ascii="宋体"/>
                <w:sz w:val="24"/>
                <w:highlight w:val="none"/>
                <w:lang w:val="en-US" w:eastAsia="zh-CN"/>
              </w:rPr>
              <w:t>20</w:t>
            </w:r>
            <w:r>
              <w:rPr>
                <w:rFonts w:ascii="宋体" w:eastAsia="Times New Roman"/>
                <w:sz w:val="24"/>
                <w:highlight w:val="none"/>
              </w:rPr>
              <w:t>年</w:t>
            </w:r>
            <w:r>
              <w:rPr>
                <w:rFonts w:hint="eastAsia" w:ascii="宋体" w:eastAsia="宋体"/>
                <w:sz w:val="24"/>
                <w:highlight w:val="none"/>
                <w:lang w:val="en-US" w:eastAsia="zh-CN"/>
              </w:rPr>
              <w:t>4</w:t>
            </w:r>
            <w:r>
              <w:rPr>
                <w:rFonts w:ascii="宋体" w:eastAsia="Times New Roman"/>
                <w:sz w:val="24"/>
                <w:highlight w:val="none"/>
              </w:rPr>
              <w:t>月</w:t>
            </w:r>
            <w:r>
              <w:rPr>
                <w:rFonts w:hint="eastAsia" w:ascii="宋体"/>
                <w:sz w:val="24"/>
                <w:highlight w:val="none"/>
                <w:lang w:val="en-US" w:eastAsia="zh-CN"/>
              </w:rPr>
              <w:t>7</w:t>
            </w:r>
            <w:r>
              <w:rPr>
                <w:rFonts w:ascii="宋体" w:eastAsia="Times New Roman"/>
                <w:sz w:val="24"/>
                <w:highlight w:val="none"/>
              </w:rPr>
              <w:t>日</w:t>
            </w:r>
            <w:r>
              <w:rPr>
                <w:rFonts w:ascii="宋体" w:hAnsi="宋体"/>
                <w:sz w:val="24"/>
                <w:highlight w:val="none"/>
              </w:rPr>
              <w:t>17</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797"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hAnsi="Times New Roman" w:eastAsia="宋体" w:cs="宋体"/>
                <w:kern w:val="2"/>
                <w:sz w:val="24"/>
                <w:szCs w:val="24"/>
                <w:highlight w:val="none"/>
                <w:lang w:val="en-US" w:eastAsia="zh-CN" w:bidi="ar-SA"/>
              </w:rPr>
            </w:pPr>
            <w:r>
              <w:rPr>
                <w:rFonts w:ascii="宋体" w:hAnsi="宋体" w:cs="宋体"/>
                <w:highlight w:val="none"/>
              </w:rPr>
              <w:t>19</w:t>
            </w:r>
          </w:p>
        </w:tc>
        <w:tc>
          <w:tcPr>
            <w:tcW w:w="2765"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cs="宋体"/>
                <w:highlight w:val="none"/>
              </w:rPr>
            </w:pPr>
            <w:r>
              <w:rPr>
                <w:rFonts w:hint="eastAsia" w:ascii="宋体" w:hAnsi="宋体" w:cs="宋体"/>
                <w:highlight w:val="none"/>
              </w:rPr>
              <w:t>磋商保证金交纳</w:t>
            </w:r>
          </w:p>
        </w:tc>
        <w:tc>
          <w:tcPr>
            <w:tcW w:w="6198" w:type="dxa"/>
            <w:vAlign w:val="center"/>
          </w:tcPr>
          <w:p>
            <w:pPr>
              <w:pStyle w:val="13"/>
              <w:keepNext w:val="0"/>
              <w:keepLines w:val="0"/>
              <w:pageBreakBefore w:val="0"/>
              <w:numPr>
                <w:ilvl w:val="0"/>
                <w:numId w:val="3"/>
              </w:numPr>
              <w:tabs>
                <w:tab w:val="left" w:pos="0"/>
                <w:tab w:val="left" w:pos="955"/>
              </w:tabs>
              <w:kinsoku/>
              <w:wordWrap/>
              <w:overflowPunct/>
              <w:topLinePunct w:val="0"/>
              <w:autoSpaceDE/>
              <w:autoSpaceDN/>
              <w:bidi w:val="0"/>
              <w:adjustRightInd w:val="0"/>
              <w:spacing w:line="440" w:lineRule="exact"/>
              <w:ind w:left="0" w:leftChars="0" w:firstLine="100" w:firstLineChars="42"/>
              <w:textAlignment w:val="auto"/>
              <w:outlineLvl w:val="9"/>
              <w:rPr>
                <w:rFonts w:ascii="宋体" w:cs="宋体"/>
                <w:b/>
                <w:bCs/>
                <w:highlight w:val="none"/>
              </w:rPr>
            </w:pPr>
            <w:r>
              <w:rPr>
                <w:rFonts w:hint="eastAsia" w:ascii="宋体" w:hAnsi="宋体" w:cs="宋体"/>
                <w:highlight w:val="none"/>
              </w:rPr>
              <w:t>磋商保证金的金额：</w:t>
            </w:r>
            <w:r>
              <w:rPr>
                <w:rFonts w:hint="eastAsia" w:ascii="宋体" w:hAnsi="宋体" w:cs="宋体"/>
                <w:b/>
                <w:bCs/>
                <w:highlight w:val="none"/>
                <w:u w:val="single"/>
                <w:lang w:val="en-US" w:eastAsia="zh-CN"/>
              </w:rPr>
              <w:t>3000元</w:t>
            </w:r>
            <w:r>
              <w:rPr>
                <w:rFonts w:hint="eastAsia" w:ascii="宋体" w:hAnsi="宋体" w:cs="宋体"/>
                <w:b/>
                <w:bCs/>
                <w:highlight w:val="none"/>
                <w:lang w:val="en-US" w:eastAsia="zh-CN"/>
              </w:rPr>
              <w:t>，大写：</w:t>
            </w:r>
            <w:r>
              <w:rPr>
                <w:rFonts w:hint="eastAsia" w:ascii="宋体" w:hAnsi="宋体" w:cs="宋体"/>
                <w:b/>
                <w:bCs/>
                <w:highlight w:val="none"/>
                <w:u w:val="single"/>
                <w:lang w:val="en-US" w:eastAsia="zh-CN"/>
              </w:rPr>
              <w:t>叁仟元整</w:t>
            </w:r>
            <w:r>
              <w:rPr>
                <w:rFonts w:hint="eastAsia" w:ascii="宋体" w:hAnsi="宋体" w:cs="宋体"/>
                <w:b/>
                <w:bCs/>
                <w:highlight w:val="none"/>
              </w:rPr>
              <w:t>。</w:t>
            </w:r>
          </w:p>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100" w:firstLineChars="42"/>
              <w:textAlignment w:val="auto"/>
              <w:outlineLvl w:val="9"/>
              <w:rPr>
                <w:rFonts w:ascii="宋体" w:cs="宋体"/>
                <w:highlight w:val="none"/>
              </w:rPr>
            </w:pPr>
            <w:r>
              <w:rPr>
                <w:rFonts w:ascii="宋体" w:hAnsi="宋体" w:cs="宋体"/>
                <w:highlight w:val="none"/>
              </w:rPr>
              <w:t>2</w:t>
            </w:r>
            <w:r>
              <w:rPr>
                <w:rFonts w:hint="eastAsia" w:ascii="宋体" w:hAnsi="宋体" w:cs="宋体"/>
                <w:highlight w:val="none"/>
              </w:rPr>
              <w:t>、递交方式：电汇（</w:t>
            </w:r>
            <w:r>
              <w:rPr>
                <w:rFonts w:hint="eastAsia"/>
                <w:b/>
                <w:bCs/>
                <w:szCs w:val="22"/>
                <w:highlight w:val="none"/>
              </w:rPr>
              <w:t>电汇时需备注：招标八部</w:t>
            </w:r>
            <w:r>
              <w:rPr>
                <w:rFonts w:hint="eastAsia"/>
                <w:szCs w:val="22"/>
                <w:highlight w:val="none"/>
              </w:rPr>
              <w:t>）</w:t>
            </w:r>
          </w:p>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100" w:firstLineChars="42"/>
              <w:textAlignment w:val="auto"/>
              <w:outlineLvl w:val="9"/>
              <w:rPr>
                <w:rFonts w:ascii="宋体" w:cs="宋体"/>
                <w:highlight w:val="none"/>
              </w:rPr>
            </w:pPr>
            <w:r>
              <w:rPr>
                <w:rFonts w:ascii="宋体" w:hAnsi="宋体" w:cs="宋体"/>
                <w:highlight w:val="none"/>
              </w:rPr>
              <w:t>3</w:t>
            </w:r>
            <w:r>
              <w:rPr>
                <w:rFonts w:hint="eastAsia" w:ascii="宋体" w:hAnsi="宋体" w:cs="宋体"/>
                <w:highlight w:val="none"/>
              </w:rPr>
              <w:t>、磋商保证金汇入银行及账号：</w:t>
            </w:r>
          </w:p>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100" w:firstLineChars="42"/>
              <w:textAlignment w:val="auto"/>
              <w:outlineLvl w:val="9"/>
              <w:rPr>
                <w:rFonts w:ascii="宋体" w:cs="宋体"/>
                <w:highlight w:val="none"/>
              </w:rPr>
            </w:pPr>
            <w:r>
              <w:rPr>
                <w:rFonts w:ascii="宋体" w:cs="宋体"/>
                <w:highlight w:val="none"/>
              </w:rPr>
              <w:t> </w:t>
            </w:r>
            <w:r>
              <w:rPr>
                <w:rFonts w:ascii="宋体" w:hAnsi="宋体" w:cs="宋体"/>
                <w:highlight w:val="none"/>
              </w:rPr>
              <w:t xml:space="preserve"> </w:t>
            </w:r>
            <w:r>
              <w:rPr>
                <w:rFonts w:hint="eastAsia" w:ascii="宋体" w:hAnsi="宋体" w:cs="宋体"/>
                <w:highlight w:val="none"/>
                <w:lang w:val="en-US" w:eastAsia="zh-CN"/>
              </w:rPr>
              <w:t xml:space="preserve"> </w:t>
            </w:r>
            <w:r>
              <w:rPr>
                <w:rFonts w:hint="eastAsia" w:ascii="宋体" w:hAnsi="宋体" w:cs="宋体"/>
                <w:highlight w:val="none"/>
              </w:rPr>
              <w:t>开户名称：山东省鲁成招标有限公司</w:t>
            </w:r>
          </w:p>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100" w:firstLineChars="42"/>
              <w:textAlignment w:val="auto"/>
              <w:outlineLvl w:val="9"/>
              <w:rPr>
                <w:rFonts w:ascii="宋体" w:cs="宋体"/>
                <w:highlight w:val="none"/>
              </w:rPr>
            </w:pPr>
            <w:r>
              <w:rPr>
                <w:rFonts w:ascii="宋体" w:hAnsi="宋体" w:cs="宋体"/>
                <w:highlight w:val="none"/>
              </w:rPr>
              <w:t xml:space="preserve">   </w:t>
            </w:r>
            <w:r>
              <w:rPr>
                <w:rFonts w:hint="eastAsia" w:ascii="宋体" w:hAnsi="宋体" w:cs="宋体"/>
                <w:highlight w:val="none"/>
              </w:rPr>
              <w:t>开户银行：中国农业银行济南分行</w:t>
            </w:r>
          </w:p>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100" w:firstLineChars="42"/>
              <w:textAlignment w:val="auto"/>
              <w:outlineLvl w:val="9"/>
              <w:rPr>
                <w:rFonts w:ascii="宋体" w:cs="宋体"/>
                <w:highlight w:val="none"/>
              </w:rPr>
            </w:pPr>
            <w:r>
              <w:rPr>
                <w:rFonts w:ascii="宋体" w:hAnsi="宋体" w:cs="宋体"/>
                <w:highlight w:val="none"/>
              </w:rPr>
              <w:t xml:space="preserve">   </w:t>
            </w:r>
            <w:r>
              <w:rPr>
                <w:rFonts w:hint="eastAsia" w:ascii="宋体" w:hAnsi="宋体" w:cs="宋体"/>
                <w:highlight w:val="none"/>
              </w:rPr>
              <w:t>银行账号：</w:t>
            </w:r>
            <w:r>
              <w:rPr>
                <w:rFonts w:ascii="宋体" w:hAnsi="宋体" w:cs="宋体"/>
                <w:highlight w:val="none"/>
              </w:rPr>
              <w:t>15110101040001136</w:t>
            </w:r>
          </w:p>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100" w:firstLineChars="42"/>
              <w:textAlignment w:val="auto"/>
              <w:outlineLvl w:val="9"/>
              <w:rPr>
                <w:rFonts w:ascii="宋体" w:cs="宋体"/>
                <w:highlight w:val="none"/>
              </w:rPr>
            </w:pPr>
            <w:r>
              <w:rPr>
                <w:rFonts w:ascii="宋体" w:hAnsi="宋体" w:cs="宋体"/>
                <w:highlight w:val="none"/>
              </w:rPr>
              <w:t xml:space="preserve">  </w:t>
            </w:r>
            <w:r>
              <w:rPr>
                <w:rFonts w:hint="eastAsia" w:ascii="宋体" w:hAnsi="宋体" w:cs="宋体"/>
                <w:highlight w:val="none"/>
              </w:rPr>
              <w:t>（行号：</w:t>
            </w:r>
            <w:r>
              <w:rPr>
                <w:rFonts w:ascii="宋体" w:hAnsi="宋体" w:cs="宋体"/>
                <w:highlight w:val="none"/>
              </w:rPr>
              <w:t>103451011106</w:t>
            </w:r>
            <w:r>
              <w:rPr>
                <w:rFonts w:hint="eastAsia" w:ascii="宋体" w:hAnsi="宋体" w:cs="宋体"/>
                <w:highlight w:val="none"/>
              </w:rPr>
              <w:t>）</w:t>
            </w:r>
          </w:p>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100" w:firstLineChars="42"/>
              <w:textAlignment w:val="auto"/>
              <w:outlineLvl w:val="9"/>
              <w:rPr>
                <w:rFonts w:ascii="宋体" w:cs="宋体"/>
                <w:highlight w:val="none"/>
              </w:rPr>
            </w:pPr>
            <w:r>
              <w:rPr>
                <w:rFonts w:ascii="宋体" w:hAnsi="宋体" w:cs="宋体"/>
                <w:highlight w:val="none"/>
              </w:rPr>
              <w:t xml:space="preserve">  </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投标保证金应当在</w:t>
            </w:r>
            <w:r>
              <w:rPr>
                <w:rFonts w:ascii="宋体" w:hAnsi="宋体"/>
                <w:b/>
                <w:bCs/>
                <w:sz w:val="24"/>
                <w:highlight w:val="none"/>
              </w:rPr>
              <w:t>20</w:t>
            </w:r>
            <w:r>
              <w:rPr>
                <w:rFonts w:hint="eastAsia" w:ascii="宋体" w:hAnsi="宋体"/>
                <w:b/>
                <w:bCs/>
                <w:sz w:val="24"/>
                <w:highlight w:val="none"/>
                <w:lang w:val="en-US" w:eastAsia="zh-CN"/>
              </w:rPr>
              <w:t>20</w:t>
            </w:r>
            <w:r>
              <w:rPr>
                <w:rFonts w:hint="eastAsia" w:ascii="宋体" w:hAnsi="宋体"/>
                <w:b/>
                <w:bCs/>
                <w:sz w:val="24"/>
                <w:highlight w:val="none"/>
              </w:rPr>
              <w:t>年</w:t>
            </w:r>
            <w:r>
              <w:rPr>
                <w:rFonts w:hint="eastAsia" w:ascii="宋体" w:hAnsi="宋体"/>
                <w:b/>
                <w:bCs/>
                <w:sz w:val="24"/>
                <w:highlight w:val="none"/>
                <w:lang w:val="en-US" w:eastAsia="zh-CN"/>
              </w:rPr>
              <w:t>4</w:t>
            </w:r>
            <w:r>
              <w:rPr>
                <w:rFonts w:hint="eastAsia" w:ascii="宋体" w:hAnsi="宋体"/>
                <w:b/>
                <w:bCs/>
                <w:sz w:val="24"/>
                <w:highlight w:val="none"/>
              </w:rPr>
              <w:t>月</w:t>
            </w:r>
            <w:r>
              <w:rPr>
                <w:rFonts w:hint="eastAsia" w:ascii="宋体" w:hAnsi="宋体"/>
                <w:b/>
                <w:bCs/>
                <w:sz w:val="24"/>
                <w:highlight w:val="none"/>
                <w:lang w:val="en-US" w:eastAsia="zh-CN"/>
              </w:rPr>
              <w:t>15</w:t>
            </w:r>
            <w:r>
              <w:rPr>
                <w:rFonts w:hint="eastAsia" w:ascii="宋体" w:hAnsi="宋体"/>
                <w:b/>
                <w:bCs/>
                <w:sz w:val="24"/>
                <w:highlight w:val="none"/>
              </w:rPr>
              <w:t>日</w:t>
            </w:r>
            <w:r>
              <w:rPr>
                <w:rFonts w:hint="eastAsia" w:ascii="宋体" w:hAnsi="宋体" w:cs="宋体"/>
                <w:b/>
                <w:bCs/>
                <w:highlight w:val="none"/>
                <w:lang w:val="en-US" w:eastAsia="zh-CN"/>
              </w:rPr>
              <w:t>9</w:t>
            </w:r>
            <w:r>
              <w:rPr>
                <w:rFonts w:hint="eastAsia" w:ascii="宋体" w:hAnsi="宋体" w:cs="宋体"/>
                <w:b/>
                <w:bCs/>
                <w:highlight w:val="none"/>
                <w:lang w:eastAsia="zh-CN"/>
              </w:rPr>
              <w:t>:00</w:t>
            </w:r>
            <w:r>
              <w:rPr>
                <w:rFonts w:hint="eastAsia" w:ascii="宋体" w:hAnsi="宋体" w:cs="宋体"/>
                <w:color w:val="000000"/>
                <w:spacing w:val="7"/>
                <w:sz w:val="24"/>
                <w:highlight w:val="none"/>
                <w:lang w:eastAsia="zh-CN"/>
              </w:rPr>
              <w:t>之前到达上述帐户，逾期不予受理。并将开户许可证及投标保证金电汇凭证扫描版发送邮件至</w:t>
            </w:r>
            <w:r>
              <w:rPr>
                <w:rFonts w:hint="eastAsia" w:ascii="宋体" w:hAnsi="宋体" w:cs="宋体"/>
                <w:color w:val="000000"/>
                <w:spacing w:val="7"/>
                <w:sz w:val="24"/>
                <w:highlight w:val="none"/>
                <w:lang w:val="en-US" w:eastAsia="zh-CN"/>
              </w:rPr>
              <w:t>lczb08@126.com</w:t>
            </w:r>
            <w:r>
              <w:rPr>
                <w:rFonts w:hint="eastAsia" w:ascii="宋体" w:hAnsi="宋体" w:cs="宋体"/>
                <w:color w:val="000000"/>
                <w:spacing w:val="7"/>
                <w:sz w:val="24"/>
                <w:highlight w:val="none"/>
                <w:lang w:eastAsia="zh-CN"/>
              </w:rPr>
              <w:t>，同时电话通知招标代理机构负责人。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97"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hAnsi="Times New Roman" w:eastAsia="宋体" w:cs="宋体"/>
                <w:kern w:val="2"/>
                <w:sz w:val="24"/>
                <w:szCs w:val="24"/>
                <w:highlight w:val="none"/>
                <w:lang w:val="en-US" w:eastAsia="zh-CN" w:bidi="ar-SA"/>
              </w:rPr>
            </w:pPr>
            <w:r>
              <w:rPr>
                <w:rFonts w:ascii="宋体" w:cs="宋体"/>
                <w:highlight w:val="none"/>
              </w:rPr>
              <w:t>20</w:t>
            </w:r>
          </w:p>
        </w:tc>
        <w:tc>
          <w:tcPr>
            <w:tcW w:w="2765"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napToGrid w:val="0"/>
              <w:spacing w:line="440" w:lineRule="exact"/>
              <w:ind w:left="0" w:leftChars="0" w:firstLine="0" w:firstLineChars="0"/>
              <w:jc w:val="center"/>
              <w:textAlignment w:val="auto"/>
              <w:outlineLvl w:val="9"/>
              <w:rPr>
                <w:rFonts w:ascii="宋体" w:cs="宋体"/>
                <w:highlight w:val="none"/>
              </w:rPr>
            </w:pPr>
            <w:r>
              <w:rPr>
                <w:rFonts w:hint="eastAsia" w:ascii="宋体" w:hAnsi="宋体" w:cs="宋体"/>
                <w:highlight w:val="none"/>
              </w:rPr>
              <w:t>响应文件递交时间</w:t>
            </w:r>
          </w:p>
        </w:tc>
        <w:tc>
          <w:tcPr>
            <w:tcW w:w="6198"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textAlignment w:val="auto"/>
              <w:outlineLvl w:val="9"/>
              <w:rPr>
                <w:rFonts w:ascii="宋体" w:cs="宋体"/>
                <w:b/>
                <w:bCs/>
                <w:highlight w:val="none"/>
              </w:rPr>
            </w:pPr>
            <w:r>
              <w:rPr>
                <w:rFonts w:ascii="宋体" w:hAnsi="宋体"/>
                <w:b/>
                <w:bCs/>
                <w:sz w:val="24"/>
                <w:highlight w:val="none"/>
              </w:rPr>
              <w:t>20</w:t>
            </w:r>
            <w:r>
              <w:rPr>
                <w:rFonts w:hint="eastAsia" w:ascii="宋体" w:hAnsi="宋体"/>
                <w:b/>
                <w:bCs/>
                <w:sz w:val="24"/>
                <w:highlight w:val="none"/>
                <w:lang w:val="en-US" w:eastAsia="zh-CN"/>
              </w:rPr>
              <w:t>20</w:t>
            </w:r>
            <w:r>
              <w:rPr>
                <w:rFonts w:hint="eastAsia" w:ascii="宋体" w:hAnsi="宋体"/>
                <w:b/>
                <w:bCs/>
                <w:sz w:val="24"/>
                <w:highlight w:val="none"/>
              </w:rPr>
              <w:t>年</w:t>
            </w:r>
            <w:r>
              <w:rPr>
                <w:rFonts w:hint="eastAsia" w:ascii="宋体" w:hAnsi="宋体"/>
                <w:b/>
                <w:bCs/>
                <w:sz w:val="24"/>
                <w:highlight w:val="none"/>
                <w:lang w:val="en-US" w:eastAsia="zh-CN"/>
              </w:rPr>
              <w:t>4</w:t>
            </w:r>
            <w:r>
              <w:rPr>
                <w:rFonts w:hint="eastAsia" w:ascii="宋体" w:hAnsi="宋体"/>
                <w:b/>
                <w:bCs/>
                <w:sz w:val="24"/>
                <w:highlight w:val="none"/>
              </w:rPr>
              <w:t>月</w:t>
            </w:r>
            <w:r>
              <w:rPr>
                <w:rFonts w:hint="eastAsia" w:ascii="宋体" w:hAnsi="宋体"/>
                <w:b/>
                <w:bCs/>
                <w:sz w:val="24"/>
                <w:highlight w:val="none"/>
                <w:lang w:val="en-US" w:eastAsia="zh-CN"/>
              </w:rPr>
              <w:t>15</w:t>
            </w:r>
            <w:r>
              <w:rPr>
                <w:rFonts w:hint="eastAsia" w:ascii="宋体" w:hAnsi="宋体"/>
                <w:b/>
                <w:bCs/>
                <w:sz w:val="24"/>
                <w:highlight w:val="none"/>
              </w:rPr>
              <w:t>日</w:t>
            </w:r>
            <w:r>
              <w:rPr>
                <w:rFonts w:ascii="宋体" w:hAnsi="宋体" w:cs="宋体"/>
                <w:b/>
                <w:bCs/>
                <w:highlight w:val="none"/>
              </w:rPr>
              <w:t>8</w:t>
            </w:r>
            <w:r>
              <w:rPr>
                <w:rFonts w:hint="eastAsia" w:ascii="宋体" w:hAnsi="宋体" w:cs="宋体"/>
                <w:b/>
                <w:bCs/>
                <w:highlight w:val="none"/>
              </w:rPr>
              <w:t>：</w:t>
            </w:r>
            <w:r>
              <w:rPr>
                <w:rFonts w:ascii="宋体" w:cs="宋体"/>
                <w:b/>
                <w:bCs/>
                <w:highlight w:val="none"/>
              </w:rPr>
              <w:t>00</w:t>
            </w:r>
            <w:r>
              <w:rPr>
                <w:rFonts w:hint="eastAsia" w:ascii="宋体" w:hAnsi="宋体" w:cs="宋体"/>
                <w:b/>
                <w:bCs/>
                <w:highlight w:val="none"/>
              </w:rPr>
              <w:t>至</w:t>
            </w:r>
            <w:r>
              <w:rPr>
                <w:rFonts w:ascii="宋体" w:hAnsi="宋体" w:cs="宋体"/>
                <w:b/>
                <w:bCs/>
                <w:highlight w:val="none"/>
              </w:rPr>
              <w:t>9:00</w:t>
            </w:r>
            <w:r>
              <w:rPr>
                <w:rFonts w:hint="eastAsia" w:ascii="宋体" w:hAnsi="宋体" w:cs="宋体"/>
                <w:b/>
                <w:bCs/>
                <w:highlight w:val="none"/>
              </w:rPr>
              <w:t>（超时不收）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97"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hAnsi="Times New Roman" w:eastAsia="宋体" w:cs="宋体"/>
                <w:kern w:val="2"/>
                <w:sz w:val="24"/>
                <w:szCs w:val="24"/>
                <w:highlight w:val="none"/>
                <w:lang w:val="en-US" w:eastAsia="zh-CN" w:bidi="ar-SA"/>
              </w:rPr>
            </w:pPr>
            <w:r>
              <w:rPr>
                <w:rFonts w:ascii="宋体" w:cs="宋体"/>
                <w:highlight w:val="none"/>
              </w:rPr>
              <w:t>21</w:t>
            </w:r>
          </w:p>
        </w:tc>
        <w:tc>
          <w:tcPr>
            <w:tcW w:w="2765"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napToGrid w:val="0"/>
              <w:spacing w:line="440" w:lineRule="exact"/>
              <w:ind w:left="0" w:leftChars="0" w:firstLine="0" w:firstLineChars="0"/>
              <w:jc w:val="center"/>
              <w:textAlignment w:val="auto"/>
              <w:outlineLvl w:val="9"/>
              <w:rPr>
                <w:rFonts w:ascii="宋体" w:cs="宋体"/>
                <w:highlight w:val="none"/>
              </w:rPr>
            </w:pPr>
            <w:r>
              <w:rPr>
                <w:rFonts w:hint="eastAsia" w:ascii="宋体" w:hAnsi="宋体" w:cs="宋体"/>
                <w:highlight w:val="none"/>
              </w:rPr>
              <w:t>响应文件递交的</w:t>
            </w:r>
          </w:p>
          <w:p>
            <w:pPr>
              <w:pStyle w:val="13"/>
              <w:keepNext w:val="0"/>
              <w:keepLines w:val="0"/>
              <w:pageBreakBefore w:val="0"/>
              <w:tabs>
                <w:tab w:val="left" w:pos="0"/>
                <w:tab w:val="left" w:pos="955"/>
              </w:tabs>
              <w:kinsoku/>
              <w:wordWrap/>
              <w:overflowPunct/>
              <w:topLinePunct w:val="0"/>
              <w:autoSpaceDE/>
              <w:autoSpaceDN/>
              <w:bidi w:val="0"/>
              <w:adjustRightInd w:val="0"/>
              <w:snapToGrid w:val="0"/>
              <w:spacing w:line="440" w:lineRule="exact"/>
              <w:ind w:left="0" w:leftChars="0" w:firstLine="0" w:firstLineChars="0"/>
              <w:jc w:val="center"/>
              <w:textAlignment w:val="auto"/>
              <w:outlineLvl w:val="9"/>
              <w:rPr>
                <w:rFonts w:ascii="宋体" w:cs="宋体"/>
                <w:highlight w:val="none"/>
              </w:rPr>
            </w:pPr>
            <w:r>
              <w:rPr>
                <w:rFonts w:hint="eastAsia" w:ascii="宋体" w:hAnsi="宋体" w:cs="宋体"/>
                <w:highlight w:val="none"/>
              </w:rPr>
              <w:t>截止时间</w:t>
            </w:r>
          </w:p>
        </w:tc>
        <w:tc>
          <w:tcPr>
            <w:tcW w:w="6198"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textAlignment w:val="auto"/>
              <w:outlineLvl w:val="9"/>
              <w:rPr>
                <w:rFonts w:ascii="宋体" w:cs="宋体"/>
                <w:b/>
                <w:bCs/>
                <w:highlight w:val="none"/>
              </w:rPr>
            </w:pPr>
            <w:r>
              <w:rPr>
                <w:rFonts w:ascii="宋体" w:hAnsi="宋体"/>
                <w:b/>
                <w:bCs/>
                <w:sz w:val="24"/>
                <w:highlight w:val="none"/>
              </w:rPr>
              <w:t>20</w:t>
            </w:r>
            <w:r>
              <w:rPr>
                <w:rFonts w:hint="eastAsia" w:ascii="宋体" w:hAnsi="宋体"/>
                <w:b/>
                <w:bCs/>
                <w:sz w:val="24"/>
                <w:highlight w:val="none"/>
                <w:lang w:val="en-US" w:eastAsia="zh-CN"/>
              </w:rPr>
              <w:t>20</w:t>
            </w:r>
            <w:r>
              <w:rPr>
                <w:rFonts w:hint="eastAsia" w:ascii="宋体" w:hAnsi="宋体"/>
                <w:b/>
                <w:bCs/>
                <w:sz w:val="24"/>
                <w:highlight w:val="none"/>
              </w:rPr>
              <w:t>年</w:t>
            </w:r>
            <w:r>
              <w:rPr>
                <w:rFonts w:hint="eastAsia" w:ascii="宋体" w:hAnsi="宋体"/>
                <w:b/>
                <w:bCs/>
                <w:sz w:val="24"/>
                <w:highlight w:val="none"/>
                <w:lang w:val="en-US" w:eastAsia="zh-CN"/>
              </w:rPr>
              <w:t>4</w:t>
            </w:r>
            <w:r>
              <w:rPr>
                <w:rFonts w:hint="eastAsia" w:ascii="宋体" w:hAnsi="宋体"/>
                <w:b/>
                <w:bCs/>
                <w:sz w:val="24"/>
                <w:highlight w:val="none"/>
              </w:rPr>
              <w:t>月</w:t>
            </w:r>
            <w:r>
              <w:rPr>
                <w:rFonts w:hint="eastAsia" w:ascii="宋体" w:hAnsi="宋体"/>
                <w:b/>
                <w:bCs/>
                <w:sz w:val="24"/>
                <w:highlight w:val="none"/>
                <w:lang w:val="en-US" w:eastAsia="zh-CN"/>
              </w:rPr>
              <w:t>15</w:t>
            </w:r>
            <w:r>
              <w:rPr>
                <w:rFonts w:hint="eastAsia" w:ascii="宋体" w:hAnsi="宋体"/>
                <w:b/>
                <w:bCs/>
                <w:sz w:val="24"/>
                <w:highlight w:val="none"/>
              </w:rPr>
              <w:t>日</w:t>
            </w:r>
            <w:r>
              <w:rPr>
                <w:rFonts w:ascii="宋体" w:hAnsi="宋体" w:cs="宋体"/>
                <w:b/>
                <w:bCs/>
                <w:highlight w:val="none"/>
              </w:rPr>
              <w:t>9</w:t>
            </w:r>
            <w:r>
              <w:rPr>
                <w:rFonts w:hint="eastAsia" w:ascii="宋体" w:hAnsi="宋体" w:cs="宋体"/>
                <w:b/>
                <w:bCs/>
                <w:highlight w:val="none"/>
              </w:rPr>
              <w:t>：</w:t>
            </w:r>
            <w:r>
              <w:rPr>
                <w:rFonts w:ascii="宋体" w:cs="宋体"/>
                <w:b/>
                <w:bCs/>
                <w:highlight w:val="none"/>
              </w:rPr>
              <w:t>00</w:t>
            </w:r>
            <w:r>
              <w:rPr>
                <w:rFonts w:hint="eastAsia" w:ascii="宋体" w:hAnsi="宋体" w:cs="宋体"/>
                <w:b/>
                <w:bCs/>
                <w:highlight w:val="none"/>
              </w:rPr>
              <w:t>时整</w:t>
            </w:r>
            <w:r>
              <w:rPr>
                <w:rFonts w:ascii="宋体" w:hAnsi="宋体" w:cs="宋体"/>
                <w:b/>
                <w:bCs/>
                <w:highlight w:val="none"/>
              </w:rPr>
              <w:t>(</w:t>
            </w:r>
            <w:r>
              <w:rPr>
                <w:rFonts w:hint="eastAsia" w:ascii="宋体" w:hAnsi="宋体" w:cs="宋体"/>
                <w:b/>
                <w:bCs/>
                <w:highlight w:val="none"/>
              </w:rPr>
              <w:t>北京时间</w:t>
            </w:r>
            <w:r>
              <w:rPr>
                <w:rFonts w:ascii="宋体" w:hAnsi="宋体" w:cs="宋体"/>
                <w:b/>
                <w:bCs/>
                <w:highlight w:val="none"/>
              </w:rPr>
              <w:t>)</w:t>
            </w:r>
            <w:r>
              <w:rPr>
                <w:rFonts w:hint="eastAsia" w:ascii="宋体" w:hAnsi="宋体" w:cs="宋体"/>
                <w:b/>
                <w:bCs/>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97"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hAnsi="Times New Roman" w:eastAsia="宋体" w:cs="宋体"/>
                <w:kern w:val="2"/>
                <w:sz w:val="24"/>
                <w:szCs w:val="24"/>
                <w:highlight w:val="none"/>
                <w:lang w:val="en-US" w:eastAsia="zh-CN" w:bidi="ar-SA"/>
              </w:rPr>
            </w:pPr>
            <w:r>
              <w:rPr>
                <w:rFonts w:ascii="宋体" w:cs="宋体"/>
                <w:highlight w:val="none"/>
              </w:rPr>
              <w:t>22</w:t>
            </w:r>
          </w:p>
        </w:tc>
        <w:tc>
          <w:tcPr>
            <w:tcW w:w="2765"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napToGrid w:val="0"/>
              <w:spacing w:line="440" w:lineRule="exact"/>
              <w:ind w:left="0" w:leftChars="0" w:firstLine="0" w:firstLineChars="0"/>
              <w:jc w:val="center"/>
              <w:textAlignment w:val="auto"/>
              <w:outlineLvl w:val="9"/>
              <w:rPr>
                <w:rFonts w:ascii="宋体" w:cs="宋体"/>
                <w:highlight w:val="none"/>
              </w:rPr>
            </w:pPr>
            <w:r>
              <w:rPr>
                <w:rFonts w:hint="eastAsia" w:ascii="宋体" w:hAnsi="宋体" w:cs="宋体"/>
                <w:highlight w:val="none"/>
              </w:rPr>
              <w:t>递交响应文件地点</w:t>
            </w:r>
          </w:p>
        </w:tc>
        <w:tc>
          <w:tcPr>
            <w:tcW w:w="6198" w:type="dxa"/>
            <w:vAlign w:val="center"/>
          </w:tcPr>
          <w:p>
            <w:pPr>
              <w:pStyle w:val="13"/>
              <w:keepNext w:val="0"/>
              <w:keepLines w:val="0"/>
              <w:pageBreakBefore w:val="0"/>
              <w:tabs>
                <w:tab w:val="left" w:pos="0"/>
                <w:tab w:val="left" w:pos="102"/>
              </w:tabs>
              <w:kinsoku/>
              <w:wordWrap/>
              <w:overflowPunct/>
              <w:topLinePunct w:val="0"/>
              <w:autoSpaceDE/>
              <w:autoSpaceDN/>
              <w:bidi w:val="0"/>
              <w:adjustRightInd w:val="0"/>
              <w:spacing w:line="440" w:lineRule="exact"/>
              <w:ind w:left="0" w:leftChars="0" w:firstLine="0" w:firstLineChars="0"/>
              <w:textAlignment w:val="auto"/>
              <w:outlineLvl w:val="9"/>
              <w:rPr>
                <w:rFonts w:ascii="宋体" w:cs="宋体"/>
                <w:highlight w:val="none"/>
              </w:rPr>
            </w:pPr>
            <w:r>
              <w:rPr>
                <w:rFonts w:hint="eastAsia" w:ascii="宋体" w:hAnsi="宋体" w:cs="宋体"/>
                <w:b/>
                <w:bCs/>
                <w:highlight w:val="none"/>
              </w:rPr>
              <w:t>山东大学第二医院办公楼五楼会议室（济南市天桥区北园大街</w:t>
            </w:r>
            <w:r>
              <w:rPr>
                <w:rFonts w:ascii="宋体" w:hAnsi="宋体" w:cs="宋体"/>
                <w:b/>
                <w:bCs/>
                <w:highlight w:val="none"/>
              </w:rPr>
              <w:t>247</w:t>
            </w:r>
            <w:r>
              <w:rPr>
                <w:rFonts w:hint="eastAsia" w:ascii="宋体" w:hAnsi="宋体" w:cs="宋体"/>
                <w:b/>
                <w:bCs/>
                <w:highlight w:val="none"/>
              </w:rPr>
              <w:t>号）（如有变动临时通知）。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97"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hint="eastAsia" w:ascii="宋体" w:hAnsi="Times New Roman" w:eastAsia="宋体" w:cs="宋体"/>
                <w:kern w:val="2"/>
                <w:sz w:val="24"/>
                <w:szCs w:val="24"/>
                <w:highlight w:val="none"/>
                <w:lang w:val="en-US" w:eastAsia="zh-CN" w:bidi="ar-SA"/>
              </w:rPr>
            </w:pPr>
            <w:r>
              <w:rPr>
                <w:rFonts w:hint="eastAsia" w:ascii="宋体" w:cs="宋体"/>
                <w:highlight w:val="none"/>
                <w:lang w:val="en-US" w:eastAsia="zh-CN"/>
              </w:rPr>
              <w:t>23</w:t>
            </w:r>
          </w:p>
        </w:tc>
        <w:tc>
          <w:tcPr>
            <w:tcW w:w="2765"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napToGrid w:val="0"/>
              <w:spacing w:line="440" w:lineRule="exact"/>
              <w:ind w:left="0" w:leftChars="0" w:firstLine="0" w:firstLineChars="0"/>
              <w:jc w:val="center"/>
              <w:textAlignment w:val="auto"/>
              <w:outlineLvl w:val="9"/>
              <w:rPr>
                <w:rFonts w:ascii="宋体" w:cs="宋体"/>
                <w:highlight w:val="none"/>
              </w:rPr>
            </w:pPr>
            <w:r>
              <w:rPr>
                <w:rFonts w:hint="eastAsia" w:ascii="宋体" w:hAnsi="宋体" w:cs="宋体"/>
                <w:highlight w:val="none"/>
              </w:rPr>
              <w:t>评审方法</w:t>
            </w:r>
          </w:p>
        </w:tc>
        <w:tc>
          <w:tcPr>
            <w:tcW w:w="6198" w:type="dxa"/>
            <w:vAlign w:val="center"/>
          </w:tcPr>
          <w:p>
            <w:pPr>
              <w:pStyle w:val="13"/>
              <w:keepNext w:val="0"/>
              <w:keepLines w:val="0"/>
              <w:pageBreakBefore w:val="0"/>
              <w:tabs>
                <w:tab w:val="left" w:pos="0"/>
                <w:tab w:val="left" w:pos="102"/>
              </w:tabs>
              <w:kinsoku/>
              <w:wordWrap/>
              <w:overflowPunct/>
              <w:topLinePunct w:val="0"/>
              <w:autoSpaceDE/>
              <w:autoSpaceDN/>
              <w:bidi w:val="0"/>
              <w:adjustRightInd w:val="0"/>
              <w:spacing w:line="440" w:lineRule="exact"/>
              <w:ind w:left="0" w:leftChars="0" w:firstLine="0" w:firstLineChars="0"/>
              <w:textAlignment w:val="auto"/>
              <w:outlineLvl w:val="9"/>
              <w:rPr>
                <w:rFonts w:ascii="宋体" w:cs="宋体"/>
                <w:highlight w:val="none"/>
              </w:rPr>
            </w:pPr>
            <w:r>
              <w:rPr>
                <w:rFonts w:hint="eastAsia" w:ascii="宋体" w:hAnsi="宋体" w:cs="宋体"/>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797"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hint="eastAsia" w:ascii="宋体" w:hAnsi="Times New Roman" w:eastAsia="宋体" w:cs="宋体"/>
                <w:kern w:val="2"/>
                <w:sz w:val="24"/>
                <w:szCs w:val="24"/>
                <w:highlight w:val="none"/>
                <w:lang w:val="en-US" w:eastAsia="zh-CN" w:bidi="ar-SA"/>
              </w:rPr>
            </w:pPr>
            <w:r>
              <w:rPr>
                <w:rFonts w:hint="eastAsia" w:ascii="宋体" w:cs="宋体"/>
                <w:highlight w:val="none"/>
                <w:lang w:val="en-US" w:eastAsia="zh-CN"/>
              </w:rPr>
              <w:t>24</w:t>
            </w:r>
          </w:p>
        </w:tc>
        <w:tc>
          <w:tcPr>
            <w:tcW w:w="2765"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napToGrid w:val="0"/>
              <w:spacing w:line="440" w:lineRule="exact"/>
              <w:ind w:left="0" w:leftChars="0" w:firstLine="0" w:firstLineChars="0"/>
              <w:jc w:val="center"/>
              <w:textAlignment w:val="auto"/>
              <w:outlineLvl w:val="9"/>
              <w:rPr>
                <w:rFonts w:ascii="宋体" w:cs="宋体"/>
                <w:highlight w:val="none"/>
              </w:rPr>
            </w:pPr>
            <w:r>
              <w:rPr>
                <w:rFonts w:hint="eastAsia" w:ascii="宋体" w:hAnsi="宋体" w:cs="宋体"/>
                <w:highlight w:val="none"/>
              </w:rPr>
              <w:t>同品牌产品</w:t>
            </w:r>
          </w:p>
          <w:p>
            <w:pPr>
              <w:pStyle w:val="13"/>
              <w:keepNext w:val="0"/>
              <w:keepLines w:val="0"/>
              <w:pageBreakBefore w:val="0"/>
              <w:tabs>
                <w:tab w:val="left" w:pos="0"/>
                <w:tab w:val="left" w:pos="955"/>
              </w:tabs>
              <w:kinsoku/>
              <w:wordWrap/>
              <w:overflowPunct/>
              <w:topLinePunct w:val="0"/>
              <w:autoSpaceDE/>
              <w:autoSpaceDN/>
              <w:bidi w:val="0"/>
              <w:adjustRightInd w:val="0"/>
              <w:snapToGrid w:val="0"/>
              <w:spacing w:line="440" w:lineRule="exact"/>
              <w:ind w:left="0" w:leftChars="0" w:firstLine="0" w:firstLineChars="0"/>
              <w:jc w:val="center"/>
              <w:textAlignment w:val="auto"/>
              <w:outlineLvl w:val="9"/>
              <w:rPr>
                <w:rFonts w:ascii="宋体" w:cs="宋体"/>
                <w:highlight w:val="none"/>
              </w:rPr>
            </w:pPr>
            <w:r>
              <w:rPr>
                <w:rFonts w:hint="eastAsia" w:ascii="宋体" w:hAnsi="宋体" w:cs="宋体"/>
                <w:highlight w:val="none"/>
              </w:rPr>
              <w:t>报价说明</w:t>
            </w:r>
          </w:p>
        </w:tc>
        <w:tc>
          <w:tcPr>
            <w:tcW w:w="6198" w:type="dxa"/>
            <w:vAlign w:val="center"/>
          </w:tcPr>
          <w:p>
            <w:pPr>
              <w:pStyle w:val="13"/>
              <w:keepNext w:val="0"/>
              <w:keepLines w:val="0"/>
              <w:pageBreakBefore w:val="0"/>
              <w:tabs>
                <w:tab w:val="left" w:pos="0"/>
                <w:tab w:val="left" w:pos="102"/>
              </w:tabs>
              <w:kinsoku/>
              <w:wordWrap/>
              <w:overflowPunct/>
              <w:topLinePunct w:val="0"/>
              <w:autoSpaceDE/>
              <w:autoSpaceDN/>
              <w:bidi w:val="0"/>
              <w:adjustRightInd w:val="0"/>
              <w:spacing w:line="440" w:lineRule="exact"/>
              <w:ind w:left="0" w:leftChars="0" w:firstLine="0" w:firstLineChars="0"/>
              <w:textAlignment w:val="auto"/>
              <w:outlineLvl w:val="9"/>
              <w:rPr>
                <w:rFonts w:ascii="宋体" w:cs="宋体"/>
                <w:highlight w:val="none"/>
              </w:rPr>
            </w:pPr>
            <w:r>
              <w:rPr>
                <w:rFonts w:hint="eastAsia" w:ascii="宋体" w:hAnsi="宋体" w:cs="宋体"/>
                <w:highlight w:val="none"/>
              </w:rPr>
              <w:t>提供相同品牌产品且通过资格审查、符合性审查的不同供应商参加同一合同项下磋商报价的，按一家供应商计算，评审后得分最高的同品牌供应商获得成交候选供应商推荐资格；评审得分相同的，投标价格最低的同品牌供应商获得成交候选供应商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797"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hint="default" w:ascii="宋体" w:eastAsia="宋体" w:cs="宋体"/>
                <w:highlight w:val="none"/>
                <w:lang w:val="en-US" w:eastAsia="zh-CN"/>
              </w:rPr>
            </w:pPr>
            <w:r>
              <w:rPr>
                <w:rFonts w:hint="eastAsia" w:ascii="宋体" w:cs="宋体"/>
                <w:highlight w:val="none"/>
                <w:lang w:val="en-US" w:eastAsia="zh-CN"/>
              </w:rPr>
              <w:t>25</w:t>
            </w:r>
          </w:p>
        </w:tc>
        <w:tc>
          <w:tcPr>
            <w:tcW w:w="2765" w:type="dxa"/>
            <w:vAlign w:val="center"/>
          </w:tcPr>
          <w:p>
            <w:pPr>
              <w:pStyle w:val="13"/>
              <w:keepNext w:val="0"/>
              <w:keepLines w:val="0"/>
              <w:pageBreakBefore w:val="0"/>
              <w:tabs>
                <w:tab w:val="left" w:pos="0"/>
                <w:tab w:val="left" w:pos="955"/>
              </w:tabs>
              <w:kinsoku/>
              <w:wordWrap/>
              <w:overflowPunct/>
              <w:topLinePunct w:val="0"/>
              <w:autoSpaceDE/>
              <w:autoSpaceDN/>
              <w:bidi w:val="0"/>
              <w:adjustRightInd w:val="0"/>
              <w:spacing w:line="440" w:lineRule="exact"/>
              <w:ind w:left="0" w:leftChars="0" w:firstLine="0" w:firstLineChars="0"/>
              <w:jc w:val="center"/>
              <w:textAlignment w:val="auto"/>
              <w:outlineLvl w:val="9"/>
              <w:rPr>
                <w:rFonts w:ascii="宋体" w:cs="宋体"/>
                <w:highlight w:val="none"/>
              </w:rPr>
            </w:pPr>
            <w:r>
              <w:rPr>
                <w:rFonts w:hint="eastAsia" w:ascii="宋体" w:hAnsi="宋体" w:cs="宋体"/>
                <w:highlight w:val="none"/>
              </w:rPr>
              <w:t>磋商费用</w:t>
            </w:r>
          </w:p>
        </w:tc>
        <w:tc>
          <w:tcPr>
            <w:tcW w:w="6198" w:type="dxa"/>
            <w:vAlign w:val="center"/>
          </w:tcPr>
          <w:p>
            <w:pPr>
              <w:pStyle w:val="13"/>
              <w:keepNext w:val="0"/>
              <w:keepLines w:val="0"/>
              <w:pageBreakBefore w:val="0"/>
              <w:tabs>
                <w:tab w:val="left" w:pos="0"/>
                <w:tab w:val="left" w:pos="102"/>
              </w:tabs>
              <w:kinsoku/>
              <w:wordWrap/>
              <w:overflowPunct/>
              <w:topLinePunct w:val="0"/>
              <w:autoSpaceDE/>
              <w:autoSpaceDN/>
              <w:bidi w:val="0"/>
              <w:adjustRightInd w:val="0"/>
              <w:spacing w:line="440" w:lineRule="exact"/>
              <w:ind w:left="0" w:leftChars="0" w:firstLine="0" w:firstLineChars="0"/>
              <w:textAlignment w:val="auto"/>
              <w:outlineLvl w:val="9"/>
              <w:rPr>
                <w:rFonts w:ascii="宋体" w:cs="宋体"/>
                <w:highlight w:val="none"/>
              </w:rPr>
            </w:pPr>
            <w:r>
              <w:rPr>
                <w:rFonts w:hint="eastAsia" w:ascii="宋体" w:hAnsi="宋体" w:cs="宋体"/>
                <w:highlight w:val="none"/>
              </w:rPr>
              <w:t>成交服务费：按国家计委计价格</w:t>
            </w:r>
            <w:r>
              <w:rPr>
                <w:rFonts w:ascii="宋体" w:hAnsi="宋体" w:cs="宋体"/>
                <w:highlight w:val="none"/>
              </w:rPr>
              <w:t>[2002]1980</w:t>
            </w:r>
            <w:r>
              <w:rPr>
                <w:rFonts w:hint="eastAsia" w:ascii="宋体" w:hAnsi="宋体" w:cs="宋体"/>
                <w:highlight w:val="none"/>
              </w:rPr>
              <w:t>号文收费标准下浮</w:t>
            </w:r>
            <w:r>
              <w:rPr>
                <w:rFonts w:ascii="宋体" w:hAnsi="宋体" w:cs="宋体"/>
                <w:highlight w:val="none"/>
              </w:rPr>
              <w:t>30%</w:t>
            </w:r>
            <w:r>
              <w:rPr>
                <w:rFonts w:hint="eastAsia" w:ascii="宋体" w:hAnsi="宋体" w:cs="宋体"/>
                <w:highlight w:val="none"/>
              </w:rPr>
              <w:t>向代理采购人交纳成交服务费。成交服务费由成交供应商支付。无论磋商过程中的方法和结果如何，供应商自行承担所有与参加磋商有关的费用。</w:t>
            </w:r>
          </w:p>
        </w:tc>
      </w:tr>
    </w:tbl>
    <w:p>
      <w:pPr>
        <w:pStyle w:val="13"/>
        <w:tabs>
          <w:tab w:val="left" w:pos="0"/>
          <w:tab w:val="left" w:pos="840"/>
          <w:tab w:val="left" w:pos="955"/>
        </w:tabs>
        <w:spacing w:line="360" w:lineRule="auto"/>
        <w:ind w:left="0" w:leftChars="0" w:firstLine="0" w:firstLineChars="0"/>
        <w:outlineLvl w:val="0"/>
        <w:rPr>
          <w:rFonts w:ascii="宋体" w:cs="宋体"/>
          <w:sz w:val="36"/>
          <w:szCs w:val="36"/>
          <w:highlight w:val="none"/>
        </w:rPr>
      </w:pPr>
    </w:p>
    <w:p>
      <w:pPr>
        <w:pStyle w:val="4"/>
        <w:rPr>
          <w:rFonts w:hint="eastAsia" w:ascii="宋体" w:hAnsi="宋体" w:eastAsia="宋体" w:cs="宋体"/>
          <w:sz w:val="28"/>
          <w:szCs w:val="28"/>
          <w:highlight w:val="none"/>
        </w:rPr>
      </w:pPr>
      <w:bookmarkStart w:id="11" w:name="_Toc29411"/>
      <w:bookmarkStart w:id="12" w:name="_Toc308446404"/>
      <w:bookmarkStart w:id="13" w:name="_Toc26120"/>
      <w:bookmarkStart w:id="14" w:name="_Toc338183619"/>
    </w:p>
    <w:p>
      <w:pPr>
        <w:pStyle w:val="4"/>
        <w:rPr>
          <w:rFonts w:ascii="宋体" w:hAnsi="宋体" w:eastAsia="宋体" w:cs="宋体"/>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一、说明</w:t>
      </w:r>
      <w:bookmarkEnd w:id="11"/>
      <w:bookmarkEnd w:id="12"/>
      <w:bookmarkEnd w:id="13"/>
      <w:bookmarkEnd w:id="14"/>
    </w:p>
    <w:p>
      <w:pPr>
        <w:widowControl/>
        <w:spacing w:line="360" w:lineRule="auto"/>
        <w:ind w:firstLine="482" w:firstLineChars="200"/>
        <w:jc w:val="left"/>
        <w:rPr>
          <w:rFonts w:ascii="宋体" w:cs="宋体"/>
          <w:b/>
          <w:kern w:val="0"/>
          <w:sz w:val="24"/>
          <w:highlight w:val="none"/>
        </w:rPr>
      </w:pPr>
      <w:r>
        <w:rPr>
          <w:rFonts w:ascii="宋体" w:hAnsi="宋体" w:cs="宋体"/>
          <w:b/>
          <w:kern w:val="0"/>
          <w:sz w:val="24"/>
          <w:highlight w:val="none"/>
        </w:rPr>
        <w:t xml:space="preserve">1. </w:t>
      </w:r>
      <w:r>
        <w:rPr>
          <w:rFonts w:hint="eastAsia" w:ascii="宋体" w:hAnsi="宋体" w:cs="宋体"/>
          <w:b/>
          <w:kern w:val="0"/>
          <w:sz w:val="24"/>
          <w:highlight w:val="none"/>
        </w:rPr>
        <w:t>采购人</w:t>
      </w:r>
    </w:p>
    <w:p>
      <w:pPr>
        <w:widowControl/>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rPr>
        <w:t>系指山东大学第二医院</w:t>
      </w:r>
    </w:p>
    <w:p>
      <w:pPr>
        <w:widowControl/>
        <w:spacing w:line="360" w:lineRule="auto"/>
        <w:ind w:firstLine="482" w:firstLineChars="200"/>
        <w:jc w:val="left"/>
        <w:rPr>
          <w:rFonts w:ascii="宋体" w:cs="宋体"/>
          <w:b/>
          <w:kern w:val="0"/>
          <w:sz w:val="24"/>
          <w:highlight w:val="none"/>
        </w:rPr>
      </w:pPr>
      <w:r>
        <w:rPr>
          <w:rFonts w:ascii="宋体" w:hAnsi="宋体" w:cs="宋体"/>
          <w:b/>
          <w:kern w:val="0"/>
          <w:sz w:val="24"/>
          <w:highlight w:val="none"/>
        </w:rPr>
        <w:t>2.</w:t>
      </w:r>
      <w:r>
        <w:rPr>
          <w:rFonts w:hint="eastAsia" w:ascii="宋体" w:hAnsi="宋体" w:cs="宋体"/>
          <w:b/>
          <w:kern w:val="0"/>
          <w:sz w:val="24"/>
          <w:highlight w:val="none"/>
        </w:rPr>
        <w:t>代理机构</w:t>
      </w:r>
    </w:p>
    <w:p>
      <w:pPr>
        <w:widowControl/>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rPr>
        <w:t>系指山东省鲁成招标有限公司</w:t>
      </w:r>
    </w:p>
    <w:p>
      <w:pPr>
        <w:widowControl/>
        <w:spacing w:line="360" w:lineRule="auto"/>
        <w:ind w:firstLine="482" w:firstLineChars="200"/>
        <w:jc w:val="left"/>
        <w:rPr>
          <w:rFonts w:ascii="宋体" w:cs="宋体"/>
          <w:b/>
          <w:kern w:val="0"/>
          <w:sz w:val="24"/>
          <w:highlight w:val="none"/>
        </w:rPr>
      </w:pPr>
      <w:r>
        <w:rPr>
          <w:rFonts w:ascii="宋体" w:hAnsi="宋体" w:cs="宋体"/>
          <w:b/>
          <w:kern w:val="0"/>
          <w:sz w:val="24"/>
          <w:highlight w:val="none"/>
        </w:rPr>
        <w:t xml:space="preserve">3. </w:t>
      </w:r>
      <w:r>
        <w:rPr>
          <w:rFonts w:hint="eastAsia" w:ascii="宋体" w:hAnsi="宋体" w:cs="宋体"/>
          <w:b/>
          <w:kern w:val="0"/>
          <w:sz w:val="24"/>
          <w:highlight w:val="none"/>
        </w:rPr>
        <w:t>合格供应商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3.1</w:t>
      </w:r>
      <w:r>
        <w:rPr>
          <w:rFonts w:hint="eastAsia" w:ascii="宋体" w:hAnsi="宋体" w:cs="宋体"/>
          <w:kern w:val="0"/>
          <w:sz w:val="24"/>
          <w:highlight w:val="none"/>
        </w:rPr>
        <w:t>符合竞争性磋商公告“</w:t>
      </w:r>
      <w:r>
        <w:rPr>
          <w:rFonts w:ascii="宋体" w:hAnsi="宋体" w:cs="宋体"/>
          <w:kern w:val="0"/>
          <w:sz w:val="24"/>
          <w:highlight w:val="none"/>
        </w:rPr>
        <w:t>3.</w:t>
      </w:r>
      <w:r>
        <w:rPr>
          <w:rFonts w:hint="eastAsia" w:ascii="宋体" w:hAnsi="宋体" w:cs="宋体"/>
          <w:kern w:val="0"/>
          <w:sz w:val="24"/>
          <w:highlight w:val="none"/>
        </w:rPr>
        <w:t>供应商资格要求”的各项规定；</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3.2</w:t>
      </w:r>
      <w:r>
        <w:rPr>
          <w:rFonts w:hint="eastAsia" w:ascii="宋体" w:hAnsi="宋体" w:cs="宋体"/>
          <w:kern w:val="0"/>
          <w:sz w:val="24"/>
          <w:highlight w:val="none"/>
        </w:rPr>
        <w:t>具有本项目服务供应或实施能力；</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3.3</w:t>
      </w:r>
      <w:r>
        <w:rPr>
          <w:rFonts w:hint="eastAsia" w:ascii="宋体" w:hAnsi="宋体" w:cs="宋体"/>
          <w:kern w:val="0"/>
          <w:sz w:val="24"/>
          <w:highlight w:val="none"/>
        </w:rPr>
        <w:t>遵守有关的国家法律、法规和条例及本文件等规定的条件：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3.4</w:t>
      </w:r>
      <w:r>
        <w:rPr>
          <w:rFonts w:hint="eastAsia" w:ascii="宋体" w:hAnsi="宋体" w:cs="宋体"/>
          <w:kern w:val="0"/>
          <w:sz w:val="24"/>
          <w:highlight w:val="none"/>
        </w:rPr>
        <w:t>法律、法规规定的其他条件。</w:t>
      </w:r>
    </w:p>
    <w:p>
      <w:pPr>
        <w:widowControl/>
        <w:spacing w:line="360" w:lineRule="auto"/>
        <w:ind w:firstLine="482" w:firstLineChars="200"/>
        <w:jc w:val="left"/>
        <w:rPr>
          <w:rFonts w:ascii="宋体" w:cs="宋体"/>
          <w:b/>
          <w:kern w:val="0"/>
          <w:sz w:val="24"/>
          <w:highlight w:val="none"/>
        </w:rPr>
      </w:pPr>
      <w:r>
        <w:rPr>
          <w:rFonts w:ascii="宋体" w:hAnsi="宋体" w:cs="宋体"/>
          <w:b/>
          <w:kern w:val="0"/>
          <w:sz w:val="24"/>
          <w:highlight w:val="none"/>
        </w:rPr>
        <w:t xml:space="preserve">4. </w:t>
      </w:r>
      <w:r>
        <w:rPr>
          <w:rFonts w:hint="eastAsia" w:ascii="宋体" w:hAnsi="宋体" w:cs="宋体"/>
          <w:b/>
          <w:kern w:val="0"/>
          <w:sz w:val="24"/>
          <w:highlight w:val="none"/>
        </w:rPr>
        <w:t>报价费用</w:t>
      </w:r>
    </w:p>
    <w:p>
      <w:pPr>
        <w:widowControl/>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rPr>
        <w:t>无论报价过程中的方法和结果如何，供应商自行承担所有与参加报价有关的费用。</w:t>
      </w:r>
    </w:p>
    <w:p>
      <w:pPr>
        <w:pStyle w:val="4"/>
        <w:rPr>
          <w:rFonts w:ascii="宋体" w:hAnsi="宋体" w:eastAsia="宋体" w:cs="宋体"/>
          <w:sz w:val="28"/>
          <w:szCs w:val="28"/>
          <w:highlight w:val="none"/>
        </w:rPr>
      </w:pPr>
      <w:bookmarkStart w:id="15" w:name="_Toc308446405"/>
      <w:bookmarkStart w:id="16" w:name="_Toc11076"/>
      <w:bookmarkStart w:id="17" w:name="_Toc338183620"/>
      <w:bookmarkStart w:id="18" w:name="_Toc7809"/>
      <w:r>
        <w:rPr>
          <w:rFonts w:hint="eastAsia" w:ascii="宋体" w:hAnsi="宋体" w:eastAsia="宋体" w:cs="宋体"/>
          <w:sz w:val="28"/>
          <w:szCs w:val="28"/>
          <w:highlight w:val="none"/>
        </w:rPr>
        <w:t>二、竞争性磋商文件</w:t>
      </w:r>
      <w:bookmarkEnd w:id="15"/>
      <w:bookmarkEnd w:id="16"/>
      <w:bookmarkEnd w:id="17"/>
      <w:bookmarkEnd w:id="18"/>
    </w:p>
    <w:p>
      <w:pPr>
        <w:widowControl/>
        <w:spacing w:line="360" w:lineRule="auto"/>
        <w:ind w:firstLine="482" w:firstLineChars="200"/>
        <w:jc w:val="left"/>
        <w:rPr>
          <w:rFonts w:ascii="宋体" w:cs="宋体"/>
          <w:b/>
          <w:kern w:val="0"/>
          <w:sz w:val="24"/>
          <w:highlight w:val="none"/>
        </w:rPr>
      </w:pPr>
      <w:r>
        <w:rPr>
          <w:rFonts w:ascii="宋体" w:hAnsi="宋体" w:cs="宋体"/>
          <w:b/>
          <w:kern w:val="0"/>
          <w:sz w:val="24"/>
          <w:highlight w:val="none"/>
        </w:rPr>
        <w:t xml:space="preserve">5. </w:t>
      </w:r>
      <w:r>
        <w:rPr>
          <w:rFonts w:hint="eastAsia" w:ascii="宋体" w:hAnsi="宋体" w:cs="宋体"/>
          <w:b/>
          <w:kern w:val="0"/>
          <w:sz w:val="24"/>
          <w:highlight w:val="none"/>
        </w:rPr>
        <w:t>竞争性磋商文件构成</w:t>
      </w:r>
    </w:p>
    <w:p>
      <w:pPr>
        <w:widowControl/>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rPr>
        <w:t>本竞争性磋商文件共分五部分，内容如下：</w:t>
      </w:r>
    </w:p>
    <w:p>
      <w:pPr>
        <w:widowControl/>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rPr>
        <w:t>第一部分</w:t>
      </w:r>
      <w:r>
        <w:rPr>
          <w:rFonts w:ascii="宋体" w:hAnsi="宋体" w:cs="宋体"/>
          <w:kern w:val="0"/>
          <w:sz w:val="24"/>
          <w:highlight w:val="none"/>
        </w:rPr>
        <w:t xml:space="preserve">  </w:t>
      </w:r>
      <w:r>
        <w:rPr>
          <w:rFonts w:hint="eastAsia" w:ascii="宋体" w:hAnsi="宋体" w:cs="宋体"/>
          <w:kern w:val="0"/>
          <w:sz w:val="24"/>
          <w:highlight w:val="none"/>
        </w:rPr>
        <w:t>竞争性磋商公告</w:t>
      </w:r>
    </w:p>
    <w:p>
      <w:pPr>
        <w:widowControl/>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rPr>
        <w:t>第二部分</w:t>
      </w:r>
      <w:r>
        <w:rPr>
          <w:rFonts w:ascii="宋体" w:hAnsi="宋体" w:cs="宋体"/>
          <w:kern w:val="0"/>
          <w:sz w:val="24"/>
          <w:highlight w:val="none"/>
        </w:rPr>
        <w:t xml:space="preserve">  </w:t>
      </w:r>
      <w:r>
        <w:rPr>
          <w:rFonts w:hint="eastAsia" w:ascii="宋体" w:hAnsi="宋体" w:cs="宋体"/>
          <w:kern w:val="0"/>
          <w:sz w:val="24"/>
          <w:highlight w:val="none"/>
        </w:rPr>
        <w:t>供应商须知</w:t>
      </w:r>
    </w:p>
    <w:p>
      <w:pPr>
        <w:widowControl/>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rPr>
        <w:t>第三部分</w:t>
      </w:r>
      <w:r>
        <w:rPr>
          <w:rFonts w:ascii="宋体" w:hAnsi="宋体" w:cs="宋体"/>
          <w:kern w:val="0"/>
          <w:sz w:val="24"/>
          <w:highlight w:val="none"/>
        </w:rPr>
        <w:t xml:space="preserve">  </w:t>
      </w:r>
      <w:r>
        <w:rPr>
          <w:rFonts w:hint="eastAsia" w:ascii="宋体" w:hAnsi="宋体" w:cs="宋体"/>
          <w:kern w:val="0"/>
          <w:sz w:val="24"/>
          <w:highlight w:val="none"/>
        </w:rPr>
        <w:t>项目要求</w:t>
      </w:r>
    </w:p>
    <w:p>
      <w:pPr>
        <w:widowControl/>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rPr>
        <w:t>第四部分</w:t>
      </w:r>
      <w:r>
        <w:rPr>
          <w:rFonts w:ascii="宋体" w:hAnsi="宋体" w:cs="宋体"/>
          <w:kern w:val="0"/>
          <w:sz w:val="24"/>
          <w:highlight w:val="none"/>
        </w:rPr>
        <w:t xml:space="preserve">  </w:t>
      </w:r>
      <w:r>
        <w:rPr>
          <w:rFonts w:hint="eastAsia" w:ascii="宋体" w:hAnsi="宋体" w:cs="宋体"/>
          <w:kern w:val="0"/>
          <w:sz w:val="24"/>
          <w:highlight w:val="none"/>
        </w:rPr>
        <w:t>授予合同</w:t>
      </w:r>
    </w:p>
    <w:p>
      <w:pPr>
        <w:widowControl/>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rPr>
        <w:t>第五部分</w:t>
      </w:r>
      <w:r>
        <w:rPr>
          <w:rFonts w:ascii="宋体" w:hAnsi="宋体" w:cs="宋体"/>
          <w:kern w:val="0"/>
          <w:sz w:val="24"/>
          <w:highlight w:val="none"/>
        </w:rPr>
        <w:t xml:space="preserve">  </w:t>
      </w:r>
      <w:r>
        <w:rPr>
          <w:rFonts w:hint="eastAsia" w:ascii="宋体" w:hAnsi="宋体" w:cs="宋体"/>
          <w:kern w:val="0"/>
          <w:sz w:val="24"/>
          <w:highlight w:val="none"/>
        </w:rPr>
        <w:t>响应文件格式</w:t>
      </w:r>
    </w:p>
    <w:p>
      <w:pPr>
        <w:widowControl/>
        <w:spacing w:line="360" w:lineRule="auto"/>
        <w:ind w:firstLine="482" w:firstLineChars="200"/>
        <w:jc w:val="left"/>
        <w:rPr>
          <w:rFonts w:ascii="宋体" w:cs="宋体"/>
          <w:b/>
          <w:kern w:val="0"/>
          <w:sz w:val="24"/>
          <w:highlight w:val="none"/>
        </w:rPr>
      </w:pPr>
      <w:bookmarkStart w:id="19" w:name="gpcItem_tenderStruct"/>
      <w:bookmarkEnd w:id="19"/>
      <w:r>
        <w:rPr>
          <w:rFonts w:ascii="宋体" w:hAnsi="宋体" w:cs="宋体"/>
          <w:b/>
          <w:kern w:val="0"/>
          <w:sz w:val="24"/>
          <w:highlight w:val="none"/>
        </w:rPr>
        <w:t>6.</w:t>
      </w:r>
      <w:r>
        <w:rPr>
          <w:rFonts w:hint="eastAsia" w:ascii="宋体" w:hAnsi="宋体" w:cs="宋体"/>
          <w:b/>
          <w:kern w:val="0"/>
          <w:sz w:val="24"/>
          <w:highlight w:val="none"/>
        </w:rPr>
        <w:t>竞争性磋商文件澄清和修改</w:t>
      </w:r>
    </w:p>
    <w:p>
      <w:pPr>
        <w:widowControl/>
        <w:spacing w:line="360" w:lineRule="auto"/>
        <w:ind w:firstLine="480" w:firstLineChars="200"/>
        <w:jc w:val="left"/>
        <w:rPr>
          <w:rFonts w:ascii="宋体" w:cs="宋体"/>
          <w:kern w:val="0"/>
          <w:sz w:val="24"/>
          <w:highlight w:val="none"/>
        </w:rPr>
      </w:pPr>
      <w:bookmarkStart w:id="20" w:name="_Toc338183621"/>
      <w:bookmarkStart w:id="21" w:name="_Toc308446406"/>
      <w:r>
        <w:rPr>
          <w:rFonts w:ascii="宋体" w:hAnsi="宋体" w:cs="宋体"/>
          <w:kern w:val="0"/>
          <w:sz w:val="24"/>
          <w:highlight w:val="none"/>
        </w:rPr>
        <w:t xml:space="preserve">6.1 </w:t>
      </w:r>
      <w:r>
        <w:rPr>
          <w:rFonts w:hint="eastAsia" w:ascii="宋体" w:hAnsi="宋体" w:cs="宋体"/>
          <w:kern w:val="0"/>
          <w:sz w:val="24"/>
          <w:highlight w:val="none"/>
        </w:rPr>
        <w:t>任何已报名并向代理机构领取了竞争性磋商文件的供应商，均可要求对竞争性磋商文件进行澄清，澄清要求应在竞争性磋商文件要求提交响应文件截止时间</w:t>
      </w:r>
      <w:r>
        <w:rPr>
          <w:rFonts w:ascii="宋体" w:hAnsi="宋体" w:cs="宋体"/>
          <w:kern w:val="0"/>
          <w:sz w:val="24"/>
          <w:highlight w:val="none"/>
        </w:rPr>
        <w:t>6</w:t>
      </w:r>
      <w:r>
        <w:rPr>
          <w:rFonts w:hint="eastAsia" w:ascii="宋体" w:hAnsi="宋体" w:cs="宋体"/>
          <w:kern w:val="0"/>
          <w:sz w:val="24"/>
          <w:highlight w:val="none"/>
        </w:rPr>
        <w:t>日前以书面形式通知采购代理机构，供应商在规定时间以后提出的澄清要求将不予受理。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6.2 </w:t>
      </w:r>
      <w:r>
        <w:rPr>
          <w:rFonts w:hint="eastAsia" w:ascii="宋体" w:hAnsi="宋体" w:cs="宋体"/>
          <w:kern w:val="0"/>
          <w:sz w:val="24"/>
          <w:highlight w:val="none"/>
        </w:rPr>
        <w:t>采购代理机构将对收到的澄清要求将以书面形式予以答复，发给要求澄清的供应商。答复中包括所提的问题，但不包括问题的来源。</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6.3 </w:t>
      </w:r>
      <w:r>
        <w:rPr>
          <w:rFonts w:hint="eastAsia" w:ascii="宋体" w:hAnsi="宋体" w:cs="宋体"/>
          <w:kern w:val="0"/>
          <w:sz w:val="24"/>
          <w:highlight w:val="none"/>
        </w:rPr>
        <w:t>提交首次响应文件截止之日前，采购人、采购代理机构均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宋体" w:hAnsi="宋体" w:cs="宋体"/>
          <w:kern w:val="0"/>
          <w:sz w:val="24"/>
          <w:highlight w:val="none"/>
        </w:rPr>
        <w:t>5</w:t>
      </w:r>
      <w:r>
        <w:rPr>
          <w:rFonts w:hint="eastAsia" w:ascii="宋体" w:hAnsi="宋体" w:cs="宋体"/>
          <w:kern w:val="0"/>
          <w:sz w:val="24"/>
          <w:highlight w:val="none"/>
        </w:rPr>
        <w:t>日前，以书面形式通知所有获取磋商文件的供应商，供应商在收到该澄清文件后应于当日内，以书面形式给予回执确认，逾期不确认视为认同；不足</w:t>
      </w:r>
      <w:r>
        <w:rPr>
          <w:rFonts w:ascii="宋体" w:hAnsi="宋体" w:cs="宋体"/>
          <w:kern w:val="0"/>
          <w:sz w:val="24"/>
          <w:highlight w:val="none"/>
        </w:rPr>
        <w:t>5</w:t>
      </w:r>
      <w:r>
        <w:rPr>
          <w:rFonts w:hint="eastAsia" w:ascii="宋体" w:hAnsi="宋体" w:cs="宋体"/>
          <w:kern w:val="0"/>
          <w:sz w:val="24"/>
          <w:highlight w:val="none"/>
        </w:rPr>
        <w:t>日的，采购人、采购代理机构应当顺延提交首次响应文件截止时间。</w:t>
      </w:r>
    </w:p>
    <w:p>
      <w:pPr>
        <w:pStyle w:val="4"/>
        <w:spacing w:line="360" w:lineRule="auto"/>
        <w:rPr>
          <w:rFonts w:ascii="宋体" w:hAnsi="宋体" w:eastAsia="宋体" w:cs="宋体"/>
          <w:sz w:val="28"/>
          <w:szCs w:val="28"/>
          <w:highlight w:val="none"/>
        </w:rPr>
      </w:pPr>
      <w:bookmarkStart w:id="22" w:name="_Toc130"/>
      <w:bookmarkStart w:id="23" w:name="_Toc19876"/>
      <w:r>
        <w:rPr>
          <w:rFonts w:hint="eastAsia" w:ascii="宋体" w:hAnsi="宋体" w:eastAsia="宋体" w:cs="宋体"/>
          <w:sz w:val="28"/>
          <w:szCs w:val="28"/>
          <w:highlight w:val="none"/>
        </w:rPr>
        <w:t>三、响应文件编制</w:t>
      </w:r>
      <w:bookmarkEnd w:id="20"/>
      <w:bookmarkEnd w:id="21"/>
      <w:bookmarkEnd w:id="22"/>
      <w:bookmarkEnd w:id="23"/>
    </w:p>
    <w:p>
      <w:pPr>
        <w:widowControl/>
        <w:spacing w:line="360" w:lineRule="auto"/>
        <w:ind w:firstLine="482" w:firstLineChars="200"/>
        <w:jc w:val="left"/>
        <w:rPr>
          <w:rFonts w:ascii="宋体" w:cs="宋体"/>
          <w:b/>
          <w:kern w:val="0"/>
          <w:sz w:val="24"/>
          <w:highlight w:val="none"/>
        </w:rPr>
      </w:pPr>
      <w:r>
        <w:rPr>
          <w:rFonts w:ascii="宋体" w:hAnsi="宋体" w:cs="宋体"/>
          <w:b/>
          <w:kern w:val="0"/>
          <w:sz w:val="24"/>
          <w:highlight w:val="none"/>
        </w:rPr>
        <w:t>7.</w:t>
      </w:r>
      <w:r>
        <w:rPr>
          <w:rFonts w:hint="eastAsia" w:ascii="宋体" w:hAnsi="宋体" w:cs="宋体"/>
          <w:b/>
          <w:kern w:val="0"/>
          <w:sz w:val="24"/>
          <w:highlight w:val="none"/>
        </w:rPr>
        <w:t>语言及计量单位</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7.1 </w:t>
      </w:r>
      <w:r>
        <w:rPr>
          <w:rFonts w:hint="eastAsia" w:ascii="宋体" w:hAnsi="宋体" w:cs="宋体"/>
          <w:kern w:val="0"/>
          <w:sz w:val="24"/>
          <w:highlight w:val="none"/>
        </w:rPr>
        <w:t>供应商提交的响应文件以及供应商与代理机构就有关报价的所有来往函电均应使用中文简体字。</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7.2 </w:t>
      </w:r>
      <w:r>
        <w:rPr>
          <w:rFonts w:hint="eastAsia" w:ascii="宋体" w:hAnsi="宋体" w:cs="宋体"/>
          <w:kern w:val="0"/>
          <w:sz w:val="24"/>
          <w:highlight w:val="none"/>
        </w:rPr>
        <w:t>供应商所提供的技术文件和资料，包括报表中的说明，应使用中文简体字。</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7.3 </w:t>
      </w:r>
      <w:r>
        <w:rPr>
          <w:rFonts w:hint="eastAsia" w:ascii="宋体" w:hAnsi="宋体" w:cs="宋体"/>
          <w:kern w:val="0"/>
          <w:sz w:val="24"/>
          <w:highlight w:val="none"/>
        </w:rPr>
        <w:t>除竞争性磋商文件的技术规格中另有规定外，响应文件中所使用的计量单位应使用中华人民共和国法定计量单位。</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7.4 </w:t>
      </w:r>
      <w:r>
        <w:rPr>
          <w:rFonts w:hint="eastAsia" w:ascii="宋体" w:hAnsi="宋体" w:cs="宋体"/>
          <w:kern w:val="0"/>
          <w:sz w:val="24"/>
          <w:highlight w:val="none"/>
        </w:rPr>
        <w:t>对违反上述规定情形的，磋商小组有权要求其限期提供加盖公章的翻译文件或取消其报价资格。</w:t>
      </w:r>
    </w:p>
    <w:p>
      <w:pPr>
        <w:widowControl/>
        <w:spacing w:line="360" w:lineRule="auto"/>
        <w:ind w:firstLine="482" w:firstLineChars="200"/>
        <w:jc w:val="left"/>
        <w:rPr>
          <w:rFonts w:ascii="宋体" w:cs="宋体"/>
          <w:b/>
          <w:kern w:val="0"/>
          <w:sz w:val="24"/>
          <w:highlight w:val="none"/>
        </w:rPr>
      </w:pPr>
      <w:r>
        <w:rPr>
          <w:rFonts w:ascii="宋体" w:hAnsi="宋体" w:cs="宋体"/>
          <w:b/>
          <w:kern w:val="0"/>
          <w:sz w:val="24"/>
          <w:highlight w:val="none"/>
        </w:rPr>
        <w:t>8.</w:t>
      </w:r>
      <w:r>
        <w:rPr>
          <w:rFonts w:hint="eastAsia" w:ascii="宋体" w:hAnsi="宋体" w:cs="宋体"/>
          <w:b/>
          <w:kern w:val="0"/>
          <w:sz w:val="24"/>
          <w:highlight w:val="none"/>
        </w:rPr>
        <w:t>响应文件构成</w:t>
      </w:r>
    </w:p>
    <w:p>
      <w:pPr>
        <w:pStyle w:val="2"/>
        <w:spacing w:after="0" w:line="480" w:lineRule="exact"/>
        <w:rPr>
          <w:rFonts w:ascii="宋体"/>
          <w:b/>
          <w:sz w:val="24"/>
          <w:szCs w:val="32"/>
          <w:highlight w:val="none"/>
        </w:rPr>
      </w:pPr>
      <w:r>
        <w:rPr>
          <w:rFonts w:ascii="宋体" w:hAnsi="宋体"/>
          <w:b/>
          <w:highlight w:val="none"/>
        </w:rPr>
        <w:t xml:space="preserve">   </w:t>
      </w:r>
      <w:r>
        <w:rPr>
          <w:rFonts w:ascii="宋体" w:hAnsi="宋体"/>
          <w:b/>
          <w:sz w:val="24"/>
          <w:szCs w:val="32"/>
          <w:highlight w:val="none"/>
        </w:rPr>
        <w:t xml:space="preserve"> </w:t>
      </w:r>
      <w:r>
        <w:rPr>
          <w:rFonts w:hint="eastAsia" w:ascii="宋体" w:hAnsi="宋体"/>
          <w:b/>
          <w:sz w:val="24"/>
          <w:szCs w:val="32"/>
          <w:highlight w:val="none"/>
        </w:rPr>
        <w:t>响应文件由报价函、报价响应文件、资格证明文件（</w:t>
      </w:r>
      <w:r>
        <w:rPr>
          <w:rFonts w:hint="eastAsia" w:ascii="宋体" w:hAnsi="宋体"/>
          <w:b/>
          <w:sz w:val="24"/>
          <w:szCs w:val="32"/>
          <w:highlight w:val="none"/>
          <w:lang w:eastAsia="zh-CN"/>
        </w:rPr>
        <w:t>无需单独装订成册</w:t>
      </w:r>
      <w:r>
        <w:rPr>
          <w:rFonts w:hint="eastAsia" w:ascii="宋体" w:hAnsi="宋体"/>
          <w:b/>
          <w:sz w:val="24"/>
          <w:szCs w:val="32"/>
          <w:highlight w:val="none"/>
        </w:rPr>
        <w:t>）、技术文件、商务文件组成。</w:t>
      </w:r>
    </w:p>
    <w:p>
      <w:pPr>
        <w:widowControl/>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rPr>
        <w:t>供应商应按竞争性磋商文件的要求编写响应文件，提交证明其有资格进行报价和有能力履行合同的文件。响应文件包括以下内容，并按下列顺序编制，以方便评标。</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8.1  </w:t>
      </w:r>
      <w:r>
        <w:rPr>
          <w:rFonts w:hint="eastAsia" w:ascii="宋体" w:hAnsi="宋体" w:cs="宋体"/>
          <w:kern w:val="0"/>
          <w:sz w:val="24"/>
          <w:highlight w:val="none"/>
        </w:rPr>
        <w:t>报价函（附件一）</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8.2  </w:t>
      </w:r>
      <w:r>
        <w:rPr>
          <w:rFonts w:hint="eastAsia" w:ascii="宋体" w:hAnsi="宋体" w:cs="宋体"/>
          <w:kern w:val="0"/>
          <w:sz w:val="24"/>
          <w:highlight w:val="none"/>
        </w:rPr>
        <w:t>报价响应文件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w:t>
      </w:r>
      <w:r>
        <w:rPr>
          <w:rFonts w:hint="eastAsia" w:ascii="宋体" w:hAnsi="宋体" w:cs="宋体"/>
          <w:kern w:val="0"/>
          <w:sz w:val="24"/>
          <w:highlight w:val="none"/>
        </w:rPr>
        <w:t>）报价一览表（附件三）；</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2</w:t>
      </w:r>
      <w:r>
        <w:rPr>
          <w:rFonts w:hint="eastAsia" w:ascii="宋体" w:hAnsi="宋体" w:cs="宋体"/>
          <w:kern w:val="0"/>
          <w:sz w:val="24"/>
          <w:highlight w:val="none"/>
        </w:rPr>
        <w:t>）报价明细表（附件四）；</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8.3  </w:t>
      </w:r>
      <w:r>
        <w:rPr>
          <w:rFonts w:hint="eastAsia" w:ascii="宋体" w:hAnsi="宋体" w:cs="宋体"/>
          <w:kern w:val="0"/>
          <w:sz w:val="24"/>
          <w:highlight w:val="none"/>
        </w:rPr>
        <w:t>资格证明文件（</w:t>
      </w:r>
      <w:r>
        <w:rPr>
          <w:rFonts w:hint="eastAsia" w:ascii="宋体" w:hAnsi="宋体" w:cs="宋体"/>
          <w:b/>
          <w:bCs/>
          <w:kern w:val="0"/>
          <w:sz w:val="24"/>
          <w:highlight w:val="none"/>
        </w:rPr>
        <w:t>注：无需单独装订成册</w:t>
      </w:r>
      <w:r>
        <w:rPr>
          <w:rFonts w:hint="eastAsia" w:ascii="宋体" w:hAnsi="宋体" w:cs="宋体"/>
          <w:kern w:val="0"/>
          <w:sz w:val="24"/>
          <w:highlight w:val="none"/>
        </w:rPr>
        <w:t>）</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营业执照副本、税务登记证副本（三证合一除外）复印件；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2)</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授权委托书原件（附件二），供应商授权代表须提供身份证复印件；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3</w:t>
      </w:r>
      <w:r>
        <w:rPr>
          <w:rFonts w:hint="eastAsia" w:ascii="宋体" w:hAnsi="宋体" w:cs="宋体"/>
          <w:kern w:val="0"/>
          <w:sz w:val="24"/>
          <w:highlight w:val="none"/>
        </w:rPr>
        <w:t>）制造商开具的授权委托书复印件或代理证书（如果有）；</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4</w:t>
      </w:r>
      <w:r>
        <w:rPr>
          <w:rFonts w:hint="eastAsia" w:ascii="宋体" w:hAnsi="宋体" w:cs="宋体"/>
          <w:kern w:val="0"/>
          <w:sz w:val="24"/>
          <w:highlight w:val="none"/>
        </w:rPr>
        <w:t>）</w:t>
      </w:r>
      <w:r>
        <w:rPr>
          <w:rFonts w:ascii="宋体" w:hAnsi="宋体" w:cs="宋体"/>
          <w:kern w:val="0"/>
          <w:sz w:val="24"/>
          <w:highlight w:val="none"/>
        </w:rPr>
        <w:t>201</w:t>
      </w:r>
      <w:r>
        <w:rPr>
          <w:rFonts w:hint="eastAsia" w:ascii="宋体" w:hAnsi="宋体" w:cs="宋体"/>
          <w:kern w:val="0"/>
          <w:sz w:val="24"/>
          <w:highlight w:val="none"/>
          <w:lang w:val="en-US" w:eastAsia="zh-CN"/>
        </w:rPr>
        <w:t>8</w:t>
      </w:r>
      <w:r>
        <w:rPr>
          <w:rFonts w:hint="eastAsia" w:ascii="宋体" w:hAnsi="宋体" w:cs="宋体"/>
          <w:kern w:val="0"/>
          <w:sz w:val="24"/>
          <w:highlight w:val="none"/>
        </w:rPr>
        <w:t>年财务状况报告（附件十一的格式</w:t>
      </w:r>
      <w:r>
        <w:rPr>
          <w:rFonts w:ascii="宋体" w:hAnsi="宋体" w:cs="宋体"/>
          <w:kern w:val="0"/>
          <w:sz w:val="24"/>
          <w:highlight w:val="none"/>
        </w:rPr>
        <w:t>1</w:t>
      </w:r>
      <w:r>
        <w:rPr>
          <w:rFonts w:hint="eastAsia" w:ascii="宋体" w:hAnsi="宋体" w:cs="宋体"/>
          <w:kern w:val="0"/>
          <w:sz w:val="24"/>
          <w:highlight w:val="none"/>
        </w:rPr>
        <w:t>）及依法缴纳税收和社会保障资金的相关材料（附件十一的格式</w:t>
      </w:r>
      <w:r>
        <w:rPr>
          <w:rFonts w:ascii="宋体" w:hAnsi="宋体" w:cs="宋体"/>
          <w:kern w:val="0"/>
          <w:sz w:val="24"/>
          <w:highlight w:val="none"/>
        </w:rPr>
        <w:t>2</w:t>
      </w:r>
      <w:r>
        <w:rPr>
          <w:rFonts w:hint="eastAsia" w:ascii="宋体" w:hAnsi="宋体" w:cs="宋体"/>
          <w:kern w:val="0"/>
          <w:sz w:val="24"/>
          <w:highlight w:val="none"/>
        </w:rPr>
        <w:t>）；如</w:t>
      </w:r>
      <w:r>
        <w:rPr>
          <w:rFonts w:hint="eastAsia" w:ascii="宋体" w:hAnsi="宋体" w:cs="宋体"/>
          <w:kern w:val="0"/>
          <w:sz w:val="24"/>
          <w:highlight w:val="none"/>
          <w:lang w:val="en-US" w:eastAsia="zh-CN"/>
        </w:rPr>
        <w:t>供应商</w:t>
      </w:r>
      <w:r>
        <w:rPr>
          <w:rFonts w:hint="eastAsia" w:ascii="宋体" w:hAnsi="宋体" w:cs="宋体"/>
          <w:kern w:val="0"/>
          <w:sz w:val="24"/>
          <w:highlight w:val="none"/>
        </w:rPr>
        <w:t>成立不足三年供应商需提供自成立至今的；</w:t>
      </w:r>
    </w:p>
    <w:p>
      <w:pPr>
        <w:widowControl/>
        <w:spacing w:line="360" w:lineRule="auto"/>
        <w:ind w:firstLine="480" w:firstLineChars="200"/>
        <w:jc w:val="left"/>
        <w:rPr>
          <w:rFonts w:hint="eastAsia" w:ascii="宋体" w:hAnsi="宋体" w:cs="宋体"/>
          <w:kern w:val="0"/>
          <w:sz w:val="24"/>
          <w:highlight w:val="none"/>
        </w:rPr>
      </w:pPr>
      <w:r>
        <w:rPr>
          <w:rFonts w:ascii="宋体" w:hAnsi="宋体" w:cs="宋体"/>
          <w:kern w:val="0"/>
          <w:sz w:val="24"/>
          <w:highlight w:val="none"/>
        </w:rPr>
        <w:t>5</w:t>
      </w:r>
      <w:r>
        <w:rPr>
          <w:rFonts w:hint="eastAsia" w:ascii="宋体" w:hAnsi="宋体" w:cs="宋体"/>
          <w:kern w:val="0"/>
          <w:sz w:val="24"/>
          <w:highlight w:val="none"/>
        </w:rPr>
        <w:t>）具备履行合同所必需的设备和专业技术能力的证明材料（附件十一的格式</w:t>
      </w:r>
      <w:r>
        <w:rPr>
          <w:rFonts w:ascii="宋体" w:hAnsi="宋体" w:cs="宋体"/>
          <w:kern w:val="0"/>
          <w:sz w:val="24"/>
          <w:highlight w:val="none"/>
        </w:rPr>
        <w:t>3</w:t>
      </w:r>
      <w:r>
        <w:rPr>
          <w:rFonts w:hint="eastAsia" w:ascii="宋体" w:hAnsi="宋体" w:cs="宋体"/>
          <w:kern w:val="0"/>
          <w:sz w:val="24"/>
          <w:highlight w:val="none"/>
        </w:rPr>
        <w:t>）；</w:t>
      </w:r>
    </w:p>
    <w:p>
      <w:pPr>
        <w:widowControl/>
        <w:spacing w:line="360" w:lineRule="auto"/>
        <w:ind w:firstLine="480" w:firstLineChars="200"/>
        <w:jc w:val="left"/>
        <w:rPr>
          <w:rFonts w:hint="eastAsia" w:ascii="宋体" w:hAnsi="宋体" w:cs="宋体"/>
          <w:kern w:val="0"/>
          <w:sz w:val="24"/>
          <w:highlight w:val="none"/>
        </w:rPr>
      </w:pPr>
      <w:r>
        <w:rPr>
          <w:rFonts w:ascii="宋体" w:hAnsi="宋体" w:cs="宋体"/>
          <w:kern w:val="0"/>
          <w:sz w:val="24"/>
          <w:highlight w:val="none"/>
        </w:rPr>
        <w:t>6</w:t>
      </w:r>
      <w:r>
        <w:rPr>
          <w:rFonts w:hint="eastAsia" w:ascii="宋体" w:hAnsi="宋体" w:cs="宋体"/>
          <w:kern w:val="0"/>
          <w:sz w:val="24"/>
          <w:highlight w:val="none"/>
        </w:rPr>
        <w:t>）进口商品安全质量许可证（采购产品属于《实施安全质量许可制度的进口商品目录》中产品，必需提供）复印件；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7</w:t>
      </w:r>
      <w:r>
        <w:rPr>
          <w:rFonts w:hint="eastAsia" w:ascii="宋体" w:hAnsi="宋体" w:cs="宋体"/>
          <w:kern w:val="0"/>
          <w:sz w:val="24"/>
          <w:highlight w:val="none"/>
        </w:rPr>
        <w:t>）经磋商小组认可的进口产品证明材料</w:t>
      </w:r>
      <w:r>
        <w:rPr>
          <w:rFonts w:ascii="宋体" w:hAnsi="宋体" w:cs="宋体"/>
          <w:kern w:val="0"/>
          <w:sz w:val="24"/>
          <w:highlight w:val="none"/>
        </w:rPr>
        <w:t>(</w:t>
      </w:r>
      <w:r>
        <w:rPr>
          <w:rFonts w:hint="eastAsia" w:ascii="宋体" w:hAnsi="宋体" w:cs="宋体"/>
          <w:kern w:val="0"/>
          <w:sz w:val="24"/>
          <w:highlight w:val="none"/>
        </w:rPr>
        <w:t>如果有</w:t>
      </w:r>
      <w:r>
        <w:rPr>
          <w:rFonts w:ascii="宋体" w:hAnsi="宋体" w:cs="宋体"/>
          <w:kern w:val="0"/>
          <w:sz w:val="24"/>
          <w:highlight w:val="none"/>
        </w:rPr>
        <w:t>)</w:t>
      </w:r>
      <w:r>
        <w:rPr>
          <w:rFonts w:hint="eastAsia" w:ascii="宋体" w:hAnsi="宋体" w:cs="宋体"/>
          <w:kern w:val="0"/>
          <w:sz w:val="24"/>
          <w:highlight w:val="none"/>
        </w:rPr>
        <w:t>；</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8</w:t>
      </w:r>
      <w:r>
        <w:rPr>
          <w:rFonts w:hint="eastAsia" w:ascii="宋体" w:hAnsi="宋体" w:cs="宋体"/>
          <w:kern w:val="0"/>
          <w:sz w:val="24"/>
          <w:highlight w:val="none"/>
        </w:rPr>
        <w:t>）有关的质量体系、安全等认证证书：例如</w:t>
      </w:r>
      <w:r>
        <w:rPr>
          <w:rFonts w:ascii="宋体" w:hAnsi="宋体" w:cs="宋体"/>
          <w:kern w:val="0"/>
          <w:sz w:val="24"/>
          <w:highlight w:val="none"/>
        </w:rPr>
        <w:t>ISO</w:t>
      </w:r>
      <w:r>
        <w:rPr>
          <w:rFonts w:hint="eastAsia" w:ascii="宋体" w:hAnsi="宋体" w:cs="宋体"/>
          <w:kern w:val="0"/>
          <w:sz w:val="24"/>
          <w:highlight w:val="none"/>
        </w:rPr>
        <w:t>、</w:t>
      </w:r>
      <w:r>
        <w:rPr>
          <w:rFonts w:ascii="宋体" w:hAnsi="宋体" w:cs="宋体"/>
          <w:kern w:val="0"/>
          <w:sz w:val="24"/>
          <w:highlight w:val="none"/>
        </w:rPr>
        <w:t>FDA</w:t>
      </w:r>
      <w:r>
        <w:rPr>
          <w:rFonts w:hint="eastAsia" w:ascii="宋体" w:hAnsi="宋体" w:cs="宋体"/>
          <w:kern w:val="0"/>
          <w:sz w:val="24"/>
          <w:highlight w:val="none"/>
        </w:rPr>
        <w:t>、</w:t>
      </w:r>
      <w:r>
        <w:rPr>
          <w:rFonts w:ascii="宋体" w:hAnsi="宋体" w:cs="宋体"/>
          <w:kern w:val="0"/>
          <w:sz w:val="24"/>
          <w:highlight w:val="none"/>
        </w:rPr>
        <w:t>CE</w:t>
      </w:r>
      <w:r>
        <w:rPr>
          <w:rFonts w:hint="eastAsia" w:ascii="宋体" w:hAnsi="宋体" w:cs="宋体"/>
          <w:kern w:val="0"/>
          <w:sz w:val="24"/>
          <w:highlight w:val="none"/>
        </w:rPr>
        <w:t>、</w:t>
      </w:r>
      <w:r>
        <w:rPr>
          <w:rFonts w:ascii="宋体" w:hAnsi="宋体" w:cs="宋体"/>
          <w:kern w:val="0"/>
          <w:sz w:val="24"/>
          <w:highlight w:val="none"/>
        </w:rPr>
        <w:t>3C</w:t>
      </w:r>
      <w:r>
        <w:rPr>
          <w:rFonts w:hint="eastAsia" w:ascii="宋体" w:hAnsi="宋体" w:cs="宋体"/>
          <w:kern w:val="0"/>
          <w:sz w:val="24"/>
          <w:highlight w:val="none"/>
        </w:rPr>
        <w:t>等（国家强制要求的设备必须提供）（如果有）；</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9</w:t>
      </w:r>
      <w:r>
        <w:rPr>
          <w:rFonts w:hint="eastAsia" w:ascii="宋体" w:hAnsi="宋体" w:cs="宋体"/>
          <w:kern w:val="0"/>
          <w:sz w:val="24"/>
          <w:highlight w:val="none"/>
        </w:rPr>
        <w:t>）近三年（</w:t>
      </w:r>
      <w:r>
        <w:rPr>
          <w:rFonts w:ascii="宋体" w:hAnsi="宋体" w:cs="宋体"/>
          <w:kern w:val="0"/>
          <w:sz w:val="24"/>
          <w:highlight w:val="none"/>
        </w:rPr>
        <w:t>201</w:t>
      </w:r>
      <w:r>
        <w:rPr>
          <w:rFonts w:hint="eastAsia" w:ascii="宋体" w:hAnsi="宋体" w:cs="宋体"/>
          <w:kern w:val="0"/>
          <w:sz w:val="24"/>
          <w:highlight w:val="none"/>
          <w:lang w:val="en-US" w:eastAsia="zh-CN"/>
        </w:rPr>
        <w:t>7</w:t>
      </w:r>
      <w:r>
        <w:rPr>
          <w:rFonts w:hint="eastAsia" w:ascii="宋体" w:hAnsi="宋体" w:cs="宋体"/>
          <w:kern w:val="0"/>
          <w:sz w:val="24"/>
          <w:highlight w:val="none"/>
        </w:rPr>
        <w:t>年</w:t>
      </w:r>
      <w:r>
        <w:rPr>
          <w:rFonts w:hint="eastAsia" w:ascii="宋体" w:hAnsi="宋体" w:cs="宋体"/>
          <w:kern w:val="0"/>
          <w:sz w:val="24"/>
          <w:highlight w:val="none"/>
          <w:lang w:val="en-US" w:eastAsia="zh-CN"/>
        </w:rPr>
        <w:t>3</w:t>
      </w:r>
      <w:r>
        <w:rPr>
          <w:rFonts w:hint="eastAsia" w:ascii="宋体" w:hAnsi="宋体" w:cs="宋体"/>
          <w:kern w:val="0"/>
          <w:sz w:val="24"/>
          <w:highlight w:val="none"/>
        </w:rPr>
        <w:t>月</w:t>
      </w:r>
      <w:r>
        <w:rPr>
          <w:rFonts w:hint="eastAsia" w:ascii="宋体" w:hAnsi="宋体" w:cs="宋体"/>
          <w:kern w:val="0"/>
          <w:sz w:val="24"/>
          <w:highlight w:val="none"/>
          <w:lang w:val="en-US" w:eastAsia="zh-CN"/>
        </w:rPr>
        <w:t>1日</w:t>
      </w:r>
      <w:r>
        <w:rPr>
          <w:rFonts w:hint="eastAsia" w:ascii="宋体" w:hAnsi="宋体" w:cs="宋体"/>
          <w:kern w:val="0"/>
          <w:sz w:val="24"/>
          <w:highlight w:val="none"/>
        </w:rPr>
        <w:t>至今）所投货物（同品牌）的业绩一览表及合同复印件加盖公章，应提供用户的单位名称、地址、邮编、联系电话、联系人（附件十一的格式</w:t>
      </w:r>
      <w:r>
        <w:rPr>
          <w:rFonts w:ascii="宋体" w:hAnsi="宋体" w:cs="宋体"/>
          <w:kern w:val="0"/>
          <w:sz w:val="24"/>
          <w:highlight w:val="none"/>
        </w:rPr>
        <w:t>7</w:t>
      </w:r>
      <w:r>
        <w:rPr>
          <w:rFonts w:hint="eastAsia" w:ascii="宋体" w:hAnsi="宋体" w:cs="宋体"/>
          <w:kern w:val="0"/>
          <w:sz w:val="24"/>
          <w:highlight w:val="none"/>
        </w:rPr>
        <w:t>），如</w:t>
      </w:r>
      <w:r>
        <w:rPr>
          <w:rFonts w:hint="eastAsia" w:ascii="宋体" w:hAnsi="宋体" w:cs="宋体"/>
          <w:kern w:val="0"/>
          <w:sz w:val="24"/>
          <w:highlight w:val="none"/>
          <w:lang w:val="en-US" w:eastAsia="zh-CN"/>
        </w:rPr>
        <w:t>供应商</w:t>
      </w:r>
      <w:r>
        <w:rPr>
          <w:rFonts w:hint="eastAsia" w:ascii="宋体" w:hAnsi="宋体" w:cs="宋体"/>
          <w:kern w:val="0"/>
          <w:sz w:val="24"/>
          <w:highlight w:val="none"/>
        </w:rPr>
        <w:t>成立不足三年供应商需提供自成立至今的；</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w:t>
      </w:r>
      <w:r>
        <w:rPr>
          <w:rFonts w:hint="eastAsia" w:ascii="宋体" w:hAnsi="宋体" w:cs="宋体"/>
          <w:kern w:val="0"/>
          <w:sz w:val="24"/>
          <w:highlight w:val="none"/>
        </w:rPr>
        <w:t>）参加本次采购活动前三年内供应商在经营活动中没有重大违法记录的相关证明。（“信用中国”网站（</w:t>
      </w:r>
      <w:r>
        <w:rPr>
          <w:rFonts w:ascii="宋体" w:hAnsi="宋体" w:cs="宋体"/>
          <w:kern w:val="0"/>
          <w:sz w:val="24"/>
          <w:highlight w:val="none"/>
        </w:rPr>
        <w:t>www.creditchina.gov.cn</w:t>
      </w:r>
      <w:r>
        <w:rPr>
          <w:rFonts w:hint="eastAsia" w:ascii="宋体" w:hAnsi="宋体" w:cs="宋体"/>
          <w:kern w:val="0"/>
          <w:sz w:val="24"/>
          <w:highlight w:val="none"/>
        </w:rPr>
        <w:t>）、中国政府采购网（</w:t>
      </w:r>
      <w:r>
        <w:rPr>
          <w:rFonts w:ascii="宋体" w:hAnsi="宋体" w:cs="宋体"/>
          <w:kern w:val="0"/>
          <w:sz w:val="24"/>
          <w:highlight w:val="none"/>
        </w:rPr>
        <w:t>www.ccgp.gov.cn</w:t>
      </w:r>
      <w:r>
        <w:rPr>
          <w:rFonts w:hint="eastAsia" w:ascii="宋体" w:hAnsi="宋体" w:cs="宋体"/>
          <w:kern w:val="0"/>
          <w:sz w:val="24"/>
          <w:highlight w:val="none"/>
        </w:rPr>
        <w:t>）等渠道查询截图，经查询，在本项目开标日前，若供应商列入失信被执行人、重大税收违法案件当事人名单、政府采购严重违法失信行为记录名单及其他不符合《中华人民共和国政府采购法》第二十二条规定条件的供应商，其投标将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11</w:t>
      </w:r>
      <w:r>
        <w:rPr>
          <w:rFonts w:hint="eastAsia" w:ascii="宋体" w:hAnsi="宋体" w:cs="宋体"/>
          <w:kern w:val="0"/>
          <w:sz w:val="24"/>
          <w:highlight w:val="none"/>
        </w:rPr>
        <w:t>）供应商为小型、微型企业，价格需扣除的，须提供：企业所在地的县级以上中小企业主管部门出具的证明文件、《小微企业声明函》（附件十一的格式</w:t>
      </w:r>
      <w:r>
        <w:rPr>
          <w:rFonts w:ascii="宋体" w:hAnsi="宋体" w:cs="宋体"/>
          <w:kern w:val="0"/>
          <w:sz w:val="24"/>
          <w:highlight w:val="none"/>
        </w:rPr>
        <w:t>4</w:t>
      </w:r>
      <w:r>
        <w:rPr>
          <w:rFonts w:hint="eastAsia" w:ascii="宋体" w:hAnsi="宋体" w:cs="宋体"/>
          <w:kern w:val="0"/>
          <w:sz w:val="24"/>
          <w:highlight w:val="none"/>
        </w:rPr>
        <w:t>）、《从业人员声明函》（附件十一的格式</w:t>
      </w:r>
      <w:r>
        <w:rPr>
          <w:rFonts w:ascii="宋体" w:hAnsi="宋体" w:cs="宋体"/>
          <w:kern w:val="0"/>
          <w:sz w:val="24"/>
          <w:highlight w:val="none"/>
        </w:rPr>
        <w:t>5</w:t>
      </w:r>
      <w:r>
        <w:rPr>
          <w:rFonts w:hint="eastAsia" w:ascii="宋体" w:hAnsi="宋体" w:cs="宋体"/>
          <w:kern w:val="0"/>
          <w:sz w:val="24"/>
          <w:highlight w:val="none"/>
        </w:rPr>
        <w:t>）原件及复印件（如果有）；</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12</w:t>
      </w:r>
      <w:r>
        <w:rPr>
          <w:rFonts w:hint="eastAsia" w:ascii="宋体" w:hAnsi="宋体" w:cs="宋体"/>
          <w:kern w:val="0"/>
          <w:sz w:val="24"/>
          <w:highlight w:val="none"/>
        </w:rPr>
        <w:t>）供应商为监狱企业，价格需扣除的，须提供：省级以上监狱管理局、戒毒管理局（含新疆生产建设兵团）出具的属于监狱企业的证明文件原件（如果有）；</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13</w:t>
      </w:r>
      <w:r>
        <w:rPr>
          <w:rFonts w:hint="eastAsia" w:ascii="宋体" w:hAnsi="宋体" w:cs="宋体"/>
          <w:kern w:val="0"/>
          <w:sz w:val="24"/>
          <w:highlight w:val="none"/>
        </w:rPr>
        <w:t>）节能或环保产品证明（如果有）；</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w:t>
      </w:r>
      <w:r>
        <w:rPr>
          <w:rFonts w:hint="eastAsia" w:ascii="宋体" w:hAnsi="宋体" w:cs="宋体"/>
          <w:kern w:val="0"/>
          <w:sz w:val="24"/>
          <w:highlight w:val="none"/>
        </w:rPr>
        <w:t>）供应商认为需要提交的其他文件。</w:t>
      </w:r>
    </w:p>
    <w:p>
      <w:pPr>
        <w:pStyle w:val="6"/>
        <w:spacing w:line="480" w:lineRule="exact"/>
        <w:ind w:left="197" w:leftChars="94" w:firstLine="361" w:firstLineChars="150"/>
        <w:rPr>
          <w:rFonts w:ascii="宋体"/>
          <w:b/>
          <w:sz w:val="24"/>
          <w:highlight w:val="none"/>
        </w:rPr>
      </w:pPr>
      <w:r>
        <w:rPr>
          <w:rFonts w:hint="eastAsia" w:ascii="宋体" w:hAnsi="宋体"/>
          <w:b/>
          <w:sz w:val="24"/>
          <w:highlight w:val="none"/>
        </w:rPr>
        <w:t>采购人或磋商小组在需要时，可要求供应商在一定期限内提供资格证明文件的原件。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8.4  </w:t>
      </w:r>
      <w:r>
        <w:rPr>
          <w:rFonts w:hint="eastAsia" w:ascii="宋体" w:hAnsi="宋体" w:cs="宋体"/>
          <w:kern w:val="0"/>
          <w:sz w:val="24"/>
          <w:highlight w:val="none"/>
        </w:rPr>
        <w:t>技术文件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货物主要技术指标和性能的详细说明，包括产品宣传彩页、图纸、数据、检测报告、技术支持资料等；</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按期交货的保证措施；</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3) </w:t>
      </w:r>
      <w:r>
        <w:rPr>
          <w:rFonts w:hint="eastAsia" w:ascii="宋体" w:hAnsi="宋体" w:cs="宋体"/>
          <w:kern w:val="0"/>
          <w:sz w:val="24"/>
          <w:highlight w:val="none"/>
        </w:rPr>
        <w:t>维保方案及维保费用报价表（附件十）；</w:t>
      </w:r>
    </w:p>
    <w:p>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lang w:val="en-US" w:eastAsia="zh-CN"/>
        </w:rPr>
        <w:t>4</w:t>
      </w:r>
      <w:r>
        <w:rPr>
          <w:rFonts w:hint="eastAsia" w:ascii="宋体" w:hAnsi="宋体" w:cs="宋体"/>
          <w:kern w:val="0"/>
          <w:sz w:val="24"/>
          <w:highlight w:val="none"/>
          <w:lang w:eastAsia="zh-CN"/>
        </w:rPr>
        <w:t>）</w:t>
      </w:r>
      <w:r>
        <w:rPr>
          <w:rFonts w:hint="eastAsia" w:ascii="宋体" w:hAnsi="宋体" w:cs="宋体"/>
          <w:kern w:val="0"/>
          <w:sz w:val="24"/>
          <w:highlight w:val="none"/>
        </w:rPr>
        <w:t>货物的材质，设计、生产、检测和包装运输标准、性能参数及配置情况；</w:t>
      </w:r>
    </w:p>
    <w:p>
      <w:pPr>
        <w:widowControl/>
        <w:spacing w:line="360" w:lineRule="auto"/>
        <w:ind w:firstLine="480" w:firstLineChars="200"/>
        <w:jc w:val="left"/>
        <w:rPr>
          <w:rFonts w:hint="eastAsia" w:ascii="宋体" w:hAnsi="宋体" w:cs="宋体"/>
          <w:kern w:val="0"/>
          <w:sz w:val="24"/>
          <w:highlight w:val="none"/>
          <w:lang w:eastAsia="zh-CN"/>
        </w:rPr>
      </w:pPr>
      <w:r>
        <w:rPr>
          <w:rFonts w:hint="eastAsia" w:ascii="宋体" w:hAnsi="宋体" w:cs="宋体"/>
          <w:kern w:val="0"/>
          <w:sz w:val="24"/>
          <w:highlight w:val="none"/>
          <w:lang w:val="en-US" w:eastAsia="zh-CN"/>
        </w:rPr>
        <w:t>5）</w:t>
      </w:r>
      <w:r>
        <w:rPr>
          <w:rFonts w:hint="eastAsia" w:ascii="宋体" w:hAnsi="宋体" w:cs="宋体"/>
          <w:kern w:val="0"/>
          <w:sz w:val="24"/>
          <w:highlight w:val="none"/>
        </w:rPr>
        <w:t>货物的生产制造周期</w:t>
      </w:r>
      <w:r>
        <w:rPr>
          <w:rFonts w:hint="eastAsia" w:ascii="宋体" w:hAnsi="宋体" w:cs="宋体"/>
          <w:kern w:val="0"/>
          <w:sz w:val="24"/>
          <w:highlight w:val="none"/>
          <w:lang w:eastAsia="zh-CN"/>
        </w:rPr>
        <w:t>；</w:t>
      </w:r>
    </w:p>
    <w:p>
      <w:pPr>
        <w:widowControl/>
        <w:spacing w:line="360" w:lineRule="auto"/>
        <w:ind w:firstLine="480" w:firstLineChars="200"/>
        <w:jc w:val="left"/>
        <w:rPr>
          <w:rFonts w:hint="eastAsia" w:ascii="宋体" w:hAnsi="宋体" w:cs="宋体"/>
          <w:kern w:val="0"/>
          <w:sz w:val="24"/>
          <w:highlight w:val="none"/>
          <w:lang w:eastAsia="zh-CN"/>
        </w:rPr>
      </w:pPr>
      <w:r>
        <w:rPr>
          <w:rFonts w:hint="eastAsia" w:ascii="宋体" w:hAnsi="宋体" w:cs="宋体"/>
          <w:kern w:val="0"/>
          <w:sz w:val="24"/>
          <w:highlight w:val="none"/>
          <w:lang w:val="en-US" w:eastAsia="zh-CN"/>
        </w:rPr>
        <w:t>6）</w:t>
      </w:r>
      <w:r>
        <w:rPr>
          <w:rFonts w:hint="eastAsia" w:ascii="宋体" w:hAnsi="宋体" w:cs="宋体"/>
          <w:kern w:val="0"/>
          <w:sz w:val="24"/>
          <w:highlight w:val="none"/>
          <w:lang w:eastAsia="zh-CN"/>
        </w:rPr>
        <w:t>货物的</w:t>
      </w:r>
      <w:r>
        <w:rPr>
          <w:rFonts w:hint="eastAsia" w:ascii="宋体" w:hAnsi="宋体" w:cs="宋体"/>
          <w:kern w:val="0"/>
          <w:sz w:val="24"/>
          <w:highlight w:val="none"/>
          <w:lang w:val="en-US" w:eastAsia="zh-CN"/>
        </w:rPr>
        <w:t>检测</w:t>
      </w:r>
      <w:r>
        <w:rPr>
          <w:rFonts w:hint="eastAsia" w:ascii="宋体" w:hAnsi="宋体" w:cs="宋体"/>
          <w:kern w:val="0"/>
          <w:sz w:val="24"/>
          <w:highlight w:val="none"/>
          <w:lang w:eastAsia="zh-CN"/>
        </w:rPr>
        <w:t>报告、鉴定证书；</w:t>
      </w:r>
    </w:p>
    <w:p>
      <w:pPr>
        <w:widowControl/>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lang w:val="en-US" w:eastAsia="zh-CN"/>
        </w:rPr>
        <w:t>7</w:t>
      </w:r>
      <w:r>
        <w:rPr>
          <w:rFonts w:ascii="宋体" w:hAnsi="宋体" w:cs="宋体"/>
          <w:kern w:val="0"/>
          <w:sz w:val="24"/>
          <w:highlight w:val="none"/>
        </w:rPr>
        <w:t>)</w:t>
      </w:r>
      <w:r>
        <w:rPr>
          <w:rFonts w:hint="eastAsia" w:ascii="宋体" w:hAnsi="宋体" w:cs="宋体"/>
          <w:kern w:val="0"/>
          <w:sz w:val="24"/>
          <w:highlight w:val="none"/>
        </w:rPr>
        <w:t>技术规格偏离表（附件五）。</w:t>
      </w:r>
      <w:r>
        <w:rPr>
          <w:rFonts w:ascii="宋体" w:hAnsi="宋体" w:cs="宋体"/>
          <w:kern w:val="0"/>
          <w:sz w:val="24"/>
          <w:highlight w:val="none"/>
        </w:rPr>
        <w:t xml:space="preserve"> </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9.5  </w:t>
      </w:r>
      <w:r>
        <w:rPr>
          <w:rFonts w:hint="eastAsia" w:ascii="宋体" w:hAnsi="宋体" w:cs="宋体"/>
          <w:kern w:val="0"/>
          <w:sz w:val="24"/>
          <w:highlight w:val="none"/>
        </w:rPr>
        <w:t>商务文件</w:t>
      </w:r>
    </w:p>
    <w:p>
      <w:pPr>
        <w:widowControl/>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lang w:val="en-US" w:eastAsia="zh-CN"/>
        </w:rPr>
        <w:t>1</w:t>
      </w:r>
      <w:r>
        <w:rPr>
          <w:rFonts w:ascii="宋体" w:hAnsi="宋体" w:cs="宋体"/>
          <w:kern w:val="0"/>
          <w:sz w:val="24"/>
          <w:highlight w:val="none"/>
        </w:rPr>
        <w:t xml:space="preserve">) </w:t>
      </w:r>
      <w:r>
        <w:rPr>
          <w:rFonts w:hint="eastAsia" w:ascii="宋体" w:hAnsi="宋体" w:cs="宋体"/>
          <w:kern w:val="0"/>
          <w:sz w:val="24"/>
          <w:highlight w:val="none"/>
        </w:rPr>
        <w:t>售后服务条款；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对货物负责维修、维护；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提供及时、迅速、优质服务的承诺，迅速快捷地提供货物的备品备件，保证采购人能够及时买到货物所需的备品备件和易损件；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提供中标货物齐全的资料（进口货物必须包括中文和英文的使用说明、安装手册、维修手册、专用工具和相应质检手续证明文件）；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供应商对提供的所有货物，明确质量保证期。质量保证期内，除人为因素损坏外，全部免费维修；；</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e </w:t>
      </w:r>
      <w:r>
        <w:rPr>
          <w:rFonts w:hint="eastAsia" w:ascii="宋体" w:hAnsi="宋体" w:cs="宋体"/>
          <w:kern w:val="0"/>
          <w:sz w:val="24"/>
          <w:highlight w:val="none"/>
        </w:rPr>
        <w:t>质量保证期以后的维修、维护内容及服务方式、范围和收费等情况；</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f  </w:t>
      </w:r>
      <w:r>
        <w:rPr>
          <w:rFonts w:hint="eastAsia" w:ascii="宋体" w:hAnsi="宋体" w:cs="宋体"/>
          <w:kern w:val="0"/>
          <w:sz w:val="24"/>
          <w:highlight w:val="none"/>
        </w:rPr>
        <w:t>质保期内及质保期外维护保修方案；</w:t>
      </w:r>
    </w:p>
    <w:p>
      <w:pPr>
        <w:widowControl/>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lang w:val="en-US" w:eastAsia="zh-CN"/>
        </w:rPr>
        <w:t>2</w:t>
      </w:r>
      <w:r>
        <w:rPr>
          <w:rFonts w:ascii="宋体" w:hAnsi="宋体" w:cs="宋体"/>
          <w:kern w:val="0"/>
          <w:sz w:val="24"/>
          <w:highlight w:val="none"/>
        </w:rPr>
        <w:t xml:space="preserve">)  </w:t>
      </w:r>
      <w:r>
        <w:rPr>
          <w:rFonts w:hint="eastAsia" w:ascii="宋体" w:hAnsi="宋体" w:cs="宋体"/>
          <w:kern w:val="0"/>
          <w:sz w:val="24"/>
          <w:highlight w:val="none"/>
        </w:rPr>
        <w:t>商务条款偏离表（附件六）</w:t>
      </w:r>
    </w:p>
    <w:p>
      <w:pPr>
        <w:widowControl/>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lang w:val="en-US" w:eastAsia="zh-CN"/>
        </w:rPr>
        <w:t>3</w:t>
      </w:r>
      <w:r>
        <w:rPr>
          <w:rFonts w:ascii="宋体" w:hAnsi="宋体" w:cs="宋体"/>
          <w:kern w:val="0"/>
          <w:sz w:val="24"/>
          <w:highlight w:val="none"/>
        </w:rPr>
        <w:t xml:space="preserve">)  </w:t>
      </w:r>
      <w:r>
        <w:rPr>
          <w:rFonts w:hint="eastAsia" w:ascii="宋体" w:hAnsi="宋体" w:cs="宋体"/>
          <w:kern w:val="0"/>
          <w:sz w:val="24"/>
          <w:highlight w:val="none"/>
        </w:rPr>
        <w:t>其他优惠条件。</w:t>
      </w:r>
    </w:p>
    <w:p>
      <w:pPr>
        <w:widowControl/>
        <w:spacing w:line="360" w:lineRule="auto"/>
        <w:ind w:firstLine="482" w:firstLineChars="200"/>
        <w:jc w:val="left"/>
        <w:rPr>
          <w:rFonts w:ascii="宋体" w:cs="宋体"/>
          <w:b/>
          <w:kern w:val="0"/>
          <w:sz w:val="24"/>
          <w:highlight w:val="none"/>
        </w:rPr>
      </w:pPr>
      <w:r>
        <w:rPr>
          <w:rFonts w:ascii="宋体" w:hAnsi="宋体" w:cs="宋体"/>
          <w:b/>
          <w:kern w:val="0"/>
          <w:sz w:val="24"/>
          <w:highlight w:val="none"/>
        </w:rPr>
        <w:t>9.</w:t>
      </w:r>
      <w:r>
        <w:rPr>
          <w:rFonts w:hint="eastAsia" w:ascii="宋体" w:hAnsi="宋体" w:cs="宋体"/>
          <w:b/>
          <w:kern w:val="0"/>
          <w:sz w:val="24"/>
          <w:highlight w:val="none"/>
        </w:rPr>
        <w:t>磋商报价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9.1 </w:t>
      </w:r>
      <w:r>
        <w:rPr>
          <w:rFonts w:hint="eastAsia" w:ascii="宋体" w:hAnsi="宋体" w:cs="宋体"/>
          <w:kern w:val="0"/>
          <w:sz w:val="24"/>
          <w:highlight w:val="none"/>
        </w:rPr>
        <w:t>本次竞争性磋商采购供应商将有再次报价的机会，每次报价均应书面确认。　　　</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9.2 </w:t>
      </w:r>
      <w:r>
        <w:rPr>
          <w:rFonts w:hint="eastAsia" w:ascii="宋体" w:hAnsi="宋体" w:cs="宋体"/>
          <w:kern w:val="0"/>
          <w:sz w:val="24"/>
          <w:highlight w:val="none"/>
        </w:rPr>
        <w:t>报价应报出运至项目现场并安装调试后价格，含主件、标准附件、备品备件、专用工具等设备的设备费、内陆运输费、相关保险费、伴随服务费、装卸费、保管费、安装调试费、检测费、培训费等所有税、费（以上相关费用在报价明细表中单列，包含在本次报价中）。报价应包括达到采购人使用要求的全部费用。供应商应充分考虑采购条件，不得在成交后无故增加任何费用</w:t>
      </w:r>
      <w:r>
        <w:rPr>
          <w:rFonts w:hint="eastAsia" w:ascii="宋体" w:hAnsi="宋体" w:cs="宋体"/>
          <w:kern w:val="0"/>
          <w:sz w:val="24"/>
          <w:highlight w:val="none"/>
          <w:lang w:eastAsia="zh-CN"/>
        </w:rPr>
        <w:t>，</w:t>
      </w:r>
      <w:r>
        <w:rPr>
          <w:rFonts w:hint="eastAsia" w:ascii="宋体" w:hAnsi="宋体" w:cs="宋体"/>
          <w:kern w:val="0"/>
          <w:sz w:val="24"/>
          <w:highlight w:val="none"/>
        </w:rPr>
        <w:t>否则甲方有权拒绝。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9.3</w:t>
      </w:r>
      <w:r>
        <w:rPr>
          <w:rFonts w:hint="eastAsia" w:ascii="宋体" w:hAnsi="宋体" w:cs="宋体"/>
          <w:kern w:val="0"/>
          <w:sz w:val="24"/>
          <w:highlight w:val="none"/>
        </w:rPr>
        <w:t>供应商报价应按要求填写报价一览表。供应商对报价若有说明应在报价一览表备注处注明。不接受可选择的报价方案和价格。任何有选择的或可调整的报价方案和价格将被视为非响应性报价而被拒绝。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9.4</w:t>
      </w:r>
      <w:r>
        <w:rPr>
          <w:rFonts w:hint="eastAsia" w:ascii="宋体" w:hAnsi="宋体" w:cs="宋体"/>
          <w:kern w:val="0"/>
          <w:sz w:val="24"/>
          <w:highlight w:val="none"/>
        </w:rPr>
        <w:t>最后磋商报价在合同执行过程中是固定不变的，不得以任何理由予以变更。</w:t>
      </w:r>
    </w:p>
    <w:p>
      <w:pPr>
        <w:widowControl/>
        <w:spacing w:line="360" w:lineRule="auto"/>
        <w:ind w:firstLine="480" w:firstLineChars="200"/>
        <w:jc w:val="left"/>
        <w:rPr>
          <w:rFonts w:hint="eastAsia" w:ascii="宋体" w:hAnsi="宋体" w:cs="宋体"/>
          <w:kern w:val="0"/>
          <w:sz w:val="24"/>
          <w:highlight w:val="none"/>
        </w:rPr>
      </w:pPr>
      <w:r>
        <w:rPr>
          <w:rFonts w:ascii="宋体" w:hAnsi="宋体" w:cs="宋体"/>
          <w:kern w:val="0"/>
          <w:sz w:val="24"/>
          <w:highlight w:val="none"/>
        </w:rPr>
        <w:t>9.5</w:t>
      </w:r>
      <w:r>
        <w:rPr>
          <w:rFonts w:hint="eastAsia" w:ascii="宋体" w:hAnsi="宋体" w:cs="宋体"/>
          <w:kern w:val="0"/>
          <w:sz w:val="24"/>
          <w:highlight w:val="none"/>
        </w:rPr>
        <w:t>供应商免费提供的项目，应先填写该项目的实际价格，并注明免费。此项不计入总报价。</w:t>
      </w:r>
    </w:p>
    <w:p>
      <w:pPr>
        <w:widowControl/>
        <w:spacing w:line="360" w:lineRule="auto"/>
        <w:ind w:firstLine="480" w:firstLineChars="200"/>
        <w:jc w:val="left"/>
        <w:rPr>
          <w:rFonts w:hint="eastAsia" w:ascii="宋体" w:hAnsi="宋体" w:cs="宋体"/>
          <w:kern w:val="0"/>
          <w:sz w:val="24"/>
          <w:highlight w:val="none"/>
        </w:rPr>
      </w:pPr>
      <w:r>
        <w:rPr>
          <w:rFonts w:ascii="宋体" w:hAnsi="宋体" w:cs="宋体"/>
          <w:kern w:val="0"/>
          <w:sz w:val="24"/>
          <w:highlight w:val="none"/>
        </w:rPr>
        <w:t>9.6</w:t>
      </w:r>
      <w:r>
        <w:rPr>
          <w:rFonts w:hint="eastAsia" w:ascii="宋体" w:hAnsi="宋体" w:cs="宋体"/>
          <w:kern w:val="0"/>
          <w:sz w:val="24"/>
          <w:highlight w:val="none"/>
          <w:lang w:eastAsia="zh-CN"/>
        </w:rPr>
        <w:t>供应商</w:t>
      </w:r>
      <w:r>
        <w:rPr>
          <w:rFonts w:hint="eastAsia" w:ascii="宋体" w:hAnsi="宋体" w:cs="宋体"/>
          <w:kern w:val="0"/>
          <w:sz w:val="24"/>
          <w:highlight w:val="none"/>
        </w:rPr>
        <w:t>应报出所能承受得了的最低的合理价格，如明显低于成本价需要提供证明。</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9.7</w:t>
      </w:r>
      <w:r>
        <w:rPr>
          <w:rFonts w:hint="eastAsia" w:ascii="宋体" w:hAnsi="宋体" w:cs="宋体"/>
          <w:kern w:val="0"/>
          <w:sz w:val="24"/>
          <w:highlight w:val="none"/>
        </w:rPr>
        <w:t>供应商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9.8</w:t>
      </w:r>
      <w:r>
        <w:rPr>
          <w:rFonts w:hint="eastAsia" w:ascii="宋体" w:hAnsi="宋体" w:cs="宋体"/>
          <w:kern w:val="0"/>
          <w:sz w:val="24"/>
          <w:highlight w:val="none"/>
        </w:rPr>
        <w:t>供应商在响应文件上详细写明产品的系列、名称和型号、产品性能、各项技术指标、品牌产地、质量等级、供货时间、售后服务、出厂合格证、备案证、出厂检测报告等，以及达不到检测和质量要求应负的责任。</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9.9</w:t>
      </w:r>
      <w:r>
        <w:rPr>
          <w:rFonts w:hint="eastAsia" w:ascii="宋体" w:hAnsi="宋体" w:cs="宋体"/>
          <w:kern w:val="0"/>
          <w:sz w:val="24"/>
          <w:highlight w:val="none"/>
        </w:rPr>
        <w:t>响应文件应对产品质量、供货时间、售后服务做出明确的承诺，以及达不到承诺的相关条款要求应负的责任和义务。</w:t>
      </w:r>
    </w:p>
    <w:p>
      <w:pPr>
        <w:widowControl/>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lang w:val="en-US" w:eastAsia="zh-CN"/>
        </w:rPr>
        <w:t>9.10</w:t>
      </w:r>
      <w:r>
        <w:rPr>
          <w:rFonts w:hint="eastAsia" w:ascii="宋体" w:hAnsi="宋体" w:cs="宋体"/>
          <w:kern w:val="0"/>
          <w:sz w:val="24"/>
          <w:highlight w:val="none"/>
        </w:rPr>
        <w:t>对于进口货物，供应商应充分理解采购要求，并确保设备合法进口。综合单价为运至采购人项目的现场后安装调试后的价格，应含到岸价，关税、进口环节增值税、所有清关费用及国内运保费、装卸费、保管费、安装调试费、检测验收费、培训及其他附带服务的费用、利润、税金等一切费用。本次磋商由供应商办理相关进关手续并承担相关费用，否则采购人有权取消其成交资格。进口货物在交货时要向采购人出具进口货物报关单、税单、原产地证明、进字号注册证等进口证明材料。</w:t>
      </w:r>
    </w:p>
    <w:p>
      <w:pPr>
        <w:widowControl/>
        <w:spacing w:line="360" w:lineRule="auto"/>
        <w:ind w:firstLine="482" w:firstLineChars="200"/>
        <w:jc w:val="left"/>
        <w:rPr>
          <w:rFonts w:ascii="宋体" w:cs="宋体"/>
          <w:b/>
          <w:kern w:val="0"/>
          <w:sz w:val="24"/>
          <w:highlight w:val="none"/>
        </w:rPr>
      </w:pPr>
      <w:r>
        <w:rPr>
          <w:rFonts w:ascii="宋体" w:hAnsi="宋体" w:cs="宋体"/>
          <w:b/>
          <w:kern w:val="0"/>
          <w:sz w:val="24"/>
          <w:highlight w:val="none"/>
        </w:rPr>
        <w:t>10.</w:t>
      </w:r>
      <w:r>
        <w:rPr>
          <w:rFonts w:hint="eastAsia" w:ascii="宋体" w:hAnsi="宋体" w:cs="宋体"/>
          <w:b/>
          <w:kern w:val="0"/>
          <w:sz w:val="24"/>
          <w:highlight w:val="none"/>
        </w:rPr>
        <w:t>响应文件装订与编写</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10.1</w:t>
      </w:r>
      <w:r>
        <w:rPr>
          <w:rFonts w:ascii="宋体" w:hAnsi="宋体" w:cs="宋体"/>
          <w:kern w:val="0"/>
          <w:sz w:val="24"/>
          <w:highlight w:val="none"/>
        </w:rPr>
        <w:tab/>
      </w:r>
      <w:r>
        <w:rPr>
          <w:rFonts w:hint="eastAsia" w:ascii="宋体" w:hAnsi="宋体" w:cs="宋体"/>
          <w:kern w:val="0"/>
          <w:sz w:val="24"/>
          <w:highlight w:val="none"/>
        </w:rPr>
        <w:t>供应商必须将响应文件中的有关文件按上述顺序排列装订成册（胶装），并在首页编制“响应文件目录”，响应文件编写连续页码。</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10.2</w:t>
      </w:r>
      <w:r>
        <w:rPr>
          <w:rFonts w:ascii="宋体" w:hAnsi="宋体" w:cs="宋体"/>
          <w:kern w:val="0"/>
          <w:sz w:val="24"/>
          <w:highlight w:val="none"/>
        </w:rPr>
        <w:tab/>
      </w:r>
      <w:r>
        <w:rPr>
          <w:rFonts w:hint="eastAsia" w:ascii="宋体" w:hAnsi="宋体" w:cs="宋体"/>
          <w:kern w:val="0"/>
          <w:sz w:val="24"/>
          <w:highlight w:val="none"/>
        </w:rPr>
        <w:t>供应商应准备三份响应文件，一份正本和两份副本响应文件以及单独密封的报价一览表各一份。在每一份响应文件上要注明“正本”或“副本”字样。响应文件每册不超过</w:t>
      </w:r>
      <w:r>
        <w:rPr>
          <w:rFonts w:ascii="宋体" w:hAnsi="宋体" w:cs="宋体"/>
          <w:kern w:val="0"/>
          <w:sz w:val="24"/>
          <w:highlight w:val="none"/>
        </w:rPr>
        <w:t>4.5</w:t>
      </w:r>
      <w:r>
        <w:rPr>
          <w:rFonts w:hint="eastAsia" w:ascii="宋体" w:hAnsi="宋体" w:cs="宋体"/>
          <w:kern w:val="0"/>
          <w:sz w:val="24"/>
          <w:highlight w:val="none"/>
        </w:rPr>
        <w:t>厘米。供应商应保证响应文件正本与副本的内容严格一致，如果正本与副本不一致，以正本为准；如果单独密封的报价一览表与响应文件正本有差异，以报价一览表为准；响应文件中的报价一览表与响应文件中明细表内容不一致的，以报价一览表为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10.3 </w:t>
      </w:r>
      <w:r>
        <w:rPr>
          <w:rFonts w:hint="eastAsia" w:ascii="宋体" w:hAnsi="宋体" w:cs="宋体"/>
          <w:kern w:val="0"/>
          <w:sz w:val="24"/>
          <w:highlight w:val="none"/>
        </w:rPr>
        <w:t>响应文件正本和副本用</w:t>
      </w:r>
      <w:r>
        <w:rPr>
          <w:rFonts w:ascii="宋体" w:hAnsi="宋体" w:cs="宋体"/>
          <w:kern w:val="0"/>
          <w:sz w:val="24"/>
          <w:highlight w:val="none"/>
        </w:rPr>
        <w:t>A4</w:t>
      </w:r>
      <w:r>
        <w:rPr>
          <w:rFonts w:hint="eastAsia" w:ascii="宋体" w:hAnsi="宋体" w:cs="宋体"/>
          <w:kern w:val="0"/>
          <w:sz w:val="24"/>
          <w:highlight w:val="none"/>
        </w:rPr>
        <w:t>幅面的纸张打印。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10.4 </w:t>
      </w:r>
      <w:r>
        <w:rPr>
          <w:rFonts w:hint="eastAsia" w:ascii="宋体" w:hAnsi="宋体" w:cs="宋体"/>
          <w:kern w:val="0"/>
          <w:sz w:val="24"/>
          <w:highlight w:val="none"/>
        </w:rPr>
        <w:t>响应文件应严格按照响应文件的要求提交，并按规定的统一格式逐项填写，不准有空项；无相应内容可填的项应填写“无”、“没有相应指标”等明确的回答文字。响应文件未按规定提交或留有空项，将被视为不完整响应的响应文件，其报价有可能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10.5 </w:t>
      </w:r>
      <w:r>
        <w:rPr>
          <w:rFonts w:hint="eastAsia" w:ascii="宋体" w:hAnsi="宋体" w:cs="宋体"/>
          <w:kern w:val="0"/>
          <w:sz w:val="24"/>
          <w:highlight w:val="none"/>
        </w:rPr>
        <w:t>因响应文件字迹潦草、模糊或表达不清所引起的不利后果由供应商承担。</w:t>
      </w:r>
    </w:p>
    <w:p>
      <w:pPr>
        <w:widowControl/>
        <w:spacing w:line="360" w:lineRule="auto"/>
        <w:ind w:firstLine="482" w:firstLineChars="200"/>
        <w:jc w:val="left"/>
        <w:rPr>
          <w:rFonts w:ascii="宋体" w:cs="宋体"/>
          <w:b/>
          <w:kern w:val="0"/>
          <w:sz w:val="24"/>
          <w:highlight w:val="none"/>
        </w:rPr>
      </w:pPr>
      <w:r>
        <w:rPr>
          <w:rFonts w:ascii="宋体" w:hAnsi="宋体" w:cs="宋体"/>
          <w:b/>
          <w:kern w:val="0"/>
          <w:sz w:val="24"/>
          <w:highlight w:val="none"/>
        </w:rPr>
        <w:t xml:space="preserve">11. </w:t>
      </w:r>
      <w:r>
        <w:rPr>
          <w:rFonts w:hint="eastAsia" w:ascii="宋体" w:hAnsi="宋体" w:cs="宋体"/>
          <w:b/>
          <w:kern w:val="0"/>
          <w:sz w:val="24"/>
          <w:highlight w:val="none"/>
        </w:rPr>
        <w:t>响应文件签署</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11.1</w:t>
      </w:r>
      <w:r>
        <w:rPr>
          <w:rFonts w:ascii="宋体" w:hAnsi="宋体" w:cs="宋体"/>
          <w:kern w:val="0"/>
          <w:sz w:val="24"/>
          <w:highlight w:val="none"/>
        </w:rPr>
        <w:tab/>
      </w:r>
      <w:r>
        <w:rPr>
          <w:rFonts w:hint="eastAsia" w:ascii="宋体" w:hAnsi="宋体" w:cs="宋体"/>
          <w:kern w:val="0"/>
          <w:sz w:val="24"/>
          <w:highlight w:val="none"/>
        </w:rPr>
        <w:t>法定代表人或授权代理人必须按竞争性磋商文件的规定在响应文件（正本、副本及各附件）、报价一览表上签字并加盖供应商单位公章，不得使用其它形式如带有“专用章”等字样的印章，否则报价将被视为无效。如供应商对响应文件进行了修改，则须由供应商的法定代表人或授权代理人在修改的每一页上签字或加盖公章。</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11.2 </w:t>
      </w:r>
      <w:r>
        <w:rPr>
          <w:rFonts w:hint="eastAsia" w:ascii="宋体" w:hAnsi="宋体" w:cs="宋体"/>
          <w:kern w:val="0"/>
          <w:sz w:val="24"/>
          <w:highlight w:val="none"/>
        </w:rPr>
        <w:t>任何行间插字、涂改和增删，必须由供应商的法定代表人或授权代理人签字或加盖公章后才有效。</w:t>
      </w:r>
    </w:p>
    <w:p>
      <w:pPr>
        <w:widowControl/>
        <w:spacing w:line="360" w:lineRule="auto"/>
        <w:ind w:firstLine="482" w:firstLineChars="200"/>
        <w:jc w:val="left"/>
        <w:rPr>
          <w:rFonts w:ascii="宋体" w:cs="宋体"/>
          <w:b/>
          <w:kern w:val="0"/>
          <w:sz w:val="24"/>
          <w:highlight w:val="none"/>
        </w:rPr>
      </w:pPr>
      <w:r>
        <w:rPr>
          <w:rFonts w:ascii="宋体" w:hAnsi="宋体" w:cs="宋体"/>
          <w:b/>
          <w:kern w:val="0"/>
          <w:sz w:val="24"/>
          <w:highlight w:val="none"/>
        </w:rPr>
        <w:t xml:space="preserve">12. </w:t>
      </w:r>
      <w:r>
        <w:rPr>
          <w:rFonts w:hint="eastAsia" w:ascii="宋体" w:hAnsi="宋体" w:cs="宋体"/>
          <w:b/>
          <w:kern w:val="0"/>
          <w:sz w:val="24"/>
          <w:highlight w:val="none"/>
        </w:rPr>
        <w:t>响应文件密封和标记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12.1 </w:t>
      </w:r>
      <w:r>
        <w:rPr>
          <w:rFonts w:hint="eastAsia" w:ascii="宋体" w:hAnsi="宋体" w:cs="宋体"/>
          <w:kern w:val="0"/>
          <w:sz w:val="24"/>
          <w:highlight w:val="none"/>
        </w:rPr>
        <w:t>供应商应将响应文件正副本、电子文档密封，并在封面明显处注明以下内容（密封件格式见附件十二）：</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项目编号、项目名称。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供应商名称（加盖公章）、地址、邮编、电话、传真。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12.2 </w:t>
      </w:r>
      <w:r>
        <w:rPr>
          <w:rFonts w:hint="eastAsia" w:ascii="宋体" w:hAnsi="宋体" w:cs="宋体"/>
          <w:kern w:val="0"/>
          <w:sz w:val="24"/>
          <w:highlight w:val="none"/>
        </w:rPr>
        <w:t>为方便公开唱价，请供应商将一份“报价一览表”单独密封，并注明报价一览表，项目名称、项目编号、供应商名称（加盖公章），与响应文件同时提交。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12.3</w:t>
      </w:r>
      <w:r>
        <w:rPr>
          <w:rFonts w:ascii="宋体" w:hAnsi="宋体" w:cs="宋体"/>
          <w:kern w:val="0"/>
          <w:sz w:val="24"/>
          <w:highlight w:val="none"/>
        </w:rPr>
        <w:tab/>
      </w:r>
      <w:r>
        <w:rPr>
          <w:rFonts w:hint="eastAsia" w:ascii="宋体" w:hAnsi="宋体" w:cs="宋体"/>
          <w:kern w:val="0"/>
          <w:sz w:val="24"/>
          <w:highlight w:val="none"/>
        </w:rPr>
        <w:t>每一密封文件在封口处加盖供应商公章并注明“于</w:t>
      </w:r>
      <w:r>
        <w:rPr>
          <w:rFonts w:hint="eastAsia" w:ascii="宋体" w:hAnsi="宋体" w:cs="宋体"/>
          <w:kern w:val="0"/>
          <w:sz w:val="24"/>
          <w:highlight w:val="none"/>
          <w:lang w:val="en-US" w:eastAsia="zh-CN"/>
        </w:rPr>
        <w:t>xxxx</w:t>
      </w:r>
      <w:r>
        <w:rPr>
          <w:rFonts w:hint="eastAsia" w:ascii="宋体" w:hAnsi="宋体" w:cs="宋体"/>
          <w:kern w:val="0"/>
          <w:sz w:val="24"/>
          <w:highlight w:val="none"/>
        </w:rPr>
        <w:t>年</w:t>
      </w:r>
      <w:r>
        <w:rPr>
          <w:rFonts w:hint="eastAsia" w:ascii="宋体" w:hAnsi="宋体" w:cs="宋体"/>
          <w:kern w:val="0"/>
          <w:sz w:val="24"/>
          <w:highlight w:val="none"/>
          <w:lang w:val="en-US" w:eastAsia="zh-CN"/>
        </w:rPr>
        <w:t>x</w:t>
      </w:r>
      <w:r>
        <w:rPr>
          <w:rFonts w:hint="eastAsia" w:ascii="宋体" w:hAnsi="宋体" w:cs="宋体"/>
          <w:kern w:val="0"/>
          <w:sz w:val="24"/>
          <w:highlight w:val="none"/>
        </w:rPr>
        <w:t>月</w:t>
      </w:r>
      <w:r>
        <w:rPr>
          <w:rFonts w:hint="eastAsia" w:ascii="宋体" w:hAnsi="宋体" w:cs="宋体"/>
          <w:kern w:val="0"/>
          <w:sz w:val="24"/>
          <w:highlight w:val="none"/>
          <w:lang w:val="en-US" w:eastAsia="zh-CN"/>
        </w:rPr>
        <w:t>xx</w:t>
      </w:r>
      <w:r>
        <w:rPr>
          <w:rFonts w:hint="eastAsia" w:ascii="宋体" w:hAnsi="宋体" w:cs="宋体"/>
          <w:kern w:val="0"/>
          <w:sz w:val="24"/>
          <w:highlight w:val="none"/>
        </w:rPr>
        <w:t>日</w:t>
      </w:r>
      <w:r>
        <w:rPr>
          <w:rFonts w:hint="eastAsia" w:ascii="宋体" w:hAnsi="宋体" w:cs="宋体"/>
          <w:kern w:val="0"/>
          <w:sz w:val="24"/>
          <w:highlight w:val="none"/>
          <w:lang w:val="en-US" w:eastAsia="zh-CN"/>
        </w:rPr>
        <w:t>xx</w:t>
      </w:r>
      <w:r>
        <w:rPr>
          <w:rFonts w:hint="eastAsia" w:ascii="宋体" w:hAnsi="宋体" w:cs="宋体"/>
          <w:kern w:val="0"/>
          <w:sz w:val="24"/>
          <w:highlight w:val="none"/>
        </w:rPr>
        <w:t>：</w:t>
      </w:r>
      <w:r>
        <w:rPr>
          <w:rFonts w:hint="eastAsia" w:ascii="宋体" w:cs="宋体"/>
          <w:kern w:val="0"/>
          <w:sz w:val="24"/>
          <w:highlight w:val="none"/>
          <w:lang w:val="en-US" w:eastAsia="zh-CN"/>
        </w:rPr>
        <w:t>xx</w:t>
      </w:r>
      <w:r>
        <w:rPr>
          <w:rFonts w:hint="eastAsia" w:ascii="宋体" w:hAnsi="宋体" w:cs="宋体"/>
          <w:kern w:val="0"/>
          <w:sz w:val="24"/>
          <w:highlight w:val="none"/>
        </w:rPr>
        <w:t>时之前不准启封”字样。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12.4 </w:t>
      </w:r>
      <w:r>
        <w:rPr>
          <w:rFonts w:hint="eastAsia" w:ascii="宋体" w:hAnsi="宋体" w:cs="宋体"/>
          <w:kern w:val="0"/>
          <w:sz w:val="24"/>
          <w:highlight w:val="none"/>
        </w:rPr>
        <w:t>如果供应商未按上述要求对响应文件密封及加写标记，采购人对供应商提前启封概不负责。对由此造成提前开封的响应文件，采购人有权予以拒绝，并退回供应商。</w:t>
      </w:r>
    </w:p>
    <w:p>
      <w:pPr>
        <w:widowControl/>
        <w:spacing w:line="360" w:lineRule="auto"/>
        <w:ind w:firstLine="482" w:firstLineChars="200"/>
        <w:jc w:val="left"/>
        <w:rPr>
          <w:rFonts w:ascii="宋体" w:cs="宋体"/>
          <w:b/>
          <w:color w:val="000000"/>
          <w:kern w:val="0"/>
          <w:sz w:val="24"/>
          <w:highlight w:val="none"/>
        </w:rPr>
      </w:pPr>
      <w:r>
        <w:rPr>
          <w:rFonts w:ascii="宋体" w:hAnsi="宋体" w:cs="宋体"/>
          <w:b/>
          <w:color w:val="000000"/>
          <w:kern w:val="0"/>
          <w:sz w:val="24"/>
          <w:highlight w:val="none"/>
        </w:rPr>
        <w:t xml:space="preserve">13. </w:t>
      </w:r>
      <w:r>
        <w:rPr>
          <w:rFonts w:hint="eastAsia" w:ascii="宋体" w:hAnsi="宋体" w:cs="宋体"/>
          <w:b/>
          <w:color w:val="000000"/>
          <w:kern w:val="0"/>
          <w:sz w:val="24"/>
          <w:highlight w:val="none"/>
        </w:rPr>
        <w:t>磋商保证金</w:t>
      </w:r>
    </w:p>
    <w:p>
      <w:pPr>
        <w:widowControl/>
        <w:spacing w:line="360" w:lineRule="auto"/>
        <w:ind w:left="1079" w:leftChars="228" w:hanging="600" w:hangingChars="250"/>
        <w:jc w:val="left"/>
        <w:rPr>
          <w:rFonts w:ascii="宋体" w:cs="宋体"/>
          <w:b/>
          <w:bCs/>
          <w:sz w:val="24"/>
          <w:szCs w:val="22"/>
          <w:highlight w:val="none"/>
        </w:rPr>
      </w:pPr>
      <w:r>
        <w:rPr>
          <w:rFonts w:ascii="宋体" w:hAnsi="宋体" w:cs="宋体"/>
          <w:kern w:val="0"/>
          <w:sz w:val="24"/>
          <w:highlight w:val="none"/>
        </w:rPr>
        <w:t xml:space="preserve">13.1 </w:t>
      </w:r>
      <w:r>
        <w:rPr>
          <w:rFonts w:hint="eastAsia" w:ascii="宋体" w:hAnsi="宋体" w:cs="宋体"/>
          <w:kern w:val="0"/>
          <w:sz w:val="24"/>
          <w:highlight w:val="none"/>
        </w:rPr>
        <w:t>磋商保证金是响应文件的一个组成部分，</w:t>
      </w:r>
      <w:r>
        <w:rPr>
          <w:rFonts w:hint="eastAsia" w:ascii="宋体" w:hAnsi="宋体" w:cs="宋体"/>
          <w:b/>
          <w:kern w:val="0"/>
          <w:sz w:val="24"/>
          <w:highlight w:val="none"/>
        </w:rPr>
        <w:t>本项目的磋商保证金为</w:t>
      </w:r>
      <w:r>
        <w:rPr>
          <w:rFonts w:hint="eastAsia" w:ascii="宋体" w:hAnsi="宋体" w:cs="宋体"/>
          <w:b/>
          <w:kern w:val="0"/>
          <w:sz w:val="24"/>
          <w:highlight w:val="none"/>
          <w:lang w:eastAsia="zh-CN"/>
        </w:rPr>
        <w:t>人民币</w:t>
      </w:r>
      <w:r>
        <w:rPr>
          <w:rFonts w:hint="eastAsia" w:ascii="宋体" w:hAnsi="宋体" w:cs="宋体"/>
          <w:b/>
          <w:kern w:val="0"/>
          <w:sz w:val="24"/>
          <w:highlight w:val="none"/>
          <w:lang w:val="en-US" w:eastAsia="zh-CN"/>
        </w:rPr>
        <w:t>3000元，大写叁仟元，</w:t>
      </w:r>
      <w:r>
        <w:rPr>
          <w:rFonts w:hint="eastAsia" w:ascii="宋体" w:hAnsi="宋体" w:cs="宋体"/>
          <w:b/>
          <w:bCs/>
          <w:sz w:val="24"/>
          <w:szCs w:val="22"/>
          <w:highlight w:val="none"/>
        </w:rPr>
        <w:t>电汇时需备注：山大二院</w:t>
      </w:r>
      <w:r>
        <w:rPr>
          <w:rFonts w:ascii="宋体" w:cs="宋体"/>
          <w:b/>
          <w:bCs/>
          <w:sz w:val="24"/>
          <w:szCs w:val="22"/>
          <w:highlight w:val="none"/>
        </w:rPr>
        <w:t>--</w:t>
      </w:r>
      <w:r>
        <w:rPr>
          <w:rFonts w:hint="eastAsia" w:ascii="宋体" w:hAnsi="宋体" w:cs="宋体"/>
          <w:b/>
          <w:bCs/>
          <w:sz w:val="24"/>
          <w:szCs w:val="22"/>
          <w:highlight w:val="none"/>
        </w:rPr>
        <w:t>招标八部）</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13.2 </w:t>
      </w:r>
      <w:r>
        <w:rPr>
          <w:rFonts w:hint="eastAsia" w:ascii="宋体" w:hAnsi="宋体" w:cs="宋体"/>
          <w:kern w:val="0"/>
          <w:sz w:val="24"/>
          <w:highlight w:val="none"/>
        </w:rPr>
        <w:t>磋商保证金必须采用电汇或网银形式在</w:t>
      </w:r>
      <w:r>
        <w:rPr>
          <w:rFonts w:ascii="宋体" w:hAnsi="宋体" w:cs="宋体"/>
          <w:kern w:val="0"/>
          <w:sz w:val="24"/>
          <w:highlight w:val="none"/>
        </w:rPr>
        <w:t>20</w:t>
      </w:r>
      <w:r>
        <w:rPr>
          <w:rFonts w:hint="eastAsia" w:ascii="宋体" w:hAnsi="宋体" w:cs="宋体"/>
          <w:kern w:val="0"/>
          <w:sz w:val="24"/>
          <w:highlight w:val="none"/>
          <w:lang w:val="en-US" w:eastAsia="zh-CN"/>
        </w:rPr>
        <w:t>20</w:t>
      </w:r>
      <w:r>
        <w:rPr>
          <w:rFonts w:hint="eastAsia" w:ascii="宋体" w:hAnsi="宋体" w:cs="宋体"/>
          <w:kern w:val="0"/>
          <w:sz w:val="24"/>
          <w:highlight w:val="none"/>
        </w:rPr>
        <w:t>年</w:t>
      </w:r>
      <w:r>
        <w:rPr>
          <w:rFonts w:hint="eastAsia" w:ascii="宋体" w:hAnsi="宋体" w:cs="宋体"/>
          <w:kern w:val="0"/>
          <w:sz w:val="24"/>
          <w:highlight w:val="none"/>
          <w:lang w:val="en-US" w:eastAsia="zh-CN"/>
        </w:rPr>
        <w:t>4</w:t>
      </w:r>
      <w:r>
        <w:rPr>
          <w:rFonts w:hint="eastAsia" w:ascii="宋体" w:hAnsi="宋体" w:cs="宋体"/>
          <w:kern w:val="0"/>
          <w:sz w:val="24"/>
          <w:highlight w:val="none"/>
        </w:rPr>
        <w:t>月</w:t>
      </w:r>
      <w:r>
        <w:rPr>
          <w:rFonts w:hint="eastAsia" w:ascii="宋体" w:hAnsi="宋体" w:cs="宋体"/>
          <w:kern w:val="0"/>
          <w:sz w:val="24"/>
          <w:highlight w:val="none"/>
          <w:lang w:val="en-US" w:eastAsia="zh-CN"/>
        </w:rPr>
        <w:t>15</w:t>
      </w:r>
      <w:r>
        <w:rPr>
          <w:rFonts w:hint="eastAsia" w:ascii="宋体" w:hAnsi="宋体" w:cs="宋体"/>
          <w:kern w:val="0"/>
          <w:sz w:val="24"/>
          <w:highlight w:val="none"/>
        </w:rPr>
        <w:t>日</w:t>
      </w:r>
      <w:r>
        <w:rPr>
          <w:rFonts w:hint="eastAsia" w:ascii="宋体" w:hAnsi="宋体" w:cs="宋体"/>
          <w:kern w:val="0"/>
          <w:sz w:val="24"/>
          <w:highlight w:val="none"/>
          <w:lang w:val="en-US" w:eastAsia="zh-CN"/>
        </w:rPr>
        <w:t>9</w:t>
      </w:r>
      <w:r>
        <w:rPr>
          <w:rFonts w:hint="eastAsia" w:ascii="宋体" w:hAnsi="宋体" w:cs="宋体"/>
          <w:kern w:val="0"/>
          <w:sz w:val="24"/>
          <w:highlight w:val="none"/>
        </w:rPr>
        <w:t>：</w:t>
      </w:r>
      <w:r>
        <w:rPr>
          <w:rFonts w:ascii="宋体" w:cs="宋体"/>
          <w:kern w:val="0"/>
          <w:sz w:val="24"/>
          <w:highlight w:val="none"/>
        </w:rPr>
        <w:t>00</w:t>
      </w:r>
      <w:r>
        <w:rPr>
          <w:rFonts w:hint="eastAsia" w:ascii="宋体" w:hAnsi="宋体" w:cs="宋体"/>
          <w:kern w:val="0"/>
          <w:sz w:val="24"/>
          <w:highlight w:val="none"/>
        </w:rPr>
        <w:t>前汇至以下账户，以到账时间为准。</w:t>
      </w:r>
    </w:p>
    <w:p>
      <w:pPr>
        <w:spacing w:line="360" w:lineRule="auto"/>
        <w:ind w:firstLine="480" w:firstLineChars="200"/>
        <w:rPr>
          <w:rFonts w:ascii="宋体" w:cs="宋体"/>
          <w:color w:val="000000"/>
          <w:kern w:val="0"/>
          <w:sz w:val="24"/>
          <w:highlight w:val="none"/>
        </w:rPr>
      </w:pPr>
      <w:r>
        <w:rPr>
          <w:rFonts w:ascii="宋体" w:hAnsi="宋体" w:cs="宋体"/>
          <w:color w:val="000000"/>
          <w:kern w:val="0"/>
          <w:sz w:val="24"/>
          <w:highlight w:val="none"/>
        </w:rPr>
        <w:t>13.3</w:t>
      </w:r>
      <w:r>
        <w:rPr>
          <w:rFonts w:hint="eastAsia" w:ascii="宋体" w:hAnsi="宋体" w:cs="宋体"/>
          <w:color w:val="000000"/>
          <w:kern w:val="0"/>
          <w:sz w:val="24"/>
          <w:highlight w:val="none"/>
        </w:rPr>
        <w:t>开户单位名称：</w:t>
      </w:r>
      <w:r>
        <w:rPr>
          <w:rFonts w:hint="eastAsia" w:ascii="宋体" w:hAnsi="宋体" w:cs="宋体"/>
          <w:b/>
          <w:bCs/>
          <w:color w:val="000000"/>
          <w:kern w:val="0"/>
          <w:sz w:val="24"/>
          <w:highlight w:val="none"/>
        </w:rPr>
        <w:t>山东省鲁成招标有限公司</w:t>
      </w:r>
    </w:p>
    <w:p>
      <w:pPr>
        <w:widowControl/>
        <w:spacing w:line="360" w:lineRule="auto"/>
        <w:ind w:firstLine="420" w:firstLineChars="200"/>
        <w:jc w:val="left"/>
        <w:rPr>
          <w:rFonts w:ascii="宋体" w:cs="宋体"/>
          <w:kern w:val="0"/>
          <w:sz w:val="24"/>
          <w:highlight w:val="none"/>
        </w:rPr>
      </w:pPr>
      <w:r>
        <w:rPr>
          <w:rFonts w:ascii="宋体" w:hAnsi="宋体" w:cs="宋体"/>
          <w:color w:val="000000"/>
          <w:kern w:val="0"/>
          <w:highlight w:val="none"/>
        </w:rPr>
        <w:t xml:space="preserve">  </w:t>
      </w:r>
      <w:r>
        <w:rPr>
          <w:rFonts w:hint="eastAsia" w:ascii="宋体" w:hAnsi="宋体" w:cs="宋体"/>
          <w:kern w:val="0"/>
          <w:sz w:val="24"/>
          <w:highlight w:val="none"/>
        </w:rPr>
        <w:t>开户银行：中国农业银行济南分行</w:t>
      </w:r>
      <w:r>
        <w:rPr>
          <w:rFonts w:ascii="宋体" w:hAnsi="宋体" w:cs="宋体"/>
          <w:kern w:val="0"/>
          <w:sz w:val="24"/>
          <w:highlight w:val="none"/>
        </w:rPr>
        <w:t xml:space="preserve">        </w:t>
      </w:r>
    </w:p>
    <w:p>
      <w:pPr>
        <w:widowControl/>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银行账号：</w:t>
      </w:r>
      <w:r>
        <w:rPr>
          <w:rFonts w:ascii="宋体" w:hAnsi="宋体" w:cs="宋体"/>
          <w:kern w:val="0"/>
          <w:sz w:val="24"/>
          <w:highlight w:val="none"/>
        </w:rPr>
        <w:t xml:space="preserve">15110101040001136 </w:t>
      </w:r>
    </w:p>
    <w:p>
      <w:pPr>
        <w:widowControl/>
        <w:spacing w:line="360" w:lineRule="auto"/>
        <w:jc w:val="left"/>
        <w:rPr>
          <w:rFonts w:ascii="宋体" w:cs="宋体"/>
          <w:kern w:val="0"/>
          <w:sz w:val="24"/>
          <w:highlight w:val="none"/>
        </w:rPr>
      </w:pPr>
      <w:r>
        <w:rPr>
          <w:rFonts w:ascii="宋体" w:hAnsi="宋体" w:cs="宋体"/>
          <w:kern w:val="0"/>
          <w:sz w:val="24"/>
          <w:highlight w:val="none"/>
        </w:rPr>
        <w:t xml:space="preserve">  </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（行号：</w:t>
      </w:r>
      <w:r>
        <w:rPr>
          <w:rFonts w:ascii="宋体" w:hAnsi="宋体" w:cs="宋体"/>
          <w:kern w:val="0"/>
          <w:sz w:val="24"/>
          <w:highlight w:val="none"/>
        </w:rPr>
        <w:t>103451011106</w:t>
      </w:r>
      <w:r>
        <w:rPr>
          <w:rFonts w:hint="eastAsia" w:ascii="宋体" w:hAnsi="宋体" w:cs="宋体"/>
          <w:kern w:val="0"/>
          <w:sz w:val="24"/>
          <w:highlight w:val="none"/>
        </w:rPr>
        <w:t>）</w:t>
      </w:r>
      <w:r>
        <w:rPr>
          <w:rFonts w:ascii="宋体" w:hAnsi="宋体" w:cs="宋体"/>
          <w:kern w:val="0"/>
          <w:sz w:val="24"/>
          <w:highlight w:val="none"/>
        </w:rPr>
        <w:t xml:space="preserve"> </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13.4 </w:t>
      </w:r>
      <w:r>
        <w:rPr>
          <w:rFonts w:hint="eastAsia" w:ascii="宋体" w:hAnsi="宋体" w:cs="宋体"/>
          <w:kern w:val="0"/>
          <w:sz w:val="24"/>
          <w:highlight w:val="none"/>
        </w:rPr>
        <w:t>未按前述各款要求提交磋商保证金的报价被视为无效报价。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13.5</w:t>
      </w:r>
      <w:r>
        <w:rPr>
          <w:rFonts w:hint="eastAsia" w:ascii="宋体" w:hAnsi="宋体" w:cs="宋体"/>
          <w:kern w:val="0"/>
          <w:sz w:val="24"/>
          <w:highlight w:val="none"/>
        </w:rPr>
        <w:t>未成交的供应商的磋商保证金在成交通知书发出之日起</w:t>
      </w:r>
      <w:r>
        <w:rPr>
          <w:rFonts w:ascii="宋体" w:hAnsi="宋体" w:cs="宋体"/>
          <w:kern w:val="0"/>
          <w:sz w:val="24"/>
          <w:highlight w:val="none"/>
        </w:rPr>
        <w:t>5</w:t>
      </w:r>
      <w:r>
        <w:rPr>
          <w:rFonts w:hint="eastAsia" w:ascii="宋体" w:hAnsi="宋体" w:cs="宋体"/>
          <w:kern w:val="0"/>
          <w:sz w:val="24"/>
          <w:highlight w:val="none"/>
        </w:rPr>
        <w:t>个工作日内无息退还，成交供应商的磋商保证金将在签订合同生效后</w:t>
      </w:r>
      <w:r>
        <w:rPr>
          <w:rFonts w:ascii="宋体" w:hAnsi="宋体" w:cs="宋体"/>
          <w:kern w:val="0"/>
          <w:sz w:val="24"/>
          <w:highlight w:val="none"/>
        </w:rPr>
        <w:t>5</w:t>
      </w:r>
      <w:r>
        <w:rPr>
          <w:rFonts w:hint="eastAsia" w:ascii="宋体" w:hAnsi="宋体" w:cs="宋体"/>
          <w:kern w:val="0"/>
          <w:sz w:val="24"/>
          <w:highlight w:val="none"/>
        </w:rPr>
        <w:t>个工作日内扣缴代理服务费后无息退还。但有下列情形之一的，磋商保证金不予退还：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 1</w:t>
      </w:r>
      <w:r>
        <w:rPr>
          <w:rFonts w:hint="eastAsia" w:ascii="宋体" w:hAnsi="宋体" w:cs="宋体"/>
          <w:kern w:val="0"/>
          <w:sz w:val="24"/>
          <w:highlight w:val="none"/>
        </w:rPr>
        <w:t>）供应商在提交响应文件截止时间后撤回响应文件的；</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 2</w:t>
      </w:r>
      <w:r>
        <w:rPr>
          <w:rFonts w:hint="eastAsia" w:ascii="宋体" w:hAnsi="宋体" w:cs="宋体"/>
          <w:kern w:val="0"/>
          <w:sz w:val="24"/>
          <w:highlight w:val="none"/>
        </w:rPr>
        <w:t>）供应商在响应文件中提供虚假材料的；</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 3</w:t>
      </w:r>
      <w:r>
        <w:rPr>
          <w:rFonts w:hint="eastAsia" w:ascii="宋体" w:hAnsi="宋体" w:cs="宋体"/>
          <w:kern w:val="0"/>
          <w:sz w:val="24"/>
          <w:highlight w:val="none"/>
        </w:rPr>
        <w:t>）除因不可抗力或磋商文件认可的情形以外，成交供应商不与采购人签订合同的；</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 4</w:t>
      </w:r>
      <w:r>
        <w:rPr>
          <w:rFonts w:hint="eastAsia" w:ascii="宋体" w:hAnsi="宋体" w:cs="宋体"/>
          <w:kern w:val="0"/>
          <w:sz w:val="24"/>
          <w:highlight w:val="none"/>
        </w:rPr>
        <w:t>）供应商与采购人、其他供应商或者采购代理机构恶意串通的；</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 5</w:t>
      </w:r>
      <w:r>
        <w:rPr>
          <w:rFonts w:hint="eastAsia" w:ascii="宋体" w:hAnsi="宋体" w:cs="宋体"/>
          <w:kern w:val="0"/>
          <w:sz w:val="24"/>
          <w:highlight w:val="none"/>
        </w:rPr>
        <w:t>）磋商文件规定的其他情形。</w:t>
      </w:r>
    </w:p>
    <w:p>
      <w:pPr>
        <w:widowControl/>
        <w:spacing w:line="360" w:lineRule="auto"/>
        <w:ind w:firstLine="482" w:firstLineChars="200"/>
        <w:jc w:val="left"/>
        <w:rPr>
          <w:rFonts w:ascii="宋体" w:cs="宋体"/>
          <w:b/>
          <w:kern w:val="0"/>
          <w:sz w:val="24"/>
          <w:highlight w:val="none"/>
        </w:rPr>
      </w:pPr>
      <w:r>
        <w:rPr>
          <w:rFonts w:ascii="宋体" w:hAnsi="宋体" w:cs="宋体"/>
          <w:b/>
          <w:kern w:val="0"/>
          <w:sz w:val="24"/>
          <w:highlight w:val="none"/>
        </w:rPr>
        <w:t xml:space="preserve">14. </w:t>
      </w:r>
      <w:r>
        <w:rPr>
          <w:rFonts w:hint="eastAsia" w:ascii="宋体" w:hAnsi="宋体" w:cs="宋体"/>
          <w:b/>
          <w:kern w:val="0"/>
          <w:sz w:val="24"/>
          <w:highlight w:val="none"/>
        </w:rPr>
        <w:t>报价有效期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14.1 </w:t>
      </w:r>
      <w:r>
        <w:rPr>
          <w:rFonts w:hint="eastAsia" w:ascii="宋体" w:hAnsi="宋体" w:cs="宋体"/>
          <w:kern w:val="0"/>
          <w:sz w:val="24"/>
          <w:highlight w:val="none"/>
        </w:rPr>
        <w:t>从递交响应文件截止之日起，报价有效期为</w:t>
      </w:r>
      <w:r>
        <w:rPr>
          <w:rFonts w:ascii="宋体" w:hAnsi="宋体" w:cs="宋体"/>
          <w:kern w:val="0"/>
          <w:sz w:val="24"/>
          <w:highlight w:val="none"/>
        </w:rPr>
        <w:t>90</w:t>
      </w:r>
      <w:r>
        <w:rPr>
          <w:rFonts w:hint="eastAsia" w:ascii="宋体" w:hAnsi="宋体" w:cs="宋体"/>
          <w:kern w:val="0"/>
          <w:sz w:val="24"/>
          <w:highlight w:val="none"/>
        </w:rPr>
        <w:t>日。响应文件的有效期比本须知规定的有效期短的报价将被拒绝。</w:t>
      </w:r>
    </w:p>
    <w:p>
      <w:pPr>
        <w:widowControl/>
        <w:spacing w:line="360" w:lineRule="auto"/>
        <w:ind w:firstLine="480" w:firstLineChars="200"/>
        <w:jc w:val="left"/>
        <w:rPr>
          <w:rFonts w:ascii="宋体" w:cs="宋体"/>
          <w:color w:val="000000"/>
          <w:kern w:val="0"/>
          <w:sz w:val="24"/>
          <w:highlight w:val="none"/>
        </w:rPr>
      </w:pPr>
      <w:r>
        <w:rPr>
          <w:rFonts w:ascii="宋体" w:hAnsi="宋体" w:cs="宋体"/>
          <w:kern w:val="0"/>
          <w:sz w:val="24"/>
          <w:highlight w:val="none"/>
        </w:rPr>
        <w:t>14.2</w:t>
      </w:r>
      <w:r>
        <w:rPr>
          <w:rFonts w:hint="eastAsia" w:ascii="宋体" w:hAnsi="宋体" w:cs="宋体"/>
          <w:kern w:val="0"/>
          <w:sz w:val="24"/>
          <w:highlight w:val="none"/>
        </w:rPr>
        <w:t>特殊情况下，在报价有效期满之前，采购人可以以书面形式要求供应商同意延长报价有效期。供应商可以以书面形式拒绝或接受上述要求。拒绝延长报价有效期的供应商有权收回磋商保证金；同意延长报价有效期的供应商应当相应延长其磋商保证金的有效期，但不得修改响应文件的其他内容。</w:t>
      </w:r>
    </w:p>
    <w:p>
      <w:pPr>
        <w:widowControl/>
        <w:spacing w:line="360" w:lineRule="auto"/>
        <w:ind w:left="1182" w:leftChars="228" w:hanging="703" w:hangingChars="250"/>
        <w:jc w:val="left"/>
        <w:outlineLvl w:val="1"/>
        <w:rPr>
          <w:rFonts w:ascii="宋体" w:cs="宋体"/>
          <w:b/>
          <w:bCs/>
          <w:kern w:val="0"/>
          <w:sz w:val="28"/>
          <w:szCs w:val="28"/>
          <w:highlight w:val="none"/>
        </w:rPr>
      </w:pPr>
      <w:bookmarkStart w:id="24" w:name="_Toc308446407"/>
      <w:bookmarkStart w:id="25" w:name="_Toc3106"/>
      <w:bookmarkStart w:id="26" w:name="_Toc338183622"/>
      <w:bookmarkStart w:id="27" w:name="_Toc22647"/>
      <w:r>
        <w:rPr>
          <w:rFonts w:hint="eastAsia" w:ascii="宋体" w:hAnsi="宋体" w:cs="宋体"/>
          <w:b/>
          <w:bCs/>
          <w:kern w:val="0"/>
          <w:sz w:val="28"/>
          <w:szCs w:val="28"/>
          <w:highlight w:val="none"/>
        </w:rPr>
        <w:t>四、响应文件递交</w:t>
      </w:r>
      <w:bookmarkEnd w:id="24"/>
      <w:bookmarkEnd w:id="25"/>
      <w:bookmarkEnd w:id="26"/>
      <w:bookmarkEnd w:id="27"/>
    </w:p>
    <w:p>
      <w:pPr>
        <w:widowControl/>
        <w:spacing w:line="360" w:lineRule="auto"/>
        <w:ind w:firstLine="482" w:firstLineChars="200"/>
        <w:jc w:val="left"/>
        <w:rPr>
          <w:rFonts w:ascii="宋体" w:cs="宋体"/>
          <w:b/>
          <w:kern w:val="0"/>
          <w:sz w:val="24"/>
          <w:highlight w:val="none"/>
        </w:rPr>
      </w:pPr>
      <w:r>
        <w:rPr>
          <w:rFonts w:ascii="宋体" w:hAnsi="宋体" w:cs="宋体"/>
          <w:b/>
          <w:kern w:val="0"/>
          <w:sz w:val="24"/>
          <w:highlight w:val="none"/>
        </w:rPr>
        <w:t xml:space="preserve">15. </w:t>
      </w:r>
      <w:r>
        <w:rPr>
          <w:rFonts w:hint="eastAsia" w:ascii="宋体" w:hAnsi="宋体" w:cs="宋体"/>
          <w:b/>
          <w:kern w:val="0"/>
          <w:sz w:val="24"/>
          <w:highlight w:val="none"/>
        </w:rPr>
        <w:t>响应文件递交时间和地点</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15.1 </w:t>
      </w:r>
      <w:r>
        <w:rPr>
          <w:rFonts w:hint="eastAsia" w:ascii="宋体" w:hAnsi="宋体" w:cs="宋体"/>
          <w:kern w:val="0"/>
          <w:sz w:val="24"/>
          <w:highlight w:val="none"/>
        </w:rPr>
        <w:t>供应商代表必须在响应文件递交截止时间前将响应文件送达指定地点。如因竞争性磋商文件的修改推迟报价截止日期的，则按代理机构另行通知规定的时间递交。（具体时间和地点详见供应商须知前附表）</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15.2 </w:t>
      </w:r>
      <w:r>
        <w:rPr>
          <w:rFonts w:hint="eastAsia" w:ascii="宋体" w:hAnsi="宋体" w:cs="宋体"/>
          <w:kern w:val="0"/>
          <w:sz w:val="24"/>
          <w:highlight w:val="none"/>
        </w:rPr>
        <w:t>采购人将拒绝接收报价截止时间后送达的响应文件。</w:t>
      </w:r>
    </w:p>
    <w:p>
      <w:pPr>
        <w:widowControl/>
        <w:spacing w:line="360" w:lineRule="auto"/>
        <w:ind w:firstLine="482" w:firstLineChars="200"/>
        <w:jc w:val="left"/>
        <w:rPr>
          <w:rFonts w:ascii="宋体" w:cs="宋体"/>
          <w:b/>
          <w:kern w:val="0"/>
          <w:sz w:val="24"/>
          <w:highlight w:val="none"/>
        </w:rPr>
      </w:pPr>
      <w:r>
        <w:rPr>
          <w:rFonts w:ascii="宋体" w:hAnsi="宋体" w:cs="宋体"/>
          <w:b/>
          <w:kern w:val="0"/>
          <w:sz w:val="24"/>
          <w:highlight w:val="none"/>
        </w:rPr>
        <w:t xml:space="preserve">16. </w:t>
      </w:r>
      <w:r>
        <w:rPr>
          <w:rFonts w:hint="eastAsia" w:ascii="宋体" w:hAnsi="宋体" w:cs="宋体"/>
          <w:b/>
          <w:kern w:val="0"/>
          <w:sz w:val="24"/>
          <w:highlight w:val="none"/>
        </w:rPr>
        <w:t>响应文件签收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16.1 </w:t>
      </w:r>
      <w:r>
        <w:rPr>
          <w:rFonts w:hint="eastAsia" w:ascii="宋体" w:hAnsi="宋体" w:cs="宋体"/>
          <w:kern w:val="0"/>
          <w:sz w:val="24"/>
          <w:highlight w:val="none"/>
        </w:rPr>
        <w:t>采购人于报价截止时间前接收合格的响应文件，供应商授权代表同时签字确认。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16.2 </w:t>
      </w:r>
      <w:r>
        <w:rPr>
          <w:rFonts w:hint="eastAsia" w:ascii="宋体" w:hAnsi="宋体" w:cs="宋体"/>
          <w:kern w:val="0"/>
          <w:sz w:val="24"/>
          <w:highlight w:val="none"/>
        </w:rPr>
        <w:t>响应文件须采用纸质形式，以电报、传真、电子邮件等形式提交的报价不予接受。</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16.3 </w:t>
      </w:r>
      <w:r>
        <w:rPr>
          <w:rFonts w:hint="eastAsia" w:ascii="宋体" w:hAnsi="宋体" w:cs="宋体"/>
          <w:kern w:val="0"/>
          <w:sz w:val="24"/>
          <w:highlight w:val="none"/>
        </w:rPr>
        <w:t>对供应商提交的响应文件在报价截止时间后不予退还。</w:t>
      </w:r>
    </w:p>
    <w:p>
      <w:pPr>
        <w:widowControl/>
        <w:spacing w:line="360" w:lineRule="auto"/>
        <w:ind w:firstLine="482" w:firstLineChars="200"/>
        <w:jc w:val="left"/>
        <w:rPr>
          <w:rFonts w:ascii="宋体" w:cs="宋体"/>
          <w:b/>
          <w:kern w:val="0"/>
          <w:sz w:val="24"/>
          <w:highlight w:val="none"/>
        </w:rPr>
      </w:pPr>
      <w:r>
        <w:rPr>
          <w:rFonts w:ascii="宋体" w:hAnsi="宋体" w:cs="宋体"/>
          <w:b/>
          <w:kern w:val="0"/>
          <w:sz w:val="24"/>
          <w:highlight w:val="none"/>
        </w:rPr>
        <w:t xml:space="preserve">17. </w:t>
      </w:r>
      <w:r>
        <w:rPr>
          <w:rFonts w:hint="eastAsia" w:ascii="宋体" w:hAnsi="宋体" w:cs="宋体"/>
          <w:b/>
          <w:kern w:val="0"/>
          <w:sz w:val="24"/>
          <w:highlight w:val="none"/>
        </w:rPr>
        <w:t>响应文件修改与撤回</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17.1 </w:t>
      </w:r>
      <w:r>
        <w:rPr>
          <w:rFonts w:hint="eastAsia" w:ascii="宋体" w:hAnsi="宋体" w:cs="宋体"/>
          <w:kern w:val="0"/>
          <w:sz w:val="24"/>
          <w:highlight w:val="none"/>
        </w:rPr>
        <w:t>供应商在竞争性磋商文件要求提交响应文件的截止时间前，可以补充、修改或者撤回已提交的响应文件，并书面形式通知采购人。</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17.2 </w:t>
      </w:r>
      <w:r>
        <w:rPr>
          <w:rFonts w:hint="eastAsia" w:ascii="宋体" w:hAnsi="宋体" w:cs="宋体"/>
          <w:kern w:val="0"/>
          <w:sz w:val="24"/>
          <w:highlight w:val="none"/>
        </w:rPr>
        <w:t>供应商对响应文件的补充、修改或撤回通知应按本须知规定编制、密封、标记和递交。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17.3 </w:t>
      </w:r>
      <w:r>
        <w:rPr>
          <w:rFonts w:hint="eastAsia" w:ascii="宋体" w:hAnsi="宋体" w:cs="宋体"/>
          <w:kern w:val="0"/>
          <w:sz w:val="24"/>
          <w:highlight w:val="none"/>
        </w:rPr>
        <w:t>撤回报价的要求应以书面形式提出，由供应商法定代表人或授权代理人签署，并在响应文件递交截止时间前送达采购人或采购代理机构。</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17.4</w:t>
      </w:r>
      <w:r>
        <w:rPr>
          <w:rFonts w:hint="eastAsia" w:ascii="宋体" w:hAnsi="宋体" w:cs="宋体"/>
          <w:kern w:val="0"/>
          <w:sz w:val="24"/>
          <w:highlight w:val="none"/>
        </w:rPr>
        <w:t>报价有效期内不得撤回响应文件，公开报价仪式后撤回报价的行为将被记录在案，其磋商保证金不予退还，供应商今后参与同类项目的机会可能会受到影响。</w:t>
      </w:r>
    </w:p>
    <w:p>
      <w:pPr>
        <w:pStyle w:val="4"/>
        <w:spacing w:line="360" w:lineRule="auto"/>
        <w:rPr>
          <w:rFonts w:ascii="宋体" w:hAnsi="宋体" w:eastAsia="宋体" w:cs="宋体"/>
          <w:sz w:val="28"/>
          <w:szCs w:val="28"/>
          <w:highlight w:val="none"/>
        </w:rPr>
      </w:pPr>
      <w:bookmarkStart w:id="28" w:name="_Toc308446408"/>
      <w:bookmarkStart w:id="29" w:name="_Toc338183623"/>
      <w:bookmarkStart w:id="30" w:name="_Toc29646"/>
      <w:bookmarkStart w:id="31" w:name="_Toc18839"/>
      <w:r>
        <w:rPr>
          <w:rFonts w:hint="eastAsia" w:ascii="宋体" w:hAnsi="宋体" w:eastAsia="宋体" w:cs="宋体"/>
          <w:sz w:val="28"/>
          <w:szCs w:val="28"/>
          <w:highlight w:val="none"/>
        </w:rPr>
        <w:t>五、</w:t>
      </w:r>
      <w:bookmarkEnd w:id="28"/>
      <w:bookmarkEnd w:id="29"/>
      <w:r>
        <w:rPr>
          <w:rFonts w:hint="eastAsia" w:ascii="宋体" w:hAnsi="宋体" w:eastAsia="宋体" w:cs="宋体"/>
          <w:sz w:val="28"/>
          <w:szCs w:val="28"/>
          <w:highlight w:val="none"/>
        </w:rPr>
        <w:t>公开报价、磋商、评审</w:t>
      </w:r>
      <w:bookmarkEnd w:id="30"/>
      <w:bookmarkEnd w:id="31"/>
    </w:p>
    <w:p>
      <w:pPr>
        <w:widowControl/>
        <w:spacing w:line="360" w:lineRule="auto"/>
        <w:ind w:firstLine="482" w:firstLineChars="200"/>
        <w:jc w:val="left"/>
        <w:rPr>
          <w:rFonts w:ascii="宋体" w:cs="宋体"/>
          <w:b/>
          <w:kern w:val="0"/>
          <w:sz w:val="24"/>
          <w:highlight w:val="none"/>
        </w:rPr>
      </w:pPr>
      <w:r>
        <w:rPr>
          <w:rFonts w:ascii="宋体" w:hAnsi="宋体" w:cs="宋体"/>
          <w:b/>
          <w:kern w:val="0"/>
          <w:sz w:val="24"/>
          <w:highlight w:val="none"/>
        </w:rPr>
        <w:t xml:space="preserve">18. </w:t>
      </w:r>
      <w:r>
        <w:rPr>
          <w:rFonts w:hint="eastAsia" w:ascii="宋体" w:hAnsi="宋体" w:cs="宋体"/>
          <w:b/>
          <w:kern w:val="0"/>
          <w:sz w:val="24"/>
          <w:highlight w:val="none"/>
        </w:rPr>
        <w:t>公开报价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18.1 </w:t>
      </w:r>
      <w:r>
        <w:rPr>
          <w:rFonts w:hint="eastAsia" w:ascii="宋体" w:hAnsi="宋体" w:cs="宋体"/>
          <w:kern w:val="0"/>
          <w:sz w:val="24"/>
          <w:highlight w:val="none"/>
        </w:rPr>
        <w:t>按照竞争性磋商文件规定的时间、地点举行公开报价仪式。公开报价仪式由代理机构主持，采购人、供应商和有关方面的代表参加。供应商法定代表人或其授权代理人应参加并签名报到以证明其出席。</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18.2 </w:t>
      </w:r>
      <w:r>
        <w:rPr>
          <w:rFonts w:hint="eastAsia" w:ascii="宋体" w:hAnsi="宋体" w:cs="宋体"/>
          <w:kern w:val="0"/>
          <w:sz w:val="24"/>
          <w:highlight w:val="none"/>
        </w:rPr>
        <w:t>公开报价仪式时，由</w:t>
      </w:r>
      <w:r>
        <w:rPr>
          <w:rFonts w:hint="eastAsia" w:ascii="宋体" w:hAnsi="宋体" w:cs="宋体"/>
          <w:kern w:val="0"/>
          <w:sz w:val="24"/>
          <w:highlight w:val="none"/>
          <w:lang w:val="en-US" w:eastAsia="zh-CN"/>
        </w:rPr>
        <w:t>供应商授权代表</w:t>
      </w:r>
      <w:r>
        <w:rPr>
          <w:rFonts w:hint="eastAsia" w:ascii="宋体" w:hAnsi="宋体" w:cs="宋体"/>
          <w:kern w:val="0"/>
          <w:sz w:val="24"/>
          <w:highlight w:val="none"/>
        </w:rPr>
        <w:t>检查响应文件的密封情况，并经供应商签字确认。</w:t>
      </w:r>
      <w:r>
        <w:rPr>
          <w:rFonts w:ascii="宋体" w:hAnsi="宋体" w:cs="宋体"/>
          <w:kern w:val="0"/>
          <w:sz w:val="24"/>
          <w:highlight w:val="none"/>
        </w:rPr>
        <w:t xml:space="preserve"> </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18.3 </w:t>
      </w:r>
      <w:r>
        <w:rPr>
          <w:rFonts w:hint="eastAsia" w:ascii="宋体" w:hAnsi="宋体" w:cs="宋体"/>
          <w:kern w:val="0"/>
          <w:sz w:val="24"/>
          <w:highlight w:val="none"/>
        </w:rPr>
        <w:t>工作人员当众拆启响应文件，唱价员宣读供应商名称、总报价等报价一览表的相关内容，记录员将唱标内容逐项记录。</w:t>
      </w:r>
    </w:p>
    <w:p>
      <w:pPr>
        <w:widowControl/>
        <w:spacing w:line="360" w:lineRule="auto"/>
        <w:ind w:firstLine="482" w:firstLineChars="200"/>
        <w:jc w:val="left"/>
        <w:rPr>
          <w:rFonts w:ascii="宋体" w:cs="宋体"/>
          <w:b/>
          <w:color w:val="3366FF"/>
          <w:kern w:val="0"/>
          <w:sz w:val="24"/>
          <w:highlight w:val="none"/>
        </w:rPr>
      </w:pPr>
      <w:r>
        <w:rPr>
          <w:rFonts w:ascii="宋体" w:hAnsi="宋体" w:cs="宋体"/>
          <w:b/>
          <w:kern w:val="0"/>
          <w:sz w:val="24"/>
          <w:highlight w:val="none"/>
        </w:rPr>
        <w:t xml:space="preserve">19. </w:t>
      </w:r>
      <w:r>
        <w:rPr>
          <w:rFonts w:hint="eastAsia" w:ascii="宋体" w:hAnsi="宋体" w:cs="宋体"/>
          <w:b/>
          <w:kern w:val="0"/>
          <w:sz w:val="24"/>
          <w:highlight w:val="none"/>
        </w:rPr>
        <w:t>组建磋商小组</w:t>
      </w:r>
    </w:p>
    <w:p>
      <w:pPr>
        <w:widowControl/>
        <w:spacing w:line="360" w:lineRule="auto"/>
        <w:jc w:val="left"/>
        <w:rPr>
          <w:rFonts w:ascii="宋体" w:cs="宋体"/>
          <w:kern w:val="0"/>
          <w:sz w:val="24"/>
          <w:highlight w:val="none"/>
        </w:rPr>
      </w:pP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采购人将根据本项目的特点组建磋商小组，其成员由采购人代表及有关方面的专家</w:t>
      </w:r>
      <w:r>
        <w:rPr>
          <w:rFonts w:ascii="宋体" w:hAnsi="宋体" w:cs="宋体"/>
          <w:kern w:val="0"/>
          <w:sz w:val="24"/>
          <w:highlight w:val="none"/>
        </w:rPr>
        <w:t>3</w:t>
      </w:r>
      <w:r>
        <w:rPr>
          <w:rFonts w:hint="eastAsia" w:ascii="宋体" w:hAnsi="宋体" w:cs="宋体"/>
          <w:kern w:val="0"/>
          <w:sz w:val="24"/>
          <w:highlight w:val="none"/>
        </w:rPr>
        <w:t>人或以上单数组成，其中技术、经济等方面的专家不少于成员总数的三分之二，磋商小组负责对响应文件进行评标，推荐成交候选供应商或根据采购人的授权直接确定成交供应商。</w:t>
      </w:r>
    </w:p>
    <w:p>
      <w:pPr>
        <w:widowControl/>
        <w:spacing w:line="360" w:lineRule="auto"/>
        <w:jc w:val="left"/>
        <w:rPr>
          <w:rFonts w:ascii="宋体" w:cs="宋体"/>
          <w:b/>
          <w:kern w:val="0"/>
          <w:sz w:val="24"/>
          <w:highlight w:val="none"/>
        </w:rPr>
      </w:pPr>
      <w:r>
        <w:rPr>
          <w:rFonts w:ascii="宋体" w:hAnsi="宋体" w:cs="宋体"/>
          <w:color w:val="000000"/>
          <w:kern w:val="0"/>
          <w:sz w:val="24"/>
          <w:highlight w:val="none"/>
        </w:rPr>
        <w:t xml:space="preserve">    </w:t>
      </w:r>
      <w:r>
        <w:rPr>
          <w:rFonts w:ascii="宋体" w:hAnsi="宋体" w:cs="宋体"/>
          <w:b/>
          <w:kern w:val="0"/>
          <w:sz w:val="24"/>
          <w:highlight w:val="none"/>
        </w:rPr>
        <w:t xml:space="preserve">20. </w:t>
      </w:r>
      <w:r>
        <w:rPr>
          <w:rFonts w:hint="eastAsia" w:ascii="宋体" w:hAnsi="宋体" w:cs="宋体"/>
          <w:b/>
          <w:kern w:val="0"/>
          <w:sz w:val="24"/>
          <w:highlight w:val="none"/>
        </w:rPr>
        <w:t>评审原则</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20.1 </w:t>
      </w:r>
      <w:r>
        <w:rPr>
          <w:rFonts w:hint="eastAsia" w:ascii="宋体" w:hAnsi="宋体" w:cs="宋体"/>
          <w:kern w:val="0"/>
          <w:sz w:val="24"/>
          <w:highlight w:val="none"/>
        </w:rPr>
        <w:t>客观性原则：磋商小组将严格按照竞争性磋商文件的要求，对供应商的响应文件进行认真评审；磋商小组对响应文件的评审仅依据响应文件本身，而不依据响应文件以外的任何因素。</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20.2 </w:t>
      </w:r>
      <w:r>
        <w:rPr>
          <w:rFonts w:hint="eastAsia" w:ascii="宋体" w:hAnsi="宋体" w:cs="宋体"/>
          <w:kern w:val="0"/>
          <w:sz w:val="24"/>
          <w:highlight w:val="none"/>
        </w:rPr>
        <w:t>统一性原则：磋商小组将按照统一的评审原则和评审方法，用同一标准进行评审。</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20.3 </w:t>
      </w:r>
      <w:r>
        <w:rPr>
          <w:rFonts w:hint="eastAsia" w:ascii="宋体" w:hAnsi="宋体" w:cs="宋体"/>
          <w:kern w:val="0"/>
          <w:sz w:val="24"/>
          <w:highlight w:val="none"/>
        </w:rPr>
        <w:t>独立性原则：评审工作在磋商小组内部独立进行，不受外界任何因素的干扰和影响。磋商小组成员对出具的意见承担个人责任。</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20.4 </w:t>
      </w:r>
      <w:r>
        <w:rPr>
          <w:rFonts w:hint="eastAsia" w:ascii="宋体" w:hAnsi="宋体" w:cs="宋体"/>
          <w:kern w:val="0"/>
          <w:sz w:val="24"/>
          <w:highlight w:val="none"/>
        </w:rPr>
        <w:t>保密性原则：磋商在严格保密的情况下进行，磋商小组</w:t>
      </w:r>
      <w:r>
        <w:rPr>
          <w:rFonts w:hint="eastAsia" w:ascii="宋体" w:hAnsi="宋体" w:cs="宋体"/>
          <w:kern w:val="0"/>
          <w:sz w:val="24"/>
          <w:highlight w:val="none"/>
          <w:lang w:val="zh-CN"/>
        </w:rPr>
        <w:t>及熟知情况的有关工作人员必须对</w:t>
      </w:r>
      <w:r>
        <w:rPr>
          <w:rFonts w:hint="eastAsia" w:ascii="宋体" w:hAnsi="宋体" w:cs="宋体"/>
          <w:kern w:val="0"/>
          <w:sz w:val="24"/>
          <w:highlight w:val="none"/>
        </w:rPr>
        <w:t>供应商</w:t>
      </w:r>
      <w:r>
        <w:rPr>
          <w:rFonts w:hint="eastAsia" w:ascii="宋体" w:hAnsi="宋体" w:cs="宋体"/>
          <w:kern w:val="0"/>
          <w:sz w:val="24"/>
          <w:highlight w:val="none"/>
          <w:lang w:val="zh-CN"/>
        </w:rPr>
        <w:t>的商业秘密严格保密。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20.5 </w:t>
      </w:r>
      <w:r>
        <w:rPr>
          <w:rFonts w:hint="eastAsia" w:ascii="宋体" w:hAnsi="宋体" w:cs="宋体"/>
          <w:kern w:val="0"/>
          <w:sz w:val="24"/>
          <w:highlight w:val="none"/>
        </w:rPr>
        <w:t>综合性原则：磋商小组将综合分析、评审供应商的各项指标，而不以单项指标的优劣评定出成交供应商。</w:t>
      </w:r>
    </w:p>
    <w:p>
      <w:pPr>
        <w:spacing w:afterLines="50" w:line="360" w:lineRule="auto"/>
        <w:ind w:firstLine="482" w:firstLineChars="200"/>
        <w:rPr>
          <w:rFonts w:ascii="宋体" w:cs="宋体"/>
          <w:b/>
          <w:kern w:val="0"/>
          <w:sz w:val="24"/>
          <w:highlight w:val="none"/>
        </w:rPr>
      </w:pPr>
      <w:r>
        <w:rPr>
          <w:rFonts w:ascii="宋体" w:hAnsi="宋体" w:cs="宋体"/>
          <w:b/>
          <w:kern w:val="0"/>
          <w:sz w:val="24"/>
          <w:highlight w:val="none"/>
        </w:rPr>
        <w:t xml:space="preserve">21. </w:t>
      </w:r>
      <w:r>
        <w:rPr>
          <w:rFonts w:hint="eastAsia" w:ascii="宋体" w:hAnsi="宋体" w:cs="宋体"/>
          <w:b/>
          <w:kern w:val="0"/>
          <w:sz w:val="24"/>
          <w:highlight w:val="none"/>
        </w:rPr>
        <w:t>评审办法</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21.1</w:t>
      </w:r>
      <w:r>
        <w:rPr>
          <w:rFonts w:hint="eastAsia" w:ascii="宋体" w:hAnsi="宋体" w:cs="宋体"/>
          <w:kern w:val="0"/>
          <w:sz w:val="24"/>
          <w:highlight w:val="none"/>
        </w:rPr>
        <w:t>本项目采用综合评分法，该方法是指响应文件满足磋商文件全部实质性要求且按评审因素的量化指标评审得分最高的供应商为成交候选供应商的评审方法。</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 </w:t>
      </w:r>
      <w:r>
        <w:rPr>
          <w:rFonts w:hint="eastAsia" w:ascii="宋体" w:hAnsi="宋体" w:cs="宋体"/>
          <w:kern w:val="0"/>
          <w:sz w:val="24"/>
          <w:highlight w:val="none"/>
        </w:rPr>
        <w:t>采用综合评分法的项目，按以下规则进行评审：磋商小组成员按照磋商文件规定的评分标准对供应商的响应文件进行逐项评审打分并汇总，按汇总评审得分高低进行排列。评审得分相同的，按照最后报价由低到高的顺序推荐。评审得分且最后报价相同的，按照技术指标优劣顺序推荐。</w:t>
      </w:r>
    </w:p>
    <w:p>
      <w:pPr>
        <w:widowControl/>
        <w:spacing w:line="360" w:lineRule="auto"/>
        <w:ind w:firstLine="480" w:firstLineChars="200"/>
        <w:jc w:val="left"/>
        <w:rPr>
          <w:rFonts w:ascii="宋体" w:cs="宋体"/>
          <w:bCs/>
          <w:sz w:val="24"/>
          <w:highlight w:val="none"/>
        </w:rPr>
      </w:pPr>
      <w:r>
        <w:rPr>
          <w:rFonts w:ascii="宋体" w:cs="宋体"/>
          <w:kern w:val="0"/>
          <w:sz w:val="24"/>
          <w:highlight w:val="none"/>
        </w:rPr>
        <w:br w:type="page"/>
      </w:r>
      <w:r>
        <w:rPr>
          <w:rFonts w:ascii="宋体" w:hAnsi="宋体" w:cs="宋体"/>
          <w:bCs/>
          <w:sz w:val="24"/>
          <w:highlight w:val="none"/>
        </w:rPr>
        <w:t>21.2</w:t>
      </w:r>
      <w:r>
        <w:rPr>
          <w:rFonts w:hint="eastAsia" w:ascii="宋体" w:hAnsi="宋体"/>
          <w:color w:val="000000"/>
          <w:szCs w:val="21"/>
          <w:highlight w:val="none"/>
        </w:rPr>
        <w:t>评分标准如下</w:t>
      </w:r>
      <w:r>
        <w:rPr>
          <w:rFonts w:hint="eastAsia" w:ascii="宋体" w:hAnsi="宋体" w:cs="宋体"/>
          <w:bCs/>
          <w:sz w:val="24"/>
          <w:highlight w:val="none"/>
        </w:rPr>
        <w:t>：</w:t>
      </w:r>
    </w:p>
    <w:tbl>
      <w:tblPr>
        <w:tblStyle w:val="34"/>
        <w:tblW w:w="9938"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34"/>
        <w:gridCol w:w="812"/>
        <w:gridCol w:w="6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710" w:type="dxa"/>
            <w:vAlign w:val="center"/>
          </w:tcPr>
          <w:p>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宋体"/>
                <w:color w:val="000000"/>
                <w:sz w:val="24"/>
                <w:szCs w:val="24"/>
                <w:highlight w:val="none"/>
              </w:rPr>
            </w:pPr>
            <w:r>
              <w:rPr>
                <w:rFonts w:hint="eastAsia" w:ascii="宋体" w:hAnsi="宋体"/>
                <w:color w:val="000000"/>
                <w:sz w:val="24"/>
                <w:szCs w:val="24"/>
                <w:highlight w:val="none"/>
              </w:rPr>
              <w:t>序号</w:t>
            </w:r>
          </w:p>
        </w:tc>
        <w:tc>
          <w:tcPr>
            <w:tcW w:w="1434" w:type="dxa"/>
            <w:vAlign w:val="center"/>
          </w:tcPr>
          <w:p>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宋体"/>
                <w:color w:val="000000"/>
                <w:sz w:val="24"/>
                <w:szCs w:val="24"/>
                <w:highlight w:val="none"/>
              </w:rPr>
            </w:pPr>
            <w:r>
              <w:rPr>
                <w:rFonts w:hint="eastAsia" w:ascii="宋体" w:hAnsi="宋体"/>
                <w:color w:val="000000"/>
                <w:sz w:val="24"/>
                <w:szCs w:val="24"/>
                <w:highlight w:val="none"/>
              </w:rPr>
              <w:t>评分项目</w:t>
            </w:r>
          </w:p>
        </w:tc>
        <w:tc>
          <w:tcPr>
            <w:tcW w:w="812" w:type="dxa"/>
            <w:vAlign w:val="center"/>
          </w:tcPr>
          <w:p>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宋体"/>
                <w:color w:val="000000"/>
                <w:sz w:val="24"/>
                <w:szCs w:val="24"/>
                <w:highlight w:val="none"/>
              </w:rPr>
            </w:pPr>
            <w:r>
              <w:rPr>
                <w:rFonts w:hint="eastAsia" w:ascii="宋体" w:hAnsi="宋体"/>
                <w:color w:val="000000"/>
                <w:sz w:val="24"/>
                <w:szCs w:val="24"/>
                <w:highlight w:val="none"/>
              </w:rPr>
              <w:t>分值</w:t>
            </w:r>
          </w:p>
        </w:tc>
        <w:tc>
          <w:tcPr>
            <w:tcW w:w="6982" w:type="dxa"/>
            <w:vAlign w:val="center"/>
          </w:tcPr>
          <w:p>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宋体"/>
                <w:color w:val="000000"/>
                <w:sz w:val="24"/>
                <w:szCs w:val="24"/>
                <w:highlight w:val="none"/>
              </w:rPr>
            </w:pPr>
            <w:r>
              <w:rPr>
                <w:rFonts w:hint="eastAsia" w:ascii="宋体" w:hAnsi="宋体"/>
                <w:color w:val="000000"/>
                <w:sz w:val="24"/>
                <w:szCs w:val="24"/>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trPr>
        <w:tc>
          <w:tcPr>
            <w:tcW w:w="710" w:type="dxa"/>
            <w:vAlign w:val="center"/>
          </w:tcPr>
          <w:p>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宋体"/>
                <w:color w:val="000000"/>
                <w:sz w:val="24"/>
                <w:szCs w:val="24"/>
                <w:highlight w:val="none"/>
              </w:rPr>
            </w:pPr>
            <w:r>
              <w:rPr>
                <w:rFonts w:ascii="宋体" w:hAnsi="宋体"/>
                <w:color w:val="000000"/>
                <w:sz w:val="24"/>
                <w:szCs w:val="24"/>
                <w:highlight w:val="none"/>
              </w:rPr>
              <w:t>1</w:t>
            </w: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color w:val="000000"/>
                <w:sz w:val="24"/>
                <w:szCs w:val="24"/>
                <w:highlight w:val="none"/>
              </w:rPr>
            </w:pPr>
            <w:r>
              <w:rPr>
                <w:rFonts w:hint="eastAsia" w:ascii="宋体" w:hAnsi="宋体"/>
                <w:color w:val="000000"/>
                <w:sz w:val="24"/>
                <w:szCs w:val="24"/>
                <w:highlight w:val="none"/>
              </w:rPr>
              <w:t>商务部分</w:t>
            </w:r>
          </w:p>
        </w:tc>
        <w:tc>
          <w:tcPr>
            <w:tcW w:w="812" w:type="dxa"/>
            <w:vAlign w:val="center"/>
          </w:tcPr>
          <w:p>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宋体"/>
                <w:color w:val="000000"/>
                <w:sz w:val="24"/>
                <w:szCs w:val="24"/>
                <w:highlight w:val="none"/>
              </w:rPr>
            </w:pPr>
            <w:r>
              <w:rPr>
                <w:rFonts w:hint="eastAsia" w:ascii="宋体" w:hAnsi="宋体"/>
                <w:color w:val="000000"/>
                <w:sz w:val="24"/>
                <w:szCs w:val="24"/>
                <w:highlight w:val="none"/>
                <w:lang w:val="en-US" w:eastAsia="zh-CN"/>
              </w:rPr>
              <w:t>40</w:t>
            </w:r>
            <w:r>
              <w:rPr>
                <w:rFonts w:hint="eastAsia" w:ascii="宋体" w:hAnsi="宋体"/>
                <w:color w:val="000000"/>
                <w:sz w:val="24"/>
                <w:szCs w:val="24"/>
                <w:highlight w:val="none"/>
              </w:rPr>
              <w:t>分</w:t>
            </w:r>
          </w:p>
        </w:tc>
        <w:tc>
          <w:tcPr>
            <w:tcW w:w="698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color w:val="000000"/>
                <w:sz w:val="24"/>
                <w:szCs w:val="24"/>
                <w:highlight w:val="none"/>
              </w:rPr>
            </w:pPr>
            <w:r>
              <w:rPr>
                <w:rFonts w:hint="eastAsia" w:ascii="宋体" w:hAnsi="宋体"/>
                <w:color w:val="000000"/>
                <w:sz w:val="24"/>
                <w:szCs w:val="24"/>
                <w:highlight w:val="none"/>
              </w:rPr>
              <w:t>投标报价采用低价优先法，经</w:t>
            </w:r>
            <w:r>
              <w:rPr>
                <w:rFonts w:hint="eastAsia" w:ascii="宋体" w:hAnsi="宋体"/>
                <w:color w:val="000000"/>
                <w:sz w:val="24"/>
                <w:szCs w:val="24"/>
                <w:highlight w:val="none"/>
                <w:lang w:val="en-US" w:eastAsia="zh-CN"/>
              </w:rPr>
              <w:t>磋商小组</w:t>
            </w:r>
            <w:r>
              <w:rPr>
                <w:rFonts w:hint="eastAsia" w:ascii="宋体" w:hAnsi="宋体"/>
                <w:color w:val="000000"/>
                <w:sz w:val="24"/>
                <w:szCs w:val="24"/>
                <w:highlight w:val="none"/>
              </w:rPr>
              <w:t>评审确认的最终有效报价中的最低报价为评审基准值。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color w:val="000000"/>
                <w:sz w:val="24"/>
                <w:szCs w:val="24"/>
                <w:highlight w:val="none"/>
                <w:lang w:val="en-US"/>
              </w:rPr>
            </w:pPr>
            <w:r>
              <w:rPr>
                <w:rFonts w:hint="eastAsia" w:ascii="宋体" w:hAnsi="宋体"/>
                <w:color w:val="000000"/>
                <w:sz w:val="24"/>
                <w:szCs w:val="24"/>
                <w:highlight w:val="none"/>
              </w:rPr>
              <w:t>报价等于评审基准值的报价分得满分，其他报价的价格分按照下列公式计算：报价得分</w:t>
            </w:r>
            <w:r>
              <w:rPr>
                <w:rFonts w:ascii="宋体" w:hAnsi="宋体"/>
                <w:color w:val="000000"/>
                <w:sz w:val="24"/>
                <w:szCs w:val="24"/>
                <w:highlight w:val="none"/>
              </w:rPr>
              <w:t>=</w:t>
            </w:r>
            <w:r>
              <w:rPr>
                <w:rFonts w:hint="eastAsia" w:ascii="宋体" w:hAnsi="宋体"/>
                <w:color w:val="000000"/>
                <w:sz w:val="24"/>
                <w:szCs w:val="24"/>
                <w:highlight w:val="none"/>
              </w:rPr>
              <w:t>（评审基准值</w:t>
            </w:r>
            <w:r>
              <w:rPr>
                <w:rFonts w:ascii="宋体" w:hAnsi="宋体"/>
                <w:color w:val="000000"/>
                <w:sz w:val="24"/>
                <w:szCs w:val="24"/>
                <w:highlight w:val="none"/>
              </w:rPr>
              <w:t>/</w:t>
            </w:r>
            <w:r>
              <w:rPr>
                <w:rFonts w:hint="eastAsia" w:ascii="宋体" w:hAnsi="宋体"/>
                <w:color w:val="000000"/>
                <w:sz w:val="24"/>
                <w:szCs w:val="24"/>
                <w:highlight w:val="none"/>
              </w:rPr>
              <w:t>报价）×</w:t>
            </w:r>
            <w:r>
              <w:rPr>
                <w:rFonts w:hint="eastAsia" w:ascii="宋体" w:hAnsi="宋体"/>
                <w:color w:val="00000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trPr>
        <w:tc>
          <w:tcPr>
            <w:tcW w:w="710" w:type="dxa"/>
            <w:vAlign w:val="center"/>
          </w:tcPr>
          <w:p>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宋体"/>
                <w:color w:val="000000"/>
                <w:sz w:val="24"/>
                <w:szCs w:val="24"/>
                <w:highlight w:val="none"/>
              </w:rPr>
            </w:pPr>
            <w:r>
              <w:rPr>
                <w:rFonts w:ascii="宋体" w:hAnsi="宋体"/>
                <w:color w:val="000000"/>
                <w:sz w:val="24"/>
                <w:szCs w:val="24"/>
                <w:highlight w:val="none"/>
              </w:rPr>
              <w:t>2</w:t>
            </w: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color w:val="000000"/>
                <w:sz w:val="24"/>
                <w:szCs w:val="24"/>
                <w:highlight w:val="none"/>
              </w:rPr>
            </w:pPr>
            <w:r>
              <w:rPr>
                <w:rFonts w:hint="eastAsia" w:ascii="宋体" w:hAnsi="宋体"/>
                <w:color w:val="000000"/>
                <w:sz w:val="24"/>
                <w:szCs w:val="24"/>
                <w:highlight w:val="none"/>
              </w:rPr>
              <w:t>产品主要技术性能、指标、功能</w:t>
            </w:r>
          </w:p>
        </w:tc>
        <w:tc>
          <w:tcPr>
            <w:tcW w:w="812" w:type="dxa"/>
            <w:vAlign w:val="center"/>
          </w:tcPr>
          <w:p>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宋体"/>
                <w:color w:val="000000"/>
                <w:sz w:val="24"/>
                <w:szCs w:val="24"/>
                <w:highlight w:val="none"/>
              </w:rPr>
            </w:pPr>
            <w:r>
              <w:rPr>
                <w:rFonts w:hint="eastAsia" w:ascii="宋体" w:hAnsi="宋体"/>
                <w:color w:val="000000"/>
                <w:sz w:val="24"/>
                <w:szCs w:val="24"/>
                <w:highlight w:val="none"/>
                <w:lang w:val="en-US" w:eastAsia="zh-CN"/>
              </w:rPr>
              <w:t>45</w:t>
            </w:r>
            <w:r>
              <w:rPr>
                <w:rFonts w:hint="eastAsia" w:ascii="宋体" w:hAnsi="宋体"/>
                <w:color w:val="000000"/>
                <w:sz w:val="24"/>
                <w:szCs w:val="24"/>
                <w:highlight w:val="none"/>
              </w:rPr>
              <w:t>分</w:t>
            </w:r>
          </w:p>
        </w:tc>
        <w:tc>
          <w:tcPr>
            <w:tcW w:w="6982" w:type="dxa"/>
            <w:vAlign w:val="center"/>
          </w:tcPr>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textAlignment w:val="auto"/>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对供应商所报产品的技术性能指标进行综合评估，比较各供应商所报产品，综合评估货物技术指标的优良性，响应文件中提供的检测报告是否齐全等因素，内容完整完整、条理清晰得15分；内容较完整，表述较清楚得10分；内容不完整得5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2、根据生产设备齐全、精良，生产工艺先进科学，有内部质量控制的检验方案，技术人员配备全且具有专业技术资格证书等情况进行综合评定，表述详细合理，最大化满足采购人需求的得15分，满足得10分，基本满足得5分，若此条缺项不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pPr>
            <w:r>
              <w:rPr>
                <w:rFonts w:hint="eastAsia" w:ascii="宋体" w:hAnsi="宋体"/>
                <w:color w:val="000000"/>
                <w:sz w:val="24"/>
                <w:szCs w:val="24"/>
                <w:highlight w:val="none"/>
                <w:lang w:val="en-US" w:eastAsia="zh-CN"/>
              </w:rPr>
              <w:t>3、</w:t>
            </w:r>
            <w:bookmarkStart w:id="164" w:name="_GoBack"/>
            <w:r>
              <w:rPr>
                <w:rFonts w:hint="eastAsia" w:ascii="宋体" w:hAnsi="宋体"/>
                <w:color w:val="000000"/>
                <w:sz w:val="24"/>
                <w:szCs w:val="24"/>
                <w:highlight w:val="none"/>
                <w:lang w:val="en-US" w:eastAsia="zh-CN"/>
              </w:rPr>
              <w:t>根据供应商所投报供货、量体及加工方案（包括面料、设计工艺生产及供货等）</w:t>
            </w:r>
            <w:bookmarkEnd w:id="164"/>
            <w:r>
              <w:rPr>
                <w:rFonts w:hint="eastAsia" w:ascii="宋体" w:hAnsi="宋体"/>
                <w:color w:val="000000"/>
                <w:sz w:val="24"/>
                <w:szCs w:val="24"/>
                <w:highlight w:val="none"/>
                <w:lang w:val="en-US" w:eastAsia="zh-CN"/>
              </w:rPr>
              <w:t>的科学性、合理性及对磋商文件响应程度进行综合评定，表述详细合理，最大化满足采购人需求的得15分，满足得10分，基本满足得5分，若此条缺项不得分。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710" w:type="dxa"/>
            <w:vAlign w:val="center"/>
          </w:tcPr>
          <w:p>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宋体" w:hAnsi="Times New Roman" w:eastAsia="宋体" w:cs="Times New Roman"/>
                <w:color w:val="000000"/>
                <w:kern w:val="2"/>
                <w:sz w:val="24"/>
                <w:szCs w:val="24"/>
                <w:highlight w:val="none"/>
                <w:lang w:val="en-US" w:eastAsia="zh-CN" w:bidi="ar-SA"/>
              </w:rPr>
            </w:pPr>
            <w:r>
              <w:rPr>
                <w:rFonts w:ascii="宋体" w:hAnsi="宋体"/>
                <w:color w:val="000000"/>
                <w:sz w:val="24"/>
                <w:szCs w:val="24"/>
                <w:highlight w:val="none"/>
              </w:rPr>
              <w:t>3</w:t>
            </w: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color w:val="000000"/>
                <w:sz w:val="24"/>
                <w:szCs w:val="24"/>
                <w:highlight w:val="none"/>
              </w:rPr>
            </w:pPr>
            <w:r>
              <w:rPr>
                <w:rFonts w:hint="eastAsia" w:ascii="宋体" w:hAnsi="宋体"/>
                <w:color w:val="000000"/>
                <w:sz w:val="24"/>
                <w:szCs w:val="24"/>
                <w:highlight w:val="none"/>
              </w:rPr>
              <w:t>按期交货的</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Times New Roman"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保证措施</w:t>
            </w:r>
          </w:p>
        </w:tc>
        <w:tc>
          <w:tcPr>
            <w:tcW w:w="812" w:type="dxa"/>
            <w:vAlign w:val="center"/>
          </w:tcPr>
          <w:p>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default" w:ascii="宋体" w:hAnsi="Times New Roman" w:eastAsia="宋体" w:cs="Times New Roman"/>
                <w:color w:val="000000"/>
                <w:kern w:val="2"/>
                <w:sz w:val="24"/>
                <w:szCs w:val="24"/>
                <w:highlight w:val="none"/>
                <w:lang w:val="en-US" w:eastAsia="zh-CN" w:bidi="ar-SA"/>
              </w:rPr>
            </w:pPr>
            <w:r>
              <w:rPr>
                <w:rFonts w:hint="eastAsia" w:ascii="宋体" w:hAnsi="宋体"/>
                <w:color w:val="000000"/>
                <w:sz w:val="24"/>
                <w:szCs w:val="24"/>
                <w:highlight w:val="none"/>
                <w:lang w:val="en-US" w:eastAsia="zh-CN"/>
              </w:rPr>
              <w:t>6</w:t>
            </w:r>
            <w:r>
              <w:rPr>
                <w:rFonts w:hint="eastAsia" w:ascii="宋体" w:hAnsi="宋体"/>
                <w:color w:val="000000"/>
                <w:sz w:val="24"/>
                <w:szCs w:val="24"/>
                <w:highlight w:val="none"/>
              </w:rPr>
              <w:t>分</w:t>
            </w:r>
          </w:p>
        </w:tc>
        <w:tc>
          <w:tcPr>
            <w:tcW w:w="698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Times New Roman" w:eastAsia="宋体" w:cs="Times New Roman"/>
                <w:color w:val="000000"/>
                <w:kern w:val="2"/>
                <w:sz w:val="24"/>
                <w:szCs w:val="24"/>
                <w:highlight w:val="none"/>
                <w:lang w:val="en-US" w:eastAsia="zh-CN" w:bidi="ar-SA"/>
              </w:rPr>
            </w:pPr>
            <w:r>
              <w:rPr>
                <w:rFonts w:hint="eastAsia" w:ascii="宋体" w:hAnsi="宋体"/>
                <w:color w:val="000000"/>
                <w:sz w:val="24"/>
                <w:szCs w:val="24"/>
              </w:rPr>
              <w:t>对</w:t>
            </w:r>
            <w:r>
              <w:rPr>
                <w:rFonts w:hint="eastAsia" w:ascii="宋体" w:hAnsi="宋体"/>
                <w:color w:val="000000"/>
                <w:sz w:val="24"/>
                <w:szCs w:val="24"/>
                <w:lang w:val="en-US" w:eastAsia="zh-CN"/>
              </w:rPr>
              <w:t>响应</w:t>
            </w:r>
            <w:r>
              <w:rPr>
                <w:rFonts w:hint="eastAsia" w:ascii="宋体" w:hAnsi="宋体"/>
                <w:color w:val="000000"/>
                <w:sz w:val="24"/>
                <w:szCs w:val="24"/>
              </w:rPr>
              <w:t>文件中质量保证措施和保证交货期措施进行评定。表述详细、合理该项得</w:t>
            </w:r>
            <w:r>
              <w:rPr>
                <w:rFonts w:hint="eastAsia" w:ascii="宋体" w:hAnsi="宋体"/>
                <w:color w:val="000000"/>
                <w:sz w:val="24"/>
                <w:szCs w:val="24"/>
                <w:lang w:val="en-US" w:eastAsia="zh-CN"/>
              </w:rPr>
              <w:t>6</w:t>
            </w:r>
            <w:r>
              <w:rPr>
                <w:rFonts w:hint="eastAsia" w:ascii="宋体" w:hAnsi="宋体"/>
                <w:color w:val="000000"/>
                <w:sz w:val="24"/>
                <w:szCs w:val="24"/>
              </w:rPr>
              <w:t xml:space="preserve">分；表述简单不全面得3分；没有该项不得分。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10" w:type="dxa"/>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jc w:val="center"/>
              <w:textAlignment w:val="auto"/>
              <w:rPr>
                <w:rFonts w:hint="eastAsia" w:ascii="宋体" w:hAnsi="Times New Roman" w:eastAsia="宋体" w:cs="Times New Roman"/>
                <w:color w:val="000000"/>
                <w:kern w:val="2"/>
                <w:sz w:val="24"/>
                <w:szCs w:val="24"/>
                <w:highlight w:val="none"/>
                <w:lang w:val="en-US" w:eastAsia="zh-CN" w:bidi="ar-SA"/>
              </w:rPr>
            </w:pPr>
            <w:r>
              <w:rPr>
                <w:rFonts w:hint="eastAsia" w:ascii="宋体" w:hAnsi="宋体"/>
                <w:color w:val="000000"/>
                <w:sz w:val="24"/>
                <w:szCs w:val="24"/>
                <w:highlight w:val="none"/>
                <w:lang w:eastAsia="zh-CN"/>
              </w:rPr>
              <w:t>4</w:t>
            </w: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Times New Roman"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售后服务</w:t>
            </w:r>
          </w:p>
        </w:tc>
        <w:tc>
          <w:tcPr>
            <w:tcW w:w="812" w:type="dxa"/>
            <w:vAlign w:val="center"/>
          </w:tcPr>
          <w:p>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宋体" w:hAnsi="Times New Roman" w:eastAsia="宋体" w:cs="Times New Roman"/>
                <w:color w:val="000000"/>
                <w:kern w:val="2"/>
                <w:sz w:val="24"/>
                <w:szCs w:val="24"/>
                <w:highlight w:val="none"/>
                <w:lang w:val="en-US" w:eastAsia="zh-CN" w:bidi="ar-SA"/>
              </w:rPr>
            </w:pPr>
            <w:r>
              <w:rPr>
                <w:rFonts w:hint="eastAsia" w:ascii="宋体" w:hAnsi="宋体"/>
                <w:color w:val="000000"/>
                <w:sz w:val="24"/>
                <w:szCs w:val="24"/>
                <w:highlight w:val="none"/>
                <w:lang w:val="en-US" w:eastAsia="zh-CN"/>
              </w:rPr>
              <w:t>6</w:t>
            </w:r>
            <w:r>
              <w:rPr>
                <w:rFonts w:hint="eastAsia" w:ascii="宋体" w:hAnsi="宋体"/>
                <w:color w:val="000000"/>
                <w:sz w:val="24"/>
                <w:szCs w:val="24"/>
                <w:highlight w:val="none"/>
              </w:rPr>
              <w:t>分</w:t>
            </w:r>
          </w:p>
        </w:tc>
        <w:tc>
          <w:tcPr>
            <w:tcW w:w="6982" w:type="dxa"/>
            <w:vAlign w:val="center"/>
          </w:tcPr>
          <w:p>
            <w:pPr>
              <w:keepNext w:val="0"/>
              <w:keepLines w:val="0"/>
              <w:pageBreakBefore w:val="0"/>
              <w:widowControl w:val="0"/>
              <w:kinsoku/>
              <w:wordWrap/>
              <w:overflowPunct/>
              <w:topLinePunct w:val="0"/>
              <w:autoSpaceDE/>
              <w:autoSpaceDN/>
              <w:bidi w:val="0"/>
              <w:adjustRightInd w:val="0"/>
              <w:spacing w:line="360" w:lineRule="auto"/>
              <w:textAlignment w:val="auto"/>
              <w:rPr>
                <w:rFonts w:ascii="宋体" w:hAnsi="Times New Roman" w:eastAsia="宋体" w:cs="Times New Roman"/>
                <w:color w:val="000000"/>
                <w:kern w:val="2"/>
                <w:sz w:val="24"/>
                <w:szCs w:val="24"/>
                <w:highlight w:val="none"/>
                <w:lang w:val="en-US" w:eastAsia="zh-CN" w:bidi="ar-SA"/>
              </w:rPr>
            </w:pPr>
            <w:r>
              <w:rPr>
                <w:rFonts w:hint="eastAsia" w:ascii="宋体" w:hAnsi="宋体"/>
                <w:color w:val="000000"/>
                <w:sz w:val="24"/>
                <w:szCs w:val="24"/>
                <w:highlight w:val="none"/>
                <w:lang w:eastAsia="zh-CN"/>
              </w:rPr>
              <w:t>综合考虑供应商的售后服务响应时间、服务保障措施等情况，</w:t>
            </w:r>
            <w:r>
              <w:rPr>
                <w:rFonts w:hint="eastAsia" w:ascii="宋体" w:hAnsi="宋体"/>
                <w:color w:val="000000"/>
                <w:sz w:val="24"/>
                <w:szCs w:val="24"/>
              </w:rPr>
              <w:t>表述详细、合理最大化满足采购人 需求的得6分；基本满足的得3分；</w:t>
            </w:r>
            <w:r>
              <w:rPr>
                <w:rFonts w:hint="eastAsia" w:ascii="宋体" w:hAnsi="宋体"/>
                <w:color w:val="000000"/>
                <w:sz w:val="24"/>
                <w:szCs w:val="24"/>
                <w:lang w:val="en-US" w:eastAsia="zh-CN"/>
              </w:rPr>
              <w:t>没</w:t>
            </w:r>
            <w:r>
              <w:rPr>
                <w:rFonts w:hint="eastAsia" w:ascii="宋体" w:hAnsi="宋体"/>
                <w:color w:val="000000"/>
                <w:sz w:val="24"/>
                <w:szCs w:val="24"/>
              </w:rPr>
              <w:t xml:space="preserve">有该项不得分。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710" w:type="dxa"/>
            <w:vAlign w:val="center"/>
          </w:tcPr>
          <w:p>
            <w:pPr>
              <w:keepNext w:val="0"/>
              <w:keepLines w:val="0"/>
              <w:pageBreakBefore w:val="0"/>
              <w:widowControl w:val="0"/>
              <w:tabs>
                <w:tab w:val="left" w:pos="0"/>
              </w:tabs>
              <w:kinsoku/>
              <w:wordWrap/>
              <w:overflowPunct/>
              <w:topLinePunct w:val="0"/>
              <w:autoSpaceDE/>
              <w:autoSpaceDN/>
              <w:bidi w:val="0"/>
              <w:adjustRightInd w:val="0"/>
              <w:spacing w:line="360" w:lineRule="auto"/>
              <w:jc w:val="center"/>
              <w:textAlignment w:val="auto"/>
              <w:rPr>
                <w:rFonts w:hint="eastAsia" w:ascii="宋体" w:hAnsi="Times New Roman" w:eastAsia="宋体" w:cs="Times New Roman"/>
                <w:color w:val="000000"/>
                <w:kern w:val="2"/>
                <w:sz w:val="24"/>
                <w:szCs w:val="24"/>
                <w:highlight w:val="none"/>
                <w:lang w:val="en-US" w:eastAsia="zh-CN" w:bidi="ar-SA"/>
              </w:rPr>
            </w:pPr>
            <w:r>
              <w:rPr>
                <w:rFonts w:hint="eastAsia" w:ascii="宋体"/>
                <w:color w:val="000000"/>
                <w:sz w:val="24"/>
                <w:szCs w:val="24"/>
                <w:highlight w:val="none"/>
                <w:lang w:val="en-US" w:eastAsia="zh-CN"/>
              </w:rPr>
              <w:t>5</w:t>
            </w: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Times New Roman"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业绩</w:t>
            </w:r>
          </w:p>
        </w:tc>
        <w:tc>
          <w:tcPr>
            <w:tcW w:w="812" w:type="dxa"/>
            <w:vAlign w:val="center"/>
          </w:tcPr>
          <w:p>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宋体" w:hAnsi="Times New Roman" w:eastAsia="宋体" w:cs="Times New Roman"/>
                <w:color w:val="000000"/>
                <w:kern w:val="2"/>
                <w:sz w:val="24"/>
                <w:szCs w:val="24"/>
                <w:highlight w:val="none"/>
                <w:lang w:val="en-US" w:eastAsia="zh-CN" w:bidi="ar-SA"/>
              </w:rPr>
            </w:pP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分</w:t>
            </w:r>
          </w:p>
        </w:tc>
        <w:tc>
          <w:tcPr>
            <w:tcW w:w="698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olor w:val="000000"/>
                <w:sz w:val="24"/>
                <w:szCs w:val="24"/>
                <w:highlight w:val="none"/>
              </w:rPr>
            </w:pPr>
            <w:r>
              <w:rPr>
                <w:rFonts w:hint="eastAsia" w:ascii="宋体" w:hAnsi="宋体"/>
                <w:color w:val="000000"/>
                <w:sz w:val="24"/>
                <w:szCs w:val="24"/>
                <w:highlight w:val="none"/>
              </w:rPr>
              <w:t>近三年（</w:t>
            </w:r>
            <w:r>
              <w:rPr>
                <w:rFonts w:ascii="宋体" w:hAnsi="宋体"/>
                <w:color w:val="000000"/>
                <w:sz w:val="24"/>
                <w:szCs w:val="24"/>
                <w:highlight w:val="none"/>
              </w:rPr>
              <w:t>201</w:t>
            </w:r>
            <w:r>
              <w:rPr>
                <w:rFonts w:hint="eastAsia" w:ascii="宋体" w:hAnsi="宋体"/>
                <w:color w:val="000000"/>
                <w:sz w:val="24"/>
                <w:szCs w:val="24"/>
                <w:highlight w:val="none"/>
                <w:lang w:val="en-US" w:eastAsia="zh-CN"/>
              </w:rPr>
              <w:t>7</w:t>
            </w:r>
            <w:r>
              <w:rPr>
                <w:rFonts w:hint="eastAsia" w:ascii="宋体" w:hAnsi="宋体"/>
                <w:color w:val="000000"/>
                <w:sz w:val="24"/>
                <w:szCs w:val="24"/>
                <w:highlight w:val="none"/>
              </w:rPr>
              <w:t>年</w:t>
            </w: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月</w:t>
            </w:r>
            <w:r>
              <w:rPr>
                <w:rFonts w:ascii="宋体" w:hAnsi="宋体"/>
                <w:color w:val="000000"/>
                <w:sz w:val="24"/>
                <w:szCs w:val="24"/>
                <w:highlight w:val="none"/>
              </w:rPr>
              <w:t>1</w:t>
            </w:r>
            <w:r>
              <w:rPr>
                <w:rFonts w:hint="eastAsia" w:ascii="宋体" w:hAnsi="宋体"/>
                <w:color w:val="000000"/>
                <w:sz w:val="24"/>
                <w:szCs w:val="24"/>
                <w:highlight w:val="none"/>
              </w:rPr>
              <w:t>日至今）完成的类似业绩，每个项目得</w:t>
            </w:r>
            <w:r>
              <w:rPr>
                <w:rFonts w:ascii="宋体" w:hAnsi="宋体"/>
                <w:color w:val="000000"/>
                <w:sz w:val="24"/>
                <w:szCs w:val="24"/>
                <w:highlight w:val="none"/>
              </w:rPr>
              <w:t>1</w:t>
            </w:r>
            <w:r>
              <w:rPr>
                <w:rFonts w:hint="eastAsia" w:ascii="宋体" w:hAnsi="宋体"/>
                <w:color w:val="000000"/>
                <w:sz w:val="24"/>
                <w:szCs w:val="24"/>
                <w:highlight w:val="none"/>
              </w:rPr>
              <w:t>分，最多得</w:t>
            </w: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分，没有类似业绩不得分。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Times New Roman" w:eastAsia="宋体" w:cs="Times New Roman"/>
                <w:color w:val="000000"/>
                <w:kern w:val="2"/>
                <w:sz w:val="24"/>
                <w:szCs w:val="24"/>
                <w:highlight w:val="none"/>
                <w:lang w:val="en-US" w:eastAsia="zh-CN" w:bidi="ar-SA"/>
              </w:rPr>
            </w:pPr>
            <w:r>
              <w:rPr>
                <w:rFonts w:hint="eastAsia" w:ascii="宋体" w:hAnsi="宋体"/>
                <w:color w:val="000000"/>
                <w:sz w:val="24"/>
                <w:szCs w:val="24"/>
                <w:highlight w:val="none"/>
              </w:rPr>
              <w:t>注：在</w:t>
            </w:r>
            <w:r>
              <w:rPr>
                <w:rFonts w:hint="eastAsia" w:ascii="宋体" w:hAnsi="宋体"/>
                <w:color w:val="000000"/>
                <w:sz w:val="24"/>
                <w:szCs w:val="24"/>
                <w:highlight w:val="none"/>
                <w:lang w:eastAsia="zh-CN"/>
              </w:rPr>
              <w:t>响应</w:t>
            </w:r>
            <w:r>
              <w:rPr>
                <w:rFonts w:hint="eastAsia" w:ascii="宋体" w:hAnsi="宋体"/>
                <w:color w:val="000000"/>
                <w:sz w:val="24"/>
                <w:szCs w:val="24"/>
                <w:highlight w:val="none"/>
              </w:rPr>
              <w:t>文件中提供加盖公章的合同复印件</w:t>
            </w:r>
            <w:r>
              <w:rPr>
                <w:rFonts w:hint="eastAsia" w:ascii="宋体" w:hAnsi="宋体"/>
                <w:color w:val="000000"/>
                <w:sz w:val="24"/>
                <w:szCs w:val="24"/>
                <w:highlight w:val="none"/>
                <w:lang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44" w:type="dxa"/>
            <w:gridSpan w:val="2"/>
            <w:vAlign w:val="center"/>
          </w:tcPr>
          <w:p>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宋体"/>
                <w:color w:val="000000"/>
                <w:sz w:val="24"/>
                <w:szCs w:val="24"/>
                <w:highlight w:val="none"/>
              </w:rPr>
            </w:pPr>
            <w:r>
              <w:rPr>
                <w:rFonts w:hint="eastAsia" w:ascii="宋体" w:hAnsi="宋体"/>
                <w:color w:val="000000"/>
                <w:sz w:val="24"/>
                <w:szCs w:val="24"/>
                <w:highlight w:val="none"/>
              </w:rPr>
              <w:t>合计</w:t>
            </w:r>
          </w:p>
        </w:tc>
        <w:tc>
          <w:tcPr>
            <w:tcW w:w="7794" w:type="dxa"/>
            <w:gridSpan w:val="2"/>
            <w:vAlign w:val="center"/>
          </w:tcPr>
          <w:p>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宋体"/>
                <w:color w:val="000000"/>
                <w:sz w:val="24"/>
                <w:szCs w:val="24"/>
                <w:highlight w:val="none"/>
              </w:rPr>
            </w:pPr>
            <w:r>
              <w:rPr>
                <w:rFonts w:ascii="宋体" w:hAnsi="宋体"/>
                <w:color w:val="000000"/>
                <w:sz w:val="24"/>
                <w:szCs w:val="24"/>
                <w:highlight w:val="none"/>
              </w:rPr>
              <w:t>100</w:t>
            </w:r>
            <w:r>
              <w:rPr>
                <w:rFonts w:hint="eastAsia" w:ascii="宋体" w:hAnsi="宋体"/>
                <w:color w:val="000000"/>
                <w:sz w:val="24"/>
                <w:szCs w:val="24"/>
                <w:highlight w:val="none"/>
              </w:rPr>
              <w:t>分</w:t>
            </w:r>
          </w:p>
        </w:tc>
      </w:tr>
    </w:tbl>
    <w:p>
      <w:pPr>
        <w:pStyle w:val="2"/>
        <w:spacing w:line="360" w:lineRule="exact"/>
        <w:ind w:left="300" w:leftChars="143" w:firstLine="211" w:firstLineChars="100"/>
        <w:rPr>
          <w:rFonts w:ascii="宋体"/>
          <w:b/>
          <w:bCs/>
          <w:szCs w:val="21"/>
          <w:highlight w:val="none"/>
        </w:rPr>
      </w:pPr>
      <w:r>
        <w:rPr>
          <w:rFonts w:hint="eastAsia" w:ascii="宋体" w:hAnsi="宋体"/>
          <w:b/>
          <w:bCs/>
          <w:szCs w:val="21"/>
          <w:highlight w:val="none"/>
        </w:rPr>
        <w:t>说明：</w:t>
      </w:r>
    </w:p>
    <w:p>
      <w:pPr>
        <w:pStyle w:val="2"/>
        <w:spacing w:line="360" w:lineRule="exact"/>
        <w:ind w:left="300" w:leftChars="143" w:firstLine="211" w:firstLineChars="100"/>
        <w:rPr>
          <w:rFonts w:ascii="宋体"/>
          <w:b/>
          <w:bCs/>
          <w:szCs w:val="21"/>
          <w:highlight w:val="none"/>
        </w:rPr>
      </w:pPr>
      <w:r>
        <w:rPr>
          <w:rFonts w:ascii="宋体" w:hAnsi="宋体"/>
          <w:b/>
          <w:bCs/>
          <w:szCs w:val="21"/>
          <w:highlight w:val="none"/>
        </w:rPr>
        <w:t>1</w:t>
      </w:r>
      <w:r>
        <w:rPr>
          <w:rFonts w:hint="eastAsia" w:ascii="宋体" w:hAnsi="宋体"/>
          <w:b/>
          <w:bCs/>
          <w:szCs w:val="21"/>
          <w:highlight w:val="none"/>
        </w:rPr>
        <w:t>、同类业绩指：报价产品同品牌业绩。</w:t>
      </w:r>
    </w:p>
    <w:p>
      <w:pPr>
        <w:pStyle w:val="2"/>
        <w:spacing w:line="360" w:lineRule="exact"/>
        <w:ind w:left="300" w:leftChars="143" w:firstLine="211" w:firstLineChars="100"/>
        <w:rPr>
          <w:rFonts w:ascii="宋体"/>
          <w:b/>
          <w:bCs/>
          <w:szCs w:val="21"/>
          <w:highlight w:val="none"/>
        </w:rPr>
      </w:pPr>
      <w:r>
        <w:rPr>
          <w:rFonts w:ascii="宋体" w:hAnsi="宋体"/>
          <w:b/>
          <w:bCs/>
          <w:szCs w:val="21"/>
          <w:highlight w:val="none"/>
        </w:rPr>
        <w:t>2</w:t>
      </w:r>
      <w:r>
        <w:rPr>
          <w:rFonts w:hint="eastAsia" w:ascii="宋体" w:hAnsi="宋体"/>
          <w:b/>
          <w:bCs/>
          <w:szCs w:val="21"/>
          <w:highlight w:val="none"/>
        </w:rPr>
        <w:t>、供应商须须提供业绩证明的合同原件或加盖公章的复印件（日期以签订合同日期为准），开标现场提供原件备查，供招标人进行核验、计分，否则不作为得分依据。</w:t>
      </w:r>
    </w:p>
    <w:p>
      <w:pPr>
        <w:pStyle w:val="2"/>
        <w:spacing w:line="360" w:lineRule="exact"/>
        <w:ind w:left="300" w:leftChars="143" w:firstLine="211" w:firstLineChars="100"/>
        <w:rPr>
          <w:rFonts w:ascii="宋体"/>
          <w:b/>
          <w:bCs/>
          <w:szCs w:val="21"/>
          <w:highlight w:val="none"/>
        </w:rPr>
      </w:pPr>
      <w:r>
        <w:rPr>
          <w:rFonts w:ascii="宋体" w:hAnsi="宋体"/>
          <w:b/>
          <w:bCs/>
          <w:szCs w:val="21"/>
          <w:highlight w:val="none"/>
        </w:rPr>
        <w:t>3</w:t>
      </w:r>
      <w:r>
        <w:rPr>
          <w:rFonts w:hint="eastAsia" w:ascii="宋体" w:hAnsi="宋体"/>
          <w:b/>
          <w:bCs/>
          <w:szCs w:val="21"/>
          <w:highlight w:val="none"/>
        </w:rPr>
        <w:t>、近三年是指</w:t>
      </w:r>
      <w:r>
        <w:rPr>
          <w:rFonts w:ascii="宋体" w:hAnsi="宋体"/>
          <w:b/>
          <w:bCs/>
          <w:szCs w:val="21"/>
          <w:highlight w:val="none"/>
        </w:rPr>
        <w:t>201</w:t>
      </w:r>
      <w:r>
        <w:rPr>
          <w:rFonts w:hint="eastAsia" w:ascii="宋体" w:hAnsi="宋体"/>
          <w:b/>
          <w:bCs/>
          <w:szCs w:val="21"/>
          <w:highlight w:val="none"/>
          <w:lang w:val="en-US" w:eastAsia="zh-CN"/>
        </w:rPr>
        <w:t>7</w:t>
      </w:r>
      <w:r>
        <w:rPr>
          <w:rFonts w:hint="eastAsia" w:ascii="宋体" w:hAnsi="宋体"/>
          <w:b/>
          <w:bCs/>
          <w:szCs w:val="21"/>
          <w:highlight w:val="none"/>
        </w:rPr>
        <w:t>年</w:t>
      </w:r>
      <w:r>
        <w:rPr>
          <w:rFonts w:hint="eastAsia" w:ascii="宋体" w:hAnsi="宋体"/>
          <w:b/>
          <w:bCs/>
          <w:szCs w:val="21"/>
          <w:highlight w:val="none"/>
          <w:lang w:val="en-US" w:eastAsia="zh-CN"/>
        </w:rPr>
        <w:t>3</w:t>
      </w:r>
      <w:r>
        <w:rPr>
          <w:rFonts w:hint="eastAsia" w:ascii="宋体" w:hAnsi="宋体"/>
          <w:b/>
          <w:bCs/>
          <w:szCs w:val="21"/>
          <w:highlight w:val="none"/>
        </w:rPr>
        <w:t>月</w:t>
      </w:r>
      <w:r>
        <w:rPr>
          <w:rFonts w:ascii="宋体" w:hAnsi="宋体"/>
          <w:b/>
          <w:bCs/>
          <w:szCs w:val="21"/>
          <w:highlight w:val="none"/>
        </w:rPr>
        <w:t>1</w:t>
      </w:r>
      <w:r>
        <w:rPr>
          <w:rFonts w:hint="eastAsia" w:ascii="宋体" w:hAnsi="宋体"/>
          <w:b/>
          <w:bCs/>
          <w:szCs w:val="21"/>
          <w:highlight w:val="none"/>
        </w:rPr>
        <w:t>日至今。</w:t>
      </w:r>
    </w:p>
    <w:p>
      <w:pPr>
        <w:pStyle w:val="2"/>
        <w:spacing w:line="360" w:lineRule="exact"/>
        <w:ind w:left="300" w:leftChars="143" w:firstLine="211" w:firstLineChars="100"/>
        <w:rPr>
          <w:rFonts w:ascii="宋体"/>
          <w:b/>
          <w:bCs/>
          <w:szCs w:val="21"/>
          <w:highlight w:val="none"/>
        </w:rPr>
      </w:pPr>
      <w:r>
        <w:rPr>
          <w:rFonts w:ascii="宋体" w:hAnsi="宋体"/>
          <w:b/>
          <w:bCs/>
          <w:szCs w:val="21"/>
          <w:highlight w:val="none"/>
        </w:rPr>
        <w:t>4</w:t>
      </w:r>
      <w:r>
        <w:rPr>
          <w:rFonts w:hint="eastAsia" w:ascii="宋体" w:hAnsi="宋体"/>
          <w:b/>
          <w:bCs/>
          <w:szCs w:val="21"/>
          <w:highlight w:val="none"/>
        </w:rPr>
        <w:t>、计算各评审项目得分时，按四舍五入保留二位小数。</w:t>
      </w:r>
    </w:p>
    <w:p>
      <w:pPr>
        <w:pStyle w:val="2"/>
        <w:spacing w:line="360" w:lineRule="exact"/>
        <w:ind w:left="300" w:leftChars="143" w:firstLine="211" w:firstLineChars="100"/>
        <w:rPr>
          <w:rFonts w:ascii="宋体"/>
          <w:b/>
          <w:bCs/>
          <w:color w:val="FF0000"/>
          <w:szCs w:val="21"/>
          <w:highlight w:val="none"/>
        </w:rPr>
      </w:pPr>
      <w:r>
        <w:rPr>
          <w:rFonts w:ascii="宋体" w:hAnsi="宋体"/>
          <w:b/>
          <w:bCs/>
          <w:szCs w:val="21"/>
          <w:highlight w:val="none"/>
        </w:rPr>
        <w:t>5</w:t>
      </w:r>
      <w:r>
        <w:rPr>
          <w:rFonts w:hint="eastAsia" w:ascii="宋体" w:hAnsi="宋体"/>
          <w:b/>
          <w:bCs/>
          <w:szCs w:val="21"/>
          <w:highlight w:val="none"/>
        </w:rPr>
        <w:t>、各供应商的计分方法：汇总所有磋商小组成员对各供应商的有效记分的算术平均值为该供应商的综合得分。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24.4</w:t>
      </w:r>
      <w:r>
        <w:rPr>
          <w:rFonts w:hint="eastAsia" w:ascii="宋体" w:hAnsi="宋体" w:cs="宋体"/>
          <w:kern w:val="0"/>
          <w:sz w:val="24"/>
          <w:highlight w:val="none"/>
        </w:rPr>
        <w:t>磋商办法说明：支持小微企业发展、节能环保的鼓励优惠政策：</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w:t>
      </w:r>
      <w:r>
        <w:rPr>
          <w:rFonts w:hint="eastAsia" w:ascii="宋体" w:hAnsi="宋体" w:cs="宋体"/>
          <w:kern w:val="0"/>
          <w:sz w:val="24"/>
          <w:highlight w:val="none"/>
        </w:rPr>
        <w:t>、优采强采节能环保产品：</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w:t>
      </w:r>
      <w:r>
        <w:rPr>
          <w:rFonts w:ascii="宋体" w:hAnsi="宋体" w:cs="宋体"/>
          <w:kern w:val="0"/>
          <w:sz w:val="24"/>
          <w:highlight w:val="none"/>
        </w:rPr>
        <w:tab/>
      </w:r>
      <w:r>
        <w:rPr>
          <w:rFonts w:hint="eastAsia" w:ascii="宋体" w:hAnsi="宋体" w:cs="宋体"/>
          <w:kern w:val="0"/>
          <w:sz w:val="24"/>
          <w:highlight w:val="none"/>
        </w:rPr>
        <w:t>供应商所投产品属于节能产品清单中强制采购的节能产品，不享受鼓励优惠政策；属于节能产品目录中非强制采用的节能产品，需在资格证明文件中明确，享受鼓励优惠政策。</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2)</w:t>
      </w:r>
      <w:r>
        <w:rPr>
          <w:rFonts w:ascii="宋体" w:hAnsi="宋体" w:cs="宋体"/>
          <w:kern w:val="0"/>
          <w:sz w:val="24"/>
          <w:highlight w:val="none"/>
        </w:rPr>
        <w:tab/>
      </w:r>
      <w:r>
        <w:rPr>
          <w:rFonts w:hint="eastAsia" w:ascii="宋体" w:hAnsi="宋体" w:cs="宋体"/>
          <w:kern w:val="0"/>
          <w:sz w:val="24"/>
          <w:highlight w:val="none"/>
        </w:rPr>
        <w:t>供应商在响应文件中对所投产品为节能、环境标志产品清单中的产品，在报价时必须对此类产品单独分项报价（需提供报价明细表，含此类产品的单价、数量及全部节能、环境标志产品价格占总报价的权重），并提供属于政府采购清单内产品的证明资料（需提供加盖公章的环境标志产品政府采购清单官方网站截图及产品目录（财政部、环保部</w:t>
      </w:r>
      <w:r>
        <w:rPr>
          <w:rFonts w:hint="eastAsia" w:ascii="宋体" w:hAnsi="宋体" w:cs="宋体"/>
          <w:kern w:val="0"/>
          <w:sz w:val="24"/>
          <w:highlight w:val="none"/>
          <w:lang w:eastAsia="zh-CN"/>
        </w:rPr>
        <w:t>最新一期</w:t>
      </w:r>
      <w:r>
        <w:rPr>
          <w:rFonts w:hint="eastAsia" w:ascii="宋体" w:hAnsi="宋体" w:cs="宋体"/>
          <w:kern w:val="0"/>
          <w:sz w:val="24"/>
          <w:highlight w:val="none"/>
        </w:rPr>
        <w:t>）、加盖公章的节能产品政府采购清单官方网站截图及产品目录（财政部、国家发改委</w:t>
      </w:r>
      <w:r>
        <w:rPr>
          <w:rFonts w:hint="eastAsia" w:ascii="宋体" w:hAnsi="宋体" w:cs="宋体"/>
          <w:kern w:val="0"/>
          <w:sz w:val="24"/>
          <w:highlight w:val="none"/>
          <w:lang w:eastAsia="zh-CN"/>
        </w:rPr>
        <w:t>最新一期</w:t>
      </w:r>
      <w:r>
        <w:rPr>
          <w:rFonts w:hint="eastAsia" w:ascii="宋体" w:hAnsi="宋体" w:cs="宋体"/>
          <w:kern w:val="0"/>
          <w:sz w:val="24"/>
          <w:highlight w:val="none"/>
        </w:rPr>
        <w:t>），未提供节能、环境标志产品报价明细表及属于政府采购清单内产品的证明资料的不给予鼓励优惠政策，若节能、环境标志清单内的产品仅是构成报价产品的部件、组件或零件的，则该报价产品不享受鼓励优惠政策。</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3)</w:t>
      </w:r>
      <w:r>
        <w:rPr>
          <w:rFonts w:ascii="宋体" w:hAnsi="宋体" w:cs="宋体"/>
          <w:kern w:val="0"/>
          <w:sz w:val="24"/>
          <w:highlight w:val="none"/>
        </w:rPr>
        <w:tab/>
      </w:r>
      <w:r>
        <w:rPr>
          <w:rFonts w:hint="eastAsia" w:ascii="宋体" w:hAnsi="宋体" w:cs="宋体"/>
          <w:kern w:val="0"/>
          <w:sz w:val="24"/>
          <w:highlight w:val="none"/>
        </w:rPr>
        <w:t>在价格评标项中，对节能、环保产品分别给予价格评标总分值</w:t>
      </w:r>
      <w:r>
        <w:rPr>
          <w:rFonts w:ascii="宋体" w:hAnsi="宋体" w:cs="宋体"/>
          <w:kern w:val="0"/>
          <w:sz w:val="24"/>
          <w:highlight w:val="none"/>
        </w:rPr>
        <w:t>5%</w:t>
      </w:r>
      <w:r>
        <w:rPr>
          <w:rFonts w:hint="eastAsia" w:ascii="宋体" w:hAnsi="宋体" w:cs="宋体"/>
          <w:kern w:val="0"/>
          <w:sz w:val="24"/>
          <w:highlight w:val="none"/>
        </w:rPr>
        <w:t>的加分，加分公式如下：加分</w:t>
      </w:r>
      <w:r>
        <w:rPr>
          <w:rFonts w:ascii="宋体" w:hAnsi="宋体" w:cs="宋体"/>
          <w:kern w:val="0"/>
          <w:sz w:val="24"/>
          <w:highlight w:val="none"/>
        </w:rPr>
        <w:t>=</w:t>
      </w:r>
      <w:r>
        <w:rPr>
          <w:rFonts w:hint="eastAsia" w:ascii="宋体" w:hAnsi="宋体" w:cs="宋体"/>
          <w:kern w:val="0"/>
          <w:sz w:val="24"/>
          <w:highlight w:val="none"/>
        </w:rPr>
        <w:t>价格评标总分值×</w:t>
      </w:r>
      <w:r>
        <w:rPr>
          <w:rFonts w:ascii="宋体" w:hAnsi="宋体" w:cs="宋体"/>
          <w:kern w:val="0"/>
          <w:sz w:val="24"/>
          <w:highlight w:val="none"/>
        </w:rPr>
        <w:t>5%</w:t>
      </w:r>
      <w:r>
        <w:rPr>
          <w:rFonts w:hint="eastAsia" w:ascii="宋体" w:hAnsi="宋体" w:cs="宋体"/>
          <w:kern w:val="0"/>
          <w:sz w:val="24"/>
          <w:highlight w:val="none"/>
        </w:rPr>
        <w:t>×节能、环保产品价格在总报价中所占权重；</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4)</w:t>
      </w:r>
      <w:r>
        <w:rPr>
          <w:rFonts w:hint="eastAsia" w:ascii="宋体" w:hAnsi="宋体" w:cs="宋体"/>
          <w:kern w:val="0"/>
          <w:sz w:val="24"/>
          <w:highlight w:val="none"/>
        </w:rPr>
        <w:t>在技术评标项中，对节能、环保产品分别给予技术评标总分值</w:t>
      </w:r>
      <w:r>
        <w:rPr>
          <w:rFonts w:ascii="宋体" w:hAnsi="宋体" w:cs="宋体"/>
          <w:kern w:val="0"/>
          <w:sz w:val="24"/>
          <w:highlight w:val="none"/>
        </w:rPr>
        <w:t>5%</w:t>
      </w:r>
      <w:r>
        <w:rPr>
          <w:rFonts w:hint="eastAsia" w:ascii="宋体" w:hAnsi="宋体" w:cs="宋体"/>
          <w:kern w:val="0"/>
          <w:sz w:val="24"/>
          <w:highlight w:val="none"/>
        </w:rPr>
        <w:t>的加分，加分公式如下：加分</w:t>
      </w:r>
      <w:r>
        <w:rPr>
          <w:rFonts w:ascii="宋体" w:hAnsi="宋体" w:cs="宋体"/>
          <w:kern w:val="0"/>
          <w:sz w:val="24"/>
          <w:highlight w:val="none"/>
        </w:rPr>
        <w:t>=</w:t>
      </w:r>
      <w:r>
        <w:rPr>
          <w:rFonts w:hint="eastAsia" w:ascii="宋体" w:hAnsi="宋体" w:cs="宋体"/>
          <w:kern w:val="0"/>
          <w:sz w:val="24"/>
          <w:highlight w:val="none"/>
        </w:rPr>
        <w:t>技术评标总分值×</w:t>
      </w:r>
      <w:r>
        <w:rPr>
          <w:rFonts w:ascii="宋体" w:hAnsi="宋体" w:cs="宋体"/>
          <w:kern w:val="0"/>
          <w:sz w:val="24"/>
          <w:highlight w:val="none"/>
        </w:rPr>
        <w:t>5%</w:t>
      </w:r>
      <w:r>
        <w:rPr>
          <w:rFonts w:hint="eastAsia" w:ascii="宋体" w:hAnsi="宋体" w:cs="宋体"/>
          <w:kern w:val="0"/>
          <w:sz w:val="24"/>
          <w:highlight w:val="none"/>
        </w:rPr>
        <w:t>×节能、环保产品价格在总报价中所占权重。</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2</w:t>
      </w:r>
      <w:r>
        <w:rPr>
          <w:rFonts w:hint="eastAsia" w:ascii="宋体" w:hAnsi="宋体" w:cs="宋体"/>
          <w:kern w:val="0"/>
          <w:sz w:val="24"/>
          <w:highlight w:val="none"/>
        </w:rPr>
        <w:t>、小微企业</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供应商如属小微企业，产品价格需扣除的，须按照工信部联企业</w:t>
      </w:r>
      <w:r>
        <w:rPr>
          <w:rFonts w:ascii="宋体" w:hAnsi="宋体" w:cs="宋体"/>
          <w:kern w:val="0"/>
          <w:sz w:val="24"/>
          <w:highlight w:val="none"/>
        </w:rPr>
        <w:t>[2011]300</w:t>
      </w:r>
      <w:r>
        <w:rPr>
          <w:rFonts w:hint="eastAsia" w:ascii="宋体" w:hAnsi="宋体" w:cs="宋体"/>
          <w:kern w:val="0"/>
          <w:sz w:val="24"/>
          <w:highlight w:val="none"/>
        </w:rPr>
        <w:t>号文《关于印发中小企业划型标准规定的通知》及财政部、工信部等部委发布的《政府采购促进中小企业发展暂行办法》的规定需提供企业所在地县级以上中小企业主管部门出具的小微企业证明、《小微企业声明函》、《从业人员声明函》，否则评标时不予承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2)</w:t>
      </w:r>
      <w:r>
        <w:rPr>
          <w:rFonts w:hint="eastAsia" w:ascii="宋体" w:hAnsi="宋体" w:cs="宋体"/>
          <w:kern w:val="0"/>
          <w:sz w:val="24"/>
          <w:highlight w:val="none"/>
        </w:rPr>
        <w:t>供应商所投产品中全部为小微企业产品，给予</w:t>
      </w:r>
      <w:r>
        <w:rPr>
          <w:rFonts w:ascii="宋体" w:hAnsi="宋体" w:cs="宋体"/>
          <w:kern w:val="0"/>
          <w:sz w:val="24"/>
          <w:highlight w:val="none"/>
        </w:rPr>
        <w:t>6%</w:t>
      </w:r>
      <w:r>
        <w:rPr>
          <w:rFonts w:hint="eastAsia" w:ascii="宋体" w:hAnsi="宋体" w:cs="宋体"/>
          <w:kern w:val="0"/>
          <w:sz w:val="24"/>
          <w:highlight w:val="none"/>
        </w:rPr>
        <w:t>的价格扣除；所投产品中部分为小微企业产品，小微企业产品金额占合同金额</w:t>
      </w:r>
      <w:r>
        <w:rPr>
          <w:rFonts w:ascii="宋体" w:hAnsi="宋体" w:cs="宋体"/>
          <w:kern w:val="0"/>
          <w:sz w:val="24"/>
          <w:highlight w:val="none"/>
        </w:rPr>
        <w:t>30%</w:t>
      </w:r>
      <w:r>
        <w:rPr>
          <w:rFonts w:hint="eastAsia" w:ascii="宋体" w:hAnsi="宋体" w:cs="宋体"/>
          <w:kern w:val="0"/>
          <w:sz w:val="24"/>
          <w:highlight w:val="none"/>
        </w:rPr>
        <w:t>以下的不给予价格扣除，小微企业产品金额占合同金额</w:t>
      </w:r>
      <w:r>
        <w:rPr>
          <w:rFonts w:ascii="宋体" w:hAnsi="宋体" w:cs="宋体"/>
          <w:kern w:val="0"/>
          <w:sz w:val="24"/>
          <w:highlight w:val="none"/>
        </w:rPr>
        <w:t>30%</w:t>
      </w:r>
      <w:r>
        <w:rPr>
          <w:rFonts w:hint="eastAsia" w:ascii="宋体" w:hAnsi="宋体" w:cs="宋体"/>
          <w:kern w:val="0"/>
          <w:sz w:val="24"/>
          <w:highlight w:val="none"/>
        </w:rPr>
        <w:t>以上的给予</w:t>
      </w:r>
      <w:r>
        <w:rPr>
          <w:rFonts w:ascii="宋体" w:hAnsi="宋体" w:cs="宋体"/>
          <w:kern w:val="0"/>
          <w:sz w:val="24"/>
          <w:highlight w:val="none"/>
        </w:rPr>
        <w:t>2%</w:t>
      </w:r>
      <w:r>
        <w:rPr>
          <w:rFonts w:hint="eastAsia" w:ascii="宋体" w:hAnsi="宋体" w:cs="宋体"/>
          <w:kern w:val="0"/>
          <w:sz w:val="24"/>
          <w:highlight w:val="none"/>
        </w:rPr>
        <w:t>的价格扣除；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3)</w:t>
      </w:r>
      <w:r>
        <w:rPr>
          <w:rFonts w:hint="eastAsia" w:ascii="宋体" w:hAnsi="宋体" w:cs="宋体"/>
          <w:kern w:val="0"/>
          <w:sz w:val="24"/>
          <w:highlight w:val="none"/>
        </w:rPr>
        <w:t>根据《财政部司法部关于政府采购支持监狱企业发展有关问题的通知》（财库【</w:t>
      </w:r>
      <w:r>
        <w:rPr>
          <w:rFonts w:ascii="宋体" w:hAnsi="宋体" w:cs="宋体"/>
          <w:kern w:val="0"/>
          <w:sz w:val="24"/>
          <w:highlight w:val="none"/>
        </w:rPr>
        <w:t>2014</w:t>
      </w:r>
      <w:r>
        <w:rPr>
          <w:rFonts w:hint="eastAsia" w:ascii="宋体" w:hAnsi="宋体" w:cs="宋体"/>
          <w:kern w:val="0"/>
          <w:sz w:val="24"/>
          <w:highlight w:val="none"/>
        </w:rPr>
        <w:t>】</w:t>
      </w:r>
      <w:r>
        <w:rPr>
          <w:rFonts w:ascii="宋体" w:hAnsi="宋体" w:cs="宋体"/>
          <w:kern w:val="0"/>
          <w:sz w:val="24"/>
          <w:highlight w:val="none"/>
        </w:rPr>
        <w:t xml:space="preserve">68 </w:t>
      </w:r>
      <w:r>
        <w:rPr>
          <w:rFonts w:hint="eastAsia" w:ascii="宋体" w:hAnsi="宋体" w:cs="宋体"/>
          <w:kern w:val="0"/>
          <w:sz w:val="24"/>
          <w:highlight w:val="none"/>
        </w:rPr>
        <w:t>号）文件规定，在政府采购活动中，监狱企业视同小型、微型企业，享受评标中价格扣除的政府采购政策；</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4)</w:t>
      </w:r>
      <w:r>
        <w:rPr>
          <w:rFonts w:hint="eastAsia" w:ascii="宋体" w:hAnsi="宋体" w:cs="宋体"/>
          <w:kern w:val="0"/>
          <w:sz w:val="24"/>
          <w:highlight w:val="none"/>
        </w:rPr>
        <w:t>如供应商为监狱企业，须提供省级以上监狱管理局、戒毒管理局（含新疆生产建设兵团）出具的属于监狱企业的证明文件，否则评标时不予承认；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5)</w:t>
      </w:r>
      <w:r>
        <w:rPr>
          <w:rFonts w:hint="eastAsia" w:ascii="宋体" w:hAnsi="宋体" w:cs="宋体"/>
          <w:kern w:val="0"/>
          <w:sz w:val="24"/>
          <w:highlight w:val="none"/>
        </w:rPr>
        <w:t>小型、微型企业提供中型及以上企业制造的货物的，视同为中型及以上企业；</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6)</w:t>
      </w:r>
      <w:r>
        <w:rPr>
          <w:rFonts w:hint="eastAsia" w:ascii="宋体" w:hAnsi="宋体" w:cs="宋体"/>
          <w:kern w:val="0"/>
          <w:sz w:val="24"/>
          <w:highlight w:val="none"/>
        </w:rPr>
        <w:t>给予小型和微型企业产品的价格</w:t>
      </w:r>
      <w:r>
        <w:rPr>
          <w:rFonts w:ascii="宋体" w:hAnsi="宋体" w:cs="宋体"/>
          <w:kern w:val="0"/>
          <w:sz w:val="24"/>
          <w:highlight w:val="none"/>
        </w:rPr>
        <w:t>6%</w:t>
      </w:r>
      <w:r>
        <w:rPr>
          <w:rFonts w:hint="eastAsia" w:ascii="宋体" w:hAnsi="宋体" w:cs="宋体"/>
          <w:kern w:val="0"/>
          <w:sz w:val="24"/>
          <w:highlight w:val="none"/>
        </w:rPr>
        <w:t>的扣除；计算方法是：</w:t>
      </w:r>
    </w:p>
    <w:p>
      <w:pPr>
        <w:widowControl/>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rPr>
        <w:t>最终价格＝投标报价×</w:t>
      </w:r>
      <w:r>
        <w:rPr>
          <w:rFonts w:ascii="宋体" w:hAnsi="宋体" w:cs="宋体"/>
          <w:kern w:val="0"/>
          <w:sz w:val="24"/>
          <w:highlight w:val="none"/>
        </w:rPr>
        <w:t>94%</w:t>
      </w:r>
      <w:r>
        <w:rPr>
          <w:rFonts w:hint="eastAsia" w:ascii="宋体" w:hAnsi="宋体" w:cs="宋体"/>
          <w:kern w:val="0"/>
          <w:sz w:val="24"/>
          <w:highlight w:val="none"/>
        </w:rPr>
        <w:t>，按照最终价格计算其价格分得分。</w:t>
      </w:r>
    </w:p>
    <w:p>
      <w:pPr>
        <w:widowControl/>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rPr>
        <w:t>投标报价时，供应商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1.3</w:t>
      </w:r>
      <w:r>
        <w:rPr>
          <w:rFonts w:hint="eastAsia" w:ascii="宋体" w:hAnsi="宋体" w:cs="宋体"/>
          <w:kern w:val="0"/>
          <w:sz w:val="24"/>
          <w:highlight w:val="none"/>
        </w:rPr>
        <w:t>监狱企业</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w:t>
      </w:r>
      <w:r>
        <w:rPr>
          <w:rFonts w:ascii="宋体" w:hAnsi="宋体" w:cs="宋体"/>
          <w:kern w:val="0"/>
          <w:sz w:val="24"/>
          <w:highlight w:val="none"/>
        </w:rPr>
        <w:tab/>
      </w:r>
      <w:r>
        <w:rPr>
          <w:rFonts w:hint="eastAsia" w:ascii="宋体" w:hAnsi="宋体" w:cs="宋体"/>
          <w:kern w:val="0"/>
          <w:sz w:val="24"/>
          <w:highlight w:val="none"/>
        </w:rPr>
        <w:t>给予监狱企业产品的价格</w:t>
      </w:r>
      <w:r>
        <w:rPr>
          <w:rFonts w:ascii="宋体" w:hAnsi="宋体" w:cs="宋体"/>
          <w:kern w:val="0"/>
          <w:sz w:val="24"/>
          <w:highlight w:val="none"/>
        </w:rPr>
        <w:t>6%</w:t>
      </w:r>
      <w:r>
        <w:rPr>
          <w:rFonts w:hint="eastAsia" w:ascii="宋体" w:hAnsi="宋体" w:cs="宋体"/>
          <w:kern w:val="0"/>
          <w:sz w:val="24"/>
          <w:highlight w:val="none"/>
        </w:rPr>
        <w:t>的扣除；计算方法是：</w:t>
      </w:r>
    </w:p>
    <w:p>
      <w:pPr>
        <w:widowControl/>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rPr>
        <w:t>最终价格＝投标报价×</w:t>
      </w:r>
      <w:r>
        <w:rPr>
          <w:rFonts w:ascii="宋体" w:hAnsi="宋体" w:cs="宋体"/>
          <w:kern w:val="0"/>
          <w:sz w:val="24"/>
          <w:highlight w:val="none"/>
        </w:rPr>
        <w:t>94%</w:t>
      </w:r>
      <w:r>
        <w:rPr>
          <w:rFonts w:hint="eastAsia" w:ascii="宋体" w:hAnsi="宋体" w:cs="宋体"/>
          <w:kern w:val="0"/>
          <w:sz w:val="24"/>
          <w:highlight w:val="none"/>
        </w:rPr>
        <w:t>，按照最终价格计算其价格分得分。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24.5 </w:t>
      </w:r>
      <w:r>
        <w:rPr>
          <w:rFonts w:hint="eastAsia" w:ascii="宋体" w:hAnsi="宋体" w:cs="宋体"/>
          <w:kern w:val="0"/>
          <w:sz w:val="24"/>
          <w:highlight w:val="none"/>
        </w:rPr>
        <w:t>无论在评标过程中或其他任何时侯发现下列情形之一的，投标将被拒绝，若中标，则无效。招标代理有权依法追究供应商的法律责任。</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提供虚假材料谋取中标的；</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采取不正当手段诋毁、排挤其他供应商的；</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3) </w:t>
      </w:r>
      <w:r>
        <w:rPr>
          <w:rFonts w:hint="eastAsia" w:ascii="宋体" w:hAnsi="宋体" w:cs="宋体"/>
          <w:kern w:val="0"/>
          <w:sz w:val="24"/>
          <w:highlight w:val="none"/>
        </w:rPr>
        <w:t>恶意串通投标的；</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4) </w:t>
      </w:r>
      <w:r>
        <w:rPr>
          <w:rFonts w:hint="eastAsia" w:ascii="宋体" w:hAnsi="宋体" w:cs="宋体"/>
          <w:kern w:val="0"/>
          <w:sz w:val="24"/>
          <w:highlight w:val="none"/>
        </w:rPr>
        <w:t>其他任何有企图影响招标结果公正性的活动。</w:t>
      </w:r>
    </w:p>
    <w:p>
      <w:pPr>
        <w:widowControl/>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rPr>
        <w:t>经初审合格的响应文件，评标委员会将根据竞争性磋商文件确定的评标方法做进一步评定。</w:t>
      </w:r>
    </w:p>
    <w:p>
      <w:pPr>
        <w:widowControl/>
        <w:spacing w:line="360" w:lineRule="auto"/>
        <w:ind w:firstLine="482" w:firstLineChars="200"/>
        <w:jc w:val="left"/>
        <w:rPr>
          <w:rFonts w:ascii="宋体" w:cs="宋体"/>
          <w:b/>
          <w:kern w:val="0"/>
          <w:sz w:val="24"/>
          <w:highlight w:val="none"/>
        </w:rPr>
      </w:pPr>
      <w:r>
        <w:rPr>
          <w:rFonts w:ascii="宋体" w:hAnsi="宋体" w:cs="宋体"/>
          <w:b/>
          <w:kern w:val="0"/>
          <w:sz w:val="24"/>
          <w:highlight w:val="none"/>
        </w:rPr>
        <w:t xml:space="preserve">22. </w:t>
      </w:r>
      <w:r>
        <w:rPr>
          <w:rFonts w:hint="eastAsia" w:ascii="宋体" w:hAnsi="宋体" w:cs="宋体"/>
          <w:b/>
          <w:kern w:val="0"/>
          <w:sz w:val="24"/>
          <w:highlight w:val="none"/>
        </w:rPr>
        <w:t>初步评审</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22.1</w:t>
      </w:r>
      <w:r>
        <w:rPr>
          <w:rFonts w:hint="eastAsia" w:ascii="宋体" w:hAnsi="宋体" w:cs="宋体"/>
          <w:kern w:val="0"/>
          <w:sz w:val="24"/>
          <w:highlight w:val="none"/>
        </w:rPr>
        <w:t>响应文件的初审分为资格性检查和符合性检查。资格性检查指依据法律、法规和竞争性磋商文件的规定，磋商小组对响应文件中的供应商资格证明材料进行审查，以确定供应商是否具备报价资格。符合性检查指依据竞争性磋商文件的规定，从响应文件的有效性、完整性和对竞争性磋商文件的响应程度进行审查，以确定是否对竞争性磋商文件的实质性要求作出响应。</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22.2</w:t>
      </w:r>
      <w:r>
        <w:rPr>
          <w:rFonts w:hint="eastAsia" w:ascii="宋体" w:hAnsi="宋体" w:cs="宋体"/>
          <w:kern w:val="0"/>
          <w:sz w:val="24"/>
          <w:highlight w:val="none"/>
        </w:rPr>
        <w:t>在综合评审之前，磋商小组要审查每份响应文件是否实质上响应了竞争性磋商文件的要求。</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w:t>
      </w:r>
      <w:r>
        <w:rPr>
          <w:rFonts w:hint="eastAsia" w:ascii="宋体" w:hAnsi="宋体" w:cs="宋体"/>
          <w:kern w:val="0"/>
          <w:sz w:val="24"/>
          <w:highlight w:val="none"/>
        </w:rPr>
        <w:t>）实质性响应的报价是指报价符合竞争性磋商文件的所有条款、条件和规格且没有重大偏离或保留。</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2</w:t>
      </w:r>
      <w:r>
        <w:rPr>
          <w:rFonts w:hint="eastAsia" w:ascii="宋体" w:hAnsi="宋体" w:cs="宋体"/>
          <w:kern w:val="0"/>
          <w:sz w:val="24"/>
          <w:highlight w:val="none"/>
        </w:rPr>
        <w:t>）重大偏离不允许在开标后修正，但磋商小组将允许修正报价中不构成重大偏离的地方，这些修正不会对其他实质上响应竞争性磋商文件要求的供应商的竞争地位产生不公正的影响。</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3</w:t>
      </w:r>
      <w:r>
        <w:rPr>
          <w:rFonts w:hint="eastAsia" w:ascii="宋体" w:hAnsi="宋体" w:cs="宋体"/>
          <w:kern w:val="0"/>
          <w:sz w:val="24"/>
          <w:highlight w:val="none"/>
        </w:rPr>
        <w:t>）如出现下列情形之一的，视为对竞争性磋商文件没有做出实质性响应，按照无效报价处理。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A</w:t>
      </w:r>
      <w:r>
        <w:rPr>
          <w:rFonts w:hint="eastAsia" w:ascii="宋体" w:hAnsi="宋体" w:cs="宋体"/>
          <w:kern w:val="0"/>
          <w:sz w:val="24"/>
          <w:highlight w:val="none"/>
        </w:rPr>
        <w:t>、应交未交或未足额交纳磋商保证金；</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B</w:t>
      </w:r>
      <w:r>
        <w:rPr>
          <w:rFonts w:hint="eastAsia" w:ascii="宋体" w:hAnsi="宋体" w:cs="宋体"/>
          <w:kern w:val="0"/>
          <w:sz w:val="24"/>
          <w:highlight w:val="none"/>
        </w:rPr>
        <w:t>、资格证明文件不齐全或无效的；</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C</w:t>
      </w:r>
      <w:r>
        <w:rPr>
          <w:rFonts w:hint="eastAsia" w:ascii="宋体" w:hAnsi="宋体" w:cs="宋体"/>
          <w:kern w:val="0"/>
          <w:sz w:val="24"/>
          <w:highlight w:val="none"/>
        </w:rPr>
        <w:t>、未按照竞争性磋商文件要求密封、签署、盖章的；</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D</w:t>
      </w:r>
      <w:r>
        <w:rPr>
          <w:rFonts w:hint="eastAsia" w:ascii="宋体" w:hAnsi="宋体" w:cs="宋体"/>
          <w:kern w:val="0"/>
          <w:sz w:val="24"/>
          <w:highlight w:val="none"/>
        </w:rPr>
        <w:t>、不具备竞争性磋商文件中规定资格要求的；</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E</w:t>
      </w:r>
      <w:r>
        <w:rPr>
          <w:rFonts w:hint="eastAsia" w:ascii="宋体" w:hAnsi="宋体" w:cs="宋体"/>
          <w:kern w:val="0"/>
          <w:sz w:val="24"/>
          <w:highlight w:val="none"/>
        </w:rPr>
        <w:t>、报价有效期不足的；</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F</w:t>
      </w:r>
      <w:r>
        <w:rPr>
          <w:rFonts w:hint="eastAsia" w:ascii="宋体" w:hAnsi="宋体" w:cs="宋体"/>
          <w:kern w:val="0"/>
          <w:sz w:val="24"/>
          <w:highlight w:val="none"/>
        </w:rPr>
        <w:t>、不符合法律法规和磋商文件中规定的其他实质性要求的；</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G</w:t>
      </w:r>
      <w:r>
        <w:rPr>
          <w:rFonts w:hint="eastAsia" w:ascii="宋体" w:hAnsi="宋体" w:cs="宋体"/>
          <w:kern w:val="0"/>
          <w:sz w:val="24"/>
          <w:highlight w:val="none"/>
        </w:rPr>
        <w:t>、供应商不参加公开报价仪式及磋商事宜；</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H</w:t>
      </w:r>
      <w:r>
        <w:rPr>
          <w:rFonts w:hint="eastAsia" w:ascii="宋体" w:hAnsi="宋体" w:cs="宋体"/>
          <w:kern w:val="0"/>
          <w:sz w:val="24"/>
          <w:highlight w:val="none"/>
        </w:rPr>
        <w:t>、响应文件中的商务条款、货物配置、技术参数（或使用功能）明显不符合磋商文件要求。</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I</w:t>
      </w:r>
      <w:r>
        <w:rPr>
          <w:rFonts w:hint="eastAsia" w:ascii="宋体" w:hAnsi="宋体" w:cs="宋体"/>
          <w:kern w:val="0"/>
          <w:sz w:val="24"/>
          <w:highlight w:val="none"/>
        </w:rPr>
        <w:t>、任何通过简单拷贝磋商文件的技术规格要求，或在填写技术规格偏离表时，未对应磋商文件技术要求逐项填写，未用具体数字或文字来表述，而仅填写“偏离”、“不偏离”或“满足”、“不满足”的。</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J</w:t>
      </w:r>
      <w:r>
        <w:rPr>
          <w:rFonts w:hint="eastAsia" w:ascii="宋体" w:hAnsi="宋体" w:cs="宋体"/>
          <w:kern w:val="0"/>
          <w:sz w:val="24"/>
          <w:highlight w:val="none"/>
        </w:rPr>
        <w:t>、未提供投标设备样本（原件）的。</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4</w:t>
      </w:r>
      <w:r>
        <w:rPr>
          <w:rFonts w:hint="eastAsia" w:ascii="宋体" w:hAnsi="宋体" w:cs="宋体"/>
          <w:kern w:val="0"/>
          <w:sz w:val="24"/>
          <w:highlight w:val="none"/>
        </w:rPr>
        <w:t>）磋商小组将拒绝被确定为非实质性响应的响应文件，供应商不能通过修正或撤销响应文件中的不符之处而使其报价成为实质性响应的报价。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22.3 </w:t>
      </w:r>
      <w:r>
        <w:rPr>
          <w:rFonts w:hint="eastAsia" w:ascii="宋体" w:hAnsi="宋体" w:cs="宋体"/>
          <w:kern w:val="0"/>
          <w:sz w:val="24"/>
          <w:highlight w:val="none"/>
        </w:rPr>
        <w:t>初审中，对明显的文字和计算错误按下述原则处理：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   </w:t>
      </w:r>
      <w:r>
        <w:rPr>
          <w:rFonts w:hint="eastAsia" w:ascii="宋体" w:hAnsi="宋体" w:cs="宋体"/>
          <w:kern w:val="0"/>
          <w:sz w:val="24"/>
          <w:highlight w:val="none"/>
        </w:rPr>
        <w:t>如果正本与副本或电子文档不一致，以正本为准；如果单独的报价一览表与响应文件正本有差异，以报价一览表为准；响应文件中的报价一览表与响应文件中明细表内容不一致的，以报价一览表为准。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   </w:t>
      </w:r>
      <w:r>
        <w:rPr>
          <w:rFonts w:hint="eastAsia" w:ascii="宋体" w:hAnsi="宋体" w:cs="宋体"/>
          <w:kern w:val="0"/>
          <w:sz w:val="24"/>
          <w:highlight w:val="none"/>
        </w:rPr>
        <w:t>如果以文字表示的数据与数字表示的有差别，以文字为准修正数字。如果大写金额和小写金额不一致的，以大写金额为准；单价金额小数点有明显错位的，应以总价为准，并修改单价。调整后的数据对供应商具有约束力，供应商不同意以上修正，其报价将被拒绝。</w:t>
      </w:r>
      <w:bookmarkStart w:id="32" w:name="gpcItem_packCopy_2"/>
    </w:p>
    <w:bookmarkEnd w:id="32"/>
    <w:p>
      <w:pPr>
        <w:widowControl/>
        <w:spacing w:line="360" w:lineRule="auto"/>
        <w:ind w:firstLine="482" w:firstLineChars="200"/>
        <w:jc w:val="left"/>
        <w:rPr>
          <w:rFonts w:ascii="宋体" w:cs="宋体"/>
          <w:b/>
          <w:kern w:val="0"/>
          <w:sz w:val="24"/>
          <w:highlight w:val="none"/>
        </w:rPr>
      </w:pPr>
      <w:r>
        <w:rPr>
          <w:rFonts w:ascii="宋体" w:hAnsi="宋体" w:cs="宋体"/>
          <w:b/>
          <w:kern w:val="0"/>
          <w:sz w:val="24"/>
          <w:highlight w:val="none"/>
        </w:rPr>
        <w:t xml:space="preserve">23. </w:t>
      </w:r>
      <w:r>
        <w:rPr>
          <w:rFonts w:hint="eastAsia" w:ascii="宋体" w:hAnsi="宋体" w:cs="宋体"/>
          <w:b/>
          <w:kern w:val="0"/>
          <w:sz w:val="24"/>
          <w:highlight w:val="none"/>
        </w:rPr>
        <w:t>磋商</w:t>
      </w:r>
    </w:p>
    <w:p>
      <w:pPr>
        <w:widowControl/>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rPr>
        <w:t>初审结束后，针对通过初步审查的供应商，磋商小组所有成员应当集中与单一供应商分别进行磋商，并给予所有参加磋商的供应商平等的磋商机会。同时根据针对评审过程中不明确的问题要求供应商进行澄清、答疑，并要求供应商在规定时间进行再次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23.1</w:t>
      </w:r>
      <w:r>
        <w:rPr>
          <w:rFonts w:hint="eastAsia" w:ascii="宋体" w:hAnsi="宋体" w:cs="宋体"/>
          <w:kern w:val="0"/>
          <w:sz w:val="24"/>
          <w:highlight w:val="none"/>
        </w:rPr>
        <w:t>响应文件的澄清</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w:t>
      </w:r>
      <w:r>
        <w:rPr>
          <w:rFonts w:hint="eastAsia" w:ascii="宋体" w:hAnsi="宋体" w:cs="宋体"/>
          <w:kern w:val="0"/>
          <w:sz w:val="24"/>
          <w:highlight w:val="none"/>
        </w:rPr>
        <w:t>）磋商小组有权以书面形式要求供应商对其响应文件中含义不明确、同类问题表述不一致或者有明显文字和计算错误的内容作出必要的澄清、说明或者补正。但供应商的澄清、说明或者补正应当采用书面形式，由其法定代表人或授权代理人签字，并不得超出响应文件的范围或改变响应文件的实质性内容。供应商澄清、说明或者补正的内容构成响应文件的组成部分。供应商拒不按照要求对响应文件进行澄清、说明或者补正的，磋商小组可拒绝该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2</w:t>
      </w:r>
      <w:r>
        <w:rPr>
          <w:rFonts w:hint="eastAsia" w:ascii="宋体" w:hAnsi="宋体" w:cs="宋体"/>
          <w:kern w:val="0"/>
          <w:sz w:val="24"/>
          <w:highlight w:val="none"/>
        </w:rPr>
        <w:t>）如磋商小组一致认为某个供应商的报价明显不合理，有降低质量、不能诚信履行的可能时，磋商小组有权决定是否通知供应商限期进行书面解释或提供相关证明材料。若已要求，而该供应商在规定期限内未做出解释、作出的解释不合理或不能提</w:t>
      </w:r>
      <w:r>
        <w:rPr>
          <w:rFonts w:ascii="宋体" w:hAnsi="宋体" w:cs="宋体"/>
          <w:kern w:val="0"/>
          <w:sz w:val="24"/>
          <w:highlight w:val="none"/>
        </w:rPr>
        <w:t xml:space="preserve"> </w:t>
      </w:r>
      <w:r>
        <w:rPr>
          <w:rFonts w:hint="eastAsia" w:ascii="宋体" w:hAnsi="宋体" w:cs="宋体"/>
          <w:kern w:val="0"/>
          <w:sz w:val="24"/>
          <w:highlight w:val="none"/>
        </w:rPr>
        <w:t>供证明材料的，经磋商小组取得一致意见后，可拒绝该报价。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23.2 </w:t>
      </w:r>
      <w:r>
        <w:rPr>
          <w:rFonts w:hint="eastAsia" w:ascii="宋体" w:hAnsi="宋体" w:cs="宋体"/>
          <w:kern w:val="0"/>
          <w:sz w:val="24"/>
          <w:highlight w:val="none"/>
        </w:rPr>
        <w:t>磋商小组成员集中与单一供应商磋商后，按照竞争性磋商文件规定的报价方式及次数要求供应商在规定的时间内进行再次报价。</w:t>
      </w:r>
    </w:p>
    <w:p>
      <w:pPr>
        <w:widowControl/>
        <w:spacing w:line="360" w:lineRule="auto"/>
        <w:ind w:left="1081" w:leftChars="228" w:hanging="602" w:hangingChars="250"/>
        <w:jc w:val="left"/>
        <w:rPr>
          <w:rFonts w:ascii="宋体" w:cs="宋体"/>
          <w:b/>
          <w:kern w:val="0"/>
          <w:sz w:val="24"/>
          <w:highlight w:val="none"/>
        </w:rPr>
      </w:pPr>
      <w:r>
        <w:rPr>
          <w:rFonts w:ascii="宋体" w:hAnsi="宋体" w:cs="宋体"/>
          <w:b/>
          <w:kern w:val="0"/>
          <w:sz w:val="24"/>
          <w:highlight w:val="none"/>
        </w:rPr>
        <w:t xml:space="preserve">24. </w:t>
      </w:r>
      <w:r>
        <w:rPr>
          <w:rFonts w:hint="eastAsia" w:ascii="宋体" w:hAnsi="宋体" w:cs="宋体"/>
          <w:b/>
          <w:kern w:val="0"/>
          <w:sz w:val="24"/>
          <w:highlight w:val="none"/>
        </w:rPr>
        <w:t>综合评审</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24.1</w:t>
      </w:r>
      <w:r>
        <w:rPr>
          <w:rFonts w:hint="eastAsia" w:ascii="宋体" w:hAnsi="宋体" w:cs="宋体"/>
          <w:kern w:val="0"/>
          <w:sz w:val="24"/>
          <w:highlight w:val="none"/>
        </w:rPr>
        <w:t>根据初审和磋商情况，磋商小组将根据竞争性磋商文件确定的评分标准和方法作进一步的比较和评价。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24.2 </w:t>
      </w:r>
      <w:r>
        <w:rPr>
          <w:rFonts w:hint="eastAsia" w:ascii="宋体" w:hAnsi="宋体" w:cs="宋体"/>
          <w:kern w:val="0"/>
          <w:sz w:val="24"/>
          <w:highlight w:val="none"/>
        </w:rPr>
        <w:t>磋商小组严格按照竞争性磋商文件的要求和条件进行综合分析，比较报价，同时考虑以下因素：</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报价的合理性和客观性；</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货物的性能指标、品牌知名度、市场占有率、使用寿命；</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3) </w:t>
      </w:r>
      <w:r>
        <w:rPr>
          <w:rFonts w:hint="eastAsia" w:ascii="宋体" w:hAnsi="宋体" w:cs="宋体"/>
          <w:kern w:val="0"/>
          <w:sz w:val="24"/>
          <w:highlight w:val="none"/>
        </w:rPr>
        <w:t>所提供货物的性能和适应性；</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4) </w:t>
      </w:r>
      <w:r>
        <w:rPr>
          <w:rFonts w:hint="eastAsia" w:ascii="宋体" w:hAnsi="宋体" w:cs="宋体"/>
          <w:kern w:val="0"/>
          <w:sz w:val="24"/>
          <w:highlight w:val="none"/>
        </w:rPr>
        <w:t>性能保证和售后服务；</w:t>
      </w:r>
    </w:p>
    <w:p>
      <w:pPr>
        <w:widowControl/>
        <w:spacing w:line="360" w:lineRule="auto"/>
        <w:ind w:firstLine="480" w:firstLineChars="200"/>
        <w:jc w:val="left"/>
        <w:rPr>
          <w:rFonts w:ascii="宋体" w:hAnsi="宋体" w:cs="宋体"/>
          <w:kern w:val="0"/>
          <w:sz w:val="24"/>
          <w:highlight w:val="none"/>
        </w:rPr>
      </w:pPr>
      <w:r>
        <w:rPr>
          <w:rFonts w:ascii="宋体" w:hAnsi="宋体" w:cs="宋体"/>
          <w:kern w:val="0"/>
          <w:sz w:val="24"/>
          <w:highlight w:val="none"/>
        </w:rPr>
        <w:t xml:space="preserve">5) </w:t>
      </w:r>
      <w:r>
        <w:rPr>
          <w:rFonts w:hint="eastAsia" w:ascii="宋体" w:hAnsi="宋体" w:cs="宋体"/>
          <w:kern w:val="0"/>
          <w:sz w:val="24"/>
          <w:highlight w:val="none"/>
        </w:rPr>
        <w:t>交货的进度安排和对</w:t>
      </w:r>
      <w:r>
        <w:rPr>
          <w:rFonts w:hint="eastAsia" w:ascii="宋体" w:hAnsi="宋体" w:cs="宋体"/>
          <w:kern w:val="0"/>
          <w:sz w:val="24"/>
          <w:highlight w:val="none"/>
          <w:lang w:eastAsia="zh-CN"/>
        </w:rPr>
        <w:t>磋商</w:t>
      </w:r>
      <w:r>
        <w:rPr>
          <w:rFonts w:hint="eastAsia" w:ascii="宋体" w:hAnsi="宋体" w:cs="宋体"/>
          <w:kern w:val="0"/>
          <w:sz w:val="24"/>
          <w:highlight w:val="none"/>
        </w:rPr>
        <w:t>文件的响应程度</w:t>
      </w:r>
      <w:r>
        <w:rPr>
          <w:rFonts w:hint="eastAsia" w:ascii="宋体" w:hAnsi="宋体" w:cs="宋体"/>
          <w:kern w:val="0"/>
          <w:sz w:val="24"/>
          <w:highlight w:val="none"/>
          <w:lang w:eastAsia="zh-CN"/>
        </w:rPr>
        <w:t>；</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6)</w:t>
      </w:r>
      <w:r>
        <w:rPr>
          <w:rFonts w:hint="eastAsia" w:ascii="宋体" w:hAnsi="宋体" w:cs="宋体"/>
          <w:kern w:val="0"/>
          <w:sz w:val="24"/>
          <w:highlight w:val="none"/>
        </w:rPr>
        <w:t>售后服务条款；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7)</w:t>
      </w:r>
      <w:r>
        <w:rPr>
          <w:rFonts w:hint="eastAsia" w:ascii="宋体" w:hAnsi="宋体" w:cs="宋体"/>
          <w:kern w:val="0"/>
          <w:sz w:val="24"/>
          <w:highlight w:val="none"/>
        </w:rPr>
        <w:t>技术及商务有无偏离；</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8)</w:t>
      </w:r>
      <w:r>
        <w:rPr>
          <w:rFonts w:hint="eastAsia" w:ascii="宋体" w:hAnsi="宋体" w:cs="宋体"/>
          <w:kern w:val="0"/>
          <w:sz w:val="24"/>
          <w:highlight w:val="none"/>
        </w:rPr>
        <w:t>资信情况和履约能力；</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9)</w:t>
      </w:r>
      <w:r>
        <w:rPr>
          <w:rFonts w:hint="eastAsia" w:ascii="宋体" w:hAnsi="宋体" w:cs="宋体"/>
          <w:kern w:val="0"/>
          <w:sz w:val="24"/>
          <w:highlight w:val="none"/>
        </w:rPr>
        <w:t>经营业绩；</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w:t>
      </w:r>
      <w:r>
        <w:rPr>
          <w:rFonts w:hint="eastAsia" w:ascii="宋体" w:hAnsi="宋体" w:cs="宋体"/>
          <w:kern w:val="0"/>
          <w:sz w:val="24"/>
          <w:highlight w:val="none"/>
        </w:rPr>
        <w:t>）优惠条件；</w:t>
      </w:r>
    </w:p>
    <w:p>
      <w:pPr>
        <w:widowControl/>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rPr>
        <w:t>其他。</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24.3 </w:t>
      </w:r>
      <w:r>
        <w:rPr>
          <w:rFonts w:hint="eastAsia" w:ascii="宋体" w:hAnsi="宋体" w:cs="宋体"/>
          <w:kern w:val="0"/>
          <w:sz w:val="24"/>
          <w:highlight w:val="none"/>
        </w:rPr>
        <w:t>无论在评审过程中或其他任何时侯发现下列情形之一的，报价将被拒绝，若成交，则无效。采购人有权依法追究供应商的法律责任。</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w:t>
      </w:r>
      <w:r>
        <w:rPr>
          <w:rFonts w:hint="eastAsia" w:ascii="宋体" w:hAnsi="宋体" w:cs="宋体"/>
          <w:kern w:val="0"/>
          <w:sz w:val="24"/>
          <w:highlight w:val="none"/>
        </w:rPr>
        <w:t>提供虚假材料谋取中标的；</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2)</w:t>
      </w:r>
      <w:r>
        <w:rPr>
          <w:rFonts w:hint="eastAsia" w:ascii="宋体" w:hAnsi="宋体" w:cs="宋体"/>
          <w:kern w:val="0"/>
          <w:sz w:val="24"/>
          <w:highlight w:val="none"/>
        </w:rPr>
        <w:t>采取不正当手段诋毁、排挤其他供应商的；</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3)</w:t>
      </w:r>
      <w:r>
        <w:rPr>
          <w:rFonts w:hint="eastAsia" w:ascii="宋体" w:hAnsi="宋体" w:cs="宋体"/>
          <w:kern w:val="0"/>
          <w:sz w:val="24"/>
          <w:highlight w:val="none"/>
        </w:rPr>
        <w:t>恶意串通报价的；</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4)</w:t>
      </w:r>
      <w:r>
        <w:rPr>
          <w:rFonts w:hint="eastAsia" w:ascii="宋体" w:hAnsi="宋体" w:cs="宋体"/>
          <w:kern w:val="0"/>
          <w:sz w:val="24"/>
          <w:highlight w:val="none"/>
        </w:rPr>
        <w:t>其他任何有企图影响招标结果公正性的活动。</w:t>
      </w:r>
    </w:p>
    <w:p>
      <w:pPr>
        <w:widowControl/>
        <w:spacing w:line="360" w:lineRule="auto"/>
        <w:ind w:firstLine="482" w:firstLineChars="200"/>
        <w:jc w:val="left"/>
        <w:rPr>
          <w:rFonts w:ascii="宋体" w:cs="宋体"/>
          <w:b/>
          <w:kern w:val="0"/>
          <w:sz w:val="24"/>
          <w:highlight w:val="none"/>
        </w:rPr>
      </w:pPr>
      <w:r>
        <w:rPr>
          <w:rFonts w:ascii="宋体" w:hAnsi="宋体" w:cs="宋体"/>
          <w:b/>
          <w:kern w:val="0"/>
          <w:sz w:val="24"/>
          <w:highlight w:val="none"/>
        </w:rPr>
        <w:t xml:space="preserve"> 25.</w:t>
      </w:r>
      <w:r>
        <w:rPr>
          <w:rFonts w:hint="eastAsia" w:ascii="宋体" w:hAnsi="宋体" w:cs="宋体"/>
          <w:b/>
          <w:kern w:val="0"/>
          <w:sz w:val="24"/>
          <w:highlight w:val="none"/>
        </w:rPr>
        <w:t>确定成交供应商</w:t>
      </w:r>
      <w:r>
        <w:rPr>
          <w:rFonts w:ascii="宋体" w:hAnsi="宋体" w:cs="宋体"/>
          <w:b/>
          <w:kern w:val="0"/>
          <w:sz w:val="24"/>
          <w:highlight w:val="none"/>
        </w:rPr>
        <w:t xml:space="preserve"> </w:t>
      </w:r>
    </w:p>
    <w:p>
      <w:pPr>
        <w:pStyle w:val="2"/>
        <w:spacing w:after="0" w:line="360" w:lineRule="auto"/>
        <w:ind w:left="840" w:leftChars="150" w:hanging="525" w:hangingChars="250"/>
        <w:rPr>
          <w:rFonts w:hint="eastAsia" w:ascii="宋体" w:hAnsi="宋体" w:cs="宋体"/>
          <w:kern w:val="0"/>
          <w:sz w:val="24"/>
          <w:highlight w:val="none"/>
          <w:lang w:eastAsia="zh-CN"/>
        </w:rPr>
      </w:pPr>
      <w:r>
        <w:rPr>
          <w:rFonts w:ascii="宋体" w:hAnsi="宋体" w:cs="宋体"/>
          <w:color w:val="000000"/>
          <w:kern w:val="0"/>
          <w:highlight w:val="none"/>
        </w:rPr>
        <w:t xml:space="preserve">     </w:t>
      </w:r>
      <w:r>
        <w:rPr>
          <w:rFonts w:ascii="宋体" w:hAnsi="宋体" w:cs="宋体"/>
          <w:kern w:val="0"/>
          <w:sz w:val="24"/>
          <w:highlight w:val="none"/>
        </w:rPr>
        <w:t xml:space="preserve"> </w:t>
      </w:r>
      <w:r>
        <w:rPr>
          <w:rFonts w:hint="eastAsia" w:ascii="宋体" w:hAnsi="宋体" w:cs="宋体"/>
          <w:kern w:val="0"/>
          <w:sz w:val="24"/>
          <w:highlight w:val="none"/>
        </w:rPr>
        <w:t>磋商小组根据竞争性磋商文件确定的评标办法，推荐综合排名第一的</w:t>
      </w:r>
      <w:r>
        <w:rPr>
          <w:rFonts w:hint="eastAsia" w:ascii="宋体" w:hAnsi="宋体" w:cs="宋体"/>
          <w:kern w:val="0"/>
          <w:sz w:val="24"/>
          <w:highlight w:val="none"/>
          <w:lang w:eastAsia="zh-CN"/>
        </w:rPr>
        <w:t>供应商定</w:t>
      </w:r>
    </w:p>
    <w:p>
      <w:pPr>
        <w:pStyle w:val="2"/>
        <w:spacing w:after="0" w:line="360" w:lineRule="auto"/>
        <w:ind w:left="915" w:leftChars="150" w:hanging="600" w:hangingChars="250"/>
        <w:rPr>
          <w:rFonts w:hint="eastAsia" w:ascii="宋体" w:hAnsi="宋体" w:cs="宋体"/>
          <w:kern w:val="0"/>
          <w:sz w:val="24"/>
          <w:highlight w:val="none"/>
        </w:rPr>
      </w:pPr>
      <w:r>
        <w:rPr>
          <w:rFonts w:hint="eastAsia" w:ascii="宋体" w:hAnsi="宋体" w:cs="宋体"/>
          <w:kern w:val="0"/>
          <w:sz w:val="24"/>
          <w:highlight w:val="none"/>
        </w:rPr>
        <w:t>为第一中标候选人，排名第二的</w:t>
      </w:r>
      <w:r>
        <w:rPr>
          <w:rFonts w:hint="eastAsia" w:ascii="宋体" w:hAnsi="宋体" w:cs="宋体"/>
          <w:kern w:val="0"/>
          <w:sz w:val="24"/>
          <w:highlight w:val="none"/>
          <w:lang w:eastAsia="zh-CN"/>
        </w:rPr>
        <w:t>供应商</w:t>
      </w:r>
      <w:r>
        <w:rPr>
          <w:rFonts w:hint="eastAsia" w:ascii="宋体" w:hAnsi="宋体" w:cs="宋体"/>
          <w:kern w:val="0"/>
          <w:sz w:val="24"/>
          <w:highlight w:val="none"/>
        </w:rPr>
        <w:t>为第二中标候选人，排名第三的</w:t>
      </w:r>
      <w:r>
        <w:rPr>
          <w:rFonts w:hint="eastAsia" w:ascii="宋体" w:hAnsi="宋体" w:cs="宋体"/>
          <w:kern w:val="0"/>
          <w:sz w:val="24"/>
          <w:highlight w:val="none"/>
          <w:lang w:eastAsia="zh-CN"/>
        </w:rPr>
        <w:t>供应商</w:t>
      </w:r>
      <w:r>
        <w:rPr>
          <w:rFonts w:hint="eastAsia" w:ascii="宋体" w:hAnsi="宋体" w:cs="宋体"/>
          <w:kern w:val="0"/>
          <w:sz w:val="24"/>
          <w:highlight w:val="none"/>
        </w:rPr>
        <w:t>为第</w:t>
      </w:r>
    </w:p>
    <w:p>
      <w:pPr>
        <w:pStyle w:val="2"/>
        <w:spacing w:after="0" w:line="360" w:lineRule="auto"/>
        <w:ind w:left="915" w:leftChars="150" w:hanging="600" w:hangingChars="250"/>
        <w:rPr>
          <w:rFonts w:ascii="宋体" w:cs="宋体"/>
          <w:kern w:val="0"/>
          <w:sz w:val="24"/>
          <w:highlight w:val="none"/>
        </w:rPr>
      </w:pPr>
      <w:r>
        <w:rPr>
          <w:rFonts w:hint="eastAsia" w:ascii="宋体" w:hAnsi="宋体" w:cs="宋体"/>
          <w:kern w:val="0"/>
          <w:sz w:val="24"/>
          <w:highlight w:val="none"/>
        </w:rPr>
        <w:t>三中标候选人，并编写书面评</w:t>
      </w:r>
      <w:r>
        <w:rPr>
          <w:rFonts w:hint="eastAsia" w:ascii="宋体" w:hAnsi="宋体" w:cs="宋体"/>
          <w:kern w:val="0"/>
          <w:sz w:val="24"/>
          <w:highlight w:val="none"/>
          <w:lang w:eastAsia="zh-CN"/>
        </w:rPr>
        <w:t>审</w:t>
      </w:r>
      <w:r>
        <w:rPr>
          <w:rFonts w:hint="eastAsia" w:ascii="宋体" w:hAnsi="宋体" w:cs="宋体"/>
          <w:kern w:val="0"/>
          <w:sz w:val="24"/>
          <w:highlight w:val="none"/>
        </w:rPr>
        <w:t>报告，按排序确定</w:t>
      </w:r>
      <w:r>
        <w:rPr>
          <w:rFonts w:hint="eastAsia" w:ascii="宋体" w:hAnsi="宋体" w:cs="宋体"/>
          <w:kern w:val="0"/>
          <w:sz w:val="24"/>
          <w:highlight w:val="none"/>
          <w:lang w:eastAsia="zh-CN"/>
        </w:rPr>
        <w:t>成交供应商</w:t>
      </w:r>
      <w:r>
        <w:rPr>
          <w:rFonts w:hint="eastAsia" w:ascii="宋体" w:hAnsi="宋体" w:cs="宋体"/>
          <w:kern w:val="0"/>
          <w:sz w:val="24"/>
          <w:highlight w:val="none"/>
        </w:rPr>
        <w:t>。</w:t>
      </w:r>
    </w:p>
    <w:p>
      <w:pPr>
        <w:widowControl/>
        <w:spacing w:line="360" w:lineRule="auto"/>
        <w:ind w:firstLine="482" w:firstLineChars="200"/>
        <w:jc w:val="left"/>
        <w:rPr>
          <w:rFonts w:ascii="宋体" w:cs="宋体"/>
          <w:b/>
          <w:kern w:val="0"/>
          <w:sz w:val="24"/>
          <w:highlight w:val="none"/>
        </w:rPr>
      </w:pPr>
      <w:r>
        <w:rPr>
          <w:rFonts w:ascii="宋体" w:hAnsi="宋体" w:cs="宋体"/>
          <w:b/>
          <w:kern w:val="0"/>
          <w:sz w:val="24"/>
          <w:highlight w:val="none"/>
        </w:rPr>
        <w:t xml:space="preserve">26. </w:t>
      </w:r>
      <w:r>
        <w:rPr>
          <w:rFonts w:hint="eastAsia" w:ascii="宋体" w:hAnsi="宋体" w:cs="宋体"/>
          <w:b/>
          <w:kern w:val="0"/>
          <w:sz w:val="24"/>
          <w:highlight w:val="none"/>
        </w:rPr>
        <w:t>评审过程保密</w:t>
      </w:r>
    </w:p>
    <w:p>
      <w:pPr>
        <w:widowControl/>
        <w:spacing w:line="360" w:lineRule="auto"/>
        <w:ind w:left="1079" w:leftChars="228" w:hanging="600" w:hangingChars="250"/>
        <w:jc w:val="left"/>
        <w:rPr>
          <w:rFonts w:hint="eastAsia" w:ascii="宋体" w:hAnsi="宋体" w:cs="宋体"/>
          <w:kern w:val="0"/>
          <w:sz w:val="24"/>
          <w:highlight w:val="none"/>
        </w:rPr>
      </w:pPr>
      <w:r>
        <w:rPr>
          <w:rFonts w:ascii="宋体" w:hAnsi="宋体" w:cs="宋体"/>
          <w:color w:val="000000"/>
          <w:kern w:val="0"/>
          <w:sz w:val="24"/>
          <w:highlight w:val="none"/>
        </w:rPr>
        <w:t xml:space="preserve">    </w:t>
      </w:r>
      <w:r>
        <w:rPr>
          <w:rFonts w:hint="eastAsia" w:ascii="宋体" w:hAnsi="宋体" w:cs="宋体"/>
          <w:kern w:val="0"/>
          <w:sz w:val="24"/>
          <w:highlight w:val="none"/>
        </w:rPr>
        <w:t>公开报价之后，直到签订合同止，凡是属于审查、澄清、评价和比较报价的有</w:t>
      </w:r>
    </w:p>
    <w:p>
      <w:pPr>
        <w:widowControl/>
        <w:spacing w:line="360" w:lineRule="auto"/>
        <w:ind w:left="1079" w:leftChars="228" w:hanging="600" w:hangingChars="250"/>
        <w:jc w:val="left"/>
        <w:rPr>
          <w:rFonts w:ascii="宋体" w:cs="宋体"/>
          <w:kern w:val="0"/>
          <w:sz w:val="24"/>
          <w:highlight w:val="none"/>
        </w:rPr>
      </w:pPr>
      <w:r>
        <w:rPr>
          <w:rFonts w:hint="eastAsia" w:ascii="宋体" w:hAnsi="宋体" w:cs="宋体"/>
          <w:kern w:val="0"/>
          <w:sz w:val="24"/>
          <w:highlight w:val="none"/>
        </w:rPr>
        <w:t>关资料以及成交意向等，均不向供应商或者其他与评审无关的人员透露。</w:t>
      </w:r>
    </w:p>
    <w:p>
      <w:pPr>
        <w:widowControl/>
        <w:spacing w:line="360" w:lineRule="auto"/>
        <w:ind w:firstLine="482" w:firstLineChars="200"/>
        <w:jc w:val="left"/>
        <w:rPr>
          <w:rFonts w:ascii="宋体" w:cs="宋体"/>
          <w:b/>
          <w:kern w:val="0"/>
          <w:sz w:val="24"/>
          <w:highlight w:val="none"/>
        </w:rPr>
      </w:pPr>
      <w:r>
        <w:rPr>
          <w:rFonts w:ascii="宋体" w:hAnsi="宋体" w:cs="宋体"/>
          <w:b/>
          <w:kern w:val="0"/>
          <w:sz w:val="24"/>
          <w:highlight w:val="none"/>
        </w:rPr>
        <w:t xml:space="preserve">26. </w:t>
      </w:r>
      <w:r>
        <w:rPr>
          <w:rFonts w:hint="eastAsia" w:ascii="宋体" w:hAnsi="宋体" w:cs="宋体"/>
          <w:b/>
          <w:kern w:val="0"/>
          <w:sz w:val="24"/>
          <w:highlight w:val="none"/>
        </w:rPr>
        <w:t>供应商瑕疵滞后的处理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26.1 </w:t>
      </w:r>
      <w:r>
        <w:rPr>
          <w:rFonts w:hint="eastAsia" w:ascii="宋体" w:hAnsi="宋体" w:cs="宋体"/>
          <w:kern w:val="0"/>
          <w:sz w:val="24"/>
          <w:highlight w:val="none"/>
        </w:rPr>
        <w:t>无论基于何种原因，各项本应作拒绝处理的情形即便未被及时发现而使该供应商进入初审、综合评审或其它后续程序，包括已经签订合同的情形，一旦在任何时间被发现存在上述情形，则采购人均有权随时视情形决定是否取消该供应商的此前评议结果，或随时视情形决定是否对该报价予以拒绝，并有权决定采取相应的补救或纠正措施。一旦该供应商被拒绝或被取消该供应商的此前评议结果，其现有的位置将被其他供应商依序替代，相关的一切损失均由该供应商承担。</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26.2 </w:t>
      </w:r>
      <w:r>
        <w:rPr>
          <w:rFonts w:hint="eastAsia" w:ascii="宋体" w:hAnsi="宋体" w:cs="宋体"/>
          <w:kern w:val="0"/>
          <w:sz w:val="24"/>
          <w:highlight w:val="none"/>
        </w:rPr>
        <w:t>若已经超过质疑期限而没有被发现且已经签订了相关的合同，之后才发现存在上述情形，经磋商小组再行审查认为其在技术、必要资质等方面并不存在问题而仅属于商务方面存在瑕疵的问题，且若一旦取消该供应商的此前评议结果或采取类似效果的处理措施将对本次采购更为不利，在此情形下准备考虑维持结果，磋商小组有权要求该存在瑕疵的供应商提供特别担保金用以承担可能产生的赔偿责任，若其拒绝提供该等担保或所实际提供的担保金额不足要求金额，磋商小组有权并且应当决定取消供应商的此前评议结果或采取类似效果的措施。</w:t>
      </w:r>
    </w:p>
    <w:p>
      <w:pPr>
        <w:widowControl/>
        <w:spacing w:line="360" w:lineRule="auto"/>
        <w:ind w:firstLine="482" w:firstLineChars="200"/>
        <w:jc w:val="left"/>
        <w:rPr>
          <w:rFonts w:ascii="宋体" w:cs="宋体"/>
          <w:b/>
          <w:kern w:val="0"/>
          <w:sz w:val="24"/>
          <w:highlight w:val="none"/>
        </w:rPr>
      </w:pPr>
      <w:bookmarkStart w:id="33" w:name="_Toc338183626"/>
      <w:bookmarkStart w:id="34" w:name="_Toc308446411"/>
      <w:r>
        <w:rPr>
          <w:rFonts w:ascii="宋体" w:hAnsi="宋体" w:cs="宋体"/>
          <w:b/>
          <w:kern w:val="0"/>
          <w:sz w:val="24"/>
          <w:highlight w:val="none"/>
        </w:rPr>
        <w:t xml:space="preserve">27. </w:t>
      </w:r>
      <w:r>
        <w:rPr>
          <w:rFonts w:hint="eastAsia" w:ascii="宋体" w:hAnsi="宋体" w:cs="宋体"/>
          <w:b/>
          <w:kern w:val="0"/>
          <w:sz w:val="24"/>
          <w:highlight w:val="none"/>
        </w:rPr>
        <w:t>废标</w:t>
      </w:r>
    </w:p>
    <w:p>
      <w:pPr>
        <w:widowControl/>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rPr>
        <w:t>根据政府采购法律法规的有关规定，出现下列情形之一的，磋商小组将否决所有供应商的报价：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符合专业条件的供应商或者对竞争性磋商文件作实质响应的供应商不足三家的；</w:t>
      </w:r>
      <w:r>
        <w:rPr>
          <w:rFonts w:ascii="宋体" w:hAnsi="宋体" w:cs="宋体"/>
          <w:kern w:val="0"/>
          <w:sz w:val="24"/>
          <w:highlight w:val="none"/>
        </w:rPr>
        <w:t xml:space="preserve"> </w:t>
      </w:r>
    </w:p>
    <w:p>
      <w:pPr>
        <w:widowControl/>
        <w:spacing w:line="360" w:lineRule="auto"/>
        <w:ind w:left="479" w:leftChars="228"/>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出现影响采购公正的违法、违规行为的；</w:t>
      </w:r>
      <w:r>
        <w:rPr>
          <w:rFonts w:ascii="宋体" w:cs="宋体"/>
          <w:kern w:val="0"/>
          <w:sz w:val="24"/>
          <w:highlight w:val="none"/>
        </w:rPr>
        <w:br w:type="textWrapping"/>
      </w:r>
      <w:r>
        <w:rPr>
          <w:rFonts w:ascii="宋体" w:hAnsi="宋体" w:cs="宋体"/>
          <w:kern w:val="0"/>
          <w:sz w:val="24"/>
          <w:highlight w:val="none"/>
        </w:rPr>
        <w:t xml:space="preserve">3) </w:t>
      </w:r>
      <w:r>
        <w:rPr>
          <w:rFonts w:hint="eastAsia" w:ascii="宋体" w:hAnsi="宋体" w:cs="宋体"/>
          <w:kern w:val="0"/>
          <w:sz w:val="24"/>
          <w:highlight w:val="none"/>
        </w:rPr>
        <w:t>供应商的报价均超过了采购预算；</w:t>
      </w:r>
      <w:r>
        <w:rPr>
          <w:rFonts w:ascii="宋体" w:cs="宋体"/>
          <w:kern w:val="0"/>
          <w:sz w:val="24"/>
          <w:highlight w:val="none"/>
        </w:rPr>
        <w:br w:type="textWrapping"/>
      </w:r>
      <w:r>
        <w:rPr>
          <w:rFonts w:ascii="宋体" w:hAnsi="宋体" w:cs="宋体"/>
          <w:kern w:val="0"/>
          <w:sz w:val="24"/>
          <w:highlight w:val="none"/>
        </w:rPr>
        <w:t xml:space="preserve">4) </w:t>
      </w:r>
      <w:r>
        <w:rPr>
          <w:rFonts w:hint="eastAsia" w:ascii="宋体" w:hAnsi="宋体" w:cs="宋体"/>
          <w:kern w:val="0"/>
          <w:sz w:val="24"/>
          <w:highlight w:val="none"/>
        </w:rPr>
        <w:t>因重大变故，采购任务取消的。</w:t>
      </w:r>
    </w:p>
    <w:p>
      <w:pPr>
        <w:pStyle w:val="4"/>
        <w:spacing w:line="360" w:lineRule="auto"/>
        <w:rPr>
          <w:rFonts w:ascii="宋体" w:hAnsi="宋体" w:eastAsia="宋体" w:cs="宋体"/>
          <w:sz w:val="28"/>
          <w:szCs w:val="28"/>
          <w:highlight w:val="none"/>
        </w:rPr>
      </w:pPr>
      <w:bookmarkStart w:id="35" w:name="_Toc338183624"/>
      <w:bookmarkStart w:id="36" w:name="_Toc308446409"/>
      <w:bookmarkStart w:id="37" w:name="_Toc32466"/>
      <w:bookmarkStart w:id="38" w:name="_Toc19235"/>
      <w:r>
        <w:rPr>
          <w:rFonts w:hint="eastAsia" w:ascii="宋体" w:hAnsi="宋体" w:eastAsia="宋体" w:cs="宋体"/>
          <w:sz w:val="28"/>
          <w:szCs w:val="28"/>
          <w:highlight w:val="none"/>
        </w:rPr>
        <w:t>六、合同签订</w:t>
      </w:r>
      <w:bookmarkEnd w:id="35"/>
      <w:bookmarkEnd w:id="36"/>
      <w:bookmarkEnd w:id="37"/>
      <w:bookmarkEnd w:id="38"/>
    </w:p>
    <w:p>
      <w:pPr>
        <w:widowControl/>
        <w:spacing w:line="360" w:lineRule="auto"/>
        <w:ind w:firstLine="482" w:firstLineChars="200"/>
        <w:jc w:val="left"/>
        <w:rPr>
          <w:rFonts w:ascii="宋体" w:cs="宋体"/>
          <w:b/>
          <w:kern w:val="0"/>
          <w:sz w:val="24"/>
          <w:highlight w:val="none"/>
        </w:rPr>
      </w:pPr>
      <w:r>
        <w:rPr>
          <w:rFonts w:ascii="宋体" w:hAnsi="宋体" w:cs="宋体"/>
          <w:b/>
          <w:kern w:val="0"/>
          <w:sz w:val="24"/>
          <w:highlight w:val="none"/>
        </w:rPr>
        <w:t xml:space="preserve">28. </w:t>
      </w:r>
      <w:r>
        <w:rPr>
          <w:rFonts w:hint="eastAsia" w:ascii="宋体" w:hAnsi="宋体" w:cs="宋体"/>
          <w:b/>
          <w:kern w:val="0"/>
          <w:sz w:val="24"/>
          <w:highlight w:val="none"/>
        </w:rPr>
        <w:t>成交通知</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28.1 </w:t>
      </w:r>
      <w:r>
        <w:rPr>
          <w:rFonts w:hint="eastAsia" w:ascii="宋体" w:hAnsi="宋体" w:cs="宋体"/>
          <w:kern w:val="0"/>
          <w:sz w:val="24"/>
          <w:highlight w:val="none"/>
        </w:rPr>
        <w:t>成交结果公示将在中国政府采购网、中国招标投标公共服务平台、山东大学第二医院同时发布。不再以书面方式通知未中标供应商。采购代理对未中标的供应商不作未中标原因的解释。</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28.2 </w:t>
      </w:r>
      <w:r>
        <w:rPr>
          <w:rFonts w:hint="eastAsia" w:ascii="宋体" w:hAnsi="宋体" w:cs="宋体"/>
          <w:kern w:val="0"/>
          <w:sz w:val="24"/>
          <w:highlight w:val="none"/>
        </w:rPr>
        <w:t>在报价有效期内，采购人将向成交供应商签发《成交通知书》。成交通知书是合同的一个组成部分。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28.3</w:t>
      </w:r>
      <w:r>
        <w:rPr>
          <w:rFonts w:hint="eastAsia" w:ascii="宋体" w:hAnsi="宋体" w:cs="宋体"/>
          <w:kern w:val="0"/>
          <w:sz w:val="24"/>
          <w:highlight w:val="none"/>
        </w:rPr>
        <w:t>成交通知书发出后，采购人改变成交结果，或者成交通知书放弃本项目的，应当依法承担法律责任。</w:t>
      </w:r>
    </w:p>
    <w:p>
      <w:pPr>
        <w:widowControl/>
        <w:spacing w:line="360" w:lineRule="auto"/>
        <w:ind w:firstLine="482" w:firstLineChars="200"/>
        <w:jc w:val="left"/>
        <w:rPr>
          <w:rFonts w:ascii="宋体" w:cs="宋体"/>
          <w:b/>
          <w:kern w:val="0"/>
          <w:sz w:val="24"/>
          <w:highlight w:val="none"/>
        </w:rPr>
      </w:pPr>
      <w:r>
        <w:rPr>
          <w:rFonts w:ascii="宋体" w:hAnsi="宋体" w:cs="宋体"/>
          <w:b/>
          <w:kern w:val="0"/>
          <w:sz w:val="24"/>
          <w:highlight w:val="none"/>
        </w:rPr>
        <w:t xml:space="preserve">29. </w:t>
      </w:r>
      <w:r>
        <w:rPr>
          <w:rFonts w:hint="eastAsia" w:ascii="宋体" w:hAnsi="宋体" w:cs="宋体"/>
          <w:b/>
          <w:kern w:val="0"/>
          <w:sz w:val="24"/>
          <w:highlight w:val="none"/>
        </w:rPr>
        <w:t>签订合同</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29.1 </w:t>
      </w:r>
      <w:r>
        <w:rPr>
          <w:rFonts w:hint="eastAsia" w:ascii="宋体" w:hAnsi="宋体" w:cs="宋体"/>
          <w:kern w:val="0"/>
          <w:sz w:val="24"/>
          <w:highlight w:val="none"/>
        </w:rPr>
        <w:t>成交通知书发出之日起</w:t>
      </w:r>
      <w:r>
        <w:rPr>
          <w:rFonts w:ascii="宋体" w:hAnsi="宋体" w:cs="宋体"/>
          <w:kern w:val="0"/>
          <w:sz w:val="24"/>
          <w:highlight w:val="none"/>
        </w:rPr>
        <w:t>15</w:t>
      </w:r>
      <w:r>
        <w:rPr>
          <w:rFonts w:hint="eastAsia" w:ascii="宋体" w:hAnsi="宋体" w:cs="宋体"/>
          <w:kern w:val="0"/>
          <w:sz w:val="24"/>
          <w:highlight w:val="none"/>
        </w:rPr>
        <w:t>日内，按照竞争性磋商文件确定的事项签订合同。</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29.2 </w:t>
      </w:r>
      <w:r>
        <w:rPr>
          <w:rFonts w:hint="eastAsia" w:ascii="宋体" w:hAnsi="宋体" w:cs="宋体"/>
          <w:kern w:val="0"/>
          <w:sz w:val="24"/>
          <w:highlight w:val="none"/>
        </w:rPr>
        <w:t>竞争性磋商文件、成交供应商的响应文件以及评审过程中的有关澄清、说明或者补正文件均为合同的组成部分。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29.3</w:t>
      </w:r>
      <w:r>
        <w:rPr>
          <w:rFonts w:hint="eastAsia" w:ascii="宋体" w:hAnsi="宋体" w:cs="宋体"/>
          <w:kern w:val="0"/>
          <w:sz w:val="24"/>
          <w:highlight w:val="none"/>
        </w:rPr>
        <w:t>不按约定签订或履行合同，给对方造成损失的，应承担赔偿责任。</w:t>
      </w:r>
    </w:p>
    <w:p>
      <w:pPr>
        <w:pStyle w:val="4"/>
        <w:spacing w:line="360" w:lineRule="auto"/>
        <w:rPr>
          <w:rFonts w:ascii="宋体" w:hAnsi="宋体" w:eastAsia="宋体" w:cs="宋体"/>
          <w:sz w:val="30"/>
          <w:szCs w:val="30"/>
          <w:highlight w:val="none"/>
        </w:rPr>
      </w:pPr>
      <w:bookmarkStart w:id="39" w:name="_Toc12952"/>
      <w:bookmarkStart w:id="40" w:name="_Toc27306"/>
      <w:r>
        <w:rPr>
          <w:rFonts w:hint="eastAsia" w:ascii="宋体" w:hAnsi="宋体" w:eastAsia="宋体" w:cs="宋体"/>
          <w:sz w:val="30"/>
          <w:szCs w:val="30"/>
          <w:highlight w:val="none"/>
        </w:rPr>
        <w:t>七、保密和披露</w:t>
      </w:r>
      <w:bookmarkEnd w:id="33"/>
      <w:bookmarkEnd w:id="34"/>
      <w:bookmarkEnd w:id="39"/>
      <w:bookmarkEnd w:id="40"/>
    </w:p>
    <w:p>
      <w:pPr>
        <w:widowControl/>
        <w:spacing w:line="360" w:lineRule="auto"/>
        <w:ind w:firstLine="482" w:firstLineChars="200"/>
        <w:jc w:val="left"/>
        <w:rPr>
          <w:rFonts w:ascii="宋体" w:cs="宋体"/>
          <w:b/>
          <w:kern w:val="0"/>
          <w:sz w:val="24"/>
          <w:highlight w:val="none"/>
        </w:rPr>
      </w:pPr>
      <w:r>
        <w:rPr>
          <w:rFonts w:ascii="宋体" w:hAnsi="宋体" w:cs="宋体"/>
          <w:b/>
          <w:kern w:val="0"/>
          <w:sz w:val="24"/>
          <w:highlight w:val="none"/>
        </w:rPr>
        <w:t xml:space="preserve">30. </w:t>
      </w:r>
      <w:r>
        <w:rPr>
          <w:rFonts w:hint="eastAsia" w:ascii="宋体" w:hAnsi="宋体" w:cs="宋体"/>
          <w:b/>
          <w:kern w:val="0"/>
          <w:sz w:val="24"/>
          <w:highlight w:val="none"/>
        </w:rPr>
        <w:t>保密和披露</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30.1 </w:t>
      </w:r>
      <w:r>
        <w:rPr>
          <w:rFonts w:hint="eastAsia" w:ascii="宋体" w:hAnsi="宋体" w:cs="宋体"/>
          <w:kern w:val="0"/>
          <w:sz w:val="24"/>
          <w:highlight w:val="none"/>
        </w:rPr>
        <w:t>供应商自领取竞争性磋商文件之日起，须承担本采购项目下保密义务，不得将因本次竞争性磋商获得的信息向第三人外传。</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30.2 </w:t>
      </w:r>
      <w:r>
        <w:rPr>
          <w:rFonts w:hint="eastAsia" w:ascii="宋体" w:hAnsi="宋体" w:cs="宋体"/>
          <w:kern w:val="0"/>
          <w:sz w:val="24"/>
          <w:highlight w:val="none"/>
        </w:rPr>
        <w:t>代理机构有权将供应商提供的所有资料向其他政府部门或有关的非政府机构负责评审的人员或与评审有关的人员披露。</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30.3 </w:t>
      </w:r>
      <w:r>
        <w:rPr>
          <w:rFonts w:hint="eastAsia" w:ascii="宋体" w:hAnsi="宋体" w:cs="宋体"/>
          <w:kern w:val="0"/>
          <w:sz w:val="24"/>
          <w:highlight w:val="none"/>
        </w:rPr>
        <w:t>在下列情形下：当发布成交公告和其它公告时，当国家机关调查、审查、审计时，以及其他符合法律规定的情形下，无须事先征求供应商或成交供应商同意而可以披露关于采购过程、合同文本、签署情况的资料、供应商或成交供应商的名称及地址、采购内容的有关信息以及补充条款等。对任何已经公布过的内容或与之内容相同的资料无须再承担保密责任。</w:t>
      </w:r>
    </w:p>
    <w:p>
      <w:pPr>
        <w:pStyle w:val="4"/>
        <w:spacing w:line="360" w:lineRule="auto"/>
        <w:rPr>
          <w:rFonts w:ascii="宋体" w:hAnsi="宋体" w:eastAsia="宋体" w:cs="宋体"/>
          <w:sz w:val="30"/>
          <w:szCs w:val="30"/>
          <w:highlight w:val="none"/>
        </w:rPr>
      </w:pPr>
      <w:bookmarkStart w:id="41" w:name="_Toc30399"/>
      <w:bookmarkStart w:id="42" w:name="_Toc2049"/>
      <w:r>
        <w:rPr>
          <w:rFonts w:hint="eastAsia" w:ascii="宋体" w:hAnsi="宋体" w:eastAsia="宋体" w:cs="宋体"/>
          <w:sz w:val="30"/>
          <w:szCs w:val="30"/>
          <w:highlight w:val="none"/>
        </w:rPr>
        <w:t>八、代理服务费</w:t>
      </w:r>
      <w:bookmarkEnd w:id="41"/>
      <w:bookmarkEnd w:id="42"/>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 31</w:t>
      </w:r>
      <w:r>
        <w:rPr>
          <w:rFonts w:hint="eastAsia" w:ascii="宋体" w:hAnsi="宋体" w:cs="宋体"/>
          <w:kern w:val="0"/>
          <w:sz w:val="24"/>
          <w:highlight w:val="none"/>
        </w:rPr>
        <w:t>、代理服务费：详见供应商须知前附表。</w:t>
      </w:r>
    </w:p>
    <w:p>
      <w:pPr>
        <w:pStyle w:val="4"/>
        <w:spacing w:line="360" w:lineRule="auto"/>
        <w:rPr>
          <w:rFonts w:ascii="宋体" w:hAnsi="宋体" w:eastAsia="宋体" w:cs="宋体"/>
          <w:sz w:val="30"/>
          <w:szCs w:val="30"/>
          <w:highlight w:val="none"/>
        </w:rPr>
      </w:pPr>
      <w:bookmarkStart w:id="43" w:name="_Toc19693"/>
      <w:bookmarkStart w:id="44" w:name="_Toc338183627"/>
      <w:bookmarkStart w:id="45" w:name="_Toc308446412"/>
      <w:bookmarkStart w:id="46" w:name="_Toc10250"/>
      <w:r>
        <w:rPr>
          <w:rFonts w:hint="eastAsia" w:ascii="宋体" w:hAnsi="宋体" w:eastAsia="宋体" w:cs="宋体"/>
          <w:sz w:val="30"/>
          <w:szCs w:val="30"/>
          <w:highlight w:val="none"/>
        </w:rPr>
        <w:t>九、解释权</w:t>
      </w:r>
      <w:bookmarkEnd w:id="43"/>
      <w:bookmarkEnd w:id="44"/>
      <w:bookmarkEnd w:id="45"/>
      <w:bookmarkEnd w:id="46"/>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32. </w:t>
      </w:r>
      <w:r>
        <w:rPr>
          <w:rFonts w:hint="eastAsia" w:ascii="宋体" w:hAnsi="宋体" w:cs="宋体"/>
          <w:kern w:val="0"/>
          <w:sz w:val="24"/>
          <w:highlight w:val="none"/>
        </w:rPr>
        <w:t>本竞争性磋商文件的最终解释权归采购人及代理机构，当对一个问题有多种解释时以采购人及代理机构的书面解释为准。竞争性磋商文件未做须知明示，而又有相关法律、法规规定的，采购人及代理机构对此所做解释以相关的法律、法规规定为依据。</w:t>
      </w:r>
    </w:p>
    <w:p>
      <w:pPr>
        <w:pStyle w:val="31"/>
        <w:spacing w:before="0" w:after="40"/>
        <w:rPr>
          <w:rFonts w:ascii="宋体" w:hAnsi="宋体" w:eastAsia="宋体" w:cs="宋体"/>
          <w:sz w:val="36"/>
          <w:szCs w:val="36"/>
          <w:highlight w:val="none"/>
        </w:rPr>
      </w:pPr>
      <w:bookmarkStart w:id="47" w:name="_Toc338187340"/>
      <w:bookmarkStart w:id="48" w:name="_Toc425434451"/>
      <w:r>
        <w:rPr>
          <w:rFonts w:ascii="宋体" w:hAnsi="宋体" w:eastAsia="宋体" w:cs="宋体"/>
          <w:sz w:val="36"/>
          <w:szCs w:val="36"/>
          <w:highlight w:val="none"/>
        </w:rPr>
        <w:br w:type="page"/>
      </w:r>
      <w:bookmarkStart w:id="49" w:name="_Toc27599"/>
      <w:bookmarkStart w:id="50" w:name="_Toc20439"/>
    </w:p>
    <w:p>
      <w:pPr>
        <w:pStyle w:val="31"/>
        <w:spacing w:before="0" w:after="40"/>
        <w:rPr>
          <w:rFonts w:ascii="宋体" w:hAnsi="宋体" w:eastAsia="宋体" w:cs="宋体"/>
          <w:sz w:val="36"/>
          <w:szCs w:val="36"/>
          <w:highlight w:val="none"/>
          <w:lang w:eastAsia="zh-CN"/>
        </w:rPr>
      </w:pPr>
      <w:r>
        <w:rPr>
          <w:rFonts w:hint="eastAsia" w:ascii="宋体" w:hAnsi="宋体" w:eastAsia="宋体" w:cs="宋体"/>
          <w:sz w:val="36"/>
          <w:szCs w:val="36"/>
          <w:highlight w:val="none"/>
        </w:rPr>
        <w:t>第三部分</w:t>
      </w:r>
      <w:r>
        <w:rPr>
          <w:rFonts w:ascii="宋体" w:hAnsi="宋体" w:eastAsia="宋体" w:cs="宋体"/>
          <w:sz w:val="36"/>
          <w:szCs w:val="36"/>
          <w:highlight w:val="none"/>
        </w:rPr>
        <w:t xml:space="preserve">  </w:t>
      </w:r>
      <w:r>
        <w:rPr>
          <w:rFonts w:hint="eastAsia" w:ascii="宋体" w:hAnsi="宋体" w:eastAsia="宋体" w:cs="宋体"/>
          <w:sz w:val="36"/>
          <w:szCs w:val="36"/>
          <w:highlight w:val="none"/>
        </w:rPr>
        <w:t>项目要求</w:t>
      </w:r>
      <w:bookmarkEnd w:id="47"/>
      <w:bookmarkEnd w:id="48"/>
      <w:bookmarkEnd w:id="49"/>
      <w:bookmarkEnd w:id="50"/>
    </w:p>
    <w:p>
      <w:pPr>
        <w:rPr>
          <w:b/>
          <w:szCs w:val="28"/>
          <w:highlight w:val="none"/>
        </w:rPr>
      </w:pPr>
      <w:bookmarkStart w:id="51" w:name="_Toc338187341"/>
      <w:r>
        <w:rPr>
          <w:rFonts w:hint="eastAsia"/>
          <w:b/>
          <w:bCs/>
          <w:sz w:val="28"/>
          <w:highlight w:val="none"/>
        </w:rPr>
        <w:t>一、本项目分包情况</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  </w:t>
      </w:r>
      <w:r>
        <w:rPr>
          <w:rFonts w:hint="eastAsia" w:ascii="宋体" w:hAnsi="宋体" w:cs="宋体"/>
          <w:kern w:val="0"/>
          <w:sz w:val="24"/>
          <w:highlight w:val="none"/>
        </w:rPr>
        <w:t>本次采购为</w:t>
      </w:r>
      <w:r>
        <w:rPr>
          <w:rFonts w:hint="eastAsia" w:ascii="宋体" w:hAnsi="宋体" w:cs="宋体"/>
          <w:kern w:val="0"/>
          <w:sz w:val="24"/>
          <w:highlight w:val="none"/>
          <w:lang w:eastAsia="zh-CN"/>
        </w:rPr>
        <w:t>山东大学第二医院护士鞋采购</w:t>
      </w:r>
      <w:r>
        <w:rPr>
          <w:rFonts w:hint="eastAsia" w:ascii="宋体" w:hAnsi="宋体" w:cs="宋体"/>
          <w:kern w:val="0"/>
          <w:sz w:val="24"/>
          <w:highlight w:val="none"/>
        </w:rPr>
        <w:t>项目，本项目共分为</w:t>
      </w:r>
      <w:r>
        <w:rPr>
          <w:rFonts w:ascii="宋体" w:hAnsi="宋体" w:cs="宋体"/>
          <w:kern w:val="0"/>
          <w:sz w:val="24"/>
          <w:highlight w:val="none"/>
        </w:rPr>
        <w:t>1</w:t>
      </w:r>
      <w:r>
        <w:rPr>
          <w:rFonts w:hint="eastAsia" w:ascii="宋体" w:hAnsi="宋体" w:cs="宋体"/>
          <w:kern w:val="0"/>
          <w:sz w:val="24"/>
          <w:highlight w:val="none"/>
        </w:rPr>
        <w:t>个包。供应商必须对所报包内的设备完全响应，不得对包内设备分解后进行响应。</w:t>
      </w:r>
    </w:p>
    <w:p>
      <w:pPr>
        <w:numPr>
          <w:ilvl w:val="0"/>
          <w:numId w:val="5"/>
        </w:numPr>
        <w:rPr>
          <w:b/>
          <w:bCs/>
          <w:sz w:val="28"/>
          <w:highlight w:val="none"/>
        </w:rPr>
      </w:pPr>
      <w:r>
        <w:rPr>
          <w:rFonts w:hint="eastAsia" w:eastAsia="黑体"/>
          <w:b/>
          <w:bCs/>
          <w:sz w:val="28"/>
          <w:szCs w:val="28"/>
          <w:highlight w:val="none"/>
        </w:rPr>
        <w:t>项目</w:t>
      </w:r>
      <w:r>
        <w:rPr>
          <w:rFonts w:hint="eastAsia"/>
          <w:b/>
          <w:bCs/>
          <w:sz w:val="28"/>
          <w:highlight w:val="none"/>
        </w:rPr>
        <w:t>要求与说明</w:t>
      </w:r>
    </w:p>
    <w:p>
      <w:pPr>
        <w:widowControl/>
        <w:spacing w:line="360" w:lineRule="auto"/>
        <w:ind w:firstLine="420" w:firstLineChars="200"/>
        <w:jc w:val="left"/>
        <w:rPr>
          <w:rFonts w:ascii="宋体" w:cs="宋体"/>
          <w:kern w:val="0"/>
          <w:sz w:val="24"/>
          <w:highlight w:val="none"/>
        </w:rPr>
      </w:pPr>
      <w:r>
        <w:rPr>
          <w:highlight w:val="none"/>
        </w:rPr>
        <w:t xml:space="preserve"> </w:t>
      </w:r>
      <w:r>
        <w:rPr>
          <w:rFonts w:ascii="宋体" w:hAnsi="宋体" w:cs="宋体"/>
          <w:kern w:val="0"/>
          <w:sz w:val="24"/>
          <w:highlight w:val="none"/>
        </w:rPr>
        <w:t xml:space="preserve"> 1</w:t>
      </w:r>
      <w:r>
        <w:rPr>
          <w:rFonts w:hint="eastAsia" w:ascii="宋体" w:hAnsi="宋体" w:cs="宋体"/>
          <w:kern w:val="0"/>
          <w:sz w:val="24"/>
          <w:highlight w:val="none"/>
        </w:rPr>
        <w:t>、交货期：供应商可自行竞报最快交货期，但不得超过20天；</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  2</w:t>
      </w:r>
      <w:r>
        <w:rPr>
          <w:rFonts w:hint="eastAsia" w:ascii="宋体" w:hAnsi="宋体" w:cs="宋体"/>
          <w:kern w:val="0"/>
          <w:sz w:val="24"/>
          <w:highlight w:val="none"/>
        </w:rPr>
        <w:t>、交货地点：用户指定地点；</w:t>
      </w:r>
    </w:p>
    <w:p>
      <w:pPr>
        <w:widowControl/>
        <w:spacing w:line="360" w:lineRule="auto"/>
        <w:ind w:firstLine="480" w:firstLineChars="200"/>
        <w:jc w:val="left"/>
        <w:rPr>
          <w:rFonts w:hint="default" w:ascii="宋体" w:eastAsia="宋体" w:cs="宋体"/>
          <w:kern w:val="0"/>
          <w:sz w:val="24"/>
          <w:highlight w:val="none"/>
          <w:lang w:val="en-US" w:eastAsia="zh-CN"/>
        </w:rPr>
      </w:pPr>
      <w:r>
        <w:rPr>
          <w:rFonts w:ascii="宋体" w:hAnsi="宋体" w:cs="宋体"/>
          <w:kern w:val="0"/>
          <w:sz w:val="24"/>
          <w:highlight w:val="none"/>
        </w:rPr>
        <w:t xml:space="preserve">  3</w:t>
      </w:r>
      <w:r>
        <w:rPr>
          <w:rFonts w:hint="eastAsia" w:ascii="宋体" w:hAnsi="宋体" w:cs="宋体"/>
          <w:kern w:val="0"/>
          <w:sz w:val="24"/>
          <w:highlight w:val="none"/>
        </w:rPr>
        <w:t>、质保期：不低于</w:t>
      </w:r>
      <w:r>
        <w:rPr>
          <w:rFonts w:ascii="宋体" w:hAnsi="宋体" w:cs="宋体"/>
          <w:kern w:val="0"/>
          <w:sz w:val="24"/>
          <w:highlight w:val="none"/>
        </w:rPr>
        <w:t>1</w:t>
      </w:r>
      <w:r>
        <w:rPr>
          <w:rFonts w:hint="eastAsia" w:ascii="宋体" w:hAnsi="宋体" w:cs="宋体"/>
          <w:kern w:val="0"/>
          <w:sz w:val="24"/>
          <w:highlight w:val="none"/>
        </w:rPr>
        <w:t>年</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供应商可竞报最长质保期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  4</w:t>
      </w:r>
      <w:r>
        <w:rPr>
          <w:rFonts w:hint="eastAsia" w:ascii="宋体" w:hAnsi="宋体" w:cs="宋体"/>
          <w:kern w:val="0"/>
          <w:sz w:val="24"/>
          <w:highlight w:val="none"/>
        </w:rPr>
        <w:t>、不接受备选方案</w:t>
      </w:r>
      <w:r>
        <w:rPr>
          <w:rFonts w:hint="eastAsia" w:ascii="宋体" w:hAnsi="宋体" w:cs="宋体"/>
          <w:kern w:val="0"/>
          <w:sz w:val="24"/>
          <w:highlight w:val="none"/>
          <w:lang w:eastAsia="zh-CN"/>
        </w:rPr>
        <w:t>。</w:t>
      </w:r>
    </w:p>
    <w:p>
      <w:pPr>
        <w:numPr>
          <w:ilvl w:val="0"/>
          <w:numId w:val="5"/>
        </w:numPr>
        <w:rPr>
          <w:rFonts w:ascii="宋体" w:hAnsi="宋体"/>
          <w:bCs/>
          <w:sz w:val="24"/>
          <w:highlight w:val="none"/>
        </w:rPr>
      </w:pPr>
      <w:r>
        <w:rPr>
          <w:rFonts w:hint="eastAsia"/>
          <w:b/>
          <w:bCs/>
          <w:sz w:val="28"/>
          <w:highlight w:val="none"/>
        </w:rPr>
        <w:t>技术要求和参数如下</w:t>
      </w:r>
      <w:r>
        <w:rPr>
          <w:rFonts w:hint="eastAsia"/>
          <w:b/>
          <w:bCs/>
          <w:sz w:val="28"/>
          <w:highlight w:val="none"/>
          <w:lang w:eastAsia="zh-CN"/>
        </w:rPr>
        <w:t>：</w:t>
      </w:r>
    </w:p>
    <w:tbl>
      <w:tblPr>
        <w:tblStyle w:val="34"/>
        <w:tblW w:w="9939" w:type="dxa"/>
        <w:tblInd w:w="-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 w:type="dxa"/>
          <w:bottom w:w="0" w:type="dxa"/>
          <w:right w:w="7" w:type="dxa"/>
        </w:tblCellMar>
      </w:tblPr>
      <w:tblGrid>
        <w:gridCol w:w="1101"/>
        <w:gridCol w:w="2039"/>
        <w:gridCol w:w="3700"/>
        <w:gridCol w:w="1317"/>
        <w:gridCol w:w="931"/>
        <w:gridCol w:w="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 w:type="dxa"/>
            <w:bottom w:w="0" w:type="dxa"/>
            <w:right w:w="7" w:type="dxa"/>
          </w:tblCellMar>
        </w:tblPrEx>
        <w:trPr>
          <w:trHeight w:val="557" w:hRule="atLeast"/>
        </w:trPr>
        <w:tc>
          <w:tcPr>
            <w:tcW w:w="1101" w:type="dxa"/>
            <w:tcBorders>
              <w:top w:val="single" w:color="auto" w:sz="4" w:space="0"/>
              <w:bottom w:val="single" w:color="auto" w:sz="4" w:space="0"/>
              <w:right w:val="single" w:color="auto" w:sz="4" w:space="0"/>
            </w:tcBorders>
            <w:shd w:val="clear" w:color="auto" w:fill="auto"/>
            <w:noWrap w:val="0"/>
            <w:vAlign w:val="top"/>
          </w:tcPr>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品名</w:t>
            </w:r>
          </w:p>
        </w:tc>
        <w:tc>
          <w:tcPr>
            <w:tcW w:w="2039" w:type="dxa"/>
            <w:tcBorders>
              <w:top w:val="single" w:color="000000" w:sz="2" w:space="0"/>
              <w:left w:val="single" w:color="000000" w:sz="2" w:space="0"/>
              <w:bottom w:val="single" w:color="000000" w:sz="2" w:space="0"/>
              <w:right w:val="single" w:color="000000" w:sz="2" w:space="0"/>
            </w:tcBorders>
            <w:shd w:val="clear" w:color="auto" w:fill="FFFFFF"/>
            <w:noWrap w:val="0"/>
            <w:vAlign w:val="top"/>
          </w:tcPr>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规格</w:t>
            </w:r>
          </w:p>
        </w:tc>
        <w:tc>
          <w:tcPr>
            <w:tcW w:w="3700" w:type="dxa"/>
            <w:tcBorders>
              <w:top w:val="single" w:color="000000" w:sz="2" w:space="0"/>
              <w:left w:val="single" w:color="000000" w:sz="2" w:space="0"/>
              <w:bottom w:val="single" w:color="000000" w:sz="2" w:space="0"/>
              <w:right w:val="single" w:color="000000" w:sz="2" w:space="0"/>
            </w:tcBorders>
            <w:shd w:val="clear" w:color="auto" w:fill="FFFFFF"/>
            <w:noWrap w:val="0"/>
            <w:vAlign w:val="top"/>
          </w:tcPr>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技术参数</w:t>
            </w:r>
          </w:p>
        </w:tc>
        <w:tc>
          <w:tcPr>
            <w:tcW w:w="1317" w:type="dxa"/>
            <w:tcBorders>
              <w:top w:val="single" w:color="000000" w:sz="2" w:space="0"/>
              <w:left w:val="single" w:color="000000" w:sz="2" w:space="0"/>
              <w:bottom w:val="single" w:color="000000" w:sz="2" w:space="0"/>
              <w:right w:val="single" w:color="000000" w:sz="2" w:space="0"/>
            </w:tcBorders>
            <w:shd w:val="clear" w:color="auto" w:fill="FFFFFF"/>
            <w:noWrap w:val="0"/>
            <w:vAlign w:val="top"/>
          </w:tcPr>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颜色</w:t>
            </w:r>
          </w:p>
        </w:tc>
        <w:tc>
          <w:tcPr>
            <w:tcW w:w="931" w:type="dxa"/>
            <w:tcBorders>
              <w:top w:val="single" w:color="000000" w:sz="2" w:space="0"/>
              <w:left w:val="single" w:color="000000" w:sz="2" w:space="0"/>
              <w:bottom w:val="single" w:color="000000" w:sz="2" w:space="0"/>
              <w:right w:val="single" w:color="000000" w:sz="2" w:space="0"/>
            </w:tcBorders>
            <w:shd w:val="clear" w:color="auto" w:fill="FFFFFF"/>
            <w:noWrap w:val="0"/>
            <w:vAlign w:val="top"/>
          </w:tcPr>
          <w:p>
            <w:pPr>
              <w:widowControl/>
              <w:spacing w:line="360" w:lineRule="auto"/>
              <w:ind w:firstLine="240" w:firstLineChars="1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单位</w:t>
            </w:r>
          </w:p>
        </w:tc>
        <w:tc>
          <w:tcPr>
            <w:tcW w:w="851" w:type="dxa"/>
            <w:tcBorders>
              <w:top w:val="single" w:color="000000" w:sz="2" w:space="0"/>
              <w:left w:val="single" w:color="000000" w:sz="2" w:space="0"/>
              <w:bottom w:val="single" w:color="000000" w:sz="2" w:space="0"/>
              <w:right w:val="single" w:color="000000" w:sz="2" w:space="0"/>
            </w:tcBorders>
            <w:shd w:val="clear" w:color="auto" w:fill="FFFFFF"/>
            <w:noWrap w:val="0"/>
            <w:vAlign w:val="top"/>
          </w:tcPr>
          <w:p>
            <w:pPr>
              <w:widowControl/>
              <w:spacing w:line="360" w:lineRule="auto"/>
              <w:ind w:firstLine="240" w:firstLineChars="1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 w:type="dxa"/>
            <w:bottom w:w="0" w:type="dxa"/>
            <w:right w:w="7" w:type="dxa"/>
          </w:tblCellMar>
        </w:tblPrEx>
        <w:trPr>
          <w:trHeight w:val="3364" w:hRule="atLeast"/>
        </w:trPr>
        <w:tc>
          <w:tcPr>
            <w:tcW w:w="110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360" w:lineRule="auto"/>
              <w:ind w:firstLine="240" w:firstLineChars="1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护士鞋</w:t>
            </w:r>
          </w:p>
        </w:tc>
        <w:tc>
          <w:tcPr>
            <w:tcW w:w="203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按院方提供的号型（样式可备选）</w:t>
            </w:r>
          </w:p>
        </w:tc>
        <w:tc>
          <w:tcPr>
            <w:tcW w:w="370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360" w:lineRule="auto"/>
              <w:ind w:firstLine="240" w:firstLineChars="100"/>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鞋面：优质牛皮，柔韧细腻 透气舒适，耐穿易打理</w:t>
            </w:r>
          </w:p>
          <w:p>
            <w:pPr>
              <w:widowControl/>
              <w:spacing w:line="360" w:lineRule="auto"/>
              <w:ind w:firstLine="240" w:firstLineChars="100"/>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鞋垫材质：乳胶鞋垫</w:t>
            </w:r>
          </w:p>
          <w:p>
            <w:pPr>
              <w:widowControl/>
              <w:spacing w:line="360" w:lineRule="auto"/>
              <w:ind w:firstLine="240" w:firstLineChars="100"/>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鞋底材质：缓震EVA鞋底，减震回弹，久站不累，防滑耐磨</w:t>
            </w:r>
          </w:p>
          <w:p>
            <w:pPr>
              <w:widowControl/>
              <w:spacing w:line="360" w:lineRule="auto"/>
              <w:ind w:firstLine="480" w:firstLineChars="200"/>
              <w:jc w:val="left"/>
              <w:rPr>
                <w:rFonts w:hint="eastAsia" w:ascii="宋体" w:hAnsi="宋体" w:eastAsia="宋体" w:cs="宋体"/>
                <w:kern w:val="0"/>
                <w:sz w:val="24"/>
                <w:highlight w:val="none"/>
              </w:rPr>
            </w:pPr>
          </w:p>
        </w:tc>
        <w:tc>
          <w:tcPr>
            <w:tcW w:w="131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白色</w:t>
            </w:r>
          </w:p>
        </w:tc>
        <w:tc>
          <w:tcPr>
            <w:tcW w:w="93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360" w:lineRule="auto"/>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双</w:t>
            </w:r>
          </w:p>
        </w:tc>
        <w:tc>
          <w:tcPr>
            <w:tcW w:w="85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widowControl/>
              <w:spacing w:line="360" w:lineRule="auto"/>
              <w:ind w:firstLine="240" w:firstLineChars="100"/>
              <w:jc w:val="left"/>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约</w:t>
            </w:r>
            <w:r>
              <w:rPr>
                <w:rFonts w:hint="eastAsia" w:ascii="宋体" w:hAnsi="宋体" w:eastAsia="宋体" w:cs="宋体"/>
                <w:kern w:val="0"/>
                <w:sz w:val="24"/>
                <w:highlight w:val="none"/>
                <w:lang w:val="en-US" w:eastAsia="zh-CN"/>
              </w:rPr>
              <w:t>1648</w:t>
            </w:r>
          </w:p>
        </w:tc>
      </w:tr>
    </w:tbl>
    <w:p>
      <w:pPr>
        <w:pStyle w:val="58"/>
        <w:ind w:firstLine="0" w:firstLineChars="0"/>
        <w:rPr>
          <w:rFonts w:ascii="宋体" w:cs="宋体"/>
          <w:highlight w:val="none"/>
        </w:rPr>
      </w:pPr>
      <w:r>
        <w:rPr>
          <w:rFonts w:ascii="宋体" w:hAnsi="宋体"/>
          <w:bCs/>
          <w:sz w:val="24"/>
          <w:highlight w:val="none"/>
        </w:rPr>
        <w:br w:type="page"/>
      </w:r>
    </w:p>
    <w:p>
      <w:pPr>
        <w:pStyle w:val="31"/>
        <w:spacing w:before="0" w:after="40"/>
        <w:rPr>
          <w:rFonts w:ascii="宋体" w:hAnsi="宋体" w:eastAsia="宋体" w:cs="宋体"/>
          <w:sz w:val="36"/>
          <w:szCs w:val="36"/>
          <w:highlight w:val="none"/>
        </w:rPr>
      </w:pPr>
      <w:bookmarkStart w:id="52" w:name="_Toc20707"/>
      <w:bookmarkStart w:id="53" w:name="_Toc3835"/>
      <w:bookmarkStart w:id="54" w:name="_Toc425434452"/>
      <w:bookmarkStart w:id="55" w:name="_Toc420504042"/>
      <w:r>
        <w:rPr>
          <w:rFonts w:hint="eastAsia" w:ascii="宋体" w:hAnsi="宋体" w:eastAsia="宋体" w:cs="宋体"/>
          <w:sz w:val="36"/>
          <w:szCs w:val="36"/>
          <w:highlight w:val="none"/>
        </w:rPr>
        <w:t>第四部分</w:t>
      </w:r>
      <w:r>
        <w:rPr>
          <w:rFonts w:ascii="宋体" w:hAnsi="宋体" w:eastAsia="宋体" w:cs="宋体"/>
          <w:sz w:val="36"/>
          <w:szCs w:val="36"/>
          <w:highlight w:val="none"/>
        </w:rPr>
        <w:t xml:space="preserve"> </w:t>
      </w:r>
      <w:bookmarkEnd w:id="52"/>
      <w:bookmarkEnd w:id="53"/>
      <w:bookmarkEnd w:id="54"/>
      <w:bookmarkEnd w:id="55"/>
      <w:r>
        <w:rPr>
          <w:rFonts w:hint="eastAsia" w:ascii="宋体" w:hAnsi="宋体" w:eastAsia="宋体" w:cs="宋体"/>
          <w:sz w:val="36"/>
          <w:szCs w:val="36"/>
          <w:highlight w:val="none"/>
        </w:rPr>
        <w:t>合同条款及格式</w:t>
      </w:r>
    </w:p>
    <w:p>
      <w:pPr>
        <w:pStyle w:val="13"/>
        <w:tabs>
          <w:tab w:val="left" w:pos="0"/>
        </w:tabs>
        <w:spacing w:line="480" w:lineRule="exact"/>
        <w:ind w:left="0" w:leftChars="0" w:firstLine="0" w:firstLineChars="0"/>
        <w:jc w:val="center"/>
        <w:rPr>
          <w:rFonts w:ascii="宋体"/>
          <w:highlight w:val="none"/>
        </w:rPr>
      </w:pPr>
      <w:r>
        <w:rPr>
          <w:rFonts w:hint="eastAsia" w:ascii="宋体" w:hAnsi="宋体"/>
          <w:highlight w:val="none"/>
        </w:rPr>
        <w:t>第一节：合同条款</w:t>
      </w:r>
    </w:p>
    <w:p>
      <w:pPr>
        <w:pStyle w:val="2"/>
        <w:spacing w:line="480" w:lineRule="exact"/>
        <w:rPr>
          <w:rFonts w:ascii="宋体"/>
          <w:bCs/>
          <w:sz w:val="24"/>
          <w:highlight w:val="none"/>
        </w:rPr>
      </w:pPr>
      <w:r>
        <w:rPr>
          <w:rFonts w:ascii="宋体" w:hAnsi="宋体"/>
          <w:bCs/>
          <w:sz w:val="24"/>
          <w:highlight w:val="none"/>
        </w:rPr>
        <w:t>1</w:t>
      </w:r>
      <w:r>
        <w:rPr>
          <w:rFonts w:hint="eastAsia" w:ascii="宋体" w:hAnsi="宋体"/>
          <w:bCs/>
          <w:sz w:val="24"/>
          <w:highlight w:val="none"/>
        </w:rPr>
        <w:t>、定义</w:t>
      </w:r>
    </w:p>
    <w:p>
      <w:pPr>
        <w:pStyle w:val="2"/>
        <w:spacing w:line="480" w:lineRule="exact"/>
        <w:ind w:left="1"/>
        <w:rPr>
          <w:rFonts w:ascii="宋体"/>
          <w:bCs/>
          <w:sz w:val="24"/>
          <w:highlight w:val="none"/>
        </w:rPr>
      </w:pPr>
      <w:r>
        <w:rPr>
          <w:rFonts w:ascii="宋体" w:hAnsi="宋体"/>
          <w:bCs/>
          <w:sz w:val="24"/>
          <w:highlight w:val="none"/>
        </w:rPr>
        <w:t xml:space="preserve">1.1 </w:t>
      </w:r>
      <w:r>
        <w:rPr>
          <w:rFonts w:hint="eastAsia" w:ascii="宋体" w:hAnsi="宋体"/>
          <w:bCs/>
          <w:sz w:val="24"/>
          <w:highlight w:val="none"/>
        </w:rPr>
        <w:t>“合同”系指甲乙双方签署的、合同格式中载明的甲乙双方所达成的，包括所有的附件和构成合同的其它文件。</w:t>
      </w:r>
    </w:p>
    <w:p>
      <w:pPr>
        <w:pStyle w:val="2"/>
        <w:spacing w:line="480" w:lineRule="exact"/>
        <w:ind w:left="1"/>
        <w:rPr>
          <w:rFonts w:ascii="宋体"/>
          <w:bCs/>
          <w:sz w:val="24"/>
          <w:highlight w:val="none"/>
        </w:rPr>
      </w:pPr>
      <w:r>
        <w:rPr>
          <w:rFonts w:ascii="宋体" w:hAnsi="宋体"/>
          <w:bCs/>
          <w:sz w:val="24"/>
          <w:highlight w:val="none"/>
        </w:rPr>
        <w:t xml:space="preserve">1.2 </w:t>
      </w:r>
      <w:r>
        <w:rPr>
          <w:rFonts w:hint="eastAsia" w:ascii="宋体" w:hAnsi="宋体"/>
          <w:bCs/>
          <w:sz w:val="24"/>
          <w:highlight w:val="none"/>
        </w:rPr>
        <w:t>“货物”系指乙方根据合同约定须向甲方提供的一切设备、机械、仪表、备件、工具、手册和其它技术资料及材料。</w:t>
      </w:r>
    </w:p>
    <w:p>
      <w:pPr>
        <w:pStyle w:val="2"/>
        <w:spacing w:line="480" w:lineRule="exact"/>
        <w:ind w:left="1"/>
        <w:rPr>
          <w:rFonts w:ascii="宋体"/>
          <w:bCs/>
          <w:sz w:val="24"/>
          <w:highlight w:val="none"/>
        </w:rPr>
      </w:pPr>
      <w:r>
        <w:rPr>
          <w:rFonts w:ascii="宋体" w:hAnsi="宋体"/>
          <w:bCs/>
          <w:sz w:val="24"/>
          <w:highlight w:val="none"/>
        </w:rPr>
        <w:t xml:space="preserve">1.3 </w:t>
      </w:r>
      <w:r>
        <w:rPr>
          <w:rFonts w:hint="eastAsia" w:ascii="宋体" w:hAnsi="宋体"/>
          <w:bCs/>
          <w:sz w:val="24"/>
          <w:highlight w:val="none"/>
        </w:rPr>
        <w:t>“服务”系指根据合同约定乙方承担与供货有关的辅助服务，如运输、保险及安装、调试、提供技术协助、培训和其他类似的服务。</w:t>
      </w:r>
    </w:p>
    <w:p>
      <w:pPr>
        <w:pStyle w:val="2"/>
        <w:spacing w:line="480" w:lineRule="exact"/>
        <w:rPr>
          <w:rFonts w:ascii="宋体"/>
          <w:bCs/>
          <w:sz w:val="24"/>
          <w:highlight w:val="none"/>
        </w:rPr>
      </w:pPr>
      <w:r>
        <w:rPr>
          <w:rFonts w:ascii="宋体" w:hAnsi="宋体"/>
          <w:bCs/>
          <w:sz w:val="24"/>
          <w:highlight w:val="none"/>
        </w:rPr>
        <w:t xml:space="preserve">1.4 </w:t>
      </w:r>
      <w:r>
        <w:rPr>
          <w:rFonts w:hint="eastAsia" w:ascii="宋体" w:hAnsi="宋体"/>
          <w:bCs/>
          <w:sz w:val="24"/>
          <w:highlight w:val="none"/>
        </w:rPr>
        <w:t>“甲方”系指与中标投标人签署合同的单位。</w:t>
      </w:r>
    </w:p>
    <w:p>
      <w:pPr>
        <w:pStyle w:val="2"/>
        <w:spacing w:line="480" w:lineRule="exact"/>
        <w:rPr>
          <w:rFonts w:ascii="宋体"/>
          <w:bCs/>
          <w:sz w:val="24"/>
          <w:highlight w:val="none"/>
        </w:rPr>
      </w:pPr>
      <w:r>
        <w:rPr>
          <w:rFonts w:ascii="宋体" w:hAnsi="宋体"/>
          <w:bCs/>
          <w:sz w:val="24"/>
          <w:highlight w:val="none"/>
        </w:rPr>
        <w:t xml:space="preserve">1.5 </w:t>
      </w:r>
      <w:r>
        <w:rPr>
          <w:rFonts w:hint="eastAsia" w:ascii="宋体" w:hAnsi="宋体"/>
          <w:bCs/>
          <w:sz w:val="24"/>
          <w:highlight w:val="none"/>
        </w:rPr>
        <w:t>“乙方”系指根据合同约定提供货物和服务的中标投标人。</w:t>
      </w:r>
    </w:p>
    <w:p>
      <w:pPr>
        <w:pStyle w:val="2"/>
        <w:spacing w:line="480" w:lineRule="exact"/>
        <w:rPr>
          <w:rFonts w:ascii="宋体"/>
          <w:bCs/>
          <w:sz w:val="24"/>
          <w:highlight w:val="none"/>
        </w:rPr>
      </w:pPr>
      <w:r>
        <w:rPr>
          <w:rFonts w:ascii="宋体" w:hAnsi="宋体"/>
          <w:bCs/>
          <w:sz w:val="24"/>
          <w:highlight w:val="none"/>
        </w:rPr>
        <w:t xml:space="preserve">1.6 </w:t>
      </w:r>
      <w:r>
        <w:rPr>
          <w:rFonts w:hint="eastAsia" w:ascii="宋体" w:hAnsi="宋体"/>
          <w:bCs/>
          <w:sz w:val="24"/>
          <w:highlight w:val="none"/>
        </w:rPr>
        <w:t>“现场”系指合同约定货物将要运至和安装的地点。</w:t>
      </w:r>
    </w:p>
    <w:p>
      <w:pPr>
        <w:pStyle w:val="2"/>
        <w:spacing w:line="480" w:lineRule="exact"/>
        <w:ind w:left="1"/>
        <w:rPr>
          <w:rFonts w:ascii="宋体"/>
          <w:bCs/>
          <w:sz w:val="24"/>
          <w:highlight w:val="none"/>
        </w:rPr>
      </w:pPr>
      <w:r>
        <w:rPr>
          <w:rFonts w:ascii="宋体" w:hAnsi="宋体"/>
          <w:bCs/>
          <w:sz w:val="24"/>
          <w:highlight w:val="none"/>
        </w:rPr>
        <w:t xml:space="preserve">1.7 </w:t>
      </w:r>
      <w:r>
        <w:rPr>
          <w:rFonts w:hint="eastAsia" w:ascii="宋体" w:hAnsi="宋体"/>
          <w:bCs/>
          <w:sz w:val="24"/>
          <w:highlight w:val="none"/>
        </w:rPr>
        <w:t>“验收“系指合同双方依据强制性的国家技术质量规范和合同约定，确认合同项下的货物符合合同规定的活动。</w:t>
      </w:r>
    </w:p>
    <w:p>
      <w:pPr>
        <w:pStyle w:val="2"/>
        <w:spacing w:line="480" w:lineRule="exact"/>
        <w:rPr>
          <w:rFonts w:ascii="宋体"/>
          <w:bCs/>
          <w:sz w:val="24"/>
          <w:highlight w:val="none"/>
        </w:rPr>
      </w:pPr>
      <w:r>
        <w:rPr>
          <w:rFonts w:ascii="宋体" w:hAnsi="宋体"/>
          <w:bCs/>
          <w:sz w:val="24"/>
          <w:highlight w:val="none"/>
        </w:rPr>
        <w:t>2</w:t>
      </w:r>
      <w:r>
        <w:rPr>
          <w:rFonts w:hint="eastAsia" w:ascii="宋体" w:hAnsi="宋体"/>
          <w:bCs/>
          <w:sz w:val="24"/>
          <w:highlight w:val="none"/>
        </w:rPr>
        <w:t>、技术规范</w:t>
      </w:r>
    </w:p>
    <w:p>
      <w:pPr>
        <w:pStyle w:val="2"/>
        <w:spacing w:line="480" w:lineRule="exact"/>
        <w:ind w:left="1"/>
        <w:rPr>
          <w:rFonts w:ascii="宋体"/>
          <w:bCs/>
          <w:sz w:val="24"/>
          <w:highlight w:val="none"/>
        </w:rPr>
      </w:pPr>
      <w:r>
        <w:rPr>
          <w:rFonts w:ascii="宋体" w:hAnsi="宋体"/>
          <w:bCs/>
          <w:sz w:val="24"/>
          <w:highlight w:val="none"/>
        </w:rPr>
        <w:t xml:space="preserve">2.1  </w:t>
      </w:r>
      <w:r>
        <w:rPr>
          <w:rFonts w:hint="eastAsia" w:ascii="宋体" w:hAnsi="宋体"/>
          <w:bCs/>
          <w:sz w:val="24"/>
          <w:highlight w:val="none"/>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2"/>
        <w:spacing w:line="480" w:lineRule="exact"/>
        <w:rPr>
          <w:rFonts w:ascii="宋体"/>
          <w:bCs/>
          <w:sz w:val="24"/>
          <w:highlight w:val="none"/>
        </w:rPr>
      </w:pPr>
      <w:r>
        <w:rPr>
          <w:rFonts w:ascii="宋体" w:hAnsi="宋体"/>
          <w:bCs/>
          <w:sz w:val="24"/>
          <w:highlight w:val="none"/>
        </w:rPr>
        <w:t>3</w:t>
      </w:r>
      <w:r>
        <w:rPr>
          <w:rFonts w:hint="eastAsia" w:ascii="宋体" w:hAnsi="宋体"/>
          <w:bCs/>
          <w:sz w:val="24"/>
          <w:highlight w:val="none"/>
        </w:rPr>
        <w:t>、知识产权</w:t>
      </w:r>
    </w:p>
    <w:p>
      <w:pPr>
        <w:pStyle w:val="2"/>
        <w:spacing w:line="480" w:lineRule="exact"/>
        <w:ind w:left="1"/>
        <w:rPr>
          <w:rFonts w:ascii="宋体"/>
          <w:bCs/>
          <w:sz w:val="24"/>
          <w:highlight w:val="none"/>
        </w:rPr>
      </w:pPr>
      <w:r>
        <w:rPr>
          <w:rFonts w:ascii="宋体" w:hAnsi="宋体"/>
          <w:bCs/>
          <w:sz w:val="24"/>
          <w:highlight w:val="none"/>
        </w:rPr>
        <w:t xml:space="preserve">3.1 </w:t>
      </w:r>
      <w:r>
        <w:rPr>
          <w:rFonts w:hint="eastAsia" w:ascii="宋体" w:hAnsi="宋体"/>
          <w:bCs/>
          <w:sz w:val="24"/>
          <w:highlight w:val="none"/>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2"/>
        <w:spacing w:line="480" w:lineRule="exact"/>
        <w:rPr>
          <w:rFonts w:ascii="宋体"/>
          <w:bCs/>
          <w:sz w:val="24"/>
          <w:highlight w:val="none"/>
        </w:rPr>
      </w:pPr>
      <w:r>
        <w:rPr>
          <w:rFonts w:ascii="宋体" w:hAnsi="宋体"/>
          <w:bCs/>
          <w:sz w:val="24"/>
          <w:highlight w:val="none"/>
        </w:rPr>
        <w:t>4</w:t>
      </w:r>
      <w:r>
        <w:rPr>
          <w:rFonts w:hint="eastAsia" w:ascii="宋体" w:hAnsi="宋体"/>
          <w:bCs/>
          <w:sz w:val="24"/>
          <w:highlight w:val="none"/>
        </w:rPr>
        <w:t>、付款</w:t>
      </w:r>
    </w:p>
    <w:p>
      <w:pPr>
        <w:pStyle w:val="2"/>
        <w:spacing w:line="480" w:lineRule="exact"/>
        <w:ind w:left="1"/>
        <w:rPr>
          <w:rFonts w:ascii="宋体"/>
          <w:bCs/>
          <w:sz w:val="24"/>
          <w:highlight w:val="none"/>
        </w:rPr>
      </w:pPr>
      <w:r>
        <w:rPr>
          <w:rFonts w:hint="eastAsia" w:ascii="宋体" w:hAnsi="宋体"/>
          <w:bCs/>
          <w:sz w:val="24"/>
          <w:highlight w:val="none"/>
        </w:rPr>
        <w:t>付款方式：</w:t>
      </w:r>
    </w:p>
    <w:p>
      <w:pPr>
        <w:pStyle w:val="2"/>
        <w:spacing w:line="480" w:lineRule="exact"/>
        <w:rPr>
          <w:rFonts w:hint="eastAsia" w:ascii="宋体" w:hAnsi="宋体" w:cs="宋体"/>
          <w:color w:val="000000"/>
          <w:spacing w:val="7"/>
          <w:sz w:val="24"/>
          <w:highlight w:val="none"/>
        </w:rPr>
      </w:pPr>
      <w:r>
        <w:rPr>
          <w:rFonts w:hint="eastAsia" w:ascii="宋体" w:hAnsi="宋体" w:cs="宋体"/>
          <w:color w:val="000000"/>
          <w:spacing w:val="7"/>
          <w:sz w:val="24"/>
          <w:highlight w:val="none"/>
        </w:rPr>
        <w:t>货物全部交付完毕并验收合格后凭清单及发票办理入库手续，甲方收到前述凭证后三个月内支付合同总金额90%,货物自验收合格之日起满12个月无质量问题的，甲方付清全部货物尾款。（结算数量以审计最终审计数量为准）</w:t>
      </w:r>
    </w:p>
    <w:p>
      <w:pPr>
        <w:pStyle w:val="2"/>
        <w:spacing w:line="480" w:lineRule="exact"/>
        <w:rPr>
          <w:rFonts w:ascii="宋体"/>
          <w:bCs/>
          <w:sz w:val="24"/>
          <w:highlight w:val="none"/>
        </w:rPr>
      </w:pPr>
      <w:r>
        <w:rPr>
          <w:rFonts w:ascii="宋体" w:hAnsi="宋体"/>
          <w:bCs/>
          <w:sz w:val="24"/>
          <w:highlight w:val="none"/>
        </w:rPr>
        <w:t>5</w:t>
      </w:r>
      <w:r>
        <w:rPr>
          <w:rFonts w:hint="eastAsia" w:ascii="宋体" w:hAnsi="宋体"/>
          <w:bCs/>
          <w:sz w:val="24"/>
          <w:highlight w:val="none"/>
        </w:rPr>
        <w:t>、交货方式、安装时间、地点</w:t>
      </w:r>
    </w:p>
    <w:p>
      <w:pPr>
        <w:spacing w:line="480" w:lineRule="exact"/>
        <w:ind w:firstLine="360" w:firstLineChars="150"/>
        <w:rPr>
          <w:rFonts w:ascii="宋体"/>
          <w:bCs/>
          <w:sz w:val="24"/>
          <w:highlight w:val="none"/>
        </w:rPr>
      </w:pPr>
      <w:r>
        <w:rPr>
          <w:rFonts w:hint="eastAsia" w:ascii="宋体" w:hAnsi="宋体"/>
          <w:bCs/>
          <w:sz w:val="24"/>
          <w:highlight w:val="none"/>
        </w:rPr>
        <w:t>交货、安装时间按招标确定的合同条款。</w:t>
      </w:r>
    </w:p>
    <w:p>
      <w:pPr>
        <w:pStyle w:val="2"/>
        <w:spacing w:line="480" w:lineRule="exact"/>
        <w:rPr>
          <w:rFonts w:ascii="宋体"/>
          <w:bCs/>
          <w:sz w:val="24"/>
          <w:highlight w:val="none"/>
        </w:rPr>
      </w:pPr>
      <w:r>
        <w:rPr>
          <w:rFonts w:ascii="宋体" w:hAnsi="宋体"/>
          <w:bCs/>
          <w:sz w:val="24"/>
          <w:highlight w:val="none"/>
        </w:rPr>
        <w:t>6</w:t>
      </w:r>
      <w:r>
        <w:rPr>
          <w:rFonts w:hint="eastAsia" w:ascii="宋体" w:hAnsi="宋体"/>
          <w:bCs/>
          <w:sz w:val="24"/>
          <w:highlight w:val="none"/>
        </w:rPr>
        <w:t>、质量</w:t>
      </w:r>
    </w:p>
    <w:p>
      <w:pPr>
        <w:pStyle w:val="2"/>
        <w:spacing w:line="480" w:lineRule="exact"/>
        <w:ind w:left="1"/>
        <w:rPr>
          <w:rFonts w:ascii="宋体"/>
          <w:bCs/>
          <w:sz w:val="24"/>
          <w:highlight w:val="none"/>
        </w:rPr>
      </w:pPr>
      <w:r>
        <w:rPr>
          <w:rFonts w:ascii="宋体" w:hAnsi="宋体"/>
          <w:bCs/>
          <w:sz w:val="24"/>
          <w:highlight w:val="none"/>
        </w:rPr>
        <w:t xml:space="preserve">6.1 </w:t>
      </w:r>
      <w:r>
        <w:rPr>
          <w:rFonts w:hint="eastAsia" w:ascii="宋体" w:hAnsi="宋体"/>
          <w:bCs/>
          <w:sz w:val="24"/>
          <w:highlight w:val="none"/>
        </w:rPr>
        <w:t>乙方须保证货物是货物制造厂商原造的，全新、未使用过的，并完全符合强制性的国家技术质量规范和招标文件规定的质量、规格、性能和技术规范等要求。</w:t>
      </w:r>
    </w:p>
    <w:p>
      <w:pPr>
        <w:pStyle w:val="2"/>
        <w:spacing w:line="480" w:lineRule="exact"/>
        <w:ind w:left="31680" w:hanging="763" w:hangingChars="318"/>
        <w:rPr>
          <w:rFonts w:ascii="宋体"/>
          <w:bCs/>
          <w:sz w:val="24"/>
          <w:highlight w:val="none"/>
        </w:rPr>
      </w:pPr>
      <w:r>
        <w:rPr>
          <w:rFonts w:ascii="宋体" w:hAnsi="宋体"/>
          <w:bCs/>
          <w:sz w:val="24"/>
          <w:highlight w:val="none"/>
        </w:rPr>
        <w:t>6.2</w:t>
      </w:r>
      <w:r>
        <w:rPr>
          <w:rFonts w:hint="eastAsia" w:ascii="宋体" w:hAnsi="宋体"/>
          <w:bCs/>
          <w:sz w:val="24"/>
          <w:highlight w:val="none"/>
        </w:rPr>
        <w:t>乙方提供给甲方的货物应通过货物制造商的出厂检验，并提供质量合格证书。</w:t>
      </w:r>
    </w:p>
    <w:p>
      <w:pPr>
        <w:pStyle w:val="2"/>
        <w:spacing w:line="480" w:lineRule="exact"/>
        <w:ind w:left="1"/>
        <w:rPr>
          <w:rFonts w:ascii="宋体"/>
          <w:bCs/>
          <w:sz w:val="24"/>
          <w:highlight w:val="none"/>
        </w:rPr>
      </w:pPr>
      <w:r>
        <w:rPr>
          <w:rFonts w:ascii="宋体" w:hAnsi="宋体"/>
          <w:bCs/>
          <w:sz w:val="24"/>
          <w:highlight w:val="none"/>
        </w:rPr>
        <w:t xml:space="preserve">6.3 </w:t>
      </w:r>
      <w:r>
        <w:rPr>
          <w:rFonts w:hint="eastAsia" w:ascii="宋体" w:hAnsi="宋体"/>
          <w:bCs/>
          <w:sz w:val="24"/>
          <w:highlight w:val="none"/>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2"/>
        <w:spacing w:line="480" w:lineRule="exact"/>
        <w:ind w:left="1"/>
        <w:rPr>
          <w:rFonts w:ascii="宋体"/>
          <w:bCs/>
          <w:sz w:val="24"/>
          <w:highlight w:val="none"/>
        </w:rPr>
      </w:pPr>
      <w:r>
        <w:rPr>
          <w:rFonts w:ascii="宋体" w:hAnsi="宋体"/>
          <w:bCs/>
          <w:sz w:val="24"/>
          <w:highlight w:val="none"/>
        </w:rPr>
        <w:t xml:space="preserve">6.4 </w:t>
      </w:r>
      <w:r>
        <w:rPr>
          <w:rFonts w:hint="eastAsia" w:ascii="宋体" w:hAnsi="宋体"/>
          <w:bCs/>
          <w:sz w:val="24"/>
          <w:highlight w:val="none"/>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2"/>
        <w:spacing w:line="480" w:lineRule="exact"/>
        <w:ind w:left="1"/>
        <w:rPr>
          <w:rFonts w:ascii="宋体"/>
          <w:bCs/>
          <w:sz w:val="24"/>
          <w:highlight w:val="none"/>
        </w:rPr>
      </w:pPr>
      <w:r>
        <w:rPr>
          <w:rFonts w:ascii="宋体" w:hAnsi="宋体"/>
          <w:bCs/>
          <w:sz w:val="24"/>
          <w:highlight w:val="none"/>
        </w:rPr>
        <w:t xml:space="preserve">6.5 </w:t>
      </w:r>
      <w:r>
        <w:rPr>
          <w:rFonts w:hint="eastAsia" w:ascii="宋体" w:hAnsi="宋体"/>
          <w:bCs/>
          <w:sz w:val="24"/>
          <w:highlight w:val="none"/>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2"/>
        <w:spacing w:line="480" w:lineRule="exact"/>
        <w:ind w:left="1"/>
        <w:rPr>
          <w:rFonts w:ascii="宋体"/>
          <w:bCs/>
          <w:sz w:val="24"/>
          <w:highlight w:val="none"/>
        </w:rPr>
      </w:pPr>
      <w:r>
        <w:rPr>
          <w:rFonts w:ascii="宋体" w:hAnsi="宋体"/>
          <w:bCs/>
          <w:sz w:val="24"/>
          <w:highlight w:val="none"/>
        </w:rPr>
        <w:t xml:space="preserve">6.6 </w:t>
      </w:r>
      <w:r>
        <w:rPr>
          <w:rFonts w:hint="eastAsia" w:ascii="宋体" w:hAnsi="宋体"/>
          <w:bCs/>
          <w:sz w:val="24"/>
          <w:highlight w:val="none"/>
        </w:rPr>
        <w:t>如果乙方在收到通知后五日内没有弥补缺陷，甲方可采取必要的补救措施，但由此引发的风险和费用将由乙方承担。</w:t>
      </w:r>
    </w:p>
    <w:p>
      <w:pPr>
        <w:pStyle w:val="2"/>
        <w:spacing w:line="480" w:lineRule="exact"/>
        <w:ind w:left="1"/>
        <w:rPr>
          <w:rFonts w:ascii="宋体"/>
          <w:bCs/>
          <w:sz w:val="24"/>
          <w:highlight w:val="none"/>
        </w:rPr>
      </w:pPr>
      <w:r>
        <w:rPr>
          <w:rFonts w:ascii="宋体" w:hAnsi="宋体"/>
          <w:bCs/>
          <w:sz w:val="24"/>
          <w:highlight w:val="none"/>
        </w:rPr>
        <w:t xml:space="preserve">6.7 </w:t>
      </w:r>
      <w:r>
        <w:rPr>
          <w:rFonts w:hint="eastAsia" w:ascii="宋体" w:hAnsi="宋体"/>
          <w:bCs/>
          <w:sz w:val="24"/>
          <w:highlight w:val="none"/>
        </w:rPr>
        <w:t>除“合同特殊条款”另有规定外，货物的质量保证期为自货物通过验收之日起</w:t>
      </w:r>
      <w:r>
        <w:rPr>
          <w:rFonts w:ascii="宋体" w:hAnsi="宋体"/>
          <w:bCs/>
          <w:sz w:val="24"/>
          <w:highlight w:val="none"/>
        </w:rPr>
        <w:t>12</w:t>
      </w:r>
      <w:r>
        <w:rPr>
          <w:rFonts w:hint="eastAsia" w:ascii="宋体" w:hAnsi="宋体"/>
          <w:bCs/>
          <w:sz w:val="24"/>
          <w:highlight w:val="none"/>
        </w:rPr>
        <w:t>个月。</w:t>
      </w:r>
    </w:p>
    <w:p>
      <w:pPr>
        <w:pStyle w:val="2"/>
        <w:spacing w:line="480" w:lineRule="exact"/>
        <w:ind w:left="1"/>
        <w:rPr>
          <w:rFonts w:ascii="宋体"/>
          <w:bCs/>
          <w:sz w:val="24"/>
          <w:highlight w:val="none"/>
        </w:rPr>
      </w:pPr>
      <w:r>
        <w:rPr>
          <w:rFonts w:ascii="宋体" w:hAnsi="宋体"/>
          <w:bCs/>
          <w:sz w:val="24"/>
          <w:highlight w:val="none"/>
        </w:rPr>
        <w:t xml:space="preserve">6.8 </w:t>
      </w:r>
      <w:r>
        <w:rPr>
          <w:rFonts w:hint="eastAsia" w:ascii="宋体" w:hAnsi="宋体"/>
          <w:bCs/>
          <w:sz w:val="24"/>
          <w:highlight w:val="none"/>
        </w:rPr>
        <w:t>在合同货物质量保证期届满后，乙方保证继续为甲方提供货物的备品、备件及维修服务，且乙方保证在货物使用期内以不高于任何第三方的优惠价格提供上述服务。</w:t>
      </w:r>
    </w:p>
    <w:p>
      <w:pPr>
        <w:pStyle w:val="2"/>
        <w:spacing w:line="480" w:lineRule="exact"/>
        <w:rPr>
          <w:rFonts w:ascii="宋体"/>
          <w:bCs/>
          <w:sz w:val="24"/>
          <w:highlight w:val="none"/>
        </w:rPr>
      </w:pPr>
      <w:r>
        <w:rPr>
          <w:rFonts w:ascii="宋体" w:hAnsi="宋体"/>
          <w:bCs/>
          <w:sz w:val="24"/>
          <w:highlight w:val="none"/>
        </w:rPr>
        <w:t>7</w:t>
      </w:r>
      <w:r>
        <w:rPr>
          <w:rFonts w:hint="eastAsia" w:ascii="宋体" w:hAnsi="宋体"/>
          <w:bCs/>
          <w:sz w:val="24"/>
          <w:highlight w:val="none"/>
        </w:rPr>
        <w:t>、包装和标记</w:t>
      </w:r>
    </w:p>
    <w:p>
      <w:pPr>
        <w:pStyle w:val="2"/>
        <w:spacing w:line="480" w:lineRule="exact"/>
        <w:ind w:left="1"/>
        <w:rPr>
          <w:rFonts w:ascii="宋体"/>
          <w:bCs/>
          <w:sz w:val="24"/>
          <w:highlight w:val="none"/>
        </w:rPr>
      </w:pPr>
      <w:r>
        <w:rPr>
          <w:rFonts w:ascii="宋体" w:hAnsi="宋体"/>
          <w:bCs/>
          <w:sz w:val="24"/>
          <w:highlight w:val="none"/>
        </w:rPr>
        <w:t xml:space="preserve">7.1 </w:t>
      </w:r>
      <w:r>
        <w:rPr>
          <w:rFonts w:hint="eastAsia" w:ascii="宋体" w:hAnsi="宋体"/>
          <w:bCs/>
          <w:sz w:val="24"/>
          <w:highlight w:val="none"/>
        </w:rPr>
        <w:t>乙方交付的所有货物应具有适于运输的坚固包装，并且乙方应根据货物的不同特性和要求采取防潮、防雨、防锈、防震、防腐等保护措施，以确保货物安全无损地到达指定交货地点。</w:t>
      </w:r>
    </w:p>
    <w:p>
      <w:pPr>
        <w:pStyle w:val="2"/>
        <w:spacing w:line="480" w:lineRule="exact"/>
        <w:ind w:left="1"/>
        <w:rPr>
          <w:rFonts w:ascii="宋体"/>
          <w:bCs/>
          <w:sz w:val="24"/>
          <w:highlight w:val="none"/>
        </w:rPr>
      </w:pPr>
      <w:r>
        <w:rPr>
          <w:rFonts w:ascii="宋体" w:hAnsi="宋体"/>
          <w:bCs/>
          <w:sz w:val="24"/>
          <w:highlight w:val="none"/>
        </w:rPr>
        <w:t xml:space="preserve">7.2 </w:t>
      </w:r>
      <w:r>
        <w:rPr>
          <w:rFonts w:hint="eastAsia" w:ascii="宋体" w:hAnsi="宋体"/>
          <w:bCs/>
          <w:sz w:val="24"/>
          <w:highlight w:val="none"/>
        </w:rPr>
        <w:t>乙方应在每件包装箱相对的二个侧面上，用不褪色的油漆印刷以下标记：</w:t>
      </w:r>
    </w:p>
    <w:p>
      <w:pPr>
        <w:pStyle w:val="2"/>
        <w:spacing w:line="480" w:lineRule="exact"/>
        <w:ind w:left="1"/>
        <w:rPr>
          <w:rFonts w:ascii="宋体"/>
          <w:bCs/>
          <w:sz w:val="24"/>
          <w:highlight w:val="none"/>
        </w:rPr>
      </w:pPr>
      <w:r>
        <w:rPr>
          <w:rFonts w:ascii="宋体" w:hAnsi="宋体"/>
          <w:bCs/>
          <w:sz w:val="24"/>
          <w:highlight w:val="none"/>
        </w:rPr>
        <w:t>(a)</w:t>
      </w:r>
      <w:r>
        <w:rPr>
          <w:rFonts w:hint="eastAsia" w:ascii="宋体" w:hAnsi="宋体"/>
          <w:bCs/>
          <w:sz w:val="24"/>
          <w:highlight w:val="none"/>
        </w:rPr>
        <w:t>收货单位；</w:t>
      </w:r>
      <w:r>
        <w:rPr>
          <w:rFonts w:ascii="宋体" w:hAnsi="宋体"/>
          <w:bCs/>
          <w:sz w:val="24"/>
          <w:highlight w:val="none"/>
        </w:rPr>
        <w:t>(b)</w:t>
      </w:r>
      <w:r>
        <w:rPr>
          <w:rFonts w:hint="eastAsia" w:ascii="宋体" w:hAnsi="宋体"/>
          <w:bCs/>
          <w:sz w:val="24"/>
          <w:highlight w:val="none"/>
        </w:rPr>
        <w:t>货物名称；</w:t>
      </w:r>
      <w:r>
        <w:rPr>
          <w:rFonts w:ascii="宋体" w:hAnsi="宋体"/>
          <w:bCs/>
          <w:sz w:val="24"/>
          <w:highlight w:val="none"/>
        </w:rPr>
        <w:t>(c)</w:t>
      </w:r>
      <w:r>
        <w:rPr>
          <w:rFonts w:hint="eastAsia" w:ascii="宋体" w:hAnsi="宋体"/>
          <w:bCs/>
          <w:sz w:val="24"/>
          <w:highlight w:val="none"/>
        </w:rPr>
        <w:t>箱号</w:t>
      </w:r>
      <w:r>
        <w:rPr>
          <w:rFonts w:ascii="宋体" w:hAnsi="宋体"/>
          <w:bCs/>
          <w:sz w:val="24"/>
          <w:highlight w:val="none"/>
        </w:rPr>
        <w:t>/</w:t>
      </w:r>
      <w:r>
        <w:rPr>
          <w:rFonts w:hint="eastAsia" w:ascii="宋体" w:hAnsi="宋体"/>
          <w:bCs/>
          <w:sz w:val="24"/>
          <w:highlight w:val="none"/>
        </w:rPr>
        <w:t>件号；</w:t>
      </w:r>
      <w:r>
        <w:rPr>
          <w:rFonts w:ascii="宋体" w:hAnsi="宋体"/>
          <w:bCs/>
          <w:sz w:val="24"/>
          <w:highlight w:val="none"/>
        </w:rPr>
        <w:t>(d)</w:t>
      </w:r>
      <w:r>
        <w:rPr>
          <w:rFonts w:hint="eastAsia" w:ascii="宋体" w:hAnsi="宋体"/>
          <w:bCs/>
          <w:sz w:val="24"/>
          <w:highlight w:val="none"/>
        </w:rPr>
        <w:t>毛重</w:t>
      </w:r>
      <w:r>
        <w:rPr>
          <w:rFonts w:ascii="宋体" w:hAnsi="宋体"/>
          <w:bCs/>
          <w:sz w:val="24"/>
          <w:highlight w:val="none"/>
        </w:rPr>
        <w:t>(</w:t>
      </w:r>
      <w:r>
        <w:rPr>
          <w:rFonts w:hint="eastAsia" w:ascii="宋体" w:hAnsi="宋体"/>
          <w:bCs/>
          <w:sz w:val="24"/>
          <w:highlight w:val="none"/>
        </w:rPr>
        <w:t>千克</w:t>
      </w:r>
      <w:r>
        <w:rPr>
          <w:rFonts w:ascii="宋体" w:hAnsi="宋体"/>
          <w:bCs/>
          <w:sz w:val="24"/>
          <w:highlight w:val="none"/>
        </w:rPr>
        <w:t>)</w:t>
      </w:r>
      <w:r>
        <w:rPr>
          <w:rFonts w:hint="eastAsia" w:ascii="宋体" w:hAnsi="宋体"/>
          <w:bCs/>
          <w:sz w:val="24"/>
          <w:highlight w:val="none"/>
        </w:rPr>
        <w:t>；</w:t>
      </w:r>
      <w:r>
        <w:rPr>
          <w:rFonts w:ascii="宋体" w:hAnsi="宋体"/>
          <w:bCs/>
          <w:sz w:val="24"/>
          <w:highlight w:val="none"/>
        </w:rPr>
        <w:t>(e)</w:t>
      </w:r>
      <w:r>
        <w:rPr>
          <w:rFonts w:hint="eastAsia" w:ascii="宋体" w:hAnsi="宋体"/>
          <w:bCs/>
          <w:sz w:val="24"/>
          <w:highlight w:val="none"/>
        </w:rPr>
        <w:t>尺码</w:t>
      </w:r>
      <w:r>
        <w:rPr>
          <w:rFonts w:ascii="宋体" w:hAnsi="宋体"/>
          <w:bCs/>
          <w:sz w:val="24"/>
          <w:highlight w:val="none"/>
        </w:rPr>
        <w:t>(</w:t>
      </w:r>
      <w:r>
        <w:rPr>
          <w:rFonts w:hint="eastAsia" w:ascii="宋体" w:hAnsi="宋体"/>
          <w:bCs/>
          <w:sz w:val="24"/>
          <w:highlight w:val="none"/>
        </w:rPr>
        <w:t>长</w:t>
      </w:r>
      <w:r>
        <w:rPr>
          <w:rFonts w:ascii="宋体" w:hAnsi="宋体"/>
          <w:bCs/>
          <w:sz w:val="24"/>
          <w:highlight w:val="none"/>
        </w:rPr>
        <w:t>*</w:t>
      </w:r>
      <w:r>
        <w:rPr>
          <w:rFonts w:hint="eastAsia" w:ascii="宋体" w:hAnsi="宋体"/>
          <w:bCs/>
          <w:sz w:val="24"/>
          <w:highlight w:val="none"/>
        </w:rPr>
        <w:t>宽</w:t>
      </w:r>
      <w:r>
        <w:rPr>
          <w:rFonts w:ascii="宋体" w:hAnsi="宋体"/>
          <w:bCs/>
          <w:sz w:val="24"/>
          <w:highlight w:val="none"/>
        </w:rPr>
        <w:t>*</w:t>
      </w:r>
      <w:r>
        <w:rPr>
          <w:rFonts w:hint="eastAsia" w:ascii="宋体" w:hAnsi="宋体"/>
          <w:bCs/>
          <w:sz w:val="24"/>
          <w:highlight w:val="none"/>
        </w:rPr>
        <w:t>高</w:t>
      </w:r>
      <w:r>
        <w:rPr>
          <w:rFonts w:ascii="宋体" w:hAnsi="宋体"/>
          <w:bCs/>
          <w:sz w:val="24"/>
          <w:highlight w:val="none"/>
        </w:rPr>
        <w:t>)</w:t>
      </w:r>
      <w:r>
        <w:rPr>
          <w:rFonts w:hint="eastAsia" w:ascii="宋体" w:hAnsi="宋体"/>
          <w:bCs/>
          <w:sz w:val="24"/>
          <w:highlight w:val="none"/>
        </w:rPr>
        <w:t>；</w:t>
      </w:r>
      <w:r>
        <w:rPr>
          <w:rFonts w:ascii="宋体" w:hAnsi="宋体"/>
          <w:bCs/>
          <w:sz w:val="24"/>
          <w:highlight w:val="none"/>
        </w:rPr>
        <w:t xml:space="preserve">(f) </w:t>
      </w:r>
      <w:r>
        <w:rPr>
          <w:rFonts w:hint="eastAsia" w:ascii="宋体" w:hAnsi="宋体"/>
          <w:bCs/>
          <w:sz w:val="24"/>
          <w:highlight w:val="none"/>
        </w:rPr>
        <w:t>发货单位；</w:t>
      </w:r>
      <w:r>
        <w:rPr>
          <w:rFonts w:ascii="宋体" w:hAnsi="宋体"/>
          <w:bCs/>
          <w:sz w:val="24"/>
          <w:highlight w:val="none"/>
        </w:rPr>
        <w:t>(g)</w:t>
      </w:r>
      <w:r>
        <w:rPr>
          <w:rFonts w:hint="eastAsia" w:ascii="宋体" w:hAnsi="宋体"/>
          <w:bCs/>
          <w:sz w:val="24"/>
          <w:highlight w:val="none"/>
        </w:rPr>
        <w:t>发货单位详细地址。</w:t>
      </w:r>
    </w:p>
    <w:p>
      <w:pPr>
        <w:pStyle w:val="2"/>
        <w:spacing w:line="480" w:lineRule="exact"/>
        <w:ind w:left="1"/>
        <w:rPr>
          <w:rFonts w:ascii="宋体"/>
          <w:bCs/>
          <w:sz w:val="24"/>
          <w:highlight w:val="none"/>
        </w:rPr>
      </w:pPr>
      <w:r>
        <w:rPr>
          <w:rFonts w:hint="eastAsia" w:ascii="宋体" w:hAnsi="宋体"/>
          <w:bCs/>
          <w:sz w:val="24"/>
          <w:highlight w:val="none"/>
        </w:rPr>
        <w:t>乙方应根据货物的不同特性和装卸运输上的不同要求，在包装箱相对的二个侧面上印刷“勿倒置”、“小心轻放”、“防潮”等字样和装卸搬运时应注意的通用图案。</w:t>
      </w:r>
    </w:p>
    <w:p>
      <w:pPr>
        <w:pStyle w:val="2"/>
        <w:spacing w:line="480" w:lineRule="exact"/>
        <w:ind w:left="1"/>
        <w:rPr>
          <w:rFonts w:ascii="宋体"/>
          <w:bCs/>
          <w:sz w:val="24"/>
          <w:highlight w:val="none"/>
        </w:rPr>
      </w:pPr>
      <w:r>
        <w:rPr>
          <w:rFonts w:ascii="宋体" w:hAnsi="宋体"/>
          <w:bCs/>
          <w:sz w:val="24"/>
          <w:highlight w:val="none"/>
        </w:rPr>
        <w:t xml:space="preserve">7.3 </w:t>
      </w:r>
      <w:r>
        <w:rPr>
          <w:rFonts w:hint="eastAsia" w:ascii="宋体" w:hAnsi="宋体"/>
          <w:bCs/>
          <w:sz w:val="24"/>
          <w:highlight w:val="none"/>
        </w:rPr>
        <w:t>每件包装箱内应附一份详细装箱单、质量合格证和产品使用说明书及其它全套的技术资料。</w:t>
      </w:r>
    </w:p>
    <w:p>
      <w:pPr>
        <w:pStyle w:val="2"/>
        <w:spacing w:line="480" w:lineRule="exact"/>
        <w:ind w:left="1"/>
        <w:rPr>
          <w:rFonts w:ascii="宋体"/>
          <w:bCs/>
          <w:sz w:val="24"/>
          <w:highlight w:val="none"/>
        </w:rPr>
      </w:pPr>
      <w:r>
        <w:rPr>
          <w:rFonts w:ascii="宋体" w:hAnsi="宋体"/>
          <w:bCs/>
          <w:sz w:val="24"/>
          <w:highlight w:val="none"/>
        </w:rPr>
        <w:t xml:space="preserve">7.4 </w:t>
      </w:r>
      <w:r>
        <w:rPr>
          <w:rFonts w:hint="eastAsia" w:ascii="宋体" w:hAnsi="宋体"/>
          <w:bCs/>
          <w:sz w:val="24"/>
          <w:highlight w:val="none"/>
        </w:rPr>
        <w:t>凡因乙方对货物包装不善、标记不明、防护措施不当或在货物装箱前保管不良，或因乙方其它原因，致使货物遭到损坏或丢失，由乙方承担责任。</w:t>
      </w:r>
    </w:p>
    <w:p>
      <w:pPr>
        <w:pStyle w:val="2"/>
        <w:spacing w:line="480" w:lineRule="exact"/>
        <w:rPr>
          <w:rFonts w:ascii="宋体"/>
          <w:bCs/>
          <w:sz w:val="24"/>
          <w:highlight w:val="none"/>
        </w:rPr>
      </w:pPr>
      <w:r>
        <w:rPr>
          <w:rFonts w:ascii="宋体" w:hAnsi="宋体"/>
          <w:bCs/>
          <w:sz w:val="24"/>
          <w:highlight w:val="none"/>
        </w:rPr>
        <w:t>8</w:t>
      </w:r>
      <w:r>
        <w:rPr>
          <w:rFonts w:hint="eastAsia" w:ascii="宋体" w:hAnsi="宋体"/>
          <w:bCs/>
          <w:sz w:val="24"/>
          <w:highlight w:val="none"/>
        </w:rPr>
        <w:t>、技术资料</w:t>
      </w:r>
    </w:p>
    <w:p>
      <w:pPr>
        <w:pStyle w:val="2"/>
        <w:tabs>
          <w:tab w:val="left" w:pos="764"/>
        </w:tabs>
        <w:spacing w:line="480" w:lineRule="exact"/>
        <w:ind w:left="31680" w:hanging="720" w:hangingChars="300"/>
        <w:rPr>
          <w:rFonts w:ascii="宋体"/>
          <w:bCs/>
          <w:sz w:val="24"/>
          <w:highlight w:val="none"/>
        </w:rPr>
      </w:pPr>
      <w:r>
        <w:rPr>
          <w:rFonts w:hint="eastAsia" w:ascii="宋体" w:hAnsi="宋体"/>
          <w:bCs/>
          <w:sz w:val="24"/>
          <w:highlight w:val="none"/>
        </w:rPr>
        <w:t>合同项下技术资料</w:t>
      </w:r>
      <w:r>
        <w:rPr>
          <w:rFonts w:ascii="宋体" w:hAnsi="宋体"/>
          <w:bCs/>
          <w:sz w:val="24"/>
          <w:highlight w:val="none"/>
        </w:rPr>
        <w:t>(</w:t>
      </w:r>
      <w:r>
        <w:rPr>
          <w:rFonts w:hint="eastAsia" w:ascii="宋体" w:hAnsi="宋体"/>
          <w:bCs/>
          <w:sz w:val="24"/>
          <w:highlight w:val="none"/>
        </w:rPr>
        <w:t>除合同特殊条款规定外</w:t>
      </w:r>
      <w:r>
        <w:rPr>
          <w:rFonts w:ascii="宋体" w:hAnsi="宋体"/>
          <w:bCs/>
          <w:sz w:val="24"/>
          <w:highlight w:val="none"/>
        </w:rPr>
        <w:t>)</w:t>
      </w:r>
      <w:r>
        <w:rPr>
          <w:rFonts w:hint="eastAsia" w:ascii="宋体" w:hAnsi="宋体"/>
          <w:bCs/>
          <w:sz w:val="24"/>
          <w:highlight w:val="none"/>
        </w:rPr>
        <w:t>将以下列方式交付：</w:t>
      </w:r>
    </w:p>
    <w:p>
      <w:pPr>
        <w:pStyle w:val="2"/>
        <w:spacing w:line="480" w:lineRule="exact"/>
        <w:ind w:left="1"/>
        <w:rPr>
          <w:rFonts w:ascii="宋体"/>
          <w:bCs/>
          <w:sz w:val="24"/>
          <w:highlight w:val="none"/>
        </w:rPr>
      </w:pPr>
      <w:r>
        <w:rPr>
          <w:rFonts w:ascii="宋体" w:hAnsi="宋体"/>
          <w:bCs/>
          <w:sz w:val="24"/>
          <w:highlight w:val="none"/>
        </w:rPr>
        <w:t xml:space="preserve">8.1 </w:t>
      </w:r>
      <w:r>
        <w:rPr>
          <w:rFonts w:hint="eastAsia" w:ascii="宋体" w:hAnsi="宋体"/>
          <w:bCs/>
          <w:sz w:val="24"/>
          <w:highlight w:val="none"/>
        </w:rPr>
        <w:t>合同生效后日之内，乙方应将每台设备和仪器的中文技术资料一套</w:t>
      </w:r>
      <w:r>
        <w:rPr>
          <w:rFonts w:ascii="宋体" w:hAnsi="宋体"/>
          <w:bCs/>
          <w:sz w:val="24"/>
          <w:highlight w:val="none"/>
        </w:rPr>
        <w:t>(</w:t>
      </w:r>
      <w:r>
        <w:rPr>
          <w:rFonts w:hint="eastAsia" w:ascii="宋体" w:hAnsi="宋体"/>
          <w:bCs/>
          <w:sz w:val="24"/>
          <w:highlight w:val="none"/>
        </w:rPr>
        <w:t>进口货物中英文各一套</w:t>
      </w:r>
      <w:r>
        <w:rPr>
          <w:rFonts w:ascii="宋体" w:hAnsi="宋体"/>
          <w:bCs/>
          <w:sz w:val="24"/>
          <w:highlight w:val="none"/>
        </w:rPr>
        <w:t>)</w:t>
      </w:r>
      <w:r>
        <w:rPr>
          <w:rFonts w:hint="eastAsia" w:ascii="宋体" w:hAnsi="宋体"/>
          <w:bCs/>
          <w:sz w:val="24"/>
          <w:highlight w:val="none"/>
        </w:rPr>
        <w:t>目录索引、图纸、操作手册、使用指南、维修指南和／或服务手册和示意图等交付甲方。</w:t>
      </w:r>
    </w:p>
    <w:p>
      <w:pPr>
        <w:pStyle w:val="2"/>
        <w:tabs>
          <w:tab w:val="left" w:pos="764"/>
        </w:tabs>
        <w:spacing w:line="480" w:lineRule="exact"/>
        <w:ind w:left="31680" w:hanging="720" w:hangingChars="300"/>
        <w:rPr>
          <w:rFonts w:ascii="宋体"/>
          <w:bCs/>
          <w:sz w:val="24"/>
          <w:highlight w:val="none"/>
        </w:rPr>
      </w:pPr>
      <w:r>
        <w:rPr>
          <w:rFonts w:ascii="宋体" w:hAnsi="宋体"/>
          <w:bCs/>
          <w:sz w:val="24"/>
          <w:highlight w:val="none"/>
        </w:rPr>
        <w:t xml:space="preserve">8.2 </w:t>
      </w:r>
      <w:r>
        <w:rPr>
          <w:rFonts w:hint="eastAsia" w:ascii="宋体" w:hAnsi="宋体"/>
          <w:bCs/>
          <w:sz w:val="24"/>
          <w:highlight w:val="none"/>
        </w:rPr>
        <w:t>另外一套完整的上述资料应包装好随同每批货物一起发运。</w:t>
      </w:r>
    </w:p>
    <w:p>
      <w:pPr>
        <w:pStyle w:val="2"/>
        <w:spacing w:line="480" w:lineRule="exact"/>
        <w:ind w:left="1"/>
        <w:rPr>
          <w:rFonts w:ascii="宋体"/>
          <w:bCs/>
          <w:sz w:val="24"/>
          <w:highlight w:val="none"/>
        </w:rPr>
      </w:pPr>
      <w:r>
        <w:rPr>
          <w:rFonts w:ascii="宋体" w:hAnsi="宋体"/>
          <w:bCs/>
          <w:sz w:val="24"/>
          <w:highlight w:val="none"/>
        </w:rPr>
        <w:t xml:space="preserve">8.3 </w:t>
      </w:r>
      <w:r>
        <w:rPr>
          <w:rFonts w:hint="eastAsia" w:ascii="宋体" w:hAnsi="宋体"/>
          <w:bCs/>
          <w:sz w:val="24"/>
          <w:highlight w:val="none"/>
        </w:rPr>
        <w:t>如果甲方确认乙方提供的技术资料不完整或在运输过程中丢失，乙方将在收到甲方通知后</w:t>
      </w:r>
      <w:r>
        <w:rPr>
          <w:rFonts w:ascii="宋体" w:hAnsi="宋体"/>
          <w:bCs/>
          <w:sz w:val="24"/>
          <w:highlight w:val="none"/>
        </w:rPr>
        <w:t>3</w:t>
      </w:r>
      <w:r>
        <w:rPr>
          <w:rFonts w:hint="eastAsia" w:ascii="宋体" w:hAnsi="宋体"/>
          <w:bCs/>
          <w:sz w:val="24"/>
          <w:highlight w:val="none"/>
        </w:rPr>
        <w:t>日内将这些资料免费交付甲方。</w:t>
      </w:r>
    </w:p>
    <w:p>
      <w:pPr>
        <w:pStyle w:val="2"/>
        <w:spacing w:line="480" w:lineRule="exact"/>
        <w:rPr>
          <w:rFonts w:ascii="宋体"/>
          <w:bCs/>
          <w:sz w:val="24"/>
          <w:highlight w:val="none"/>
        </w:rPr>
      </w:pPr>
      <w:r>
        <w:rPr>
          <w:rFonts w:ascii="宋体" w:hAnsi="宋体"/>
          <w:bCs/>
          <w:sz w:val="24"/>
          <w:highlight w:val="none"/>
        </w:rPr>
        <w:t>9</w:t>
      </w:r>
      <w:r>
        <w:rPr>
          <w:rFonts w:hint="eastAsia" w:ascii="宋体" w:hAnsi="宋体"/>
          <w:bCs/>
          <w:sz w:val="24"/>
          <w:highlight w:val="none"/>
        </w:rPr>
        <w:t>、风险负担</w:t>
      </w:r>
    </w:p>
    <w:p>
      <w:pPr>
        <w:pStyle w:val="2"/>
        <w:spacing w:line="480" w:lineRule="exact"/>
        <w:ind w:left="1"/>
        <w:rPr>
          <w:rFonts w:ascii="宋体"/>
          <w:bCs/>
          <w:sz w:val="24"/>
          <w:highlight w:val="none"/>
        </w:rPr>
      </w:pPr>
      <w:r>
        <w:rPr>
          <w:rFonts w:ascii="宋体" w:hAnsi="宋体"/>
          <w:bCs/>
          <w:sz w:val="24"/>
          <w:highlight w:val="none"/>
        </w:rPr>
        <w:t xml:space="preserve">9.1 </w:t>
      </w:r>
      <w:r>
        <w:rPr>
          <w:rFonts w:hint="eastAsia" w:ascii="宋体" w:hAnsi="宋体"/>
          <w:bCs/>
          <w:sz w:val="24"/>
          <w:highlight w:val="none"/>
        </w:rPr>
        <w:t>货物毁损、灭失的风险在该货物通过甲乙双方联合验收交付前由乙方承担，通过联合验收交付后由甲方承担；因质量问题甲方拒收的，风险由乙方承担。</w:t>
      </w:r>
    </w:p>
    <w:p>
      <w:pPr>
        <w:pStyle w:val="2"/>
        <w:spacing w:line="480" w:lineRule="exact"/>
        <w:rPr>
          <w:rFonts w:ascii="宋体"/>
          <w:bCs/>
          <w:sz w:val="24"/>
          <w:highlight w:val="none"/>
        </w:rPr>
      </w:pPr>
      <w:r>
        <w:rPr>
          <w:rFonts w:ascii="宋体" w:hAnsi="宋体"/>
          <w:bCs/>
          <w:sz w:val="24"/>
          <w:highlight w:val="none"/>
        </w:rPr>
        <w:t>10</w:t>
      </w:r>
      <w:r>
        <w:rPr>
          <w:rFonts w:hint="eastAsia" w:ascii="宋体" w:hAnsi="宋体"/>
          <w:bCs/>
          <w:sz w:val="24"/>
          <w:highlight w:val="none"/>
        </w:rPr>
        <w:t>、验收</w:t>
      </w:r>
    </w:p>
    <w:p>
      <w:pPr>
        <w:pStyle w:val="2"/>
        <w:spacing w:line="480" w:lineRule="exact"/>
        <w:ind w:left="1"/>
        <w:rPr>
          <w:rFonts w:ascii="宋体"/>
          <w:bCs/>
          <w:sz w:val="24"/>
          <w:highlight w:val="none"/>
        </w:rPr>
      </w:pPr>
      <w:r>
        <w:rPr>
          <w:rFonts w:ascii="宋体" w:hAnsi="宋体"/>
          <w:bCs/>
          <w:sz w:val="24"/>
          <w:highlight w:val="none"/>
        </w:rPr>
        <w:t xml:space="preserve">10.1 </w:t>
      </w:r>
      <w:r>
        <w:rPr>
          <w:rFonts w:hint="eastAsia" w:ascii="宋体" w:hAnsi="宋体"/>
          <w:bCs/>
          <w:sz w:val="24"/>
          <w:highlight w:val="none"/>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2"/>
        <w:spacing w:line="480" w:lineRule="exact"/>
        <w:rPr>
          <w:rFonts w:ascii="宋体"/>
          <w:bCs/>
          <w:sz w:val="24"/>
          <w:highlight w:val="none"/>
        </w:rPr>
      </w:pPr>
      <w:bookmarkStart w:id="56" w:name="_Toc487900361"/>
      <w:r>
        <w:rPr>
          <w:rFonts w:ascii="宋体" w:hAnsi="宋体"/>
          <w:bCs/>
          <w:sz w:val="24"/>
          <w:highlight w:val="none"/>
        </w:rPr>
        <w:t>11</w:t>
      </w:r>
      <w:r>
        <w:rPr>
          <w:rFonts w:hint="eastAsia" w:ascii="宋体" w:hAnsi="宋体"/>
          <w:bCs/>
          <w:sz w:val="24"/>
          <w:highlight w:val="none"/>
        </w:rPr>
        <w:t>、索赔</w:t>
      </w:r>
      <w:bookmarkEnd w:id="56"/>
    </w:p>
    <w:p>
      <w:pPr>
        <w:pStyle w:val="2"/>
        <w:spacing w:line="480" w:lineRule="exact"/>
        <w:ind w:left="1"/>
        <w:rPr>
          <w:rFonts w:ascii="宋体"/>
          <w:bCs/>
          <w:sz w:val="24"/>
          <w:highlight w:val="none"/>
        </w:rPr>
      </w:pPr>
      <w:r>
        <w:rPr>
          <w:rFonts w:ascii="宋体" w:hAnsi="宋体"/>
          <w:bCs/>
          <w:sz w:val="24"/>
          <w:highlight w:val="none"/>
        </w:rPr>
        <w:t xml:space="preserve">11.1 </w:t>
      </w:r>
      <w:r>
        <w:rPr>
          <w:rFonts w:hint="eastAsia" w:ascii="宋体" w:hAnsi="宋体"/>
          <w:bCs/>
          <w:sz w:val="24"/>
          <w:highlight w:val="none"/>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2"/>
        <w:spacing w:line="480" w:lineRule="exact"/>
        <w:ind w:left="1"/>
        <w:rPr>
          <w:rFonts w:ascii="宋体"/>
          <w:bCs/>
          <w:sz w:val="24"/>
          <w:highlight w:val="none"/>
        </w:rPr>
      </w:pPr>
      <w:bookmarkStart w:id="57" w:name="_Ref467378076"/>
      <w:r>
        <w:rPr>
          <w:rFonts w:ascii="宋体" w:hAnsi="宋体"/>
          <w:bCs/>
          <w:sz w:val="24"/>
          <w:highlight w:val="none"/>
        </w:rPr>
        <w:t xml:space="preserve">11.2 </w:t>
      </w:r>
      <w:r>
        <w:rPr>
          <w:rFonts w:hint="eastAsia" w:ascii="宋体" w:hAnsi="宋体"/>
          <w:bCs/>
          <w:sz w:val="24"/>
          <w:highlight w:val="none"/>
        </w:rPr>
        <w:t>如果乙方对甲方提出的索赔负有责任，乙方应按照甲方同意的下列一种或多种方式解决索赔事宜：</w:t>
      </w:r>
      <w:bookmarkEnd w:id="57"/>
    </w:p>
    <w:p>
      <w:pPr>
        <w:pStyle w:val="2"/>
        <w:spacing w:line="480" w:lineRule="exact"/>
        <w:ind w:left="1"/>
        <w:rPr>
          <w:rFonts w:ascii="宋体"/>
          <w:bCs/>
          <w:sz w:val="24"/>
          <w:highlight w:val="none"/>
        </w:rPr>
      </w:pPr>
      <w:r>
        <w:rPr>
          <w:rFonts w:ascii="宋体" w:hAnsi="宋体"/>
          <w:bCs/>
          <w:sz w:val="24"/>
          <w:highlight w:val="none"/>
        </w:rPr>
        <w:t xml:space="preserve">1) </w:t>
      </w:r>
      <w:r>
        <w:rPr>
          <w:rFonts w:hint="eastAsia" w:ascii="宋体" w:hAnsi="宋体"/>
          <w:bCs/>
          <w:sz w:val="24"/>
          <w:highlight w:val="none"/>
        </w:rPr>
        <w:t>乙方同意退货并用合同规定的货币将货款退还给甲方，并承担由此发生的一切损失和费用，包括利息、银行手续费、运费、保险费、检验费、仓储费、装卸费以及为保护退回货物所需的其他必要费用。</w:t>
      </w:r>
    </w:p>
    <w:p>
      <w:pPr>
        <w:pStyle w:val="2"/>
        <w:spacing w:line="480" w:lineRule="exact"/>
        <w:ind w:left="1"/>
        <w:rPr>
          <w:rFonts w:ascii="宋体"/>
          <w:bCs/>
          <w:sz w:val="24"/>
          <w:highlight w:val="none"/>
        </w:rPr>
      </w:pPr>
      <w:r>
        <w:rPr>
          <w:rFonts w:ascii="宋体" w:hAnsi="宋体"/>
          <w:bCs/>
          <w:sz w:val="24"/>
          <w:highlight w:val="none"/>
        </w:rPr>
        <w:t>2</w:t>
      </w:r>
      <w:r>
        <w:rPr>
          <w:rFonts w:hint="eastAsia" w:ascii="宋体" w:hAnsi="宋体"/>
          <w:bCs/>
          <w:sz w:val="24"/>
          <w:highlight w:val="none"/>
        </w:rPr>
        <w:t>）根据货物低劣程度、损坏程度以及甲方所遭受损失的数额，经甲乙双方商定</w:t>
      </w:r>
    </w:p>
    <w:p>
      <w:pPr>
        <w:pStyle w:val="2"/>
        <w:spacing w:line="480" w:lineRule="exact"/>
        <w:ind w:left="1"/>
        <w:rPr>
          <w:rFonts w:ascii="宋体"/>
          <w:bCs/>
          <w:sz w:val="24"/>
          <w:highlight w:val="none"/>
        </w:rPr>
      </w:pPr>
      <w:r>
        <w:rPr>
          <w:rFonts w:hint="eastAsia" w:ascii="宋体" w:hAnsi="宋体"/>
          <w:bCs/>
          <w:sz w:val="24"/>
          <w:highlight w:val="none"/>
        </w:rPr>
        <w:t>降低货物的价格，或由有权的部门评估，以降低后的价格或评估价格为准。</w:t>
      </w:r>
    </w:p>
    <w:p>
      <w:pPr>
        <w:pStyle w:val="2"/>
        <w:spacing w:line="480" w:lineRule="exact"/>
        <w:ind w:left="1"/>
        <w:rPr>
          <w:rFonts w:ascii="宋体"/>
          <w:bCs/>
          <w:sz w:val="24"/>
          <w:highlight w:val="none"/>
        </w:rPr>
      </w:pPr>
      <w:r>
        <w:rPr>
          <w:rFonts w:ascii="宋体" w:hAnsi="宋体"/>
          <w:bCs/>
          <w:sz w:val="24"/>
          <w:highlight w:val="none"/>
        </w:rPr>
        <w:t>3</w:t>
      </w:r>
      <w:r>
        <w:rPr>
          <w:rFonts w:hint="eastAsia" w:ascii="宋体" w:hAnsi="宋体"/>
          <w:bCs/>
          <w:sz w:val="24"/>
          <w:highlight w:val="none"/>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2"/>
        <w:spacing w:line="480" w:lineRule="exact"/>
        <w:ind w:left="1"/>
        <w:rPr>
          <w:rFonts w:ascii="宋体"/>
          <w:bCs/>
          <w:sz w:val="24"/>
          <w:highlight w:val="none"/>
        </w:rPr>
      </w:pPr>
      <w:r>
        <w:rPr>
          <w:rFonts w:ascii="宋体" w:hAnsi="宋体"/>
          <w:bCs/>
          <w:sz w:val="24"/>
          <w:highlight w:val="none"/>
        </w:rPr>
        <w:t xml:space="preserve">11.3 </w:t>
      </w:r>
      <w:r>
        <w:rPr>
          <w:rFonts w:hint="eastAsia" w:ascii="宋体" w:hAnsi="宋体"/>
          <w:bCs/>
          <w:sz w:val="24"/>
          <w:highlight w:val="none"/>
        </w:rPr>
        <w:t>如果在甲方发出索赔通知后</w:t>
      </w:r>
      <w:r>
        <w:rPr>
          <w:rFonts w:ascii="宋体" w:hAnsi="宋体"/>
          <w:bCs/>
          <w:sz w:val="24"/>
          <w:highlight w:val="none"/>
        </w:rPr>
        <w:t>7</w:t>
      </w:r>
      <w:r>
        <w:rPr>
          <w:rFonts w:hint="eastAsia" w:ascii="宋体" w:hAnsi="宋体"/>
          <w:bCs/>
          <w:sz w:val="24"/>
          <w:highlight w:val="none"/>
        </w:rPr>
        <w:t>日内，乙方未作答复，上述索赔应视为已被乙方接受。如乙方未能在甲方提出索赔通知后</w:t>
      </w:r>
      <w:r>
        <w:rPr>
          <w:rFonts w:ascii="宋体" w:hAnsi="宋体"/>
          <w:bCs/>
          <w:sz w:val="24"/>
          <w:highlight w:val="none"/>
        </w:rPr>
        <w:t>7</w:t>
      </w:r>
      <w:r>
        <w:rPr>
          <w:rFonts w:hint="eastAsia" w:ascii="宋体" w:hAnsi="宋体"/>
          <w:bCs/>
          <w:sz w:val="24"/>
          <w:highlight w:val="none"/>
        </w:rPr>
        <w:t>日内或甲方同意的更长时间内，按照本合同的相应规定解决索赔事宜，甲方将从应付货款中扣回索赔金额。如果这些金额不足以补偿索赔金额，甲方有权向乙方提出不足部分的补偿。</w:t>
      </w:r>
    </w:p>
    <w:p>
      <w:pPr>
        <w:pStyle w:val="2"/>
        <w:spacing w:line="480" w:lineRule="exact"/>
        <w:rPr>
          <w:rFonts w:ascii="宋体"/>
          <w:bCs/>
          <w:sz w:val="24"/>
          <w:highlight w:val="none"/>
        </w:rPr>
      </w:pPr>
      <w:r>
        <w:rPr>
          <w:rFonts w:ascii="宋体" w:hAnsi="宋体"/>
          <w:bCs/>
          <w:sz w:val="24"/>
          <w:highlight w:val="none"/>
        </w:rPr>
        <w:t>12</w:t>
      </w:r>
      <w:r>
        <w:rPr>
          <w:rFonts w:hint="eastAsia" w:ascii="宋体" w:hAnsi="宋体"/>
          <w:bCs/>
          <w:sz w:val="24"/>
          <w:highlight w:val="none"/>
        </w:rPr>
        <w:t>、违约赔偿</w:t>
      </w:r>
    </w:p>
    <w:p>
      <w:pPr>
        <w:pStyle w:val="2"/>
        <w:spacing w:line="480" w:lineRule="exact"/>
        <w:ind w:left="1"/>
        <w:rPr>
          <w:rFonts w:ascii="宋体"/>
          <w:bCs/>
          <w:sz w:val="24"/>
          <w:highlight w:val="none"/>
        </w:rPr>
      </w:pPr>
      <w:r>
        <w:rPr>
          <w:rFonts w:ascii="宋体" w:hAnsi="宋体"/>
          <w:bCs/>
          <w:sz w:val="24"/>
          <w:highlight w:val="none"/>
        </w:rPr>
        <w:t xml:space="preserve">12.1 </w:t>
      </w:r>
      <w:r>
        <w:rPr>
          <w:rFonts w:hint="eastAsia" w:ascii="宋体" w:hAnsi="宋体"/>
          <w:bCs/>
          <w:sz w:val="24"/>
          <w:highlight w:val="none"/>
        </w:rPr>
        <w:t>乙方延迟交货，每延迟</w:t>
      </w:r>
      <w:r>
        <w:rPr>
          <w:rFonts w:ascii="宋体" w:hAnsi="宋体"/>
          <w:bCs/>
          <w:sz w:val="24"/>
          <w:highlight w:val="none"/>
        </w:rPr>
        <w:t>1</w:t>
      </w:r>
      <w:r>
        <w:rPr>
          <w:rFonts w:hint="eastAsia" w:ascii="宋体" w:hAnsi="宋体"/>
          <w:bCs/>
          <w:sz w:val="24"/>
          <w:highlight w:val="none"/>
        </w:rPr>
        <w:t>日，按应交付货物总额</w:t>
      </w:r>
      <w:r>
        <w:rPr>
          <w:rFonts w:ascii="宋体" w:hAnsi="宋体"/>
          <w:bCs/>
          <w:sz w:val="24"/>
          <w:highlight w:val="none"/>
        </w:rPr>
        <w:t>0.3</w:t>
      </w:r>
      <w:r>
        <w:rPr>
          <w:rFonts w:hint="eastAsia" w:ascii="宋体" w:hAnsi="宋体"/>
          <w:bCs/>
          <w:sz w:val="24"/>
          <w:highlight w:val="none"/>
        </w:rPr>
        <w:t>‰支付违约金。乙方履行合同不符合规定，除应按合同约定及时调换外，在调换货物期间，应按调换货物金额每日</w:t>
      </w:r>
      <w:r>
        <w:rPr>
          <w:rFonts w:ascii="宋体" w:hAnsi="宋体"/>
          <w:bCs/>
          <w:sz w:val="24"/>
          <w:highlight w:val="none"/>
        </w:rPr>
        <w:t>0.3</w:t>
      </w:r>
      <w:r>
        <w:rPr>
          <w:rFonts w:hint="eastAsia" w:ascii="宋体" w:hAnsi="宋体"/>
          <w:bCs/>
          <w:sz w:val="24"/>
          <w:highlight w:val="none"/>
        </w:rPr>
        <w:t>‰向甲方支付违约金。</w:t>
      </w:r>
    </w:p>
    <w:p>
      <w:pPr>
        <w:pStyle w:val="2"/>
        <w:spacing w:line="480" w:lineRule="exact"/>
        <w:ind w:left="1"/>
        <w:rPr>
          <w:rFonts w:ascii="宋体"/>
          <w:bCs/>
          <w:sz w:val="24"/>
          <w:highlight w:val="none"/>
        </w:rPr>
      </w:pPr>
      <w:r>
        <w:rPr>
          <w:rFonts w:ascii="宋体" w:hAnsi="宋体"/>
          <w:bCs/>
          <w:sz w:val="24"/>
          <w:highlight w:val="none"/>
        </w:rPr>
        <w:t xml:space="preserve">12.2 </w:t>
      </w:r>
      <w:r>
        <w:rPr>
          <w:rFonts w:hint="eastAsia" w:ascii="宋体" w:hAnsi="宋体"/>
          <w:bCs/>
          <w:sz w:val="24"/>
          <w:highlight w:val="none"/>
        </w:rPr>
        <w:t>如乙方违约，甲方有权从应付货款中扣除违约金及其它费用，履约保证金不足部分，甲方保留追索的权利。</w:t>
      </w:r>
    </w:p>
    <w:p>
      <w:pPr>
        <w:pStyle w:val="2"/>
        <w:spacing w:line="480" w:lineRule="exact"/>
        <w:ind w:left="1"/>
        <w:rPr>
          <w:rFonts w:ascii="宋体"/>
          <w:bCs/>
          <w:sz w:val="24"/>
          <w:highlight w:val="none"/>
        </w:rPr>
      </w:pPr>
      <w:r>
        <w:rPr>
          <w:rFonts w:ascii="宋体" w:hAnsi="宋体"/>
          <w:bCs/>
          <w:sz w:val="24"/>
          <w:highlight w:val="none"/>
        </w:rPr>
        <w:t xml:space="preserve">12.3 </w:t>
      </w:r>
      <w:r>
        <w:rPr>
          <w:rFonts w:hint="eastAsia" w:ascii="宋体" w:hAnsi="宋体"/>
          <w:bCs/>
          <w:sz w:val="24"/>
          <w:highlight w:val="none"/>
        </w:rPr>
        <w:t>如因一方违约，双方未能就赔偿损失达成协议，引起诉讼或仲裁时，违约方除应赔偿对方经济损失外，还应承担对方因诉讼或仲裁所支付的律师代理费等相关费用。</w:t>
      </w:r>
    </w:p>
    <w:p>
      <w:pPr>
        <w:pStyle w:val="2"/>
        <w:spacing w:line="480" w:lineRule="exact"/>
        <w:ind w:left="1"/>
        <w:rPr>
          <w:rFonts w:ascii="宋体"/>
          <w:bCs/>
          <w:sz w:val="24"/>
          <w:highlight w:val="none"/>
        </w:rPr>
      </w:pPr>
      <w:r>
        <w:rPr>
          <w:rFonts w:ascii="宋体" w:hAnsi="宋体"/>
          <w:bCs/>
          <w:sz w:val="24"/>
          <w:highlight w:val="none"/>
        </w:rPr>
        <w:t xml:space="preserve">12.4 </w:t>
      </w:r>
      <w:r>
        <w:rPr>
          <w:rFonts w:hint="eastAsia" w:ascii="宋体" w:hAnsi="宋体"/>
          <w:bCs/>
          <w:sz w:val="24"/>
          <w:highlight w:val="none"/>
        </w:rPr>
        <w:t>按照合同规定应该偿付的违约金、赔偿金等，应当在明确责任后三日内，按银行规定或双方商定的结算办法付清，否则按逾期付款处理。</w:t>
      </w:r>
    </w:p>
    <w:p>
      <w:pPr>
        <w:pStyle w:val="2"/>
        <w:spacing w:line="480" w:lineRule="exact"/>
        <w:rPr>
          <w:rFonts w:ascii="宋体"/>
          <w:bCs/>
          <w:sz w:val="24"/>
          <w:highlight w:val="none"/>
        </w:rPr>
      </w:pPr>
      <w:r>
        <w:rPr>
          <w:rFonts w:ascii="宋体" w:hAnsi="宋体"/>
          <w:bCs/>
          <w:sz w:val="24"/>
          <w:highlight w:val="none"/>
        </w:rPr>
        <w:t>13</w:t>
      </w:r>
      <w:r>
        <w:rPr>
          <w:rFonts w:hint="eastAsia" w:ascii="宋体" w:hAnsi="宋体"/>
          <w:bCs/>
          <w:sz w:val="24"/>
          <w:highlight w:val="none"/>
        </w:rPr>
        <w:t>、合同修改</w:t>
      </w:r>
    </w:p>
    <w:p>
      <w:pPr>
        <w:pStyle w:val="2"/>
        <w:spacing w:line="480" w:lineRule="exact"/>
        <w:ind w:left="1"/>
        <w:rPr>
          <w:rFonts w:ascii="宋体"/>
          <w:bCs/>
          <w:sz w:val="24"/>
          <w:highlight w:val="none"/>
        </w:rPr>
      </w:pPr>
      <w:r>
        <w:rPr>
          <w:rFonts w:ascii="宋体" w:hAnsi="宋体"/>
          <w:bCs/>
          <w:sz w:val="24"/>
          <w:highlight w:val="none"/>
        </w:rPr>
        <w:t xml:space="preserve">13.1 </w:t>
      </w:r>
      <w:r>
        <w:rPr>
          <w:rFonts w:hint="eastAsia" w:ascii="宋体" w:hAnsi="宋体"/>
          <w:bCs/>
          <w:sz w:val="24"/>
          <w:highlight w:val="none"/>
        </w:rPr>
        <w:t>甲方和乙方都不得擅自变更合同，但合同继续履行将损害国家和社会公共利益的除外。如必须对合同条款进行改动时，双方须共同签署书面文件。</w:t>
      </w:r>
    </w:p>
    <w:p>
      <w:pPr>
        <w:pStyle w:val="2"/>
        <w:spacing w:line="480" w:lineRule="exact"/>
        <w:rPr>
          <w:rFonts w:ascii="宋体"/>
          <w:bCs/>
          <w:sz w:val="24"/>
          <w:highlight w:val="none"/>
        </w:rPr>
      </w:pPr>
      <w:r>
        <w:rPr>
          <w:rFonts w:ascii="宋体" w:hAnsi="宋体"/>
          <w:bCs/>
          <w:sz w:val="24"/>
          <w:highlight w:val="none"/>
        </w:rPr>
        <w:t>14</w:t>
      </w:r>
      <w:r>
        <w:rPr>
          <w:rFonts w:hint="eastAsia" w:ascii="宋体" w:hAnsi="宋体"/>
          <w:bCs/>
          <w:sz w:val="24"/>
          <w:highlight w:val="none"/>
        </w:rPr>
        <w:t>、违约终止合同</w:t>
      </w:r>
    </w:p>
    <w:p>
      <w:pPr>
        <w:pStyle w:val="2"/>
        <w:spacing w:line="480" w:lineRule="exact"/>
        <w:ind w:left="1"/>
        <w:rPr>
          <w:rFonts w:ascii="宋体"/>
          <w:bCs/>
          <w:sz w:val="24"/>
          <w:highlight w:val="none"/>
        </w:rPr>
      </w:pPr>
      <w:r>
        <w:rPr>
          <w:rFonts w:ascii="宋体" w:hAnsi="宋体"/>
          <w:bCs/>
          <w:sz w:val="24"/>
          <w:highlight w:val="none"/>
        </w:rPr>
        <w:t xml:space="preserve">14.1 </w:t>
      </w:r>
      <w:r>
        <w:rPr>
          <w:rFonts w:hint="eastAsia" w:ascii="宋体" w:hAnsi="宋体"/>
          <w:bCs/>
          <w:sz w:val="24"/>
          <w:highlight w:val="none"/>
        </w:rPr>
        <w:t>在甲方因乙方违约而按合同约定采取的任何补救措施不受影响的情况下，甲方可在下列情况下向乙方发出书面通知，提出终止部分或全部合同。</w:t>
      </w:r>
    </w:p>
    <w:p>
      <w:pPr>
        <w:pStyle w:val="2"/>
        <w:spacing w:line="480" w:lineRule="exact"/>
        <w:ind w:left="1"/>
        <w:rPr>
          <w:rFonts w:ascii="宋体"/>
          <w:bCs/>
          <w:sz w:val="24"/>
          <w:highlight w:val="none"/>
        </w:rPr>
      </w:pPr>
      <w:r>
        <w:rPr>
          <w:rFonts w:ascii="宋体" w:hAnsi="宋体"/>
          <w:bCs/>
          <w:sz w:val="24"/>
          <w:highlight w:val="none"/>
        </w:rPr>
        <w:t>1)</w:t>
      </w:r>
      <w:r>
        <w:rPr>
          <w:rFonts w:hint="eastAsia" w:ascii="宋体" w:hAnsi="宋体"/>
          <w:bCs/>
          <w:sz w:val="24"/>
          <w:highlight w:val="none"/>
        </w:rPr>
        <w:t>如果乙方未能在合同规定的限期或甲方同意延长的限期内提供部分或全部货物和服务。</w:t>
      </w:r>
    </w:p>
    <w:p>
      <w:pPr>
        <w:pStyle w:val="2"/>
        <w:spacing w:line="480" w:lineRule="exact"/>
        <w:ind w:left="1"/>
        <w:rPr>
          <w:rFonts w:ascii="宋体"/>
          <w:bCs/>
          <w:sz w:val="24"/>
          <w:highlight w:val="none"/>
        </w:rPr>
      </w:pPr>
      <w:r>
        <w:rPr>
          <w:rFonts w:ascii="宋体" w:hAnsi="宋体"/>
          <w:bCs/>
          <w:sz w:val="24"/>
          <w:highlight w:val="none"/>
        </w:rPr>
        <w:t>2</w:t>
      </w:r>
      <w:r>
        <w:rPr>
          <w:rFonts w:hint="eastAsia" w:ascii="宋体" w:hAnsi="宋体"/>
          <w:bCs/>
          <w:sz w:val="24"/>
          <w:highlight w:val="none"/>
        </w:rPr>
        <w:t>）如果乙方未能履行合同规定的其它任何义务。</w:t>
      </w:r>
    </w:p>
    <w:p>
      <w:pPr>
        <w:pStyle w:val="2"/>
        <w:spacing w:line="480" w:lineRule="exact"/>
        <w:ind w:left="1"/>
        <w:rPr>
          <w:rFonts w:ascii="宋体"/>
          <w:bCs/>
          <w:sz w:val="24"/>
          <w:highlight w:val="none"/>
        </w:rPr>
      </w:pPr>
      <w:r>
        <w:rPr>
          <w:rFonts w:ascii="宋体" w:hAnsi="宋体"/>
          <w:bCs/>
          <w:sz w:val="24"/>
          <w:highlight w:val="none"/>
        </w:rPr>
        <w:t>3</w:t>
      </w:r>
      <w:r>
        <w:rPr>
          <w:rFonts w:hint="eastAsia" w:ascii="宋体" w:hAnsi="宋体"/>
          <w:bCs/>
          <w:sz w:val="24"/>
          <w:highlight w:val="none"/>
        </w:rPr>
        <w:t>）如果乙方在本合同的竞争或实施中有腐败和欺诈行为。为此，定义如下：“腐</w:t>
      </w:r>
    </w:p>
    <w:p>
      <w:pPr>
        <w:pStyle w:val="2"/>
        <w:spacing w:line="480" w:lineRule="exact"/>
        <w:ind w:left="1"/>
        <w:rPr>
          <w:rFonts w:ascii="宋体"/>
          <w:bCs/>
          <w:sz w:val="24"/>
          <w:highlight w:val="none"/>
        </w:rPr>
      </w:pPr>
      <w:r>
        <w:rPr>
          <w:rFonts w:hint="eastAsia" w:ascii="宋体" w:hAnsi="宋体"/>
          <w:bCs/>
          <w:sz w:val="24"/>
          <w:highlight w:val="none"/>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2"/>
        <w:spacing w:line="480" w:lineRule="exact"/>
        <w:ind w:left="1"/>
        <w:rPr>
          <w:rFonts w:ascii="宋体"/>
          <w:bCs/>
          <w:sz w:val="24"/>
          <w:highlight w:val="none"/>
        </w:rPr>
      </w:pPr>
      <w:r>
        <w:rPr>
          <w:rFonts w:ascii="宋体" w:hAnsi="宋体"/>
          <w:bCs/>
          <w:sz w:val="24"/>
          <w:highlight w:val="none"/>
        </w:rPr>
        <w:t xml:space="preserve">14.2  </w:t>
      </w:r>
      <w:r>
        <w:rPr>
          <w:rFonts w:hint="eastAsia" w:ascii="宋体" w:hAnsi="宋体"/>
          <w:bCs/>
          <w:sz w:val="24"/>
          <w:highlight w:val="none"/>
        </w:rPr>
        <w:t>在甲方根据</w:t>
      </w:r>
      <w:r>
        <w:rPr>
          <w:rFonts w:ascii="宋体" w:hAnsi="宋体"/>
          <w:bCs/>
          <w:sz w:val="24"/>
          <w:highlight w:val="none"/>
        </w:rPr>
        <w:t>15.1</w:t>
      </w:r>
      <w:r>
        <w:rPr>
          <w:rFonts w:hint="eastAsia" w:ascii="宋体" w:hAnsi="宋体"/>
          <w:bCs/>
          <w:sz w:val="24"/>
          <w:highlight w:val="none"/>
        </w:rPr>
        <w:t>规定，全部或部分终止合同之后，甲方可以全部或部分购买类似货物或服务，乙方应承担甲方购买类似货物或服务而产生的额外支出。部分终止合同的，乙方应继续履行合同中未终止的部分。</w:t>
      </w:r>
    </w:p>
    <w:p>
      <w:pPr>
        <w:pStyle w:val="2"/>
        <w:spacing w:line="480" w:lineRule="exact"/>
        <w:rPr>
          <w:rFonts w:ascii="宋体"/>
          <w:bCs/>
          <w:sz w:val="24"/>
          <w:highlight w:val="none"/>
        </w:rPr>
      </w:pPr>
      <w:r>
        <w:rPr>
          <w:rFonts w:ascii="宋体" w:hAnsi="宋体"/>
          <w:bCs/>
          <w:sz w:val="24"/>
          <w:highlight w:val="none"/>
        </w:rPr>
        <w:t>15</w:t>
      </w:r>
      <w:r>
        <w:rPr>
          <w:rFonts w:hint="eastAsia" w:ascii="宋体" w:hAnsi="宋体"/>
          <w:bCs/>
          <w:sz w:val="24"/>
          <w:highlight w:val="none"/>
        </w:rPr>
        <w:t>、破产终止合同</w:t>
      </w:r>
    </w:p>
    <w:p>
      <w:pPr>
        <w:pStyle w:val="2"/>
        <w:spacing w:line="480" w:lineRule="exact"/>
        <w:ind w:left="1"/>
        <w:rPr>
          <w:rFonts w:ascii="宋体"/>
          <w:bCs/>
          <w:sz w:val="24"/>
          <w:highlight w:val="none"/>
        </w:rPr>
      </w:pPr>
      <w:r>
        <w:rPr>
          <w:rFonts w:ascii="宋体" w:hAnsi="宋体"/>
          <w:bCs/>
          <w:sz w:val="24"/>
          <w:highlight w:val="none"/>
        </w:rPr>
        <w:t xml:space="preserve">15.1 </w:t>
      </w:r>
      <w:r>
        <w:rPr>
          <w:rFonts w:hint="eastAsia" w:ascii="宋体" w:hAnsi="宋体"/>
          <w:bCs/>
          <w:sz w:val="24"/>
          <w:highlight w:val="none"/>
        </w:rPr>
        <w:t>如果乙方破产或无清偿能力时，甲方可在任何时候以书面形式通知乙方终止合同，而不给乙方补偿。该合同的终止将不损害或不影响甲方已经采取或将要采取的任何行动或补救措施的权利。</w:t>
      </w:r>
    </w:p>
    <w:p>
      <w:pPr>
        <w:pStyle w:val="2"/>
        <w:spacing w:line="480" w:lineRule="exact"/>
        <w:rPr>
          <w:rFonts w:ascii="宋体"/>
          <w:bCs/>
          <w:sz w:val="24"/>
          <w:highlight w:val="none"/>
        </w:rPr>
      </w:pPr>
      <w:r>
        <w:rPr>
          <w:rFonts w:ascii="宋体" w:hAnsi="宋体"/>
          <w:bCs/>
          <w:sz w:val="24"/>
          <w:highlight w:val="none"/>
        </w:rPr>
        <w:t>16</w:t>
      </w:r>
      <w:r>
        <w:rPr>
          <w:rFonts w:hint="eastAsia" w:ascii="宋体" w:hAnsi="宋体"/>
          <w:bCs/>
          <w:sz w:val="24"/>
          <w:highlight w:val="none"/>
        </w:rPr>
        <w:t>、不可抗力</w:t>
      </w:r>
    </w:p>
    <w:p>
      <w:pPr>
        <w:pStyle w:val="2"/>
        <w:spacing w:line="480" w:lineRule="exact"/>
        <w:ind w:left="1"/>
        <w:rPr>
          <w:rFonts w:ascii="宋体"/>
          <w:bCs/>
          <w:sz w:val="24"/>
          <w:highlight w:val="none"/>
        </w:rPr>
      </w:pPr>
      <w:bookmarkStart w:id="58" w:name="_Toc487900365"/>
      <w:r>
        <w:rPr>
          <w:rFonts w:ascii="宋体" w:hAnsi="宋体"/>
          <w:bCs/>
          <w:sz w:val="24"/>
          <w:highlight w:val="none"/>
        </w:rPr>
        <w:t xml:space="preserve">16.1 </w:t>
      </w:r>
      <w:r>
        <w:rPr>
          <w:rFonts w:hint="eastAsia" w:ascii="宋体" w:hAnsi="宋体"/>
          <w:bCs/>
          <w:sz w:val="24"/>
          <w:highlight w:val="none"/>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2"/>
        <w:spacing w:line="480" w:lineRule="exact"/>
        <w:ind w:left="1"/>
        <w:rPr>
          <w:rFonts w:ascii="宋体"/>
          <w:bCs/>
          <w:sz w:val="24"/>
          <w:highlight w:val="none"/>
        </w:rPr>
      </w:pPr>
      <w:r>
        <w:rPr>
          <w:rFonts w:ascii="宋体" w:hAnsi="宋体"/>
          <w:bCs/>
          <w:sz w:val="24"/>
          <w:highlight w:val="none"/>
        </w:rPr>
        <w:t xml:space="preserve">16.2 </w:t>
      </w:r>
      <w:r>
        <w:rPr>
          <w:rFonts w:hint="eastAsia" w:ascii="宋体" w:hAnsi="宋体"/>
          <w:bCs/>
          <w:sz w:val="24"/>
          <w:highlight w:val="none"/>
        </w:rPr>
        <w:t>在不可抗力事件发生后，当事方应尽快以书面形式通知对方，并于事件发生后</w:t>
      </w:r>
      <w:r>
        <w:rPr>
          <w:rFonts w:ascii="宋体" w:hAnsi="宋体"/>
          <w:bCs/>
          <w:sz w:val="24"/>
          <w:highlight w:val="none"/>
        </w:rPr>
        <w:t>15</w:t>
      </w:r>
      <w:r>
        <w:rPr>
          <w:rFonts w:hint="eastAsia" w:ascii="宋体" w:hAnsi="宋体"/>
          <w:bCs/>
          <w:sz w:val="24"/>
          <w:highlight w:val="none"/>
        </w:rPr>
        <w:t>日内将有关部门出具的证明文件送对方审阅确认。</w:t>
      </w:r>
    </w:p>
    <w:p>
      <w:pPr>
        <w:pStyle w:val="2"/>
        <w:spacing w:line="480" w:lineRule="exact"/>
        <w:ind w:left="31680" w:hanging="763" w:hangingChars="318"/>
        <w:rPr>
          <w:rFonts w:ascii="宋体"/>
          <w:bCs/>
          <w:sz w:val="24"/>
          <w:highlight w:val="none"/>
        </w:rPr>
      </w:pPr>
      <w:r>
        <w:rPr>
          <w:rFonts w:ascii="宋体" w:hAnsi="宋体"/>
          <w:bCs/>
          <w:sz w:val="24"/>
          <w:highlight w:val="none"/>
        </w:rPr>
        <w:t xml:space="preserve">16.3 </w:t>
      </w:r>
      <w:r>
        <w:rPr>
          <w:rFonts w:hint="eastAsia" w:ascii="宋体" w:hAnsi="宋体"/>
          <w:bCs/>
          <w:sz w:val="24"/>
          <w:highlight w:val="none"/>
        </w:rPr>
        <w:t>双方应通过友好协商在合理的时间内达成进一步履行合同的协议。</w:t>
      </w:r>
    </w:p>
    <w:p>
      <w:pPr>
        <w:pStyle w:val="2"/>
        <w:spacing w:line="480" w:lineRule="exact"/>
        <w:rPr>
          <w:rFonts w:ascii="宋体"/>
          <w:bCs/>
          <w:sz w:val="24"/>
          <w:highlight w:val="none"/>
        </w:rPr>
      </w:pPr>
      <w:r>
        <w:rPr>
          <w:rFonts w:ascii="宋体" w:hAnsi="宋体"/>
          <w:bCs/>
          <w:sz w:val="24"/>
          <w:highlight w:val="none"/>
        </w:rPr>
        <w:t xml:space="preserve">17   </w:t>
      </w:r>
      <w:r>
        <w:rPr>
          <w:rFonts w:hint="eastAsia" w:ascii="宋体" w:hAnsi="宋体"/>
          <w:bCs/>
          <w:sz w:val="24"/>
          <w:highlight w:val="none"/>
        </w:rPr>
        <w:t>税费</w:t>
      </w:r>
      <w:bookmarkEnd w:id="58"/>
    </w:p>
    <w:p>
      <w:pPr>
        <w:pStyle w:val="2"/>
        <w:spacing w:line="480" w:lineRule="exact"/>
        <w:ind w:left="31680" w:hanging="763" w:hangingChars="318"/>
        <w:rPr>
          <w:rFonts w:ascii="宋体"/>
          <w:bCs/>
          <w:sz w:val="24"/>
          <w:highlight w:val="none"/>
        </w:rPr>
      </w:pPr>
      <w:r>
        <w:rPr>
          <w:rFonts w:ascii="宋体" w:hAnsi="宋体"/>
          <w:bCs/>
          <w:sz w:val="24"/>
          <w:highlight w:val="none"/>
        </w:rPr>
        <w:t xml:space="preserve">17.1 </w:t>
      </w:r>
      <w:r>
        <w:rPr>
          <w:rFonts w:hint="eastAsia" w:ascii="宋体" w:hAnsi="宋体"/>
          <w:bCs/>
          <w:sz w:val="24"/>
          <w:highlight w:val="none"/>
        </w:rPr>
        <w:t>与本合同有关的一切税费均适用中华人民共和国法律的相关规定。</w:t>
      </w:r>
    </w:p>
    <w:p>
      <w:pPr>
        <w:pStyle w:val="2"/>
        <w:spacing w:line="480" w:lineRule="exact"/>
        <w:rPr>
          <w:rFonts w:ascii="宋体"/>
          <w:bCs/>
          <w:sz w:val="24"/>
          <w:highlight w:val="none"/>
        </w:rPr>
      </w:pPr>
      <w:bookmarkStart w:id="59" w:name="_Toc487900369"/>
      <w:r>
        <w:rPr>
          <w:rFonts w:ascii="宋体" w:hAnsi="宋体"/>
          <w:bCs/>
          <w:sz w:val="24"/>
          <w:highlight w:val="none"/>
        </w:rPr>
        <w:t xml:space="preserve">18   </w:t>
      </w:r>
      <w:r>
        <w:rPr>
          <w:rFonts w:hint="eastAsia" w:ascii="宋体" w:hAnsi="宋体"/>
          <w:bCs/>
          <w:sz w:val="24"/>
          <w:highlight w:val="none"/>
        </w:rPr>
        <w:t>转让和分包</w:t>
      </w:r>
      <w:bookmarkEnd w:id="59"/>
    </w:p>
    <w:p>
      <w:pPr>
        <w:pStyle w:val="2"/>
        <w:spacing w:line="480" w:lineRule="exact"/>
        <w:ind w:left="31680" w:hanging="763" w:hangingChars="318"/>
        <w:rPr>
          <w:rFonts w:ascii="宋体"/>
          <w:bCs/>
          <w:sz w:val="24"/>
          <w:highlight w:val="none"/>
        </w:rPr>
      </w:pPr>
      <w:r>
        <w:rPr>
          <w:rFonts w:hint="eastAsia" w:ascii="宋体" w:hAnsi="宋体"/>
          <w:bCs/>
          <w:sz w:val="24"/>
          <w:highlight w:val="none"/>
        </w:rPr>
        <w:t>未经允许，本招标采购项目不得转让。</w:t>
      </w:r>
    </w:p>
    <w:p>
      <w:pPr>
        <w:pStyle w:val="2"/>
        <w:spacing w:line="480" w:lineRule="exact"/>
        <w:rPr>
          <w:rFonts w:ascii="宋体"/>
          <w:bCs/>
          <w:sz w:val="24"/>
          <w:highlight w:val="none"/>
        </w:rPr>
      </w:pPr>
      <w:bookmarkStart w:id="60" w:name="_Toc487900371"/>
      <w:r>
        <w:rPr>
          <w:rFonts w:ascii="宋体" w:hAnsi="宋体"/>
          <w:bCs/>
          <w:sz w:val="24"/>
          <w:highlight w:val="none"/>
        </w:rPr>
        <w:t xml:space="preserve">19   </w:t>
      </w:r>
      <w:r>
        <w:rPr>
          <w:rFonts w:hint="eastAsia" w:ascii="宋体" w:hAnsi="宋体"/>
          <w:bCs/>
          <w:sz w:val="24"/>
          <w:highlight w:val="none"/>
        </w:rPr>
        <w:t>通知</w:t>
      </w:r>
      <w:bookmarkEnd w:id="60"/>
    </w:p>
    <w:p>
      <w:pPr>
        <w:pStyle w:val="2"/>
        <w:spacing w:line="480" w:lineRule="exact"/>
        <w:ind w:left="1"/>
        <w:rPr>
          <w:rFonts w:ascii="宋体"/>
          <w:bCs/>
          <w:sz w:val="24"/>
          <w:highlight w:val="none"/>
        </w:rPr>
      </w:pPr>
      <w:r>
        <w:rPr>
          <w:rFonts w:hint="eastAsia" w:ascii="宋体" w:hAnsi="宋体"/>
          <w:bCs/>
          <w:sz w:val="24"/>
          <w:highlight w:val="none"/>
        </w:rPr>
        <w:t>合同任何一方给另一方的通知，都应以书面形式发送，而另一方也应以书面形式确认并发送到对方明确的地址。</w:t>
      </w:r>
    </w:p>
    <w:p>
      <w:pPr>
        <w:pStyle w:val="2"/>
        <w:spacing w:line="480" w:lineRule="exact"/>
        <w:rPr>
          <w:rFonts w:ascii="宋体"/>
          <w:bCs/>
          <w:sz w:val="24"/>
          <w:highlight w:val="none"/>
        </w:rPr>
      </w:pPr>
      <w:r>
        <w:rPr>
          <w:rFonts w:ascii="宋体" w:hAnsi="宋体"/>
          <w:bCs/>
          <w:sz w:val="24"/>
          <w:highlight w:val="none"/>
        </w:rPr>
        <w:t>20</w:t>
      </w:r>
      <w:r>
        <w:rPr>
          <w:rFonts w:hint="eastAsia" w:ascii="宋体" w:hAnsi="宋体"/>
          <w:bCs/>
          <w:sz w:val="24"/>
          <w:highlight w:val="none"/>
        </w:rPr>
        <w:t>、争议的解决</w:t>
      </w:r>
    </w:p>
    <w:p>
      <w:pPr>
        <w:pStyle w:val="2"/>
        <w:spacing w:line="480" w:lineRule="exact"/>
        <w:ind w:firstLine="480" w:firstLineChars="200"/>
        <w:rPr>
          <w:rFonts w:ascii="宋体"/>
          <w:bCs/>
          <w:sz w:val="24"/>
          <w:highlight w:val="none"/>
        </w:rPr>
      </w:pPr>
      <w:r>
        <w:rPr>
          <w:rFonts w:hint="eastAsia" w:ascii="宋体" w:hAnsi="宋体"/>
          <w:bCs/>
          <w:sz w:val="24"/>
          <w:highlight w:val="none"/>
        </w:rPr>
        <w:t>合同发生纠纷时，双方应协商解决，协商不成可以提交济南仲裁委员会仲裁。</w:t>
      </w:r>
    </w:p>
    <w:p>
      <w:pPr>
        <w:pStyle w:val="2"/>
        <w:spacing w:line="480" w:lineRule="exact"/>
        <w:rPr>
          <w:rFonts w:ascii="宋体"/>
          <w:bCs/>
          <w:sz w:val="24"/>
          <w:highlight w:val="none"/>
        </w:rPr>
      </w:pPr>
      <w:r>
        <w:rPr>
          <w:rFonts w:ascii="宋体" w:hAnsi="宋体"/>
          <w:bCs/>
          <w:sz w:val="24"/>
          <w:highlight w:val="none"/>
        </w:rPr>
        <w:t>21</w:t>
      </w:r>
      <w:r>
        <w:rPr>
          <w:rFonts w:hint="eastAsia" w:ascii="宋体" w:hAnsi="宋体"/>
          <w:bCs/>
          <w:sz w:val="24"/>
          <w:highlight w:val="none"/>
        </w:rPr>
        <w:t>、合同生效</w:t>
      </w:r>
    </w:p>
    <w:p>
      <w:pPr>
        <w:pStyle w:val="2"/>
        <w:spacing w:line="480" w:lineRule="exact"/>
        <w:ind w:left="703" w:leftChars="200" w:hanging="283" w:hangingChars="118"/>
        <w:rPr>
          <w:rFonts w:ascii="宋体"/>
          <w:bCs/>
          <w:sz w:val="24"/>
          <w:highlight w:val="none"/>
        </w:rPr>
      </w:pPr>
      <w:r>
        <w:rPr>
          <w:rFonts w:hint="eastAsia" w:ascii="宋体" w:hAnsi="宋体"/>
          <w:bCs/>
          <w:sz w:val="24"/>
          <w:highlight w:val="none"/>
        </w:rPr>
        <w:t>本合同甲乙双方签章后即生效。</w:t>
      </w:r>
    </w:p>
    <w:p>
      <w:pPr>
        <w:spacing w:line="480" w:lineRule="exact"/>
        <w:rPr>
          <w:rFonts w:ascii="宋体" w:cs="宋体"/>
          <w:b/>
          <w:bCs/>
          <w:sz w:val="24"/>
          <w:highlight w:val="none"/>
        </w:rPr>
      </w:pPr>
    </w:p>
    <w:p>
      <w:pPr>
        <w:tabs>
          <w:tab w:val="left" w:pos="4452"/>
          <w:tab w:val="left" w:pos="4664"/>
          <w:tab w:val="left" w:pos="9720"/>
        </w:tabs>
        <w:spacing w:line="360" w:lineRule="exact"/>
        <w:ind w:right="-31" w:rightChars="-15" w:firstLine="462" w:firstLineChars="220"/>
        <w:rPr>
          <w:rFonts w:ascii="宋体" w:cs="宋体"/>
          <w:sz w:val="24"/>
          <w:highlight w:val="none"/>
        </w:rPr>
      </w:pPr>
      <w:r>
        <w:rPr>
          <w:highlight w:val="none"/>
        </w:rPr>
        <w:pict>
          <v:line id="Line 2" o:spid="_x0000_s1028" o:spt="20" style="position:absolute;left:0pt;margin-left:-99pt;margin-top:1pt;height:0.05pt;width:684pt;z-index:251658240;mso-width-relative:page;mso-height-relative:page;" o:preferrelative="t" stroked="t" coordsize="21600,21600">
            <v:path arrowok="t"/>
            <v:fill focussize="0,0"/>
            <v:stroke color="#FFFFFF" miterlimit="2"/>
            <v:imagedata o:title=""/>
            <o:lock v:ext="edit"/>
          </v:line>
        </w:pict>
      </w:r>
    </w:p>
    <w:bookmarkEnd w:id="51"/>
    <w:p>
      <w:pPr>
        <w:pStyle w:val="13"/>
        <w:tabs>
          <w:tab w:val="left" w:pos="0"/>
        </w:tabs>
        <w:spacing w:line="480" w:lineRule="exact"/>
        <w:ind w:left="0" w:leftChars="0" w:firstLine="0" w:firstLineChars="0"/>
        <w:jc w:val="center"/>
        <w:rPr>
          <w:rFonts w:ascii="宋体"/>
          <w:sz w:val="32"/>
          <w:szCs w:val="32"/>
          <w:highlight w:val="none"/>
        </w:rPr>
      </w:pPr>
      <w:bookmarkStart w:id="61" w:name="gpcItem_SubmitDocStruct"/>
      <w:r>
        <w:rPr>
          <w:rFonts w:ascii="宋体" w:cs="宋体"/>
          <w:sz w:val="36"/>
          <w:szCs w:val="36"/>
          <w:highlight w:val="none"/>
        </w:rPr>
        <w:br w:type="page"/>
      </w:r>
      <w:r>
        <w:rPr>
          <w:rFonts w:hint="eastAsia" w:ascii="宋体" w:hAnsi="宋体"/>
          <w:sz w:val="32"/>
          <w:szCs w:val="32"/>
          <w:highlight w:val="none"/>
        </w:rPr>
        <w:t>第二节：合同格式</w:t>
      </w:r>
    </w:p>
    <w:p>
      <w:pPr>
        <w:spacing w:line="480" w:lineRule="exact"/>
        <w:jc w:val="center"/>
        <w:rPr>
          <w:rFonts w:ascii="宋体"/>
          <w:bCs/>
          <w:sz w:val="24"/>
          <w:highlight w:val="none"/>
        </w:rPr>
      </w:pPr>
    </w:p>
    <w:p>
      <w:pPr>
        <w:spacing w:line="480" w:lineRule="exact"/>
        <w:jc w:val="center"/>
        <w:rPr>
          <w:rFonts w:ascii="宋体"/>
          <w:bCs/>
          <w:sz w:val="24"/>
          <w:highlight w:val="none"/>
        </w:rPr>
      </w:pPr>
    </w:p>
    <w:p>
      <w:pPr>
        <w:snapToGrid w:val="0"/>
        <w:spacing w:beforeLines="100" w:line="480" w:lineRule="exact"/>
        <w:jc w:val="center"/>
        <w:rPr>
          <w:rFonts w:ascii="宋体"/>
          <w:b/>
          <w:sz w:val="72"/>
          <w:szCs w:val="72"/>
          <w:highlight w:val="none"/>
        </w:rPr>
      </w:pPr>
      <w:r>
        <w:rPr>
          <w:rFonts w:hint="eastAsia" w:ascii="宋体" w:hAnsi="宋体"/>
          <w:b/>
          <w:sz w:val="72"/>
          <w:szCs w:val="72"/>
          <w:highlight w:val="none"/>
        </w:rPr>
        <w:t>采购合同</w:t>
      </w: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r>
        <w:rPr>
          <w:rFonts w:hint="eastAsia" w:ascii="宋体" w:hAnsi="宋体"/>
          <w:sz w:val="32"/>
          <w:szCs w:val="32"/>
          <w:highlight w:val="none"/>
        </w:rPr>
        <w:t>（货物类）</w:t>
      </w:r>
    </w:p>
    <w:p>
      <w:pPr>
        <w:snapToGrid w:val="0"/>
        <w:spacing w:line="480" w:lineRule="exact"/>
        <w:jc w:val="center"/>
        <w:rPr>
          <w:rFonts w:ascii="宋体"/>
          <w:b/>
          <w:sz w:val="30"/>
          <w:szCs w:val="30"/>
          <w:highlight w:val="none"/>
        </w:rPr>
      </w:pPr>
    </w:p>
    <w:p>
      <w:pPr>
        <w:snapToGrid w:val="0"/>
        <w:spacing w:line="480" w:lineRule="exact"/>
        <w:jc w:val="center"/>
        <w:rPr>
          <w:rFonts w:ascii="宋体"/>
          <w:b/>
          <w:sz w:val="30"/>
          <w:szCs w:val="30"/>
          <w:highlight w:val="none"/>
        </w:rPr>
      </w:pPr>
      <w:r>
        <w:rPr>
          <w:rFonts w:ascii="宋体"/>
          <w:b/>
          <w:sz w:val="30"/>
          <w:szCs w:val="30"/>
          <w:highlight w:val="none"/>
        </w:rPr>
        <w:tab/>
      </w:r>
    </w:p>
    <w:p>
      <w:pPr>
        <w:snapToGrid w:val="0"/>
        <w:spacing w:line="480" w:lineRule="exact"/>
        <w:ind w:firstLine="1606" w:firstLineChars="500"/>
        <w:rPr>
          <w:rFonts w:ascii="宋体"/>
          <w:b/>
          <w:sz w:val="32"/>
          <w:szCs w:val="32"/>
          <w:highlight w:val="none"/>
          <w:u w:val="single"/>
        </w:rPr>
      </w:pPr>
      <w:r>
        <w:rPr>
          <w:rFonts w:hint="eastAsia" w:ascii="宋体" w:hAnsi="宋体"/>
          <w:b/>
          <w:sz w:val="32"/>
          <w:szCs w:val="32"/>
          <w:highlight w:val="none"/>
        </w:rPr>
        <w:t>项目名称</w:t>
      </w:r>
      <w:r>
        <w:rPr>
          <w:rFonts w:ascii="宋体" w:hAnsi="宋体"/>
          <w:b/>
          <w:sz w:val="32"/>
          <w:szCs w:val="32"/>
          <w:highlight w:val="none"/>
        </w:rPr>
        <w:t>:</w:t>
      </w:r>
    </w:p>
    <w:p>
      <w:pPr>
        <w:snapToGrid w:val="0"/>
        <w:spacing w:line="480" w:lineRule="exact"/>
        <w:jc w:val="center"/>
        <w:rPr>
          <w:rFonts w:ascii="宋体"/>
          <w:b/>
          <w:sz w:val="32"/>
          <w:szCs w:val="32"/>
          <w:highlight w:val="none"/>
          <w:u w:val="single"/>
        </w:rPr>
      </w:pPr>
    </w:p>
    <w:p>
      <w:pPr>
        <w:snapToGrid w:val="0"/>
        <w:spacing w:line="480" w:lineRule="exact"/>
        <w:ind w:firstLine="1606" w:firstLineChars="500"/>
        <w:rPr>
          <w:rFonts w:ascii="宋体"/>
          <w:sz w:val="32"/>
          <w:szCs w:val="32"/>
          <w:highlight w:val="none"/>
          <w:u w:val="single"/>
        </w:rPr>
      </w:pPr>
      <w:r>
        <w:rPr>
          <w:rFonts w:hint="eastAsia" w:ascii="宋体" w:hAnsi="宋体"/>
          <w:b/>
          <w:sz w:val="32"/>
          <w:szCs w:val="32"/>
          <w:highlight w:val="none"/>
        </w:rPr>
        <w:t>招标编号</w:t>
      </w:r>
      <w:r>
        <w:rPr>
          <w:rFonts w:ascii="宋体" w:hAnsi="宋体"/>
          <w:b/>
          <w:sz w:val="32"/>
          <w:szCs w:val="32"/>
          <w:highlight w:val="none"/>
        </w:rPr>
        <w:t>:</w:t>
      </w:r>
    </w:p>
    <w:p>
      <w:pPr>
        <w:snapToGrid w:val="0"/>
        <w:spacing w:line="480" w:lineRule="exact"/>
        <w:jc w:val="center"/>
        <w:rPr>
          <w:rFonts w:ascii="宋体"/>
          <w:sz w:val="32"/>
          <w:szCs w:val="32"/>
          <w:highlight w:val="none"/>
        </w:rPr>
      </w:pPr>
    </w:p>
    <w:p>
      <w:pPr>
        <w:snapToGrid w:val="0"/>
        <w:spacing w:line="480" w:lineRule="exact"/>
        <w:jc w:val="center"/>
        <w:rPr>
          <w:rFonts w:ascii="宋体"/>
          <w:b/>
          <w:sz w:val="32"/>
          <w:szCs w:val="32"/>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ind w:firstLine="1606" w:firstLineChars="500"/>
        <w:rPr>
          <w:rFonts w:ascii="宋体"/>
          <w:b/>
          <w:sz w:val="32"/>
          <w:szCs w:val="32"/>
          <w:highlight w:val="none"/>
        </w:rPr>
      </w:pPr>
      <w:r>
        <w:rPr>
          <w:rFonts w:hint="eastAsia" w:ascii="宋体" w:hAnsi="宋体"/>
          <w:b/>
          <w:sz w:val="32"/>
          <w:szCs w:val="32"/>
          <w:highlight w:val="none"/>
        </w:rPr>
        <w:t>甲方</w:t>
      </w:r>
      <w:r>
        <w:rPr>
          <w:rFonts w:ascii="宋体" w:hAnsi="宋体"/>
          <w:b/>
          <w:sz w:val="32"/>
          <w:szCs w:val="32"/>
          <w:highlight w:val="none"/>
        </w:rPr>
        <w:t>:</w:t>
      </w:r>
    </w:p>
    <w:p>
      <w:pPr>
        <w:snapToGrid w:val="0"/>
        <w:spacing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乙方</w:t>
      </w:r>
      <w:r>
        <w:rPr>
          <w:rFonts w:ascii="宋体" w:hAnsi="宋体"/>
          <w:b/>
          <w:sz w:val="32"/>
          <w:szCs w:val="32"/>
          <w:highlight w:val="none"/>
        </w:rPr>
        <w:t>:</w:t>
      </w:r>
    </w:p>
    <w:p>
      <w:pPr>
        <w:snapToGrid w:val="0"/>
        <w:spacing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日期</w:t>
      </w:r>
      <w:r>
        <w:rPr>
          <w:rFonts w:ascii="宋体" w:hAnsi="宋体"/>
          <w:b/>
          <w:sz w:val="32"/>
          <w:szCs w:val="32"/>
          <w:highlight w:val="none"/>
        </w:rPr>
        <w:t>:</w:t>
      </w:r>
    </w:p>
    <w:p>
      <w:pPr>
        <w:widowControl/>
        <w:ind w:firstLine="643" w:firstLineChars="200"/>
        <w:jc w:val="left"/>
        <w:rPr>
          <w:rFonts w:ascii="宋体"/>
          <w:sz w:val="24"/>
          <w:highlight w:val="none"/>
        </w:rPr>
      </w:pPr>
      <w:r>
        <w:rPr>
          <w:rFonts w:ascii="宋体"/>
          <w:b/>
          <w:sz w:val="32"/>
          <w:szCs w:val="32"/>
          <w:highlight w:val="none"/>
          <w:u w:val="single"/>
        </w:rPr>
        <w:br w:type="page"/>
      </w:r>
      <w:r>
        <w:rPr>
          <w:rFonts w:hint="eastAsia" w:ascii="宋体" w:hAnsi="宋体"/>
          <w:sz w:val="24"/>
          <w:highlight w:val="none"/>
        </w:rPr>
        <w:t>（甲方）所需</w:t>
      </w:r>
      <w:r>
        <w:rPr>
          <w:rFonts w:ascii="宋体" w:hAnsi="宋体"/>
          <w:sz w:val="24"/>
          <w:highlight w:val="none"/>
        </w:rPr>
        <w:t xml:space="preserve"> (</w:t>
      </w:r>
      <w:r>
        <w:rPr>
          <w:rFonts w:hint="eastAsia" w:ascii="宋体" w:hAnsi="宋体"/>
          <w:sz w:val="24"/>
          <w:highlight w:val="none"/>
        </w:rPr>
        <w:t>货物名称</w:t>
      </w:r>
      <w:r>
        <w:rPr>
          <w:rFonts w:ascii="宋体" w:hAnsi="宋体"/>
          <w:sz w:val="24"/>
          <w:highlight w:val="none"/>
        </w:rPr>
        <w:t>)</w:t>
      </w:r>
      <w:r>
        <w:rPr>
          <w:rFonts w:hint="eastAsia" w:ascii="宋体" w:hAnsi="宋体"/>
          <w:sz w:val="24"/>
          <w:highlight w:val="none"/>
        </w:rPr>
        <w:t>经（代理机构名称）以招标文件在国内以公开招标方式进行采购。经评标委员会确定（乙方）为中标供应商。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sz w:val="24"/>
          <w:highlight w:val="none"/>
        </w:rPr>
      </w:pPr>
      <w:bookmarkStart w:id="62" w:name="_Toc15866"/>
      <w:bookmarkStart w:id="63" w:name="_Toc15550"/>
      <w:bookmarkStart w:id="64" w:name="_Toc27021"/>
      <w:r>
        <w:rPr>
          <w:rFonts w:hint="eastAsia" w:ascii="宋体" w:hAnsi="宋体"/>
          <w:b/>
          <w:bCs/>
          <w:sz w:val="24"/>
          <w:highlight w:val="none"/>
        </w:rPr>
        <w:t>一、本合同由合同文本和下列文件组成</w:t>
      </w:r>
      <w:bookmarkEnd w:id="62"/>
      <w:bookmarkEnd w:id="63"/>
      <w:bookmarkEnd w:id="64"/>
    </w:p>
    <w:p>
      <w:pPr>
        <w:snapToGrid w:val="0"/>
        <w:spacing w:line="480" w:lineRule="exact"/>
        <w:ind w:firstLine="480"/>
        <w:rPr>
          <w:rFonts w:ascii="宋体"/>
          <w:sz w:val="24"/>
          <w:highlight w:val="none"/>
        </w:rPr>
      </w:pPr>
      <w:r>
        <w:rPr>
          <w:rFonts w:ascii="宋体" w:hAnsi="宋体"/>
          <w:sz w:val="24"/>
          <w:highlight w:val="none"/>
        </w:rPr>
        <w:t>1</w:t>
      </w:r>
      <w:r>
        <w:rPr>
          <w:rFonts w:hint="eastAsia" w:ascii="宋体" w:hAnsi="宋体"/>
          <w:sz w:val="24"/>
          <w:highlight w:val="none"/>
        </w:rPr>
        <w:t>、合同一般条款</w:t>
      </w:r>
    </w:p>
    <w:p>
      <w:pPr>
        <w:snapToGrid w:val="0"/>
        <w:spacing w:line="480" w:lineRule="exact"/>
        <w:ind w:firstLine="480"/>
        <w:rPr>
          <w:rFonts w:ascii="宋体"/>
          <w:sz w:val="24"/>
          <w:highlight w:val="none"/>
        </w:rPr>
      </w:pPr>
      <w:r>
        <w:rPr>
          <w:rFonts w:ascii="宋体" w:hAnsi="宋体"/>
          <w:sz w:val="24"/>
          <w:highlight w:val="none"/>
        </w:rPr>
        <w:t>2</w:t>
      </w:r>
      <w:r>
        <w:rPr>
          <w:rFonts w:hint="eastAsia" w:ascii="宋体" w:hAnsi="宋体"/>
          <w:sz w:val="24"/>
          <w:highlight w:val="none"/>
        </w:rPr>
        <w:t>、合同特殊条款</w:t>
      </w:r>
    </w:p>
    <w:p>
      <w:pPr>
        <w:snapToGrid w:val="0"/>
        <w:spacing w:line="480" w:lineRule="exact"/>
        <w:ind w:firstLine="480"/>
        <w:rPr>
          <w:rFonts w:ascii="宋体"/>
          <w:sz w:val="24"/>
          <w:highlight w:val="none"/>
        </w:rPr>
      </w:pPr>
      <w:r>
        <w:rPr>
          <w:rFonts w:ascii="宋体" w:hAnsi="宋体"/>
          <w:sz w:val="24"/>
          <w:highlight w:val="none"/>
        </w:rPr>
        <w:t>3</w:t>
      </w:r>
      <w:r>
        <w:rPr>
          <w:rFonts w:hint="eastAsia" w:ascii="宋体" w:hAnsi="宋体"/>
          <w:sz w:val="24"/>
          <w:highlight w:val="none"/>
        </w:rPr>
        <w:t>、采购服务内容</w:t>
      </w:r>
    </w:p>
    <w:p>
      <w:pPr>
        <w:snapToGrid w:val="0"/>
        <w:spacing w:line="480" w:lineRule="exact"/>
        <w:ind w:firstLine="480"/>
        <w:rPr>
          <w:rFonts w:ascii="宋体"/>
          <w:sz w:val="24"/>
          <w:highlight w:val="none"/>
        </w:rPr>
      </w:pPr>
      <w:r>
        <w:rPr>
          <w:rFonts w:ascii="宋体" w:hAnsi="宋体"/>
          <w:sz w:val="24"/>
          <w:highlight w:val="none"/>
        </w:rPr>
        <w:t>4</w:t>
      </w:r>
      <w:r>
        <w:rPr>
          <w:rFonts w:hint="eastAsia" w:ascii="宋体" w:hAnsi="宋体"/>
          <w:sz w:val="24"/>
          <w:highlight w:val="none"/>
        </w:rPr>
        <w:t>、合同补充条款或说明</w:t>
      </w:r>
    </w:p>
    <w:p>
      <w:pPr>
        <w:snapToGrid w:val="0"/>
        <w:spacing w:line="480" w:lineRule="exact"/>
        <w:ind w:firstLine="382"/>
        <w:outlineLvl w:val="0"/>
        <w:rPr>
          <w:rFonts w:ascii="宋体"/>
          <w:b/>
          <w:bCs/>
          <w:sz w:val="24"/>
          <w:highlight w:val="none"/>
        </w:rPr>
      </w:pPr>
      <w:bookmarkStart w:id="65" w:name="_Toc16073"/>
      <w:bookmarkStart w:id="66" w:name="_Toc9903"/>
      <w:bookmarkStart w:id="67" w:name="_Toc9153"/>
      <w:r>
        <w:rPr>
          <w:rFonts w:hint="eastAsia" w:ascii="宋体" w:hAnsi="宋体"/>
          <w:b/>
          <w:bCs/>
          <w:sz w:val="24"/>
          <w:highlight w:val="none"/>
        </w:rPr>
        <w:t>二、货物的名称、数量</w:t>
      </w:r>
      <w:bookmarkEnd w:id="65"/>
      <w:bookmarkEnd w:id="66"/>
      <w:bookmarkEnd w:id="67"/>
    </w:p>
    <w:p>
      <w:pPr>
        <w:snapToGrid w:val="0"/>
        <w:spacing w:line="480" w:lineRule="exact"/>
        <w:ind w:firstLine="382"/>
        <w:outlineLvl w:val="0"/>
        <w:rPr>
          <w:rFonts w:ascii="宋体"/>
          <w:b/>
          <w:bCs/>
          <w:sz w:val="24"/>
          <w:highlight w:val="none"/>
          <w:u w:val="single"/>
        </w:rPr>
      </w:pPr>
    </w:p>
    <w:p>
      <w:pPr>
        <w:snapToGrid w:val="0"/>
        <w:spacing w:line="480" w:lineRule="exact"/>
        <w:ind w:left="380" w:leftChars="181"/>
        <w:rPr>
          <w:rFonts w:ascii="宋体"/>
          <w:sz w:val="24"/>
          <w:highlight w:val="none"/>
        </w:rPr>
      </w:pPr>
      <w:r>
        <w:rPr>
          <w:rFonts w:hint="eastAsia" w:ascii="宋体" w:hAnsi="宋体"/>
          <w:sz w:val="24"/>
          <w:highlight w:val="none"/>
        </w:rPr>
        <w:t>（后附详细清单）</w:t>
      </w:r>
    </w:p>
    <w:p>
      <w:pPr>
        <w:snapToGrid w:val="0"/>
        <w:spacing w:line="480" w:lineRule="exact"/>
        <w:ind w:firstLine="382"/>
        <w:outlineLvl w:val="0"/>
        <w:rPr>
          <w:rFonts w:ascii="宋体"/>
          <w:sz w:val="24"/>
          <w:highlight w:val="none"/>
        </w:rPr>
      </w:pPr>
      <w:bookmarkStart w:id="68" w:name="_Toc1690"/>
      <w:bookmarkStart w:id="69" w:name="_Toc14263"/>
      <w:bookmarkStart w:id="70" w:name="_Toc4618"/>
      <w:r>
        <w:rPr>
          <w:rFonts w:hint="eastAsia" w:ascii="宋体" w:hAnsi="宋体"/>
          <w:b/>
          <w:bCs/>
          <w:sz w:val="24"/>
          <w:highlight w:val="none"/>
        </w:rPr>
        <w:t>三、合同金额</w:t>
      </w:r>
      <w:bookmarkEnd w:id="68"/>
      <w:bookmarkEnd w:id="69"/>
      <w:bookmarkEnd w:id="70"/>
    </w:p>
    <w:p>
      <w:pPr>
        <w:snapToGrid w:val="0"/>
        <w:spacing w:line="480" w:lineRule="exact"/>
        <w:rPr>
          <w:rFonts w:ascii="宋体"/>
          <w:sz w:val="24"/>
          <w:highlight w:val="none"/>
        </w:rPr>
      </w:pPr>
      <w:r>
        <w:rPr>
          <w:rFonts w:hint="eastAsia" w:ascii="宋体" w:hAnsi="宋体"/>
          <w:sz w:val="24"/>
          <w:highlight w:val="none"/>
        </w:rPr>
        <w:t>合同总金额：</w:t>
      </w:r>
      <w:r>
        <w:rPr>
          <w:rFonts w:hint="eastAsia" w:ascii="宋体" w:hAnsi="宋体"/>
          <w:sz w:val="24"/>
          <w:highlight w:val="none"/>
          <w:u w:val="single"/>
        </w:rPr>
        <w:t>人民币</w:t>
      </w:r>
      <w:r>
        <w:rPr>
          <w:rFonts w:hint="eastAsia" w:ascii="宋体" w:hAnsi="宋体"/>
          <w:sz w:val="24"/>
          <w:highlight w:val="none"/>
        </w:rPr>
        <w:t>（大写）</w:t>
      </w:r>
    </w:p>
    <w:p>
      <w:pPr>
        <w:snapToGrid w:val="0"/>
        <w:spacing w:line="480" w:lineRule="exact"/>
        <w:ind w:firstLine="1440" w:firstLineChars="600"/>
        <w:rPr>
          <w:rFonts w:ascii="宋体"/>
          <w:sz w:val="24"/>
          <w:highlight w:val="none"/>
        </w:rPr>
      </w:pPr>
      <w:r>
        <w:rPr>
          <w:rFonts w:hint="eastAsia" w:ascii="宋体" w:hAnsi="宋体"/>
          <w:sz w:val="24"/>
          <w:highlight w:val="none"/>
          <w:u w:val="single"/>
        </w:rPr>
        <w:t>人民币</w:t>
      </w:r>
      <w:r>
        <w:rPr>
          <w:rFonts w:hint="eastAsia" w:ascii="宋体" w:hAnsi="宋体"/>
          <w:sz w:val="24"/>
          <w:highlight w:val="none"/>
        </w:rPr>
        <w:t>（小写）</w:t>
      </w:r>
    </w:p>
    <w:p>
      <w:pPr>
        <w:pStyle w:val="8"/>
        <w:snapToGrid w:val="0"/>
        <w:spacing w:line="480" w:lineRule="exact"/>
        <w:ind w:firstLine="960" w:firstLineChars="400"/>
        <w:rPr>
          <w:rFonts w:ascii="宋体"/>
          <w:sz w:val="24"/>
          <w:szCs w:val="24"/>
          <w:highlight w:val="none"/>
        </w:rPr>
      </w:pPr>
      <w:r>
        <w:rPr>
          <w:rFonts w:hint="eastAsia" w:ascii="宋体" w:hAnsi="宋体"/>
          <w:sz w:val="24"/>
          <w:szCs w:val="24"/>
          <w:highlight w:val="none"/>
        </w:rPr>
        <w:t>分项价格见中标货物清单</w:t>
      </w:r>
    </w:p>
    <w:p>
      <w:pPr>
        <w:snapToGrid w:val="0"/>
        <w:spacing w:line="480" w:lineRule="exact"/>
        <w:ind w:firstLine="382"/>
        <w:outlineLvl w:val="0"/>
        <w:rPr>
          <w:rFonts w:ascii="宋体"/>
          <w:b/>
          <w:sz w:val="24"/>
          <w:highlight w:val="none"/>
        </w:rPr>
      </w:pPr>
      <w:bookmarkStart w:id="71" w:name="_Toc23604"/>
      <w:bookmarkStart w:id="72" w:name="_Toc19878"/>
      <w:bookmarkStart w:id="73" w:name="_Toc10675"/>
      <w:r>
        <w:rPr>
          <w:rFonts w:hint="eastAsia" w:ascii="宋体" w:hAnsi="宋体"/>
          <w:b/>
          <w:bCs/>
          <w:sz w:val="24"/>
          <w:highlight w:val="none"/>
        </w:rPr>
        <w:t>四、</w:t>
      </w:r>
      <w:bookmarkEnd w:id="71"/>
      <w:bookmarkEnd w:id="72"/>
      <w:bookmarkEnd w:id="73"/>
      <w:r>
        <w:rPr>
          <w:rFonts w:hint="eastAsia" w:ascii="宋体" w:hAnsi="宋体"/>
          <w:b/>
          <w:sz w:val="24"/>
          <w:highlight w:val="none"/>
        </w:rPr>
        <w:t>付款方式：</w:t>
      </w:r>
    </w:p>
    <w:p>
      <w:pPr>
        <w:tabs>
          <w:tab w:val="left" w:pos="764"/>
        </w:tabs>
        <w:snapToGrid w:val="0"/>
        <w:spacing w:line="480" w:lineRule="exact"/>
        <w:ind w:firstLine="360" w:firstLineChars="150"/>
        <w:rPr>
          <w:rFonts w:hint="eastAsia"/>
          <w:color w:val="000000"/>
          <w:kern w:val="2"/>
          <w:sz w:val="24"/>
          <w:szCs w:val="24"/>
          <w:highlight w:val="none"/>
          <w:lang w:eastAsia="zh-CN"/>
        </w:rPr>
      </w:pPr>
      <w:r>
        <w:rPr>
          <w:rFonts w:hint="eastAsia"/>
          <w:color w:val="000000"/>
          <w:kern w:val="2"/>
          <w:sz w:val="24"/>
          <w:szCs w:val="24"/>
          <w:highlight w:val="none"/>
          <w:lang w:eastAsia="zh-CN"/>
        </w:rPr>
        <w:t>货物全部交付完毕并验收合格后凭清单及发票办理入库手续，甲方收到前述凭证后三个月内支付合同总金额90%,货物自验收合格之日起满12个月无质量问题的，甲方付清全部货物尾款（结算数量以审计最终审计数量为准）</w:t>
      </w:r>
    </w:p>
    <w:p>
      <w:pPr>
        <w:tabs>
          <w:tab w:val="left" w:pos="764"/>
        </w:tabs>
        <w:snapToGrid w:val="0"/>
        <w:spacing w:line="480" w:lineRule="exact"/>
        <w:ind w:firstLine="361" w:firstLineChars="150"/>
        <w:rPr>
          <w:rFonts w:ascii="宋体"/>
          <w:b/>
          <w:bCs/>
          <w:sz w:val="24"/>
          <w:highlight w:val="none"/>
        </w:rPr>
      </w:pPr>
      <w:r>
        <w:rPr>
          <w:rFonts w:hint="eastAsia" w:ascii="宋体" w:hAnsi="宋体"/>
          <w:b/>
          <w:bCs/>
          <w:sz w:val="24"/>
          <w:highlight w:val="none"/>
        </w:rPr>
        <w:t>五、交货时间、地点、验收方式</w:t>
      </w:r>
    </w:p>
    <w:p>
      <w:pPr>
        <w:snapToGrid w:val="0"/>
        <w:spacing w:line="480" w:lineRule="exact"/>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、交货安装时间：合同生效后于以前交货并安装。</w:t>
      </w:r>
    </w:p>
    <w:p>
      <w:pPr>
        <w:tabs>
          <w:tab w:val="left" w:pos="955"/>
        </w:tabs>
        <w:snapToGrid w:val="0"/>
        <w:spacing w:line="48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、交货地点：甲方指定地点。</w:t>
      </w:r>
    </w:p>
    <w:p>
      <w:pPr>
        <w:tabs>
          <w:tab w:val="left" w:pos="955"/>
        </w:tabs>
        <w:snapToGrid w:val="0"/>
        <w:spacing w:line="480" w:lineRule="exact"/>
        <w:ind w:firstLine="480" w:firstLineChars="200"/>
        <w:rPr>
          <w:rFonts w:ascii="宋体"/>
          <w:sz w:val="24"/>
          <w:highlight w:val="none"/>
          <w:u w:val="single"/>
        </w:rPr>
      </w:pPr>
      <w:r>
        <w:rPr>
          <w:rFonts w:ascii="宋体" w:hAnsi="宋体"/>
          <w:sz w:val="24"/>
          <w:highlight w:val="none"/>
        </w:rPr>
        <w:t>3</w:t>
      </w:r>
      <w:r>
        <w:rPr>
          <w:rFonts w:hint="eastAsia" w:ascii="宋体" w:hAnsi="宋体"/>
          <w:sz w:val="24"/>
          <w:highlight w:val="none"/>
        </w:rPr>
        <w:t>、验收方式：。</w:t>
      </w:r>
    </w:p>
    <w:p>
      <w:pPr>
        <w:snapToGrid w:val="0"/>
        <w:spacing w:line="480" w:lineRule="exact"/>
        <w:ind w:left="380" w:leftChars="181" w:firstLine="2"/>
        <w:outlineLvl w:val="0"/>
        <w:rPr>
          <w:rFonts w:ascii="宋体"/>
          <w:b/>
          <w:bCs/>
          <w:sz w:val="24"/>
          <w:highlight w:val="none"/>
        </w:rPr>
      </w:pPr>
      <w:bookmarkStart w:id="74" w:name="_Toc28569"/>
      <w:bookmarkStart w:id="75" w:name="_Toc12280"/>
      <w:bookmarkStart w:id="76" w:name="_Toc28907"/>
      <w:r>
        <w:rPr>
          <w:rFonts w:hint="eastAsia" w:ascii="宋体" w:hAnsi="宋体"/>
          <w:b/>
          <w:bCs/>
          <w:sz w:val="24"/>
          <w:highlight w:val="none"/>
        </w:rPr>
        <w:t>六、履约保证金</w:t>
      </w:r>
      <w:bookmarkEnd w:id="74"/>
      <w:bookmarkEnd w:id="75"/>
      <w:bookmarkEnd w:id="76"/>
    </w:p>
    <w:p>
      <w:pPr>
        <w:snapToGrid w:val="0"/>
        <w:spacing w:line="480" w:lineRule="exact"/>
        <w:ind w:firstLine="840" w:firstLineChars="350"/>
        <w:rPr>
          <w:rFonts w:ascii="宋体"/>
          <w:sz w:val="24"/>
          <w:highlight w:val="none"/>
        </w:rPr>
      </w:pPr>
      <w:r>
        <w:rPr>
          <w:rFonts w:hint="eastAsia" w:ascii="宋体" w:hAnsi="宋体"/>
          <w:sz w:val="24"/>
          <w:highlight w:val="none"/>
        </w:rPr>
        <w:t>履约保证金在货物交付验收合格</w:t>
      </w:r>
      <w:r>
        <w:rPr>
          <w:rFonts w:hint="eastAsia" w:ascii="宋体" w:hAnsi="宋体"/>
          <w:sz w:val="24"/>
          <w:highlight w:val="none"/>
          <w:u w:val="single"/>
        </w:rPr>
        <w:t>个</w:t>
      </w:r>
      <w:r>
        <w:rPr>
          <w:rFonts w:hint="eastAsia" w:ascii="宋体" w:hAnsi="宋体"/>
          <w:sz w:val="24"/>
          <w:highlight w:val="none"/>
        </w:rPr>
        <w:t>月无质量问题后，</w:t>
      </w:r>
      <w:r>
        <w:rPr>
          <w:rFonts w:ascii="宋体" w:hAnsi="宋体"/>
          <w:sz w:val="24"/>
          <w:highlight w:val="none"/>
        </w:rPr>
        <w:t xml:space="preserve"> 15</w:t>
      </w:r>
      <w:r>
        <w:rPr>
          <w:rFonts w:hint="eastAsia" w:ascii="宋体" w:hAnsi="宋体"/>
          <w:sz w:val="24"/>
          <w:highlight w:val="none"/>
        </w:rPr>
        <w:t>日内无息退还。</w:t>
      </w:r>
    </w:p>
    <w:p>
      <w:pPr>
        <w:snapToGrid w:val="0"/>
        <w:spacing w:line="480" w:lineRule="exact"/>
        <w:ind w:left="380" w:leftChars="181" w:firstLine="2"/>
        <w:outlineLvl w:val="0"/>
        <w:rPr>
          <w:rFonts w:ascii="宋体"/>
          <w:b/>
          <w:bCs/>
          <w:sz w:val="24"/>
          <w:highlight w:val="none"/>
        </w:rPr>
      </w:pPr>
      <w:bookmarkStart w:id="77" w:name="_Toc24320"/>
      <w:bookmarkStart w:id="78" w:name="_Toc29637"/>
      <w:bookmarkStart w:id="79" w:name="_Toc609"/>
      <w:r>
        <w:rPr>
          <w:rFonts w:hint="eastAsia" w:ascii="宋体" w:hAnsi="宋体"/>
          <w:b/>
          <w:bCs/>
          <w:sz w:val="24"/>
          <w:highlight w:val="none"/>
        </w:rPr>
        <w:t>七、合同生效</w:t>
      </w:r>
      <w:bookmarkEnd w:id="77"/>
      <w:bookmarkEnd w:id="78"/>
      <w:bookmarkEnd w:id="79"/>
    </w:p>
    <w:p>
      <w:pPr>
        <w:tabs>
          <w:tab w:val="left" w:pos="1146"/>
        </w:tabs>
        <w:snapToGrid w:val="0"/>
        <w:spacing w:line="480" w:lineRule="exact"/>
        <w:ind w:left="540" w:leftChars="257" w:firstLine="360" w:firstLineChars="150"/>
        <w:rPr>
          <w:rFonts w:ascii="宋体"/>
          <w:sz w:val="24"/>
          <w:highlight w:val="none"/>
        </w:rPr>
      </w:pPr>
      <w:r>
        <w:rPr>
          <w:rFonts w:hint="eastAsia" w:ascii="宋体" w:hAnsi="宋体"/>
          <w:sz w:val="24"/>
          <w:highlight w:val="none"/>
        </w:rPr>
        <w:t>本合同甲乙双方签章后生效。</w:t>
      </w:r>
    </w:p>
    <w:p>
      <w:pPr>
        <w:snapToGrid w:val="0"/>
        <w:spacing w:line="480" w:lineRule="exact"/>
        <w:ind w:left="380" w:leftChars="181" w:firstLine="2"/>
        <w:outlineLvl w:val="0"/>
        <w:rPr>
          <w:rFonts w:ascii="宋体"/>
          <w:b/>
          <w:bCs/>
          <w:sz w:val="24"/>
          <w:highlight w:val="none"/>
        </w:rPr>
      </w:pPr>
      <w:bookmarkStart w:id="80" w:name="_Toc20385"/>
      <w:bookmarkStart w:id="81" w:name="_Toc10585"/>
      <w:bookmarkStart w:id="82" w:name="_Toc28312"/>
      <w:r>
        <w:rPr>
          <w:rFonts w:hint="eastAsia" w:ascii="宋体" w:hAnsi="宋体"/>
          <w:b/>
          <w:bCs/>
          <w:sz w:val="24"/>
          <w:highlight w:val="none"/>
        </w:rPr>
        <w:t>八、合同保存</w:t>
      </w:r>
      <w:bookmarkEnd w:id="80"/>
      <w:bookmarkEnd w:id="81"/>
      <w:bookmarkEnd w:id="82"/>
    </w:p>
    <w:p>
      <w:pPr>
        <w:snapToGrid w:val="0"/>
        <w:spacing w:line="480" w:lineRule="exact"/>
        <w:ind w:left="479" w:leftChars="228" w:firstLine="480" w:firstLineChars="200"/>
        <w:rPr>
          <w:rFonts w:ascii="宋体"/>
          <w:sz w:val="24"/>
          <w:highlight w:val="none"/>
        </w:rPr>
      </w:pPr>
      <w:r>
        <w:rPr>
          <w:rFonts w:hint="eastAsia" w:ascii="宋体" w:hAnsi="宋体"/>
          <w:sz w:val="24"/>
          <w:highlight w:val="none"/>
        </w:rPr>
        <w:t>本合同一式</w:t>
      </w:r>
      <w:r>
        <w:rPr>
          <w:rFonts w:ascii="宋体" w:hAnsi="宋体"/>
          <w:sz w:val="24"/>
          <w:highlight w:val="none"/>
          <w:u w:val="single"/>
        </w:rPr>
        <w:t xml:space="preserve">  </w:t>
      </w:r>
      <w:r>
        <w:rPr>
          <w:rFonts w:hint="eastAsia" w:ascii="宋体" w:hAnsi="宋体"/>
          <w:sz w:val="24"/>
          <w:highlight w:val="none"/>
        </w:rPr>
        <w:t>份，甲方</w:t>
      </w:r>
      <w:r>
        <w:rPr>
          <w:rFonts w:ascii="宋体" w:hAnsi="宋体"/>
          <w:sz w:val="24"/>
          <w:highlight w:val="none"/>
          <w:u w:val="single"/>
        </w:rPr>
        <w:t xml:space="preserve">  </w:t>
      </w:r>
      <w:r>
        <w:rPr>
          <w:rFonts w:hint="eastAsia" w:ascii="宋体" w:hAnsi="宋体"/>
          <w:sz w:val="24"/>
          <w:highlight w:val="none"/>
        </w:rPr>
        <w:t>份，乙方</w:t>
      </w:r>
      <w:r>
        <w:rPr>
          <w:rFonts w:ascii="宋体" w:hAnsi="宋体"/>
          <w:sz w:val="24"/>
          <w:highlight w:val="none"/>
          <w:u w:val="single"/>
        </w:rPr>
        <w:t xml:space="preserve">   </w:t>
      </w:r>
      <w:r>
        <w:rPr>
          <w:rFonts w:hint="eastAsia" w:ascii="宋体" w:hAnsi="宋体"/>
          <w:sz w:val="24"/>
          <w:highlight w:val="none"/>
        </w:rPr>
        <w:t>份。</w:t>
      </w:r>
    </w:p>
    <w:p>
      <w:pPr>
        <w:snapToGrid w:val="0"/>
        <w:spacing w:line="480" w:lineRule="exact"/>
        <w:ind w:left="380" w:leftChars="181" w:firstLine="2"/>
        <w:outlineLvl w:val="0"/>
        <w:rPr>
          <w:rFonts w:ascii="宋体"/>
          <w:b/>
          <w:bCs/>
          <w:sz w:val="24"/>
          <w:highlight w:val="none"/>
        </w:rPr>
      </w:pPr>
      <w:bookmarkStart w:id="83" w:name="_Toc14149"/>
      <w:bookmarkStart w:id="84" w:name="_Toc17788"/>
      <w:bookmarkStart w:id="85" w:name="_Toc23003"/>
      <w:r>
        <w:rPr>
          <w:rFonts w:hint="eastAsia" w:ascii="宋体" w:hAnsi="宋体"/>
          <w:b/>
          <w:bCs/>
          <w:sz w:val="24"/>
          <w:highlight w:val="none"/>
        </w:rPr>
        <w:t>九、违约条款</w:t>
      </w:r>
      <w:bookmarkEnd w:id="83"/>
      <w:bookmarkEnd w:id="84"/>
      <w:bookmarkEnd w:id="85"/>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）合同一方违约，违约方向对方支付违约金，违约金额为成交金额的</w:t>
      </w:r>
      <w:r>
        <w:rPr>
          <w:rFonts w:ascii="宋体" w:hAnsi="宋体"/>
          <w:sz w:val="24"/>
          <w:highlight w:val="none"/>
        </w:rPr>
        <w:t>10%</w:t>
      </w:r>
      <w:r>
        <w:rPr>
          <w:rFonts w:hint="eastAsia" w:ascii="宋体" w:hAnsi="宋体"/>
          <w:sz w:val="24"/>
          <w:highlight w:val="none"/>
        </w:rPr>
        <w:t>。中标人违约，直接从履约保证金中扣除。</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）中标人给用户造成的实际损失高于违约金的，成交供应商应给用户对高出违约金的部分予以赔偿。</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）其它未尽事宜，以《中华人民共和国合同法》规定为准。</w:t>
      </w:r>
    </w:p>
    <w:p>
      <w:pPr>
        <w:tabs>
          <w:tab w:val="left" w:pos="955"/>
          <w:tab w:val="left" w:pos="1146"/>
        </w:tabs>
        <w:snapToGrid w:val="0"/>
        <w:spacing w:line="480" w:lineRule="exact"/>
        <w:ind w:firstLine="482" w:firstLineChars="200"/>
        <w:outlineLvl w:val="0"/>
        <w:rPr>
          <w:rFonts w:ascii="宋体"/>
          <w:sz w:val="24"/>
          <w:highlight w:val="none"/>
        </w:rPr>
      </w:pPr>
      <w:bookmarkStart w:id="86" w:name="_Toc25277"/>
      <w:bookmarkStart w:id="87" w:name="_Toc2531"/>
      <w:bookmarkStart w:id="88" w:name="_Toc4944"/>
      <w:r>
        <w:rPr>
          <w:rFonts w:hint="eastAsia" w:ascii="宋体" w:hAnsi="宋体"/>
          <w:b/>
          <w:bCs/>
          <w:sz w:val="24"/>
          <w:highlight w:val="none"/>
        </w:rPr>
        <w:t>十、</w:t>
      </w:r>
      <w:r>
        <w:rPr>
          <w:rFonts w:hint="eastAsia" w:ascii="宋体" w:hAnsi="宋体"/>
          <w:sz w:val="24"/>
          <w:highlight w:val="none"/>
        </w:rPr>
        <w:t>合同发生纠纷时，向济南仲裁委员会提起仲裁。</w:t>
      </w:r>
      <w:bookmarkEnd w:id="86"/>
      <w:bookmarkEnd w:id="87"/>
      <w:bookmarkEnd w:id="88"/>
    </w:p>
    <w:p>
      <w:pPr>
        <w:snapToGrid w:val="0"/>
        <w:spacing w:line="480" w:lineRule="exact"/>
        <w:ind w:firstLine="480" w:firstLineChars="200"/>
        <w:rPr>
          <w:rFonts w:ascii="宋体"/>
          <w:sz w:val="24"/>
          <w:highlight w:val="none"/>
        </w:rPr>
      </w:pPr>
      <w:r>
        <w:rPr>
          <w:rFonts w:hint="eastAsia" w:ascii="宋体" w:hAnsi="宋体"/>
          <w:sz w:val="24"/>
          <w:highlight w:val="none"/>
        </w:rPr>
        <w:t>甲方（公章）：</w:t>
      </w:r>
      <w:r>
        <w:rPr>
          <w:rFonts w:ascii="宋体" w:hAnsi="宋体"/>
          <w:sz w:val="24"/>
          <w:highlight w:val="none"/>
        </w:rPr>
        <w:t xml:space="preserve">                         </w:t>
      </w:r>
      <w:r>
        <w:rPr>
          <w:rFonts w:hint="eastAsia" w:ascii="宋体" w:hAnsi="宋体"/>
          <w:sz w:val="24"/>
          <w:highlight w:val="none"/>
        </w:rPr>
        <w:t>乙方（公章）：</w:t>
      </w:r>
    </w:p>
    <w:p>
      <w:pPr>
        <w:snapToGrid w:val="0"/>
        <w:spacing w:line="480" w:lineRule="exact"/>
        <w:ind w:firstLine="480" w:firstLineChars="200"/>
        <w:rPr>
          <w:rFonts w:ascii="宋体"/>
          <w:sz w:val="24"/>
          <w:highlight w:val="none"/>
        </w:rPr>
      </w:pPr>
      <w:r>
        <w:rPr>
          <w:rFonts w:hint="eastAsia" w:ascii="宋体" w:hAnsi="宋体"/>
          <w:sz w:val="24"/>
          <w:highlight w:val="none"/>
        </w:rPr>
        <w:t>法定代表人或授权代理人：（签字）</w:t>
      </w:r>
      <w:r>
        <w:rPr>
          <w:rFonts w:ascii="宋体" w:hAnsi="宋体"/>
          <w:sz w:val="24"/>
          <w:highlight w:val="none"/>
        </w:rPr>
        <w:t xml:space="preserve">       </w:t>
      </w:r>
      <w:r>
        <w:rPr>
          <w:rFonts w:hint="eastAsia" w:ascii="宋体" w:hAnsi="宋体"/>
          <w:sz w:val="24"/>
          <w:highlight w:val="none"/>
        </w:rPr>
        <w:t>法定代表人或授权代理人：（签字）</w:t>
      </w:r>
    </w:p>
    <w:p>
      <w:pPr>
        <w:snapToGrid w:val="0"/>
        <w:spacing w:line="480" w:lineRule="exact"/>
        <w:ind w:firstLine="480" w:firstLineChars="200"/>
        <w:rPr>
          <w:rFonts w:ascii="宋体"/>
          <w:sz w:val="24"/>
          <w:highlight w:val="none"/>
        </w:rPr>
      </w:pPr>
      <w:r>
        <w:rPr>
          <w:rFonts w:hint="eastAsia" w:ascii="宋体" w:hAnsi="宋体"/>
          <w:sz w:val="24"/>
          <w:highlight w:val="none"/>
        </w:rPr>
        <w:t>开户单位：</w:t>
      </w:r>
      <w:r>
        <w:rPr>
          <w:rFonts w:ascii="宋体" w:hAnsi="宋体"/>
          <w:sz w:val="24"/>
          <w:highlight w:val="none"/>
        </w:rPr>
        <w:t xml:space="preserve">                            </w:t>
      </w:r>
      <w:r>
        <w:rPr>
          <w:rFonts w:hint="eastAsia" w:ascii="宋体" w:hAnsi="宋体"/>
          <w:sz w:val="24"/>
          <w:highlight w:val="none"/>
        </w:rPr>
        <w:t>开户单位：</w:t>
      </w:r>
    </w:p>
    <w:p>
      <w:pPr>
        <w:snapToGrid w:val="0"/>
        <w:spacing w:line="480" w:lineRule="exact"/>
        <w:ind w:firstLine="480" w:firstLineChars="200"/>
        <w:rPr>
          <w:rFonts w:ascii="宋体"/>
          <w:sz w:val="24"/>
          <w:highlight w:val="none"/>
        </w:rPr>
      </w:pPr>
      <w:r>
        <w:rPr>
          <w:rFonts w:hint="eastAsia" w:ascii="宋体" w:hAnsi="宋体"/>
          <w:sz w:val="24"/>
          <w:highlight w:val="none"/>
        </w:rPr>
        <w:t>开户银行：</w:t>
      </w:r>
      <w:r>
        <w:rPr>
          <w:rFonts w:ascii="宋体" w:hAnsi="宋体"/>
          <w:sz w:val="24"/>
          <w:highlight w:val="none"/>
        </w:rPr>
        <w:t xml:space="preserve">                            </w:t>
      </w:r>
      <w:r>
        <w:rPr>
          <w:rFonts w:hint="eastAsia" w:ascii="宋体" w:hAnsi="宋体"/>
          <w:sz w:val="24"/>
          <w:highlight w:val="none"/>
        </w:rPr>
        <w:t>开户银行：</w:t>
      </w:r>
    </w:p>
    <w:p>
      <w:pPr>
        <w:snapToGrid w:val="0"/>
        <w:spacing w:line="480" w:lineRule="exact"/>
        <w:ind w:firstLine="480" w:firstLineChars="200"/>
        <w:rPr>
          <w:rFonts w:ascii="宋体"/>
          <w:sz w:val="24"/>
          <w:highlight w:val="none"/>
        </w:rPr>
      </w:pPr>
      <w:r>
        <w:rPr>
          <w:rFonts w:hint="eastAsia" w:ascii="宋体" w:hAnsi="宋体"/>
          <w:sz w:val="24"/>
          <w:highlight w:val="none"/>
        </w:rPr>
        <w:t>帐号：</w:t>
      </w:r>
      <w:r>
        <w:rPr>
          <w:rFonts w:ascii="宋体" w:hAnsi="宋体"/>
          <w:sz w:val="24"/>
          <w:highlight w:val="none"/>
        </w:rPr>
        <w:t xml:space="preserve">                                </w:t>
      </w:r>
      <w:r>
        <w:rPr>
          <w:rFonts w:hint="eastAsia" w:ascii="宋体" w:hAnsi="宋体"/>
          <w:sz w:val="24"/>
          <w:highlight w:val="none"/>
        </w:rPr>
        <w:t>帐号：</w:t>
      </w:r>
    </w:p>
    <w:p>
      <w:pPr>
        <w:snapToGrid w:val="0"/>
        <w:spacing w:line="480" w:lineRule="exact"/>
        <w:ind w:firstLine="480" w:firstLineChars="200"/>
        <w:rPr>
          <w:rFonts w:ascii="宋体"/>
          <w:sz w:val="24"/>
          <w:highlight w:val="none"/>
        </w:rPr>
      </w:pPr>
      <w:r>
        <w:rPr>
          <w:rFonts w:hint="eastAsia" w:ascii="宋体" w:hAnsi="宋体"/>
          <w:sz w:val="24"/>
          <w:highlight w:val="none"/>
        </w:rPr>
        <w:t>地址：</w:t>
      </w:r>
      <w:r>
        <w:rPr>
          <w:rFonts w:ascii="宋体" w:hAnsi="宋体"/>
          <w:sz w:val="24"/>
          <w:highlight w:val="none"/>
        </w:rPr>
        <w:t xml:space="preserve">                                </w:t>
      </w:r>
      <w:r>
        <w:rPr>
          <w:rFonts w:hint="eastAsia" w:ascii="宋体" w:hAnsi="宋体"/>
          <w:sz w:val="24"/>
          <w:highlight w:val="none"/>
        </w:rPr>
        <w:t>地址：</w:t>
      </w:r>
    </w:p>
    <w:p>
      <w:pPr>
        <w:snapToGrid w:val="0"/>
        <w:spacing w:line="480" w:lineRule="exact"/>
        <w:ind w:firstLine="480" w:firstLineChars="200"/>
        <w:rPr>
          <w:rFonts w:asci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邮政编码：</w:t>
      </w:r>
    </w:p>
    <w:p>
      <w:pPr>
        <w:snapToGrid w:val="0"/>
        <w:spacing w:line="480" w:lineRule="exact"/>
        <w:ind w:firstLine="480" w:firstLineChars="200"/>
        <w:rPr>
          <w:rFonts w:ascii="宋体"/>
          <w:sz w:val="24"/>
          <w:highlight w:val="none"/>
        </w:rPr>
      </w:pPr>
      <w:r>
        <w:rPr>
          <w:rFonts w:hint="eastAsia" w:ascii="宋体" w:hAnsi="宋体"/>
          <w:sz w:val="24"/>
          <w:highlight w:val="none"/>
        </w:rPr>
        <w:t>电话：</w:t>
      </w:r>
      <w:r>
        <w:rPr>
          <w:rFonts w:ascii="宋体" w:hAnsi="宋体"/>
          <w:sz w:val="24"/>
          <w:highlight w:val="none"/>
        </w:rPr>
        <w:t xml:space="preserve">                                </w:t>
      </w:r>
      <w:r>
        <w:rPr>
          <w:rFonts w:hint="eastAsia" w:ascii="宋体" w:hAnsi="宋体"/>
          <w:sz w:val="24"/>
          <w:highlight w:val="none"/>
        </w:rPr>
        <w:t>电话：</w:t>
      </w:r>
    </w:p>
    <w:p>
      <w:pPr>
        <w:pStyle w:val="31"/>
        <w:spacing w:before="0" w:after="40"/>
        <w:ind w:firstLine="480" w:firstLineChars="200"/>
        <w:jc w:val="both"/>
        <w:outlineLvl w:val="1"/>
        <w:rPr>
          <w:rFonts w:ascii="宋体" w:hAnsi="宋体" w:eastAsia="宋体" w:cs="宋体"/>
          <w:sz w:val="36"/>
          <w:szCs w:val="36"/>
          <w:highlight w:val="none"/>
        </w:rPr>
      </w:pPr>
      <w:r>
        <w:rPr>
          <w:rFonts w:hint="eastAsia" w:ascii="宋体" w:hAnsi="宋体"/>
          <w:sz w:val="24"/>
          <w:szCs w:val="24"/>
          <w:highlight w:val="none"/>
        </w:rPr>
        <w:t>签订时间：</w:t>
      </w:r>
      <w:r>
        <w:rPr>
          <w:rFonts w:ascii="宋体" w:hAnsi="宋体"/>
          <w:sz w:val="24"/>
          <w:szCs w:val="24"/>
          <w:highlight w:val="none"/>
        </w:rPr>
        <w:t xml:space="preserve">                            </w:t>
      </w:r>
      <w:r>
        <w:rPr>
          <w:rFonts w:hint="eastAsia" w:ascii="宋体" w:hAnsi="宋体"/>
          <w:sz w:val="24"/>
          <w:szCs w:val="24"/>
          <w:highlight w:val="none"/>
        </w:rPr>
        <w:t>签订时间：</w:t>
      </w:r>
      <w:r>
        <w:rPr>
          <w:rFonts w:ascii="宋体" w:hAnsi="宋体" w:eastAsia="宋体" w:cs="宋体"/>
          <w:sz w:val="24"/>
          <w:szCs w:val="24"/>
          <w:highlight w:val="none"/>
        </w:rPr>
        <w:br w:type="page"/>
      </w:r>
      <w:r>
        <w:rPr>
          <w:rFonts w:ascii="宋体" w:hAnsi="宋体" w:eastAsia="宋体" w:cs="宋体"/>
          <w:sz w:val="36"/>
          <w:szCs w:val="36"/>
          <w:highlight w:val="none"/>
        </w:rPr>
        <w:t xml:space="preserve"> </w:t>
      </w:r>
      <w:bookmarkEnd w:id="61"/>
      <w:bookmarkStart w:id="89" w:name="_Toc338187343"/>
      <w:bookmarkStart w:id="90" w:name="_Toc20304"/>
      <w:bookmarkStart w:id="91" w:name="_Toc2279"/>
      <w:bookmarkStart w:id="92" w:name="_Toc425434453"/>
    </w:p>
    <w:p>
      <w:pPr>
        <w:pStyle w:val="31"/>
        <w:spacing w:before="0" w:after="40"/>
        <w:outlineLvl w:val="1"/>
        <w:rPr>
          <w:rFonts w:ascii="宋体" w:hAnsi="宋体" w:eastAsia="宋体" w:cs="宋体"/>
          <w:sz w:val="36"/>
          <w:szCs w:val="36"/>
          <w:highlight w:val="none"/>
          <w:lang w:eastAsia="zh-CN"/>
        </w:rPr>
      </w:pPr>
      <w:r>
        <w:rPr>
          <w:rFonts w:hint="eastAsia" w:ascii="宋体" w:hAnsi="宋体" w:eastAsia="宋体" w:cs="宋体"/>
          <w:sz w:val="36"/>
          <w:szCs w:val="36"/>
          <w:highlight w:val="none"/>
        </w:rPr>
        <w:t>第五部分</w:t>
      </w:r>
      <w:r>
        <w:rPr>
          <w:rFonts w:ascii="宋体" w:hAnsi="宋体" w:eastAsia="宋体" w:cs="宋体"/>
          <w:sz w:val="36"/>
          <w:szCs w:val="36"/>
          <w:highlight w:val="none"/>
        </w:rPr>
        <w:tab/>
      </w:r>
      <w:r>
        <w:rPr>
          <w:rFonts w:ascii="宋体" w:hAnsi="宋体" w:eastAsia="宋体" w:cs="宋体"/>
          <w:sz w:val="36"/>
          <w:szCs w:val="36"/>
          <w:highlight w:val="none"/>
        </w:rPr>
        <w:tab/>
      </w:r>
      <w:r>
        <w:rPr>
          <w:rFonts w:ascii="宋体" w:hAnsi="宋体" w:eastAsia="宋体" w:cs="宋体"/>
          <w:sz w:val="36"/>
          <w:szCs w:val="36"/>
          <w:highlight w:val="none"/>
        </w:rPr>
        <w:t xml:space="preserve"> </w:t>
      </w:r>
      <w:bookmarkEnd w:id="89"/>
      <w:r>
        <w:rPr>
          <w:rFonts w:hint="eastAsia" w:ascii="宋体" w:hAnsi="宋体" w:eastAsia="宋体" w:cs="宋体"/>
          <w:sz w:val="36"/>
          <w:szCs w:val="36"/>
          <w:highlight w:val="none"/>
          <w:lang w:eastAsia="zh-CN"/>
        </w:rPr>
        <w:t>响应文件格式</w:t>
      </w:r>
      <w:bookmarkEnd w:id="90"/>
      <w:bookmarkEnd w:id="91"/>
      <w:bookmarkEnd w:id="92"/>
    </w:p>
    <w:p>
      <w:pPr>
        <w:pStyle w:val="2"/>
        <w:spacing w:after="0" w:line="480" w:lineRule="exact"/>
        <w:outlineLvl w:val="0"/>
        <w:rPr>
          <w:rFonts w:ascii="宋体"/>
          <w:highlight w:val="none"/>
        </w:rPr>
      </w:pPr>
      <w:bookmarkStart w:id="93" w:name="_Ref308467589"/>
      <w:bookmarkStart w:id="94" w:name="_Ref308451896"/>
      <w:bookmarkStart w:id="95" w:name="_Ref308467065"/>
      <w:bookmarkStart w:id="96" w:name="_Toc338183632"/>
      <w:r>
        <w:rPr>
          <w:rFonts w:hint="eastAsia" w:ascii="宋体" w:hAnsi="宋体"/>
          <w:highlight w:val="none"/>
        </w:rPr>
        <w:t>附件一：</w:t>
      </w:r>
    </w:p>
    <w:p>
      <w:pPr>
        <w:pStyle w:val="4"/>
        <w:jc w:val="center"/>
        <w:rPr>
          <w:rFonts w:ascii="宋体" w:hAnsi="宋体" w:eastAsia="宋体" w:cs="宋体"/>
          <w:sz w:val="28"/>
          <w:szCs w:val="28"/>
          <w:highlight w:val="none"/>
        </w:rPr>
      </w:pPr>
      <w:bookmarkStart w:id="97" w:name="_Toc32419"/>
      <w:bookmarkStart w:id="98" w:name="_Toc30903"/>
      <w:r>
        <w:rPr>
          <w:rFonts w:hint="eastAsia" w:ascii="宋体" w:hAnsi="宋体" w:eastAsia="宋体" w:cs="宋体"/>
          <w:sz w:val="28"/>
          <w:szCs w:val="28"/>
          <w:highlight w:val="none"/>
        </w:rPr>
        <w:t>报</w:t>
      </w:r>
      <w:r>
        <w:rPr>
          <w:rFonts w:ascii="宋体" w:hAnsi="宋体" w:eastAsia="宋体" w:cs="宋体"/>
          <w:sz w:val="28"/>
          <w:szCs w:val="28"/>
          <w:highlight w:val="none"/>
        </w:rPr>
        <w:t xml:space="preserve">  </w:t>
      </w:r>
      <w:r>
        <w:rPr>
          <w:rFonts w:hint="eastAsia" w:ascii="宋体" w:hAnsi="宋体" w:eastAsia="宋体" w:cs="宋体"/>
          <w:sz w:val="28"/>
          <w:szCs w:val="28"/>
          <w:highlight w:val="none"/>
        </w:rPr>
        <w:t>价</w:t>
      </w:r>
      <w:r>
        <w:rPr>
          <w:rFonts w:ascii="宋体" w:hAnsi="宋体" w:eastAsia="宋体" w:cs="宋体"/>
          <w:sz w:val="28"/>
          <w:szCs w:val="28"/>
          <w:highlight w:val="none"/>
        </w:rPr>
        <w:t xml:space="preserve">  </w:t>
      </w:r>
      <w:r>
        <w:rPr>
          <w:rFonts w:hint="eastAsia" w:ascii="宋体" w:hAnsi="宋体" w:eastAsia="宋体" w:cs="宋体"/>
          <w:sz w:val="28"/>
          <w:szCs w:val="28"/>
          <w:highlight w:val="none"/>
        </w:rPr>
        <w:t>函</w:t>
      </w:r>
      <w:bookmarkEnd w:id="93"/>
      <w:bookmarkEnd w:id="94"/>
      <w:bookmarkEnd w:id="95"/>
      <w:bookmarkEnd w:id="96"/>
      <w:bookmarkEnd w:id="97"/>
      <w:bookmarkEnd w:id="98"/>
    </w:p>
    <w:p>
      <w:pPr>
        <w:pStyle w:val="17"/>
        <w:tabs>
          <w:tab w:val="left" w:pos="5580"/>
        </w:tabs>
        <w:spacing w:line="360" w:lineRule="auto"/>
        <w:rPr>
          <w:rFonts w:hAnsi="宋体" w:cs="宋体"/>
          <w:color w:val="0000FF"/>
          <w:sz w:val="24"/>
          <w:szCs w:val="24"/>
          <w:highlight w:val="none"/>
          <w:u w:val="single"/>
        </w:rPr>
      </w:pPr>
      <w:r>
        <w:rPr>
          <w:rFonts w:hint="eastAsia" w:hAnsi="宋体" w:cs="宋体"/>
          <w:sz w:val="24"/>
          <w:szCs w:val="24"/>
          <w:highlight w:val="none"/>
        </w:rPr>
        <w:t>山东省鲁成招标有限公司：</w:t>
      </w:r>
    </w:p>
    <w:p>
      <w:pPr>
        <w:pStyle w:val="17"/>
        <w:tabs>
          <w:tab w:val="left" w:pos="5580"/>
        </w:tabs>
        <w:spacing w:line="360" w:lineRule="auto"/>
        <w:ind w:firstLine="480" w:firstLineChars="200"/>
        <w:rPr>
          <w:rFonts w:hAnsi="宋体" w:cs="宋体"/>
          <w:sz w:val="24"/>
          <w:szCs w:val="24"/>
          <w:highlight w:val="none"/>
        </w:rPr>
      </w:pPr>
      <w:r>
        <w:rPr>
          <w:rFonts w:hint="eastAsia" w:hAnsi="宋体" w:cs="宋体"/>
          <w:sz w:val="24"/>
          <w:szCs w:val="24"/>
          <w:highlight w:val="none"/>
        </w:rPr>
        <w:t>经研究，我们决定参加项目编号为</w:t>
      </w:r>
      <w:r>
        <w:rPr>
          <w:rFonts w:hAnsi="宋体" w:cs="宋体"/>
          <w:sz w:val="24"/>
          <w:szCs w:val="24"/>
          <w:highlight w:val="none"/>
          <w:u w:val="single"/>
        </w:rPr>
        <w:t xml:space="preserve">                  </w:t>
      </w:r>
      <w:r>
        <w:rPr>
          <w:rFonts w:hint="eastAsia" w:hAnsi="宋体" w:cs="宋体"/>
          <w:sz w:val="24"/>
          <w:szCs w:val="24"/>
          <w:highlight w:val="none"/>
        </w:rPr>
        <w:t>的</w:t>
      </w:r>
      <w:r>
        <w:rPr>
          <w:rFonts w:hAnsi="宋体" w:cs="宋体"/>
          <w:sz w:val="24"/>
          <w:szCs w:val="24"/>
          <w:highlight w:val="none"/>
          <w:u w:val="single"/>
        </w:rPr>
        <w:t xml:space="preserve">    </w:t>
      </w:r>
      <w:r>
        <w:rPr>
          <w:rFonts w:hAnsi="宋体" w:cs="宋体"/>
          <w:color w:val="0000FF"/>
          <w:sz w:val="24"/>
          <w:szCs w:val="24"/>
          <w:highlight w:val="none"/>
          <w:u w:val="single"/>
        </w:rPr>
        <w:t xml:space="preserve">      </w:t>
      </w:r>
      <w:r>
        <w:rPr>
          <w:rFonts w:hAnsi="宋体" w:cs="宋体"/>
          <w:sz w:val="24"/>
          <w:szCs w:val="24"/>
          <w:highlight w:val="none"/>
          <w:u w:val="single"/>
        </w:rPr>
        <w:t xml:space="preserve">     </w:t>
      </w:r>
      <w:r>
        <w:rPr>
          <w:rFonts w:hint="eastAsia" w:hAnsi="宋体" w:cs="宋体"/>
          <w:sz w:val="24"/>
          <w:szCs w:val="24"/>
          <w:highlight w:val="none"/>
        </w:rPr>
        <w:t>的报价活动并提交响应文件。为此，我方郑重声明以下诸点，并负法律责任。</w:t>
      </w:r>
    </w:p>
    <w:p>
      <w:pPr>
        <w:pStyle w:val="17"/>
        <w:tabs>
          <w:tab w:val="left" w:pos="5580"/>
        </w:tabs>
        <w:spacing w:line="360" w:lineRule="auto"/>
        <w:ind w:firstLine="480" w:firstLineChars="200"/>
        <w:rPr>
          <w:rFonts w:hAnsi="宋体" w:cs="宋体"/>
          <w:sz w:val="24"/>
          <w:szCs w:val="24"/>
          <w:highlight w:val="none"/>
        </w:rPr>
      </w:pPr>
      <w:r>
        <w:rPr>
          <w:rFonts w:hAnsi="宋体" w:cs="宋体"/>
          <w:sz w:val="24"/>
          <w:szCs w:val="24"/>
          <w:highlight w:val="none"/>
        </w:rPr>
        <w:t>1</w:t>
      </w:r>
      <w:r>
        <w:rPr>
          <w:rFonts w:hint="eastAsia" w:hAnsi="宋体" w:cs="宋体"/>
          <w:sz w:val="24"/>
          <w:szCs w:val="24"/>
          <w:highlight w:val="none"/>
        </w:rPr>
        <w:t>、我方提交的响应文件，正本一份，副本</w:t>
      </w:r>
      <w:r>
        <w:rPr>
          <w:rFonts w:hAnsi="宋体" w:cs="宋体"/>
          <w:sz w:val="24"/>
          <w:szCs w:val="24"/>
          <w:highlight w:val="none"/>
          <w:u w:val="single"/>
        </w:rPr>
        <w:t xml:space="preserve">  </w:t>
      </w:r>
      <w:r>
        <w:rPr>
          <w:rFonts w:hint="eastAsia" w:hAnsi="宋体" w:cs="宋体"/>
          <w:sz w:val="24"/>
          <w:szCs w:val="24"/>
          <w:highlight w:val="none"/>
        </w:rPr>
        <w:t>份。</w:t>
      </w:r>
    </w:p>
    <w:p>
      <w:pPr>
        <w:pStyle w:val="17"/>
        <w:tabs>
          <w:tab w:val="left" w:pos="5580"/>
        </w:tabs>
        <w:spacing w:line="360" w:lineRule="auto"/>
        <w:ind w:firstLine="480" w:firstLineChars="200"/>
        <w:rPr>
          <w:rFonts w:hAnsi="宋体" w:cs="宋体"/>
          <w:sz w:val="24"/>
          <w:szCs w:val="24"/>
          <w:highlight w:val="none"/>
        </w:rPr>
      </w:pPr>
      <w:r>
        <w:rPr>
          <w:rFonts w:hAnsi="宋体" w:cs="宋体"/>
          <w:sz w:val="24"/>
          <w:szCs w:val="24"/>
          <w:highlight w:val="none"/>
        </w:rPr>
        <w:t>2</w:t>
      </w:r>
      <w:r>
        <w:rPr>
          <w:rFonts w:hint="eastAsia" w:hAnsi="宋体" w:cs="宋体"/>
          <w:sz w:val="24"/>
          <w:szCs w:val="24"/>
          <w:highlight w:val="none"/>
        </w:rPr>
        <w:t>、如果我们的响应文件被接受，我们将履行竞争性磋商文件中规定的每一项要求，并按我们响应文件中的承诺按期、按质、按量提供服务。</w:t>
      </w:r>
    </w:p>
    <w:p>
      <w:pPr>
        <w:pStyle w:val="17"/>
        <w:tabs>
          <w:tab w:val="left" w:pos="5580"/>
        </w:tabs>
        <w:spacing w:line="360" w:lineRule="auto"/>
        <w:ind w:firstLine="480" w:firstLineChars="200"/>
        <w:rPr>
          <w:rFonts w:hAnsi="宋体" w:cs="宋体"/>
          <w:sz w:val="24"/>
          <w:szCs w:val="24"/>
          <w:highlight w:val="none"/>
        </w:rPr>
      </w:pPr>
      <w:r>
        <w:rPr>
          <w:rFonts w:hAnsi="宋体" w:cs="宋体"/>
          <w:sz w:val="24"/>
          <w:szCs w:val="24"/>
          <w:highlight w:val="none"/>
        </w:rPr>
        <w:t>3</w:t>
      </w:r>
      <w:r>
        <w:rPr>
          <w:rFonts w:hint="eastAsia" w:hAnsi="宋体" w:cs="宋体"/>
          <w:sz w:val="24"/>
          <w:szCs w:val="24"/>
          <w:highlight w:val="none"/>
        </w:rPr>
        <w:t>、我们理解，最低报价不是成交的唯一条件，你们有选择成交供应商的权力。</w:t>
      </w:r>
    </w:p>
    <w:p>
      <w:pPr>
        <w:pStyle w:val="17"/>
        <w:tabs>
          <w:tab w:val="left" w:pos="5580"/>
        </w:tabs>
        <w:spacing w:line="360" w:lineRule="auto"/>
        <w:ind w:firstLine="480" w:firstLineChars="200"/>
        <w:rPr>
          <w:rFonts w:hAnsi="宋体" w:cs="宋体"/>
          <w:sz w:val="24"/>
          <w:szCs w:val="24"/>
          <w:highlight w:val="none"/>
        </w:rPr>
      </w:pPr>
      <w:r>
        <w:rPr>
          <w:rFonts w:hAnsi="宋体" w:cs="宋体"/>
          <w:sz w:val="24"/>
          <w:szCs w:val="24"/>
          <w:highlight w:val="none"/>
        </w:rPr>
        <w:t>4</w:t>
      </w:r>
      <w:r>
        <w:rPr>
          <w:rFonts w:hint="eastAsia" w:hAnsi="宋体" w:cs="宋体"/>
          <w:sz w:val="24"/>
          <w:szCs w:val="24"/>
          <w:highlight w:val="none"/>
        </w:rPr>
        <w:t>、我方愿按《中华人民共和国合同法》履行自己的全部责任。</w:t>
      </w:r>
    </w:p>
    <w:p>
      <w:pPr>
        <w:pStyle w:val="17"/>
        <w:tabs>
          <w:tab w:val="left" w:pos="5580"/>
        </w:tabs>
        <w:spacing w:line="360" w:lineRule="auto"/>
        <w:ind w:firstLine="480" w:firstLineChars="200"/>
        <w:rPr>
          <w:rFonts w:hAnsi="宋体" w:cs="宋体"/>
          <w:sz w:val="24"/>
          <w:szCs w:val="24"/>
          <w:highlight w:val="none"/>
        </w:rPr>
      </w:pPr>
      <w:r>
        <w:rPr>
          <w:rFonts w:hAnsi="宋体" w:cs="宋体"/>
          <w:sz w:val="24"/>
          <w:szCs w:val="24"/>
          <w:highlight w:val="none"/>
        </w:rPr>
        <w:t>5</w:t>
      </w:r>
      <w:r>
        <w:rPr>
          <w:rFonts w:hint="eastAsia" w:hAnsi="宋体" w:cs="宋体"/>
          <w:sz w:val="24"/>
          <w:szCs w:val="24"/>
          <w:highlight w:val="none"/>
        </w:rPr>
        <w:t>、我们同意按竞竞争性磋商文件规定交纳磋商保证金、成交服务费，遵守贵机构有关竞争性磋商文件的各项规定。</w:t>
      </w:r>
    </w:p>
    <w:p>
      <w:pPr>
        <w:pStyle w:val="17"/>
        <w:tabs>
          <w:tab w:val="left" w:pos="5580"/>
        </w:tabs>
        <w:spacing w:line="360" w:lineRule="auto"/>
        <w:ind w:firstLine="480" w:firstLineChars="200"/>
        <w:rPr>
          <w:rFonts w:hAnsi="宋体" w:cs="宋体"/>
          <w:sz w:val="24"/>
          <w:szCs w:val="24"/>
          <w:highlight w:val="none"/>
        </w:rPr>
      </w:pPr>
      <w:r>
        <w:rPr>
          <w:rFonts w:hint="eastAsia" w:hAnsi="宋体" w:cs="宋体"/>
          <w:sz w:val="24"/>
          <w:szCs w:val="24"/>
          <w:highlight w:val="none"/>
        </w:rPr>
        <w:t>我方若未成为成交供应商，贵机构有权不做任何解释。</w:t>
      </w:r>
    </w:p>
    <w:p>
      <w:pPr>
        <w:pStyle w:val="17"/>
        <w:tabs>
          <w:tab w:val="left" w:pos="5580"/>
        </w:tabs>
        <w:spacing w:line="360" w:lineRule="auto"/>
        <w:ind w:firstLine="480" w:firstLineChars="200"/>
        <w:rPr>
          <w:rFonts w:hAnsi="宋体" w:cs="宋体"/>
          <w:sz w:val="24"/>
          <w:szCs w:val="24"/>
          <w:highlight w:val="none"/>
        </w:rPr>
      </w:pPr>
      <w:r>
        <w:rPr>
          <w:rFonts w:hAnsi="宋体" w:cs="宋体"/>
          <w:sz w:val="24"/>
          <w:szCs w:val="24"/>
          <w:highlight w:val="none"/>
        </w:rPr>
        <w:t>7</w:t>
      </w:r>
      <w:r>
        <w:rPr>
          <w:rFonts w:hint="eastAsia" w:hAnsi="宋体" w:cs="宋体"/>
          <w:sz w:val="24"/>
          <w:szCs w:val="24"/>
          <w:highlight w:val="none"/>
        </w:rPr>
        <w:t>、我方的响应文件自公开报价之日起有效期为</w:t>
      </w:r>
      <w:r>
        <w:rPr>
          <w:rFonts w:hAnsi="宋体" w:cs="宋体"/>
          <w:sz w:val="24"/>
          <w:szCs w:val="24"/>
          <w:highlight w:val="none"/>
          <w:u w:val="single"/>
        </w:rPr>
        <w:t xml:space="preserve">    </w:t>
      </w:r>
      <w:r>
        <w:rPr>
          <w:rFonts w:hint="eastAsia" w:hAnsi="宋体" w:cs="宋体"/>
          <w:sz w:val="24"/>
          <w:szCs w:val="24"/>
          <w:highlight w:val="none"/>
        </w:rPr>
        <w:t>日。</w:t>
      </w:r>
    </w:p>
    <w:p>
      <w:pPr>
        <w:pStyle w:val="17"/>
        <w:tabs>
          <w:tab w:val="left" w:pos="5580"/>
        </w:tabs>
        <w:spacing w:line="360" w:lineRule="auto"/>
        <w:ind w:firstLine="480" w:firstLineChars="200"/>
        <w:rPr>
          <w:rFonts w:hAnsi="宋体" w:cs="宋体"/>
          <w:sz w:val="24"/>
          <w:szCs w:val="24"/>
          <w:highlight w:val="none"/>
        </w:rPr>
      </w:pPr>
      <w:r>
        <w:rPr>
          <w:rFonts w:hAnsi="宋体" w:cs="宋体"/>
          <w:sz w:val="24"/>
          <w:szCs w:val="24"/>
          <w:highlight w:val="none"/>
        </w:rPr>
        <w:t>8</w:t>
      </w:r>
      <w:r>
        <w:rPr>
          <w:rFonts w:hint="eastAsia" w:hAnsi="宋体" w:cs="宋体"/>
          <w:sz w:val="24"/>
          <w:szCs w:val="24"/>
          <w:highlight w:val="none"/>
        </w:rPr>
        <w:t>、与本报价有关的一切正式往来通讯请寄：</w:t>
      </w:r>
    </w:p>
    <w:p>
      <w:pPr>
        <w:pStyle w:val="17"/>
        <w:tabs>
          <w:tab w:val="left" w:pos="5580"/>
        </w:tabs>
        <w:spacing w:line="360" w:lineRule="auto"/>
        <w:ind w:firstLine="480" w:firstLineChars="200"/>
        <w:rPr>
          <w:rFonts w:hAnsi="宋体" w:cs="宋体"/>
          <w:sz w:val="24"/>
          <w:szCs w:val="24"/>
          <w:highlight w:val="none"/>
        </w:rPr>
      </w:pPr>
      <w:r>
        <w:rPr>
          <w:rFonts w:hint="eastAsia" w:hAnsi="宋体" w:cs="宋体"/>
          <w:sz w:val="24"/>
          <w:szCs w:val="24"/>
          <w:highlight w:val="none"/>
        </w:rPr>
        <w:t>地</w:t>
      </w:r>
      <w:r>
        <w:rPr>
          <w:rFonts w:hAnsi="宋体" w:cs="宋体"/>
          <w:sz w:val="24"/>
          <w:szCs w:val="24"/>
          <w:highlight w:val="none"/>
        </w:rPr>
        <w:t xml:space="preserve">    </w:t>
      </w:r>
      <w:r>
        <w:rPr>
          <w:rFonts w:hint="eastAsia" w:hAnsi="宋体" w:cs="宋体"/>
          <w:sz w:val="24"/>
          <w:szCs w:val="24"/>
          <w:highlight w:val="none"/>
        </w:rPr>
        <w:t>址：</w:t>
      </w:r>
      <w:r>
        <w:rPr>
          <w:rFonts w:hAnsi="宋体" w:cs="宋体"/>
          <w:sz w:val="24"/>
          <w:szCs w:val="24"/>
          <w:highlight w:val="none"/>
        </w:rPr>
        <w:t xml:space="preserve">                            </w:t>
      </w:r>
      <w:r>
        <w:rPr>
          <w:rFonts w:hint="eastAsia" w:hAnsi="宋体" w:cs="宋体"/>
          <w:sz w:val="24"/>
          <w:szCs w:val="24"/>
          <w:highlight w:val="none"/>
        </w:rPr>
        <w:t>邮政编码：</w:t>
      </w:r>
    </w:p>
    <w:p>
      <w:pPr>
        <w:pStyle w:val="17"/>
        <w:tabs>
          <w:tab w:val="left" w:pos="5580"/>
        </w:tabs>
        <w:spacing w:line="360" w:lineRule="auto"/>
        <w:ind w:firstLine="480" w:firstLineChars="200"/>
        <w:rPr>
          <w:rFonts w:hAnsi="宋体" w:cs="宋体"/>
          <w:sz w:val="24"/>
          <w:szCs w:val="24"/>
          <w:highlight w:val="none"/>
        </w:rPr>
      </w:pPr>
      <w:r>
        <w:rPr>
          <w:rFonts w:hint="eastAsia" w:hAnsi="宋体" w:cs="宋体"/>
          <w:sz w:val="24"/>
          <w:szCs w:val="24"/>
          <w:highlight w:val="none"/>
        </w:rPr>
        <w:t>电</w:t>
      </w:r>
      <w:r>
        <w:rPr>
          <w:rFonts w:hAnsi="宋体" w:cs="宋体"/>
          <w:sz w:val="24"/>
          <w:szCs w:val="24"/>
          <w:highlight w:val="none"/>
        </w:rPr>
        <w:t xml:space="preserve">    </w:t>
      </w:r>
      <w:r>
        <w:rPr>
          <w:rFonts w:hint="eastAsia" w:hAnsi="宋体" w:cs="宋体"/>
          <w:sz w:val="24"/>
          <w:szCs w:val="24"/>
          <w:highlight w:val="none"/>
        </w:rPr>
        <w:t>话：</w:t>
      </w:r>
      <w:r>
        <w:rPr>
          <w:rFonts w:hAnsi="宋体" w:cs="宋体"/>
          <w:sz w:val="24"/>
          <w:szCs w:val="24"/>
          <w:highlight w:val="none"/>
        </w:rPr>
        <w:t xml:space="preserve">                            </w:t>
      </w:r>
      <w:r>
        <w:rPr>
          <w:rFonts w:hint="eastAsia" w:hAnsi="宋体" w:cs="宋体"/>
          <w:sz w:val="24"/>
          <w:szCs w:val="24"/>
          <w:highlight w:val="none"/>
        </w:rPr>
        <w:t>传</w:t>
      </w:r>
      <w:r>
        <w:rPr>
          <w:rFonts w:hAnsi="宋体" w:cs="宋体"/>
          <w:sz w:val="24"/>
          <w:szCs w:val="24"/>
          <w:highlight w:val="none"/>
        </w:rPr>
        <w:t xml:space="preserve">    </w:t>
      </w:r>
      <w:r>
        <w:rPr>
          <w:rFonts w:hint="eastAsia" w:hAnsi="宋体" w:cs="宋体"/>
          <w:sz w:val="24"/>
          <w:szCs w:val="24"/>
          <w:highlight w:val="none"/>
        </w:rPr>
        <w:t>真：</w:t>
      </w:r>
    </w:p>
    <w:p>
      <w:pPr>
        <w:pStyle w:val="17"/>
        <w:tabs>
          <w:tab w:val="left" w:pos="5580"/>
        </w:tabs>
        <w:spacing w:line="360" w:lineRule="auto"/>
        <w:ind w:firstLine="480" w:firstLineChars="200"/>
        <w:rPr>
          <w:rFonts w:hAnsi="宋体" w:cs="宋体"/>
          <w:sz w:val="24"/>
          <w:szCs w:val="24"/>
          <w:highlight w:val="none"/>
        </w:rPr>
      </w:pPr>
      <w:r>
        <w:rPr>
          <w:rFonts w:hint="eastAsia" w:hAnsi="宋体" w:cs="宋体"/>
          <w:sz w:val="24"/>
          <w:szCs w:val="24"/>
          <w:highlight w:val="none"/>
        </w:rPr>
        <w:t>开户单位：</w:t>
      </w:r>
      <w:r>
        <w:rPr>
          <w:rFonts w:hAnsi="宋体" w:cs="宋体"/>
          <w:sz w:val="24"/>
          <w:szCs w:val="24"/>
          <w:highlight w:val="none"/>
        </w:rPr>
        <w:t xml:space="preserve">                            </w:t>
      </w:r>
      <w:r>
        <w:rPr>
          <w:rFonts w:hint="eastAsia" w:hAnsi="宋体" w:cs="宋体"/>
          <w:sz w:val="24"/>
          <w:szCs w:val="24"/>
          <w:highlight w:val="none"/>
        </w:rPr>
        <w:t>开户银行：</w:t>
      </w:r>
    </w:p>
    <w:p>
      <w:pPr>
        <w:pStyle w:val="17"/>
        <w:tabs>
          <w:tab w:val="left" w:pos="5580"/>
        </w:tabs>
        <w:spacing w:line="360" w:lineRule="auto"/>
        <w:ind w:firstLine="480" w:firstLineChars="200"/>
        <w:rPr>
          <w:rFonts w:hAnsi="宋体" w:cs="宋体"/>
          <w:sz w:val="24"/>
          <w:szCs w:val="24"/>
          <w:highlight w:val="none"/>
        </w:rPr>
      </w:pPr>
      <w:r>
        <w:rPr>
          <w:rFonts w:hint="eastAsia" w:hAnsi="宋体" w:cs="宋体"/>
          <w:sz w:val="24"/>
          <w:szCs w:val="24"/>
          <w:highlight w:val="none"/>
        </w:rPr>
        <w:t>帐</w:t>
      </w:r>
      <w:r>
        <w:rPr>
          <w:rFonts w:hAnsi="宋体" w:cs="宋体"/>
          <w:sz w:val="24"/>
          <w:szCs w:val="24"/>
          <w:highlight w:val="none"/>
        </w:rPr>
        <w:t xml:space="preserve">    </w:t>
      </w:r>
      <w:r>
        <w:rPr>
          <w:rFonts w:hint="eastAsia" w:hAnsi="宋体" w:cs="宋体"/>
          <w:sz w:val="24"/>
          <w:szCs w:val="24"/>
          <w:highlight w:val="none"/>
        </w:rPr>
        <w:t>号：</w:t>
      </w:r>
    </w:p>
    <w:p>
      <w:pPr>
        <w:pStyle w:val="17"/>
        <w:tabs>
          <w:tab w:val="left" w:pos="5580"/>
        </w:tabs>
        <w:spacing w:line="360" w:lineRule="auto"/>
        <w:ind w:firstLine="480" w:firstLineChars="200"/>
        <w:rPr>
          <w:rFonts w:hAnsi="宋体" w:cs="宋体"/>
          <w:sz w:val="24"/>
          <w:szCs w:val="24"/>
          <w:highlight w:val="none"/>
        </w:rPr>
      </w:pPr>
      <w:r>
        <w:rPr>
          <w:rFonts w:hint="eastAsia" w:hAnsi="宋体" w:cs="宋体"/>
          <w:sz w:val="24"/>
          <w:szCs w:val="24"/>
          <w:highlight w:val="none"/>
        </w:rPr>
        <w:t>供应商单位（印章）</w:t>
      </w:r>
    </w:p>
    <w:p>
      <w:pPr>
        <w:pStyle w:val="17"/>
        <w:tabs>
          <w:tab w:val="left" w:pos="5580"/>
        </w:tabs>
        <w:spacing w:line="360" w:lineRule="auto"/>
        <w:ind w:firstLine="480" w:firstLineChars="200"/>
        <w:rPr>
          <w:rFonts w:hAnsi="宋体" w:cs="宋体"/>
          <w:sz w:val="24"/>
          <w:szCs w:val="24"/>
          <w:highlight w:val="none"/>
        </w:rPr>
      </w:pPr>
      <w:r>
        <w:rPr>
          <w:rFonts w:hint="eastAsia" w:hAnsi="宋体" w:cs="宋体"/>
          <w:sz w:val="24"/>
          <w:szCs w:val="24"/>
          <w:highlight w:val="none"/>
        </w:rPr>
        <w:t>法定代表人或授权代理人签字：</w:t>
      </w:r>
      <w:r>
        <w:rPr>
          <w:rFonts w:hAnsi="宋体" w:cs="宋体"/>
          <w:sz w:val="24"/>
          <w:szCs w:val="24"/>
          <w:highlight w:val="none"/>
        </w:rPr>
        <w:t xml:space="preserve">                      </w:t>
      </w:r>
      <w:r>
        <w:rPr>
          <w:rFonts w:hint="eastAsia" w:hAnsi="宋体" w:cs="宋体"/>
          <w:sz w:val="24"/>
          <w:szCs w:val="24"/>
          <w:highlight w:val="none"/>
        </w:rPr>
        <w:t>年</w:t>
      </w:r>
      <w:r>
        <w:rPr>
          <w:rFonts w:hAnsi="宋体" w:cs="宋体"/>
          <w:sz w:val="24"/>
          <w:szCs w:val="24"/>
          <w:highlight w:val="none"/>
        </w:rPr>
        <w:t xml:space="preserve">   </w:t>
      </w:r>
      <w:r>
        <w:rPr>
          <w:rFonts w:hint="eastAsia" w:hAnsi="宋体" w:cs="宋体"/>
          <w:sz w:val="24"/>
          <w:szCs w:val="24"/>
          <w:highlight w:val="none"/>
        </w:rPr>
        <w:t>月</w:t>
      </w:r>
      <w:r>
        <w:rPr>
          <w:rFonts w:hAnsi="宋体" w:cs="宋体"/>
          <w:sz w:val="24"/>
          <w:szCs w:val="24"/>
          <w:highlight w:val="none"/>
        </w:rPr>
        <w:t xml:space="preserve">   </w:t>
      </w:r>
      <w:r>
        <w:rPr>
          <w:rFonts w:hint="eastAsia" w:hAnsi="宋体" w:cs="宋体"/>
          <w:sz w:val="24"/>
          <w:szCs w:val="24"/>
          <w:highlight w:val="none"/>
        </w:rPr>
        <w:t>日</w:t>
      </w:r>
    </w:p>
    <w:p>
      <w:pPr>
        <w:pStyle w:val="2"/>
        <w:spacing w:after="0" w:line="480" w:lineRule="exact"/>
        <w:outlineLvl w:val="0"/>
        <w:rPr>
          <w:rFonts w:ascii="宋体"/>
          <w:highlight w:val="none"/>
        </w:rPr>
      </w:pPr>
      <w:bookmarkStart w:id="99" w:name="_Ref308467066"/>
      <w:bookmarkStart w:id="100" w:name="_Ref308467590"/>
      <w:bookmarkStart w:id="101" w:name="_Ref308451897"/>
      <w:r>
        <w:rPr>
          <w:rFonts w:ascii="宋体" w:cs="宋体"/>
          <w:sz w:val="28"/>
          <w:szCs w:val="28"/>
          <w:highlight w:val="none"/>
        </w:rPr>
        <w:br w:type="page"/>
      </w:r>
      <w:bookmarkStart w:id="102" w:name="_Toc27507"/>
      <w:bookmarkStart w:id="103" w:name="_Toc19512"/>
      <w:bookmarkStart w:id="104" w:name="_Toc338183633"/>
      <w:r>
        <w:rPr>
          <w:rFonts w:hint="eastAsia" w:ascii="宋体" w:hAnsi="宋体"/>
          <w:highlight w:val="none"/>
        </w:rPr>
        <w:t>附件二：</w:t>
      </w:r>
    </w:p>
    <w:p>
      <w:pPr>
        <w:pStyle w:val="4"/>
        <w:jc w:val="center"/>
        <w:rPr>
          <w:rFonts w:ascii="宋体" w:hAnsi="宋体" w:eastAsia="宋体" w:cs="宋体"/>
          <w:sz w:val="28"/>
          <w:szCs w:val="28"/>
          <w:highlight w:val="none"/>
        </w:rPr>
      </w:pPr>
      <w:r>
        <w:rPr>
          <w:rFonts w:hint="eastAsia" w:ascii="宋体" w:hAnsi="宋体" w:eastAsia="宋体" w:cs="宋体"/>
          <w:sz w:val="28"/>
          <w:szCs w:val="28"/>
          <w:highlight w:val="none"/>
        </w:rPr>
        <w:t>法定代表人授权书</w:t>
      </w:r>
      <w:bookmarkEnd w:id="99"/>
      <w:bookmarkEnd w:id="100"/>
      <w:bookmarkEnd w:id="101"/>
      <w:bookmarkEnd w:id="102"/>
      <w:bookmarkEnd w:id="103"/>
      <w:bookmarkEnd w:id="104"/>
    </w:p>
    <w:p>
      <w:pPr>
        <w:pStyle w:val="17"/>
        <w:tabs>
          <w:tab w:val="left" w:pos="5580"/>
        </w:tabs>
        <w:spacing w:line="360" w:lineRule="auto"/>
        <w:ind w:firstLine="480" w:firstLineChars="200"/>
        <w:rPr>
          <w:rFonts w:hAnsi="宋体" w:cs="宋体"/>
          <w:sz w:val="24"/>
          <w:szCs w:val="24"/>
          <w:highlight w:val="none"/>
        </w:rPr>
      </w:pPr>
      <w:r>
        <w:rPr>
          <w:rFonts w:hint="eastAsia" w:hAnsi="宋体" w:cs="宋体"/>
          <w:sz w:val="24"/>
          <w:szCs w:val="24"/>
          <w:highlight w:val="none"/>
        </w:rPr>
        <w:t>本授权书声明：注册于</w:t>
      </w:r>
      <w:r>
        <w:rPr>
          <w:rFonts w:hAnsi="宋体" w:cs="宋体"/>
          <w:sz w:val="24"/>
          <w:szCs w:val="24"/>
          <w:highlight w:val="none"/>
        </w:rPr>
        <w:t xml:space="preserve"> </w:t>
      </w:r>
      <w:r>
        <w:rPr>
          <w:rFonts w:hAnsi="宋体" w:cs="宋体"/>
          <w:sz w:val="24"/>
          <w:szCs w:val="24"/>
          <w:highlight w:val="none"/>
          <w:u w:val="single"/>
        </w:rPr>
        <w:t xml:space="preserve">          </w:t>
      </w:r>
      <w:r>
        <w:rPr>
          <w:rFonts w:hint="eastAsia" w:hAnsi="宋体" w:cs="宋体"/>
          <w:sz w:val="24"/>
          <w:szCs w:val="24"/>
          <w:highlight w:val="none"/>
        </w:rPr>
        <w:t>（国家或地区的名称）的</w:t>
      </w:r>
      <w:r>
        <w:rPr>
          <w:rFonts w:hAnsi="宋体" w:cs="宋体"/>
          <w:sz w:val="24"/>
          <w:szCs w:val="24"/>
          <w:highlight w:val="none"/>
          <w:u w:val="single"/>
        </w:rPr>
        <w:t xml:space="preserve">           </w:t>
      </w:r>
      <w:r>
        <w:rPr>
          <w:rFonts w:hint="eastAsia" w:hAnsi="宋体" w:cs="宋体"/>
          <w:sz w:val="24"/>
          <w:szCs w:val="24"/>
          <w:highlight w:val="none"/>
        </w:rPr>
        <w:t>（公司名称）的在下面签字的</w:t>
      </w:r>
      <w:r>
        <w:rPr>
          <w:rFonts w:hAnsi="宋体" w:cs="宋体"/>
          <w:sz w:val="24"/>
          <w:szCs w:val="24"/>
          <w:highlight w:val="none"/>
          <w:u w:val="single"/>
        </w:rPr>
        <w:t xml:space="preserve">         </w:t>
      </w:r>
      <w:r>
        <w:rPr>
          <w:rFonts w:hint="eastAsia" w:hAnsi="宋体" w:cs="宋体"/>
          <w:sz w:val="24"/>
          <w:szCs w:val="24"/>
          <w:highlight w:val="none"/>
        </w:rPr>
        <w:t>（法定代表人姓名、职务）代表本公司授权在下面签字的</w:t>
      </w:r>
      <w:r>
        <w:rPr>
          <w:rFonts w:hAnsi="宋体" w:cs="宋体"/>
          <w:sz w:val="24"/>
          <w:szCs w:val="24"/>
          <w:highlight w:val="none"/>
          <w:u w:val="single"/>
        </w:rPr>
        <w:t xml:space="preserve">         </w:t>
      </w:r>
      <w:r>
        <w:rPr>
          <w:rFonts w:hint="eastAsia" w:hAnsi="宋体" w:cs="宋体"/>
          <w:sz w:val="24"/>
          <w:szCs w:val="24"/>
          <w:highlight w:val="none"/>
        </w:rPr>
        <w:t>（授权代理人的姓名、职务）为本公司的合法代理人，就贵方组织</w:t>
      </w:r>
      <w:r>
        <w:rPr>
          <w:rFonts w:hAnsi="宋体" w:cs="宋体"/>
          <w:sz w:val="24"/>
          <w:szCs w:val="24"/>
          <w:highlight w:val="none"/>
          <w:u w:val="single"/>
        </w:rPr>
        <w:t xml:space="preserve">       </w:t>
      </w:r>
      <w:r>
        <w:rPr>
          <w:rFonts w:hint="eastAsia" w:hAnsi="宋体" w:cs="宋体"/>
          <w:sz w:val="24"/>
          <w:szCs w:val="24"/>
          <w:highlight w:val="none"/>
        </w:rPr>
        <w:t>的项目（项目编号：</w:t>
      </w:r>
      <w:r>
        <w:rPr>
          <w:rFonts w:hAnsi="宋体" w:cs="宋体"/>
          <w:sz w:val="24"/>
          <w:szCs w:val="24"/>
          <w:highlight w:val="none"/>
        </w:rPr>
        <w:t xml:space="preserve">     </w:t>
      </w:r>
      <w:r>
        <w:rPr>
          <w:rFonts w:hint="eastAsia" w:hAnsi="宋体" w:cs="宋体"/>
          <w:sz w:val="24"/>
          <w:szCs w:val="24"/>
          <w:highlight w:val="none"/>
        </w:rPr>
        <w:t>），以本公司名义处理一切与之有关的事务。</w:t>
      </w:r>
    </w:p>
    <w:p>
      <w:pPr>
        <w:pStyle w:val="17"/>
        <w:tabs>
          <w:tab w:val="left" w:pos="5580"/>
        </w:tabs>
        <w:spacing w:line="360" w:lineRule="auto"/>
        <w:ind w:firstLine="480" w:firstLineChars="200"/>
        <w:rPr>
          <w:rFonts w:hAnsi="宋体" w:cs="宋体"/>
          <w:sz w:val="24"/>
          <w:highlight w:val="none"/>
        </w:rPr>
      </w:pPr>
    </w:p>
    <w:p>
      <w:pPr>
        <w:pStyle w:val="17"/>
        <w:tabs>
          <w:tab w:val="left" w:pos="5580"/>
        </w:tabs>
        <w:spacing w:line="360" w:lineRule="auto"/>
        <w:ind w:firstLine="480" w:firstLineChars="200"/>
        <w:rPr>
          <w:rFonts w:hAnsi="宋体" w:cs="宋体"/>
          <w:sz w:val="24"/>
          <w:highlight w:val="none"/>
        </w:rPr>
      </w:pPr>
    </w:p>
    <w:p>
      <w:pPr>
        <w:pStyle w:val="17"/>
        <w:tabs>
          <w:tab w:val="left" w:pos="5580"/>
        </w:tabs>
        <w:spacing w:line="360" w:lineRule="auto"/>
        <w:ind w:firstLine="480" w:firstLineChars="200"/>
        <w:rPr>
          <w:rFonts w:hAnsi="宋体" w:cs="宋体"/>
          <w:sz w:val="24"/>
          <w:highlight w:val="none"/>
        </w:rPr>
      </w:pPr>
    </w:p>
    <w:p>
      <w:pPr>
        <w:pStyle w:val="17"/>
        <w:tabs>
          <w:tab w:val="left" w:pos="5580"/>
        </w:tabs>
        <w:spacing w:line="360" w:lineRule="auto"/>
        <w:ind w:firstLine="480" w:firstLineChars="200"/>
        <w:rPr>
          <w:rFonts w:hAnsi="宋体" w:cs="宋体"/>
          <w:sz w:val="24"/>
          <w:highlight w:val="none"/>
        </w:rPr>
      </w:pPr>
    </w:p>
    <w:p>
      <w:pPr>
        <w:pStyle w:val="17"/>
        <w:tabs>
          <w:tab w:val="left" w:pos="5580"/>
        </w:tabs>
        <w:spacing w:line="360" w:lineRule="auto"/>
        <w:ind w:firstLine="420" w:firstLineChars="200"/>
        <w:rPr>
          <w:rFonts w:hAnsi="宋体" w:cs="宋体"/>
          <w:sz w:val="24"/>
          <w:highlight w:val="none"/>
        </w:rPr>
      </w:pPr>
      <w:r>
        <w:rPr>
          <w:highlight w:val="none"/>
        </w:rPr>
        <w:pict>
          <v:rect id="Text Box 12" o:spid="_x0000_s1029" o:spt="1" style="position:absolute;left:0pt;margin-left:105pt;margin-top:-80.6pt;height:117pt;width:243pt;z-index:251657216;mso-width-relative:page;mso-height-relative:page;" o:preferrelative="t" coordsize="21600,21600">
            <v:path/>
            <v:fill focussize="0,0"/>
            <v:stroke miterlimit="2"/>
            <v:imagedata o:title=""/>
            <o:lock v:ext="edit"/>
            <v:textbox>
              <w:txbxContent>
                <w:p/>
                <w:p/>
                <w:p>
                  <w:r>
                    <w:t xml:space="preserve"> </w:t>
                  </w:r>
                </w:p>
                <w:p>
                  <w:pPr>
                    <w:ind w:firstLine="1080" w:firstLineChars="450"/>
                    <w:rPr>
                      <w:rFonts w:ascii="仿宋_GB2312" w:eastAsia="仿宋_GB2312"/>
                      <w:sz w:val="24"/>
                    </w:rPr>
                  </w:pPr>
                  <w:r>
                    <w:rPr>
                      <w:rFonts w:hint="eastAsia" w:ascii="仿宋_GB2312" w:eastAsia="仿宋_GB2312"/>
                      <w:sz w:val="24"/>
                    </w:rPr>
                    <w:t>附代理人身份证复印件</w:t>
                  </w:r>
                </w:p>
                <w:p/>
              </w:txbxContent>
            </v:textbox>
          </v:rect>
        </w:pict>
      </w:r>
    </w:p>
    <w:p>
      <w:pPr>
        <w:pStyle w:val="17"/>
        <w:tabs>
          <w:tab w:val="left" w:pos="5580"/>
        </w:tabs>
        <w:spacing w:line="360" w:lineRule="auto"/>
        <w:ind w:firstLine="480"/>
        <w:rPr>
          <w:rFonts w:hAnsi="宋体" w:cs="宋体"/>
          <w:sz w:val="24"/>
          <w:szCs w:val="24"/>
          <w:highlight w:val="none"/>
        </w:rPr>
      </w:pPr>
    </w:p>
    <w:p>
      <w:pPr>
        <w:pStyle w:val="17"/>
        <w:tabs>
          <w:tab w:val="left" w:pos="5580"/>
        </w:tabs>
        <w:spacing w:line="360" w:lineRule="auto"/>
        <w:ind w:firstLine="480"/>
        <w:rPr>
          <w:rFonts w:hAnsi="宋体" w:cs="宋体"/>
          <w:sz w:val="24"/>
          <w:szCs w:val="24"/>
          <w:highlight w:val="none"/>
        </w:rPr>
      </w:pPr>
    </w:p>
    <w:p>
      <w:pPr>
        <w:pStyle w:val="17"/>
        <w:tabs>
          <w:tab w:val="left" w:pos="5580"/>
        </w:tabs>
        <w:spacing w:line="360" w:lineRule="auto"/>
        <w:ind w:firstLine="480"/>
        <w:rPr>
          <w:rFonts w:hAnsi="宋体" w:cs="宋体"/>
          <w:sz w:val="24"/>
          <w:szCs w:val="24"/>
          <w:highlight w:val="none"/>
        </w:rPr>
      </w:pPr>
      <w:r>
        <w:rPr>
          <w:rFonts w:hint="eastAsia" w:hAnsi="宋体" w:cs="宋体"/>
          <w:sz w:val="24"/>
          <w:szCs w:val="24"/>
          <w:highlight w:val="none"/>
        </w:rPr>
        <w:t>本授权书于</w:t>
      </w:r>
      <w:r>
        <w:rPr>
          <w:rFonts w:hAnsi="宋体" w:cs="宋体"/>
          <w:sz w:val="24"/>
          <w:szCs w:val="24"/>
          <w:highlight w:val="none"/>
        </w:rPr>
        <w:t>__________</w:t>
      </w:r>
      <w:r>
        <w:rPr>
          <w:rFonts w:hint="eastAsia" w:hAnsi="宋体" w:cs="宋体"/>
          <w:sz w:val="24"/>
          <w:szCs w:val="24"/>
          <w:highlight w:val="none"/>
        </w:rPr>
        <w:t>年</w:t>
      </w:r>
      <w:r>
        <w:rPr>
          <w:rFonts w:hAnsi="宋体" w:cs="宋体"/>
          <w:sz w:val="24"/>
          <w:szCs w:val="24"/>
          <w:highlight w:val="none"/>
        </w:rPr>
        <w:t>_____</w:t>
      </w:r>
      <w:r>
        <w:rPr>
          <w:rFonts w:hint="eastAsia" w:hAnsi="宋体" w:cs="宋体"/>
          <w:sz w:val="24"/>
          <w:szCs w:val="24"/>
          <w:highlight w:val="none"/>
        </w:rPr>
        <w:t>月</w:t>
      </w:r>
      <w:r>
        <w:rPr>
          <w:rFonts w:hAnsi="宋体" w:cs="宋体"/>
          <w:sz w:val="24"/>
          <w:szCs w:val="24"/>
          <w:highlight w:val="none"/>
        </w:rPr>
        <w:t>______</w:t>
      </w:r>
      <w:r>
        <w:rPr>
          <w:rFonts w:hint="eastAsia" w:hAnsi="宋体" w:cs="宋体"/>
          <w:sz w:val="24"/>
          <w:szCs w:val="24"/>
          <w:highlight w:val="none"/>
        </w:rPr>
        <w:t>日签字生效，特此声明。</w:t>
      </w:r>
    </w:p>
    <w:p>
      <w:pPr>
        <w:pStyle w:val="17"/>
        <w:tabs>
          <w:tab w:val="left" w:pos="5580"/>
        </w:tabs>
        <w:spacing w:line="360" w:lineRule="auto"/>
        <w:ind w:firstLine="480"/>
        <w:rPr>
          <w:rFonts w:hAnsi="宋体" w:cs="宋体"/>
          <w:sz w:val="24"/>
          <w:highlight w:val="none"/>
        </w:rPr>
      </w:pPr>
    </w:p>
    <w:p>
      <w:pPr>
        <w:pStyle w:val="17"/>
        <w:tabs>
          <w:tab w:val="left" w:pos="5580"/>
        </w:tabs>
        <w:spacing w:line="360" w:lineRule="auto"/>
        <w:ind w:firstLine="480"/>
        <w:rPr>
          <w:rFonts w:hAnsi="宋体" w:cs="宋体"/>
          <w:sz w:val="24"/>
          <w:highlight w:val="none"/>
        </w:rPr>
      </w:pPr>
      <w:r>
        <w:rPr>
          <w:rFonts w:hint="eastAsia" w:hAnsi="宋体" w:cs="宋体"/>
          <w:sz w:val="24"/>
          <w:szCs w:val="24"/>
          <w:highlight w:val="none"/>
        </w:rPr>
        <w:t>供应商全称（公章）：</w:t>
      </w:r>
    </w:p>
    <w:p>
      <w:pPr>
        <w:pStyle w:val="17"/>
        <w:tabs>
          <w:tab w:val="left" w:pos="5580"/>
        </w:tabs>
        <w:spacing w:line="360" w:lineRule="auto"/>
        <w:ind w:firstLine="480"/>
        <w:rPr>
          <w:rFonts w:hAnsi="宋体" w:cs="宋体"/>
          <w:sz w:val="24"/>
          <w:szCs w:val="24"/>
          <w:highlight w:val="none"/>
        </w:rPr>
      </w:pPr>
      <w:r>
        <w:rPr>
          <w:rFonts w:hint="eastAsia" w:hAnsi="宋体" w:cs="宋体"/>
          <w:sz w:val="24"/>
          <w:szCs w:val="24"/>
          <w:highlight w:val="none"/>
        </w:rPr>
        <w:t>法定代表人签字</w:t>
      </w:r>
      <w:r>
        <w:rPr>
          <w:rFonts w:hAnsi="宋体" w:cs="宋体"/>
          <w:sz w:val="24"/>
          <w:szCs w:val="24"/>
          <w:highlight w:val="none"/>
        </w:rPr>
        <w:t>________________</w:t>
      </w:r>
    </w:p>
    <w:p>
      <w:pPr>
        <w:pStyle w:val="17"/>
        <w:tabs>
          <w:tab w:val="left" w:pos="5580"/>
        </w:tabs>
        <w:spacing w:line="360" w:lineRule="auto"/>
        <w:ind w:firstLine="480"/>
        <w:rPr>
          <w:rFonts w:hAnsi="宋体" w:cs="宋体"/>
          <w:sz w:val="24"/>
          <w:szCs w:val="24"/>
          <w:highlight w:val="none"/>
        </w:rPr>
      </w:pPr>
      <w:r>
        <w:rPr>
          <w:rFonts w:hint="eastAsia" w:hAnsi="宋体" w:cs="宋体"/>
          <w:sz w:val="24"/>
          <w:szCs w:val="24"/>
          <w:highlight w:val="none"/>
        </w:rPr>
        <w:t>被授权人签字</w:t>
      </w:r>
      <w:r>
        <w:rPr>
          <w:rFonts w:hAnsi="宋体" w:cs="宋体"/>
          <w:sz w:val="24"/>
          <w:szCs w:val="24"/>
          <w:highlight w:val="none"/>
        </w:rPr>
        <w:t>__________________</w:t>
      </w:r>
    </w:p>
    <w:p>
      <w:pPr>
        <w:pStyle w:val="2"/>
        <w:spacing w:after="0" w:line="480" w:lineRule="exact"/>
        <w:outlineLvl w:val="0"/>
        <w:rPr>
          <w:rFonts w:ascii="宋体"/>
          <w:highlight w:val="none"/>
        </w:rPr>
      </w:pPr>
      <w:bookmarkStart w:id="105" w:name="_Ref308467067"/>
      <w:bookmarkStart w:id="106" w:name="_Ref308451898"/>
      <w:bookmarkStart w:id="107" w:name="_Ref308467591"/>
      <w:r>
        <w:rPr>
          <w:rFonts w:ascii="宋体" w:cs="宋体"/>
          <w:sz w:val="28"/>
          <w:szCs w:val="28"/>
          <w:highlight w:val="none"/>
        </w:rPr>
        <w:br w:type="page"/>
      </w:r>
      <w:bookmarkEnd w:id="105"/>
      <w:bookmarkEnd w:id="106"/>
      <w:bookmarkStart w:id="108" w:name="_Toc13224"/>
      <w:bookmarkStart w:id="109" w:name="_Toc16316"/>
      <w:bookmarkStart w:id="110" w:name="_Toc338183634"/>
      <w:r>
        <w:rPr>
          <w:rFonts w:hint="eastAsia" w:ascii="宋体" w:hAnsi="宋体"/>
          <w:highlight w:val="none"/>
        </w:rPr>
        <w:t>附件三：</w:t>
      </w:r>
    </w:p>
    <w:p>
      <w:pPr>
        <w:pStyle w:val="4"/>
        <w:jc w:val="center"/>
        <w:rPr>
          <w:rFonts w:ascii="宋体" w:hAnsi="宋体" w:eastAsia="宋体" w:cs="宋体"/>
          <w:sz w:val="28"/>
          <w:szCs w:val="28"/>
          <w:highlight w:val="none"/>
        </w:rPr>
      </w:pPr>
      <w:r>
        <w:rPr>
          <w:rFonts w:hint="eastAsia" w:ascii="宋体" w:hAnsi="宋体" w:eastAsia="宋体" w:cs="宋体"/>
          <w:sz w:val="28"/>
          <w:szCs w:val="28"/>
          <w:highlight w:val="none"/>
        </w:rPr>
        <w:t>报价一览表</w:t>
      </w:r>
      <w:bookmarkEnd w:id="107"/>
      <w:bookmarkEnd w:id="108"/>
      <w:bookmarkEnd w:id="109"/>
      <w:bookmarkEnd w:id="110"/>
    </w:p>
    <w:p>
      <w:pPr>
        <w:pStyle w:val="2"/>
        <w:spacing w:after="0" w:line="460" w:lineRule="exact"/>
        <w:jc w:val="center"/>
        <w:rPr>
          <w:rFonts w:ascii="宋体" w:cs="宋体"/>
          <w:b/>
          <w:color w:val="000000"/>
          <w:sz w:val="28"/>
          <w:szCs w:val="28"/>
          <w:highlight w:val="none"/>
        </w:rPr>
      </w:pPr>
      <w:r>
        <w:rPr>
          <w:rFonts w:hint="eastAsia" w:ascii="宋体" w:hAnsi="宋体" w:cs="宋体"/>
          <w:b/>
          <w:color w:val="000000"/>
          <w:sz w:val="28"/>
          <w:szCs w:val="28"/>
          <w:highlight w:val="none"/>
        </w:rPr>
        <w:t>（须单独密封，用于公开唱标）</w:t>
      </w:r>
    </w:p>
    <w:p>
      <w:pPr>
        <w:pStyle w:val="13"/>
        <w:spacing w:beforeLines="150" w:line="240" w:lineRule="auto"/>
        <w:ind w:left="0" w:leftChars="0" w:firstLine="482" w:firstLineChars="200"/>
        <w:rPr>
          <w:rFonts w:ascii="宋体" w:cs="宋体"/>
          <w:b/>
          <w:highlight w:val="none"/>
        </w:rPr>
      </w:pPr>
      <w:r>
        <w:rPr>
          <w:rFonts w:hint="eastAsia" w:ascii="宋体" w:hAnsi="宋体" w:cs="宋体"/>
          <w:b/>
          <w:highlight w:val="none"/>
        </w:rPr>
        <w:t>项目编号：</w:t>
      </w:r>
    </w:p>
    <w:p>
      <w:pPr>
        <w:tabs>
          <w:tab w:val="left" w:pos="764"/>
        </w:tabs>
        <w:ind w:firstLine="482" w:firstLineChars="200"/>
        <w:rPr>
          <w:rFonts w:ascii="宋体" w:cs="宋体"/>
          <w:sz w:val="24"/>
          <w:highlight w:val="none"/>
        </w:rPr>
      </w:pPr>
      <w:r>
        <w:rPr>
          <w:rFonts w:hint="eastAsia" w:ascii="宋体" w:hAnsi="宋体" w:cs="宋体"/>
          <w:b/>
          <w:sz w:val="24"/>
          <w:highlight w:val="none"/>
        </w:rPr>
        <w:t>项目名称：</w:t>
      </w:r>
      <w:r>
        <w:rPr>
          <w:rFonts w:ascii="宋体" w:hAnsi="宋体" w:cs="宋体"/>
          <w:b/>
          <w:sz w:val="24"/>
          <w:highlight w:val="none"/>
        </w:rPr>
        <w:t xml:space="preserve">   </w:t>
      </w:r>
      <w:r>
        <w:rPr>
          <w:rFonts w:ascii="宋体" w:hAnsi="宋体" w:cs="宋体"/>
          <w:b/>
          <w:highlight w:val="none"/>
        </w:rPr>
        <w:t xml:space="preserve">                                              </w:t>
      </w:r>
    </w:p>
    <w:tbl>
      <w:tblPr>
        <w:tblStyle w:val="34"/>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3"/>
        <w:gridCol w:w="6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853" w:type="dxa"/>
            <w:vAlign w:val="center"/>
          </w:tcPr>
          <w:p>
            <w:pPr>
              <w:spacing w:line="480" w:lineRule="exact"/>
              <w:jc w:val="center"/>
              <w:rPr>
                <w:rFonts w:ascii="宋体"/>
                <w:bCs/>
                <w:sz w:val="24"/>
                <w:highlight w:val="none"/>
              </w:rPr>
            </w:pPr>
            <w:r>
              <w:rPr>
                <w:rFonts w:hint="eastAsia" w:ascii="宋体" w:hAnsi="宋体"/>
                <w:bCs/>
                <w:sz w:val="24"/>
                <w:highlight w:val="none"/>
              </w:rPr>
              <w:t>项目名称</w:t>
            </w:r>
          </w:p>
        </w:tc>
        <w:tc>
          <w:tcPr>
            <w:tcW w:w="6447"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853" w:type="dxa"/>
            <w:vAlign w:val="center"/>
          </w:tcPr>
          <w:p>
            <w:pPr>
              <w:spacing w:line="480" w:lineRule="exact"/>
              <w:jc w:val="center"/>
              <w:rPr>
                <w:rFonts w:ascii="宋体"/>
                <w:bCs/>
                <w:sz w:val="24"/>
                <w:highlight w:val="none"/>
              </w:rPr>
            </w:pPr>
            <w:r>
              <w:rPr>
                <w:rFonts w:hint="eastAsia" w:ascii="宋体" w:hAnsi="宋体"/>
                <w:bCs/>
                <w:sz w:val="24"/>
                <w:highlight w:val="none"/>
              </w:rPr>
              <w:t>供应商名称</w:t>
            </w:r>
          </w:p>
        </w:tc>
        <w:tc>
          <w:tcPr>
            <w:tcW w:w="6447"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853" w:type="dxa"/>
            <w:tcBorders>
              <w:top w:val="nil"/>
            </w:tcBorders>
            <w:vAlign w:val="center"/>
          </w:tcPr>
          <w:p>
            <w:pPr>
              <w:spacing w:line="480" w:lineRule="exact"/>
              <w:jc w:val="center"/>
              <w:rPr>
                <w:rFonts w:ascii="宋体"/>
                <w:bCs/>
                <w:sz w:val="24"/>
                <w:highlight w:val="none"/>
              </w:rPr>
            </w:pPr>
            <w:r>
              <w:rPr>
                <w:rFonts w:hint="eastAsia" w:ascii="宋体" w:hAnsi="宋体"/>
                <w:bCs/>
                <w:sz w:val="24"/>
                <w:highlight w:val="none"/>
              </w:rPr>
              <w:t>品牌</w:t>
            </w:r>
            <w:r>
              <w:rPr>
                <w:rFonts w:ascii="宋体" w:hAnsi="宋体"/>
                <w:bCs/>
                <w:sz w:val="24"/>
                <w:highlight w:val="none"/>
              </w:rPr>
              <w:t>/</w:t>
            </w:r>
            <w:r>
              <w:rPr>
                <w:rFonts w:hint="eastAsia" w:ascii="宋体" w:hAnsi="宋体"/>
                <w:bCs/>
                <w:sz w:val="24"/>
                <w:highlight w:val="none"/>
              </w:rPr>
              <w:t>型号</w:t>
            </w:r>
          </w:p>
        </w:tc>
        <w:tc>
          <w:tcPr>
            <w:tcW w:w="6447" w:type="dxa"/>
            <w:vAlign w:val="center"/>
          </w:tcPr>
          <w:p>
            <w:pPr>
              <w:spacing w:line="480" w:lineRule="exact"/>
              <w:rPr>
                <w:rFonts w:ascii="宋体"/>
                <w:bCs/>
                <w:sz w:val="24"/>
                <w:highlight w:val="none"/>
              </w:rPr>
            </w:pPr>
            <w:r>
              <w:rPr>
                <w:rFonts w:hint="eastAsia" w:ascii="宋体"/>
                <w:bCs/>
                <w:sz w:val="24"/>
                <w:highlight w:val="none"/>
              </w:rPr>
              <w:t>品牌：</w:t>
            </w:r>
            <w:r>
              <w:rPr>
                <w:rFonts w:ascii="宋体"/>
                <w:bCs/>
                <w:sz w:val="24"/>
                <w:highlight w:val="none"/>
                <w:u w:val="single"/>
              </w:rPr>
              <w:t xml:space="preserve">           </w:t>
            </w:r>
            <w:r>
              <w:rPr>
                <w:rFonts w:hint="eastAsia" w:ascii="宋体"/>
                <w:bCs/>
                <w:sz w:val="24"/>
                <w:highlight w:val="none"/>
              </w:rPr>
              <w:t>（中文名称），型号：</w:t>
            </w:r>
            <w:r>
              <w:rPr>
                <w:rFonts w:ascii="宋体"/>
                <w:bCs/>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853" w:type="dxa"/>
            <w:vAlign w:val="center"/>
          </w:tcPr>
          <w:p>
            <w:pPr>
              <w:spacing w:line="480" w:lineRule="exact"/>
              <w:jc w:val="center"/>
              <w:rPr>
                <w:rFonts w:ascii="宋体"/>
                <w:bCs/>
                <w:sz w:val="24"/>
                <w:highlight w:val="none"/>
              </w:rPr>
            </w:pPr>
            <w:r>
              <w:rPr>
                <w:rFonts w:hint="eastAsia" w:ascii="宋体" w:hAnsi="宋体"/>
                <w:bCs/>
                <w:sz w:val="24"/>
                <w:highlight w:val="none"/>
              </w:rPr>
              <w:t>总报价</w:t>
            </w:r>
          </w:p>
        </w:tc>
        <w:tc>
          <w:tcPr>
            <w:tcW w:w="6447" w:type="dxa"/>
            <w:vAlign w:val="center"/>
          </w:tcPr>
          <w:p>
            <w:pPr>
              <w:spacing w:line="480" w:lineRule="exact"/>
              <w:rPr>
                <w:rFonts w:ascii="宋体"/>
                <w:sz w:val="24"/>
                <w:highlight w:val="none"/>
              </w:rPr>
            </w:pPr>
            <w:r>
              <w:rPr>
                <w:rFonts w:hint="eastAsia" w:ascii="宋体" w:hAnsi="宋体"/>
                <w:sz w:val="24"/>
                <w:highlight w:val="none"/>
              </w:rPr>
              <w:t>总报价：</w:t>
            </w:r>
            <w:r>
              <w:rPr>
                <w:rFonts w:ascii="宋体" w:hAnsi="宋体"/>
                <w:sz w:val="24"/>
                <w:highlight w:val="none"/>
                <w:u w:val="single"/>
              </w:rPr>
              <w:t xml:space="preserve">      </w:t>
            </w:r>
            <w:r>
              <w:rPr>
                <w:rFonts w:hint="eastAsia" w:ascii="宋体" w:hAnsi="宋体"/>
                <w:sz w:val="24"/>
                <w:highlight w:val="none"/>
              </w:rPr>
              <w:t>元</w:t>
            </w:r>
            <w:r>
              <w:rPr>
                <w:rFonts w:ascii="宋体"/>
                <w:sz w:val="24"/>
                <w:highlight w:val="none"/>
              </w:rPr>
              <w:t>,</w:t>
            </w:r>
            <w:r>
              <w:rPr>
                <w:rFonts w:hint="eastAsia" w:ascii="宋体" w:hAnsi="宋体"/>
                <w:sz w:val="24"/>
                <w:highlight w:val="none"/>
              </w:rPr>
              <w:t>大写：</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853" w:type="dxa"/>
            <w:vAlign w:val="center"/>
          </w:tcPr>
          <w:p>
            <w:pPr>
              <w:spacing w:line="480" w:lineRule="exact"/>
              <w:jc w:val="center"/>
              <w:rPr>
                <w:rFonts w:ascii="宋体"/>
                <w:bCs/>
                <w:sz w:val="24"/>
                <w:highlight w:val="none"/>
              </w:rPr>
            </w:pPr>
            <w:r>
              <w:rPr>
                <w:rFonts w:hint="eastAsia" w:ascii="宋体" w:hAnsi="宋体"/>
                <w:bCs/>
                <w:sz w:val="24"/>
                <w:highlight w:val="none"/>
                <w:lang w:eastAsia="zh-CN"/>
              </w:rPr>
              <w:t>供货</w:t>
            </w:r>
            <w:r>
              <w:rPr>
                <w:rFonts w:hint="eastAsia" w:ascii="宋体" w:hAnsi="宋体"/>
                <w:bCs/>
                <w:sz w:val="24"/>
                <w:highlight w:val="none"/>
              </w:rPr>
              <w:t>期</w:t>
            </w:r>
          </w:p>
        </w:tc>
        <w:tc>
          <w:tcPr>
            <w:tcW w:w="6447" w:type="dxa"/>
            <w:vAlign w:val="center"/>
          </w:tcPr>
          <w:p>
            <w:pPr>
              <w:spacing w:line="480" w:lineRule="exact"/>
              <w:rPr>
                <w:rFonts w:ascii="宋体"/>
                <w:bCs/>
                <w:sz w:val="24"/>
                <w:highlight w:val="none"/>
              </w:rPr>
            </w:pPr>
            <w:r>
              <w:rPr>
                <w:rFonts w:ascii="宋体" w:hAnsi="宋体"/>
                <w:sz w:val="24"/>
                <w:highlight w:val="none"/>
                <w:u w:val="single"/>
              </w:rPr>
              <w:t xml:space="preserve">     </w:t>
            </w:r>
            <w:r>
              <w:rPr>
                <w:rFonts w:hint="eastAsia" w:ascii="宋体" w:hAnsi="宋体"/>
                <w:sz w:val="24"/>
                <w:highlight w:val="none"/>
              </w:rPr>
              <w:t>日内</w:t>
            </w:r>
            <w:r>
              <w:rPr>
                <w:rFonts w:hint="eastAsia" w:ascii="宋体" w:hAnsi="宋体"/>
                <w:sz w:val="24"/>
                <w:highlight w:val="none"/>
                <w:lang w:eastAsia="zh-CN"/>
              </w:rPr>
              <w:t>供货完毕</w:t>
            </w:r>
            <w:r>
              <w:rPr>
                <w:rFonts w:hint="eastAsia" w:ascii="宋体" w:hAnsi="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853" w:type="dxa"/>
            <w:vAlign w:val="center"/>
          </w:tcPr>
          <w:p>
            <w:pPr>
              <w:spacing w:line="480" w:lineRule="exact"/>
              <w:jc w:val="center"/>
              <w:rPr>
                <w:rFonts w:ascii="宋体"/>
                <w:sz w:val="24"/>
                <w:highlight w:val="none"/>
              </w:rPr>
            </w:pPr>
            <w:r>
              <w:rPr>
                <w:rFonts w:hint="eastAsia" w:ascii="宋体" w:hAnsi="宋体"/>
                <w:sz w:val="24"/>
                <w:highlight w:val="none"/>
              </w:rPr>
              <w:t>质保期</w:t>
            </w:r>
          </w:p>
        </w:tc>
        <w:tc>
          <w:tcPr>
            <w:tcW w:w="6447" w:type="dxa"/>
            <w:vAlign w:val="center"/>
          </w:tcPr>
          <w:p>
            <w:pPr>
              <w:spacing w:line="480" w:lineRule="exact"/>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853" w:type="dxa"/>
            <w:vAlign w:val="center"/>
          </w:tcPr>
          <w:p>
            <w:pPr>
              <w:spacing w:line="480" w:lineRule="exact"/>
              <w:jc w:val="center"/>
              <w:rPr>
                <w:rFonts w:ascii="宋体"/>
                <w:bCs/>
                <w:sz w:val="24"/>
                <w:highlight w:val="none"/>
              </w:rPr>
            </w:pPr>
            <w:r>
              <w:rPr>
                <w:rFonts w:hint="eastAsia" w:ascii="宋体" w:hAnsi="宋体"/>
                <w:bCs/>
                <w:sz w:val="24"/>
                <w:highlight w:val="none"/>
              </w:rPr>
              <w:t>供应商对磋商文件的</w:t>
            </w:r>
          </w:p>
          <w:p>
            <w:pPr>
              <w:spacing w:line="480" w:lineRule="exact"/>
              <w:jc w:val="center"/>
              <w:rPr>
                <w:rFonts w:ascii="宋体"/>
                <w:bCs/>
                <w:sz w:val="24"/>
                <w:highlight w:val="none"/>
              </w:rPr>
            </w:pPr>
            <w:r>
              <w:rPr>
                <w:rFonts w:hint="eastAsia" w:ascii="宋体" w:hAnsi="宋体"/>
                <w:bCs/>
                <w:sz w:val="24"/>
                <w:highlight w:val="none"/>
              </w:rPr>
              <w:t>认同情况</w:t>
            </w:r>
          </w:p>
        </w:tc>
        <w:tc>
          <w:tcPr>
            <w:tcW w:w="6447"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853" w:type="dxa"/>
            <w:vAlign w:val="center"/>
          </w:tcPr>
          <w:p>
            <w:pPr>
              <w:spacing w:line="480" w:lineRule="exact"/>
              <w:jc w:val="center"/>
              <w:rPr>
                <w:rFonts w:ascii="宋体"/>
                <w:bCs/>
                <w:sz w:val="24"/>
                <w:highlight w:val="none"/>
              </w:rPr>
            </w:pPr>
            <w:r>
              <w:rPr>
                <w:rFonts w:hint="eastAsia" w:ascii="宋体" w:hAnsi="宋体"/>
                <w:bCs/>
                <w:sz w:val="24"/>
                <w:highlight w:val="none"/>
              </w:rPr>
              <w:t>备注</w:t>
            </w:r>
          </w:p>
        </w:tc>
        <w:tc>
          <w:tcPr>
            <w:tcW w:w="6447" w:type="dxa"/>
            <w:vAlign w:val="center"/>
          </w:tcPr>
          <w:p>
            <w:pPr>
              <w:spacing w:line="480" w:lineRule="exact"/>
              <w:rPr>
                <w:rFonts w:ascii="宋体"/>
                <w:bCs/>
                <w:sz w:val="24"/>
                <w:highlight w:val="none"/>
              </w:rPr>
            </w:pPr>
          </w:p>
        </w:tc>
      </w:tr>
    </w:tbl>
    <w:p>
      <w:pPr>
        <w:tabs>
          <w:tab w:val="left" w:pos="764"/>
        </w:tabs>
        <w:rPr>
          <w:rFonts w:ascii="宋体" w:cs="宋体"/>
          <w:b/>
          <w:sz w:val="24"/>
          <w:highlight w:val="none"/>
        </w:rPr>
      </w:pPr>
    </w:p>
    <w:p>
      <w:pPr>
        <w:ind w:firstLine="120" w:firstLineChars="50"/>
        <w:rPr>
          <w:rFonts w:ascii="宋体" w:cs="宋体"/>
          <w:highlight w:val="none"/>
        </w:rPr>
      </w:pPr>
      <w:r>
        <w:rPr>
          <w:rFonts w:hint="eastAsia" w:ascii="宋体" w:hAnsi="宋体" w:cs="宋体"/>
          <w:b/>
          <w:bCs/>
          <w:sz w:val="24"/>
          <w:highlight w:val="none"/>
        </w:rPr>
        <w:t>备注：本报价一览表必须单独密封，否则按无效报价处理</w:t>
      </w:r>
      <w:r>
        <w:rPr>
          <w:rFonts w:ascii="宋体" w:hAnsi="宋体" w:cs="宋体"/>
          <w:highlight w:val="none"/>
        </w:rPr>
        <w:t xml:space="preserve"> </w:t>
      </w:r>
      <w:r>
        <w:rPr>
          <w:rFonts w:hint="eastAsia" w:ascii="宋体" w:hAnsi="宋体" w:cs="宋体"/>
          <w:highlight w:val="none"/>
        </w:rPr>
        <w:t>。</w:t>
      </w:r>
      <w:r>
        <w:rPr>
          <w:rFonts w:ascii="宋体" w:hAnsi="宋体" w:cs="宋体"/>
          <w:highlight w:val="none"/>
        </w:rPr>
        <w:t xml:space="preserve">   </w:t>
      </w:r>
    </w:p>
    <w:p>
      <w:pPr>
        <w:ind w:firstLine="105" w:firstLineChars="50"/>
        <w:rPr>
          <w:rFonts w:ascii="宋体" w:cs="宋体"/>
          <w:highlight w:val="none"/>
        </w:rPr>
      </w:pPr>
    </w:p>
    <w:p>
      <w:pPr>
        <w:ind w:right="187"/>
        <w:rPr>
          <w:rFonts w:ascii="宋体" w:cs="宋体"/>
          <w:sz w:val="24"/>
          <w:highlight w:val="none"/>
        </w:rPr>
      </w:pPr>
      <w:r>
        <w:rPr>
          <w:rFonts w:hint="eastAsia" w:ascii="宋体" w:hAnsi="宋体" w:cs="宋体"/>
          <w:bCs/>
          <w:sz w:val="24"/>
          <w:highlight w:val="none"/>
        </w:rPr>
        <w:t>供应商名称（公章）：</w:t>
      </w:r>
      <w:r>
        <w:rPr>
          <w:rFonts w:ascii="宋体" w:hAnsi="宋体" w:cs="宋体"/>
          <w:bCs/>
          <w:sz w:val="24"/>
          <w:highlight w:val="none"/>
          <w:u w:val="single"/>
        </w:rPr>
        <w:t xml:space="preserve">             </w:t>
      </w:r>
      <w:r>
        <w:rPr>
          <w:rFonts w:ascii="宋体" w:hAnsi="宋体" w:cs="宋体"/>
          <w:bCs/>
          <w:sz w:val="24"/>
          <w:highlight w:val="none"/>
        </w:rPr>
        <w:t xml:space="preserve">    </w:t>
      </w:r>
      <w:r>
        <w:rPr>
          <w:rFonts w:hint="eastAsia" w:ascii="宋体" w:hAnsi="宋体" w:cs="宋体"/>
          <w:bCs/>
          <w:sz w:val="24"/>
          <w:highlight w:val="none"/>
        </w:rPr>
        <w:t>法定代表人或授权代理人签字：</w:t>
      </w:r>
      <w:r>
        <w:rPr>
          <w:rFonts w:ascii="宋体" w:hAnsi="宋体" w:cs="宋体"/>
          <w:bCs/>
          <w:sz w:val="24"/>
          <w:highlight w:val="none"/>
          <w:u w:val="single"/>
        </w:rPr>
        <w:t xml:space="preserve">            </w:t>
      </w:r>
      <w:r>
        <w:rPr>
          <w:rFonts w:ascii="宋体" w:hAnsi="宋体" w:cs="宋体"/>
          <w:sz w:val="24"/>
          <w:highlight w:val="none"/>
        </w:rPr>
        <w:t xml:space="preserve">                                                                </w:t>
      </w:r>
    </w:p>
    <w:p>
      <w:pPr>
        <w:pStyle w:val="9"/>
        <w:spacing w:before="0" w:after="0"/>
        <w:ind w:right="283" w:rightChars="135"/>
        <w:jc w:val="right"/>
        <w:rPr>
          <w:rFonts w:ascii="宋体" w:hAnsi="宋体" w:eastAsia="宋体" w:cs="宋体"/>
          <w:sz w:val="24"/>
          <w:highlight w:val="none"/>
        </w:rPr>
      </w:pPr>
      <w:r>
        <w:rPr>
          <w:rFonts w:ascii="宋体" w:hAnsi="宋体" w:eastAsia="宋体" w:cs="宋体"/>
          <w:highlight w:val="none"/>
        </w:rPr>
        <w:t xml:space="preserve">                                                     </w:t>
      </w:r>
      <w:r>
        <w:rPr>
          <w:rFonts w:ascii="宋体" w:hAnsi="宋体" w:eastAsia="宋体" w:cs="宋体"/>
          <w:sz w:val="24"/>
          <w:highlight w:val="none"/>
        </w:rPr>
        <w:t xml:space="preserve">  </w:t>
      </w:r>
    </w:p>
    <w:p>
      <w:pPr>
        <w:pStyle w:val="9"/>
        <w:spacing w:before="0" w:after="0"/>
        <w:ind w:right="283" w:rightChars="135"/>
        <w:jc w:val="right"/>
        <w:rPr>
          <w:rFonts w:ascii="宋体" w:hAnsi="宋体" w:eastAsia="宋体" w:cs="宋体"/>
          <w:sz w:val="24"/>
          <w:highlight w:val="none"/>
        </w:rPr>
        <w:sectPr>
          <w:type w:val="continuous"/>
          <w:pgSz w:w="11907" w:h="16840"/>
          <w:pgMar w:top="1304" w:right="1418" w:bottom="1157" w:left="1418" w:header="851" w:footer="851" w:gutter="0"/>
          <w:cols w:space="720" w:num="1"/>
          <w:titlePg/>
          <w:docGrid w:type="lines" w:linePitch="290" w:charSpace="-3931"/>
        </w:sectPr>
      </w:pPr>
      <w:r>
        <w:rPr>
          <w:rFonts w:ascii="宋体" w:hAnsi="宋体" w:eastAsia="宋体" w:cs="宋体"/>
          <w:sz w:val="24"/>
          <w:highlight w:val="none"/>
        </w:rPr>
        <w:t xml:space="preserve"> </w:t>
      </w:r>
      <w:r>
        <w:rPr>
          <w:rFonts w:hint="eastAsia" w:ascii="宋体" w:hAnsi="宋体" w:eastAsia="宋体" w:cs="宋体"/>
          <w:sz w:val="24"/>
          <w:highlight w:val="none"/>
        </w:rPr>
        <w:t>年</w:t>
      </w:r>
      <w:r>
        <w:rPr>
          <w:rFonts w:ascii="宋体" w:hAnsi="宋体" w:eastAsia="宋体" w:cs="宋体"/>
          <w:sz w:val="24"/>
          <w:highlight w:val="none"/>
        </w:rPr>
        <w:t xml:space="preserve">   </w:t>
      </w:r>
      <w:r>
        <w:rPr>
          <w:rFonts w:hint="eastAsia" w:ascii="宋体" w:hAnsi="宋体" w:eastAsia="宋体" w:cs="宋体"/>
          <w:sz w:val="24"/>
          <w:highlight w:val="none"/>
        </w:rPr>
        <w:t>月</w:t>
      </w:r>
      <w:r>
        <w:rPr>
          <w:rFonts w:ascii="宋体" w:hAnsi="宋体" w:eastAsia="宋体" w:cs="宋体"/>
          <w:sz w:val="24"/>
          <w:highlight w:val="none"/>
        </w:rPr>
        <w:t xml:space="preserve">   </w:t>
      </w:r>
      <w:r>
        <w:rPr>
          <w:rFonts w:hint="eastAsia" w:ascii="宋体" w:hAnsi="宋体" w:eastAsia="宋体" w:cs="宋体"/>
          <w:sz w:val="24"/>
          <w:highlight w:val="none"/>
        </w:rPr>
        <w:t>日</w:t>
      </w:r>
    </w:p>
    <w:p>
      <w:pPr>
        <w:pStyle w:val="2"/>
        <w:spacing w:after="0" w:line="480" w:lineRule="exact"/>
        <w:outlineLvl w:val="0"/>
        <w:rPr>
          <w:rFonts w:ascii="宋体"/>
          <w:highlight w:val="none"/>
        </w:rPr>
      </w:pPr>
      <w:r>
        <w:rPr>
          <w:rFonts w:hint="eastAsia" w:ascii="宋体" w:hAnsi="宋体"/>
          <w:highlight w:val="none"/>
        </w:rPr>
        <w:t>附件四：</w:t>
      </w:r>
    </w:p>
    <w:p>
      <w:pPr>
        <w:pStyle w:val="2"/>
        <w:spacing w:after="0" w:line="480" w:lineRule="exact"/>
        <w:jc w:val="center"/>
        <w:outlineLvl w:val="0"/>
        <w:rPr>
          <w:rFonts w:ascii="宋体"/>
          <w:b/>
          <w:sz w:val="32"/>
          <w:szCs w:val="32"/>
          <w:highlight w:val="none"/>
        </w:rPr>
      </w:pPr>
      <w:bookmarkStart w:id="111" w:name="_Toc27446"/>
      <w:bookmarkStart w:id="112" w:name="_Toc17048"/>
      <w:r>
        <w:rPr>
          <w:rFonts w:hint="eastAsia" w:ascii="宋体" w:hAnsi="宋体"/>
          <w:b/>
          <w:sz w:val="32"/>
          <w:szCs w:val="32"/>
          <w:highlight w:val="none"/>
        </w:rPr>
        <w:t>报价明细表</w:t>
      </w:r>
      <w:bookmarkEnd w:id="111"/>
      <w:bookmarkEnd w:id="112"/>
    </w:p>
    <w:p>
      <w:pPr>
        <w:tabs>
          <w:tab w:val="left" w:pos="1785"/>
        </w:tabs>
        <w:spacing w:line="480" w:lineRule="exact"/>
        <w:rPr>
          <w:rFonts w:ascii="宋体"/>
          <w:sz w:val="24"/>
          <w:highlight w:val="none"/>
        </w:rPr>
      </w:pPr>
      <w:r>
        <w:rPr>
          <w:rFonts w:hint="eastAsia" w:ascii="宋体" w:hAnsi="宋体"/>
          <w:b/>
          <w:sz w:val="24"/>
          <w:highlight w:val="none"/>
        </w:rPr>
        <w:t>货物名称</w:t>
      </w:r>
      <w:r>
        <w:rPr>
          <w:rFonts w:ascii="宋体" w:hAnsi="宋体"/>
          <w:b/>
          <w:sz w:val="24"/>
          <w:highlight w:val="none"/>
        </w:rPr>
        <w:t xml:space="preserve"> :                                                                                       </w:t>
      </w:r>
      <w:r>
        <w:rPr>
          <w:rFonts w:hint="eastAsia" w:ascii="宋体" w:hAnsi="宋体"/>
          <w:b/>
          <w:sz w:val="24"/>
          <w:highlight w:val="none"/>
        </w:rPr>
        <w:t>货币：</w:t>
      </w:r>
      <w:r>
        <w:rPr>
          <w:rFonts w:ascii="宋体" w:hAnsi="宋体"/>
          <w:sz w:val="24"/>
          <w:highlight w:val="none"/>
        </w:rPr>
        <w:t xml:space="preserve"> </w:t>
      </w:r>
    </w:p>
    <w:tbl>
      <w:tblPr>
        <w:tblStyle w:val="34"/>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64"/>
        <w:gridCol w:w="1566"/>
        <w:gridCol w:w="1602"/>
        <w:gridCol w:w="1056"/>
        <w:gridCol w:w="702"/>
        <w:gridCol w:w="1050"/>
        <w:gridCol w:w="735"/>
        <w:gridCol w:w="945"/>
        <w:gridCol w:w="840"/>
        <w:gridCol w:w="1155"/>
        <w:gridCol w:w="115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48" w:type="dxa"/>
            <w:vMerge w:val="restart"/>
            <w:vAlign w:val="center"/>
          </w:tcPr>
          <w:p>
            <w:pPr>
              <w:spacing w:line="480" w:lineRule="exact"/>
              <w:jc w:val="center"/>
              <w:rPr>
                <w:rFonts w:ascii="宋体"/>
                <w:sz w:val="24"/>
                <w:highlight w:val="none"/>
              </w:rPr>
            </w:pPr>
            <w:r>
              <w:rPr>
                <w:rFonts w:hint="eastAsia" w:ascii="宋体" w:hAnsi="宋体"/>
                <w:sz w:val="24"/>
                <w:highlight w:val="none"/>
              </w:rPr>
              <w:t>序号</w:t>
            </w:r>
          </w:p>
        </w:tc>
        <w:tc>
          <w:tcPr>
            <w:tcW w:w="1164" w:type="dxa"/>
            <w:vMerge w:val="restart"/>
            <w:vAlign w:val="center"/>
          </w:tcPr>
          <w:p>
            <w:pPr>
              <w:spacing w:line="480" w:lineRule="exact"/>
              <w:jc w:val="center"/>
              <w:rPr>
                <w:rFonts w:ascii="宋体"/>
                <w:sz w:val="24"/>
                <w:highlight w:val="none"/>
              </w:rPr>
            </w:pPr>
            <w:r>
              <w:rPr>
                <w:rFonts w:hint="eastAsia" w:ascii="宋体" w:hAnsi="宋体"/>
                <w:sz w:val="24"/>
                <w:highlight w:val="none"/>
              </w:rPr>
              <w:t>货物</w:t>
            </w:r>
          </w:p>
          <w:p>
            <w:pPr>
              <w:spacing w:line="480" w:lineRule="exact"/>
              <w:jc w:val="center"/>
              <w:rPr>
                <w:rFonts w:ascii="宋体"/>
                <w:sz w:val="24"/>
                <w:highlight w:val="none"/>
              </w:rPr>
            </w:pPr>
            <w:r>
              <w:rPr>
                <w:rFonts w:hint="eastAsia" w:ascii="宋体" w:hAnsi="宋体"/>
                <w:sz w:val="24"/>
                <w:highlight w:val="none"/>
              </w:rPr>
              <w:t>名称</w:t>
            </w:r>
          </w:p>
        </w:tc>
        <w:tc>
          <w:tcPr>
            <w:tcW w:w="1566" w:type="dxa"/>
            <w:vMerge w:val="restart"/>
            <w:vAlign w:val="center"/>
          </w:tcPr>
          <w:p>
            <w:pPr>
              <w:spacing w:line="480" w:lineRule="exact"/>
              <w:jc w:val="center"/>
              <w:rPr>
                <w:rFonts w:ascii="宋体"/>
                <w:sz w:val="24"/>
                <w:highlight w:val="none"/>
              </w:rPr>
            </w:pPr>
            <w:r>
              <w:rPr>
                <w:rFonts w:hint="eastAsia" w:ascii="宋体" w:hAnsi="宋体"/>
                <w:sz w:val="24"/>
                <w:highlight w:val="none"/>
              </w:rPr>
              <w:t>规格</w:t>
            </w:r>
          </w:p>
          <w:p>
            <w:pPr>
              <w:spacing w:line="480" w:lineRule="exact"/>
              <w:jc w:val="center"/>
              <w:rPr>
                <w:rFonts w:ascii="宋体"/>
                <w:sz w:val="24"/>
                <w:highlight w:val="none"/>
              </w:rPr>
            </w:pPr>
            <w:r>
              <w:rPr>
                <w:rFonts w:hint="eastAsia" w:ascii="宋体" w:hAnsi="宋体"/>
                <w:sz w:val="24"/>
                <w:highlight w:val="none"/>
              </w:rPr>
              <w:t>型号</w:t>
            </w:r>
          </w:p>
        </w:tc>
        <w:tc>
          <w:tcPr>
            <w:tcW w:w="1602" w:type="dxa"/>
            <w:vMerge w:val="restart"/>
            <w:vAlign w:val="center"/>
          </w:tcPr>
          <w:p>
            <w:pPr>
              <w:spacing w:line="480" w:lineRule="exact"/>
              <w:jc w:val="center"/>
              <w:rPr>
                <w:rFonts w:ascii="宋体"/>
                <w:sz w:val="24"/>
                <w:highlight w:val="none"/>
              </w:rPr>
            </w:pPr>
            <w:r>
              <w:rPr>
                <w:rFonts w:hint="eastAsia" w:ascii="宋体" w:hAnsi="宋体"/>
                <w:sz w:val="24"/>
                <w:highlight w:val="none"/>
              </w:rPr>
              <w:t>制造商</w:t>
            </w:r>
            <w:r>
              <w:rPr>
                <w:rFonts w:ascii="宋体" w:hAnsi="宋体"/>
                <w:sz w:val="24"/>
                <w:highlight w:val="none"/>
              </w:rPr>
              <w:t>/</w:t>
            </w:r>
            <w:r>
              <w:rPr>
                <w:rFonts w:hint="eastAsia" w:ascii="宋体" w:hAnsi="宋体"/>
                <w:sz w:val="24"/>
                <w:highlight w:val="none"/>
              </w:rPr>
              <w:t>品牌</w:t>
            </w:r>
          </w:p>
        </w:tc>
        <w:tc>
          <w:tcPr>
            <w:tcW w:w="1056" w:type="dxa"/>
            <w:vMerge w:val="restart"/>
            <w:vAlign w:val="center"/>
          </w:tcPr>
          <w:p>
            <w:pPr>
              <w:spacing w:line="480" w:lineRule="exact"/>
              <w:jc w:val="center"/>
              <w:rPr>
                <w:rFonts w:ascii="宋体"/>
                <w:sz w:val="24"/>
                <w:highlight w:val="none"/>
              </w:rPr>
            </w:pPr>
            <w:r>
              <w:rPr>
                <w:rFonts w:hint="eastAsia" w:ascii="宋体" w:hAnsi="宋体"/>
                <w:sz w:val="24"/>
                <w:highlight w:val="none"/>
              </w:rPr>
              <w:t>数量</w:t>
            </w:r>
          </w:p>
        </w:tc>
        <w:tc>
          <w:tcPr>
            <w:tcW w:w="1752" w:type="dxa"/>
            <w:gridSpan w:val="2"/>
            <w:vAlign w:val="center"/>
          </w:tcPr>
          <w:p>
            <w:pPr>
              <w:spacing w:line="480" w:lineRule="exact"/>
              <w:jc w:val="center"/>
              <w:rPr>
                <w:rFonts w:ascii="宋体"/>
                <w:sz w:val="24"/>
                <w:highlight w:val="none"/>
              </w:rPr>
            </w:pPr>
            <w:r>
              <w:rPr>
                <w:rFonts w:hint="eastAsia" w:ascii="宋体" w:hAnsi="宋体"/>
                <w:sz w:val="24"/>
                <w:highlight w:val="none"/>
              </w:rPr>
              <w:t>货物价</w:t>
            </w:r>
          </w:p>
        </w:tc>
        <w:tc>
          <w:tcPr>
            <w:tcW w:w="1680" w:type="dxa"/>
            <w:gridSpan w:val="2"/>
            <w:vAlign w:val="center"/>
          </w:tcPr>
          <w:p>
            <w:pPr>
              <w:spacing w:line="480" w:lineRule="exact"/>
              <w:jc w:val="center"/>
              <w:rPr>
                <w:rFonts w:ascii="宋体"/>
                <w:sz w:val="24"/>
                <w:highlight w:val="none"/>
              </w:rPr>
            </w:pPr>
            <w:r>
              <w:rPr>
                <w:rFonts w:hint="eastAsia" w:ascii="宋体" w:hAnsi="宋体"/>
                <w:sz w:val="24"/>
                <w:highlight w:val="none"/>
              </w:rPr>
              <w:t>运杂费</w:t>
            </w:r>
          </w:p>
        </w:tc>
        <w:tc>
          <w:tcPr>
            <w:tcW w:w="1995" w:type="dxa"/>
            <w:gridSpan w:val="2"/>
            <w:vAlign w:val="center"/>
          </w:tcPr>
          <w:p>
            <w:pPr>
              <w:spacing w:line="480" w:lineRule="exact"/>
              <w:jc w:val="center"/>
              <w:rPr>
                <w:rFonts w:ascii="宋体"/>
                <w:sz w:val="24"/>
                <w:highlight w:val="none"/>
              </w:rPr>
            </w:pPr>
            <w:r>
              <w:rPr>
                <w:rFonts w:hint="eastAsia" w:ascii="宋体" w:hAnsi="宋体"/>
                <w:sz w:val="24"/>
                <w:highlight w:val="none"/>
              </w:rPr>
              <w:t>安装调试费</w:t>
            </w:r>
          </w:p>
        </w:tc>
        <w:tc>
          <w:tcPr>
            <w:tcW w:w="1155" w:type="dxa"/>
            <w:vMerge w:val="restart"/>
            <w:vAlign w:val="center"/>
          </w:tcPr>
          <w:p>
            <w:pPr>
              <w:spacing w:line="480" w:lineRule="exact"/>
              <w:jc w:val="center"/>
              <w:rPr>
                <w:rFonts w:ascii="宋体"/>
                <w:sz w:val="24"/>
                <w:highlight w:val="none"/>
              </w:rPr>
            </w:pPr>
            <w:r>
              <w:rPr>
                <w:rFonts w:hint="eastAsia" w:ascii="宋体" w:hAnsi="宋体"/>
                <w:sz w:val="24"/>
                <w:highlight w:val="none"/>
              </w:rPr>
              <w:t>培训费</w:t>
            </w:r>
          </w:p>
        </w:tc>
        <w:tc>
          <w:tcPr>
            <w:tcW w:w="1260" w:type="dxa"/>
            <w:vMerge w:val="restart"/>
            <w:vAlign w:val="center"/>
          </w:tcPr>
          <w:p>
            <w:pPr>
              <w:spacing w:line="480" w:lineRule="exact"/>
              <w:jc w:val="center"/>
              <w:rPr>
                <w:rFonts w:ascii="宋体"/>
                <w:sz w:val="24"/>
                <w:highlight w:val="none"/>
              </w:rPr>
            </w:pPr>
            <w:r>
              <w:rPr>
                <w:rFonts w:hint="eastAsia" w:ascii="宋体" w:hAnsi="宋体"/>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48" w:type="dxa"/>
            <w:vMerge w:val="continue"/>
            <w:vAlign w:val="center"/>
          </w:tcPr>
          <w:p>
            <w:pPr>
              <w:spacing w:line="480" w:lineRule="exact"/>
              <w:jc w:val="center"/>
              <w:rPr>
                <w:rFonts w:ascii="宋体"/>
                <w:sz w:val="24"/>
                <w:highlight w:val="none"/>
              </w:rPr>
            </w:pPr>
          </w:p>
        </w:tc>
        <w:tc>
          <w:tcPr>
            <w:tcW w:w="1164" w:type="dxa"/>
            <w:vMerge w:val="continue"/>
            <w:vAlign w:val="center"/>
          </w:tcPr>
          <w:p>
            <w:pPr>
              <w:spacing w:line="480" w:lineRule="exact"/>
              <w:jc w:val="center"/>
              <w:rPr>
                <w:rFonts w:ascii="宋体"/>
                <w:sz w:val="24"/>
                <w:highlight w:val="none"/>
              </w:rPr>
            </w:pPr>
          </w:p>
        </w:tc>
        <w:tc>
          <w:tcPr>
            <w:tcW w:w="1566" w:type="dxa"/>
            <w:vMerge w:val="continue"/>
          </w:tcPr>
          <w:p>
            <w:pPr>
              <w:spacing w:line="480" w:lineRule="exact"/>
              <w:rPr>
                <w:rFonts w:ascii="宋体"/>
                <w:sz w:val="24"/>
                <w:highlight w:val="none"/>
              </w:rPr>
            </w:pPr>
          </w:p>
        </w:tc>
        <w:tc>
          <w:tcPr>
            <w:tcW w:w="1602" w:type="dxa"/>
            <w:vMerge w:val="continue"/>
          </w:tcPr>
          <w:p>
            <w:pPr>
              <w:spacing w:line="480" w:lineRule="exact"/>
              <w:rPr>
                <w:rFonts w:ascii="宋体"/>
                <w:sz w:val="24"/>
                <w:highlight w:val="none"/>
              </w:rPr>
            </w:pPr>
          </w:p>
        </w:tc>
        <w:tc>
          <w:tcPr>
            <w:tcW w:w="1056" w:type="dxa"/>
            <w:vMerge w:val="continue"/>
          </w:tcPr>
          <w:p>
            <w:pPr>
              <w:spacing w:line="480" w:lineRule="exact"/>
              <w:rPr>
                <w:rFonts w:ascii="宋体"/>
                <w:sz w:val="24"/>
                <w:highlight w:val="none"/>
              </w:rPr>
            </w:pPr>
          </w:p>
        </w:tc>
        <w:tc>
          <w:tcPr>
            <w:tcW w:w="702"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050"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735"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945"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840"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155"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1155" w:type="dxa"/>
            <w:vMerge w:val="continue"/>
          </w:tcPr>
          <w:p>
            <w:pPr>
              <w:spacing w:line="480" w:lineRule="exact"/>
              <w:jc w:val="center"/>
              <w:rPr>
                <w:rFonts w:ascii="宋体"/>
                <w:sz w:val="24"/>
                <w:highlight w:val="none"/>
              </w:rPr>
            </w:pPr>
          </w:p>
        </w:tc>
        <w:tc>
          <w:tcPr>
            <w:tcW w:w="1260" w:type="dxa"/>
            <w:vMerge w:val="continue"/>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948" w:type="dxa"/>
            <w:vAlign w:val="center"/>
          </w:tcPr>
          <w:p>
            <w:pPr>
              <w:spacing w:line="480" w:lineRule="exact"/>
              <w:jc w:val="center"/>
              <w:rPr>
                <w:rFonts w:ascii="宋体"/>
                <w:sz w:val="24"/>
                <w:highlight w:val="none"/>
              </w:rPr>
            </w:pPr>
            <w:r>
              <w:rPr>
                <w:rFonts w:hint="eastAsia" w:ascii="宋体" w:hAnsi="宋体"/>
                <w:sz w:val="24"/>
                <w:highlight w:val="none"/>
              </w:rPr>
              <w:t>总报价</w:t>
            </w:r>
          </w:p>
        </w:tc>
        <w:tc>
          <w:tcPr>
            <w:tcW w:w="13230" w:type="dxa"/>
            <w:gridSpan w:val="12"/>
          </w:tcPr>
          <w:p>
            <w:pPr>
              <w:widowControl/>
              <w:spacing w:line="480" w:lineRule="exact"/>
              <w:jc w:val="left"/>
              <w:rPr>
                <w:rFonts w:ascii="宋体"/>
                <w:sz w:val="24"/>
                <w:highlight w:val="none"/>
              </w:rPr>
            </w:pPr>
          </w:p>
        </w:tc>
      </w:tr>
    </w:tbl>
    <w:p>
      <w:pPr>
        <w:pStyle w:val="63"/>
        <w:spacing w:before="240" w:line="480" w:lineRule="exact"/>
        <w:ind w:firstLine="0" w:firstLineChars="0"/>
        <w:rPr>
          <w:rFonts w:ascii="宋体"/>
          <w:highlight w:val="none"/>
        </w:rPr>
      </w:pPr>
      <w:r>
        <w:rPr>
          <w:rFonts w:hint="eastAsia" w:ascii="宋体" w:hAnsi="宋体"/>
          <w:highlight w:val="none"/>
        </w:rPr>
        <w:t>供应商名称（盖章）：</w:t>
      </w:r>
    </w:p>
    <w:p>
      <w:pPr>
        <w:pStyle w:val="63"/>
        <w:spacing w:before="240" w:line="480" w:lineRule="exact"/>
        <w:ind w:firstLine="0" w:firstLineChars="0"/>
        <w:rPr>
          <w:rFonts w:ascii="宋体"/>
          <w:highlight w:val="none"/>
        </w:rPr>
      </w:pPr>
      <w:r>
        <w:rPr>
          <w:rFonts w:hint="eastAsia" w:ascii="宋体" w:hAnsi="宋体"/>
          <w:highlight w:val="none"/>
        </w:rPr>
        <w:t>授权代表（签字或盖章）：年月日</w:t>
      </w:r>
    </w:p>
    <w:p>
      <w:pPr>
        <w:spacing w:line="480" w:lineRule="exact"/>
        <w:rPr>
          <w:rFonts w:ascii="宋体"/>
          <w:sz w:val="24"/>
          <w:highlight w:val="none"/>
        </w:rPr>
      </w:pPr>
      <w:r>
        <w:rPr>
          <w:rFonts w:hint="eastAsia" w:ascii="宋体" w:hAnsi="宋体"/>
          <w:sz w:val="24"/>
          <w:highlight w:val="none"/>
        </w:rPr>
        <w:t>注：</w:t>
      </w:r>
      <w:r>
        <w:rPr>
          <w:rFonts w:ascii="宋体" w:hAnsi="宋体"/>
          <w:sz w:val="24"/>
          <w:highlight w:val="none"/>
        </w:rPr>
        <w:t xml:space="preserve"> 1. </w:t>
      </w:r>
      <w:r>
        <w:rPr>
          <w:rFonts w:hint="eastAsia" w:ascii="宋体" w:hAnsi="宋体"/>
          <w:sz w:val="24"/>
          <w:highlight w:val="none"/>
        </w:rPr>
        <w:t>包中货物应全部分项报价</w:t>
      </w:r>
      <w:r>
        <w:rPr>
          <w:rFonts w:ascii="宋体" w:hAnsi="宋体"/>
          <w:sz w:val="24"/>
          <w:highlight w:val="none"/>
        </w:rPr>
        <w:t>(</w:t>
      </w:r>
      <w:r>
        <w:rPr>
          <w:rFonts w:hint="eastAsia" w:ascii="宋体" w:hAnsi="宋体"/>
          <w:sz w:val="24"/>
          <w:highlight w:val="none"/>
        </w:rPr>
        <w:t>根据技术要求中清单数量进行分项报价</w:t>
      </w:r>
      <w:r>
        <w:rPr>
          <w:rFonts w:ascii="宋体" w:hAnsi="宋体"/>
          <w:sz w:val="24"/>
          <w:highlight w:val="none"/>
        </w:rPr>
        <w:t>)</w:t>
      </w:r>
      <w:r>
        <w:rPr>
          <w:rFonts w:hint="eastAsia" w:ascii="宋体" w:hAnsi="宋体"/>
          <w:sz w:val="24"/>
          <w:highlight w:val="none"/>
        </w:rPr>
        <w:t>；</w:t>
      </w:r>
    </w:p>
    <w:p>
      <w:pPr>
        <w:tabs>
          <w:tab w:val="left" w:pos="930"/>
        </w:tabs>
        <w:spacing w:line="480" w:lineRule="exact"/>
        <w:ind w:firstLine="553" w:firstLineChars="250"/>
        <w:rPr>
          <w:rFonts w:ascii="宋体"/>
          <w:sz w:val="24"/>
          <w:highlight w:val="none"/>
        </w:rPr>
      </w:pPr>
      <w:r>
        <w:rPr>
          <w:rFonts w:ascii="宋体" w:hAnsi="宋体"/>
          <w:sz w:val="24"/>
          <w:highlight w:val="none"/>
        </w:rPr>
        <w:t>2.</w:t>
      </w:r>
      <w:r>
        <w:rPr>
          <w:rFonts w:hint="eastAsia" w:ascii="宋体" w:hAnsi="宋体"/>
          <w:sz w:val="24"/>
          <w:highlight w:val="none"/>
        </w:rPr>
        <w:t>随货物所供的备品备件、专用工具、技术培训等应分项明细报价；</w:t>
      </w:r>
    </w:p>
    <w:p>
      <w:pPr>
        <w:tabs>
          <w:tab w:val="left" w:pos="930"/>
        </w:tabs>
        <w:spacing w:line="480" w:lineRule="exact"/>
        <w:ind w:firstLine="553" w:firstLineChars="250"/>
        <w:rPr>
          <w:rFonts w:ascii="宋体"/>
          <w:sz w:val="24"/>
          <w:highlight w:val="none"/>
        </w:rPr>
      </w:pPr>
      <w:r>
        <w:rPr>
          <w:rFonts w:ascii="宋体" w:hAnsi="宋体"/>
          <w:sz w:val="24"/>
          <w:highlight w:val="none"/>
        </w:rPr>
        <w:t>3.</w:t>
      </w:r>
      <w:r>
        <w:rPr>
          <w:rFonts w:hint="eastAsia" w:ascii="宋体" w:hAnsi="宋体"/>
          <w:sz w:val="24"/>
          <w:highlight w:val="none"/>
        </w:rPr>
        <w:t>如上表中有关费用供应商免费提供，请注明“免费”字样。</w:t>
      </w:r>
    </w:p>
    <w:p>
      <w:pPr>
        <w:pStyle w:val="2"/>
        <w:spacing w:after="0" w:line="480" w:lineRule="exact"/>
        <w:ind w:firstLine="478" w:firstLineChars="250"/>
        <w:outlineLvl w:val="0"/>
        <w:rPr>
          <w:rFonts w:ascii="宋体"/>
          <w:highlight w:val="none"/>
        </w:rPr>
        <w:sectPr>
          <w:pgSz w:w="16840" w:h="11907" w:orient="landscape"/>
          <w:pgMar w:top="1418" w:right="1157" w:bottom="1418" w:left="1304" w:header="851" w:footer="851" w:gutter="0"/>
          <w:cols w:space="720" w:num="1"/>
          <w:titlePg/>
          <w:docGrid w:type="linesAndChars" w:linePitch="290" w:charSpace="-3931"/>
        </w:sectPr>
      </w:pPr>
    </w:p>
    <w:p>
      <w:pPr>
        <w:pStyle w:val="9"/>
        <w:spacing w:before="0" w:after="0" w:line="480" w:lineRule="exact"/>
        <w:rPr>
          <w:rFonts w:ascii="宋体" w:hAnsi="宋体" w:eastAsia="宋体"/>
          <w:highlight w:val="none"/>
        </w:rPr>
      </w:pPr>
      <w:r>
        <w:rPr>
          <w:rFonts w:hint="eastAsia" w:ascii="宋体" w:hAnsi="宋体" w:eastAsia="宋体" w:cs="Times New Roman"/>
          <w:sz w:val="24"/>
          <w:szCs w:val="24"/>
          <w:highlight w:val="none"/>
        </w:rPr>
        <w:t>附件五：</w:t>
      </w:r>
    </w:p>
    <w:p>
      <w:pPr>
        <w:pStyle w:val="9"/>
        <w:spacing w:before="0" w:after="0"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技术偏离表</w:t>
      </w:r>
    </w:p>
    <w:p>
      <w:pPr>
        <w:spacing w:line="480" w:lineRule="exact"/>
        <w:rPr>
          <w:rFonts w:ascii="宋体"/>
          <w:sz w:val="24"/>
          <w:highlight w:val="none"/>
        </w:rPr>
      </w:pPr>
      <w:r>
        <w:rPr>
          <w:rFonts w:hint="eastAsia" w:ascii="宋体" w:hAnsi="宋体"/>
          <w:sz w:val="24"/>
          <w:highlight w:val="none"/>
        </w:rPr>
        <w:t>货物名称</w:t>
      </w:r>
      <w:r>
        <w:rPr>
          <w:rFonts w:ascii="宋体" w:hAnsi="宋体"/>
          <w:sz w:val="24"/>
          <w:highlight w:val="none"/>
        </w:rPr>
        <w:t xml:space="preserve"> :                 </w:t>
      </w:r>
    </w:p>
    <w:tbl>
      <w:tblPr>
        <w:tblStyle w:val="34"/>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磋商文件条目号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磋商文件技术要求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响应文件实际情况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响应文件对应的页码及条目号</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63"/>
        <w:adjustRightInd w:val="0"/>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供应商请按照磋商文件“第三部分项目要求”中的技术要求逐一填写，供应商不得自行增减或删除、修改任何指标，也不能直接复制粘贴招标文件中的要求，必须填写真实数据，否则评标委员会将作出不利于供应商的认定。</w:t>
      </w:r>
    </w:p>
    <w:p>
      <w:pPr>
        <w:pStyle w:val="63"/>
        <w:adjustRightInd w:val="0"/>
        <w:snapToGrid w:val="0"/>
        <w:spacing w:before="240" w:line="240" w:lineRule="auto"/>
        <w:ind w:firstLine="0" w:firstLineChars="0"/>
        <w:rPr>
          <w:highlight w:val="none"/>
        </w:rPr>
      </w:pPr>
      <w:r>
        <w:rPr>
          <w:highlight w:val="none"/>
        </w:rPr>
        <w:t xml:space="preserve">    2</w:t>
      </w:r>
      <w:r>
        <w:rPr>
          <w:rFonts w:hint="eastAsia"/>
          <w:highlight w:val="none"/>
        </w:rPr>
        <w:t>、供应商提供虚假承诺的，磋商小组可认定虚假投标，请各供应商谨慎填写。</w:t>
      </w:r>
    </w:p>
    <w:p>
      <w:pPr>
        <w:pStyle w:val="63"/>
        <w:spacing w:before="240" w:line="480" w:lineRule="exact"/>
        <w:ind w:firstLine="0" w:firstLineChars="0"/>
        <w:rPr>
          <w:highlight w:val="none"/>
        </w:rPr>
      </w:pPr>
    </w:p>
    <w:p>
      <w:pPr>
        <w:pStyle w:val="63"/>
        <w:spacing w:before="240" w:line="480" w:lineRule="exact"/>
        <w:ind w:firstLine="0" w:firstLineChars="0"/>
        <w:rPr>
          <w:highlight w:val="none"/>
        </w:rPr>
      </w:pPr>
      <w:r>
        <w:rPr>
          <w:rFonts w:hint="eastAsia"/>
          <w:highlight w:val="none"/>
        </w:rPr>
        <w:t>供应商名称（盖章）：</w:t>
      </w:r>
    </w:p>
    <w:p>
      <w:pPr>
        <w:pStyle w:val="63"/>
        <w:spacing w:before="240" w:line="480" w:lineRule="exact"/>
        <w:ind w:firstLine="0" w:firstLineChars="0"/>
        <w:rPr>
          <w:highlight w:val="none"/>
        </w:rPr>
      </w:pPr>
      <w:r>
        <w:rPr>
          <w:rFonts w:hint="eastAsia"/>
          <w:highlight w:val="none"/>
        </w:rPr>
        <w:t>授权代表（签字或盖章）：</w:t>
      </w:r>
    </w:p>
    <w:p>
      <w:pPr>
        <w:pStyle w:val="9"/>
        <w:wordWrap w:val="0"/>
        <w:spacing w:before="0" w:after="0" w:line="480" w:lineRule="exact"/>
        <w:ind w:right="72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月</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日</w:t>
      </w:r>
    </w:p>
    <w:p>
      <w:pPr>
        <w:pStyle w:val="9"/>
        <w:spacing w:before="0" w:after="0" w:line="480" w:lineRule="exact"/>
        <w:rPr>
          <w:rFonts w:ascii="宋体" w:hAnsi="宋体" w:eastAsia="宋体"/>
          <w:sz w:val="21"/>
          <w:highlight w:val="none"/>
        </w:rPr>
      </w:pPr>
      <w:r>
        <w:rPr>
          <w:rFonts w:ascii="宋体" w:hAnsi="宋体" w:eastAsia="宋体" w:cs="Times New Roman"/>
          <w:sz w:val="24"/>
          <w:szCs w:val="24"/>
          <w:highlight w:val="none"/>
        </w:rPr>
        <w:br w:type="page"/>
      </w:r>
      <w:r>
        <w:rPr>
          <w:rFonts w:hint="eastAsia" w:ascii="宋体" w:hAnsi="宋体" w:eastAsia="宋体" w:cs="Times New Roman"/>
          <w:sz w:val="24"/>
          <w:szCs w:val="24"/>
          <w:highlight w:val="none"/>
        </w:rPr>
        <w:t>附件六</w:t>
      </w:r>
      <w:r>
        <w:rPr>
          <w:rFonts w:ascii="宋体" w:hAnsi="宋体" w:eastAsia="宋体" w:cs="Times New Roman"/>
          <w:sz w:val="24"/>
          <w:szCs w:val="24"/>
          <w:highlight w:val="none"/>
        </w:rPr>
        <w:t>:</w:t>
      </w:r>
    </w:p>
    <w:p>
      <w:pPr>
        <w:pStyle w:val="9"/>
        <w:spacing w:before="0" w:after="0"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商务偏离表</w:t>
      </w:r>
    </w:p>
    <w:p>
      <w:pPr>
        <w:spacing w:line="480" w:lineRule="exact"/>
        <w:rPr>
          <w:highlight w:val="none"/>
        </w:rPr>
      </w:pPr>
      <w:r>
        <w:rPr>
          <w:rFonts w:hint="eastAsia" w:ascii="宋体" w:hAnsi="宋体"/>
          <w:sz w:val="24"/>
          <w:highlight w:val="none"/>
        </w:rPr>
        <w:t>货物名称</w:t>
      </w:r>
      <w:r>
        <w:rPr>
          <w:rFonts w:ascii="宋体" w:hAnsi="宋体"/>
          <w:sz w:val="24"/>
          <w:highlight w:val="none"/>
        </w:rPr>
        <w:t xml:space="preserve"> :                                        </w:t>
      </w:r>
    </w:p>
    <w:tbl>
      <w:tblPr>
        <w:tblStyle w:val="34"/>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磋商文件条目号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磋商文件技术要求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响应文件实际情况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响应文件对应的页码</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63"/>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、请填写磋商文件已列明并要求供应商响应的如付款方式、交货期、质保期、培训方案、售后服务等商务条款，并逐一做出承诺。</w:t>
      </w:r>
    </w:p>
    <w:p>
      <w:pPr>
        <w:pStyle w:val="63"/>
        <w:snapToGrid w:val="0"/>
        <w:spacing w:before="240" w:line="240" w:lineRule="auto"/>
        <w:ind w:firstLine="0" w:firstLineChars="0"/>
        <w:rPr>
          <w:highlight w:val="none"/>
        </w:rPr>
      </w:pPr>
      <w:r>
        <w:rPr>
          <w:highlight w:val="none"/>
        </w:rPr>
        <w:t xml:space="preserve">      2</w:t>
      </w:r>
      <w:r>
        <w:rPr>
          <w:rFonts w:hint="eastAsia"/>
          <w:highlight w:val="none"/>
        </w:rPr>
        <w:t>、请供应商在填写偏离表时，对应磋商文件要求如实填写“偏离”或“不偏离”，若投标人自行承诺的售后服务与此表不一致的，则磋商小组会有权作出不利于供应商的认定。</w:t>
      </w:r>
    </w:p>
    <w:p>
      <w:pPr>
        <w:pStyle w:val="63"/>
        <w:snapToGrid w:val="0"/>
        <w:spacing w:before="240" w:line="240" w:lineRule="auto"/>
        <w:ind w:firstLine="0" w:firstLineChars="0"/>
        <w:rPr>
          <w:highlight w:val="none"/>
        </w:rPr>
      </w:pPr>
      <w:r>
        <w:rPr>
          <w:highlight w:val="none"/>
        </w:rPr>
        <w:t xml:space="preserve">     3</w:t>
      </w:r>
      <w:r>
        <w:rPr>
          <w:rFonts w:hint="eastAsia"/>
          <w:highlight w:val="none"/>
        </w:rPr>
        <w:t>、供应商提供虚假承诺的，磋商小组可认定为虚假投标。请各供应商谨慎填写。</w:t>
      </w:r>
    </w:p>
    <w:p>
      <w:pPr>
        <w:pStyle w:val="63"/>
        <w:spacing w:before="240" w:line="480" w:lineRule="exact"/>
        <w:ind w:firstLine="0" w:firstLineChars="0"/>
        <w:rPr>
          <w:highlight w:val="none"/>
        </w:rPr>
      </w:pPr>
    </w:p>
    <w:p>
      <w:pPr>
        <w:pStyle w:val="63"/>
        <w:spacing w:before="240" w:line="480" w:lineRule="exact"/>
        <w:ind w:firstLine="0" w:firstLineChars="0"/>
        <w:rPr>
          <w:highlight w:val="none"/>
        </w:rPr>
      </w:pPr>
      <w:r>
        <w:rPr>
          <w:rFonts w:hint="eastAsia"/>
          <w:highlight w:val="none"/>
        </w:rPr>
        <w:t>供应商名称（盖章）：</w:t>
      </w:r>
    </w:p>
    <w:p>
      <w:pPr>
        <w:pStyle w:val="63"/>
        <w:spacing w:before="240" w:line="480" w:lineRule="exact"/>
        <w:ind w:firstLine="0" w:firstLineChars="0"/>
        <w:rPr>
          <w:highlight w:val="none"/>
        </w:rPr>
      </w:pPr>
      <w:r>
        <w:rPr>
          <w:rFonts w:hint="eastAsia"/>
          <w:highlight w:val="none"/>
        </w:rPr>
        <w:t>授权代表（签字或盖章）：</w:t>
      </w:r>
    </w:p>
    <w:p>
      <w:pPr>
        <w:pStyle w:val="9"/>
        <w:wordWrap w:val="0"/>
        <w:spacing w:before="0" w:after="0" w:line="480" w:lineRule="exact"/>
        <w:ind w:right="48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月</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日</w:t>
      </w:r>
    </w:p>
    <w:p>
      <w:pPr>
        <w:spacing w:line="480" w:lineRule="exact"/>
        <w:rPr>
          <w:rFonts w:ascii="宋体"/>
          <w:highlight w:val="none"/>
        </w:rPr>
      </w:pPr>
    </w:p>
    <w:p>
      <w:pPr>
        <w:spacing w:line="480" w:lineRule="exact"/>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bookmarkStart w:id="113" w:name="_Toc29000"/>
      <w:bookmarkStart w:id="114" w:name="_Toc12149"/>
      <w:bookmarkStart w:id="115" w:name="_Toc13424"/>
    </w:p>
    <w:p>
      <w:pPr>
        <w:spacing w:line="480" w:lineRule="exact"/>
        <w:jc w:val="center"/>
        <w:outlineLvl w:val="0"/>
        <w:rPr>
          <w:rFonts w:ascii="宋体"/>
          <w:b/>
          <w:sz w:val="28"/>
          <w:highlight w:val="none"/>
        </w:rPr>
      </w:pPr>
      <w:r>
        <w:rPr>
          <w:rFonts w:hint="eastAsia" w:ascii="宋体" w:hAnsi="宋体"/>
          <w:sz w:val="24"/>
          <w:highlight w:val="none"/>
        </w:rPr>
        <w:t>附件七：</w:t>
      </w:r>
      <w:r>
        <w:rPr>
          <w:rFonts w:hint="eastAsia" w:ascii="宋体" w:hAnsi="宋体"/>
          <w:b/>
          <w:sz w:val="28"/>
          <w:highlight w:val="none"/>
        </w:rPr>
        <w:t>服务承诺及其它优惠条件</w:t>
      </w:r>
      <w:bookmarkEnd w:id="113"/>
      <w:bookmarkEnd w:id="114"/>
      <w:bookmarkEnd w:id="115"/>
    </w:p>
    <w:p>
      <w:pPr>
        <w:spacing w:line="480" w:lineRule="exact"/>
        <w:jc w:val="center"/>
        <w:outlineLvl w:val="0"/>
        <w:rPr>
          <w:rFonts w:ascii="宋体"/>
          <w:bCs/>
          <w:sz w:val="28"/>
          <w:szCs w:val="28"/>
          <w:highlight w:val="none"/>
        </w:rPr>
      </w:pPr>
      <w:bookmarkStart w:id="116" w:name="_Toc13684"/>
      <w:bookmarkStart w:id="117" w:name="_Toc22463"/>
      <w:bookmarkStart w:id="118" w:name="_Toc31008"/>
      <w:r>
        <w:rPr>
          <w:rFonts w:hint="eastAsia" w:ascii="宋体" w:hAnsi="宋体"/>
          <w:bCs/>
          <w:sz w:val="28"/>
          <w:szCs w:val="28"/>
          <w:highlight w:val="none"/>
        </w:rPr>
        <w:t>（格式自定）</w:t>
      </w:r>
      <w:bookmarkEnd w:id="116"/>
      <w:bookmarkEnd w:id="117"/>
      <w:bookmarkEnd w:id="118"/>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bookmarkStart w:id="119" w:name="_Toc696"/>
      <w:bookmarkStart w:id="120" w:name="_Toc17401"/>
      <w:bookmarkStart w:id="121" w:name="_Toc14054"/>
      <w:r>
        <w:rPr>
          <w:rFonts w:hint="eastAsia" w:ascii="宋体" w:hAnsi="宋体"/>
          <w:sz w:val="24"/>
          <w:highlight w:val="none"/>
        </w:rPr>
        <w:t>附件八：</w:t>
      </w:r>
      <w:r>
        <w:rPr>
          <w:rFonts w:hint="eastAsia" w:ascii="宋体" w:hAnsi="宋体"/>
          <w:b/>
          <w:sz w:val="28"/>
          <w:highlight w:val="none"/>
        </w:rPr>
        <w:t>质保期外备品备件、易损件报价表</w:t>
      </w:r>
      <w:bookmarkEnd w:id="119"/>
      <w:bookmarkEnd w:id="120"/>
      <w:bookmarkEnd w:id="121"/>
    </w:p>
    <w:p>
      <w:pPr>
        <w:spacing w:line="480" w:lineRule="exact"/>
        <w:jc w:val="center"/>
        <w:outlineLvl w:val="0"/>
        <w:rPr>
          <w:rFonts w:ascii="宋体"/>
          <w:b/>
          <w:sz w:val="28"/>
          <w:highlight w:val="none"/>
        </w:rPr>
      </w:pPr>
      <w:bookmarkStart w:id="122" w:name="_Toc12399"/>
      <w:bookmarkStart w:id="123" w:name="_Toc11451"/>
      <w:bookmarkStart w:id="124" w:name="_Toc1232"/>
      <w:r>
        <w:rPr>
          <w:rFonts w:ascii="宋体" w:hAnsi="宋体"/>
          <w:b/>
          <w:sz w:val="28"/>
          <w:highlight w:val="none"/>
        </w:rPr>
        <w:t>(</w:t>
      </w:r>
      <w:r>
        <w:rPr>
          <w:rFonts w:hint="eastAsia" w:ascii="宋体" w:hAnsi="宋体"/>
          <w:b/>
          <w:sz w:val="28"/>
          <w:highlight w:val="none"/>
        </w:rPr>
        <w:t>不包含在总报价中</w:t>
      </w:r>
      <w:r>
        <w:rPr>
          <w:rFonts w:ascii="宋体"/>
          <w:b/>
          <w:sz w:val="28"/>
          <w:highlight w:val="none"/>
        </w:rPr>
        <w:t>,</w:t>
      </w:r>
      <w:r>
        <w:rPr>
          <w:rFonts w:hint="eastAsia" w:ascii="宋体" w:hAnsi="宋体"/>
          <w:b/>
          <w:bCs/>
          <w:sz w:val="28"/>
          <w:szCs w:val="28"/>
          <w:highlight w:val="none"/>
        </w:rPr>
        <w:t>格式自定</w:t>
      </w:r>
      <w:r>
        <w:rPr>
          <w:rFonts w:ascii="宋体" w:hAnsi="宋体"/>
          <w:b/>
          <w:sz w:val="28"/>
          <w:highlight w:val="none"/>
        </w:rPr>
        <w:t>)</w:t>
      </w:r>
      <w:bookmarkEnd w:id="122"/>
      <w:bookmarkEnd w:id="123"/>
      <w:bookmarkEnd w:id="124"/>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bookmarkStart w:id="125" w:name="_Toc1332"/>
      <w:bookmarkStart w:id="126" w:name="_Toc28785"/>
      <w:r>
        <w:rPr>
          <w:rFonts w:hint="eastAsia" w:ascii="宋体" w:hAnsi="宋体"/>
          <w:sz w:val="24"/>
          <w:highlight w:val="none"/>
        </w:rPr>
        <w:t>附件九：</w:t>
      </w:r>
      <w:r>
        <w:rPr>
          <w:rFonts w:hint="eastAsia" w:ascii="宋体" w:hAnsi="宋体"/>
          <w:b/>
          <w:sz w:val="28"/>
          <w:highlight w:val="none"/>
        </w:rPr>
        <w:t>与所投设备配套耗材的价格表</w:t>
      </w:r>
      <w:bookmarkEnd w:id="125"/>
      <w:bookmarkEnd w:id="126"/>
    </w:p>
    <w:p>
      <w:pPr>
        <w:spacing w:line="480" w:lineRule="exact"/>
        <w:jc w:val="center"/>
        <w:outlineLvl w:val="0"/>
        <w:rPr>
          <w:rFonts w:ascii="宋体"/>
          <w:b/>
          <w:sz w:val="28"/>
          <w:highlight w:val="none"/>
        </w:rPr>
      </w:pPr>
      <w:r>
        <w:rPr>
          <w:rFonts w:ascii="宋体" w:hAnsi="宋体"/>
          <w:b/>
          <w:sz w:val="28"/>
          <w:highlight w:val="none"/>
        </w:rPr>
        <w:t xml:space="preserve">     </w:t>
      </w:r>
      <w:bookmarkStart w:id="127" w:name="_Toc5244"/>
      <w:bookmarkStart w:id="128" w:name="_Toc9985"/>
      <w:r>
        <w:rPr>
          <w:rFonts w:ascii="宋体" w:hAnsi="宋体"/>
          <w:b/>
          <w:sz w:val="28"/>
          <w:highlight w:val="none"/>
        </w:rPr>
        <w:t>(</w:t>
      </w:r>
      <w:r>
        <w:rPr>
          <w:rFonts w:hint="eastAsia" w:ascii="宋体" w:hAnsi="宋体"/>
          <w:b/>
          <w:sz w:val="28"/>
          <w:highlight w:val="none"/>
        </w:rPr>
        <w:t>耗材报价不包含在总报价中</w:t>
      </w:r>
      <w:r>
        <w:rPr>
          <w:rFonts w:ascii="宋体"/>
          <w:b/>
          <w:sz w:val="28"/>
          <w:highlight w:val="none"/>
        </w:rPr>
        <w:t>,</w:t>
      </w:r>
      <w:r>
        <w:rPr>
          <w:rFonts w:hint="eastAsia" w:ascii="宋体" w:hAnsi="宋体"/>
          <w:b/>
          <w:bCs/>
          <w:sz w:val="28"/>
          <w:szCs w:val="28"/>
          <w:highlight w:val="none"/>
        </w:rPr>
        <w:t>格式自定，注明耗材价格几年不变</w:t>
      </w:r>
      <w:r>
        <w:rPr>
          <w:rFonts w:ascii="宋体" w:hAnsi="宋体"/>
          <w:b/>
          <w:sz w:val="28"/>
          <w:highlight w:val="none"/>
        </w:rPr>
        <w:t>)</w:t>
      </w:r>
      <w:bookmarkEnd w:id="127"/>
      <w:bookmarkEnd w:id="128"/>
    </w:p>
    <w:p>
      <w:pPr>
        <w:spacing w:line="480" w:lineRule="exact"/>
        <w:jc w:val="center"/>
        <w:outlineLvl w:val="0"/>
        <w:rPr>
          <w:rFonts w:ascii="宋体"/>
          <w:b/>
          <w:sz w:val="28"/>
          <w:highlight w:val="none"/>
        </w:rPr>
      </w:pPr>
    </w:p>
    <w:p>
      <w:pPr>
        <w:spacing w:line="480" w:lineRule="exact"/>
        <w:jc w:val="center"/>
        <w:outlineLvl w:val="0"/>
        <w:rPr>
          <w:rFonts w:ascii="宋体"/>
          <w:sz w:val="24"/>
          <w:highlight w:val="none"/>
        </w:rPr>
      </w:pPr>
    </w:p>
    <w:p>
      <w:pPr>
        <w:spacing w:line="480" w:lineRule="exact"/>
        <w:outlineLvl w:val="0"/>
        <w:rPr>
          <w:rFonts w:ascii="宋体"/>
          <w:sz w:val="24"/>
          <w:highlight w:val="none"/>
        </w:rPr>
      </w:pPr>
      <w:r>
        <w:rPr>
          <w:rFonts w:ascii="宋体"/>
          <w:sz w:val="24"/>
          <w:highlight w:val="none"/>
        </w:rPr>
        <w:br w:type="page"/>
      </w:r>
    </w:p>
    <w:p>
      <w:pPr>
        <w:spacing w:line="480" w:lineRule="exact"/>
        <w:jc w:val="center"/>
        <w:outlineLvl w:val="0"/>
        <w:rPr>
          <w:rFonts w:ascii="宋体"/>
          <w:b/>
          <w:sz w:val="28"/>
          <w:highlight w:val="none"/>
        </w:rPr>
      </w:pPr>
      <w:bookmarkStart w:id="129" w:name="_Toc9185"/>
      <w:bookmarkStart w:id="130" w:name="_Toc27071"/>
      <w:bookmarkStart w:id="131" w:name="_Toc26987"/>
      <w:r>
        <w:rPr>
          <w:rFonts w:hint="eastAsia" w:ascii="宋体" w:hAnsi="宋体"/>
          <w:sz w:val="24"/>
          <w:highlight w:val="none"/>
        </w:rPr>
        <w:t>附件十：</w:t>
      </w:r>
      <w:r>
        <w:rPr>
          <w:rFonts w:hint="eastAsia" w:ascii="宋体" w:hAnsi="宋体"/>
          <w:b/>
          <w:sz w:val="28"/>
          <w:highlight w:val="none"/>
        </w:rPr>
        <w:t>维保方案及维保费用报价表</w:t>
      </w:r>
      <w:bookmarkEnd w:id="129"/>
      <w:bookmarkEnd w:id="130"/>
      <w:bookmarkEnd w:id="131"/>
    </w:p>
    <w:p>
      <w:pPr>
        <w:spacing w:line="440" w:lineRule="exact"/>
        <w:rPr>
          <w:rFonts w:ascii="宋体"/>
          <w:b/>
          <w:bCs/>
          <w:sz w:val="24"/>
          <w:highlight w:val="none"/>
        </w:rPr>
      </w:pPr>
      <w:r>
        <w:rPr>
          <w:rFonts w:hint="eastAsia" w:ascii="宋体" w:hAnsi="宋体"/>
          <w:b/>
          <w:bCs/>
          <w:sz w:val="24"/>
          <w:highlight w:val="none"/>
        </w:rPr>
        <w:t>保修期内、外维护方案及报价</w:t>
      </w:r>
    </w:p>
    <w:tbl>
      <w:tblPr>
        <w:tblStyle w:val="3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9570" w:type="dxa"/>
          </w:tcPr>
          <w:p>
            <w:pPr>
              <w:spacing w:line="440" w:lineRule="exact"/>
              <w:rPr>
                <w:rFonts w:ascii="宋体"/>
                <w:sz w:val="24"/>
                <w:highlight w:val="none"/>
              </w:rPr>
            </w:pPr>
            <w:r>
              <w:rPr>
                <w:rFonts w:ascii="宋体" w:hAnsi="宋体"/>
                <w:sz w:val="24"/>
                <w:highlight w:val="none"/>
              </w:rPr>
              <w:t>1</w:t>
            </w:r>
            <w:r>
              <w:rPr>
                <w:rFonts w:hint="eastAsia" w:ascii="宋体" w:hAnsi="宋体"/>
                <w:sz w:val="24"/>
                <w:highlight w:val="none"/>
              </w:rPr>
              <w:t>、服务范围</w:t>
            </w:r>
          </w:p>
          <w:p>
            <w:pPr>
              <w:spacing w:line="440" w:lineRule="exact"/>
              <w:rPr>
                <w:rFonts w:ascii="宋体"/>
                <w:sz w:val="24"/>
                <w:highlight w:val="none"/>
              </w:rPr>
            </w:pPr>
            <w:r>
              <w:rPr>
                <w:rFonts w:ascii="宋体" w:hAnsi="宋体"/>
                <w:sz w:val="24"/>
                <w:highlight w:val="none"/>
              </w:rPr>
              <w:t>2</w:t>
            </w:r>
            <w:r>
              <w:rPr>
                <w:rFonts w:hint="eastAsia" w:ascii="宋体" w:hAnsi="宋体"/>
                <w:sz w:val="24"/>
                <w:highlight w:val="none"/>
              </w:rPr>
              <w:t>、服务期限</w:t>
            </w:r>
          </w:p>
          <w:p>
            <w:pPr>
              <w:spacing w:line="440" w:lineRule="exact"/>
              <w:rPr>
                <w:rFonts w:ascii="宋体"/>
                <w:sz w:val="24"/>
                <w:highlight w:val="none"/>
              </w:rPr>
            </w:pPr>
            <w:r>
              <w:rPr>
                <w:rFonts w:ascii="宋体" w:hAnsi="宋体"/>
                <w:sz w:val="24"/>
                <w:highlight w:val="none"/>
              </w:rPr>
              <w:t>3</w:t>
            </w:r>
            <w:r>
              <w:rPr>
                <w:rFonts w:hint="eastAsia" w:ascii="宋体" w:hAnsi="宋体"/>
                <w:sz w:val="24"/>
                <w:highlight w:val="none"/>
              </w:rPr>
              <w:t>、服务内容</w:t>
            </w:r>
          </w:p>
          <w:p>
            <w:pPr>
              <w:spacing w:line="440" w:lineRule="exact"/>
              <w:rPr>
                <w:rFonts w:ascii="宋体"/>
                <w:sz w:val="24"/>
                <w:highlight w:val="none"/>
              </w:rPr>
            </w:pPr>
            <w:r>
              <w:rPr>
                <w:rFonts w:ascii="宋体" w:hAnsi="宋体"/>
                <w:sz w:val="24"/>
                <w:highlight w:val="none"/>
              </w:rPr>
              <w:t>4</w:t>
            </w:r>
            <w:r>
              <w:rPr>
                <w:rFonts w:hint="eastAsia" w:ascii="宋体" w:hAnsi="宋体"/>
                <w:sz w:val="24"/>
                <w:highlight w:val="none"/>
              </w:rPr>
              <w:t>、甲乙双方负责的内容</w:t>
            </w:r>
          </w:p>
          <w:p>
            <w:pPr>
              <w:spacing w:line="440" w:lineRule="exact"/>
              <w:rPr>
                <w:rFonts w:ascii="宋体"/>
                <w:sz w:val="24"/>
                <w:highlight w:val="none"/>
              </w:rPr>
            </w:pPr>
            <w:r>
              <w:rPr>
                <w:rFonts w:ascii="宋体" w:hAnsi="宋体"/>
                <w:sz w:val="24"/>
                <w:highlight w:val="none"/>
              </w:rPr>
              <w:t>5</w:t>
            </w:r>
            <w:r>
              <w:rPr>
                <w:rFonts w:hint="eastAsia" w:ascii="宋体" w:hAnsi="宋体"/>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6" w:hRule="atLeast"/>
        </w:trPr>
        <w:tc>
          <w:tcPr>
            <w:tcW w:w="9570" w:type="dxa"/>
          </w:tcPr>
          <w:p>
            <w:pPr>
              <w:numPr>
                <w:ilvl w:val="0"/>
                <w:numId w:val="6"/>
              </w:numPr>
              <w:spacing w:line="440" w:lineRule="exact"/>
              <w:rPr>
                <w:rFonts w:ascii="宋体"/>
                <w:sz w:val="24"/>
                <w:highlight w:val="none"/>
              </w:rPr>
            </w:pPr>
            <w:r>
              <w:rPr>
                <w:rFonts w:hint="eastAsia" w:ascii="宋体" w:hAnsi="宋体"/>
                <w:sz w:val="24"/>
                <w:highlight w:val="none"/>
              </w:rPr>
              <w:t>保修期内维保费用报价明细：（格式自定）</w:t>
            </w: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numPr>
                <w:ilvl w:val="0"/>
                <w:numId w:val="6"/>
              </w:numPr>
              <w:spacing w:line="440" w:lineRule="exact"/>
              <w:rPr>
                <w:rFonts w:ascii="宋体"/>
                <w:sz w:val="24"/>
                <w:highlight w:val="none"/>
              </w:rPr>
            </w:pPr>
            <w:r>
              <w:rPr>
                <w:rFonts w:hint="eastAsia" w:ascii="宋体" w:hAnsi="宋体"/>
                <w:sz w:val="24"/>
                <w:highlight w:val="none"/>
              </w:rPr>
              <w:t>保修期外维保费用报价明细：（格式自定）</w:t>
            </w: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tc>
      </w:tr>
    </w:tbl>
    <w:p>
      <w:pPr>
        <w:spacing w:line="520" w:lineRule="exact"/>
        <w:rPr>
          <w:rFonts w:ascii="宋体"/>
          <w:sz w:val="24"/>
          <w:highlight w:val="none"/>
        </w:rPr>
      </w:pPr>
      <w:r>
        <w:rPr>
          <w:rFonts w:hint="eastAsia" w:ascii="宋体" w:hAnsi="宋体"/>
          <w:sz w:val="24"/>
          <w:highlight w:val="none"/>
        </w:rPr>
        <w:t>注：</w:t>
      </w:r>
      <w:r>
        <w:rPr>
          <w:rFonts w:ascii="宋体" w:hAnsi="宋体"/>
          <w:sz w:val="24"/>
          <w:highlight w:val="none"/>
        </w:rPr>
        <w:t>1</w:t>
      </w:r>
      <w:r>
        <w:rPr>
          <w:rFonts w:hint="eastAsia" w:ascii="宋体" w:hAnsi="宋体"/>
          <w:sz w:val="24"/>
          <w:highlight w:val="none"/>
        </w:rPr>
        <w:t>、保修期内维保费用包含在本次报价中；</w:t>
      </w:r>
    </w:p>
    <w:p>
      <w:pPr>
        <w:spacing w:line="520" w:lineRule="exact"/>
        <w:ind w:firstLine="446" w:firstLineChars="200"/>
        <w:rPr>
          <w:rFonts w:ascii="宋体"/>
          <w:sz w:val="24"/>
          <w:highlight w:val="none"/>
        </w:rPr>
      </w:pPr>
      <w:r>
        <w:rPr>
          <w:rFonts w:ascii="宋体" w:hAnsi="宋体"/>
          <w:sz w:val="24"/>
          <w:highlight w:val="none"/>
        </w:rPr>
        <w:t>2</w:t>
      </w:r>
      <w:r>
        <w:rPr>
          <w:rFonts w:hint="eastAsia" w:ascii="宋体" w:hAnsi="宋体"/>
          <w:sz w:val="24"/>
          <w:highlight w:val="none"/>
        </w:rPr>
        <w:t>、保修期外维保费用不包含在本次报价中。</w:t>
      </w:r>
    </w:p>
    <w:p>
      <w:pPr>
        <w:spacing w:line="480" w:lineRule="exact"/>
        <w:jc w:val="center"/>
        <w:outlineLvl w:val="0"/>
        <w:rPr>
          <w:rFonts w:ascii="宋体"/>
          <w:sz w:val="24"/>
          <w:highlight w:val="none"/>
        </w:rPr>
      </w:pPr>
      <w:r>
        <w:rPr>
          <w:rFonts w:ascii="宋体"/>
          <w:sz w:val="24"/>
          <w:highlight w:val="none"/>
        </w:rPr>
        <w:br w:type="page"/>
      </w:r>
    </w:p>
    <w:p>
      <w:pPr>
        <w:spacing w:line="480" w:lineRule="exact"/>
        <w:jc w:val="center"/>
        <w:outlineLvl w:val="0"/>
        <w:rPr>
          <w:rFonts w:ascii="宋体"/>
          <w:sz w:val="24"/>
          <w:highlight w:val="none"/>
        </w:rPr>
      </w:pPr>
      <w:bookmarkStart w:id="132" w:name="_Toc14611"/>
      <w:bookmarkStart w:id="133" w:name="_Toc14477"/>
      <w:bookmarkStart w:id="134" w:name="_Toc2858"/>
      <w:r>
        <w:rPr>
          <w:rFonts w:hint="eastAsia" w:ascii="宋体" w:hAnsi="宋体"/>
          <w:sz w:val="24"/>
          <w:highlight w:val="none"/>
        </w:rPr>
        <w:t>附件十一：</w:t>
      </w:r>
      <w:r>
        <w:rPr>
          <w:rFonts w:hint="eastAsia" w:ascii="宋体" w:hAnsi="宋体"/>
          <w:b/>
          <w:sz w:val="28"/>
          <w:highlight w:val="none"/>
        </w:rPr>
        <w:t>证明文件格式</w:t>
      </w:r>
      <w:bookmarkEnd w:id="132"/>
      <w:bookmarkEnd w:id="133"/>
      <w:bookmarkEnd w:id="134"/>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4"/>
          <w:highlight w:val="none"/>
        </w:rPr>
      </w:pPr>
      <w:bookmarkStart w:id="135" w:name="_Toc25890"/>
      <w:bookmarkStart w:id="136" w:name="_Toc1781"/>
    </w:p>
    <w:p>
      <w:pPr>
        <w:spacing w:line="480" w:lineRule="exact"/>
        <w:jc w:val="center"/>
        <w:outlineLvl w:val="0"/>
        <w:rPr>
          <w:rFonts w:ascii="宋体"/>
          <w:b/>
          <w:sz w:val="24"/>
          <w:highlight w:val="none"/>
        </w:rPr>
      </w:pPr>
      <w:r>
        <w:rPr>
          <w:rFonts w:hint="eastAsia" w:ascii="宋体" w:hAnsi="宋体"/>
          <w:b/>
          <w:sz w:val="24"/>
          <w:highlight w:val="none"/>
        </w:rPr>
        <w:t>格式</w:t>
      </w:r>
      <w:r>
        <w:rPr>
          <w:rFonts w:ascii="宋体" w:hAnsi="宋体"/>
          <w:b/>
          <w:sz w:val="24"/>
          <w:highlight w:val="none"/>
        </w:rPr>
        <w:t>1 201</w:t>
      </w:r>
      <w:r>
        <w:rPr>
          <w:rFonts w:hint="eastAsia" w:ascii="宋体" w:hAnsi="宋体"/>
          <w:b/>
          <w:sz w:val="24"/>
          <w:highlight w:val="none"/>
          <w:lang w:val="en-US" w:eastAsia="zh-CN"/>
        </w:rPr>
        <w:t>8</w:t>
      </w:r>
      <w:r>
        <w:rPr>
          <w:rFonts w:hint="eastAsia" w:ascii="宋体" w:hAnsi="宋体"/>
          <w:b/>
          <w:sz w:val="24"/>
          <w:highlight w:val="none"/>
        </w:rPr>
        <w:t>年财务状况报告</w:t>
      </w:r>
      <w:bookmarkEnd w:id="135"/>
      <w:bookmarkEnd w:id="136"/>
    </w:p>
    <w:p>
      <w:pPr>
        <w:spacing w:line="480" w:lineRule="exact"/>
        <w:jc w:val="center"/>
        <w:outlineLvl w:val="0"/>
        <w:rPr>
          <w:rFonts w:ascii="宋体"/>
          <w:sz w:val="24"/>
          <w:highlight w:val="none"/>
        </w:rPr>
      </w:pPr>
      <w:bookmarkStart w:id="137" w:name="_Toc24571"/>
      <w:bookmarkStart w:id="138" w:name="_Toc29391"/>
      <w:r>
        <w:rPr>
          <w:rFonts w:hint="eastAsia" w:ascii="宋体" w:hAnsi="宋体"/>
          <w:sz w:val="24"/>
          <w:highlight w:val="none"/>
        </w:rPr>
        <w:t>（附财务报表（含资产负债表、现金流量表、利润表的复印件）或其基本开户银行出具的资信证明）</w:t>
      </w:r>
      <w:bookmarkEnd w:id="137"/>
      <w:bookmarkEnd w:id="138"/>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139" w:name="_Toc23494"/>
      <w:bookmarkStart w:id="140" w:name="_Toc13521"/>
      <w:r>
        <w:rPr>
          <w:rFonts w:hint="eastAsia" w:ascii="宋体" w:hAnsi="宋体"/>
          <w:b/>
          <w:sz w:val="24"/>
          <w:highlight w:val="none"/>
        </w:rPr>
        <w:t>格式</w:t>
      </w:r>
      <w:r>
        <w:rPr>
          <w:rFonts w:ascii="宋体" w:hAnsi="宋体"/>
          <w:b/>
          <w:sz w:val="24"/>
          <w:highlight w:val="none"/>
        </w:rPr>
        <w:t xml:space="preserve">2  </w:t>
      </w:r>
      <w:r>
        <w:rPr>
          <w:rFonts w:hint="eastAsia" w:ascii="宋体" w:hAnsi="宋体"/>
          <w:b/>
          <w:sz w:val="24"/>
          <w:highlight w:val="none"/>
        </w:rPr>
        <w:t>依法缴纳税收和社会保障资金的相关材料</w:t>
      </w:r>
      <w:bookmarkEnd w:id="139"/>
      <w:bookmarkEnd w:id="140"/>
    </w:p>
    <w:p>
      <w:pPr>
        <w:spacing w:line="480" w:lineRule="exact"/>
        <w:jc w:val="center"/>
        <w:outlineLvl w:val="0"/>
        <w:rPr>
          <w:rFonts w:hint="eastAsia" w:ascii="宋体" w:hAnsi="宋体"/>
          <w:sz w:val="24"/>
          <w:highlight w:val="none"/>
        </w:rPr>
      </w:pPr>
      <w:bookmarkStart w:id="141" w:name="_Toc20732"/>
      <w:bookmarkStart w:id="142" w:name="_Toc16451"/>
      <w:bookmarkStart w:id="143" w:name="_Toc1183"/>
      <w:r>
        <w:rPr>
          <w:rFonts w:hint="eastAsia" w:ascii="宋体" w:hAnsi="宋体"/>
          <w:sz w:val="24"/>
          <w:highlight w:val="none"/>
        </w:rPr>
        <w:t>1、附近三个月的纳税凭证：完税凭证或免税证明或纳税申报表或银行缴税电汇凭证；</w:t>
      </w:r>
    </w:p>
    <w:p>
      <w:pPr>
        <w:spacing w:line="480" w:lineRule="exact"/>
        <w:jc w:val="both"/>
        <w:outlineLvl w:val="0"/>
        <w:rPr>
          <w:rFonts w:hint="eastAsia"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2、近三个月缴纳社会保险的凭据：专用收据或社会保险缴纳清单。</w:t>
      </w:r>
    </w:p>
    <w:bookmarkEnd w:id="141"/>
    <w:bookmarkEnd w:id="142"/>
    <w:bookmarkEnd w:id="143"/>
    <w:p>
      <w:pPr>
        <w:spacing w:line="480" w:lineRule="exact"/>
        <w:jc w:val="center"/>
        <w:outlineLvl w:val="0"/>
        <w:rPr>
          <w:rFonts w:ascii="宋体"/>
          <w:sz w:val="24"/>
          <w:highlight w:val="none"/>
        </w:rPr>
      </w:pPr>
    </w:p>
    <w:p>
      <w:pPr>
        <w:spacing w:line="480" w:lineRule="exact"/>
        <w:jc w:val="center"/>
        <w:outlineLvl w:val="0"/>
        <w:rPr>
          <w:rFonts w:hint="eastAsia" w:ascii="宋体" w:hAnsi="宋体"/>
          <w:b/>
          <w:sz w:val="24"/>
          <w:highlight w:val="none"/>
          <w:lang w:val="en-US" w:eastAsia="zh-CN"/>
        </w:rPr>
      </w:pPr>
      <w:bookmarkStart w:id="144" w:name="_Toc28149"/>
      <w:bookmarkStart w:id="145" w:name="_Toc19508"/>
      <w:bookmarkStart w:id="146" w:name="_Toc5230"/>
      <w:r>
        <w:rPr>
          <w:rFonts w:hint="eastAsia" w:ascii="宋体" w:hAnsi="宋体"/>
          <w:b/>
          <w:sz w:val="24"/>
          <w:highlight w:val="none"/>
          <w:lang w:val="en-US" w:eastAsia="zh-CN"/>
        </w:rPr>
        <w:t xml:space="preserve">  </w:t>
      </w:r>
    </w:p>
    <w:p>
      <w:pPr>
        <w:spacing w:line="480" w:lineRule="exact"/>
        <w:jc w:val="center"/>
        <w:outlineLvl w:val="0"/>
        <w:rPr>
          <w:rFonts w:ascii="宋体"/>
          <w:b/>
          <w:sz w:val="24"/>
          <w:highlight w:val="none"/>
        </w:rPr>
      </w:pPr>
      <w:r>
        <w:rPr>
          <w:rFonts w:hint="eastAsia" w:ascii="宋体" w:hAnsi="宋体"/>
          <w:b/>
          <w:sz w:val="24"/>
          <w:highlight w:val="none"/>
        </w:rPr>
        <w:t>格式</w:t>
      </w:r>
      <w:r>
        <w:rPr>
          <w:rFonts w:hint="eastAsia" w:ascii="宋体" w:hAnsi="宋体"/>
          <w:b/>
          <w:sz w:val="24"/>
          <w:highlight w:val="none"/>
          <w:lang w:val="en-US" w:eastAsia="zh-CN"/>
        </w:rPr>
        <w:t>3</w:t>
      </w:r>
      <w:r>
        <w:rPr>
          <w:rFonts w:ascii="宋体" w:hAnsi="宋体"/>
          <w:b/>
          <w:sz w:val="24"/>
          <w:highlight w:val="none"/>
        </w:rPr>
        <w:t xml:space="preserve">  </w:t>
      </w:r>
      <w:r>
        <w:rPr>
          <w:rFonts w:hint="eastAsia" w:ascii="宋体" w:hAnsi="宋体"/>
          <w:b/>
          <w:sz w:val="24"/>
          <w:highlight w:val="none"/>
        </w:rPr>
        <w:t>近三年（</w:t>
      </w:r>
      <w:r>
        <w:rPr>
          <w:rFonts w:ascii="宋体" w:hAnsi="宋体"/>
          <w:b/>
          <w:sz w:val="24"/>
          <w:highlight w:val="none"/>
        </w:rPr>
        <w:t>201</w:t>
      </w:r>
      <w:r>
        <w:rPr>
          <w:rFonts w:hint="eastAsia" w:ascii="宋体" w:hAnsi="宋体"/>
          <w:b/>
          <w:sz w:val="24"/>
          <w:highlight w:val="none"/>
          <w:lang w:val="en-US" w:eastAsia="zh-CN"/>
        </w:rPr>
        <w:t>7</w:t>
      </w:r>
      <w:r>
        <w:rPr>
          <w:rFonts w:hint="eastAsia" w:ascii="宋体" w:hAnsi="宋体"/>
          <w:b/>
          <w:sz w:val="24"/>
          <w:highlight w:val="none"/>
        </w:rPr>
        <w:t>年</w:t>
      </w:r>
      <w:r>
        <w:rPr>
          <w:rFonts w:hint="eastAsia" w:ascii="宋体" w:hAnsi="宋体"/>
          <w:b/>
          <w:sz w:val="24"/>
          <w:highlight w:val="none"/>
          <w:lang w:val="en-US" w:eastAsia="zh-CN"/>
        </w:rPr>
        <w:t>3</w:t>
      </w:r>
      <w:r>
        <w:rPr>
          <w:rFonts w:hint="eastAsia" w:ascii="宋体" w:hAnsi="宋体"/>
          <w:b/>
          <w:sz w:val="24"/>
          <w:highlight w:val="none"/>
        </w:rPr>
        <w:t>月</w:t>
      </w:r>
      <w:r>
        <w:rPr>
          <w:rFonts w:ascii="宋体" w:hAnsi="宋体"/>
          <w:b/>
          <w:sz w:val="24"/>
          <w:highlight w:val="none"/>
        </w:rPr>
        <w:t>1</w:t>
      </w:r>
      <w:r>
        <w:rPr>
          <w:rFonts w:hint="eastAsia" w:ascii="宋体" w:hAnsi="宋体"/>
          <w:b/>
          <w:sz w:val="24"/>
          <w:highlight w:val="none"/>
        </w:rPr>
        <w:t>日至今）无不良信誉证明</w:t>
      </w:r>
      <w:bookmarkEnd w:id="144"/>
      <w:bookmarkEnd w:id="145"/>
      <w:bookmarkEnd w:id="146"/>
    </w:p>
    <w:p>
      <w:pPr>
        <w:spacing w:line="480" w:lineRule="exact"/>
        <w:jc w:val="center"/>
        <w:outlineLvl w:val="0"/>
        <w:rPr>
          <w:rFonts w:ascii="宋体"/>
          <w:sz w:val="24"/>
          <w:highlight w:val="none"/>
        </w:rPr>
      </w:pPr>
      <w:bookmarkStart w:id="147" w:name="_Toc16969"/>
      <w:bookmarkStart w:id="148" w:name="_Toc5579"/>
      <w:bookmarkStart w:id="149" w:name="_Toc29571"/>
      <w:r>
        <w:rPr>
          <w:rFonts w:hint="eastAsia" w:ascii="宋体" w:hAnsi="宋体"/>
          <w:sz w:val="24"/>
          <w:highlight w:val="none"/>
        </w:rPr>
        <w:t>（需声明投标人近三年未发生重大质量安全事故；无弄虚作假和重大违法违纪行为；无医药购销领域商业贿赂方面的不良记录。）</w:t>
      </w:r>
      <w:bookmarkEnd w:id="147"/>
      <w:bookmarkEnd w:id="148"/>
      <w:bookmarkEnd w:id="149"/>
    </w:p>
    <w:p>
      <w:pPr>
        <w:spacing w:line="480" w:lineRule="exact"/>
        <w:jc w:val="center"/>
        <w:outlineLvl w:val="0"/>
        <w:rPr>
          <w:rFonts w:ascii="宋体"/>
          <w:b/>
          <w:sz w:val="28"/>
          <w:highlight w:val="none"/>
        </w:rPr>
      </w:pPr>
      <w:r>
        <w:rPr>
          <w:rFonts w:ascii="宋体"/>
          <w:b/>
          <w:sz w:val="24"/>
          <w:highlight w:val="none"/>
        </w:rPr>
        <w:br w:type="page"/>
      </w:r>
      <w:bookmarkStart w:id="150" w:name="_Toc4"/>
      <w:bookmarkStart w:id="151" w:name="_Toc11970"/>
      <w:bookmarkStart w:id="152" w:name="_Toc3815"/>
      <w:r>
        <w:rPr>
          <w:rFonts w:hint="eastAsia" w:ascii="宋体" w:hAnsi="宋体"/>
          <w:b/>
          <w:sz w:val="28"/>
          <w:highlight w:val="none"/>
        </w:rPr>
        <w:t>格式</w:t>
      </w:r>
      <w:r>
        <w:rPr>
          <w:rFonts w:ascii="宋体" w:hAnsi="宋体"/>
          <w:b/>
          <w:sz w:val="28"/>
          <w:highlight w:val="none"/>
        </w:rPr>
        <w:t xml:space="preserve">3  </w:t>
      </w:r>
      <w:r>
        <w:rPr>
          <w:rFonts w:hint="eastAsia" w:ascii="宋体" w:hAnsi="宋体"/>
          <w:b/>
          <w:sz w:val="28"/>
          <w:highlight w:val="none"/>
        </w:rPr>
        <w:t>具备履行合同所必需的设备和专业技术能力的证明材料</w:t>
      </w:r>
      <w:bookmarkEnd w:id="150"/>
      <w:bookmarkEnd w:id="151"/>
      <w:bookmarkEnd w:id="152"/>
    </w:p>
    <w:p>
      <w:pPr>
        <w:spacing w:line="480" w:lineRule="exact"/>
        <w:jc w:val="center"/>
        <w:outlineLvl w:val="0"/>
        <w:rPr>
          <w:rFonts w:ascii="宋体"/>
          <w:sz w:val="28"/>
          <w:highlight w:val="none"/>
        </w:rPr>
      </w:pPr>
    </w:p>
    <w:tbl>
      <w:tblPr>
        <w:tblStyle w:val="3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设备名称</w:t>
            </w:r>
          </w:p>
        </w:tc>
        <w:tc>
          <w:tcPr>
            <w:tcW w:w="2413" w:type="dxa"/>
          </w:tcPr>
          <w:p>
            <w:pPr>
              <w:spacing w:line="420" w:lineRule="exact"/>
              <w:jc w:val="center"/>
              <w:rPr>
                <w:sz w:val="24"/>
                <w:highlight w:val="none"/>
              </w:rPr>
            </w:pPr>
            <w:r>
              <w:rPr>
                <w:rFonts w:hint="eastAsia"/>
                <w:sz w:val="24"/>
                <w:highlight w:val="none"/>
              </w:rPr>
              <w:t>规格型号</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技术人员姓名</w:t>
            </w:r>
          </w:p>
        </w:tc>
        <w:tc>
          <w:tcPr>
            <w:tcW w:w="2413" w:type="dxa"/>
          </w:tcPr>
          <w:p>
            <w:pPr>
              <w:spacing w:line="420" w:lineRule="exact"/>
              <w:jc w:val="center"/>
              <w:rPr>
                <w:sz w:val="24"/>
                <w:highlight w:val="none"/>
              </w:rPr>
            </w:pPr>
            <w:r>
              <w:rPr>
                <w:rFonts w:hint="eastAsia"/>
                <w:sz w:val="24"/>
                <w:highlight w:val="none"/>
              </w:rPr>
              <w:t>职称</w:t>
            </w:r>
            <w:r>
              <w:rPr>
                <w:sz w:val="24"/>
                <w:highlight w:val="none"/>
              </w:rPr>
              <w:t>/</w:t>
            </w:r>
            <w:r>
              <w:rPr>
                <w:rFonts w:hint="eastAsia"/>
                <w:sz w:val="24"/>
                <w:highlight w:val="none"/>
              </w:rPr>
              <w:t>岗位证书</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bl>
    <w:p>
      <w:pPr>
        <w:pStyle w:val="63"/>
        <w:spacing w:before="240" w:after="145" w:line="480" w:lineRule="exact"/>
        <w:ind w:firstLine="0" w:firstLineChars="0"/>
        <w:rPr>
          <w:rFonts w:ascii="宋体"/>
          <w:highlight w:val="none"/>
        </w:rPr>
      </w:pPr>
      <w:r>
        <w:rPr>
          <w:rFonts w:hint="eastAsia" w:ascii="宋体" w:hAnsi="宋体"/>
          <w:highlight w:val="none"/>
        </w:rPr>
        <w:t>供应商名称（盖章）：</w:t>
      </w:r>
    </w:p>
    <w:p>
      <w:pPr>
        <w:pStyle w:val="63"/>
        <w:spacing w:before="240" w:after="145" w:line="480" w:lineRule="exact"/>
        <w:ind w:firstLine="0" w:firstLineChars="0"/>
        <w:rPr>
          <w:rFonts w:ascii="宋体"/>
          <w:highlight w:val="none"/>
        </w:rPr>
      </w:pPr>
      <w:r>
        <w:rPr>
          <w:rFonts w:hint="eastAsia" w:ascii="宋体" w:hAnsi="宋体"/>
          <w:highlight w:val="none"/>
        </w:rPr>
        <w:t>授权代表（签字或盖章）：</w:t>
      </w:r>
    </w:p>
    <w:p>
      <w:pPr>
        <w:pStyle w:val="63"/>
        <w:spacing w:before="240" w:after="145" w:line="480" w:lineRule="exact"/>
        <w:ind w:firstLine="0" w:firstLineChars="0"/>
        <w:rPr>
          <w:b/>
          <w:highlight w:val="none"/>
        </w:rPr>
      </w:pPr>
      <w:r>
        <w:rPr>
          <w:rFonts w:hint="eastAsia" w:ascii="宋体" w:hAnsi="宋体"/>
          <w:highlight w:val="none"/>
        </w:rPr>
        <w:t>日</w:t>
      </w:r>
      <w:r>
        <w:rPr>
          <w:rFonts w:ascii="宋体" w:hAnsi="宋体"/>
          <w:highlight w:val="none"/>
        </w:rPr>
        <w:t xml:space="preserve">   </w:t>
      </w:r>
      <w:r>
        <w:rPr>
          <w:rFonts w:hint="eastAsia" w:ascii="宋体" w:hAnsi="宋体"/>
          <w:highlight w:val="none"/>
        </w:rPr>
        <w:t>期：</w:t>
      </w:r>
    </w:p>
    <w:p>
      <w:pPr>
        <w:spacing w:line="480" w:lineRule="exact"/>
        <w:jc w:val="center"/>
        <w:outlineLvl w:val="0"/>
        <w:rPr>
          <w:rFonts w:ascii="宋体"/>
          <w:sz w:val="28"/>
          <w:highlight w:val="none"/>
        </w:rPr>
      </w:pPr>
      <w:r>
        <w:rPr>
          <w:rFonts w:ascii="宋体"/>
          <w:sz w:val="28"/>
          <w:highlight w:val="none"/>
        </w:rPr>
        <w:br w:type="page"/>
      </w:r>
    </w:p>
    <w:p>
      <w:pPr>
        <w:spacing w:line="480" w:lineRule="exact"/>
        <w:jc w:val="center"/>
        <w:outlineLvl w:val="0"/>
        <w:rPr>
          <w:rFonts w:ascii="宋体"/>
          <w:b/>
          <w:sz w:val="28"/>
          <w:highlight w:val="none"/>
        </w:rPr>
      </w:pPr>
      <w:bookmarkStart w:id="153" w:name="_Toc18118"/>
      <w:bookmarkStart w:id="154" w:name="_Toc11678"/>
      <w:bookmarkStart w:id="155" w:name="_Toc4460"/>
      <w:r>
        <w:rPr>
          <w:rFonts w:hint="eastAsia" w:ascii="宋体" w:hAnsi="宋体"/>
          <w:b/>
          <w:sz w:val="28"/>
          <w:highlight w:val="none"/>
        </w:rPr>
        <w:t>格式</w:t>
      </w:r>
      <w:r>
        <w:rPr>
          <w:rFonts w:ascii="宋体" w:hAnsi="宋体"/>
          <w:b/>
          <w:sz w:val="28"/>
          <w:highlight w:val="none"/>
        </w:rPr>
        <w:t xml:space="preserve">4  </w:t>
      </w:r>
      <w:r>
        <w:rPr>
          <w:rFonts w:hint="eastAsia" w:ascii="宋体" w:hAnsi="宋体"/>
          <w:b/>
          <w:sz w:val="28"/>
          <w:highlight w:val="none"/>
        </w:rPr>
        <w:t>小微企业声明函</w:t>
      </w:r>
      <w:bookmarkEnd w:id="153"/>
      <w:bookmarkEnd w:id="154"/>
      <w:bookmarkEnd w:id="155"/>
    </w:p>
    <w:p>
      <w:pPr>
        <w:spacing w:line="360" w:lineRule="auto"/>
        <w:ind w:firstLine="446" w:firstLineChars="200"/>
        <w:jc w:val="center"/>
        <w:rPr>
          <w:rFonts w:ascii="仿宋" w:hAnsi="仿宋" w:eastAsia="仿宋"/>
          <w:b/>
          <w:color w:val="000000"/>
          <w:sz w:val="24"/>
          <w:highlight w:val="none"/>
        </w:rPr>
      </w:pPr>
    </w:p>
    <w:p>
      <w:pPr>
        <w:spacing w:line="360" w:lineRule="auto"/>
        <w:ind w:firstLine="446"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46"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号）的规定，本公司为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（请填写：小型、微型）企业。即，本公司同时满足以下条件：</w:t>
      </w:r>
    </w:p>
    <w:p>
      <w:pPr>
        <w:spacing w:line="360" w:lineRule="auto"/>
        <w:ind w:firstLine="558" w:firstLineChars="25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、根据《工业和信息化部、国家统计局、国家发展和改革委员会、财政部关于印发中小企业划型规定的通知》（工信部联企业【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号）规定的划分标准，本公司为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w:t>
      </w:r>
    </w:p>
    <w:p>
      <w:pPr>
        <w:spacing w:line="360" w:lineRule="auto"/>
        <w:ind w:firstLine="558" w:firstLineChars="25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、本公司参加</w:t>
      </w:r>
      <w:r>
        <w:rPr>
          <w:rFonts w:ascii="宋体" w:hAnsi="宋体"/>
          <w:color w:val="000000"/>
          <w:sz w:val="24"/>
          <w:highlight w:val="none"/>
          <w:u w:val="single"/>
        </w:rPr>
        <w:t xml:space="preserve">      </w:t>
      </w:r>
      <w:r>
        <w:rPr>
          <w:rFonts w:hint="eastAsia" w:ascii="宋体" w:hAnsi="宋体"/>
          <w:color w:val="000000"/>
          <w:sz w:val="24"/>
          <w:highlight w:val="none"/>
        </w:rPr>
        <w:t>单位的</w:t>
      </w:r>
      <w:r>
        <w:rPr>
          <w:rFonts w:ascii="宋体" w:hAnsi="宋体"/>
          <w:color w:val="000000"/>
          <w:sz w:val="24"/>
          <w:highlight w:val="none"/>
          <w:u w:val="single"/>
        </w:rPr>
        <w:t xml:space="preserve">        </w:t>
      </w:r>
      <w:r>
        <w:rPr>
          <w:rFonts w:hint="eastAsia" w:ascii="宋体" w:hAnsi="宋体"/>
          <w:color w:val="000000"/>
          <w:sz w:val="24"/>
          <w:highlight w:val="none"/>
        </w:rPr>
        <w:t>项目采购活动提供本企业制造的货物。由本企业承担工程、提供服务，或者提供其他</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（请填写：小型、微型）企业制造的货物。本条所称货物不包括使用大型企业注册商标的货物。</w:t>
      </w:r>
    </w:p>
    <w:p>
      <w:pPr>
        <w:spacing w:line="360" w:lineRule="auto"/>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right="560"/>
        <w:rPr>
          <w:rFonts w:ascii="宋体"/>
          <w:sz w:val="24"/>
          <w:highlight w:val="none"/>
        </w:rPr>
      </w:pPr>
    </w:p>
    <w:p>
      <w:pPr>
        <w:spacing w:line="360" w:lineRule="auto"/>
        <w:ind w:right="560"/>
        <w:rPr>
          <w:rFonts w:ascii="宋体"/>
          <w:sz w:val="24"/>
          <w:highlight w:val="none"/>
          <w:u w:val="single"/>
        </w:rPr>
      </w:pPr>
      <w:r>
        <w:rPr>
          <w:rFonts w:hint="eastAsia" w:ascii="宋体" w:hAnsi="宋体"/>
          <w:sz w:val="24"/>
          <w:highlight w:val="none"/>
        </w:rPr>
        <w:t>供应商名称（公章）：</w:t>
      </w:r>
      <w:r>
        <w:rPr>
          <w:rFonts w:ascii="宋体" w:hAnsi="宋体"/>
          <w:sz w:val="24"/>
          <w:highlight w:val="none"/>
          <w:u w:val="single"/>
        </w:rPr>
        <w:t xml:space="preserve">                             </w:t>
      </w:r>
    </w:p>
    <w:p>
      <w:pPr>
        <w:spacing w:line="360" w:lineRule="auto"/>
        <w:ind w:right="560"/>
        <w:rPr>
          <w:rFonts w:ascii="宋体"/>
          <w:color w:val="000000"/>
          <w:sz w:val="24"/>
          <w:highlight w:val="non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spacing w:line="480" w:lineRule="exact"/>
        <w:jc w:val="center"/>
        <w:outlineLvl w:val="0"/>
        <w:rPr>
          <w:rFonts w:ascii="仿宋" w:hAnsi="仿宋" w:eastAsia="仿宋"/>
          <w:color w:val="000000"/>
          <w:sz w:val="24"/>
          <w:highlight w:val="none"/>
        </w:rPr>
      </w:pPr>
      <w:r>
        <w:rPr>
          <w:rFonts w:ascii="仿宋" w:hAnsi="仿宋" w:eastAsia="仿宋"/>
          <w:color w:val="000000"/>
          <w:sz w:val="24"/>
          <w:highlight w:val="none"/>
        </w:rPr>
        <w:br w:type="page"/>
      </w:r>
    </w:p>
    <w:p>
      <w:pPr>
        <w:spacing w:line="480" w:lineRule="exact"/>
        <w:jc w:val="center"/>
        <w:outlineLvl w:val="0"/>
        <w:rPr>
          <w:rFonts w:ascii="宋体"/>
          <w:b/>
          <w:sz w:val="28"/>
          <w:highlight w:val="none"/>
        </w:rPr>
      </w:pPr>
      <w:bookmarkStart w:id="156" w:name="_Toc170"/>
      <w:bookmarkStart w:id="157" w:name="_Toc14964"/>
      <w:bookmarkStart w:id="158" w:name="_Toc18353"/>
      <w:r>
        <w:rPr>
          <w:rFonts w:hint="eastAsia" w:ascii="宋体" w:hAnsi="宋体"/>
          <w:b/>
          <w:sz w:val="28"/>
          <w:highlight w:val="none"/>
        </w:rPr>
        <w:t>格式</w:t>
      </w:r>
      <w:r>
        <w:rPr>
          <w:rFonts w:ascii="宋体" w:hAnsi="宋体"/>
          <w:b/>
          <w:sz w:val="28"/>
          <w:highlight w:val="none"/>
        </w:rPr>
        <w:t xml:space="preserve">5  </w:t>
      </w:r>
      <w:r>
        <w:rPr>
          <w:rFonts w:hint="eastAsia" w:ascii="宋体" w:hAnsi="宋体"/>
          <w:b/>
          <w:sz w:val="28"/>
          <w:highlight w:val="none"/>
        </w:rPr>
        <w:t>从业人员声明函</w:t>
      </w:r>
      <w:bookmarkEnd w:id="156"/>
      <w:bookmarkEnd w:id="157"/>
      <w:bookmarkEnd w:id="158"/>
    </w:p>
    <w:p>
      <w:pPr>
        <w:spacing w:line="480" w:lineRule="exact"/>
        <w:jc w:val="center"/>
        <w:outlineLvl w:val="0"/>
        <w:rPr>
          <w:rFonts w:ascii="宋体"/>
          <w:b/>
          <w:sz w:val="28"/>
          <w:highlight w:val="none"/>
        </w:rPr>
      </w:pPr>
    </w:p>
    <w:p>
      <w:pPr>
        <w:spacing w:line="360" w:lineRule="auto"/>
        <w:ind w:firstLine="446"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46"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号）规定，本公司从业人员数为</w:t>
      </w:r>
      <w:r>
        <w:rPr>
          <w:rFonts w:ascii="宋体" w:hAnsi="宋体"/>
          <w:color w:val="000000"/>
          <w:sz w:val="24"/>
          <w:highlight w:val="none"/>
          <w:u w:val="single"/>
        </w:rPr>
        <w:t xml:space="preserve">           </w:t>
      </w:r>
      <w:r>
        <w:rPr>
          <w:rFonts w:hint="eastAsia" w:ascii="宋体" w:hAnsi="宋体"/>
          <w:color w:val="000000"/>
          <w:sz w:val="24"/>
          <w:highlight w:val="none"/>
        </w:rPr>
        <w:t>。</w:t>
      </w:r>
    </w:p>
    <w:p>
      <w:pPr>
        <w:spacing w:line="360" w:lineRule="auto"/>
        <w:ind w:firstLine="446" w:firstLineChars="200"/>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firstLine="446" w:firstLineChars="200"/>
        <w:rPr>
          <w:rFonts w:ascii="宋体"/>
          <w:color w:val="000000"/>
          <w:sz w:val="24"/>
          <w:highlight w:val="none"/>
        </w:rPr>
      </w:pPr>
    </w:p>
    <w:p>
      <w:pPr>
        <w:spacing w:line="360" w:lineRule="auto"/>
        <w:ind w:right="560"/>
        <w:rPr>
          <w:rFonts w:ascii="宋体"/>
          <w:sz w:val="24"/>
          <w:highlight w:val="none"/>
          <w:u w:val="single"/>
        </w:rPr>
      </w:pPr>
      <w:r>
        <w:rPr>
          <w:rFonts w:hint="eastAsia" w:ascii="宋体" w:hAnsi="宋体"/>
          <w:sz w:val="24"/>
          <w:highlight w:val="none"/>
        </w:rPr>
        <w:t>供应商名称（公章）：</w:t>
      </w:r>
      <w:r>
        <w:rPr>
          <w:rFonts w:ascii="宋体" w:hAnsi="宋体"/>
          <w:sz w:val="24"/>
          <w:highlight w:val="none"/>
          <w:u w:val="single"/>
        </w:rPr>
        <w:t xml:space="preserve">                             </w:t>
      </w:r>
    </w:p>
    <w:p>
      <w:pPr>
        <w:spacing w:line="360" w:lineRule="auto"/>
        <w:ind w:right="560"/>
        <w:rPr>
          <w:rFonts w:ascii="宋体"/>
          <w:sz w:val="24"/>
          <w:highlight w:val="none"/>
          <w:u w:val="singl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ind w:right="560"/>
        <w:rPr>
          <w:rFonts w:ascii="宋体"/>
          <w:color w:val="000000"/>
          <w:sz w:val="24"/>
          <w:highlight w:val="none"/>
        </w:rPr>
      </w:pPr>
    </w:p>
    <w:p>
      <w:pPr>
        <w:spacing w:line="360" w:lineRule="auto"/>
        <w:ind w:right="240"/>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keepNext/>
        <w:keepLines/>
        <w:spacing w:before="120" w:after="120" w:line="360" w:lineRule="auto"/>
        <w:outlineLvl w:val="1"/>
        <w:rPr>
          <w:rFonts w:ascii="宋体"/>
          <w:b/>
          <w:bCs/>
          <w:sz w:val="24"/>
          <w:highlight w:val="none"/>
        </w:rPr>
      </w:pPr>
    </w:p>
    <w:p>
      <w:pPr>
        <w:pStyle w:val="3"/>
        <w:spacing w:line="580" w:lineRule="exact"/>
        <w:jc w:val="center"/>
        <w:rPr>
          <w:highlight w:val="none"/>
        </w:rPr>
      </w:pPr>
      <w:r>
        <w:rPr>
          <w:rFonts w:ascii="宋体" w:cs="Arial"/>
          <w:sz w:val="24"/>
          <w:highlight w:val="none"/>
        </w:rPr>
        <w:br w:type="page"/>
      </w:r>
      <w:bookmarkStart w:id="159" w:name="_Toc492372156"/>
      <w:bookmarkStart w:id="160" w:name="_Toc503943637"/>
      <w:bookmarkStart w:id="161" w:name="_Toc15306"/>
      <w:bookmarkStart w:id="162" w:name="_Toc499831025"/>
      <w:bookmarkStart w:id="163" w:name="_Toc499827580"/>
      <w:r>
        <w:rPr>
          <w:rFonts w:hint="eastAsia"/>
          <w:sz w:val="28"/>
          <w:szCs w:val="28"/>
          <w:highlight w:val="none"/>
        </w:rPr>
        <w:t>格式</w:t>
      </w:r>
      <w:r>
        <w:rPr>
          <w:sz w:val="28"/>
          <w:szCs w:val="28"/>
          <w:highlight w:val="none"/>
        </w:rPr>
        <w:t xml:space="preserve">6  </w:t>
      </w:r>
      <w:bookmarkEnd w:id="159"/>
      <w:r>
        <w:rPr>
          <w:rFonts w:hint="eastAsia"/>
          <w:sz w:val="28"/>
          <w:szCs w:val="28"/>
          <w:highlight w:val="none"/>
        </w:rPr>
        <w:t>残疾人福利性单位声明函</w:t>
      </w:r>
      <w:bookmarkEnd w:id="160"/>
      <w:bookmarkEnd w:id="161"/>
      <w:bookmarkEnd w:id="162"/>
      <w:bookmarkEnd w:id="163"/>
    </w:p>
    <w:p>
      <w:pPr>
        <w:spacing w:line="480" w:lineRule="exact"/>
        <w:ind w:firstLine="470" w:firstLineChars="200"/>
        <w:rPr>
          <w:rFonts w:ascii="宋体"/>
          <w:spacing w:val="6"/>
          <w:sz w:val="24"/>
          <w:highlight w:val="none"/>
        </w:rPr>
      </w:pPr>
      <w:r>
        <w:rPr>
          <w:rFonts w:hint="eastAsia" w:ascii="宋体" w:hAnsi="宋体"/>
          <w:spacing w:val="6"/>
          <w:sz w:val="24"/>
          <w:highlight w:val="none"/>
        </w:rPr>
        <w:t>本单位郑重声明，根据《财政部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号）的规定，本单位为符合条件的残疾人福利性单位，且本单位参加</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spacing w:val="6"/>
          <w:sz w:val="24"/>
          <w:highlight w:val="none"/>
        </w:rPr>
        <w:t>项目采购活动提供本单位制造的货物（由本单位承担工程</w:t>
      </w:r>
      <w:r>
        <w:rPr>
          <w:rFonts w:ascii="宋体" w:hAnsi="宋体"/>
          <w:spacing w:val="6"/>
          <w:sz w:val="24"/>
          <w:highlight w:val="none"/>
        </w:rPr>
        <w:t>/</w:t>
      </w:r>
      <w:r>
        <w:rPr>
          <w:rFonts w:hint="eastAsia" w:ascii="宋体" w:hAnsi="宋体"/>
          <w:spacing w:val="6"/>
          <w:sz w:val="24"/>
          <w:highlight w:val="none"/>
        </w:rPr>
        <w:t>提供服务），或者提供其他残疾人福利性单位制造的货物（不包括使用非残疾人福利性单位注册商标的货物）。</w:t>
      </w:r>
    </w:p>
    <w:p>
      <w:pPr>
        <w:spacing w:line="480" w:lineRule="exact"/>
        <w:ind w:firstLine="470" w:firstLineChars="200"/>
        <w:rPr>
          <w:rFonts w:asci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480" w:lineRule="exact"/>
        <w:rPr>
          <w:rFonts w:ascii="宋体"/>
          <w:spacing w:val="6"/>
          <w:sz w:val="24"/>
          <w:highlight w:val="none"/>
        </w:rPr>
      </w:pPr>
    </w:p>
    <w:p>
      <w:pPr>
        <w:tabs>
          <w:tab w:val="left" w:pos="4860"/>
        </w:tabs>
        <w:spacing w:line="480" w:lineRule="exact"/>
        <w:ind w:right="1560" w:firstLine="470"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单位名称（盖章）：</w:t>
      </w:r>
    </w:p>
    <w:p>
      <w:pPr>
        <w:tabs>
          <w:tab w:val="left" w:pos="4860"/>
        </w:tabs>
        <w:spacing w:line="480" w:lineRule="exact"/>
        <w:ind w:right="1560" w:firstLine="470"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日</w:t>
      </w:r>
      <w:r>
        <w:rPr>
          <w:rFonts w:ascii="宋体" w:hAnsi="宋体"/>
          <w:spacing w:val="6"/>
          <w:sz w:val="24"/>
          <w:highlight w:val="none"/>
        </w:rPr>
        <w:t xml:space="preserve">  </w:t>
      </w:r>
      <w:r>
        <w:rPr>
          <w:rFonts w:hint="eastAsia" w:ascii="宋体" w:hAnsi="宋体"/>
          <w:spacing w:val="6"/>
          <w:sz w:val="24"/>
          <w:highlight w:val="none"/>
        </w:rPr>
        <w:t>期：</w:t>
      </w:r>
    </w:p>
    <w:p>
      <w:pPr>
        <w:spacing w:line="480" w:lineRule="exact"/>
        <w:ind w:firstLine="470" w:firstLineChars="200"/>
        <w:rPr>
          <w:rFonts w:ascii="宋体"/>
          <w:spacing w:val="6"/>
          <w:sz w:val="24"/>
          <w:highlight w:val="none"/>
        </w:rPr>
      </w:pPr>
      <w:r>
        <w:rPr>
          <w:rFonts w:hint="eastAsia" w:ascii="宋体" w:hAnsi="宋体"/>
          <w:color w:val="0D0D0D"/>
          <w:spacing w:val="6"/>
          <w:sz w:val="24"/>
          <w:highlight w:val="none"/>
        </w:rPr>
        <w:t>注：</w:t>
      </w:r>
      <w:r>
        <w:rPr>
          <w:rFonts w:ascii="宋体" w:hAnsi="宋体"/>
          <w:color w:val="0D0D0D"/>
          <w:spacing w:val="6"/>
          <w:sz w:val="24"/>
          <w:highlight w:val="none"/>
        </w:rPr>
        <w:t>1</w:t>
      </w:r>
      <w:r>
        <w:rPr>
          <w:rFonts w:hint="eastAsia" w:ascii="宋体" w:hAnsi="宋体"/>
          <w:color w:val="0D0D0D"/>
          <w:spacing w:val="6"/>
          <w:sz w:val="24"/>
          <w:highlight w:val="none"/>
        </w:rPr>
        <w:t>、</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号）第一条的规定：享受政府采购支持政策的残疾人福利性单位应当同时满足以下条件：</w:t>
      </w:r>
    </w:p>
    <w:p>
      <w:pPr>
        <w:spacing w:line="480" w:lineRule="exact"/>
        <w:ind w:firstLine="470"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1</w:t>
      </w:r>
      <w:r>
        <w:rPr>
          <w:rFonts w:hint="eastAsia" w:ascii="宋体" w:hAnsi="宋体"/>
          <w:spacing w:val="6"/>
          <w:sz w:val="24"/>
          <w:highlight w:val="none"/>
        </w:rPr>
        <w:t>）安置的残疾人占本单位在职职工人数的比例不低于</w:t>
      </w:r>
      <w:r>
        <w:rPr>
          <w:rFonts w:ascii="宋体" w:hAnsi="宋体"/>
          <w:spacing w:val="6"/>
          <w:sz w:val="24"/>
          <w:highlight w:val="none"/>
        </w:rPr>
        <w:t>25%</w:t>
      </w:r>
      <w:r>
        <w:rPr>
          <w:rFonts w:hint="eastAsia" w:ascii="宋体" w:hAnsi="宋体"/>
          <w:spacing w:val="6"/>
          <w:sz w:val="24"/>
          <w:highlight w:val="none"/>
        </w:rPr>
        <w:t>（含</w:t>
      </w:r>
      <w:r>
        <w:rPr>
          <w:rFonts w:ascii="宋体" w:hAnsi="宋体"/>
          <w:spacing w:val="6"/>
          <w:sz w:val="24"/>
          <w:highlight w:val="none"/>
        </w:rPr>
        <w:t>25%</w:t>
      </w:r>
      <w:r>
        <w:rPr>
          <w:rFonts w:hint="eastAsia" w:ascii="宋体" w:hAnsi="宋体"/>
          <w:spacing w:val="6"/>
          <w:sz w:val="24"/>
          <w:highlight w:val="none"/>
        </w:rPr>
        <w:t>），并且安置的残疾人人数不少于</w:t>
      </w:r>
      <w:r>
        <w:rPr>
          <w:rFonts w:ascii="宋体" w:hAnsi="宋体"/>
          <w:spacing w:val="6"/>
          <w:sz w:val="24"/>
          <w:highlight w:val="none"/>
        </w:rPr>
        <w:t>10</w:t>
      </w:r>
      <w:r>
        <w:rPr>
          <w:rFonts w:hint="eastAsia" w:ascii="宋体" w:hAnsi="宋体"/>
          <w:spacing w:val="6"/>
          <w:sz w:val="24"/>
          <w:highlight w:val="none"/>
        </w:rPr>
        <w:t>人（含</w:t>
      </w:r>
      <w:r>
        <w:rPr>
          <w:rFonts w:ascii="宋体" w:hAnsi="宋体"/>
          <w:spacing w:val="6"/>
          <w:sz w:val="24"/>
          <w:highlight w:val="none"/>
        </w:rPr>
        <w:t>10</w:t>
      </w:r>
      <w:r>
        <w:rPr>
          <w:rFonts w:hint="eastAsia" w:ascii="宋体" w:hAnsi="宋体"/>
          <w:spacing w:val="6"/>
          <w:sz w:val="24"/>
          <w:highlight w:val="none"/>
        </w:rPr>
        <w:t>人）；</w:t>
      </w:r>
    </w:p>
    <w:p>
      <w:pPr>
        <w:spacing w:line="480" w:lineRule="exact"/>
        <w:ind w:firstLine="470"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2</w:t>
      </w:r>
      <w:r>
        <w:rPr>
          <w:rFonts w:hint="eastAsia" w:ascii="宋体" w:hAnsi="宋体"/>
          <w:spacing w:val="6"/>
          <w:sz w:val="24"/>
          <w:highlight w:val="none"/>
        </w:rPr>
        <w:t>）依法与安置的每位残疾人签订了一年以上（含一年）的劳动合同或服务协议；</w:t>
      </w:r>
    </w:p>
    <w:p>
      <w:pPr>
        <w:spacing w:line="480" w:lineRule="exact"/>
        <w:ind w:firstLine="470"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3</w:t>
      </w:r>
      <w:r>
        <w:rPr>
          <w:rFonts w:hint="eastAsia" w:ascii="宋体" w:hAnsi="宋体"/>
          <w:spacing w:val="6"/>
          <w:sz w:val="24"/>
          <w:highlight w:val="none"/>
        </w:rPr>
        <w:t>）为安置的每位残疾人按月足额缴纳了基本养老保险、基本医疗保险、失业保险、工伤保险和生育保险等社会保险费；</w:t>
      </w:r>
    </w:p>
    <w:p>
      <w:pPr>
        <w:spacing w:line="480" w:lineRule="exact"/>
        <w:ind w:firstLine="470"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4</w:t>
      </w:r>
      <w:r>
        <w:rPr>
          <w:rFonts w:hint="eastAsia" w:ascii="宋体" w:hAnsi="宋体"/>
          <w:spacing w:val="6"/>
          <w:sz w:val="24"/>
          <w:highlight w:val="none"/>
        </w:rPr>
        <w:t>）通过银行等金融机构向安置的每位残疾人，按月支付了不低于单位所在区县适用的经省级人民政府批准的月最低工资标准的工资；</w:t>
      </w:r>
    </w:p>
    <w:p>
      <w:pPr>
        <w:spacing w:line="480" w:lineRule="exact"/>
        <w:ind w:firstLine="470"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5</w:t>
      </w:r>
      <w:r>
        <w:rPr>
          <w:rFonts w:hint="eastAsia" w:ascii="宋体" w:hAnsi="宋体"/>
          <w:spacing w:val="6"/>
          <w:sz w:val="24"/>
          <w:highlight w:val="none"/>
        </w:rPr>
        <w:t>）提供本单位制造的货物、承担的工程或者服务（以下简称产品），或者提供其他残疾人福利性单位制造的货物（不包括使用非残疾人福利性单位注册商标的货物）。</w:t>
      </w:r>
    </w:p>
    <w:p>
      <w:pPr>
        <w:spacing w:line="480" w:lineRule="exact"/>
        <w:ind w:firstLine="470" w:firstLineChars="200"/>
        <w:rPr>
          <w:rFonts w:ascii="宋体"/>
          <w:spacing w:val="6"/>
          <w:sz w:val="24"/>
          <w:highlight w:val="none"/>
        </w:rPr>
      </w:pPr>
      <w:r>
        <w:rPr>
          <w:rFonts w:hint="eastAsia" w:ascii="宋体" w:hAnsi="宋体"/>
          <w:spacing w:val="6"/>
          <w:sz w:val="24"/>
          <w:highlight w:val="none"/>
        </w:rPr>
        <w:t>前款所称残疾人是指法定劳动年龄内，持有《中华人民共和国残疾人证》或者《中华人民共和国残疾军人证（</w:t>
      </w:r>
      <w:r>
        <w:rPr>
          <w:rFonts w:ascii="宋体" w:hAnsi="宋体"/>
          <w:spacing w:val="6"/>
          <w:sz w:val="24"/>
          <w:highlight w:val="none"/>
        </w:rPr>
        <w:t>1</w:t>
      </w:r>
      <w:r>
        <w:rPr>
          <w:rFonts w:hint="eastAsia" w:ascii="宋体" w:hAnsi="宋体"/>
          <w:spacing w:val="6"/>
          <w:sz w:val="24"/>
          <w:highlight w:val="none"/>
        </w:rPr>
        <w:t>至</w:t>
      </w:r>
      <w:r>
        <w:rPr>
          <w:rFonts w:ascii="宋体" w:hAnsi="宋体"/>
          <w:spacing w:val="6"/>
          <w:sz w:val="24"/>
          <w:highlight w:val="none"/>
        </w:rPr>
        <w:t>8</w:t>
      </w:r>
      <w:r>
        <w:rPr>
          <w:rFonts w:hint="eastAsia" w:ascii="宋体" w:hAnsi="宋体"/>
          <w:spacing w:val="6"/>
          <w:sz w:val="24"/>
          <w:highlight w:val="none"/>
        </w:rPr>
        <w:t>级）》的自然人，包括具有劳动条件和劳动意愿的精神残疾人。在职职工人数是指与残疾人福利性单位建立劳动关系并依法签订劳动合同或者服务协议的雇员人数。</w:t>
      </w:r>
    </w:p>
    <w:p>
      <w:pPr>
        <w:spacing w:line="400" w:lineRule="exact"/>
        <w:ind w:firstLine="588" w:firstLineChars="250"/>
        <w:rPr>
          <w:rFonts w:ascii="宋体"/>
          <w:color w:val="0D0D0D"/>
          <w:spacing w:val="6"/>
          <w:sz w:val="24"/>
          <w:highlight w:val="none"/>
        </w:rPr>
      </w:pPr>
      <w:r>
        <w:rPr>
          <w:rFonts w:ascii="宋体" w:hAnsi="宋体"/>
          <w:spacing w:val="6"/>
          <w:sz w:val="24"/>
          <w:highlight w:val="none"/>
        </w:rPr>
        <w:t>2</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highlight w:val="none"/>
          <w:lang w:val="zh-CN"/>
        </w:rPr>
      </w:pPr>
      <w:r>
        <w:rPr>
          <w:rFonts w:ascii="宋体"/>
          <w:highlight w:val="none"/>
        </w:rPr>
        <w:br w:type="page"/>
      </w:r>
      <w:r>
        <w:rPr>
          <w:rFonts w:hint="eastAsia" w:ascii="宋体" w:hAnsi="宋体"/>
          <w:b/>
          <w:sz w:val="28"/>
          <w:highlight w:val="none"/>
        </w:rPr>
        <w:t>格式</w:t>
      </w:r>
      <w:r>
        <w:rPr>
          <w:rFonts w:ascii="宋体" w:hAnsi="宋体"/>
          <w:b/>
          <w:sz w:val="28"/>
          <w:highlight w:val="none"/>
        </w:rPr>
        <w:t xml:space="preserve">7  </w:t>
      </w:r>
      <w:r>
        <w:rPr>
          <w:rFonts w:hint="eastAsia" w:ascii="黑体" w:hAnsi="Arial" w:eastAsia="黑体"/>
          <w:sz w:val="30"/>
          <w:szCs w:val="30"/>
          <w:highlight w:val="none"/>
          <w:lang w:val="zh-CN"/>
        </w:rPr>
        <w:t>供应商同类项目实施情况一览表</w:t>
      </w:r>
    </w:p>
    <w:p>
      <w:pPr>
        <w:autoSpaceDE w:val="0"/>
        <w:autoSpaceDN w:val="0"/>
        <w:jc w:val="center"/>
        <w:rPr>
          <w:rFonts w:ascii="宋体" w:hAnsi="Arial"/>
          <w:sz w:val="28"/>
          <w:highlight w:val="none"/>
          <w:lang w:val="zh-CN"/>
        </w:rPr>
      </w:pPr>
    </w:p>
    <w:p>
      <w:pPr>
        <w:pStyle w:val="63"/>
        <w:snapToGrid w:val="0"/>
        <w:spacing w:before="240" w:line="240" w:lineRule="auto"/>
        <w:ind w:firstLine="0" w:firstLineChars="0"/>
        <w:rPr>
          <w:sz w:val="22"/>
          <w:szCs w:val="22"/>
          <w:highlight w:val="none"/>
        </w:rPr>
      </w:pPr>
      <w:r>
        <w:rPr>
          <w:rFonts w:hint="eastAsia"/>
          <w:sz w:val="22"/>
          <w:szCs w:val="22"/>
          <w:highlight w:val="none"/>
          <w:lang w:val="zh-CN"/>
        </w:rPr>
        <w:t>货物名称：</w:t>
      </w:r>
      <w:r>
        <w:rPr>
          <w:sz w:val="22"/>
          <w:szCs w:val="22"/>
          <w:highlight w:val="none"/>
          <w:lang w:val="zh-CN"/>
        </w:rPr>
        <w:t xml:space="preserve">                            </w:t>
      </w:r>
    </w:p>
    <w:tbl>
      <w:tblPr>
        <w:tblStyle w:val="34"/>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69" w:type="dxa"/>
            <w:vMerge w:val="restart"/>
            <w:vAlign w:val="center"/>
          </w:tcPr>
          <w:p>
            <w:pPr>
              <w:pStyle w:val="63"/>
              <w:snapToGrid w:val="0"/>
              <w:spacing w:before="240" w:line="240" w:lineRule="auto"/>
              <w:ind w:firstLine="0" w:firstLineChars="0"/>
              <w:rPr>
                <w:sz w:val="22"/>
                <w:szCs w:val="22"/>
                <w:highlight w:val="none"/>
              </w:rPr>
            </w:pPr>
            <w:r>
              <w:rPr>
                <w:rFonts w:hint="eastAsia"/>
                <w:sz w:val="22"/>
                <w:szCs w:val="22"/>
                <w:highlight w:val="none"/>
              </w:rPr>
              <w:t>招标采购单位名称</w:t>
            </w:r>
          </w:p>
        </w:tc>
        <w:tc>
          <w:tcPr>
            <w:tcW w:w="1971" w:type="dxa"/>
            <w:vMerge w:val="restart"/>
            <w:vAlign w:val="center"/>
          </w:tcPr>
          <w:p>
            <w:pPr>
              <w:pStyle w:val="63"/>
              <w:snapToGrid w:val="0"/>
              <w:spacing w:before="240" w:line="240" w:lineRule="auto"/>
              <w:ind w:firstLine="0" w:firstLineChars="0"/>
              <w:rPr>
                <w:sz w:val="22"/>
                <w:szCs w:val="22"/>
                <w:highlight w:val="none"/>
              </w:rPr>
            </w:pPr>
            <w:r>
              <w:rPr>
                <w:rFonts w:hint="eastAsia"/>
                <w:sz w:val="22"/>
                <w:szCs w:val="22"/>
                <w:highlight w:val="none"/>
              </w:rPr>
              <w:t>项目名称</w:t>
            </w:r>
          </w:p>
        </w:tc>
        <w:tc>
          <w:tcPr>
            <w:tcW w:w="815" w:type="dxa"/>
            <w:vMerge w:val="restart"/>
            <w:vAlign w:val="center"/>
          </w:tcPr>
          <w:p>
            <w:pPr>
              <w:pStyle w:val="63"/>
              <w:snapToGrid w:val="0"/>
              <w:spacing w:before="240" w:line="240" w:lineRule="auto"/>
              <w:ind w:firstLine="0" w:firstLineChars="0"/>
              <w:rPr>
                <w:sz w:val="22"/>
                <w:szCs w:val="22"/>
                <w:highlight w:val="none"/>
              </w:rPr>
            </w:pPr>
            <w:r>
              <w:rPr>
                <w:rFonts w:hint="eastAsia"/>
                <w:sz w:val="22"/>
                <w:szCs w:val="22"/>
                <w:highlight w:val="none"/>
              </w:rPr>
              <w:t>采购数量</w:t>
            </w:r>
          </w:p>
        </w:tc>
        <w:tc>
          <w:tcPr>
            <w:tcW w:w="874" w:type="dxa"/>
            <w:vMerge w:val="restart"/>
            <w:vAlign w:val="center"/>
          </w:tcPr>
          <w:p>
            <w:pPr>
              <w:pStyle w:val="63"/>
              <w:snapToGrid w:val="0"/>
              <w:spacing w:before="240" w:line="240" w:lineRule="auto"/>
              <w:ind w:firstLine="0" w:firstLineChars="0"/>
              <w:rPr>
                <w:sz w:val="22"/>
                <w:szCs w:val="22"/>
                <w:highlight w:val="none"/>
              </w:rPr>
            </w:pPr>
            <w:r>
              <w:rPr>
                <w:rFonts w:hint="eastAsia"/>
                <w:sz w:val="22"/>
                <w:szCs w:val="22"/>
                <w:highlight w:val="none"/>
              </w:rPr>
              <w:t>单价</w:t>
            </w:r>
          </w:p>
        </w:tc>
        <w:tc>
          <w:tcPr>
            <w:tcW w:w="1269" w:type="dxa"/>
            <w:vMerge w:val="restart"/>
            <w:vAlign w:val="center"/>
          </w:tcPr>
          <w:p>
            <w:pPr>
              <w:pStyle w:val="63"/>
              <w:snapToGrid w:val="0"/>
              <w:spacing w:before="240" w:line="240" w:lineRule="auto"/>
              <w:ind w:firstLine="0" w:firstLineChars="0"/>
              <w:rPr>
                <w:sz w:val="22"/>
                <w:szCs w:val="22"/>
                <w:highlight w:val="none"/>
              </w:rPr>
            </w:pPr>
            <w:r>
              <w:rPr>
                <w:rFonts w:hint="eastAsia"/>
                <w:sz w:val="22"/>
                <w:szCs w:val="22"/>
                <w:highlight w:val="none"/>
              </w:rPr>
              <w:t>合同金额</w:t>
            </w:r>
          </w:p>
          <w:p>
            <w:pPr>
              <w:pStyle w:val="63"/>
              <w:snapToGrid w:val="0"/>
              <w:spacing w:before="240" w:line="240" w:lineRule="auto"/>
              <w:ind w:firstLine="0" w:firstLineChars="0"/>
              <w:rPr>
                <w:sz w:val="22"/>
                <w:szCs w:val="22"/>
                <w:highlight w:val="none"/>
              </w:rPr>
            </w:pPr>
            <w:r>
              <w:rPr>
                <w:rFonts w:hint="eastAsia"/>
                <w:sz w:val="22"/>
                <w:szCs w:val="22"/>
                <w:highlight w:val="none"/>
              </w:rPr>
              <w:t>（万元）</w:t>
            </w:r>
          </w:p>
        </w:tc>
        <w:tc>
          <w:tcPr>
            <w:tcW w:w="2112" w:type="dxa"/>
            <w:gridSpan w:val="2"/>
          </w:tcPr>
          <w:p>
            <w:pPr>
              <w:pStyle w:val="63"/>
              <w:snapToGrid w:val="0"/>
              <w:spacing w:before="240" w:line="240" w:lineRule="auto"/>
              <w:ind w:firstLine="0" w:firstLineChars="0"/>
              <w:rPr>
                <w:sz w:val="22"/>
                <w:szCs w:val="22"/>
                <w:highlight w:val="none"/>
              </w:rPr>
            </w:pPr>
            <w:r>
              <w:rPr>
                <w:rFonts w:hint="eastAsia"/>
                <w:sz w:val="22"/>
                <w:szCs w:val="22"/>
                <w:highlight w:val="none"/>
              </w:rPr>
              <w:t>附件页码</w:t>
            </w:r>
          </w:p>
        </w:tc>
        <w:tc>
          <w:tcPr>
            <w:tcW w:w="1550" w:type="dxa"/>
            <w:vMerge w:val="restart"/>
            <w:vAlign w:val="center"/>
          </w:tcPr>
          <w:p>
            <w:pPr>
              <w:pStyle w:val="63"/>
              <w:snapToGrid w:val="0"/>
              <w:spacing w:before="240" w:line="240" w:lineRule="auto"/>
              <w:ind w:firstLine="0" w:firstLineChars="0"/>
              <w:rPr>
                <w:sz w:val="22"/>
                <w:szCs w:val="22"/>
                <w:highlight w:val="none"/>
              </w:rPr>
            </w:pPr>
            <w:r>
              <w:rPr>
                <w:rFonts w:hint="eastAsia"/>
                <w:sz w:val="22"/>
                <w:szCs w:val="22"/>
                <w:highlight w:val="none"/>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269" w:type="dxa"/>
            <w:vMerge w:val="continue"/>
          </w:tcPr>
          <w:p>
            <w:pPr>
              <w:pStyle w:val="63"/>
              <w:snapToGrid w:val="0"/>
              <w:spacing w:before="240" w:line="240" w:lineRule="auto"/>
              <w:ind w:firstLine="0" w:firstLineChars="0"/>
              <w:rPr>
                <w:sz w:val="22"/>
                <w:szCs w:val="22"/>
                <w:highlight w:val="none"/>
              </w:rPr>
            </w:pPr>
          </w:p>
        </w:tc>
        <w:tc>
          <w:tcPr>
            <w:tcW w:w="1971" w:type="dxa"/>
            <w:vMerge w:val="continue"/>
          </w:tcPr>
          <w:p>
            <w:pPr>
              <w:pStyle w:val="63"/>
              <w:snapToGrid w:val="0"/>
              <w:spacing w:before="240" w:line="240" w:lineRule="auto"/>
              <w:ind w:firstLine="0" w:firstLineChars="0"/>
              <w:rPr>
                <w:sz w:val="22"/>
                <w:szCs w:val="22"/>
                <w:highlight w:val="none"/>
              </w:rPr>
            </w:pPr>
          </w:p>
        </w:tc>
        <w:tc>
          <w:tcPr>
            <w:tcW w:w="815" w:type="dxa"/>
            <w:vMerge w:val="continue"/>
          </w:tcPr>
          <w:p>
            <w:pPr>
              <w:pStyle w:val="63"/>
              <w:snapToGrid w:val="0"/>
              <w:spacing w:before="240" w:line="240" w:lineRule="auto"/>
              <w:ind w:firstLine="0" w:firstLineChars="0"/>
              <w:rPr>
                <w:sz w:val="22"/>
                <w:szCs w:val="22"/>
                <w:highlight w:val="none"/>
              </w:rPr>
            </w:pPr>
          </w:p>
        </w:tc>
        <w:tc>
          <w:tcPr>
            <w:tcW w:w="874" w:type="dxa"/>
            <w:vMerge w:val="continue"/>
          </w:tcPr>
          <w:p>
            <w:pPr>
              <w:pStyle w:val="63"/>
              <w:snapToGrid w:val="0"/>
              <w:spacing w:before="240" w:line="240" w:lineRule="auto"/>
              <w:ind w:firstLine="0" w:firstLineChars="0"/>
              <w:rPr>
                <w:sz w:val="22"/>
                <w:szCs w:val="22"/>
                <w:highlight w:val="none"/>
              </w:rPr>
            </w:pPr>
          </w:p>
        </w:tc>
        <w:tc>
          <w:tcPr>
            <w:tcW w:w="1269" w:type="dxa"/>
            <w:vMerge w:val="continue"/>
          </w:tcPr>
          <w:p>
            <w:pPr>
              <w:pStyle w:val="63"/>
              <w:snapToGrid w:val="0"/>
              <w:spacing w:before="240" w:line="240" w:lineRule="auto"/>
              <w:ind w:firstLine="0" w:firstLineChars="0"/>
              <w:rPr>
                <w:sz w:val="22"/>
                <w:szCs w:val="22"/>
                <w:highlight w:val="none"/>
              </w:rPr>
            </w:pPr>
          </w:p>
        </w:tc>
        <w:tc>
          <w:tcPr>
            <w:tcW w:w="1049" w:type="dxa"/>
            <w:vAlign w:val="center"/>
          </w:tcPr>
          <w:p>
            <w:pPr>
              <w:pStyle w:val="63"/>
              <w:snapToGrid w:val="0"/>
              <w:spacing w:before="240" w:line="240" w:lineRule="auto"/>
              <w:ind w:firstLine="0" w:firstLineChars="0"/>
              <w:rPr>
                <w:sz w:val="22"/>
                <w:szCs w:val="22"/>
                <w:highlight w:val="none"/>
              </w:rPr>
            </w:pPr>
            <w:r>
              <w:rPr>
                <w:rFonts w:hint="eastAsia"/>
                <w:sz w:val="22"/>
                <w:szCs w:val="22"/>
                <w:highlight w:val="none"/>
              </w:rPr>
              <w:t>合同</w:t>
            </w:r>
          </w:p>
        </w:tc>
        <w:tc>
          <w:tcPr>
            <w:tcW w:w="1063" w:type="dxa"/>
            <w:vAlign w:val="center"/>
          </w:tcPr>
          <w:p>
            <w:pPr>
              <w:pStyle w:val="63"/>
              <w:snapToGrid w:val="0"/>
              <w:spacing w:before="240" w:line="240" w:lineRule="auto"/>
              <w:ind w:firstLine="0" w:firstLineChars="0"/>
              <w:rPr>
                <w:sz w:val="22"/>
                <w:szCs w:val="22"/>
                <w:highlight w:val="none"/>
              </w:rPr>
            </w:pPr>
            <w:r>
              <w:rPr>
                <w:rFonts w:hint="eastAsia"/>
                <w:sz w:val="22"/>
                <w:szCs w:val="22"/>
                <w:highlight w:val="none"/>
              </w:rPr>
              <w:t>服务验收报告</w:t>
            </w:r>
          </w:p>
        </w:tc>
        <w:tc>
          <w:tcPr>
            <w:tcW w:w="1550" w:type="dxa"/>
            <w:vMerge w:val="continue"/>
          </w:tcPr>
          <w:p>
            <w:pPr>
              <w:pStyle w:val="63"/>
              <w:snapToGrid w:val="0"/>
              <w:spacing w:before="240" w:line="240" w:lineRule="auto"/>
              <w:ind w:firstLine="0" w:firstLineChars="0"/>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tcPr>
          <w:p>
            <w:pPr>
              <w:pStyle w:val="63"/>
              <w:snapToGrid w:val="0"/>
              <w:spacing w:before="240" w:line="240" w:lineRule="auto"/>
              <w:ind w:firstLine="0" w:firstLineChars="0"/>
              <w:rPr>
                <w:sz w:val="22"/>
                <w:szCs w:val="22"/>
                <w:highlight w:val="none"/>
              </w:rPr>
            </w:pPr>
          </w:p>
        </w:tc>
        <w:tc>
          <w:tcPr>
            <w:tcW w:w="1971" w:type="dxa"/>
          </w:tcPr>
          <w:p>
            <w:pPr>
              <w:pStyle w:val="63"/>
              <w:snapToGrid w:val="0"/>
              <w:spacing w:before="240" w:line="240" w:lineRule="auto"/>
              <w:ind w:firstLine="0" w:firstLineChars="0"/>
              <w:rPr>
                <w:sz w:val="22"/>
                <w:szCs w:val="22"/>
                <w:highlight w:val="none"/>
              </w:rPr>
            </w:pPr>
          </w:p>
        </w:tc>
        <w:tc>
          <w:tcPr>
            <w:tcW w:w="815" w:type="dxa"/>
          </w:tcPr>
          <w:p>
            <w:pPr>
              <w:pStyle w:val="63"/>
              <w:snapToGrid w:val="0"/>
              <w:spacing w:before="240" w:line="240" w:lineRule="auto"/>
              <w:ind w:firstLine="0" w:firstLineChars="0"/>
              <w:rPr>
                <w:sz w:val="22"/>
                <w:szCs w:val="22"/>
                <w:highlight w:val="none"/>
              </w:rPr>
            </w:pPr>
          </w:p>
        </w:tc>
        <w:tc>
          <w:tcPr>
            <w:tcW w:w="874" w:type="dxa"/>
          </w:tcPr>
          <w:p>
            <w:pPr>
              <w:pStyle w:val="63"/>
              <w:snapToGrid w:val="0"/>
              <w:spacing w:before="240" w:line="240" w:lineRule="auto"/>
              <w:ind w:firstLine="0" w:firstLineChars="0"/>
              <w:rPr>
                <w:sz w:val="22"/>
                <w:szCs w:val="22"/>
                <w:highlight w:val="none"/>
              </w:rPr>
            </w:pPr>
          </w:p>
        </w:tc>
        <w:tc>
          <w:tcPr>
            <w:tcW w:w="1269" w:type="dxa"/>
          </w:tcPr>
          <w:p>
            <w:pPr>
              <w:pStyle w:val="63"/>
              <w:snapToGrid w:val="0"/>
              <w:spacing w:before="240" w:line="240" w:lineRule="auto"/>
              <w:ind w:firstLine="0" w:firstLineChars="0"/>
              <w:rPr>
                <w:sz w:val="22"/>
                <w:szCs w:val="22"/>
                <w:highlight w:val="none"/>
              </w:rPr>
            </w:pPr>
          </w:p>
        </w:tc>
        <w:tc>
          <w:tcPr>
            <w:tcW w:w="1049" w:type="dxa"/>
          </w:tcPr>
          <w:p>
            <w:pPr>
              <w:pStyle w:val="63"/>
              <w:snapToGrid w:val="0"/>
              <w:spacing w:before="240" w:line="240" w:lineRule="auto"/>
              <w:ind w:firstLine="0" w:firstLineChars="0"/>
              <w:rPr>
                <w:sz w:val="22"/>
                <w:szCs w:val="22"/>
                <w:highlight w:val="none"/>
              </w:rPr>
            </w:pPr>
          </w:p>
        </w:tc>
        <w:tc>
          <w:tcPr>
            <w:tcW w:w="1063" w:type="dxa"/>
          </w:tcPr>
          <w:p>
            <w:pPr>
              <w:pStyle w:val="63"/>
              <w:snapToGrid w:val="0"/>
              <w:spacing w:before="240" w:line="240" w:lineRule="auto"/>
              <w:ind w:firstLine="0" w:firstLineChars="0"/>
              <w:rPr>
                <w:sz w:val="22"/>
                <w:szCs w:val="22"/>
                <w:highlight w:val="none"/>
              </w:rPr>
            </w:pPr>
          </w:p>
        </w:tc>
        <w:tc>
          <w:tcPr>
            <w:tcW w:w="1550" w:type="dxa"/>
          </w:tcPr>
          <w:p>
            <w:pPr>
              <w:pStyle w:val="63"/>
              <w:snapToGrid w:val="0"/>
              <w:spacing w:before="240" w:line="240" w:lineRule="auto"/>
              <w:ind w:firstLine="0" w:firstLineChars="0"/>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pStyle w:val="63"/>
              <w:snapToGrid w:val="0"/>
              <w:spacing w:before="240" w:line="240" w:lineRule="auto"/>
              <w:ind w:firstLine="0" w:firstLineChars="0"/>
              <w:rPr>
                <w:sz w:val="22"/>
                <w:szCs w:val="22"/>
                <w:highlight w:val="none"/>
              </w:rPr>
            </w:pPr>
          </w:p>
        </w:tc>
        <w:tc>
          <w:tcPr>
            <w:tcW w:w="1971" w:type="dxa"/>
          </w:tcPr>
          <w:p>
            <w:pPr>
              <w:pStyle w:val="63"/>
              <w:snapToGrid w:val="0"/>
              <w:spacing w:before="240" w:line="240" w:lineRule="auto"/>
              <w:ind w:firstLine="0" w:firstLineChars="0"/>
              <w:rPr>
                <w:sz w:val="22"/>
                <w:szCs w:val="22"/>
                <w:highlight w:val="none"/>
              </w:rPr>
            </w:pPr>
          </w:p>
        </w:tc>
        <w:tc>
          <w:tcPr>
            <w:tcW w:w="815" w:type="dxa"/>
          </w:tcPr>
          <w:p>
            <w:pPr>
              <w:pStyle w:val="63"/>
              <w:snapToGrid w:val="0"/>
              <w:spacing w:before="240" w:line="240" w:lineRule="auto"/>
              <w:ind w:firstLine="0" w:firstLineChars="0"/>
              <w:rPr>
                <w:sz w:val="22"/>
                <w:szCs w:val="22"/>
                <w:highlight w:val="none"/>
              </w:rPr>
            </w:pPr>
          </w:p>
        </w:tc>
        <w:tc>
          <w:tcPr>
            <w:tcW w:w="874" w:type="dxa"/>
          </w:tcPr>
          <w:p>
            <w:pPr>
              <w:pStyle w:val="63"/>
              <w:snapToGrid w:val="0"/>
              <w:spacing w:before="240" w:line="240" w:lineRule="auto"/>
              <w:ind w:firstLine="0" w:firstLineChars="0"/>
              <w:rPr>
                <w:sz w:val="22"/>
                <w:szCs w:val="22"/>
                <w:highlight w:val="none"/>
              </w:rPr>
            </w:pPr>
          </w:p>
        </w:tc>
        <w:tc>
          <w:tcPr>
            <w:tcW w:w="1269" w:type="dxa"/>
          </w:tcPr>
          <w:p>
            <w:pPr>
              <w:pStyle w:val="63"/>
              <w:snapToGrid w:val="0"/>
              <w:spacing w:before="240" w:line="240" w:lineRule="auto"/>
              <w:ind w:firstLine="0" w:firstLineChars="0"/>
              <w:rPr>
                <w:sz w:val="22"/>
                <w:szCs w:val="22"/>
                <w:highlight w:val="none"/>
              </w:rPr>
            </w:pPr>
          </w:p>
        </w:tc>
        <w:tc>
          <w:tcPr>
            <w:tcW w:w="1049" w:type="dxa"/>
          </w:tcPr>
          <w:p>
            <w:pPr>
              <w:pStyle w:val="63"/>
              <w:snapToGrid w:val="0"/>
              <w:spacing w:before="240" w:line="240" w:lineRule="auto"/>
              <w:ind w:firstLine="0" w:firstLineChars="0"/>
              <w:rPr>
                <w:sz w:val="22"/>
                <w:szCs w:val="22"/>
                <w:highlight w:val="none"/>
              </w:rPr>
            </w:pPr>
          </w:p>
        </w:tc>
        <w:tc>
          <w:tcPr>
            <w:tcW w:w="1063" w:type="dxa"/>
          </w:tcPr>
          <w:p>
            <w:pPr>
              <w:pStyle w:val="63"/>
              <w:snapToGrid w:val="0"/>
              <w:spacing w:before="240" w:line="240" w:lineRule="auto"/>
              <w:ind w:firstLine="0" w:firstLineChars="0"/>
              <w:rPr>
                <w:sz w:val="22"/>
                <w:szCs w:val="22"/>
                <w:highlight w:val="none"/>
              </w:rPr>
            </w:pPr>
          </w:p>
        </w:tc>
        <w:tc>
          <w:tcPr>
            <w:tcW w:w="1550" w:type="dxa"/>
          </w:tcPr>
          <w:p>
            <w:pPr>
              <w:pStyle w:val="63"/>
              <w:snapToGrid w:val="0"/>
              <w:spacing w:before="240" w:line="240" w:lineRule="auto"/>
              <w:ind w:firstLine="0" w:firstLineChars="0"/>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pStyle w:val="63"/>
              <w:snapToGrid w:val="0"/>
              <w:spacing w:before="240" w:line="240" w:lineRule="auto"/>
              <w:ind w:firstLine="0" w:firstLineChars="0"/>
              <w:rPr>
                <w:sz w:val="22"/>
                <w:szCs w:val="22"/>
                <w:highlight w:val="none"/>
              </w:rPr>
            </w:pPr>
          </w:p>
        </w:tc>
        <w:tc>
          <w:tcPr>
            <w:tcW w:w="1971" w:type="dxa"/>
          </w:tcPr>
          <w:p>
            <w:pPr>
              <w:pStyle w:val="63"/>
              <w:snapToGrid w:val="0"/>
              <w:spacing w:before="240" w:line="240" w:lineRule="auto"/>
              <w:ind w:firstLine="0" w:firstLineChars="0"/>
              <w:rPr>
                <w:sz w:val="22"/>
                <w:szCs w:val="22"/>
                <w:highlight w:val="none"/>
              </w:rPr>
            </w:pPr>
          </w:p>
        </w:tc>
        <w:tc>
          <w:tcPr>
            <w:tcW w:w="815" w:type="dxa"/>
          </w:tcPr>
          <w:p>
            <w:pPr>
              <w:pStyle w:val="63"/>
              <w:snapToGrid w:val="0"/>
              <w:spacing w:before="240" w:line="240" w:lineRule="auto"/>
              <w:ind w:firstLine="0" w:firstLineChars="0"/>
              <w:rPr>
                <w:sz w:val="22"/>
                <w:szCs w:val="22"/>
                <w:highlight w:val="none"/>
              </w:rPr>
            </w:pPr>
          </w:p>
        </w:tc>
        <w:tc>
          <w:tcPr>
            <w:tcW w:w="874" w:type="dxa"/>
          </w:tcPr>
          <w:p>
            <w:pPr>
              <w:pStyle w:val="63"/>
              <w:snapToGrid w:val="0"/>
              <w:spacing w:before="240" w:line="240" w:lineRule="auto"/>
              <w:ind w:firstLine="0" w:firstLineChars="0"/>
              <w:rPr>
                <w:sz w:val="22"/>
                <w:szCs w:val="22"/>
                <w:highlight w:val="none"/>
              </w:rPr>
            </w:pPr>
          </w:p>
        </w:tc>
        <w:tc>
          <w:tcPr>
            <w:tcW w:w="1269" w:type="dxa"/>
          </w:tcPr>
          <w:p>
            <w:pPr>
              <w:pStyle w:val="63"/>
              <w:snapToGrid w:val="0"/>
              <w:spacing w:before="240" w:line="240" w:lineRule="auto"/>
              <w:ind w:firstLine="0" w:firstLineChars="0"/>
              <w:rPr>
                <w:sz w:val="22"/>
                <w:szCs w:val="22"/>
                <w:highlight w:val="none"/>
              </w:rPr>
            </w:pPr>
          </w:p>
        </w:tc>
        <w:tc>
          <w:tcPr>
            <w:tcW w:w="1049" w:type="dxa"/>
          </w:tcPr>
          <w:p>
            <w:pPr>
              <w:pStyle w:val="63"/>
              <w:snapToGrid w:val="0"/>
              <w:spacing w:before="240" w:line="240" w:lineRule="auto"/>
              <w:ind w:firstLine="0" w:firstLineChars="0"/>
              <w:rPr>
                <w:sz w:val="22"/>
                <w:szCs w:val="22"/>
                <w:highlight w:val="none"/>
              </w:rPr>
            </w:pPr>
          </w:p>
        </w:tc>
        <w:tc>
          <w:tcPr>
            <w:tcW w:w="1063" w:type="dxa"/>
          </w:tcPr>
          <w:p>
            <w:pPr>
              <w:pStyle w:val="63"/>
              <w:snapToGrid w:val="0"/>
              <w:spacing w:before="240" w:line="240" w:lineRule="auto"/>
              <w:ind w:firstLine="0" w:firstLineChars="0"/>
              <w:rPr>
                <w:sz w:val="22"/>
                <w:szCs w:val="22"/>
                <w:highlight w:val="none"/>
              </w:rPr>
            </w:pPr>
          </w:p>
        </w:tc>
        <w:tc>
          <w:tcPr>
            <w:tcW w:w="1550" w:type="dxa"/>
          </w:tcPr>
          <w:p>
            <w:pPr>
              <w:pStyle w:val="63"/>
              <w:snapToGrid w:val="0"/>
              <w:spacing w:before="240" w:line="240" w:lineRule="auto"/>
              <w:ind w:firstLine="0" w:firstLineChars="0"/>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pStyle w:val="63"/>
              <w:snapToGrid w:val="0"/>
              <w:spacing w:before="240" w:line="240" w:lineRule="auto"/>
              <w:ind w:firstLine="0" w:firstLineChars="0"/>
              <w:rPr>
                <w:sz w:val="22"/>
                <w:szCs w:val="22"/>
                <w:highlight w:val="none"/>
              </w:rPr>
            </w:pPr>
          </w:p>
        </w:tc>
        <w:tc>
          <w:tcPr>
            <w:tcW w:w="1971" w:type="dxa"/>
          </w:tcPr>
          <w:p>
            <w:pPr>
              <w:pStyle w:val="63"/>
              <w:snapToGrid w:val="0"/>
              <w:spacing w:before="240" w:line="240" w:lineRule="auto"/>
              <w:ind w:firstLine="0" w:firstLineChars="0"/>
              <w:rPr>
                <w:sz w:val="22"/>
                <w:szCs w:val="22"/>
                <w:highlight w:val="none"/>
              </w:rPr>
            </w:pPr>
          </w:p>
        </w:tc>
        <w:tc>
          <w:tcPr>
            <w:tcW w:w="815" w:type="dxa"/>
          </w:tcPr>
          <w:p>
            <w:pPr>
              <w:pStyle w:val="63"/>
              <w:snapToGrid w:val="0"/>
              <w:spacing w:before="240" w:line="240" w:lineRule="auto"/>
              <w:ind w:firstLine="0" w:firstLineChars="0"/>
              <w:rPr>
                <w:sz w:val="22"/>
                <w:szCs w:val="22"/>
                <w:highlight w:val="none"/>
              </w:rPr>
            </w:pPr>
          </w:p>
        </w:tc>
        <w:tc>
          <w:tcPr>
            <w:tcW w:w="874" w:type="dxa"/>
          </w:tcPr>
          <w:p>
            <w:pPr>
              <w:pStyle w:val="63"/>
              <w:snapToGrid w:val="0"/>
              <w:spacing w:before="240" w:line="240" w:lineRule="auto"/>
              <w:ind w:firstLine="0" w:firstLineChars="0"/>
              <w:rPr>
                <w:sz w:val="22"/>
                <w:szCs w:val="22"/>
                <w:highlight w:val="none"/>
              </w:rPr>
            </w:pPr>
          </w:p>
        </w:tc>
        <w:tc>
          <w:tcPr>
            <w:tcW w:w="1269" w:type="dxa"/>
          </w:tcPr>
          <w:p>
            <w:pPr>
              <w:pStyle w:val="63"/>
              <w:snapToGrid w:val="0"/>
              <w:spacing w:before="240" w:line="240" w:lineRule="auto"/>
              <w:ind w:firstLine="0" w:firstLineChars="0"/>
              <w:rPr>
                <w:sz w:val="22"/>
                <w:szCs w:val="22"/>
                <w:highlight w:val="none"/>
              </w:rPr>
            </w:pPr>
          </w:p>
        </w:tc>
        <w:tc>
          <w:tcPr>
            <w:tcW w:w="1049" w:type="dxa"/>
          </w:tcPr>
          <w:p>
            <w:pPr>
              <w:pStyle w:val="63"/>
              <w:snapToGrid w:val="0"/>
              <w:spacing w:before="240" w:line="240" w:lineRule="auto"/>
              <w:ind w:firstLine="0" w:firstLineChars="0"/>
              <w:rPr>
                <w:sz w:val="22"/>
                <w:szCs w:val="22"/>
                <w:highlight w:val="none"/>
              </w:rPr>
            </w:pPr>
          </w:p>
        </w:tc>
        <w:tc>
          <w:tcPr>
            <w:tcW w:w="1063" w:type="dxa"/>
          </w:tcPr>
          <w:p>
            <w:pPr>
              <w:pStyle w:val="63"/>
              <w:snapToGrid w:val="0"/>
              <w:spacing w:before="240" w:line="240" w:lineRule="auto"/>
              <w:ind w:firstLine="0" w:firstLineChars="0"/>
              <w:rPr>
                <w:sz w:val="22"/>
                <w:szCs w:val="22"/>
                <w:highlight w:val="none"/>
              </w:rPr>
            </w:pPr>
          </w:p>
        </w:tc>
        <w:tc>
          <w:tcPr>
            <w:tcW w:w="1550" w:type="dxa"/>
          </w:tcPr>
          <w:p>
            <w:pPr>
              <w:pStyle w:val="63"/>
              <w:snapToGrid w:val="0"/>
              <w:spacing w:before="240" w:line="240" w:lineRule="auto"/>
              <w:ind w:firstLine="0" w:firstLineChars="0"/>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pStyle w:val="63"/>
              <w:snapToGrid w:val="0"/>
              <w:spacing w:before="240" w:line="240" w:lineRule="auto"/>
              <w:ind w:firstLine="0" w:firstLineChars="0"/>
              <w:rPr>
                <w:sz w:val="22"/>
                <w:szCs w:val="22"/>
                <w:highlight w:val="none"/>
              </w:rPr>
            </w:pPr>
          </w:p>
        </w:tc>
        <w:tc>
          <w:tcPr>
            <w:tcW w:w="1971" w:type="dxa"/>
          </w:tcPr>
          <w:p>
            <w:pPr>
              <w:pStyle w:val="63"/>
              <w:snapToGrid w:val="0"/>
              <w:spacing w:before="240" w:line="240" w:lineRule="auto"/>
              <w:ind w:firstLine="0" w:firstLineChars="0"/>
              <w:rPr>
                <w:sz w:val="22"/>
                <w:szCs w:val="22"/>
                <w:highlight w:val="none"/>
              </w:rPr>
            </w:pPr>
          </w:p>
        </w:tc>
        <w:tc>
          <w:tcPr>
            <w:tcW w:w="815" w:type="dxa"/>
          </w:tcPr>
          <w:p>
            <w:pPr>
              <w:pStyle w:val="63"/>
              <w:snapToGrid w:val="0"/>
              <w:spacing w:before="240" w:line="240" w:lineRule="auto"/>
              <w:ind w:firstLine="0" w:firstLineChars="0"/>
              <w:rPr>
                <w:sz w:val="22"/>
                <w:szCs w:val="22"/>
                <w:highlight w:val="none"/>
              </w:rPr>
            </w:pPr>
          </w:p>
        </w:tc>
        <w:tc>
          <w:tcPr>
            <w:tcW w:w="874" w:type="dxa"/>
          </w:tcPr>
          <w:p>
            <w:pPr>
              <w:pStyle w:val="63"/>
              <w:snapToGrid w:val="0"/>
              <w:spacing w:before="240" w:line="240" w:lineRule="auto"/>
              <w:ind w:firstLine="0" w:firstLineChars="0"/>
              <w:rPr>
                <w:sz w:val="22"/>
                <w:szCs w:val="22"/>
                <w:highlight w:val="none"/>
              </w:rPr>
            </w:pPr>
          </w:p>
        </w:tc>
        <w:tc>
          <w:tcPr>
            <w:tcW w:w="1269" w:type="dxa"/>
          </w:tcPr>
          <w:p>
            <w:pPr>
              <w:pStyle w:val="63"/>
              <w:snapToGrid w:val="0"/>
              <w:spacing w:before="240" w:line="240" w:lineRule="auto"/>
              <w:ind w:firstLine="0" w:firstLineChars="0"/>
              <w:rPr>
                <w:sz w:val="22"/>
                <w:szCs w:val="22"/>
                <w:highlight w:val="none"/>
              </w:rPr>
            </w:pPr>
          </w:p>
        </w:tc>
        <w:tc>
          <w:tcPr>
            <w:tcW w:w="1049" w:type="dxa"/>
          </w:tcPr>
          <w:p>
            <w:pPr>
              <w:pStyle w:val="63"/>
              <w:snapToGrid w:val="0"/>
              <w:spacing w:before="240" w:line="240" w:lineRule="auto"/>
              <w:ind w:firstLine="0" w:firstLineChars="0"/>
              <w:rPr>
                <w:sz w:val="22"/>
                <w:szCs w:val="22"/>
                <w:highlight w:val="none"/>
              </w:rPr>
            </w:pPr>
          </w:p>
        </w:tc>
        <w:tc>
          <w:tcPr>
            <w:tcW w:w="1063" w:type="dxa"/>
          </w:tcPr>
          <w:p>
            <w:pPr>
              <w:pStyle w:val="63"/>
              <w:snapToGrid w:val="0"/>
              <w:spacing w:before="240" w:line="240" w:lineRule="auto"/>
              <w:ind w:firstLine="0" w:firstLineChars="0"/>
              <w:rPr>
                <w:sz w:val="22"/>
                <w:szCs w:val="22"/>
                <w:highlight w:val="none"/>
              </w:rPr>
            </w:pPr>
          </w:p>
        </w:tc>
        <w:tc>
          <w:tcPr>
            <w:tcW w:w="1550" w:type="dxa"/>
          </w:tcPr>
          <w:p>
            <w:pPr>
              <w:pStyle w:val="63"/>
              <w:snapToGrid w:val="0"/>
              <w:spacing w:before="240" w:line="240" w:lineRule="auto"/>
              <w:ind w:firstLine="0" w:firstLineChars="0"/>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pStyle w:val="63"/>
              <w:snapToGrid w:val="0"/>
              <w:spacing w:before="240" w:line="240" w:lineRule="auto"/>
              <w:ind w:firstLine="0" w:firstLineChars="0"/>
              <w:rPr>
                <w:sz w:val="22"/>
                <w:szCs w:val="22"/>
                <w:highlight w:val="none"/>
              </w:rPr>
            </w:pPr>
          </w:p>
        </w:tc>
        <w:tc>
          <w:tcPr>
            <w:tcW w:w="1971" w:type="dxa"/>
          </w:tcPr>
          <w:p>
            <w:pPr>
              <w:pStyle w:val="63"/>
              <w:snapToGrid w:val="0"/>
              <w:spacing w:before="240" w:line="240" w:lineRule="auto"/>
              <w:ind w:firstLine="0" w:firstLineChars="0"/>
              <w:rPr>
                <w:sz w:val="22"/>
                <w:szCs w:val="22"/>
                <w:highlight w:val="none"/>
              </w:rPr>
            </w:pPr>
          </w:p>
        </w:tc>
        <w:tc>
          <w:tcPr>
            <w:tcW w:w="815" w:type="dxa"/>
          </w:tcPr>
          <w:p>
            <w:pPr>
              <w:pStyle w:val="63"/>
              <w:snapToGrid w:val="0"/>
              <w:spacing w:before="240" w:line="240" w:lineRule="auto"/>
              <w:ind w:firstLine="0" w:firstLineChars="0"/>
              <w:rPr>
                <w:sz w:val="22"/>
                <w:szCs w:val="22"/>
                <w:highlight w:val="none"/>
              </w:rPr>
            </w:pPr>
          </w:p>
        </w:tc>
        <w:tc>
          <w:tcPr>
            <w:tcW w:w="874" w:type="dxa"/>
          </w:tcPr>
          <w:p>
            <w:pPr>
              <w:pStyle w:val="63"/>
              <w:snapToGrid w:val="0"/>
              <w:spacing w:before="240" w:line="240" w:lineRule="auto"/>
              <w:ind w:firstLine="0" w:firstLineChars="0"/>
              <w:rPr>
                <w:sz w:val="22"/>
                <w:szCs w:val="22"/>
                <w:highlight w:val="none"/>
              </w:rPr>
            </w:pPr>
          </w:p>
        </w:tc>
        <w:tc>
          <w:tcPr>
            <w:tcW w:w="1269" w:type="dxa"/>
          </w:tcPr>
          <w:p>
            <w:pPr>
              <w:pStyle w:val="63"/>
              <w:snapToGrid w:val="0"/>
              <w:spacing w:before="240" w:line="240" w:lineRule="auto"/>
              <w:ind w:firstLine="0" w:firstLineChars="0"/>
              <w:rPr>
                <w:sz w:val="22"/>
                <w:szCs w:val="22"/>
                <w:highlight w:val="none"/>
              </w:rPr>
            </w:pPr>
          </w:p>
        </w:tc>
        <w:tc>
          <w:tcPr>
            <w:tcW w:w="1049" w:type="dxa"/>
          </w:tcPr>
          <w:p>
            <w:pPr>
              <w:pStyle w:val="63"/>
              <w:snapToGrid w:val="0"/>
              <w:spacing w:before="240" w:line="240" w:lineRule="auto"/>
              <w:ind w:firstLine="0" w:firstLineChars="0"/>
              <w:rPr>
                <w:sz w:val="22"/>
                <w:szCs w:val="22"/>
                <w:highlight w:val="none"/>
              </w:rPr>
            </w:pPr>
          </w:p>
        </w:tc>
        <w:tc>
          <w:tcPr>
            <w:tcW w:w="1063" w:type="dxa"/>
          </w:tcPr>
          <w:p>
            <w:pPr>
              <w:pStyle w:val="63"/>
              <w:snapToGrid w:val="0"/>
              <w:spacing w:before="240" w:line="240" w:lineRule="auto"/>
              <w:ind w:firstLine="0" w:firstLineChars="0"/>
              <w:rPr>
                <w:sz w:val="22"/>
                <w:szCs w:val="22"/>
                <w:highlight w:val="none"/>
              </w:rPr>
            </w:pPr>
          </w:p>
        </w:tc>
        <w:tc>
          <w:tcPr>
            <w:tcW w:w="1550" w:type="dxa"/>
          </w:tcPr>
          <w:p>
            <w:pPr>
              <w:pStyle w:val="63"/>
              <w:snapToGrid w:val="0"/>
              <w:spacing w:before="240" w:line="240" w:lineRule="auto"/>
              <w:ind w:firstLine="0" w:firstLineChars="0"/>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pStyle w:val="63"/>
              <w:snapToGrid w:val="0"/>
              <w:spacing w:before="240" w:line="240" w:lineRule="auto"/>
              <w:ind w:firstLine="0" w:firstLineChars="0"/>
              <w:rPr>
                <w:sz w:val="22"/>
                <w:szCs w:val="22"/>
                <w:highlight w:val="none"/>
              </w:rPr>
            </w:pPr>
          </w:p>
        </w:tc>
        <w:tc>
          <w:tcPr>
            <w:tcW w:w="1971" w:type="dxa"/>
          </w:tcPr>
          <w:p>
            <w:pPr>
              <w:pStyle w:val="63"/>
              <w:snapToGrid w:val="0"/>
              <w:spacing w:before="240" w:line="240" w:lineRule="auto"/>
              <w:ind w:firstLine="0" w:firstLineChars="0"/>
              <w:rPr>
                <w:sz w:val="22"/>
                <w:szCs w:val="22"/>
                <w:highlight w:val="none"/>
              </w:rPr>
            </w:pPr>
          </w:p>
        </w:tc>
        <w:tc>
          <w:tcPr>
            <w:tcW w:w="815" w:type="dxa"/>
          </w:tcPr>
          <w:p>
            <w:pPr>
              <w:pStyle w:val="63"/>
              <w:snapToGrid w:val="0"/>
              <w:spacing w:before="240" w:line="240" w:lineRule="auto"/>
              <w:ind w:firstLine="0" w:firstLineChars="0"/>
              <w:rPr>
                <w:sz w:val="22"/>
                <w:szCs w:val="22"/>
                <w:highlight w:val="none"/>
              </w:rPr>
            </w:pPr>
          </w:p>
        </w:tc>
        <w:tc>
          <w:tcPr>
            <w:tcW w:w="874" w:type="dxa"/>
          </w:tcPr>
          <w:p>
            <w:pPr>
              <w:pStyle w:val="63"/>
              <w:snapToGrid w:val="0"/>
              <w:spacing w:before="240" w:line="240" w:lineRule="auto"/>
              <w:ind w:firstLine="0" w:firstLineChars="0"/>
              <w:rPr>
                <w:sz w:val="22"/>
                <w:szCs w:val="22"/>
                <w:highlight w:val="none"/>
              </w:rPr>
            </w:pPr>
          </w:p>
        </w:tc>
        <w:tc>
          <w:tcPr>
            <w:tcW w:w="1269" w:type="dxa"/>
          </w:tcPr>
          <w:p>
            <w:pPr>
              <w:pStyle w:val="63"/>
              <w:snapToGrid w:val="0"/>
              <w:spacing w:before="240" w:line="240" w:lineRule="auto"/>
              <w:ind w:firstLine="0" w:firstLineChars="0"/>
              <w:rPr>
                <w:sz w:val="22"/>
                <w:szCs w:val="22"/>
                <w:highlight w:val="none"/>
              </w:rPr>
            </w:pPr>
          </w:p>
        </w:tc>
        <w:tc>
          <w:tcPr>
            <w:tcW w:w="1049" w:type="dxa"/>
          </w:tcPr>
          <w:p>
            <w:pPr>
              <w:pStyle w:val="63"/>
              <w:snapToGrid w:val="0"/>
              <w:spacing w:before="240" w:line="240" w:lineRule="auto"/>
              <w:ind w:firstLine="0" w:firstLineChars="0"/>
              <w:rPr>
                <w:sz w:val="22"/>
                <w:szCs w:val="22"/>
                <w:highlight w:val="none"/>
              </w:rPr>
            </w:pPr>
          </w:p>
        </w:tc>
        <w:tc>
          <w:tcPr>
            <w:tcW w:w="1063" w:type="dxa"/>
          </w:tcPr>
          <w:p>
            <w:pPr>
              <w:pStyle w:val="63"/>
              <w:snapToGrid w:val="0"/>
              <w:spacing w:before="240" w:line="240" w:lineRule="auto"/>
              <w:ind w:firstLine="0" w:firstLineChars="0"/>
              <w:rPr>
                <w:sz w:val="22"/>
                <w:szCs w:val="22"/>
                <w:highlight w:val="none"/>
              </w:rPr>
            </w:pPr>
          </w:p>
        </w:tc>
        <w:tc>
          <w:tcPr>
            <w:tcW w:w="1550" w:type="dxa"/>
          </w:tcPr>
          <w:p>
            <w:pPr>
              <w:pStyle w:val="63"/>
              <w:snapToGrid w:val="0"/>
              <w:spacing w:before="240" w:line="240" w:lineRule="auto"/>
              <w:ind w:firstLine="0" w:firstLineChars="0"/>
              <w:rPr>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69" w:type="dxa"/>
          </w:tcPr>
          <w:p>
            <w:pPr>
              <w:pStyle w:val="63"/>
              <w:snapToGrid w:val="0"/>
              <w:spacing w:before="240" w:line="240" w:lineRule="auto"/>
              <w:ind w:firstLine="0" w:firstLineChars="0"/>
              <w:rPr>
                <w:sz w:val="22"/>
                <w:szCs w:val="22"/>
                <w:highlight w:val="none"/>
              </w:rPr>
            </w:pPr>
          </w:p>
        </w:tc>
        <w:tc>
          <w:tcPr>
            <w:tcW w:w="1971" w:type="dxa"/>
          </w:tcPr>
          <w:p>
            <w:pPr>
              <w:pStyle w:val="63"/>
              <w:snapToGrid w:val="0"/>
              <w:spacing w:before="240" w:line="240" w:lineRule="auto"/>
              <w:ind w:firstLine="0" w:firstLineChars="0"/>
              <w:rPr>
                <w:sz w:val="22"/>
                <w:szCs w:val="22"/>
                <w:highlight w:val="none"/>
              </w:rPr>
            </w:pPr>
          </w:p>
        </w:tc>
        <w:tc>
          <w:tcPr>
            <w:tcW w:w="815" w:type="dxa"/>
          </w:tcPr>
          <w:p>
            <w:pPr>
              <w:pStyle w:val="63"/>
              <w:snapToGrid w:val="0"/>
              <w:spacing w:before="240" w:line="240" w:lineRule="auto"/>
              <w:ind w:firstLine="0" w:firstLineChars="0"/>
              <w:rPr>
                <w:sz w:val="22"/>
                <w:szCs w:val="22"/>
                <w:highlight w:val="none"/>
              </w:rPr>
            </w:pPr>
          </w:p>
        </w:tc>
        <w:tc>
          <w:tcPr>
            <w:tcW w:w="874" w:type="dxa"/>
          </w:tcPr>
          <w:p>
            <w:pPr>
              <w:pStyle w:val="63"/>
              <w:snapToGrid w:val="0"/>
              <w:spacing w:before="240" w:line="240" w:lineRule="auto"/>
              <w:ind w:firstLine="0" w:firstLineChars="0"/>
              <w:rPr>
                <w:sz w:val="22"/>
                <w:szCs w:val="22"/>
                <w:highlight w:val="none"/>
              </w:rPr>
            </w:pPr>
          </w:p>
        </w:tc>
        <w:tc>
          <w:tcPr>
            <w:tcW w:w="1269" w:type="dxa"/>
          </w:tcPr>
          <w:p>
            <w:pPr>
              <w:pStyle w:val="63"/>
              <w:snapToGrid w:val="0"/>
              <w:spacing w:before="240" w:line="240" w:lineRule="auto"/>
              <w:ind w:firstLine="0" w:firstLineChars="0"/>
              <w:rPr>
                <w:sz w:val="22"/>
                <w:szCs w:val="22"/>
                <w:highlight w:val="none"/>
              </w:rPr>
            </w:pPr>
          </w:p>
        </w:tc>
        <w:tc>
          <w:tcPr>
            <w:tcW w:w="1049" w:type="dxa"/>
          </w:tcPr>
          <w:p>
            <w:pPr>
              <w:pStyle w:val="63"/>
              <w:snapToGrid w:val="0"/>
              <w:spacing w:before="240" w:line="240" w:lineRule="auto"/>
              <w:ind w:firstLine="0" w:firstLineChars="0"/>
              <w:rPr>
                <w:sz w:val="22"/>
                <w:szCs w:val="22"/>
                <w:highlight w:val="none"/>
              </w:rPr>
            </w:pPr>
          </w:p>
        </w:tc>
        <w:tc>
          <w:tcPr>
            <w:tcW w:w="1063" w:type="dxa"/>
          </w:tcPr>
          <w:p>
            <w:pPr>
              <w:pStyle w:val="63"/>
              <w:snapToGrid w:val="0"/>
              <w:spacing w:before="240" w:line="240" w:lineRule="auto"/>
              <w:ind w:firstLine="0" w:firstLineChars="0"/>
              <w:rPr>
                <w:sz w:val="22"/>
                <w:szCs w:val="22"/>
                <w:highlight w:val="none"/>
              </w:rPr>
            </w:pPr>
          </w:p>
        </w:tc>
        <w:tc>
          <w:tcPr>
            <w:tcW w:w="1550" w:type="dxa"/>
          </w:tcPr>
          <w:p>
            <w:pPr>
              <w:pStyle w:val="63"/>
              <w:snapToGrid w:val="0"/>
              <w:spacing w:before="240" w:line="240" w:lineRule="auto"/>
              <w:ind w:firstLine="0" w:firstLineChars="0"/>
              <w:rPr>
                <w:sz w:val="22"/>
                <w:szCs w:val="22"/>
                <w:highlight w:val="none"/>
              </w:rPr>
            </w:pPr>
          </w:p>
        </w:tc>
      </w:tr>
    </w:tbl>
    <w:p>
      <w:pPr>
        <w:pStyle w:val="63"/>
        <w:snapToGrid w:val="0"/>
        <w:spacing w:before="240" w:line="240" w:lineRule="auto"/>
        <w:ind w:firstLine="0" w:firstLineChars="0"/>
        <w:rPr>
          <w:highlight w:val="none"/>
        </w:rPr>
      </w:pPr>
      <w:r>
        <w:rPr>
          <w:rFonts w:hint="eastAsia"/>
          <w:highlight w:val="none"/>
        </w:rPr>
        <w:t>供应商提供虚假资料的，磋商小组可认定为虚假响应。请各供应商谨慎填写。</w:t>
      </w:r>
    </w:p>
    <w:p>
      <w:pPr>
        <w:autoSpaceDE w:val="0"/>
        <w:autoSpaceDN w:val="0"/>
        <w:spacing w:line="360" w:lineRule="auto"/>
        <w:rPr>
          <w:rFonts w:ascii="仿宋_GB2312" w:hAnsi="仿宋" w:eastAsia="仿宋_GB2312"/>
          <w:sz w:val="24"/>
          <w:highlight w:val="none"/>
          <w:lang w:val="zh-CN"/>
        </w:rPr>
      </w:pPr>
    </w:p>
    <w:p>
      <w:pPr>
        <w:pStyle w:val="63"/>
        <w:snapToGrid w:val="0"/>
        <w:spacing w:before="240" w:line="240" w:lineRule="auto"/>
        <w:ind w:firstLine="0" w:firstLineChars="0"/>
        <w:rPr>
          <w:highlight w:val="none"/>
          <w:lang w:val="zh-CN"/>
        </w:rPr>
      </w:pPr>
      <w:r>
        <w:rPr>
          <w:rFonts w:hint="eastAsia"/>
          <w:highlight w:val="none"/>
          <w:lang w:val="zh-CN"/>
        </w:rPr>
        <w:t>供应商名称（公章）：</w:t>
      </w:r>
    </w:p>
    <w:p>
      <w:pPr>
        <w:pStyle w:val="63"/>
        <w:snapToGrid w:val="0"/>
        <w:spacing w:before="240" w:line="240" w:lineRule="auto"/>
        <w:ind w:firstLine="0" w:firstLineChars="0"/>
        <w:rPr>
          <w:highlight w:val="none"/>
          <w:lang w:val="zh-CN"/>
        </w:rPr>
      </w:pPr>
      <w:r>
        <w:rPr>
          <w:rFonts w:hint="eastAsia"/>
          <w:highlight w:val="none"/>
          <w:lang w:val="zh-CN"/>
        </w:rPr>
        <w:t>法定代表人或其授权代表（签字或盖章）：</w:t>
      </w:r>
      <w:r>
        <w:rPr>
          <w:highlight w:val="none"/>
          <w:lang w:val="zh-CN"/>
        </w:rPr>
        <w:t xml:space="preserve"> </w:t>
      </w:r>
    </w:p>
    <w:p>
      <w:pPr>
        <w:pStyle w:val="63"/>
        <w:snapToGrid w:val="0"/>
        <w:spacing w:before="240" w:line="240" w:lineRule="auto"/>
        <w:ind w:firstLine="0" w:firstLineChars="0"/>
        <w:rPr>
          <w:highlight w:val="none"/>
          <w:lang w:val="zh-CN"/>
        </w:rPr>
      </w:pPr>
      <w:r>
        <w:rPr>
          <w:rFonts w:hint="eastAsia"/>
          <w:highlight w:val="none"/>
          <w:lang w:val="zh-CN"/>
        </w:rPr>
        <w:t>日期：</w:t>
      </w:r>
      <w:r>
        <w:rPr>
          <w:highlight w:val="none"/>
          <w:lang w:val="zh-CN"/>
        </w:rPr>
        <w:t xml:space="preserve">      </w:t>
      </w:r>
      <w:r>
        <w:rPr>
          <w:rFonts w:hint="eastAsia"/>
          <w:highlight w:val="none"/>
          <w:lang w:val="zh-CN"/>
        </w:rPr>
        <w:t>年</w:t>
      </w:r>
      <w:r>
        <w:rPr>
          <w:highlight w:val="none"/>
          <w:lang w:val="zh-CN"/>
        </w:rPr>
        <w:t xml:space="preserve">      </w:t>
      </w:r>
      <w:r>
        <w:rPr>
          <w:rFonts w:hint="eastAsia"/>
          <w:highlight w:val="none"/>
          <w:lang w:val="zh-CN"/>
        </w:rPr>
        <w:t>月</w:t>
      </w:r>
      <w:r>
        <w:rPr>
          <w:highlight w:val="none"/>
          <w:lang w:val="zh-CN"/>
        </w:rPr>
        <w:t xml:space="preserve">   </w:t>
      </w:r>
      <w:r>
        <w:rPr>
          <w:rFonts w:hint="eastAsia"/>
          <w:highlight w:val="none"/>
          <w:lang w:val="zh-CN"/>
        </w:rPr>
        <w:t>日</w:t>
      </w:r>
    </w:p>
    <w:p>
      <w:pPr>
        <w:pStyle w:val="13"/>
        <w:spacing w:line="480" w:lineRule="exact"/>
        <w:ind w:left="0" w:leftChars="0" w:firstLine="0" w:firstLineChars="0"/>
        <w:rPr>
          <w:rFonts w:ascii="宋体"/>
          <w:highlight w:val="none"/>
        </w:rPr>
      </w:pPr>
      <w:r>
        <w:rPr>
          <w:rFonts w:ascii="宋体"/>
          <w:highlight w:val="none"/>
        </w:rPr>
        <w:br w:type="page"/>
      </w:r>
    </w:p>
    <w:p>
      <w:pPr>
        <w:pStyle w:val="13"/>
        <w:spacing w:line="480" w:lineRule="exact"/>
        <w:ind w:left="0" w:leftChars="0" w:firstLine="0" w:firstLineChars="0"/>
        <w:jc w:val="center"/>
        <w:rPr>
          <w:rFonts w:ascii="宋体"/>
          <w:sz w:val="21"/>
          <w:highlight w:val="none"/>
        </w:rPr>
      </w:pPr>
      <w:r>
        <w:rPr>
          <w:rFonts w:hint="eastAsia" w:ascii="宋体" w:hAnsi="宋体"/>
          <w:highlight w:val="none"/>
        </w:rPr>
        <w:t>附件十二：</w:t>
      </w:r>
      <w:r>
        <w:rPr>
          <w:rFonts w:hint="eastAsia" w:ascii="宋体" w:hAnsi="宋体"/>
          <w:b/>
          <w:sz w:val="32"/>
          <w:szCs w:val="32"/>
          <w:highlight w:val="none"/>
        </w:rPr>
        <w:t>封面格式：</w:t>
      </w:r>
    </w:p>
    <w:p>
      <w:pPr>
        <w:pStyle w:val="13"/>
        <w:spacing w:line="480" w:lineRule="exact"/>
        <w:ind w:left="0" w:leftChars="0" w:firstLine="0" w:firstLineChars="0"/>
        <w:rPr>
          <w:rFonts w:ascii="宋体"/>
          <w:highlight w:val="none"/>
        </w:rPr>
      </w:pPr>
    </w:p>
    <w:tbl>
      <w:tblPr>
        <w:tblStyle w:val="34"/>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pPr>
              <w:pStyle w:val="13"/>
              <w:spacing w:line="240" w:lineRule="auto"/>
              <w:ind w:left="0" w:leftChars="0" w:firstLine="0" w:firstLineChars="0"/>
              <w:jc w:val="left"/>
              <w:rPr>
                <w:rFonts w:ascii="宋体" w:cs="宋体"/>
                <w:b/>
                <w:sz w:val="30"/>
                <w:highlight w:val="none"/>
              </w:rPr>
            </w:pPr>
          </w:p>
          <w:p>
            <w:pPr>
              <w:pStyle w:val="13"/>
              <w:spacing w:line="240" w:lineRule="auto"/>
              <w:ind w:left="0" w:leftChars="0" w:firstLine="0" w:firstLineChars="0"/>
              <w:jc w:val="left"/>
              <w:rPr>
                <w:rFonts w:ascii="宋体" w:cs="宋体"/>
                <w:b/>
                <w:sz w:val="30"/>
                <w:highlight w:val="none"/>
              </w:rPr>
            </w:pPr>
            <w:r>
              <w:rPr>
                <w:rFonts w:hint="eastAsia" w:ascii="宋体" w:hAnsi="宋体" w:cs="宋体"/>
                <w:b/>
                <w:sz w:val="30"/>
                <w:highlight w:val="none"/>
              </w:rPr>
              <w:t>响应文件</w:t>
            </w:r>
          </w:p>
          <w:p>
            <w:pPr>
              <w:pStyle w:val="13"/>
              <w:spacing w:line="240" w:lineRule="auto"/>
              <w:ind w:left="0" w:leftChars="0" w:firstLine="0" w:firstLineChars="0"/>
              <w:jc w:val="left"/>
              <w:rPr>
                <w:rFonts w:ascii="宋体" w:cs="宋体"/>
                <w:sz w:val="30"/>
                <w:highlight w:val="none"/>
              </w:rPr>
            </w:pPr>
            <w:r>
              <w:rPr>
                <w:rFonts w:hint="eastAsia" w:ascii="宋体" w:hAnsi="宋体" w:cs="宋体"/>
                <w:b/>
                <w:sz w:val="30"/>
                <w:highlight w:val="none"/>
              </w:rPr>
              <w:t>（正本）</w:t>
            </w:r>
          </w:p>
          <w:p>
            <w:pPr>
              <w:pStyle w:val="13"/>
              <w:spacing w:line="240" w:lineRule="auto"/>
              <w:ind w:left="0" w:leftChars="0" w:firstLine="0" w:firstLineChars="0"/>
              <w:jc w:val="left"/>
              <w:rPr>
                <w:rFonts w:ascii="宋体" w:cs="宋体"/>
                <w:highlight w:val="none"/>
              </w:rPr>
            </w:pPr>
            <w:r>
              <w:rPr>
                <w:rFonts w:hint="eastAsia" w:ascii="宋体" w:hAnsi="宋体" w:cs="宋体"/>
                <w:highlight w:val="none"/>
              </w:rPr>
              <w:t>项目编号：</w:t>
            </w:r>
          </w:p>
          <w:p>
            <w:pPr>
              <w:pStyle w:val="13"/>
              <w:spacing w:line="240" w:lineRule="auto"/>
              <w:ind w:left="0" w:leftChars="0" w:firstLine="0" w:firstLineChars="0"/>
              <w:jc w:val="left"/>
              <w:rPr>
                <w:rFonts w:ascii="宋体" w:cs="宋体"/>
                <w:highlight w:val="none"/>
                <w:u w:val="single"/>
              </w:rPr>
            </w:pPr>
            <w:r>
              <w:rPr>
                <w:rFonts w:hint="eastAsia" w:ascii="宋体" w:hAnsi="宋体" w:cs="宋体"/>
                <w:highlight w:val="none"/>
              </w:rPr>
              <w:t>项目名称：</w:t>
            </w:r>
          </w:p>
          <w:p>
            <w:pPr>
              <w:pStyle w:val="13"/>
              <w:spacing w:line="240" w:lineRule="auto"/>
              <w:ind w:left="0" w:leftChars="0" w:firstLine="0" w:firstLineChars="0"/>
              <w:jc w:val="left"/>
              <w:rPr>
                <w:rFonts w:ascii="宋体" w:cs="宋体"/>
                <w:highlight w:val="none"/>
              </w:rPr>
            </w:pPr>
            <w:r>
              <w:rPr>
                <w:rFonts w:hint="eastAsia" w:ascii="宋体" w:hAnsi="宋体" w:cs="宋体"/>
                <w:highlight w:val="none"/>
              </w:rPr>
              <w:t>供应商名称（公章）：</w:t>
            </w:r>
          </w:p>
          <w:p>
            <w:pPr>
              <w:pStyle w:val="13"/>
              <w:spacing w:line="240" w:lineRule="auto"/>
              <w:ind w:left="0" w:leftChars="0" w:firstLine="0" w:firstLineChars="0"/>
              <w:jc w:val="left"/>
              <w:rPr>
                <w:rFonts w:ascii="宋体" w:cs="宋体"/>
                <w:highlight w:val="none"/>
              </w:rPr>
            </w:pPr>
            <w:r>
              <w:rPr>
                <w:rFonts w:hint="eastAsia" w:ascii="宋体" w:hAnsi="宋体" w:cs="宋体"/>
                <w:highlight w:val="none"/>
              </w:rPr>
              <w:t>地址：</w:t>
            </w:r>
          </w:p>
          <w:p>
            <w:pPr>
              <w:pStyle w:val="13"/>
              <w:spacing w:line="240" w:lineRule="auto"/>
              <w:ind w:left="0" w:leftChars="0" w:firstLine="0" w:firstLineChars="0"/>
              <w:jc w:val="left"/>
              <w:rPr>
                <w:rFonts w:ascii="宋体" w:cs="宋体"/>
                <w:highlight w:val="none"/>
              </w:rPr>
            </w:pPr>
            <w:r>
              <w:rPr>
                <w:rFonts w:hint="eastAsia" w:ascii="宋体" w:hAnsi="宋体" w:cs="宋体"/>
                <w:highlight w:val="none"/>
              </w:rPr>
              <w:t>邮编：</w:t>
            </w:r>
          </w:p>
          <w:p>
            <w:pPr>
              <w:pStyle w:val="13"/>
              <w:spacing w:line="240" w:lineRule="auto"/>
              <w:ind w:left="0" w:leftChars="0" w:firstLine="0" w:firstLineChars="0"/>
              <w:jc w:val="left"/>
              <w:rPr>
                <w:rFonts w:ascii="宋体" w:cs="宋体"/>
                <w:highlight w:val="none"/>
              </w:rPr>
            </w:pPr>
            <w:r>
              <w:rPr>
                <w:rFonts w:hint="eastAsia" w:ascii="宋体" w:hAnsi="宋体" w:cs="宋体"/>
                <w:highlight w:val="none"/>
              </w:rPr>
              <w:t>电话：</w:t>
            </w:r>
          </w:p>
          <w:p>
            <w:pPr>
              <w:pStyle w:val="13"/>
              <w:spacing w:line="240" w:lineRule="auto"/>
              <w:ind w:left="1474" w:leftChars="0" w:hanging="1474" w:hangingChars="661"/>
              <w:rPr>
                <w:rFonts w:ascii="宋体" w:cs="宋体"/>
                <w:highlight w:val="none"/>
              </w:rPr>
            </w:pPr>
            <w:r>
              <w:rPr>
                <w:rFonts w:hint="eastAsia" w:ascii="宋体" w:hAnsi="宋体" w:cs="宋体"/>
                <w:highlight w:val="none"/>
              </w:rPr>
              <w:t>传真：</w:t>
            </w:r>
          </w:p>
        </w:tc>
        <w:tc>
          <w:tcPr>
            <w:tcW w:w="4775" w:type="dxa"/>
          </w:tcPr>
          <w:p>
            <w:pPr>
              <w:pStyle w:val="13"/>
              <w:spacing w:line="240" w:lineRule="auto"/>
              <w:ind w:left="0" w:leftChars="0" w:firstLine="0" w:firstLineChars="0"/>
              <w:jc w:val="left"/>
              <w:rPr>
                <w:rFonts w:ascii="宋体" w:cs="宋体"/>
                <w:b/>
                <w:sz w:val="30"/>
                <w:highlight w:val="none"/>
              </w:rPr>
            </w:pPr>
          </w:p>
          <w:p>
            <w:pPr>
              <w:pStyle w:val="13"/>
              <w:spacing w:line="240" w:lineRule="auto"/>
              <w:ind w:left="0" w:leftChars="0" w:firstLine="0" w:firstLineChars="0"/>
              <w:jc w:val="left"/>
              <w:rPr>
                <w:rFonts w:ascii="宋体" w:cs="宋体"/>
                <w:b/>
                <w:sz w:val="30"/>
                <w:highlight w:val="none"/>
              </w:rPr>
            </w:pPr>
            <w:r>
              <w:rPr>
                <w:rFonts w:hint="eastAsia" w:ascii="宋体" w:hAnsi="宋体" w:cs="宋体"/>
                <w:b/>
                <w:sz w:val="30"/>
                <w:highlight w:val="none"/>
              </w:rPr>
              <w:t>响应文件</w:t>
            </w:r>
          </w:p>
          <w:p>
            <w:pPr>
              <w:pStyle w:val="13"/>
              <w:spacing w:line="240" w:lineRule="auto"/>
              <w:ind w:left="0" w:leftChars="0" w:firstLine="0" w:firstLineChars="0"/>
              <w:jc w:val="left"/>
              <w:rPr>
                <w:rFonts w:ascii="宋体" w:cs="宋体"/>
                <w:sz w:val="30"/>
                <w:highlight w:val="none"/>
              </w:rPr>
            </w:pPr>
            <w:r>
              <w:rPr>
                <w:rFonts w:hint="eastAsia" w:ascii="宋体" w:hAnsi="宋体" w:cs="宋体"/>
                <w:b/>
                <w:sz w:val="30"/>
                <w:highlight w:val="none"/>
              </w:rPr>
              <w:t>（副本）</w:t>
            </w:r>
          </w:p>
          <w:p>
            <w:pPr>
              <w:pStyle w:val="13"/>
              <w:spacing w:line="240" w:lineRule="auto"/>
              <w:ind w:left="0" w:leftChars="0" w:firstLine="0" w:firstLineChars="0"/>
              <w:jc w:val="left"/>
              <w:rPr>
                <w:rFonts w:ascii="宋体" w:cs="宋体"/>
                <w:highlight w:val="none"/>
              </w:rPr>
            </w:pPr>
            <w:r>
              <w:rPr>
                <w:rFonts w:hint="eastAsia" w:ascii="宋体" w:hAnsi="宋体" w:cs="宋体"/>
                <w:highlight w:val="none"/>
              </w:rPr>
              <w:t>项目编号：</w:t>
            </w:r>
          </w:p>
          <w:p>
            <w:pPr>
              <w:pStyle w:val="13"/>
              <w:spacing w:line="240" w:lineRule="auto"/>
              <w:ind w:left="0" w:leftChars="0" w:firstLine="0" w:firstLineChars="0"/>
              <w:jc w:val="left"/>
              <w:rPr>
                <w:rFonts w:ascii="宋体" w:cs="宋体"/>
                <w:highlight w:val="none"/>
                <w:u w:val="single"/>
              </w:rPr>
            </w:pPr>
            <w:r>
              <w:rPr>
                <w:rFonts w:hint="eastAsia" w:ascii="宋体" w:hAnsi="宋体" w:cs="宋体"/>
                <w:highlight w:val="none"/>
              </w:rPr>
              <w:t>项目名称：</w:t>
            </w:r>
          </w:p>
          <w:p>
            <w:pPr>
              <w:pStyle w:val="13"/>
              <w:spacing w:line="240" w:lineRule="auto"/>
              <w:ind w:left="0" w:leftChars="0" w:firstLine="0" w:firstLineChars="0"/>
              <w:jc w:val="left"/>
              <w:rPr>
                <w:rFonts w:ascii="宋体" w:cs="宋体"/>
                <w:highlight w:val="none"/>
              </w:rPr>
            </w:pPr>
            <w:r>
              <w:rPr>
                <w:rFonts w:hint="eastAsia" w:ascii="宋体" w:hAnsi="宋体" w:cs="宋体"/>
                <w:highlight w:val="none"/>
              </w:rPr>
              <w:t>供应商名称（公章）：</w:t>
            </w:r>
          </w:p>
          <w:p>
            <w:pPr>
              <w:pStyle w:val="13"/>
              <w:spacing w:line="240" w:lineRule="auto"/>
              <w:ind w:left="0" w:leftChars="0" w:firstLine="0" w:firstLineChars="0"/>
              <w:jc w:val="left"/>
              <w:rPr>
                <w:rFonts w:ascii="宋体" w:cs="宋体"/>
                <w:highlight w:val="none"/>
              </w:rPr>
            </w:pPr>
            <w:r>
              <w:rPr>
                <w:rFonts w:hint="eastAsia" w:ascii="宋体" w:hAnsi="宋体" w:cs="宋体"/>
                <w:highlight w:val="none"/>
              </w:rPr>
              <w:t>地址：</w:t>
            </w:r>
          </w:p>
          <w:p>
            <w:pPr>
              <w:pStyle w:val="13"/>
              <w:spacing w:line="240" w:lineRule="auto"/>
              <w:ind w:left="0" w:leftChars="0" w:firstLine="0" w:firstLineChars="0"/>
              <w:jc w:val="left"/>
              <w:rPr>
                <w:rFonts w:ascii="宋体" w:cs="宋体"/>
                <w:highlight w:val="none"/>
              </w:rPr>
            </w:pPr>
            <w:r>
              <w:rPr>
                <w:rFonts w:hint="eastAsia" w:ascii="宋体" w:hAnsi="宋体" w:cs="宋体"/>
                <w:highlight w:val="none"/>
              </w:rPr>
              <w:t>邮编：</w:t>
            </w:r>
          </w:p>
          <w:p>
            <w:pPr>
              <w:pStyle w:val="13"/>
              <w:spacing w:line="240" w:lineRule="auto"/>
              <w:ind w:left="0" w:leftChars="0" w:firstLine="0" w:firstLineChars="0"/>
              <w:jc w:val="left"/>
              <w:rPr>
                <w:rFonts w:ascii="宋体" w:cs="宋体"/>
                <w:highlight w:val="none"/>
              </w:rPr>
            </w:pPr>
            <w:r>
              <w:rPr>
                <w:rFonts w:hint="eastAsia" w:ascii="宋体" w:hAnsi="宋体" w:cs="宋体"/>
                <w:highlight w:val="none"/>
              </w:rPr>
              <w:t>电话：</w:t>
            </w:r>
          </w:p>
          <w:p>
            <w:pPr>
              <w:pStyle w:val="13"/>
              <w:spacing w:line="240" w:lineRule="auto"/>
              <w:ind w:left="1474" w:leftChars="0" w:hanging="1474" w:hangingChars="661"/>
              <w:rPr>
                <w:rFonts w:ascii="宋体" w:cs="宋体"/>
                <w:highlight w:val="none"/>
              </w:rPr>
            </w:pPr>
            <w:r>
              <w:rPr>
                <w:rFonts w:hint="eastAsia" w:ascii="宋体" w:hAnsi="宋体" w:cs="宋体"/>
                <w:highlight w:val="none"/>
              </w:rPr>
              <w:t>传真：</w:t>
            </w:r>
            <w:r>
              <w:rPr>
                <w:rFonts w:ascii="宋体" w:hAnsi="宋体" w:cs="宋体"/>
                <w:highlight w:val="none"/>
              </w:rPr>
              <w:t xml:space="preserve"> </w:t>
            </w:r>
          </w:p>
        </w:tc>
      </w:tr>
    </w:tbl>
    <w:p>
      <w:pPr>
        <w:pStyle w:val="13"/>
        <w:spacing w:line="240" w:lineRule="auto"/>
        <w:ind w:left="31680" w:firstLine="31680"/>
        <w:rPr>
          <w:rFonts w:ascii="宋体" w:cs="宋体"/>
          <w:highlight w:val="none"/>
        </w:rPr>
      </w:pPr>
    </w:p>
    <w:tbl>
      <w:tblPr>
        <w:tblStyle w:val="34"/>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9060" w:type="dxa"/>
          </w:tcPr>
          <w:p>
            <w:pPr>
              <w:pStyle w:val="13"/>
              <w:spacing w:line="240" w:lineRule="auto"/>
              <w:ind w:left="0" w:leftChars="0" w:firstLine="0" w:firstLineChars="0"/>
              <w:rPr>
                <w:rFonts w:ascii="宋体" w:cs="宋体"/>
                <w:b/>
                <w:sz w:val="30"/>
                <w:highlight w:val="none"/>
              </w:rPr>
            </w:pPr>
          </w:p>
          <w:p>
            <w:pPr>
              <w:pStyle w:val="13"/>
              <w:spacing w:line="240" w:lineRule="auto"/>
              <w:ind w:left="0" w:leftChars="0" w:firstLine="0" w:firstLineChars="0"/>
              <w:jc w:val="center"/>
              <w:rPr>
                <w:rFonts w:ascii="宋体" w:cs="宋体"/>
                <w:sz w:val="30"/>
                <w:highlight w:val="none"/>
              </w:rPr>
            </w:pPr>
            <w:r>
              <w:rPr>
                <w:rFonts w:hint="eastAsia" w:ascii="宋体" w:hAnsi="宋体" w:cs="宋体"/>
                <w:b/>
                <w:sz w:val="30"/>
                <w:highlight w:val="none"/>
              </w:rPr>
              <w:t>报价一览表</w:t>
            </w:r>
            <w:r>
              <w:rPr>
                <w:rFonts w:ascii="宋体" w:hAnsi="宋体" w:cs="宋体"/>
                <w:b/>
                <w:sz w:val="30"/>
                <w:highlight w:val="none"/>
              </w:rPr>
              <w:t xml:space="preserve">              </w:t>
            </w:r>
          </w:p>
          <w:p>
            <w:pPr>
              <w:pStyle w:val="13"/>
              <w:spacing w:line="240" w:lineRule="auto"/>
              <w:ind w:left="31680" w:firstLine="31680"/>
              <w:rPr>
                <w:rFonts w:ascii="宋体" w:cs="宋体"/>
                <w:sz w:val="18"/>
                <w:highlight w:val="none"/>
              </w:rPr>
            </w:pPr>
          </w:p>
          <w:p>
            <w:pPr>
              <w:pStyle w:val="13"/>
              <w:spacing w:line="240" w:lineRule="auto"/>
              <w:ind w:left="0" w:leftChars="0" w:firstLine="0" w:firstLineChars="0"/>
              <w:rPr>
                <w:rFonts w:ascii="宋体" w:cs="宋体"/>
                <w:highlight w:val="none"/>
              </w:rPr>
            </w:pPr>
            <w:r>
              <w:rPr>
                <w:rFonts w:hint="eastAsia" w:ascii="宋体" w:hAnsi="宋体" w:cs="宋体"/>
                <w:highlight w:val="none"/>
              </w:rPr>
              <w:t>项目编号：</w:t>
            </w:r>
          </w:p>
          <w:p>
            <w:pPr>
              <w:pStyle w:val="13"/>
              <w:spacing w:line="240" w:lineRule="auto"/>
              <w:ind w:left="0" w:leftChars="0" w:firstLine="0" w:firstLineChars="0"/>
              <w:rPr>
                <w:rFonts w:ascii="宋体" w:cs="宋体"/>
                <w:highlight w:val="none"/>
                <w:u w:val="single"/>
              </w:rPr>
            </w:pPr>
            <w:r>
              <w:rPr>
                <w:rFonts w:hint="eastAsia" w:ascii="宋体" w:hAnsi="宋体" w:cs="宋体"/>
                <w:highlight w:val="none"/>
              </w:rPr>
              <w:t>项目名称：</w:t>
            </w:r>
          </w:p>
          <w:p>
            <w:pPr>
              <w:pStyle w:val="13"/>
              <w:spacing w:line="240" w:lineRule="auto"/>
              <w:ind w:left="0" w:leftChars="0" w:firstLine="0" w:firstLineChars="0"/>
              <w:rPr>
                <w:rFonts w:ascii="宋体" w:cs="宋体"/>
                <w:highlight w:val="none"/>
              </w:rPr>
            </w:pPr>
            <w:r>
              <w:rPr>
                <w:rFonts w:hint="eastAsia" w:ascii="宋体" w:hAnsi="宋体" w:cs="宋体"/>
                <w:highlight w:val="none"/>
              </w:rPr>
              <w:t>供应商名称（公章）：</w:t>
            </w:r>
          </w:p>
        </w:tc>
      </w:tr>
    </w:tbl>
    <w:p>
      <w:pPr>
        <w:pStyle w:val="13"/>
        <w:spacing w:line="240" w:lineRule="auto"/>
        <w:ind w:left="0" w:leftChars="0" w:firstLine="0" w:firstLineChars="0"/>
        <w:rPr>
          <w:rFonts w:ascii="宋体" w:cs="宋体"/>
          <w:b/>
          <w:bCs/>
          <w:sz w:val="32"/>
          <w:highlight w:val="none"/>
        </w:rPr>
      </w:pPr>
      <w:r>
        <w:rPr>
          <w:rFonts w:hint="eastAsia" w:ascii="宋体" w:hAnsi="宋体" w:cs="宋体"/>
          <w:b/>
          <w:bCs/>
          <w:sz w:val="32"/>
          <w:highlight w:val="none"/>
        </w:rPr>
        <w:t>封口格式：</w:t>
      </w:r>
    </w:p>
    <w:tbl>
      <w:tblPr>
        <w:tblStyle w:val="34"/>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vAlign w:val="center"/>
          </w:tcPr>
          <w:p>
            <w:pPr>
              <w:pStyle w:val="13"/>
              <w:spacing w:line="240" w:lineRule="auto"/>
              <w:ind w:left="0" w:leftChars="0" w:firstLine="0" w:firstLineChars="0"/>
              <w:jc w:val="center"/>
              <w:rPr>
                <w:rFonts w:ascii="宋体" w:cs="宋体"/>
                <w:highlight w:val="none"/>
              </w:rPr>
            </w:pPr>
            <w:r>
              <w:rPr>
                <w:rFonts w:hint="eastAsia" w:ascii="宋体" w:hAnsi="宋体" w:cs="宋体"/>
                <w:highlight w:val="none"/>
              </w:rPr>
              <w:t>…………………于</w:t>
            </w:r>
            <w:r>
              <w:rPr>
                <w:rFonts w:ascii="宋体" w:hAnsi="宋体" w:cs="宋体"/>
                <w:highlight w:val="none"/>
              </w:rPr>
              <w:t xml:space="preserve">   </w:t>
            </w:r>
            <w:r>
              <w:rPr>
                <w:rFonts w:hint="eastAsia" w:ascii="宋体" w:hAnsi="宋体" w:cs="宋体"/>
                <w:highlight w:val="none"/>
              </w:rPr>
              <w:t>年</w:t>
            </w:r>
            <w:r>
              <w:rPr>
                <w:rFonts w:ascii="宋体" w:hAnsi="宋体" w:cs="宋体"/>
                <w:highlight w:val="none"/>
              </w:rPr>
              <w:t xml:space="preserve">   </w:t>
            </w:r>
            <w:r>
              <w:rPr>
                <w:rFonts w:hint="eastAsia" w:ascii="宋体" w:hAnsi="宋体" w:cs="宋体"/>
                <w:highlight w:val="none"/>
              </w:rPr>
              <w:t>月</w:t>
            </w:r>
            <w:r>
              <w:rPr>
                <w:rFonts w:ascii="宋体" w:hAnsi="宋体" w:cs="宋体"/>
                <w:highlight w:val="none"/>
              </w:rPr>
              <w:t xml:space="preserve">   </w:t>
            </w:r>
            <w:r>
              <w:rPr>
                <w:rFonts w:hint="eastAsia" w:ascii="宋体" w:hAnsi="宋体" w:cs="宋体"/>
                <w:highlight w:val="none"/>
              </w:rPr>
              <w:t>日</w:t>
            </w:r>
            <w:r>
              <w:rPr>
                <w:rFonts w:ascii="宋体" w:hAnsi="宋体" w:cs="宋体"/>
                <w:highlight w:val="none"/>
              </w:rPr>
              <w:t xml:space="preserve">   </w:t>
            </w:r>
            <w:r>
              <w:rPr>
                <w:rFonts w:hint="eastAsia" w:ascii="宋体" w:hAnsi="宋体" w:cs="宋体"/>
                <w:highlight w:val="none"/>
              </w:rPr>
              <w:t>时之前不准启封（公章）…………………</w:t>
            </w:r>
          </w:p>
        </w:tc>
      </w:tr>
    </w:tbl>
    <w:p>
      <w:pPr>
        <w:pStyle w:val="13"/>
        <w:spacing w:line="240" w:lineRule="auto"/>
        <w:ind w:left="0" w:leftChars="0" w:firstLine="0" w:firstLineChars="0"/>
        <w:rPr>
          <w:highlight w:val="none"/>
        </w:rPr>
      </w:pPr>
    </w:p>
    <w:p>
      <w:pPr>
        <w:pStyle w:val="13"/>
        <w:spacing w:line="240" w:lineRule="auto"/>
        <w:ind w:left="0" w:leftChars="0" w:firstLine="0" w:firstLineChars="0"/>
        <w:rPr>
          <w:highlight w:val="none"/>
        </w:rPr>
      </w:pPr>
    </w:p>
    <w:p>
      <w:pPr>
        <w:pStyle w:val="13"/>
        <w:spacing w:line="240" w:lineRule="auto"/>
        <w:ind w:left="0" w:leftChars="0" w:firstLine="0" w:firstLineChars="0"/>
        <w:rPr>
          <w:highlight w:val="none"/>
        </w:rPr>
      </w:pPr>
    </w:p>
    <w:p>
      <w:pPr>
        <w:pStyle w:val="13"/>
        <w:spacing w:line="240" w:lineRule="auto"/>
        <w:ind w:left="0" w:leftChars="0" w:firstLine="0" w:firstLineChars="0"/>
        <w:rPr>
          <w:highlight w:val="none"/>
        </w:rPr>
      </w:pPr>
    </w:p>
    <w:p>
      <w:pPr>
        <w:spacing w:line="360" w:lineRule="auto"/>
        <w:rPr>
          <w:highlight w:val="none"/>
        </w:rPr>
      </w:pPr>
    </w:p>
    <w:sectPr>
      <w:pgSz w:w="11907" w:h="16840"/>
      <w:pgMar w:top="1157" w:right="1418" w:bottom="1304" w:left="1418" w:header="851" w:footer="850" w:gutter="0"/>
      <w:cols w:space="720" w:num="1"/>
      <w:titlePg/>
      <w:docGrid w:type="linesAndChars" w:linePitch="290" w:charSpace="-34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PMingLiUfalt">
    <w:altName w:val="MingLiU-ExtB"/>
    <w:panose1 w:val="00000000000000000000"/>
    <w:charset w:val="88"/>
    <w:family w:val="auto"/>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MingLiUfalt">
    <w:altName w:val="MingLiU-ExtB"/>
    <w:panose1 w:val="00000000000000000000"/>
    <w:charset w:val="88"/>
    <w:family w:val="auto"/>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lear" w:pos="8306"/>
      </w:tabs>
      <w:ind w:firstLine="180" w:firstLineChars="100"/>
      <w:jc w:val="right"/>
      <w:rPr>
        <w:i/>
        <w:i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lear" w:pos="8306"/>
      </w:tabs>
      <w:ind w:firstLine="180" w:firstLineChars="100"/>
      <w:jc w:val="right"/>
      <w:rPr>
        <w:i/>
        <w:iCs/>
      </w:rPr>
    </w:pPr>
    <w:r>
      <w:pict>
        <v:rect id="文本框 6" o:spid="_x0000_s2049" o:spt="1"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t>48</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rect id="文本框 7" o:spid="_x0000_s2050" o:spt="1" style="position:absolute;left:0pt;margin-top:0pt;height:144pt;width:144pt;mso-position-horizontal:center;mso-position-horizontal-relative:margin;mso-wrap-style:none;z-index:251662336;mso-width-relative:page;mso-height-relative:page;" filled="f" o:preferrelative="t" stroked="f" coordsize="21600,21600">
          <v:path/>
          <v:fill on="f" focussize="0,0"/>
          <v:stroke on="f"/>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t>41</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jc w:val="left"/>
      <w:rPr>
        <w:rFonts w:ascii="宋体" w:cs="宋体"/>
        <w:color w:val="000000"/>
      </w:rPr>
    </w:pPr>
    <w:r>
      <w:rPr>
        <w:rFonts w:hint="eastAsia"/>
        <w:sz w:val="21"/>
        <w:szCs w:val="21"/>
      </w:rPr>
      <w:t>山东省鲁成招标有限公司</w:t>
    </w:r>
    <w:r>
      <w:rPr>
        <w:sz w:val="21"/>
        <w:szCs w:val="21"/>
      </w:rPr>
      <w:t xml:space="preserve">                                                  </w:t>
    </w:r>
    <w:r>
      <w:rPr>
        <w:rFonts w:hint="eastAsia"/>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7D3500"/>
    <w:multiLevelType w:val="singleLevel"/>
    <w:tmpl w:val="CB7D3500"/>
    <w:lvl w:ilvl="0" w:tentative="0">
      <w:start w:val="1"/>
      <w:numFmt w:val="chineseCounting"/>
      <w:suff w:val="space"/>
      <w:lvlText w:val="第%1部分"/>
      <w:lvlJc w:val="left"/>
      <w:rPr>
        <w:rFonts w:hint="eastAsia"/>
      </w:rPr>
    </w:lvl>
  </w:abstractNum>
  <w:abstractNum w:abstractNumId="1">
    <w:nsid w:val="00000001"/>
    <w:multiLevelType w:val="multilevel"/>
    <w:tmpl w:val="00000001"/>
    <w:lvl w:ilvl="0" w:tentative="0">
      <w:start w:val="2"/>
      <w:numFmt w:val="japaneseCounting"/>
      <w:lvlText w:val="%1、"/>
      <w:lvlJc w:val="left"/>
      <w:pPr>
        <w:tabs>
          <w:tab w:val="left" w:pos="720"/>
        </w:tabs>
        <w:ind w:left="720" w:hanging="7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558922AD"/>
    <w:multiLevelType w:val="singleLevel"/>
    <w:tmpl w:val="558922AD"/>
    <w:lvl w:ilvl="0" w:tentative="0">
      <w:start w:val="3"/>
      <w:numFmt w:val="decimal"/>
      <w:suff w:val="nothing"/>
      <w:lvlText w:val="%1、"/>
      <w:lvlJc w:val="left"/>
    </w:lvl>
  </w:abstractNum>
  <w:abstractNum w:abstractNumId="3">
    <w:nsid w:val="58FF1FD5"/>
    <w:multiLevelType w:val="singleLevel"/>
    <w:tmpl w:val="58FF1FD5"/>
    <w:lvl w:ilvl="0" w:tentative="0">
      <w:start w:val="1"/>
      <w:numFmt w:val="decimal"/>
      <w:suff w:val="nothing"/>
      <w:lvlText w:val="%1、"/>
      <w:lvlJc w:val="left"/>
      <w:rPr>
        <w:rFonts w:cs="Times New Roman"/>
        <w:b w:val="0"/>
      </w:rPr>
    </w:lvl>
  </w:abstractNum>
  <w:abstractNum w:abstractNumId="4">
    <w:nsid w:val="5F01D27B"/>
    <w:multiLevelType w:val="singleLevel"/>
    <w:tmpl w:val="5F01D27B"/>
    <w:lvl w:ilvl="0" w:tentative="0">
      <w:start w:val="1"/>
      <w:numFmt w:val="decimal"/>
      <w:suff w:val="nothing"/>
      <w:lvlText w:val="%1、"/>
      <w:lvlJc w:val="left"/>
    </w:lvl>
  </w:abstractNum>
  <w:abstractNum w:abstractNumId="5">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96"/>
  <w:drawingGridVerticalSpacing w:val="146"/>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97C"/>
    <w:rsid w:val="00042B99"/>
    <w:rsid w:val="00301F45"/>
    <w:rsid w:val="0040197C"/>
    <w:rsid w:val="004840FA"/>
    <w:rsid w:val="004E1E75"/>
    <w:rsid w:val="0051300A"/>
    <w:rsid w:val="005A25AA"/>
    <w:rsid w:val="005C63EE"/>
    <w:rsid w:val="00686824"/>
    <w:rsid w:val="006957CB"/>
    <w:rsid w:val="007927C6"/>
    <w:rsid w:val="00805279"/>
    <w:rsid w:val="00830923"/>
    <w:rsid w:val="00876766"/>
    <w:rsid w:val="00882FAB"/>
    <w:rsid w:val="008838E3"/>
    <w:rsid w:val="00D16CFA"/>
    <w:rsid w:val="00DF2550"/>
    <w:rsid w:val="00E27A0D"/>
    <w:rsid w:val="00F14993"/>
    <w:rsid w:val="00F6582B"/>
    <w:rsid w:val="00F66D9F"/>
    <w:rsid w:val="010C344A"/>
    <w:rsid w:val="01481F98"/>
    <w:rsid w:val="015A73B9"/>
    <w:rsid w:val="019A3FED"/>
    <w:rsid w:val="01FF2A7E"/>
    <w:rsid w:val="021B1FA6"/>
    <w:rsid w:val="026C5878"/>
    <w:rsid w:val="02730B67"/>
    <w:rsid w:val="02933C4E"/>
    <w:rsid w:val="02B234C5"/>
    <w:rsid w:val="02EF4335"/>
    <w:rsid w:val="038A5302"/>
    <w:rsid w:val="03B44D8F"/>
    <w:rsid w:val="03D04A79"/>
    <w:rsid w:val="03F401E3"/>
    <w:rsid w:val="04306377"/>
    <w:rsid w:val="043E69C1"/>
    <w:rsid w:val="048B7E90"/>
    <w:rsid w:val="049350AD"/>
    <w:rsid w:val="053A4080"/>
    <w:rsid w:val="05590C19"/>
    <w:rsid w:val="056352E7"/>
    <w:rsid w:val="05A94CF0"/>
    <w:rsid w:val="05E117BF"/>
    <w:rsid w:val="05F320CD"/>
    <w:rsid w:val="06061953"/>
    <w:rsid w:val="060F07F0"/>
    <w:rsid w:val="06273964"/>
    <w:rsid w:val="06AB57D2"/>
    <w:rsid w:val="06B43CD0"/>
    <w:rsid w:val="06D32637"/>
    <w:rsid w:val="06D51768"/>
    <w:rsid w:val="07322082"/>
    <w:rsid w:val="074F0EFE"/>
    <w:rsid w:val="078D151E"/>
    <w:rsid w:val="07AF4B25"/>
    <w:rsid w:val="07B83B34"/>
    <w:rsid w:val="07F8023E"/>
    <w:rsid w:val="08015525"/>
    <w:rsid w:val="085411C8"/>
    <w:rsid w:val="086846ED"/>
    <w:rsid w:val="088A2D30"/>
    <w:rsid w:val="08971132"/>
    <w:rsid w:val="089F0E9E"/>
    <w:rsid w:val="08AA0ACE"/>
    <w:rsid w:val="08B751EC"/>
    <w:rsid w:val="08FE55A7"/>
    <w:rsid w:val="09045DAA"/>
    <w:rsid w:val="090E046C"/>
    <w:rsid w:val="091269E7"/>
    <w:rsid w:val="091829B8"/>
    <w:rsid w:val="092408C0"/>
    <w:rsid w:val="093A1ED8"/>
    <w:rsid w:val="09670E03"/>
    <w:rsid w:val="09957B2F"/>
    <w:rsid w:val="099635B1"/>
    <w:rsid w:val="09B40E87"/>
    <w:rsid w:val="09FC5597"/>
    <w:rsid w:val="0A406F30"/>
    <w:rsid w:val="0A8871FE"/>
    <w:rsid w:val="0A89349B"/>
    <w:rsid w:val="0AD0305D"/>
    <w:rsid w:val="0AE6434D"/>
    <w:rsid w:val="0AFF306B"/>
    <w:rsid w:val="0B0E5EE3"/>
    <w:rsid w:val="0B202D81"/>
    <w:rsid w:val="0B7C4249"/>
    <w:rsid w:val="0BD0192A"/>
    <w:rsid w:val="0BED0181"/>
    <w:rsid w:val="0BF7231E"/>
    <w:rsid w:val="0C170691"/>
    <w:rsid w:val="0C214D96"/>
    <w:rsid w:val="0C232420"/>
    <w:rsid w:val="0C581E82"/>
    <w:rsid w:val="0C5F5065"/>
    <w:rsid w:val="0C691FF6"/>
    <w:rsid w:val="0C8177E3"/>
    <w:rsid w:val="0C957E23"/>
    <w:rsid w:val="0CDB7D33"/>
    <w:rsid w:val="0CF23C79"/>
    <w:rsid w:val="0D0C68FA"/>
    <w:rsid w:val="0D1F2E0A"/>
    <w:rsid w:val="0D2414DB"/>
    <w:rsid w:val="0D301E1A"/>
    <w:rsid w:val="0D5B08FA"/>
    <w:rsid w:val="0D61185C"/>
    <w:rsid w:val="0D7928A9"/>
    <w:rsid w:val="0D7E55E6"/>
    <w:rsid w:val="0DA26FCC"/>
    <w:rsid w:val="0DA323E8"/>
    <w:rsid w:val="0DB74DB4"/>
    <w:rsid w:val="0DD45FA9"/>
    <w:rsid w:val="0DE417C1"/>
    <w:rsid w:val="0DE44010"/>
    <w:rsid w:val="0DF27FB5"/>
    <w:rsid w:val="0E113D27"/>
    <w:rsid w:val="0E1B013B"/>
    <w:rsid w:val="0E2F5CB9"/>
    <w:rsid w:val="0E3709DC"/>
    <w:rsid w:val="0E707EF8"/>
    <w:rsid w:val="0E717957"/>
    <w:rsid w:val="0E8C099D"/>
    <w:rsid w:val="0E94734B"/>
    <w:rsid w:val="0E9972BD"/>
    <w:rsid w:val="0ECB5D2D"/>
    <w:rsid w:val="0EFD4B5F"/>
    <w:rsid w:val="0F2E247B"/>
    <w:rsid w:val="0F6847B5"/>
    <w:rsid w:val="0F6B5CDD"/>
    <w:rsid w:val="0FC517C6"/>
    <w:rsid w:val="0FD16EE3"/>
    <w:rsid w:val="0FE85B98"/>
    <w:rsid w:val="102062B6"/>
    <w:rsid w:val="102F0DF6"/>
    <w:rsid w:val="104F63C0"/>
    <w:rsid w:val="10715D69"/>
    <w:rsid w:val="10737618"/>
    <w:rsid w:val="10DD5DED"/>
    <w:rsid w:val="110D4E0C"/>
    <w:rsid w:val="111D1B9F"/>
    <w:rsid w:val="114D645F"/>
    <w:rsid w:val="11957D44"/>
    <w:rsid w:val="11C42154"/>
    <w:rsid w:val="11C83928"/>
    <w:rsid w:val="11EB2A0D"/>
    <w:rsid w:val="12585931"/>
    <w:rsid w:val="126B13DF"/>
    <w:rsid w:val="12A3019C"/>
    <w:rsid w:val="12B72FF1"/>
    <w:rsid w:val="12C50983"/>
    <w:rsid w:val="12D83280"/>
    <w:rsid w:val="12F671C3"/>
    <w:rsid w:val="13157290"/>
    <w:rsid w:val="132F2086"/>
    <w:rsid w:val="135562A3"/>
    <w:rsid w:val="13620560"/>
    <w:rsid w:val="136F7F16"/>
    <w:rsid w:val="138E1D29"/>
    <w:rsid w:val="139B701D"/>
    <w:rsid w:val="139F508A"/>
    <w:rsid w:val="13D502BD"/>
    <w:rsid w:val="13D87288"/>
    <w:rsid w:val="140851F7"/>
    <w:rsid w:val="140E2CA2"/>
    <w:rsid w:val="14185742"/>
    <w:rsid w:val="14725221"/>
    <w:rsid w:val="147F1E7B"/>
    <w:rsid w:val="148F1AFB"/>
    <w:rsid w:val="14950AF8"/>
    <w:rsid w:val="1499517C"/>
    <w:rsid w:val="151A3699"/>
    <w:rsid w:val="1565556D"/>
    <w:rsid w:val="15671E88"/>
    <w:rsid w:val="156C6C16"/>
    <w:rsid w:val="159559F7"/>
    <w:rsid w:val="15EE659A"/>
    <w:rsid w:val="15F27F43"/>
    <w:rsid w:val="160906FA"/>
    <w:rsid w:val="1632151F"/>
    <w:rsid w:val="16821B30"/>
    <w:rsid w:val="16853C76"/>
    <w:rsid w:val="16A00BB3"/>
    <w:rsid w:val="16B33DFE"/>
    <w:rsid w:val="16DE66F0"/>
    <w:rsid w:val="1717736B"/>
    <w:rsid w:val="17502736"/>
    <w:rsid w:val="176145EE"/>
    <w:rsid w:val="177C494B"/>
    <w:rsid w:val="17D839D7"/>
    <w:rsid w:val="17FD1F1C"/>
    <w:rsid w:val="1804697F"/>
    <w:rsid w:val="18197BB9"/>
    <w:rsid w:val="186C30E6"/>
    <w:rsid w:val="188D158A"/>
    <w:rsid w:val="18BE3BCF"/>
    <w:rsid w:val="18E6607D"/>
    <w:rsid w:val="18EA5884"/>
    <w:rsid w:val="19005156"/>
    <w:rsid w:val="191A6417"/>
    <w:rsid w:val="19242D2A"/>
    <w:rsid w:val="193F298E"/>
    <w:rsid w:val="196500F8"/>
    <w:rsid w:val="198628E8"/>
    <w:rsid w:val="19952E73"/>
    <w:rsid w:val="19A92015"/>
    <w:rsid w:val="19F8057E"/>
    <w:rsid w:val="1A0B60FB"/>
    <w:rsid w:val="1A565444"/>
    <w:rsid w:val="1A792657"/>
    <w:rsid w:val="1A7F4B68"/>
    <w:rsid w:val="1B096D6D"/>
    <w:rsid w:val="1B58197D"/>
    <w:rsid w:val="1B5C76B4"/>
    <w:rsid w:val="1B6F01BC"/>
    <w:rsid w:val="1B6F74A2"/>
    <w:rsid w:val="1B9356FD"/>
    <w:rsid w:val="1BA14A5B"/>
    <w:rsid w:val="1BB82C31"/>
    <w:rsid w:val="1BD97B9D"/>
    <w:rsid w:val="1BFA5B51"/>
    <w:rsid w:val="1CA43D63"/>
    <w:rsid w:val="1CB52F74"/>
    <w:rsid w:val="1CD04F7C"/>
    <w:rsid w:val="1CDC7149"/>
    <w:rsid w:val="1D1D5C40"/>
    <w:rsid w:val="1D381B66"/>
    <w:rsid w:val="1D6A78BF"/>
    <w:rsid w:val="1D9C10FF"/>
    <w:rsid w:val="1DC5058F"/>
    <w:rsid w:val="1DF55FAB"/>
    <w:rsid w:val="1DFF3907"/>
    <w:rsid w:val="1E3C065B"/>
    <w:rsid w:val="1EB83BA1"/>
    <w:rsid w:val="1EDD6550"/>
    <w:rsid w:val="1EF77CF9"/>
    <w:rsid w:val="1FF11130"/>
    <w:rsid w:val="1FF70438"/>
    <w:rsid w:val="1FFA3C06"/>
    <w:rsid w:val="201B0C8D"/>
    <w:rsid w:val="201F53A1"/>
    <w:rsid w:val="206D7AC1"/>
    <w:rsid w:val="206E16F2"/>
    <w:rsid w:val="20CB2B4C"/>
    <w:rsid w:val="21095E7D"/>
    <w:rsid w:val="2140233F"/>
    <w:rsid w:val="214F3437"/>
    <w:rsid w:val="2199289F"/>
    <w:rsid w:val="21C43258"/>
    <w:rsid w:val="21E96C1E"/>
    <w:rsid w:val="22624996"/>
    <w:rsid w:val="227D30EE"/>
    <w:rsid w:val="229574CD"/>
    <w:rsid w:val="22A1002A"/>
    <w:rsid w:val="22B03F9C"/>
    <w:rsid w:val="22B83267"/>
    <w:rsid w:val="22C62F50"/>
    <w:rsid w:val="22CA11C1"/>
    <w:rsid w:val="22F47BDF"/>
    <w:rsid w:val="22FB0C6D"/>
    <w:rsid w:val="23017C71"/>
    <w:rsid w:val="230E57D5"/>
    <w:rsid w:val="232B3A15"/>
    <w:rsid w:val="232D74B4"/>
    <w:rsid w:val="233B2F55"/>
    <w:rsid w:val="23782086"/>
    <w:rsid w:val="23911B2D"/>
    <w:rsid w:val="23A80A2D"/>
    <w:rsid w:val="23CB53E9"/>
    <w:rsid w:val="23CD4604"/>
    <w:rsid w:val="245378B3"/>
    <w:rsid w:val="24541F4B"/>
    <w:rsid w:val="246B306F"/>
    <w:rsid w:val="246E1367"/>
    <w:rsid w:val="24752A16"/>
    <w:rsid w:val="247D0E8D"/>
    <w:rsid w:val="24952238"/>
    <w:rsid w:val="24DE453C"/>
    <w:rsid w:val="24EC1FDF"/>
    <w:rsid w:val="24ED249F"/>
    <w:rsid w:val="256C4BB7"/>
    <w:rsid w:val="25742081"/>
    <w:rsid w:val="25BD7DC7"/>
    <w:rsid w:val="25BF7095"/>
    <w:rsid w:val="25D46CBF"/>
    <w:rsid w:val="25F040BE"/>
    <w:rsid w:val="26140E68"/>
    <w:rsid w:val="2624490E"/>
    <w:rsid w:val="26256CF2"/>
    <w:rsid w:val="26331B0A"/>
    <w:rsid w:val="269635C9"/>
    <w:rsid w:val="26BD0DEC"/>
    <w:rsid w:val="26D00923"/>
    <w:rsid w:val="26E766A1"/>
    <w:rsid w:val="26ED31A4"/>
    <w:rsid w:val="26FD7EDC"/>
    <w:rsid w:val="26FE3B76"/>
    <w:rsid w:val="27625922"/>
    <w:rsid w:val="278B2BC2"/>
    <w:rsid w:val="27AA3DF7"/>
    <w:rsid w:val="27AB06CA"/>
    <w:rsid w:val="27D76ED8"/>
    <w:rsid w:val="27D96BED"/>
    <w:rsid w:val="283B548D"/>
    <w:rsid w:val="286E1C76"/>
    <w:rsid w:val="28756398"/>
    <w:rsid w:val="28B57F07"/>
    <w:rsid w:val="28CB143F"/>
    <w:rsid w:val="2917129E"/>
    <w:rsid w:val="29840BF3"/>
    <w:rsid w:val="299650C3"/>
    <w:rsid w:val="29FB64B8"/>
    <w:rsid w:val="2A0069DD"/>
    <w:rsid w:val="2A2F6244"/>
    <w:rsid w:val="2A5C4DB5"/>
    <w:rsid w:val="2A5D6002"/>
    <w:rsid w:val="2A6A114A"/>
    <w:rsid w:val="2A6D744C"/>
    <w:rsid w:val="2AB01C51"/>
    <w:rsid w:val="2B1B5F04"/>
    <w:rsid w:val="2B39317A"/>
    <w:rsid w:val="2B6017B5"/>
    <w:rsid w:val="2B706144"/>
    <w:rsid w:val="2BE76E31"/>
    <w:rsid w:val="2C3A7944"/>
    <w:rsid w:val="2C4F05FF"/>
    <w:rsid w:val="2C8527EC"/>
    <w:rsid w:val="2CAE7C16"/>
    <w:rsid w:val="2CED233C"/>
    <w:rsid w:val="2D334122"/>
    <w:rsid w:val="2D731C7A"/>
    <w:rsid w:val="2D7C50D2"/>
    <w:rsid w:val="2D7D7CC5"/>
    <w:rsid w:val="2D8C46CB"/>
    <w:rsid w:val="2D963F40"/>
    <w:rsid w:val="2D9E57DE"/>
    <w:rsid w:val="2DA91480"/>
    <w:rsid w:val="2DAF5E61"/>
    <w:rsid w:val="2DD71425"/>
    <w:rsid w:val="2DE41CDE"/>
    <w:rsid w:val="2DFD3D3F"/>
    <w:rsid w:val="2E0131B7"/>
    <w:rsid w:val="2E116B05"/>
    <w:rsid w:val="2E136843"/>
    <w:rsid w:val="2E1651E4"/>
    <w:rsid w:val="2E350272"/>
    <w:rsid w:val="2E75209F"/>
    <w:rsid w:val="2F516A35"/>
    <w:rsid w:val="2F8B764F"/>
    <w:rsid w:val="2FA664D1"/>
    <w:rsid w:val="2FC97B46"/>
    <w:rsid w:val="2FCC1B94"/>
    <w:rsid w:val="2FD417FA"/>
    <w:rsid w:val="2FF47190"/>
    <w:rsid w:val="2FFE0165"/>
    <w:rsid w:val="303469D1"/>
    <w:rsid w:val="30563277"/>
    <w:rsid w:val="30893087"/>
    <w:rsid w:val="30A4163B"/>
    <w:rsid w:val="30B8320E"/>
    <w:rsid w:val="30D97FDE"/>
    <w:rsid w:val="30DF1CF7"/>
    <w:rsid w:val="310E5E31"/>
    <w:rsid w:val="316C7454"/>
    <w:rsid w:val="319B5644"/>
    <w:rsid w:val="319D28F3"/>
    <w:rsid w:val="322C6D0C"/>
    <w:rsid w:val="327144DF"/>
    <w:rsid w:val="32AC38D8"/>
    <w:rsid w:val="32C304D7"/>
    <w:rsid w:val="32D66D6D"/>
    <w:rsid w:val="32DD410C"/>
    <w:rsid w:val="32DE2B6F"/>
    <w:rsid w:val="32F06F57"/>
    <w:rsid w:val="32F15085"/>
    <w:rsid w:val="330E2AD0"/>
    <w:rsid w:val="331010EA"/>
    <w:rsid w:val="33682F87"/>
    <w:rsid w:val="337101B5"/>
    <w:rsid w:val="33862DB9"/>
    <w:rsid w:val="338714FC"/>
    <w:rsid w:val="33967DC3"/>
    <w:rsid w:val="33A4661E"/>
    <w:rsid w:val="33B17DF6"/>
    <w:rsid w:val="33BF68B9"/>
    <w:rsid w:val="33CF69BE"/>
    <w:rsid w:val="33E95998"/>
    <w:rsid w:val="34041156"/>
    <w:rsid w:val="344C48F7"/>
    <w:rsid w:val="346E7DCD"/>
    <w:rsid w:val="34A82142"/>
    <w:rsid w:val="34B006B6"/>
    <w:rsid w:val="34D56FDD"/>
    <w:rsid w:val="34FC14A7"/>
    <w:rsid w:val="3534300D"/>
    <w:rsid w:val="353F1068"/>
    <w:rsid w:val="356E23CF"/>
    <w:rsid w:val="35796889"/>
    <w:rsid w:val="35922C51"/>
    <w:rsid w:val="35B637AB"/>
    <w:rsid w:val="35D31BC5"/>
    <w:rsid w:val="35FC0191"/>
    <w:rsid w:val="35FF79EE"/>
    <w:rsid w:val="36027F97"/>
    <w:rsid w:val="36030470"/>
    <w:rsid w:val="36153B52"/>
    <w:rsid w:val="362C4F28"/>
    <w:rsid w:val="363454F8"/>
    <w:rsid w:val="3645474D"/>
    <w:rsid w:val="36454C87"/>
    <w:rsid w:val="367135BD"/>
    <w:rsid w:val="368133CF"/>
    <w:rsid w:val="369B3DEE"/>
    <w:rsid w:val="371923B7"/>
    <w:rsid w:val="37302436"/>
    <w:rsid w:val="37562DD8"/>
    <w:rsid w:val="376C5DE8"/>
    <w:rsid w:val="37812FE8"/>
    <w:rsid w:val="37B85F54"/>
    <w:rsid w:val="38094CA3"/>
    <w:rsid w:val="381A52B0"/>
    <w:rsid w:val="38360323"/>
    <w:rsid w:val="383A3302"/>
    <w:rsid w:val="385368BA"/>
    <w:rsid w:val="38B3171E"/>
    <w:rsid w:val="38DB03A1"/>
    <w:rsid w:val="38FE4EAD"/>
    <w:rsid w:val="391126B5"/>
    <w:rsid w:val="39811641"/>
    <w:rsid w:val="399A2916"/>
    <w:rsid w:val="39AB1BDA"/>
    <w:rsid w:val="39AE39CB"/>
    <w:rsid w:val="39DD23B8"/>
    <w:rsid w:val="39E4689C"/>
    <w:rsid w:val="39E46F46"/>
    <w:rsid w:val="3A0A2081"/>
    <w:rsid w:val="3A4D3BBA"/>
    <w:rsid w:val="3A4E0542"/>
    <w:rsid w:val="3A5A6B2E"/>
    <w:rsid w:val="3AA607C4"/>
    <w:rsid w:val="3AB54CCA"/>
    <w:rsid w:val="3ACE4CE0"/>
    <w:rsid w:val="3AD30BE8"/>
    <w:rsid w:val="3AEE70DB"/>
    <w:rsid w:val="3AF836D8"/>
    <w:rsid w:val="3B4B4602"/>
    <w:rsid w:val="3B547CF8"/>
    <w:rsid w:val="3B55404E"/>
    <w:rsid w:val="3B5C0414"/>
    <w:rsid w:val="3B645791"/>
    <w:rsid w:val="3B6B2983"/>
    <w:rsid w:val="3B786631"/>
    <w:rsid w:val="3BC9018C"/>
    <w:rsid w:val="3C18155C"/>
    <w:rsid w:val="3C3F3DD5"/>
    <w:rsid w:val="3C482FB2"/>
    <w:rsid w:val="3CA36ADE"/>
    <w:rsid w:val="3CB75869"/>
    <w:rsid w:val="3CD82D9F"/>
    <w:rsid w:val="3D226CBD"/>
    <w:rsid w:val="3D622D5E"/>
    <w:rsid w:val="3D9F0CFD"/>
    <w:rsid w:val="3DAF618F"/>
    <w:rsid w:val="3DF075CA"/>
    <w:rsid w:val="3E044899"/>
    <w:rsid w:val="3E150C12"/>
    <w:rsid w:val="3E202962"/>
    <w:rsid w:val="3E4B2149"/>
    <w:rsid w:val="3E4E63CA"/>
    <w:rsid w:val="3E827EEE"/>
    <w:rsid w:val="3E8E6085"/>
    <w:rsid w:val="3E9971A8"/>
    <w:rsid w:val="3EF33727"/>
    <w:rsid w:val="3F4F33D9"/>
    <w:rsid w:val="3F575EB4"/>
    <w:rsid w:val="3FA134CC"/>
    <w:rsid w:val="3FD60EC8"/>
    <w:rsid w:val="3FFE1ABA"/>
    <w:rsid w:val="400C56E2"/>
    <w:rsid w:val="402636D9"/>
    <w:rsid w:val="40271A61"/>
    <w:rsid w:val="402E03BD"/>
    <w:rsid w:val="4047232D"/>
    <w:rsid w:val="404D3993"/>
    <w:rsid w:val="40FD3B24"/>
    <w:rsid w:val="4118551B"/>
    <w:rsid w:val="412A3A03"/>
    <w:rsid w:val="41420F44"/>
    <w:rsid w:val="4162310B"/>
    <w:rsid w:val="41726D5E"/>
    <w:rsid w:val="41865962"/>
    <w:rsid w:val="41F343AF"/>
    <w:rsid w:val="4233380D"/>
    <w:rsid w:val="425B2C61"/>
    <w:rsid w:val="42AF59F8"/>
    <w:rsid w:val="42CB3F36"/>
    <w:rsid w:val="42E00959"/>
    <w:rsid w:val="43001EEB"/>
    <w:rsid w:val="43597733"/>
    <w:rsid w:val="439A2FAC"/>
    <w:rsid w:val="439D38C8"/>
    <w:rsid w:val="43E64CF5"/>
    <w:rsid w:val="43F639AA"/>
    <w:rsid w:val="4423148F"/>
    <w:rsid w:val="443F3E5C"/>
    <w:rsid w:val="44453CCA"/>
    <w:rsid w:val="44645874"/>
    <w:rsid w:val="446B3BE7"/>
    <w:rsid w:val="449D398C"/>
    <w:rsid w:val="44E63254"/>
    <w:rsid w:val="44EE03A3"/>
    <w:rsid w:val="44F020DA"/>
    <w:rsid w:val="450E4D11"/>
    <w:rsid w:val="45100B4C"/>
    <w:rsid w:val="451201C1"/>
    <w:rsid w:val="453F1FB4"/>
    <w:rsid w:val="454F7BAE"/>
    <w:rsid w:val="4564363E"/>
    <w:rsid w:val="45736C72"/>
    <w:rsid w:val="45847401"/>
    <w:rsid w:val="458E0B64"/>
    <w:rsid w:val="4592084B"/>
    <w:rsid w:val="45B12F33"/>
    <w:rsid w:val="45B4756D"/>
    <w:rsid w:val="45BF5B4F"/>
    <w:rsid w:val="45D43A48"/>
    <w:rsid w:val="45FE6BAF"/>
    <w:rsid w:val="461564D2"/>
    <w:rsid w:val="46286E8A"/>
    <w:rsid w:val="4661428E"/>
    <w:rsid w:val="46654A03"/>
    <w:rsid w:val="46D7174B"/>
    <w:rsid w:val="470F3775"/>
    <w:rsid w:val="47451D53"/>
    <w:rsid w:val="474E07F9"/>
    <w:rsid w:val="475758FD"/>
    <w:rsid w:val="479F5FB8"/>
    <w:rsid w:val="47B43F77"/>
    <w:rsid w:val="47C70008"/>
    <w:rsid w:val="48FF1DFC"/>
    <w:rsid w:val="49024967"/>
    <w:rsid w:val="49192A9C"/>
    <w:rsid w:val="491A0D76"/>
    <w:rsid w:val="4984053D"/>
    <w:rsid w:val="49FB60F5"/>
    <w:rsid w:val="4A0406E0"/>
    <w:rsid w:val="4A426E97"/>
    <w:rsid w:val="4A597654"/>
    <w:rsid w:val="4A92251F"/>
    <w:rsid w:val="4A9720A6"/>
    <w:rsid w:val="4AD05FE0"/>
    <w:rsid w:val="4B400765"/>
    <w:rsid w:val="4B4007C5"/>
    <w:rsid w:val="4B6B7DD3"/>
    <w:rsid w:val="4BCD28E0"/>
    <w:rsid w:val="4BE27CFA"/>
    <w:rsid w:val="4BFE7F05"/>
    <w:rsid w:val="4C0536FC"/>
    <w:rsid w:val="4C3D7C64"/>
    <w:rsid w:val="4C4B3F01"/>
    <w:rsid w:val="4C6654BC"/>
    <w:rsid w:val="4C976B59"/>
    <w:rsid w:val="4CA75E7A"/>
    <w:rsid w:val="4CD639D4"/>
    <w:rsid w:val="4D093475"/>
    <w:rsid w:val="4D203870"/>
    <w:rsid w:val="4D267DC0"/>
    <w:rsid w:val="4D3A7491"/>
    <w:rsid w:val="4D4770CE"/>
    <w:rsid w:val="4D477EE4"/>
    <w:rsid w:val="4D490C08"/>
    <w:rsid w:val="4D5468B0"/>
    <w:rsid w:val="4D7A27EC"/>
    <w:rsid w:val="4DA05025"/>
    <w:rsid w:val="4DB04474"/>
    <w:rsid w:val="4DCB7524"/>
    <w:rsid w:val="4E221D43"/>
    <w:rsid w:val="4E352BCD"/>
    <w:rsid w:val="4E845823"/>
    <w:rsid w:val="4EC44864"/>
    <w:rsid w:val="4ECA1049"/>
    <w:rsid w:val="4EDA2237"/>
    <w:rsid w:val="4F2516E4"/>
    <w:rsid w:val="4F3E7A89"/>
    <w:rsid w:val="4FB16A77"/>
    <w:rsid w:val="4FC9384A"/>
    <w:rsid w:val="4FF70D76"/>
    <w:rsid w:val="50267223"/>
    <w:rsid w:val="50391DC4"/>
    <w:rsid w:val="50772698"/>
    <w:rsid w:val="507C369D"/>
    <w:rsid w:val="50A429BC"/>
    <w:rsid w:val="50C85B9A"/>
    <w:rsid w:val="50D21FFB"/>
    <w:rsid w:val="50EE7F86"/>
    <w:rsid w:val="50F6578A"/>
    <w:rsid w:val="510B7712"/>
    <w:rsid w:val="516240D0"/>
    <w:rsid w:val="516B1E8A"/>
    <w:rsid w:val="519F3264"/>
    <w:rsid w:val="51D4167F"/>
    <w:rsid w:val="51D75C75"/>
    <w:rsid w:val="522748B0"/>
    <w:rsid w:val="52435712"/>
    <w:rsid w:val="525564AF"/>
    <w:rsid w:val="52592AA8"/>
    <w:rsid w:val="527C76E9"/>
    <w:rsid w:val="52B25F58"/>
    <w:rsid w:val="533A6B42"/>
    <w:rsid w:val="535657DF"/>
    <w:rsid w:val="53570A5C"/>
    <w:rsid w:val="53867B22"/>
    <w:rsid w:val="53BD6260"/>
    <w:rsid w:val="53C77BD9"/>
    <w:rsid w:val="53CB69D3"/>
    <w:rsid w:val="53FC79EF"/>
    <w:rsid w:val="540653A5"/>
    <w:rsid w:val="544356B5"/>
    <w:rsid w:val="5461472D"/>
    <w:rsid w:val="54A17C33"/>
    <w:rsid w:val="54B601F0"/>
    <w:rsid w:val="54CF4E04"/>
    <w:rsid w:val="54ED334F"/>
    <w:rsid w:val="55166A18"/>
    <w:rsid w:val="557C3601"/>
    <w:rsid w:val="55901711"/>
    <w:rsid w:val="55A62DC0"/>
    <w:rsid w:val="55C7720A"/>
    <w:rsid w:val="55CA3EFA"/>
    <w:rsid w:val="560328E9"/>
    <w:rsid w:val="568B33B5"/>
    <w:rsid w:val="56C656CA"/>
    <w:rsid w:val="56E23B4D"/>
    <w:rsid w:val="56FA1073"/>
    <w:rsid w:val="572006EE"/>
    <w:rsid w:val="57B95820"/>
    <w:rsid w:val="57BE24CF"/>
    <w:rsid w:val="57D36BBA"/>
    <w:rsid w:val="581D63A3"/>
    <w:rsid w:val="58473209"/>
    <w:rsid w:val="58626BED"/>
    <w:rsid w:val="586B52F9"/>
    <w:rsid w:val="58851104"/>
    <w:rsid w:val="58C36261"/>
    <w:rsid w:val="58E8683F"/>
    <w:rsid w:val="58F47827"/>
    <w:rsid w:val="594D530B"/>
    <w:rsid w:val="595C796E"/>
    <w:rsid w:val="59804119"/>
    <w:rsid w:val="599C4E2A"/>
    <w:rsid w:val="59D6050F"/>
    <w:rsid w:val="59F21CDD"/>
    <w:rsid w:val="5A14277E"/>
    <w:rsid w:val="5A2E63B7"/>
    <w:rsid w:val="5A4044E8"/>
    <w:rsid w:val="5A4F0D74"/>
    <w:rsid w:val="5A692A67"/>
    <w:rsid w:val="5A931D8D"/>
    <w:rsid w:val="5A973AC7"/>
    <w:rsid w:val="5AD87A37"/>
    <w:rsid w:val="5AEF5B96"/>
    <w:rsid w:val="5AF47B0F"/>
    <w:rsid w:val="5B39524E"/>
    <w:rsid w:val="5B75268A"/>
    <w:rsid w:val="5B8C3E4D"/>
    <w:rsid w:val="5B8F1394"/>
    <w:rsid w:val="5BA73158"/>
    <w:rsid w:val="5BB27C50"/>
    <w:rsid w:val="5BB71383"/>
    <w:rsid w:val="5BDD6669"/>
    <w:rsid w:val="5C0378E9"/>
    <w:rsid w:val="5C122BDF"/>
    <w:rsid w:val="5C7029C5"/>
    <w:rsid w:val="5CED7FD0"/>
    <w:rsid w:val="5D0A1258"/>
    <w:rsid w:val="5D516F9E"/>
    <w:rsid w:val="5D9A7E01"/>
    <w:rsid w:val="5DA53006"/>
    <w:rsid w:val="5DA67704"/>
    <w:rsid w:val="5DD82288"/>
    <w:rsid w:val="5DE26E3B"/>
    <w:rsid w:val="5E114AE6"/>
    <w:rsid w:val="5E283408"/>
    <w:rsid w:val="5EAB79A2"/>
    <w:rsid w:val="5EF77A6A"/>
    <w:rsid w:val="5F095562"/>
    <w:rsid w:val="5F1B64A8"/>
    <w:rsid w:val="5F354242"/>
    <w:rsid w:val="5F4D2EDA"/>
    <w:rsid w:val="5F9728EB"/>
    <w:rsid w:val="5F9C34DB"/>
    <w:rsid w:val="5FA4744A"/>
    <w:rsid w:val="5FD161BD"/>
    <w:rsid w:val="600754DB"/>
    <w:rsid w:val="60092D53"/>
    <w:rsid w:val="60115491"/>
    <w:rsid w:val="606D3981"/>
    <w:rsid w:val="60725DA4"/>
    <w:rsid w:val="607B1ED3"/>
    <w:rsid w:val="609B4C90"/>
    <w:rsid w:val="60AF74B2"/>
    <w:rsid w:val="60B321C5"/>
    <w:rsid w:val="60BB1E61"/>
    <w:rsid w:val="60E761B8"/>
    <w:rsid w:val="615564E7"/>
    <w:rsid w:val="61637F21"/>
    <w:rsid w:val="61665C2D"/>
    <w:rsid w:val="616E3A66"/>
    <w:rsid w:val="617031A9"/>
    <w:rsid w:val="61A83AC5"/>
    <w:rsid w:val="620F3F1B"/>
    <w:rsid w:val="62291D3D"/>
    <w:rsid w:val="62340EEF"/>
    <w:rsid w:val="624223E0"/>
    <w:rsid w:val="628225A1"/>
    <w:rsid w:val="62844228"/>
    <w:rsid w:val="62EE131C"/>
    <w:rsid w:val="62F12552"/>
    <w:rsid w:val="63103B5C"/>
    <w:rsid w:val="632F7BA4"/>
    <w:rsid w:val="635861B1"/>
    <w:rsid w:val="635C2956"/>
    <w:rsid w:val="635D2A9B"/>
    <w:rsid w:val="638D0F3A"/>
    <w:rsid w:val="63906042"/>
    <w:rsid w:val="639B1377"/>
    <w:rsid w:val="63C92271"/>
    <w:rsid w:val="640834E3"/>
    <w:rsid w:val="640C71D1"/>
    <w:rsid w:val="641F2B80"/>
    <w:rsid w:val="643C6FB0"/>
    <w:rsid w:val="643D682A"/>
    <w:rsid w:val="64533C0B"/>
    <w:rsid w:val="646624FE"/>
    <w:rsid w:val="64B41CF4"/>
    <w:rsid w:val="64B41F4A"/>
    <w:rsid w:val="64DA7955"/>
    <w:rsid w:val="65071ED1"/>
    <w:rsid w:val="6536351E"/>
    <w:rsid w:val="6576094A"/>
    <w:rsid w:val="658A31B4"/>
    <w:rsid w:val="6594453D"/>
    <w:rsid w:val="65C22195"/>
    <w:rsid w:val="65CD64CB"/>
    <w:rsid w:val="65E93798"/>
    <w:rsid w:val="65E962EF"/>
    <w:rsid w:val="65EC16D0"/>
    <w:rsid w:val="660C2575"/>
    <w:rsid w:val="6697003D"/>
    <w:rsid w:val="66AA1FEF"/>
    <w:rsid w:val="66B23D65"/>
    <w:rsid w:val="66B743F0"/>
    <w:rsid w:val="66DC5DEE"/>
    <w:rsid w:val="66E105DC"/>
    <w:rsid w:val="66E9199B"/>
    <w:rsid w:val="66EB21FE"/>
    <w:rsid w:val="6730386A"/>
    <w:rsid w:val="673438C8"/>
    <w:rsid w:val="67657502"/>
    <w:rsid w:val="67AF1C5C"/>
    <w:rsid w:val="67F24E51"/>
    <w:rsid w:val="684B5F0D"/>
    <w:rsid w:val="685740C0"/>
    <w:rsid w:val="691F130F"/>
    <w:rsid w:val="692555C0"/>
    <w:rsid w:val="693E31D0"/>
    <w:rsid w:val="69917626"/>
    <w:rsid w:val="69997B1A"/>
    <w:rsid w:val="699F371C"/>
    <w:rsid w:val="69A36F0A"/>
    <w:rsid w:val="6A084524"/>
    <w:rsid w:val="6A29594A"/>
    <w:rsid w:val="6A3C1D72"/>
    <w:rsid w:val="6A440502"/>
    <w:rsid w:val="6A5525CA"/>
    <w:rsid w:val="6A7362D2"/>
    <w:rsid w:val="6A8A0F99"/>
    <w:rsid w:val="6A9A1FA1"/>
    <w:rsid w:val="6AAB2010"/>
    <w:rsid w:val="6AB76FB3"/>
    <w:rsid w:val="6B2A1A29"/>
    <w:rsid w:val="6B6927D4"/>
    <w:rsid w:val="6B855A8F"/>
    <w:rsid w:val="6B8B1355"/>
    <w:rsid w:val="6B9A411E"/>
    <w:rsid w:val="6BB02518"/>
    <w:rsid w:val="6BDC376B"/>
    <w:rsid w:val="6BE81087"/>
    <w:rsid w:val="6C9179BC"/>
    <w:rsid w:val="6CB42EF4"/>
    <w:rsid w:val="6D2D5520"/>
    <w:rsid w:val="6D366947"/>
    <w:rsid w:val="6D4045A7"/>
    <w:rsid w:val="6D412DC3"/>
    <w:rsid w:val="6D7217B5"/>
    <w:rsid w:val="6D96165F"/>
    <w:rsid w:val="6DC8062C"/>
    <w:rsid w:val="6E0E5930"/>
    <w:rsid w:val="6EB31B79"/>
    <w:rsid w:val="6EBB1DDC"/>
    <w:rsid w:val="6F1124B3"/>
    <w:rsid w:val="6F5747CE"/>
    <w:rsid w:val="6FC540F4"/>
    <w:rsid w:val="6FC774F6"/>
    <w:rsid w:val="6FED1F0C"/>
    <w:rsid w:val="703C52BA"/>
    <w:rsid w:val="703C7635"/>
    <w:rsid w:val="70992481"/>
    <w:rsid w:val="70C46C1F"/>
    <w:rsid w:val="70EA394E"/>
    <w:rsid w:val="70ED1C22"/>
    <w:rsid w:val="711B5F34"/>
    <w:rsid w:val="71313F40"/>
    <w:rsid w:val="714616B1"/>
    <w:rsid w:val="71616615"/>
    <w:rsid w:val="71842C96"/>
    <w:rsid w:val="71B042F4"/>
    <w:rsid w:val="71C52017"/>
    <w:rsid w:val="71CF3667"/>
    <w:rsid w:val="71D32AA2"/>
    <w:rsid w:val="72084DB2"/>
    <w:rsid w:val="72DA277C"/>
    <w:rsid w:val="732F75D8"/>
    <w:rsid w:val="73416E09"/>
    <w:rsid w:val="73517EF0"/>
    <w:rsid w:val="73580E8A"/>
    <w:rsid w:val="738C328F"/>
    <w:rsid w:val="739B5DDF"/>
    <w:rsid w:val="73AF10AD"/>
    <w:rsid w:val="73D41958"/>
    <w:rsid w:val="73D66BEE"/>
    <w:rsid w:val="73EE1A68"/>
    <w:rsid w:val="7409704A"/>
    <w:rsid w:val="744F726C"/>
    <w:rsid w:val="7463703D"/>
    <w:rsid w:val="7482385C"/>
    <w:rsid w:val="74830506"/>
    <w:rsid w:val="74AF35B5"/>
    <w:rsid w:val="74B11B04"/>
    <w:rsid w:val="74DB0192"/>
    <w:rsid w:val="75016894"/>
    <w:rsid w:val="7537493D"/>
    <w:rsid w:val="7558034F"/>
    <w:rsid w:val="7564651E"/>
    <w:rsid w:val="76251D5C"/>
    <w:rsid w:val="762711DF"/>
    <w:rsid w:val="765A38F8"/>
    <w:rsid w:val="76802AAC"/>
    <w:rsid w:val="76A235B3"/>
    <w:rsid w:val="77082ACC"/>
    <w:rsid w:val="773529F0"/>
    <w:rsid w:val="77DD48F0"/>
    <w:rsid w:val="78341A4E"/>
    <w:rsid w:val="783B25C7"/>
    <w:rsid w:val="784D78FD"/>
    <w:rsid w:val="789667FC"/>
    <w:rsid w:val="78F20296"/>
    <w:rsid w:val="78F817F3"/>
    <w:rsid w:val="78FC6002"/>
    <w:rsid w:val="79004F34"/>
    <w:rsid w:val="79244295"/>
    <w:rsid w:val="79255398"/>
    <w:rsid w:val="793766BC"/>
    <w:rsid w:val="79383B77"/>
    <w:rsid w:val="794B4C7D"/>
    <w:rsid w:val="79576F7C"/>
    <w:rsid w:val="7989118D"/>
    <w:rsid w:val="79A460DE"/>
    <w:rsid w:val="79BB2A0A"/>
    <w:rsid w:val="79E865B7"/>
    <w:rsid w:val="79FC4F3C"/>
    <w:rsid w:val="7A293FB2"/>
    <w:rsid w:val="7A367F06"/>
    <w:rsid w:val="7AA44492"/>
    <w:rsid w:val="7AA80FC8"/>
    <w:rsid w:val="7ABF3924"/>
    <w:rsid w:val="7B1A2B0F"/>
    <w:rsid w:val="7B310912"/>
    <w:rsid w:val="7B486CB7"/>
    <w:rsid w:val="7B5A3512"/>
    <w:rsid w:val="7B9E6CCD"/>
    <w:rsid w:val="7BD01E81"/>
    <w:rsid w:val="7C157EAA"/>
    <w:rsid w:val="7C514917"/>
    <w:rsid w:val="7C8E2F0A"/>
    <w:rsid w:val="7C9412ED"/>
    <w:rsid w:val="7C9D1D86"/>
    <w:rsid w:val="7CA82941"/>
    <w:rsid w:val="7D7C7D1B"/>
    <w:rsid w:val="7DB73C24"/>
    <w:rsid w:val="7DDB01A1"/>
    <w:rsid w:val="7E465656"/>
    <w:rsid w:val="7E48185E"/>
    <w:rsid w:val="7E527A43"/>
    <w:rsid w:val="7E617CB3"/>
    <w:rsid w:val="7E782C62"/>
    <w:rsid w:val="7ED545BE"/>
    <w:rsid w:val="7F0B6D16"/>
    <w:rsid w:val="7F167782"/>
    <w:rsid w:val="7F6C577E"/>
    <w:rsid w:val="7FBC2424"/>
    <w:rsid w:val="7FDC023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0"/>
    <w:qFormat/>
    <w:uiPriority w:val="99"/>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41"/>
    <w:qFormat/>
    <w:uiPriority w:val="99"/>
    <w:pPr>
      <w:keepNext/>
      <w:keepLines/>
      <w:spacing w:line="360" w:lineRule="auto"/>
      <w:outlineLvl w:val="2"/>
    </w:pPr>
    <w:rPr>
      <w:b/>
      <w:bCs/>
      <w:sz w:val="24"/>
      <w:szCs w:val="32"/>
    </w:rPr>
  </w:style>
  <w:style w:type="character" w:default="1" w:styleId="35">
    <w:name w:val="Default Paragraph Font"/>
    <w:semiHidden/>
    <w:qFormat/>
    <w:uiPriority w:val="99"/>
  </w:style>
  <w:style w:type="table" w:default="1" w:styleId="34">
    <w:name w:val="Normal Table"/>
    <w:unhideWhenUsed/>
    <w:qFormat/>
    <w:uiPriority w:val="99"/>
    <w:tblPr>
      <w:tblCellMar>
        <w:top w:w="0" w:type="dxa"/>
        <w:left w:w="108" w:type="dxa"/>
        <w:bottom w:w="0" w:type="dxa"/>
        <w:right w:w="108" w:type="dxa"/>
      </w:tblCellMar>
    </w:tblPr>
  </w:style>
  <w:style w:type="paragraph" w:styleId="2">
    <w:name w:val="Body Text"/>
    <w:basedOn w:val="1"/>
    <w:link w:val="44"/>
    <w:qFormat/>
    <w:uiPriority w:val="99"/>
    <w:pPr>
      <w:spacing w:after="120"/>
    </w:pPr>
  </w:style>
  <w:style w:type="paragraph" w:styleId="6">
    <w:name w:val="List 3"/>
    <w:basedOn w:val="1"/>
    <w:qFormat/>
    <w:uiPriority w:val="99"/>
    <w:pPr>
      <w:ind w:left="100" w:leftChars="400" w:hanging="200" w:hangingChars="200"/>
    </w:pPr>
  </w:style>
  <w:style w:type="paragraph" w:styleId="7">
    <w:name w:val="toc 7"/>
    <w:basedOn w:val="1"/>
    <w:next w:val="1"/>
    <w:qFormat/>
    <w:uiPriority w:val="99"/>
    <w:pPr>
      <w:ind w:left="2520" w:leftChars="1200"/>
    </w:pPr>
  </w:style>
  <w:style w:type="paragraph" w:styleId="8">
    <w:name w:val="Normal Indent"/>
    <w:basedOn w:val="1"/>
    <w:qFormat/>
    <w:uiPriority w:val="99"/>
    <w:pPr>
      <w:ind w:firstLine="420"/>
    </w:pPr>
    <w:rPr>
      <w:szCs w:val="21"/>
    </w:rPr>
  </w:style>
  <w:style w:type="paragraph" w:styleId="9">
    <w:name w:val="caption"/>
    <w:basedOn w:val="1"/>
    <w:next w:val="1"/>
    <w:qFormat/>
    <w:uiPriority w:val="99"/>
    <w:pPr>
      <w:spacing w:before="152" w:after="160"/>
    </w:pPr>
    <w:rPr>
      <w:rFonts w:ascii="Arial" w:hAnsi="Arial" w:eastAsia="黑体" w:cs="Arial"/>
      <w:sz w:val="20"/>
      <w:szCs w:val="20"/>
    </w:rPr>
  </w:style>
  <w:style w:type="paragraph" w:styleId="10">
    <w:name w:val="Document Map"/>
    <w:basedOn w:val="1"/>
    <w:link w:val="46"/>
    <w:semiHidden/>
    <w:qFormat/>
    <w:uiPriority w:val="99"/>
    <w:pPr>
      <w:shd w:val="clear" w:color="auto" w:fill="000080"/>
    </w:pPr>
    <w:rPr>
      <w:kern w:val="0"/>
      <w:sz w:val="2"/>
      <w:szCs w:val="20"/>
    </w:rPr>
  </w:style>
  <w:style w:type="paragraph" w:styleId="11">
    <w:name w:val="annotation text"/>
    <w:basedOn w:val="1"/>
    <w:link w:val="42"/>
    <w:semiHidden/>
    <w:qFormat/>
    <w:uiPriority w:val="99"/>
    <w:pPr>
      <w:jc w:val="left"/>
    </w:pPr>
  </w:style>
  <w:style w:type="paragraph" w:styleId="12">
    <w:name w:val="Body Text 3"/>
    <w:basedOn w:val="1"/>
    <w:link w:val="47"/>
    <w:qFormat/>
    <w:uiPriority w:val="99"/>
    <w:pPr>
      <w:snapToGrid w:val="0"/>
      <w:spacing w:line="300" w:lineRule="auto"/>
    </w:pPr>
    <w:rPr>
      <w:rFonts w:ascii="隶书" w:hAnsi="华文细黑" w:eastAsia="隶书"/>
      <w:b/>
      <w:sz w:val="110"/>
    </w:rPr>
  </w:style>
  <w:style w:type="paragraph" w:styleId="13">
    <w:name w:val="Body Text Indent"/>
    <w:basedOn w:val="1"/>
    <w:link w:val="48"/>
    <w:qFormat/>
    <w:uiPriority w:val="99"/>
    <w:pPr>
      <w:spacing w:line="500" w:lineRule="exact"/>
      <w:ind w:left="1588" w:leftChars="832" w:firstLine="433" w:firstLineChars="196"/>
    </w:pPr>
    <w:rPr>
      <w:sz w:val="24"/>
    </w:rPr>
  </w:style>
  <w:style w:type="paragraph" w:styleId="14">
    <w:name w:val="List 2"/>
    <w:basedOn w:val="1"/>
    <w:qFormat/>
    <w:uiPriority w:val="99"/>
    <w:pPr>
      <w:ind w:left="100" w:leftChars="200" w:hanging="200" w:hangingChars="200"/>
    </w:pPr>
  </w:style>
  <w:style w:type="paragraph" w:styleId="15">
    <w:name w:val="toc 5"/>
    <w:basedOn w:val="1"/>
    <w:next w:val="1"/>
    <w:qFormat/>
    <w:uiPriority w:val="99"/>
    <w:pPr>
      <w:ind w:left="1680" w:leftChars="800"/>
    </w:pPr>
  </w:style>
  <w:style w:type="paragraph" w:styleId="16">
    <w:name w:val="toc 3"/>
    <w:basedOn w:val="1"/>
    <w:next w:val="1"/>
    <w:qFormat/>
    <w:uiPriority w:val="99"/>
    <w:pPr>
      <w:ind w:left="840" w:leftChars="400"/>
    </w:pPr>
  </w:style>
  <w:style w:type="paragraph" w:styleId="17">
    <w:name w:val="Plain Text"/>
    <w:basedOn w:val="1"/>
    <w:link w:val="49"/>
    <w:qFormat/>
    <w:uiPriority w:val="99"/>
    <w:rPr>
      <w:rFonts w:ascii="宋体" w:hAnsi="Courier New"/>
      <w:szCs w:val="20"/>
    </w:rPr>
  </w:style>
  <w:style w:type="paragraph" w:styleId="18">
    <w:name w:val="toc 8"/>
    <w:basedOn w:val="1"/>
    <w:next w:val="1"/>
    <w:qFormat/>
    <w:uiPriority w:val="99"/>
    <w:pPr>
      <w:ind w:left="2940" w:leftChars="1400"/>
    </w:pPr>
  </w:style>
  <w:style w:type="paragraph" w:styleId="19">
    <w:name w:val="Date"/>
    <w:basedOn w:val="1"/>
    <w:next w:val="1"/>
    <w:link w:val="50"/>
    <w:qFormat/>
    <w:uiPriority w:val="99"/>
    <w:rPr>
      <w:szCs w:val="20"/>
    </w:rPr>
  </w:style>
  <w:style w:type="paragraph" w:styleId="20">
    <w:name w:val="Body Text Indent 2"/>
    <w:basedOn w:val="1"/>
    <w:link w:val="51"/>
    <w:qFormat/>
    <w:uiPriority w:val="99"/>
    <w:pPr>
      <w:spacing w:after="120" w:line="480" w:lineRule="auto"/>
      <w:ind w:left="420" w:leftChars="200"/>
    </w:pPr>
  </w:style>
  <w:style w:type="paragraph" w:styleId="21">
    <w:name w:val="Balloon Text"/>
    <w:basedOn w:val="1"/>
    <w:link w:val="52"/>
    <w:semiHidden/>
    <w:qFormat/>
    <w:uiPriority w:val="99"/>
    <w:rPr>
      <w:sz w:val="18"/>
      <w:szCs w:val="18"/>
    </w:rPr>
  </w:style>
  <w:style w:type="paragraph" w:styleId="22">
    <w:name w:val="footer"/>
    <w:basedOn w:val="1"/>
    <w:link w:val="53"/>
    <w:qFormat/>
    <w:uiPriority w:val="99"/>
    <w:pPr>
      <w:tabs>
        <w:tab w:val="center" w:pos="4153"/>
        <w:tab w:val="right" w:pos="8306"/>
      </w:tabs>
      <w:snapToGrid w:val="0"/>
      <w:jc w:val="left"/>
    </w:pPr>
    <w:rPr>
      <w:sz w:val="18"/>
      <w:szCs w:val="18"/>
    </w:rPr>
  </w:style>
  <w:style w:type="paragraph" w:styleId="23">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99"/>
  </w:style>
  <w:style w:type="paragraph" w:styleId="25">
    <w:name w:val="toc 4"/>
    <w:basedOn w:val="1"/>
    <w:next w:val="1"/>
    <w:qFormat/>
    <w:uiPriority w:val="99"/>
    <w:pPr>
      <w:ind w:left="1260" w:leftChars="600"/>
    </w:pPr>
  </w:style>
  <w:style w:type="paragraph" w:styleId="26">
    <w:name w:val="toc 6"/>
    <w:basedOn w:val="1"/>
    <w:next w:val="1"/>
    <w:qFormat/>
    <w:uiPriority w:val="99"/>
    <w:pPr>
      <w:ind w:left="2100" w:leftChars="1000"/>
    </w:pPr>
  </w:style>
  <w:style w:type="paragraph" w:styleId="27">
    <w:name w:val="Body Text Indent 3"/>
    <w:basedOn w:val="1"/>
    <w:link w:val="55"/>
    <w:qFormat/>
    <w:uiPriority w:val="99"/>
    <w:pPr>
      <w:tabs>
        <w:tab w:val="left" w:pos="1134"/>
        <w:tab w:val="left" w:pos="5481"/>
        <w:tab w:val="left" w:pos="5859"/>
      </w:tabs>
      <w:spacing w:line="500" w:lineRule="exact"/>
      <w:ind w:firstLine="8275" w:firstLineChars="1200"/>
    </w:pPr>
    <w:rPr>
      <w:rFonts w:eastAsia="黑体"/>
      <w:b/>
      <w:bCs/>
      <w:sz w:val="72"/>
    </w:rPr>
  </w:style>
  <w:style w:type="paragraph" w:styleId="28">
    <w:name w:val="toc 2"/>
    <w:basedOn w:val="1"/>
    <w:next w:val="1"/>
    <w:qFormat/>
    <w:uiPriority w:val="99"/>
    <w:pPr>
      <w:ind w:left="420" w:leftChars="200"/>
    </w:pPr>
  </w:style>
  <w:style w:type="paragraph" w:styleId="29">
    <w:name w:val="toc 9"/>
    <w:basedOn w:val="1"/>
    <w:next w:val="1"/>
    <w:qFormat/>
    <w:uiPriority w:val="99"/>
    <w:pPr>
      <w:ind w:left="3360" w:leftChars="1600"/>
    </w:p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1">
    <w:name w:val="Title"/>
    <w:basedOn w:val="1"/>
    <w:link w:val="56"/>
    <w:qFormat/>
    <w:uiPriority w:val="99"/>
    <w:pPr>
      <w:spacing w:before="240" w:after="60"/>
      <w:jc w:val="center"/>
      <w:outlineLvl w:val="0"/>
    </w:pPr>
    <w:rPr>
      <w:rFonts w:ascii="Arial" w:hAnsi="Arial" w:eastAsia="PMingLiUfalt" w:cs="Arial"/>
      <w:b/>
      <w:bCs/>
      <w:sz w:val="32"/>
      <w:szCs w:val="32"/>
      <w:lang w:eastAsia="zh-TW"/>
    </w:rPr>
  </w:style>
  <w:style w:type="paragraph" w:styleId="32">
    <w:name w:val="annotation subject"/>
    <w:basedOn w:val="11"/>
    <w:next w:val="11"/>
    <w:link w:val="43"/>
    <w:semiHidden/>
    <w:qFormat/>
    <w:uiPriority w:val="99"/>
    <w:rPr>
      <w:b/>
      <w:bCs/>
    </w:rPr>
  </w:style>
  <w:style w:type="paragraph" w:styleId="33">
    <w:name w:val="Body Text First Indent"/>
    <w:basedOn w:val="2"/>
    <w:link w:val="45"/>
    <w:qFormat/>
    <w:uiPriority w:val="99"/>
    <w:pPr>
      <w:ind w:firstLine="420" w:firstLineChars="100"/>
    </w:pPr>
  </w:style>
  <w:style w:type="character" w:styleId="36">
    <w:name w:val="page number"/>
    <w:basedOn w:val="35"/>
    <w:qFormat/>
    <w:uiPriority w:val="99"/>
    <w:rPr>
      <w:rFonts w:cs="Times New Roman"/>
    </w:rPr>
  </w:style>
  <w:style w:type="character" w:styleId="37">
    <w:name w:val="Hyperlink"/>
    <w:basedOn w:val="35"/>
    <w:qFormat/>
    <w:uiPriority w:val="99"/>
    <w:rPr>
      <w:rFonts w:cs="Times New Roman"/>
      <w:color w:val="0000FF"/>
      <w:u w:val="single"/>
    </w:rPr>
  </w:style>
  <w:style w:type="character" w:styleId="38">
    <w:name w:val="annotation reference"/>
    <w:basedOn w:val="35"/>
    <w:semiHidden/>
    <w:qFormat/>
    <w:uiPriority w:val="99"/>
    <w:rPr>
      <w:rFonts w:cs="Times New Roman"/>
      <w:sz w:val="21"/>
    </w:rPr>
  </w:style>
  <w:style w:type="character" w:customStyle="1" w:styleId="39">
    <w:name w:val="Heading 1 Char"/>
    <w:basedOn w:val="35"/>
    <w:link w:val="3"/>
    <w:qFormat/>
    <w:locked/>
    <w:uiPriority w:val="99"/>
    <w:rPr>
      <w:rFonts w:cs="Times New Roman"/>
      <w:b/>
      <w:bCs/>
      <w:kern w:val="44"/>
      <w:sz w:val="44"/>
      <w:szCs w:val="44"/>
    </w:rPr>
  </w:style>
  <w:style w:type="character" w:customStyle="1" w:styleId="40">
    <w:name w:val="Heading 2 Char"/>
    <w:basedOn w:val="35"/>
    <w:link w:val="4"/>
    <w:qFormat/>
    <w:locked/>
    <w:uiPriority w:val="99"/>
    <w:rPr>
      <w:rFonts w:ascii="Arial" w:hAnsi="Arial" w:eastAsia="黑体" w:cs="Times New Roman"/>
      <w:b/>
      <w:sz w:val="32"/>
    </w:rPr>
  </w:style>
  <w:style w:type="character" w:customStyle="1" w:styleId="41">
    <w:name w:val="Heading 3 Char"/>
    <w:basedOn w:val="35"/>
    <w:link w:val="5"/>
    <w:semiHidden/>
    <w:qFormat/>
    <w:locked/>
    <w:uiPriority w:val="99"/>
    <w:rPr>
      <w:rFonts w:cs="Times New Roman"/>
      <w:b/>
      <w:bCs/>
      <w:sz w:val="32"/>
      <w:szCs w:val="32"/>
    </w:rPr>
  </w:style>
  <w:style w:type="character" w:customStyle="1" w:styleId="42">
    <w:name w:val="Comment Text Char"/>
    <w:basedOn w:val="35"/>
    <w:link w:val="11"/>
    <w:semiHidden/>
    <w:qFormat/>
    <w:locked/>
    <w:uiPriority w:val="99"/>
    <w:rPr>
      <w:rFonts w:cs="Times New Roman"/>
      <w:sz w:val="24"/>
      <w:szCs w:val="24"/>
    </w:rPr>
  </w:style>
  <w:style w:type="character" w:customStyle="1" w:styleId="43">
    <w:name w:val="Comment Subject Char"/>
    <w:basedOn w:val="42"/>
    <w:link w:val="32"/>
    <w:semiHidden/>
    <w:qFormat/>
    <w:locked/>
    <w:uiPriority w:val="99"/>
    <w:rPr>
      <w:b/>
      <w:bCs/>
    </w:rPr>
  </w:style>
  <w:style w:type="character" w:customStyle="1" w:styleId="44">
    <w:name w:val="Body Text Char"/>
    <w:basedOn w:val="35"/>
    <w:link w:val="2"/>
    <w:qFormat/>
    <w:locked/>
    <w:uiPriority w:val="99"/>
    <w:rPr>
      <w:rFonts w:cs="Times New Roman"/>
      <w:kern w:val="2"/>
      <w:sz w:val="24"/>
    </w:rPr>
  </w:style>
  <w:style w:type="character" w:customStyle="1" w:styleId="45">
    <w:name w:val="Body Text First Indent Char"/>
    <w:basedOn w:val="44"/>
    <w:link w:val="33"/>
    <w:semiHidden/>
    <w:qFormat/>
    <w:locked/>
    <w:uiPriority w:val="99"/>
    <w:rPr>
      <w:szCs w:val="24"/>
    </w:rPr>
  </w:style>
  <w:style w:type="character" w:customStyle="1" w:styleId="46">
    <w:name w:val="Document Map Char"/>
    <w:basedOn w:val="35"/>
    <w:link w:val="10"/>
    <w:semiHidden/>
    <w:qFormat/>
    <w:locked/>
    <w:uiPriority w:val="99"/>
    <w:rPr>
      <w:rFonts w:cs="Times New Roman"/>
      <w:sz w:val="2"/>
    </w:rPr>
  </w:style>
  <w:style w:type="character" w:customStyle="1" w:styleId="47">
    <w:name w:val="Body Text 3 Char"/>
    <w:basedOn w:val="35"/>
    <w:link w:val="12"/>
    <w:semiHidden/>
    <w:qFormat/>
    <w:locked/>
    <w:uiPriority w:val="99"/>
    <w:rPr>
      <w:rFonts w:cs="Times New Roman"/>
      <w:sz w:val="16"/>
      <w:szCs w:val="16"/>
    </w:rPr>
  </w:style>
  <w:style w:type="character" w:customStyle="1" w:styleId="48">
    <w:name w:val="Body Text Indent Char"/>
    <w:basedOn w:val="35"/>
    <w:link w:val="13"/>
    <w:qFormat/>
    <w:locked/>
    <w:uiPriority w:val="99"/>
    <w:rPr>
      <w:rFonts w:eastAsia="宋体" w:cs="Times New Roman"/>
      <w:kern w:val="2"/>
      <w:sz w:val="24"/>
      <w:lang w:val="en-US" w:eastAsia="zh-CN"/>
    </w:rPr>
  </w:style>
  <w:style w:type="character" w:customStyle="1" w:styleId="49">
    <w:name w:val="Plain Text Char"/>
    <w:basedOn w:val="35"/>
    <w:link w:val="17"/>
    <w:semiHidden/>
    <w:qFormat/>
    <w:locked/>
    <w:uiPriority w:val="99"/>
    <w:rPr>
      <w:rFonts w:ascii="宋体" w:hAnsi="Courier New" w:cs="Courier New"/>
      <w:sz w:val="21"/>
      <w:szCs w:val="21"/>
    </w:rPr>
  </w:style>
  <w:style w:type="character" w:customStyle="1" w:styleId="50">
    <w:name w:val="Date Char"/>
    <w:basedOn w:val="35"/>
    <w:link w:val="19"/>
    <w:semiHidden/>
    <w:qFormat/>
    <w:locked/>
    <w:uiPriority w:val="99"/>
    <w:rPr>
      <w:rFonts w:cs="Times New Roman"/>
      <w:sz w:val="24"/>
      <w:szCs w:val="24"/>
    </w:rPr>
  </w:style>
  <w:style w:type="character" w:customStyle="1" w:styleId="51">
    <w:name w:val="Body Text Indent 2 Char"/>
    <w:basedOn w:val="35"/>
    <w:link w:val="20"/>
    <w:semiHidden/>
    <w:qFormat/>
    <w:locked/>
    <w:uiPriority w:val="99"/>
    <w:rPr>
      <w:rFonts w:cs="Times New Roman"/>
      <w:sz w:val="24"/>
      <w:szCs w:val="24"/>
    </w:rPr>
  </w:style>
  <w:style w:type="character" w:customStyle="1" w:styleId="52">
    <w:name w:val="Balloon Text Char"/>
    <w:basedOn w:val="35"/>
    <w:link w:val="21"/>
    <w:semiHidden/>
    <w:qFormat/>
    <w:locked/>
    <w:uiPriority w:val="99"/>
    <w:rPr>
      <w:rFonts w:cs="Times New Roman"/>
      <w:sz w:val="2"/>
    </w:rPr>
  </w:style>
  <w:style w:type="character" w:customStyle="1" w:styleId="53">
    <w:name w:val="Footer Char"/>
    <w:basedOn w:val="35"/>
    <w:link w:val="22"/>
    <w:qFormat/>
    <w:locked/>
    <w:uiPriority w:val="99"/>
    <w:rPr>
      <w:rFonts w:cs="Times New Roman"/>
      <w:kern w:val="2"/>
      <w:sz w:val="18"/>
    </w:rPr>
  </w:style>
  <w:style w:type="character" w:customStyle="1" w:styleId="54">
    <w:name w:val="Header Char"/>
    <w:basedOn w:val="35"/>
    <w:link w:val="23"/>
    <w:qFormat/>
    <w:locked/>
    <w:uiPriority w:val="99"/>
    <w:rPr>
      <w:rFonts w:cs="Times New Roman"/>
      <w:kern w:val="2"/>
      <w:sz w:val="18"/>
    </w:rPr>
  </w:style>
  <w:style w:type="character" w:customStyle="1" w:styleId="55">
    <w:name w:val="Body Text Indent 3 Char"/>
    <w:basedOn w:val="35"/>
    <w:link w:val="27"/>
    <w:semiHidden/>
    <w:qFormat/>
    <w:locked/>
    <w:uiPriority w:val="99"/>
    <w:rPr>
      <w:rFonts w:cs="Times New Roman"/>
      <w:sz w:val="16"/>
      <w:szCs w:val="16"/>
    </w:rPr>
  </w:style>
  <w:style w:type="character" w:customStyle="1" w:styleId="56">
    <w:name w:val="Title Char"/>
    <w:basedOn w:val="35"/>
    <w:link w:val="31"/>
    <w:qFormat/>
    <w:locked/>
    <w:uiPriority w:val="99"/>
    <w:rPr>
      <w:rFonts w:ascii="Cambria" w:hAnsi="Cambria" w:cs="Times New Roman"/>
      <w:b/>
      <w:bCs/>
      <w:sz w:val="32"/>
      <w:szCs w:val="32"/>
    </w:rPr>
  </w:style>
  <w:style w:type="paragraph" w:customStyle="1" w:styleId="57">
    <w:name w:val="Char Char 字元 字元 字元 Char Char Char Char"/>
    <w:basedOn w:val="1"/>
    <w:qFormat/>
    <w:uiPriority w:val="99"/>
    <w:pPr>
      <w:adjustRightInd w:val="0"/>
      <w:spacing w:line="360" w:lineRule="auto"/>
    </w:pPr>
  </w:style>
  <w:style w:type="paragraph" w:customStyle="1" w:styleId="58">
    <w:name w:val="List Paragraph1"/>
    <w:basedOn w:val="1"/>
    <w:qFormat/>
    <w:uiPriority w:val="99"/>
    <w:pPr>
      <w:ind w:firstLine="420" w:firstLineChars="200"/>
    </w:pPr>
  </w:style>
  <w:style w:type="paragraph" w:customStyle="1" w:styleId="59">
    <w:name w:val="Char Char Char1 Char Char Char Char Char Char Char Char Char Char Char Char Char"/>
    <w:basedOn w:val="10"/>
    <w:qFormat/>
    <w:uiPriority w:val="99"/>
  </w:style>
  <w:style w:type="paragraph" w:customStyle="1" w:styleId="60">
    <w:name w:val="Plain Text1"/>
    <w:basedOn w:val="1"/>
    <w:qFormat/>
    <w:uiPriority w:val="99"/>
    <w:rPr>
      <w:rFonts w:ascii="宋体" w:hAnsi="Courier New" w:cs="Courier New"/>
      <w:szCs w:val="21"/>
    </w:rPr>
  </w:style>
  <w:style w:type="paragraph" w:customStyle="1" w:styleId="61">
    <w:name w:val="p0"/>
    <w:basedOn w:val="1"/>
    <w:qFormat/>
    <w:uiPriority w:val="99"/>
    <w:pPr>
      <w:widowControl/>
    </w:pPr>
    <w:rPr>
      <w:kern w:val="0"/>
      <w:szCs w:val="21"/>
    </w:rPr>
  </w:style>
  <w:style w:type="paragraph" w:customStyle="1" w:styleId="62">
    <w:name w:val="xl37"/>
    <w:basedOn w:val="1"/>
    <w:qFormat/>
    <w:uiPriority w:val="99"/>
    <w:pPr>
      <w:widowControl/>
      <w:spacing w:before="100" w:beforeAutospacing="1" w:after="100" w:afterAutospacing="1"/>
      <w:jc w:val="center"/>
    </w:pPr>
    <w:rPr>
      <w:rFonts w:ascii="Courier New" w:hAnsi="Courier New" w:cs="Courier New"/>
      <w:kern w:val="0"/>
      <w:sz w:val="32"/>
      <w:szCs w:val="32"/>
    </w:rPr>
  </w:style>
  <w:style w:type="paragraph" w:customStyle="1" w:styleId="63">
    <w:name w:val="样式9 Char"/>
    <w:basedOn w:val="1"/>
    <w:qFormat/>
    <w:uiPriority w:val="99"/>
    <w:pPr>
      <w:spacing w:line="440" w:lineRule="exact"/>
      <w:ind w:firstLine="200" w:firstLineChars="200"/>
    </w:pPr>
    <w:rPr>
      <w:spacing w:val="6"/>
      <w:sz w:val="24"/>
    </w:rPr>
  </w:style>
  <w:style w:type="paragraph" w:customStyle="1" w:styleId="64">
    <w:name w:val="列出段落1"/>
    <w:basedOn w:val="1"/>
    <w:qFormat/>
    <w:uiPriority w:val="99"/>
    <w:pPr>
      <w:widowControl/>
      <w:ind w:firstLine="420" w:firstLineChars="200"/>
      <w:jc w:val="left"/>
    </w:pPr>
    <w:rPr>
      <w:kern w:val="0"/>
      <w:sz w:val="20"/>
    </w:rPr>
  </w:style>
  <w:style w:type="paragraph" w:customStyle="1" w:styleId="65">
    <w:name w:val="_Style 2"/>
    <w:basedOn w:val="1"/>
    <w:qFormat/>
    <w:uiPriority w:val="99"/>
    <w:pPr>
      <w:ind w:firstLine="420" w:firstLineChars="200"/>
    </w:pPr>
    <w:rPr>
      <w:rFonts w:ascii="Calibri" w:hAnsi="Calibri"/>
      <w:szCs w:val="22"/>
    </w:rPr>
  </w:style>
  <w:style w:type="paragraph" w:customStyle="1" w:styleId="66">
    <w:name w:val="默认段落字体 Para Char Char Char Char Char Char Char Char Char Char Char Char Char"/>
    <w:basedOn w:val="10"/>
    <w:qFormat/>
    <w:uiPriority w:val="99"/>
    <w:rPr>
      <w:rFonts w:ascii="Tahoma" w:hAnsi="Tahoma"/>
      <w:sz w:val="24"/>
    </w:rPr>
  </w:style>
  <w:style w:type="paragraph" w:customStyle="1" w:styleId="67">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68">
    <w:name w:val="Normal_3"/>
    <w:qFormat/>
    <w:uiPriority w:val="99"/>
    <w:pPr>
      <w:spacing w:before="120" w:after="240"/>
      <w:jc w:val="both"/>
    </w:pPr>
    <w:rPr>
      <w:rFonts w:ascii="Times New Roman" w:hAnsi="Times New Roman" w:eastAsia="宋体" w:cs="Times New Roman"/>
      <w:kern w:val="0"/>
      <w:sz w:val="22"/>
      <w:szCs w:val="22"/>
      <w:lang w:val="en-US" w:eastAsia="en-US" w:bidi="ar-SA"/>
    </w:rPr>
  </w:style>
  <w:style w:type="paragraph" w:customStyle="1" w:styleId="69">
    <w:name w:val="默认段落字体 Para Char Char Char Char Char Char Char Char Char Char Char Char Char Char Char1 Char Char Char Char"/>
    <w:basedOn w:val="10"/>
    <w:qFormat/>
    <w:uiPriority w:val="99"/>
    <w:pPr>
      <w:adjustRightInd w:val="0"/>
      <w:spacing w:line="436" w:lineRule="exact"/>
      <w:ind w:left="357"/>
      <w:jc w:val="left"/>
      <w:outlineLvl w:val="3"/>
    </w:pPr>
  </w:style>
  <w:style w:type="paragraph" w:customStyle="1" w:styleId="70">
    <w:name w:val="xl31"/>
    <w:basedOn w:val="1"/>
    <w:qFormat/>
    <w:uiPriority w:val="99"/>
    <w:pPr>
      <w:widowControl/>
      <w:spacing w:before="100" w:beforeAutospacing="1" w:after="100" w:afterAutospacing="1"/>
      <w:jc w:val="center"/>
    </w:pPr>
    <w:rPr>
      <w:rFonts w:ascii="Arial Unicode MS" w:hAnsi="Arial Unicode MS" w:cs="Arial Unicode MS"/>
      <w:b/>
      <w:bCs/>
      <w:kern w:val="0"/>
      <w:sz w:val="24"/>
    </w:rPr>
  </w:style>
  <w:style w:type="character" w:customStyle="1" w:styleId="71">
    <w:name w:val="NICMAN Body Text Char Char"/>
    <w:qFormat/>
    <w:uiPriority w:val="99"/>
    <w:rPr>
      <w:rFonts w:eastAsia="宋体"/>
      <w:kern w:val="2"/>
      <w:sz w:val="24"/>
      <w:lang w:val="en-US" w:eastAsia="zh-CN"/>
    </w:rPr>
  </w:style>
  <w:style w:type="paragraph" w:customStyle="1" w:styleId="72">
    <w:name w:val="列出段落31"/>
    <w:basedOn w:val="1"/>
    <w:qFormat/>
    <w:uiPriority w:val="99"/>
    <w:pPr>
      <w:ind w:firstLine="420" w:firstLineChars="200"/>
    </w:pPr>
  </w:style>
  <w:style w:type="paragraph" w:customStyle="1" w:styleId="7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52</Pages>
  <Words>4251</Words>
  <Characters>24236</Characters>
  <Lines>0</Lines>
  <Paragraphs>0</Paragraphs>
  <TotalTime>11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2015-08-11T06:14:00Z</dcterms:created>
  <dc:creator>微软用户</dc:creator>
  <cp:lastModifiedBy>李文华</cp:lastModifiedBy>
  <cp:lastPrinted>2018-09-11T09:17:00Z</cp:lastPrinted>
  <dcterms:modified xsi:type="dcterms:W3CDTF">2020-03-27T06:57:32Z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