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sz w:val="52"/>
          <w:highlight w:val="none"/>
        </w:rPr>
      </w:pPr>
      <w:r>
        <w:rPr>
          <w:rFonts w:eastAsia="黑体"/>
          <w:sz w:val="52"/>
          <w:highlight w:val="none"/>
        </w:rPr>
        <w:drawing>
          <wp:inline distT="0" distB="0" distL="114300" distR="114300">
            <wp:extent cx="1113790" cy="441325"/>
            <wp:effectExtent l="0" t="0" r="10160" b="1587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0"/>
                    <a:stretch>
                      <a:fillRect/>
                    </a:stretch>
                  </pic:blipFill>
                  <pic:spPr>
                    <a:xfrm>
                      <a:off x="0" y="0"/>
                      <a:ext cx="1113790" cy="441325"/>
                    </a:xfrm>
                    <a:prstGeom prst="rect">
                      <a:avLst/>
                    </a:prstGeom>
                    <a:noFill/>
                    <a:ln>
                      <a:noFill/>
                    </a:ln>
                  </pic:spPr>
                </pic:pic>
              </a:graphicData>
            </a:graphic>
          </wp:inline>
        </w:drawing>
      </w:r>
    </w:p>
    <w:p>
      <w:pPr>
        <w:pStyle w:val="40"/>
        <w:spacing w:line="240" w:lineRule="auto"/>
        <w:ind w:firstLine="0" w:firstLineChars="0"/>
        <w:rPr>
          <w:sz w:val="52"/>
          <w:highlight w:val="none"/>
        </w:rPr>
      </w:pPr>
      <w:r>
        <w:rPr>
          <w:sz w:val="52"/>
          <w:highlight w:val="none"/>
        </w:rPr>
        <w:t xml:space="preserve">  </w:t>
      </w:r>
    </w:p>
    <w:p>
      <w:pPr>
        <w:adjustRightInd w:val="0"/>
        <w:snapToGrid w:val="0"/>
        <w:spacing w:line="360" w:lineRule="auto"/>
        <w:ind w:firstLine="2249" w:firstLineChars="700"/>
        <w:rPr>
          <w:rFonts w:ascii="宋体" w:hAnsi="宋体"/>
          <w:b/>
          <w:sz w:val="32"/>
          <w:highlight w:val="none"/>
        </w:rPr>
      </w:pPr>
      <w:r>
        <w:rPr>
          <w:rFonts w:hint="eastAsia" w:ascii="宋体" w:hAnsi="宋体"/>
          <w:b/>
          <w:sz w:val="32"/>
          <w:highlight w:val="none"/>
        </w:rPr>
        <w:t xml:space="preserve">   </w:t>
      </w:r>
    </w:p>
    <w:p>
      <w:pPr>
        <w:adjustRightInd w:val="0"/>
        <w:snapToGrid w:val="0"/>
        <w:spacing w:line="360" w:lineRule="auto"/>
        <w:jc w:val="center"/>
        <w:rPr>
          <w:rFonts w:hint="eastAsia" w:ascii="宋体" w:hAnsi="宋体" w:eastAsia="宋体" w:cs="宋体"/>
          <w:b/>
          <w:sz w:val="56"/>
          <w:szCs w:val="28"/>
          <w:highlight w:val="none"/>
          <w:lang w:eastAsia="zh-CN"/>
        </w:rPr>
      </w:pPr>
      <w:r>
        <w:rPr>
          <w:rFonts w:hint="eastAsia" w:ascii="宋体" w:hAnsi="宋体" w:cs="宋体"/>
          <w:b/>
          <w:sz w:val="40"/>
          <w:szCs w:val="32"/>
          <w:highlight w:val="none"/>
        </w:rPr>
        <w:t>山东大学第二医院</w:t>
      </w:r>
      <w:r>
        <w:rPr>
          <w:rFonts w:hint="eastAsia" w:ascii="宋体" w:hAnsi="宋体" w:cs="宋体"/>
          <w:b/>
          <w:sz w:val="40"/>
          <w:szCs w:val="32"/>
          <w:highlight w:val="none"/>
          <w:lang w:eastAsia="zh-CN"/>
        </w:rPr>
        <w:t>输血管理系统采购项目</w:t>
      </w:r>
    </w:p>
    <w:p>
      <w:pPr>
        <w:tabs>
          <w:tab w:val="left" w:pos="1134"/>
          <w:tab w:val="left" w:pos="5481"/>
          <w:tab w:val="left" w:pos="5859"/>
        </w:tabs>
        <w:jc w:val="both"/>
        <w:rPr>
          <w:rFonts w:eastAsia="华文中宋"/>
          <w:b/>
          <w:sz w:val="52"/>
          <w:highlight w:val="none"/>
        </w:rPr>
      </w:pPr>
    </w:p>
    <w:p>
      <w:pPr>
        <w:tabs>
          <w:tab w:val="left" w:pos="1134"/>
          <w:tab w:val="left" w:pos="5481"/>
          <w:tab w:val="left" w:pos="5859"/>
        </w:tabs>
        <w:rPr>
          <w:rFonts w:eastAsia="华文中宋"/>
          <w:b/>
          <w:sz w:val="52"/>
          <w:highlight w:val="none"/>
        </w:rPr>
      </w:pPr>
    </w:p>
    <w:p>
      <w:pPr>
        <w:tabs>
          <w:tab w:val="left" w:pos="1134"/>
          <w:tab w:val="left" w:pos="5481"/>
          <w:tab w:val="left" w:pos="5859"/>
        </w:tabs>
        <w:rPr>
          <w:rFonts w:eastAsia="华文中宋"/>
          <w:b/>
          <w:sz w:val="52"/>
          <w:highlight w:val="none"/>
        </w:rPr>
      </w:pPr>
    </w:p>
    <w:p>
      <w:pPr>
        <w:pStyle w:val="2"/>
        <w:ind w:left="-11" w:leftChars="-95" w:hanging="188" w:hangingChars="13"/>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rPr>
          <w:rFonts w:hint="eastAsia" w:ascii="宋体" w:hAnsi="宋体" w:eastAsia="宋体"/>
          <w:b/>
          <w:sz w:val="32"/>
          <w:highlight w:val="none"/>
          <w:lang w:eastAsia="zh-CN"/>
        </w:rPr>
      </w:pPr>
      <w:r>
        <w:rPr>
          <w:rFonts w:hint="eastAsia" w:ascii="宋体" w:hAnsi="宋体"/>
          <w:b/>
          <w:sz w:val="32"/>
          <w:highlight w:val="none"/>
        </w:rPr>
        <w:t xml:space="preserve">         招标编号：</w:t>
      </w:r>
      <w:r>
        <w:rPr>
          <w:rFonts w:hint="eastAsia" w:ascii="宋体" w:hAnsi="宋体"/>
          <w:b/>
          <w:sz w:val="32"/>
          <w:highlight w:val="none"/>
          <w:lang w:eastAsia="zh-CN"/>
        </w:rPr>
        <w:t>0676-196010ZB018042</w:t>
      </w:r>
    </w:p>
    <w:p>
      <w:pPr>
        <w:spacing w:line="480" w:lineRule="auto"/>
        <w:rPr>
          <w:rFonts w:eastAsia="黑体"/>
          <w:b/>
          <w:sz w:val="32"/>
          <w:highlight w:val="none"/>
        </w:rPr>
      </w:pPr>
      <w:r>
        <w:rPr>
          <w:rFonts w:hint="eastAsia" w:ascii="宋体" w:hAnsi="宋体"/>
          <w:b/>
          <w:sz w:val="32"/>
          <w:highlight w:val="none"/>
        </w:rPr>
        <w:t xml:space="preserve">         招标内容：输血管理系统</w:t>
      </w: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rPr>
        <w:t>〇</w:t>
      </w:r>
      <w:r>
        <w:rPr>
          <w:rFonts w:hint="eastAsia" w:ascii="宋体" w:hAnsi="宋体"/>
          <w:b/>
          <w:sz w:val="32"/>
          <w:szCs w:val="32"/>
          <w:highlight w:val="none"/>
        </w:rPr>
        <w:t>二</w:t>
      </w:r>
      <w:r>
        <w:rPr>
          <w:rFonts w:hint="eastAsia" w:ascii="宋体"/>
          <w:b/>
          <w:sz w:val="32"/>
          <w:szCs w:val="32"/>
          <w:highlight w:val="none"/>
        </w:rPr>
        <w:t>〇</w:t>
      </w:r>
      <w:r>
        <w:rPr>
          <w:rFonts w:hint="eastAsia" w:ascii="宋体" w:hAnsi="宋体"/>
          <w:b/>
          <w:sz w:val="32"/>
          <w:szCs w:val="32"/>
          <w:highlight w:val="none"/>
        </w:rPr>
        <w:t>年</w:t>
      </w:r>
      <w:r>
        <w:rPr>
          <w:rFonts w:hint="eastAsia" w:ascii="宋体" w:hAnsi="宋体"/>
          <w:b/>
          <w:sz w:val="32"/>
          <w:szCs w:val="32"/>
          <w:highlight w:val="none"/>
          <w:lang w:val="en-US" w:eastAsia="zh-CN"/>
        </w:rPr>
        <w:t>四</w:t>
      </w:r>
      <w:r>
        <w:rPr>
          <w:rFonts w:hint="eastAsia" w:ascii="宋体" w:hAnsi="宋体"/>
          <w:b/>
          <w:sz w:val="32"/>
          <w:szCs w:val="32"/>
          <w:highlight w:val="none"/>
        </w:rPr>
        <w:t>月</w:t>
      </w:r>
    </w:p>
    <w:p>
      <w:pPr>
        <w:pStyle w:val="2"/>
        <w:spacing w:line="360" w:lineRule="auto"/>
        <w:jc w:val="center"/>
        <w:rPr>
          <w:rFonts w:ascii="宋体"/>
          <w:sz w:val="30"/>
          <w:szCs w:val="30"/>
          <w:highlight w:val="none"/>
        </w:rPr>
        <w:sectPr>
          <w:headerReference r:id="rId4" w:type="first"/>
          <w:footerReference r:id="rId6" w:type="first"/>
          <w:headerReference r:id="rId3" w:type="default"/>
          <w:footerReference r:id="rId5" w:type="default"/>
          <w:type w:val="continuous"/>
          <w:pgSz w:w="11906" w:h="16838"/>
          <w:pgMar w:top="1440" w:right="1800" w:bottom="1440" w:left="1800" w:header="851" w:footer="992" w:gutter="0"/>
          <w:pgNumType w:start="0"/>
          <w:cols w:space="0" w:num="1"/>
          <w:titlePg/>
          <w:docGrid w:type="lines" w:linePitch="312" w:charSpace="0"/>
        </w:sectPr>
      </w:pPr>
    </w:p>
    <w:p>
      <w:pPr>
        <w:pStyle w:val="2"/>
        <w:spacing w:line="360" w:lineRule="auto"/>
        <w:jc w:val="center"/>
        <w:rPr>
          <w:rFonts w:ascii="宋体"/>
          <w:sz w:val="30"/>
          <w:szCs w:val="30"/>
          <w:highlight w:val="none"/>
        </w:rPr>
      </w:pPr>
    </w:p>
    <w:p>
      <w:pPr>
        <w:pStyle w:val="2"/>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4"/>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rFonts w:hint="eastAsia"/>
          <w:sz w:val="24"/>
          <w:szCs w:val="22"/>
          <w:highlight w:val="none"/>
        </w:rPr>
        <w:t>2</w:t>
      </w:r>
      <w:r>
        <w:rPr>
          <w:rFonts w:hint="eastAsia"/>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2</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14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15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23</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24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rFonts w:hint="default" w:eastAsia="宋体"/>
          <w:sz w:val="24"/>
          <w:szCs w:val="22"/>
          <w:highlight w:val="none"/>
          <w:lang w:val="en-US" w:eastAsia="zh-CN"/>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rFonts w:hint="eastAsia"/>
          <w:sz w:val="24"/>
          <w:szCs w:val="22"/>
          <w:highlight w:val="none"/>
          <w:lang w:val="en-US" w:eastAsia="zh-CN"/>
        </w:rPr>
        <w:t>3</w:t>
      </w:r>
      <w:r>
        <w:rPr>
          <w:sz w:val="24"/>
          <w:szCs w:val="22"/>
          <w:highlight w:val="none"/>
        </w:rPr>
        <w:fldChar w:fldCharType="end"/>
      </w:r>
      <w:r>
        <w:rPr>
          <w:rFonts w:hint="eastAsia"/>
          <w:sz w:val="24"/>
          <w:szCs w:val="22"/>
          <w:highlight w:val="none"/>
          <w:lang w:val="en-US" w:eastAsia="zh-CN"/>
        </w:rPr>
        <w:t>3</w:t>
      </w:r>
    </w:p>
    <w:p>
      <w:pPr>
        <w:pStyle w:val="34"/>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41</w:t>
      </w:r>
      <w:r>
        <w:rPr>
          <w:sz w:val="24"/>
          <w:szCs w:val="22"/>
          <w:highlight w:val="none"/>
        </w:rPr>
        <w:fldChar w:fldCharType="end"/>
      </w:r>
      <w:r>
        <w:rPr>
          <w:sz w:val="24"/>
          <w:szCs w:val="22"/>
          <w:highlight w:val="none"/>
        </w:rPr>
        <w:fldChar w:fldCharType="end"/>
      </w:r>
    </w:p>
    <w:p>
      <w:pPr>
        <w:pStyle w:val="34"/>
        <w:tabs>
          <w:tab w:val="right" w:leader="dot" w:pos="9276"/>
        </w:tabs>
        <w:rPr>
          <w:szCs w:val="20"/>
          <w:highlight w:val="none"/>
        </w:rPr>
      </w:pPr>
    </w:p>
    <w:p>
      <w:pPr>
        <w:pStyle w:val="2"/>
        <w:spacing w:line="360" w:lineRule="auto"/>
        <w:jc w:val="center"/>
        <w:rPr>
          <w:rFonts w:ascii="宋体"/>
          <w:bCs/>
          <w:highlight w:val="none"/>
        </w:rPr>
      </w:pPr>
      <w:r>
        <w:rPr>
          <w:rFonts w:ascii="宋体"/>
          <w:bCs/>
          <w:highlight w:val="none"/>
        </w:rPr>
        <w:fldChar w:fldCharType="end"/>
      </w:r>
    </w:p>
    <w:p>
      <w:pPr>
        <w:pStyle w:val="2"/>
        <w:spacing w:line="360" w:lineRule="auto"/>
        <w:jc w:val="center"/>
        <w:rPr>
          <w:rFonts w:ascii="宋体"/>
          <w:b/>
          <w:sz w:val="36"/>
          <w:highlight w:val="none"/>
        </w:rPr>
      </w:pPr>
      <w:r>
        <w:rPr>
          <w:rFonts w:ascii="宋体"/>
          <w:bCs/>
          <w:highlight w:val="none"/>
        </w:rPr>
        <w:br w:type="page"/>
      </w:r>
    </w:p>
    <w:p>
      <w:pPr>
        <w:pStyle w:val="20"/>
        <w:tabs>
          <w:tab w:val="left" w:pos="0"/>
        </w:tabs>
        <w:spacing w:line="440" w:lineRule="exact"/>
        <w:ind w:left="0" w:leftChars="0" w:firstLine="0" w:firstLineChars="0"/>
        <w:jc w:val="center"/>
        <w:outlineLvl w:val="0"/>
        <w:rPr>
          <w:rFonts w:ascii="宋体" w:hAnsi="宋体"/>
          <w:b/>
          <w:sz w:val="36"/>
          <w:highlight w:val="none"/>
        </w:rPr>
      </w:pPr>
      <w:bookmarkStart w:id="0" w:name="_Toc15243"/>
      <w:r>
        <w:rPr>
          <w:rFonts w:hint="eastAsia" w:ascii="宋体" w:hAnsi="宋体"/>
          <w:b/>
          <w:sz w:val="36"/>
          <w:highlight w:val="none"/>
        </w:rPr>
        <w:t>第一部分   招标公告</w:t>
      </w:r>
    </w:p>
    <w:p>
      <w:pPr>
        <w:pStyle w:val="20"/>
        <w:keepNext w:val="0"/>
        <w:keepLines w:val="0"/>
        <w:pageBreakBefore w:val="0"/>
        <w:widowControl w:val="0"/>
        <w:tabs>
          <w:tab w:val="left" w:pos="0"/>
        </w:tabs>
        <w:kinsoku/>
        <w:wordWrap/>
        <w:overflowPunct/>
        <w:topLinePunct w:val="0"/>
        <w:autoSpaceDE/>
        <w:bidi w:val="0"/>
        <w:spacing w:line="460" w:lineRule="exact"/>
        <w:ind w:left="0" w:leftChars="0" w:firstLine="0" w:firstLineChars="0"/>
        <w:outlineLvl w:val="0"/>
        <w:rPr>
          <w:rFonts w:ascii="宋体" w:hAnsi="宋体"/>
          <w:b/>
          <w:color w:val="000000"/>
          <w:sz w:val="30"/>
          <w:szCs w:val="30"/>
          <w:highlight w:val="none"/>
        </w:rPr>
      </w:pPr>
    </w:p>
    <w:p>
      <w:pPr>
        <w:pStyle w:val="132"/>
        <w:keepNext w:val="0"/>
        <w:keepLines w:val="0"/>
        <w:pageBreakBefore w:val="0"/>
        <w:widowControl w:val="0"/>
        <w:kinsoku/>
        <w:wordWrap/>
        <w:overflowPunct/>
        <w:topLinePunct w:val="0"/>
        <w:autoSpaceDE/>
        <w:bidi w:val="0"/>
        <w:adjustRightInd w:val="0"/>
        <w:snapToGrid w:val="0"/>
        <w:spacing w:line="460" w:lineRule="exact"/>
        <w:ind w:firstLine="0" w:firstLineChars="0"/>
        <w:rPr>
          <w:rFonts w:ascii="宋体" w:cs="宋体"/>
          <w:sz w:val="24"/>
          <w:highlight w:val="none"/>
        </w:rPr>
      </w:pPr>
      <w:r>
        <w:rPr>
          <w:rFonts w:ascii="宋体" w:hAnsi="宋体" w:cs="宋体"/>
          <w:b/>
          <w:sz w:val="24"/>
          <w:highlight w:val="none"/>
        </w:rPr>
        <w:t>1</w:t>
      </w:r>
      <w:r>
        <w:rPr>
          <w:rFonts w:hint="eastAsia" w:ascii="宋体" w:hAnsi="宋体" w:cs="宋体"/>
          <w:b/>
          <w:sz w:val="24"/>
          <w:highlight w:val="none"/>
        </w:rPr>
        <w:t>、采购人名称：</w:t>
      </w:r>
      <w:r>
        <w:rPr>
          <w:rFonts w:hint="eastAsia" w:ascii="宋体" w:hAnsi="宋体" w:cs="宋体"/>
          <w:sz w:val="24"/>
          <w:highlight w:val="none"/>
        </w:rPr>
        <w:t>山东大学第二医院</w:t>
      </w:r>
    </w:p>
    <w:p>
      <w:pPr>
        <w:pStyle w:val="132"/>
        <w:keepNext w:val="0"/>
        <w:keepLines w:val="0"/>
        <w:pageBreakBefore w:val="0"/>
        <w:widowControl w:val="0"/>
        <w:kinsoku/>
        <w:wordWrap/>
        <w:overflowPunct/>
        <w:topLinePunct w:val="0"/>
        <w:autoSpaceDE/>
        <w:bidi w:val="0"/>
        <w:adjustRightInd w:val="0"/>
        <w:snapToGrid w:val="0"/>
        <w:spacing w:line="460" w:lineRule="exact"/>
        <w:ind w:left="390" w:firstLine="0" w:firstLineChars="0"/>
        <w:rPr>
          <w:rFonts w:hint="eastAsia" w:ascii="宋体" w:hAnsi="宋体" w:cs="宋体"/>
          <w:sz w:val="24"/>
          <w:highlight w:val="none"/>
        </w:rPr>
      </w:pPr>
      <w:r>
        <w:rPr>
          <w:rFonts w:hint="eastAsia" w:ascii="宋体" w:hAnsi="宋体" w:cs="宋体"/>
          <w:sz w:val="24"/>
          <w:highlight w:val="none"/>
        </w:rPr>
        <w:t>地址：济南市天桥区北园路247号</w:t>
      </w:r>
    </w:p>
    <w:p>
      <w:pPr>
        <w:pStyle w:val="132"/>
        <w:keepNext w:val="0"/>
        <w:keepLines w:val="0"/>
        <w:pageBreakBefore w:val="0"/>
        <w:widowControl w:val="0"/>
        <w:kinsoku/>
        <w:wordWrap/>
        <w:overflowPunct/>
        <w:topLinePunct w:val="0"/>
        <w:autoSpaceDE/>
        <w:bidi w:val="0"/>
        <w:adjustRightInd w:val="0"/>
        <w:snapToGrid w:val="0"/>
        <w:spacing w:line="460" w:lineRule="exact"/>
        <w:ind w:left="390" w:firstLine="0" w:firstLineChars="0"/>
        <w:rPr>
          <w:rFonts w:hint="default" w:ascii="宋体" w:hAnsi="宋体" w:cs="宋体"/>
          <w:sz w:val="24"/>
          <w:highlight w:val="none"/>
          <w:lang w:val="en-US" w:eastAsia="zh-CN"/>
        </w:rPr>
      </w:pPr>
      <w:r>
        <w:rPr>
          <w:rFonts w:hint="eastAsia" w:ascii="宋体" w:hAnsi="宋体" w:cs="宋体"/>
          <w:sz w:val="24"/>
          <w:highlight w:val="none"/>
          <w:lang w:val="en-US" w:eastAsia="zh-CN"/>
        </w:rPr>
        <w:t>联系人：李老师</w:t>
      </w:r>
    </w:p>
    <w:p>
      <w:pPr>
        <w:pStyle w:val="132"/>
        <w:keepNext w:val="0"/>
        <w:keepLines w:val="0"/>
        <w:pageBreakBefore w:val="0"/>
        <w:widowControl w:val="0"/>
        <w:kinsoku/>
        <w:wordWrap/>
        <w:overflowPunct/>
        <w:topLinePunct w:val="0"/>
        <w:autoSpaceDE/>
        <w:bidi w:val="0"/>
        <w:adjustRightInd w:val="0"/>
        <w:snapToGrid w:val="0"/>
        <w:spacing w:line="460" w:lineRule="exact"/>
        <w:ind w:left="390" w:firstLine="0" w:firstLineChars="0"/>
        <w:rPr>
          <w:rFonts w:hint="eastAsia" w:ascii="宋体" w:hAnsi="宋体" w:cs="宋体"/>
          <w:sz w:val="24"/>
          <w:highlight w:val="none"/>
        </w:rPr>
      </w:pPr>
      <w:r>
        <w:rPr>
          <w:rFonts w:hint="eastAsia" w:ascii="宋体" w:hAnsi="宋体" w:cs="宋体"/>
          <w:sz w:val="24"/>
          <w:highlight w:val="none"/>
        </w:rPr>
        <w:t>联系方式：0531-85875076</w:t>
      </w:r>
    </w:p>
    <w:p>
      <w:pPr>
        <w:pStyle w:val="132"/>
        <w:keepNext w:val="0"/>
        <w:keepLines w:val="0"/>
        <w:pageBreakBefore w:val="0"/>
        <w:widowControl w:val="0"/>
        <w:kinsoku/>
        <w:wordWrap/>
        <w:overflowPunct/>
        <w:topLinePunct w:val="0"/>
        <w:autoSpaceDE/>
        <w:bidi w:val="0"/>
        <w:adjustRightInd w:val="0"/>
        <w:snapToGrid w:val="0"/>
        <w:spacing w:line="460" w:lineRule="exact"/>
        <w:ind w:firstLine="0" w:firstLineChars="0"/>
        <w:rPr>
          <w:rFonts w:ascii="宋体" w:cs="宋体"/>
          <w:sz w:val="24"/>
          <w:highlight w:val="none"/>
        </w:rPr>
      </w:pPr>
      <w:r>
        <w:rPr>
          <w:rFonts w:ascii="宋体" w:hAnsi="宋体" w:cs="宋体"/>
          <w:b/>
          <w:sz w:val="24"/>
          <w:highlight w:val="none"/>
        </w:rPr>
        <w:t>2</w:t>
      </w:r>
      <w:r>
        <w:rPr>
          <w:rFonts w:hint="eastAsia" w:ascii="宋体" w:hAnsi="宋体" w:cs="宋体"/>
          <w:b/>
          <w:sz w:val="24"/>
          <w:highlight w:val="none"/>
        </w:rPr>
        <w:t>、采购代理机构名称：</w:t>
      </w:r>
      <w:r>
        <w:rPr>
          <w:rFonts w:hint="eastAsia" w:ascii="宋体" w:hAnsi="宋体" w:cs="宋体"/>
          <w:sz w:val="24"/>
          <w:highlight w:val="none"/>
        </w:rPr>
        <w:t>山东省鲁成招标有限公司</w:t>
      </w:r>
    </w:p>
    <w:p>
      <w:pPr>
        <w:pStyle w:val="132"/>
        <w:keepNext w:val="0"/>
        <w:keepLines w:val="0"/>
        <w:pageBreakBefore w:val="0"/>
        <w:widowControl w:val="0"/>
        <w:kinsoku/>
        <w:wordWrap/>
        <w:overflowPunct/>
        <w:topLinePunct w:val="0"/>
        <w:autoSpaceDE/>
        <w:bidi w:val="0"/>
        <w:adjustRightInd w:val="0"/>
        <w:snapToGrid w:val="0"/>
        <w:spacing w:line="460" w:lineRule="exact"/>
        <w:ind w:left="390" w:firstLine="0" w:firstLineChars="0"/>
        <w:rPr>
          <w:rFonts w:hint="eastAsia" w:ascii="宋体" w:hAnsi="宋体" w:cs="宋体"/>
          <w:sz w:val="24"/>
          <w:highlight w:val="none"/>
        </w:rPr>
      </w:pPr>
      <w:r>
        <w:rPr>
          <w:rFonts w:hint="eastAsia" w:ascii="宋体" w:hAnsi="宋体" w:cs="宋体"/>
          <w:sz w:val="24"/>
          <w:highlight w:val="none"/>
        </w:rPr>
        <w:t>地址：济南市经十路</w:t>
      </w:r>
      <w:r>
        <w:rPr>
          <w:rFonts w:ascii="宋体" w:hAnsi="宋体" w:cs="宋体"/>
          <w:sz w:val="24"/>
          <w:highlight w:val="none"/>
        </w:rPr>
        <w:t>10567</w:t>
      </w:r>
      <w:r>
        <w:rPr>
          <w:rFonts w:hint="eastAsia" w:ascii="宋体" w:hAnsi="宋体" w:cs="宋体"/>
          <w:sz w:val="24"/>
          <w:highlight w:val="none"/>
        </w:rPr>
        <w:t>号成城大厦</w:t>
      </w:r>
      <w:r>
        <w:rPr>
          <w:rFonts w:ascii="宋体" w:hAnsi="宋体" w:cs="宋体"/>
          <w:sz w:val="24"/>
          <w:highlight w:val="none"/>
        </w:rPr>
        <w:t>A</w:t>
      </w:r>
      <w:r>
        <w:rPr>
          <w:rFonts w:hint="eastAsia" w:ascii="宋体" w:hAnsi="宋体" w:cs="宋体"/>
          <w:sz w:val="24"/>
          <w:highlight w:val="none"/>
        </w:rPr>
        <w:t>座</w:t>
      </w:r>
    </w:p>
    <w:p>
      <w:pPr>
        <w:pStyle w:val="132"/>
        <w:keepNext w:val="0"/>
        <w:keepLines w:val="0"/>
        <w:pageBreakBefore w:val="0"/>
        <w:widowControl w:val="0"/>
        <w:kinsoku/>
        <w:wordWrap/>
        <w:overflowPunct/>
        <w:topLinePunct w:val="0"/>
        <w:autoSpaceDE/>
        <w:bidi w:val="0"/>
        <w:adjustRightInd w:val="0"/>
        <w:snapToGrid w:val="0"/>
        <w:spacing w:line="460" w:lineRule="exact"/>
        <w:ind w:left="390" w:firstLine="0" w:firstLineChars="0"/>
        <w:rPr>
          <w:rFonts w:hint="eastAsia"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lang w:eastAsia="zh-CN"/>
        </w:rPr>
        <w:t>栾新宇</w:t>
      </w:r>
      <w:r>
        <w:rPr>
          <w:rFonts w:hint="eastAsia" w:ascii="宋体" w:hAnsi="宋体" w:cs="宋体"/>
          <w:sz w:val="24"/>
          <w:highlight w:val="none"/>
        </w:rPr>
        <w:t>、李文华</w:t>
      </w:r>
    </w:p>
    <w:p>
      <w:pPr>
        <w:pStyle w:val="132"/>
        <w:keepNext w:val="0"/>
        <w:keepLines w:val="0"/>
        <w:pageBreakBefore w:val="0"/>
        <w:widowControl w:val="0"/>
        <w:kinsoku/>
        <w:wordWrap/>
        <w:overflowPunct/>
        <w:topLinePunct w:val="0"/>
        <w:autoSpaceDE/>
        <w:bidi w:val="0"/>
        <w:adjustRightInd w:val="0"/>
        <w:snapToGrid w:val="0"/>
        <w:spacing w:line="460" w:lineRule="exact"/>
        <w:ind w:left="390" w:firstLine="0" w:firstLineChars="0"/>
        <w:rPr>
          <w:rFonts w:hint="eastAsia" w:ascii="宋体" w:hAnsi="宋体" w:cs="宋体"/>
          <w:sz w:val="24"/>
          <w:highlight w:val="none"/>
        </w:rPr>
      </w:pPr>
      <w:r>
        <w:rPr>
          <w:rFonts w:hint="eastAsia" w:ascii="宋体" w:hAnsi="宋体" w:cs="宋体"/>
          <w:sz w:val="24"/>
          <w:highlight w:val="none"/>
        </w:rPr>
        <w:t>联系方式：0531-</w:t>
      </w:r>
      <w:bookmarkStart w:id="209" w:name="_GoBack"/>
      <w:bookmarkEnd w:id="209"/>
      <w:r>
        <w:rPr>
          <w:rFonts w:hint="eastAsia" w:ascii="宋体" w:hAnsi="宋体" w:cs="宋体"/>
          <w:sz w:val="24"/>
          <w:highlight w:val="none"/>
        </w:rPr>
        <w:t>83191865/17853501303</w:t>
      </w:r>
    </w:p>
    <w:p>
      <w:pPr>
        <w:pStyle w:val="132"/>
        <w:keepNext w:val="0"/>
        <w:keepLines w:val="0"/>
        <w:pageBreakBefore w:val="0"/>
        <w:widowControl w:val="0"/>
        <w:kinsoku/>
        <w:wordWrap/>
        <w:overflowPunct/>
        <w:topLinePunct w:val="0"/>
        <w:autoSpaceDE/>
        <w:bidi w:val="0"/>
        <w:adjustRightInd w:val="0"/>
        <w:snapToGrid w:val="0"/>
        <w:spacing w:line="460" w:lineRule="exact"/>
        <w:ind w:left="390" w:firstLine="0" w:firstLineChars="0"/>
        <w:rPr>
          <w:rFonts w:hint="eastAsia" w:ascii="宋体" w:hAnsi="宋体" w:cs="宋体"/>
          <w:sz w:val="24"/>
          <w:highlight w:val="none"/>
        </w:rPr>
      </w:pPr>
      <w:r>
        <w:rPr>
          <w:rFonts w:hint="eastAsia" w:ascii="宋体" w:hAnsi="宋体" w:cs="宋体"/>
          <w:sz w:val="24"/>
          <w:highlight w:val="none"/>
        </w:rPr>
        <w:t>电子邮件：lczb08@126.com</w:t>
      </w:r>
    </w:p>
    <w:p>
      <w:pPr>
        <w:keepNext w:val="0"/>
        <w:keepLines w:val="0"/>
        <w:pageBreakBefore w:val="0"/>
        <w:widowControl w:val="0"/>
        <w:kinsoku/>
        <w:wordWrap/>
        <w:overflowPunct/>
        <w:topLinePunct w:val="0"/>
        <w:autoSpaceDE/>
        <w:bidi w:val="0"/>
        <w:adjustRightInd w:val="0"/>
        <w:snapToGrid w:val="0"/>
        <w:spacing w:line="460" w:lineRule="exact"/>
        <w:rPr>
          <w:rFonts w:hint="eastAsia" w:ascii="宋体" w:eastAsia="宋体" w:cs="宋体"/>
          <w:sz w:val="24"/>
          <w:highlight w:val="none"/>
          <w:lang w:eastAsia="zh-CN"/>
        </w:rPr>
      </w:pPr>
      <w:r>
        <w:rPr>
          <w:rFonts w:ascii="宋体" w:hAnsi="宋体" w:cs="宋体"/>
          <w:b/>
          <w:sz w:val="24"/>
          <w:highlight w:val="none"/>
        </w:rPr>
        <w:t>3</w:t>
      </w:r>
      <w:r>
        <w:rPr>
          <w:rFonts w:hint="eastAsia" w:ascii="宋体" w:hAnsi="宋体" w:cs="宋体"/>
          <w:b/>
          <w:sz w:val="24"/>
          <w:highlight w:val="none"/>
        </w:rPr>
        <w:t>、项目名称：</w:t>
      </w:r>
      <w:r>
        <w:rPr>
          <w:rFonts w:hint="eastAsia" w:ascii="宋体" w:hAnsi="宋体" w:cs="宋体"/>
          <w:sz w:val="24"/>
          <w:highlight w:val="none"/>
        </w:rPr>
        <w:t>山东大学第二医院</w:t>
      </w:r>
      <w:r>
        <w:rPr>
          <w:rFonts w:hint="eastAsia" w:ascii="宋体" w:hAnsi="宋体" w:cs="宋体"/>
          <w:sz w:val="24"/>
          <w:highlight w:val="none"/>
          <w:lang w:eastAsia="zh-CN"/>
        </w:rPr>
        <w:t>输血管理系统采购项目</w:t>
      </w:r>
    </w:p>
    <w:p>
      <w:pPr>
        <w:keepNext w:val="0"/>
        <w:keepLines w:val="0"/>
        <w:pageBreakBefore w:val="0"/>
        <w:widowControl w:val="0"/>
        <w:kinsoku/>
        <w:wordWrap/>
        <w:overflowPunct/>
        <w:topLinePunct w:val="0"/>
        <w:autoSpaceDE/>
        <w:bidi w:val="0"/>
        <w:adjustRightInd w:val="0"/>
        <w:snapToGrid w:val="0"/>
        <w:spacing w:line="460" w:lineRule="exact"/>
        <w:rPr>
          <w:rFonts w:hint="eastAsia" w:ascii="宋体" w:hAnsi="宋体" w:eastAsia="宋体" w:cs="宋体"/>
          <w:sz w:val="24"/>
          <w:highlight w:val="none"/>
          <w:lang w:eastAsia="zh-CN"/>
        </w:rPr>
      </w:pPr>
      <w:r>
        <w:rPr>
          <w:rFonts w:ascii="宋体" w:hAnsi="宋体" w:cs="宋体"/>
          <w:b/>
          <w:sz w:val="24"/>
          <w:highlight w:val="none"/>
        </w:rPr>
        <w:t>4</w:t>
      </w:r>
      <w:r>
        <w:rPr>
          <w:rFonts w:hint="eastAsia" w:ascii="宋体" w:hAnsi="宋体" w:cs="宋体"/>
          <w:b/>
          <w:sz w:val="24"/>
          <w:highlight w:val="none"/>
        </w:rPr>
        <w:t>、招标编号：</w:t>
      </w:r>
      <w:r>
        <w:rPr>
          <w:rFonts w:hint="eastAsia" w:ascii="宋体" w:hAnsi="宋体" w:cs="宋体"/>
          <w:sz w:val="24"/>
          <w:highlight w:val="none"/>
          <w:lang w:eastAsia="zh-CN"/>
        </w:rPr>
        <w:t>0676-196010ZB018042</w:t>
      </w:r>
    </w:p>
    <w:p>
      <w:pPr>
        <w:keepNext w:val="0"/>
        <w:keepLines w:val="0"/>
        <w:pageBreakBefore w:val="0"/>
        <w:widowControl w:val="0"/>
        <w:kinsoku/>
        <w:wordWrap/>
        <w:overflowPunct/>
        <w:topLinePunct w:val="0"/>
        <w:autoSpaceDE/>
        <w:bidi w:val="0"/>
        <w:adjustRightInd w:val="0"/>
        <w:snapToGrid w:val="0"/>
        <w:spacing w:line="460" w:lineRule="exact"/>
        <w:rPr>
          <w:rFonts w:ascii="宋体" w:cs="宋体"/>
          <w:sz w:val="24"/>
          <w:highlight w:val="none"/>
        </w:rPr>
      </w:pPr>
      <w:r>
        <w:rPr>
          <w:rFonts w:ascii="宋体" w:hAnsi="宋体" w:cs="宋体"/>
          <w:b/>
          <w:sz w:val="24"/>
          <w:highlight w:val="none"/>
        </w:rPr>
        <w:t>5</w:t>
      </w:r>
      <w:r>
        <w:rPr>
          <w:rFonts w:hint="eastAsia" w:ascii="宋体" w:hAnsi="宋体" w:cs="宋体"/>
          <w:b/>
          <w:sz w:val="24"/>
          <w:highlight w:val="none"/>
        </w:rPr>
        <w:t>、采购项目分包情况：</w:t>
      </w:r>
      <w:r>
        <w:rPr>
          <w:rFonts w:hint="eastAsia" w:ascii="宋体" w:hAnsi="宋体" w:cs="宋体"/>
          <w:sz w:val="24"/>
          <w:highlight w:val="none"/>
        </w:rPr>
        <w:t>本次招标为山东大学第二医院</w:t>
      </w:r>
      <w:r>
        <w:rPr>
          <w:rFonts w:hint="eastAsia" w:ascii="宋体" w:hAnsi="宋体" w:cs="宋体"/>
          <w:sz w:val="24"/>
          <w:highlight w:val="none"/>
          <w:lang w:eastAsia="zh-CN"/>
        </w:rPr>
        <w:t>输血管理系统采购项目</w:t>
      </w:r>
      <w:r>
        <w:rPr>
          <w:rFonts w:hint="eastAsia" w:ascii="宋体" w:hAnsi="宋体" w:cs="宋体"/>
          <w:sz w:val="24"/>
          <w:highlight w:val="none"/>
        </w:rPr>
        <w:t>，具体技术要求详见招标文件，共分1个包，分包情况如下：</w:t>
      </w:r>
    </w:p>
    <w:tbl>
      <w:tblPr>
        <w:tblStyle w:val="49"/>
        <w:tblW w:w="9339" w:type="dxa"/>
        <w:jc w:val="center"/>
        <w:tblLayout w:type="fixed"/>
        <w:tblCellMar>
          <w:top w:w="0" w:type="dxa"/>
          <w:left w:w="15" w:type="dxa"/>
          <w:bottom w:w="0" w:type="dxa"/>
          <w:right w:w="15" w:type="dxa"/>
        </w:tblCellMar>
      </w:tblPr>
      <w:tblGrid>
        <w:gridCol w:w="3535"/>
        <w:gridCol w:w="2851"/>
        <w:gridCol w:w="2953"/>
      </w:tblGrid>
      <w:tr>
        <w:tblPrEx>
          <w:tblCellMar>
            <w:top w:w="0" w:type="dxa"/>
            <w:left w:w="15" w:type="dxa"/>
            <w:bottom w:w="0" w:type="dxa"/>
            <w:right w:w="15" w:type="dxa"/>
          </w:tblCellMar>
        </w:tblPrEx>
        <w:trPr>
          <w:trHeight w:val="490" w:hRule="atLeast"/>
          <w:jc w:val="center"/>
        </w:trPr>
        <w:tc>
          <w:tcPr>
            <w:tcW w:w="35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jc w:val="center"/>
              <w:textAlignment w:val="center"/>
              <w:rPr>
                <w:rFonts w:ascii="宋体"/>
                <w:color w:val="000000"/>
                <w:sz w:val="24"/>
                <w:highlight w:val="none"/>
              </w:rPr>
            </w:pPr>
            <w:r>
              <w:rPr>
                <w:rFonts w:hint="eastAsia" w:ascii="宋体" w:hAnsi="宋体"/>
                <w:color w:val="000000"/>
                <w:sz w:val="24"/>
                <w:highlight w:val="none"/>
              </w:rPr>
              <w:t>招标内容</w:t>
            </w:r>
          </w:p>
        </w:tc>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jc w:val="center"/>
              <w:textAlignment w:val="center"/>
              <w:rPr>
                <w:rFonts w:ascii="宋体"/>
                <w:color w:val="000000"/>
                <w:sz w:val="24"/>
                <w:highlight w:val="none"/>
              </w:rPr>
            </w:pPr>
            <w:r>
              <w:rPr>
                <w:rFonts w:hint="eastAsia" w:ascii="宋体" w:hAnsi="宋体"/>
                <w:color w:val="000000"/>
                <w:sz w:val="24"/>
                <w:highlight w:val="none"/>
              </w:rPr>
              <w:t>预算金额（万元）</w:t>
            </w:r>
          </w:p>
        </w:tc>
        <w:tc>
          <w:tcPr>
            <w:tcW w:w="2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jc w:val="center"/>
              <w:textAlignment w:val="center"/>
              <w:rPr>
                <w:rFonts w:ascii="宋体" w:hAnsi="宋体"/>
                <w:color w:val="000000"/>
                <w:sz w:val="24"/>
                <w:highlight w:val="none"/>
              </w:rPr>
            </w:pPr>
            <w:r>
              <w:rPr>
                <w:rFonts w:hint="eastAsia" w:ascii="宋体" w:hAnsi="宋体"/>
                <w:color w:val="000000"/>
                <w:sz w:val="24"/>
                <w:highlight w:val="none"/>
              </w:rPr>
              <w:t>简要技术规格</w:t>
            </w:r>
          </w:p>
        </w:tc>
      </w:tr>
      <w:tr>
        <w:tblPrEx>
          <w:tblCellMar>
            <w:top w:w="0" w:type="dxa"/>
            <w:left w:w="15" w:type="dxa"/>
            <w:bottom w:w="0" w:type="dxa"/>
            <w:right w:w="15" w:type="dxa"/>
          </w:tblCellMar>
        </w:tblPrEx>
        <w:trPr>
          <w:trHeight w:val="508" w:hRule="atLeast"/>
          <w:jc w:val="center"/>
        </w:trPr>
        <w:tc>
          <w:tcPr>
            <w:tcW w:w="35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jc w:val="center"/>
              <w:textAlignment w:val="center"/>
              <w:rPr>
                <w:rFonts w:ascii="宋体"/>
                <w:color w:val="000000"/>
                <w:sz w:val="24"/>
                <w:highlight w:val="none"/>
              </w:rPr>
            </w:pPr>
            <w:r>
              <w:rPr>
                <w:rFonts w:hint="eastAsia" w:ascii="宋体" w:hAnsi="宋体" w:cs="宋体"/>
                <w:sz w:val="24"/>
                <w:highlight w:val="none"/>
                <w:lang w:eastAsia="zh-CN"/>
              </w:rPr>
              <w:t>输血管理系统</w:t>
            </w:r>
            <w:r>
              <w:rPr>
                <w:rFonts w:hint="eastAsia" w:ascii="宋体" w:hAnsi="宋体" w:cs="宋体"/>
                <w:sz w:val="24"/>
                <w:highlight w:val="none"/>
              </w:rPr>
              <w:t xml:space="preserve"> </w:t>
            </w:r>
          </w:p>
        </w:tc>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jc w:val="center"/>
              <w:textAlignment w:val="center"/>
              <w:rPr>
                <w:rFonts w:hint="eastAsia" w:ascii="宋体" w:eastAsia="宋体" w:cs="宋体"/>
                <w:color w:val="000000"/>
                <w:kern w:val="0"/>
                <w:sz w:val="24"/>
                <w:highlight w:val="none"/>
                <w:lang w:val="en-US" w:eastAsia="zh-CN"/>
              </w:rPr>
            </w:pPr>
            <w:r>
              <w:rPr>
                <w:rFonts w:hint="eastAsia" w:ascii="宋体" w:cs="宋体"/>
                <w:color w:val="000000"/>
                <w:kern w:val="0"/>
                <w:sz w:val="24"/>
                <w:highlight w:val="none"/>
                <w:lang w:val="en-US" w:eastAsia="zh-CN"/>
              </w:rPr>
              <w:t>40</w:t>
            </w:r>
          </w:p>
        </w:tc>
        <w:tc>
          <w:tcPr>
            <w:tcW w:w="2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jc w:val="center"/>
              <w:textAlignment w:val="center"/>
              <w:rPr>
                <w:rFonts w:ascii="宋体" w:hAnsi="宋体"/>
                <w:color w:val="000000"/>
                <w:sz w:val="24"/>
                <w:highlight w:val="none"/>
              </w:rPr>
            </w:pPr>
            <w:r>
              <w:rPr>
                <w:rFonts w:hint="eastAsia" w:ascii="宋体" w:hAnsi="宋体"/>
                <w:color w:val="000000"/>
                <w:sz w:val="24"/>
                <w:highlight w:val="none"/>
              </w:rPr>
              <w:t>详见招标文件</w:t>
            </w:r>
          </w:p>
        </w:tc>
      </w:tr>
    </w:tbl>
    <w:p>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left"/>
        <w:rPr>
          <w:rFonts w:ascii="Tahoma"/>
          <w:color w:val="393939"/>
          <w:sz w:val="24"/>
          <w:highlight w:val="none"/>
          <w:shd w:val="clear" w:color="auto" w:fill="FFFFFF"/>
        </w:rPr>
      </w:pPr>
      <w:r>
        <w:rPr>
          <w:rFonts w:ascii="Tahoma"/>
          <w:color w:val="393939"/>
          <w:sz w:val="24"/>
          <w:highlight w:val="none"/>
          <w:shd w:val="clear" w:color="auto" w:fill="FFFFFF"/>
        </w:rPr>
        <w:t xml:space="preserve"> </w:t>
      </w:r>
      <w:r>
        <w:rPr>
          <w:rFonts w:hint="eastAsia" w:ascii="宋体" w:hAnsi="宋体"/>
          <w:color w:val="000000"/>
          <w:sz w:val="24"/>
          <w:highlight w:val="none"/>
        </w:rPr>
        <w:t>投标企业对本项目进行报价必须整包响应。具体技术要求、数量等内容详见招标文件。</w:t>
      </w:r>
    </w:p>
    <w:p>
      <w:pPr>
        <w:keepNext w:val="0"/>
        <w:keepLines w:val="0"/>
        <w:pageBreakBefore w:val="0"/>
        <w:widowControl w:val="0"/>
        <w:kinsoku/>
        <w:wordWrap/>
        <w:overflowPunct/>
        <w:topLinePunct w:val="0"/>
        <w:autoSpaceDE/>
        <w:bidi w:val="0"/>
        <w:adjustRightInd w:val="0"/>
        <w:snapToGrid w:val="0"/>
        <w:spacing w:line="460" w:lineRule="exact"/>
        <w:rPr>
          <w:rFonts w:ascii="宋体" w:hAnsi="宋体" w:cs="宋体"/>
          <w:b/>
          <w:sz w:val="24"/>
          <w:highlight w:val="none"/>
        </w:rPr>
      </w:pPr>
      <w:r>
        <w:rPr>
          <w:rFonts w:hint="eastAsia" w:ascii="宋体" w:hAnsi="宋体" w:cs="宋体"/>
          <w:b/>
          <w:sz w:val="24"/>
          <w:highlight w:val="none"/>
        </w:rPr>
        <w:t>6、投标人资格要求</w:t>
      </w:r>
    </w:p>
    <w:p>
      <w:pPr>
        <w:keepNext w:val="0"/>
        <w:keepLines w:val="0"/>
        <w:pageBreakBefore w:val="0"/>
        <w:widowControl w:val="0"/>
        <w:kinsoku/>
        <w:wordWrap/>
        <w:overflowPunct/>
        <w:topLinePunct w:val="0"/>
        <w:autoSpaceDE/>
        <w:autoSpaceDN w:val="0"/>
        <w:bidi w:val="0"/>
        <w:adjustRightInd w:val="0"/>
        <w:snapToGrid w:val="0"/>
        <w:spacing w:line="460" w:lineRule="exact"/>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.1</w:t>
      </w:r>
      <w:r>
        <w:rPr>
          <w:rFonts w:hint="eastAsia" w:ascii="宋体" w:hAnsi="宋体"/>
          <w:color w:val="000000"/>
          <w:sz w:val="24"/>
          <w:highlight w:val="none"/>
        </w:rPr>
        <w:t>符合《中华人民共和国政府采购法》第二十二条第一款的规定条件并按《中华人民共和国政府采购法实施条例》第十七条第一款的规定提供相关证明材料；</w:t>
      </w:r>
    </w:p>
    <w:p>
      <w:pPr>
        <w:keepNext w:val="0"/>
        <w:keepLines w:val="0"/>
        <w:pageBreakBefore w:val="0"/>
        <w:widowControl w:val="0"/>
        <w:kinsoku/>
        <w:wordWrap/>
        <w:overflowPunct/>
        <w:topLinePunct w:val="0"/>
        <w:autoSpaceDE/>
        <w:autoSpaceDN w:val="0"/>
        <w:bidi w:val="0"/>
        <w:adjustRightInd w:val="0"/>
        <w:snapToGrid w:val="0"/>
        <w:spacing w:line="460" w:lineRule="exact"/>
        <w:jc w:val="left"/>
        <w:textAlignment w:val="center"/>
        <w:rPr>
          <w:rFonts w:ascii="宋体" w:cs="宋体"/>
          <w:sz w:val="24"/>
          <w:highlight w:val="none"/>
        </w:rPr>
      </w:pPr>
      <w:r>
        <w:rPr>
          <w:rFonts w:hint="eastAsia" w:ascii="宋体" w:hAnsi="宋体" w:eastAsia="宋体" w:cs="宋体"/>
          <w:sz w:val="24"/>
          <w:highlight w:val="none"/>
          <w:lang w:val="en-US" w:eastAsia="zh-CN"/>
        </w:rPr>
        <w:t>6.</w:t>
      </w:r>
      <w:r>
        <w:rPr>
          <w:rFonts w:hint="eastAsia" w:ascii="宋体" w:hAnsi="宋体" w:cs="宋体"/>
          <w:sz w:val="24"/>
          <w:highlight w:val="none"/>
          <w:lang w:val="en-US" w:eastAsia="zh-CN"/>
        </w:rPr>
        <w:t>2</w:t>
      </w:r>
      <w:r>
        <w:rPr>
          <w:rFonts w:hint="eastAsia" w:ascii="宋体" w:hAnsi="宋体" w:eastAsia="宋体" w:cs="宋体"/>
          <w:sz w:val="24"/>
          <w:highlight w:val="none"/>
        </w:rPr>
        <w:t>必须为未列入“信用中国”、“中国政府采购网”失信被执行人、重大税收违法</w:t>
      </w:r>
      <w:r>
        <w:rPr>
          <w:rFonts w:hint="eastAsia" w:ascii="宋体" w:hAnsi="宋体" w:cs="宋体"/>
          <w:sz w:val="24"/>
          <w:highlight w:val="none"/>
        </w:rPr>
        <w:t>案件当事人名单、政府采购严重违法失信名单的企业；</w:t>
      </w:r>
    </w:p>
    <w:p>
      <w:pPr>
        <w:keepNext w:val="0"/>
        <w:keepLines w:val="0"/>
        <w:pageBreakBefore w:val="0"/>
        <w:widowControl w:val="0"/>
        <w:kinsoku/>
        <w:wordWrap/>
        <w:overflowPunct/>
        <w:topLinePunct w:val="0"/>
        <w:autoSpaceDE/>
        <w:autoSpaceDN w:val="0"/>
        <w:bidi w:val="0"/>
        <w:adjustRightInd w:val="0"/>
        <w:snapToGrid w:val="0"/>
        <w:spacing w:line="460" w:lineRule="exact"/>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3</w:t>
      </w:r>
      <w:r>
        <w:rPr>
          <w:rFonts w:hint="eastAsia" w:ascii="宋体" w:hAnsi="宋体"/>
          <w:color w:val="000000"/>
          <w:sz w:val="24"/>
          <w:highlight w:val="none"/>
        </w:rPr>
        <w:t>单位负责人为同一人或者存在直接控股、管理关系的不同投标人，不得参加同一合同项下的采购活动；</w:t>
      </w:r>
    </w:p>
    <w:p>
      <w:pPr>
        <w:keepNext w:val="0"/>
        <w:keepLines w:val="0"/>
        <w:pageBreakBefore w:val="0"/>
        <w:widowControl w:val="0"/>
        <w:kinsoku/>
        <w:wordWrap/>
        <w:overflowPunct/>
        <w:topLinePunct w:val="0"/>
        <w:autoSpaceDE/>
        <w:autoSpaceDN w:val="0"/>
        <w:bidi w:val="0"/>
        <w:adjustRightInd w:val="0"/>
        <w:snapToGrid w:val="0"/>
        <w:spacing w:line="460" w:lineRule="exact"/>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4</w:t>
      </w:r>
      <w:r>
        <w:rPr>
          <w:rFonts w:hint="eastAsia" w:ascii="宋体" w:hAnsi="宋体"/>
          <w:color w:val="000000"/>
          <w:sz w:val="24"/>
          <w:highlight w:val="none"/>
        </w:rPr>
        <w:t>本次采购不接受联合体报价；</w:t>
      </w:r>
    </w:p>
    <w:p>
      <w:pPr>
        <w:keepNext w:val="0"/>
        <w:keepLines w:val="0"/>
        <w:pageBreakBefore w:val="0"/>
        <w:widowControl w:val="0"/>
        <w:kinsoku/>
        <w:wordWrap/>
        <w:overflowPunct/>
        <w:topLinePunct w:val="0"/>
        <w:autoSpaceDE/>
        <w:autoSpaceDN w:val="0"/>
        <w:bidi w:val="0"/>
        <w:adjustRightInd w:val="0"/>
        <w:snapToGrid w:val="0"/>
        <w:spacing w:line="460" w:lineRule="exact"/>
        <w:jc w:val="left"/>
        <w:textAlignment w:val="center"/>
        <w:rPr>
          <w:rFonts w:ascii="Tahoma"/>
          <w:b/>
          <w:color w:val="393939"/>
          <w:sz w:val="24"/>
          <w:highlight w:val="none"/>
          <w:shd w:val="clear" w:color="auto" w:fill="FFFFFF"/>
        </w:rPr>
      </w:pPr>
      <w:r>
        <w:rPr>
          <w:rFonts w:hint="eastAsia" w:ascii="宋体" w:hAnsi="宋体"/>
          <w:color w:val="000000"/>
          <w:sz w:val="24"/>
          <w:highlight w:val="none"/>
          <w:lang w:val="en-US" w:eastAsia="zh-CN"/>
        </w:rPr>
        <w:t>6.5</w:t>
      </w:r>
      <w:r>
        <w:rPr>
          <w:rFonts w:hint="eastAsia" w:ascii="宋体" w:hAnsi="宋体"/>
          <w:color w:val="000000"/>
          <w:sz w:val="24"/>
          <w:highlight w:val="none"/>
        </w:rPr>
        <w:t>未尽事宜，遵照国家相关规定执行。</w:t>
      </w:r>
      <w:r>
        <w:rPr>
          <w:rFonts w:ascii="宋体" w:hAnsi="宋体"/>
          <w:color w:val="000000"/>
          <w:sz w:val="24"/>
          <w:highlight w:val="none"/>
        </w:rPr>
        <w:t xml:space="preserve"> </w:t>
      </w:r>
    </w:p>
    <w:p>
      <w:pPr>
        <w:keepNext w:val="0"/>
        <w:keepLines w:val="0"/>
        <w:pageBreakBefore w:val="0"/>
        <w:widowControl w:val="0"/>
        <w:kinsoku/>
        <w:wordWrap/>
        <w:overflowPunct/>
        <w:topLinePunct w:val="0"/>
        <w:autoSpaceDE/>
        <w:bidi w:val="0"/>
        <w:adjustRightInd w:val="0"/>
        <w:snapToGrid w:val="0"/>
        <w:spacing w:line="460" w:lineRule="exact"/>
        <w:rPr>
          <w:rFonts w:ascii="Tahoma"/>
          <w:b/>
          <w:color w:val="393939"/>
          <w:sz w:val="24"/>
          <w:highlight w:val="none"/>
          <w:shd w:val="clear" w:color="auto" w:fill="FFFFFF"/>
        </w:rPr>
      </w:pPr>
      <w:r>
        <w:rPr>
          <w:rFonts w:hint="eastAsia" w:ascii="Tahoma"/>
          <w:b/>
          <w:color w:val="393939"/>
          <w:sz w:val="24"/>
          <w:highlight w:val="none"/>
          <w:shd w:val="clear" w:color="auto" w:fill="FFFFFF"/>
        </w:rPr>
        <w:t>7、</w:t>
      </w:r>
      <w:r>
        <w:rPr>
          <w:rFonts w:hint="eastAsia" w:ascii="宋体" w:hAnsi="宋体" w:cs="宋体"/>
          <w:b/>
          <w:sz w:val="24"/>
          <w:highlight w:val="none"/>
        </w:rPr>
        <w:t>获取招标文件的时间期限、地点、方式及招标文件售价：</w:t>
      </w:r>
    </w:p>
    <w:p>
      <w:pPr>
        <w:keepNext w:val="0"/>
        <w:keepLines w:val="0"/>
        <w:pageBreakBefore w:val="0"/>
        <w:widowControl w:val="0"/>
        <w:kinsoku/>
        <w:wordWrap/>
        <w:overflowPunct/>
        <w:topLinePunct w:val="0"/>
        <w:autoSpaceDE/>
        <w:autoSpaceDN w:val="0"/>
        <w:bidi w:val="0"/>
        <w:adjustRightInd w:val="0"/>
        <w:snapToGrid w:val="0"/>
        <w:spacing w:line="460" w:lineRule="exact"/>
        <w:ind w:leftChars="-95" w:hanging="199" w:hangingChars="83"/>
        <w:jc w:val="left"/>
        <w:textAlignment w:val="center"/>
        <w:rPr>
          <w:rFonts w:ascii="宋体" w:hAnsi="宋体"/>
          <w:sz w:val="24"/>
        </w:rPr>
      </w:pPr>
      <w:r>
        <w:rPr>
          <w:rFonts w:ascii="Tahoma"/>
          <w:color w:val="393939"/>
          <w:sz w:val="24"/>
          <w:highlight w:val="none"/>
          <w:shd w:val="clear" w:color="auto" w:fill="FFFFFF"/>
        </w:rPr>
        <w:t xml:space="preserve"> </w:t>
      </w:r>
      <w:r>
        <w:rPr>
          <w:rFonts w:hint="eastAsia" w:ascii="Tahoma"/>
          <w:color w:val="393939"/>
          <w:sz w:val="24"/>
          <w:highlight w:val="none"/>
          <w:shd w:val="clear" w:color="auto" w:fill="FFFFFF"/>
        </w:rPr>
        <w:t xml:space="preserve"> </w:t>
      </w:r>
      <w:r>
        <w:rPr>
          <w:rFonts w:hint="eastAsia" w:ascii="宋体" w:hAnsi="宋体" w:cs="宋体"/>
          <w:bCs/>
          <w:kern w:val="0"/>
          <w:sz w:val="24"/>
          <w:highlight w:val="none"/>
        </w:rPr>
        <w:t xml:space="preserve">   7.1</w:t>
      </w:r>
      <w:r>
        <w:rPr>
          <w:rFonts w:hint="eastAsia" w:ascii="宋体" w:hAnsi="宋体"/>
          <w:sz w:val="24"/>
          <w:highlight w:val="none"/>
        </w:rPr>
        <w:t>凡有意参加投标者，请于</w:t>
      </w:r>
      <w:r>
        <w:rPr>
          <w:rFonts w:hint="eastAsia" w:ascii="宋体" w:hAnsi="宋体" w:cs="宋体"/>
          <w:b/>
          <w:bCs/>
          <w:sz w:val="24"/>
          <w:highlight w:val="none"/>
          <w:shd w:val="clear" w:color="auto" w:fill="FFFFFF"/>
        </w:rPr>
        <w:t>20</w:t>
      </w:r>
      <w:r>
        <w:rPr>
          <w:rFonts w:hint="eastAsia" w:ascii="宋体" w:hAnsi="宋体" w:cs="宋体"/>
          <w:b/>
          <w:bCs/>
          <w:sz w:val="24"/>
          <w:highlight w:val="none"/>
          <w:shd w:val="clear" w:color="auto" w:fill="FFFFFF"/>
          <w:lang w:val="en-US" w:eastAsia="zh-CN"/>
        </w:rPr>
        <w:t>20</w:t>
      </w:r>
      <w:r>
        <w:rPr>
          <w:rFonts w:hint="eastAsia" w:ascii="宋体" w:hAnsi="宋体" w:cs="宋体"/>
          <w:b/>
          <w:bCs/>
          <w:sz w:val="24"/>
          <w:highlight w:val="none"/>
          <w:shd w:val="clear" w:color="auto" w:fill="FFFFFF"/>
        </w:rPr>
        <w:t>年</w:t>
      </w:r>
      <w:r>
        <w:rPr>
          <w:rFonts w:hint="eastAsia" w:ascii="宋体" w:hAnsi="宋体" w:cs="宋体"/>
          <w:b/>
          <w:bCs/>
          <w:sz w:val="24"/>
          <w:highlight w:val="none"/>
          <w:shd w:val="clear" w:color="auto" w:fill="FFFFFF"/>
          <w:lang w:val="en-US" w:eastAsia="zh-CN"/>
        </w:rPr>
        <w:t>4</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w:t>
      </w:r>
      <w:r>
        <w:rPr>
          <w:rFonts w:hint="eastAsia" w:ascii="宋体" w:hAnsi="宋体" w:cs="宋体"/>
          <w:b/>
          <w:bCs/>
          <w:sz w:val="24"/>
          <w:highlight w:val="none"/>
          <w:shd w:val="clear" w:color="auto" w:fill="FFFFFF"/>
        </w:rPr>
        <w:t>日-20</w:t>
      </w:r>
      <w:r>
        <w:rPr>
          <w:rFonts w:hint="eastAsia" w:ascii="宋体" w:hAnsi="宋体" w:cs="宋体"/>
          <w:b/>
          <w:bCs/>
          <w:sz w:val="24"/>
          <w:highlight w:val="none"/>
          <w:shd w:val="clear" w:color="auto" w:fill="FFFFFF"/>
          <w:lang w:val="en-US" w:eastAsia="zh-CN"/>
        </w:rPr>
        <w:t>20</w:t>
      </w:r>
      <w:r>
        <w:rPr>
          <w:rFonts w:hint="eastAsia" w:ascii="宋体" w:hAnsi="宋体" w:cs="宋体"/>
          <w:b/>
          <w:bCs/>
          <w:sz w:val="24"/>
          <w:highlight w:val="none"/>
          <w:shd w:val="clear" w:color="auto" w:fill="FFFFFF"/>
        </w:rPr>
        <w:t>年</w:t>
      </w:r>
      <w:r>
        <w:rPr>
          <w:rFonts w:hint="eastAsia" w:ascii="宋体" w:hAnsi="宋体" w:cs="宋体"/>
          <w:b/>
          <w:bCs/>
          <w:sz w:val="24"/>
          <w:highlight w:val="none"/>
          <w:shd w:val="clear" w:color="auto" w:fill="FFFFFF"/>
          <w:lang w:val="en-US" w:eastAsia="zh-CN"/>
        </w:rPr>
        <w:t>4</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9</w:t>
      </w:r>
      <w:r>
        <w:rPr>
          <w:rFonts w:hint="eastAsia" w:ascii="宋体" w:hAnsi="宋体" w:cs="宋体"/>
          <w:b/>
          <w:bCs/>
          <w:sz w:val="24"/>
          <w:highlight w:val="none"/>
          <w:shd w:val="clear" w:color="auto" w:fill="FFFFFF"/>
        </w:rPr>
        <w:t>日</w:t>
      </w:r>
      <w:r>
        <w:rPr>
          <w:rFonts w:hint="eastAsia" w:ascii="宋体" w:hAnsi="宋体"/>
          <w:sz w:val="24"/>
          <w:highlight w:val="none"/>
        </w:rPr>
        <w:t>（不含节假日），每日上午</w:t>
      </w:r>
      <w:r>
        <w:rPr>
          <w:rFonts w:ascii="宋体" w:hAnsi="宋体"/>
          <w:sz w:val="24"/>
          <w:highlight w:val="none"/>
        </w:rPr>
        <w:t>9:00</w:t>
      </w:r>
      <w:r>
        <w:rPr>
          <w:rFonts w:hint="eastAsia" w:ascii="宋体" w:hAnsi="宋体"/>
          <w:sz w:val="24"/>
          <w:highlight w:val="none"/>
        </w:rPr>
        <w:t>时至</w:t>
      </w:r>
      <w:r>
        <w:rPr>
          <w:rFonts w:ascii="宋体" w:hAnsi="宋体"/>
          <w:sz w:val="24"/>
          <w:highlight w:val="none"/>
        </w:rPr>
        <w:t>11:30</w:t>
      </w:r>
      <w:r>
        <w:rPr>
          <w:rFonts w:hint="eastAsia" w:ascii="宋体" w:hAnsi="宋体"/>
          <w:sz w:val="24"/>
          <w:highlight w:val="none"/>
        </w:rPr>
        <w:t>时，下午</w:t>
      </w:r>
      <w:r>
        <w:rPr>
          <w:rFonts w:ascii="宋体" w:hAnsi="宋体"/>
          <w:sz w:val="24"/>
          <w:highlight w:val="none"/>
        </w:rPr>
        <w:t>13:30</w:t>
      </w:r>
      <w:r>
        <w:rPr>
          <w:rFonts w:hint="eastAsia" w:ascii="宋体" w:hAnsi="宋体"/>
          <w:sz w:val="24"/>
          <w:highlight w:val="none"/>
        </w:rPr>
        <w:t>时至</w:t>
      </w:r>
      <w:r>
        <w:rPr>
          <w:rFonts w:ascii="宋体" w:hAnsi="宋体"/>
          <w:sz w:val="24"/>
          <w:highlight w:val="none"/>
        </w:rPr>
        <w:t>16:30</w:t>
      </w:r>
      <w:r>
        <w:rPr>
          <w:rFonts w:hint="eastAsia" w:ascii="宋体" w:hAnsi="宋体"/>
          <w:sz w:val="24"/>
          <w:highlight w:val="none"/>
        </w:rPr>
        <w:t>时（北京时间，下同），</w:t>
      </w:r>
      <w:r>
        <w:rPr>
          <w:rFonts w:hint="eastAsia" w:ascii="宋体" w:hAnsi="宋体"/>
          <w:sz w:val="24"/>
        </w:rPr>
        <w:t>按照以下方式获取招标文件（二选一）:</w:t>
      </w:r>
    </w:p>
    <w:p>
      <w:pPr>
        <w:keepNext w:val="0"/>
        <w:keepLines w:val="0"/>
        <w:pageBreakBefore w:val="0"/>
        <w:widowControl w:val="0"/>
        <w:kinsoku/>
        <w:wordWrap/>
        <w:overflowPunct/>
        <w:topLinePunct w:val="0"/>
        <w:autoSpaceDE/>
        <w:autoSpaceDN w:val="0"/>
        <w:bidi w:val="0"/>
        <w:adjustRightInd w:val="0"/>
        <w:snapToGrid w:val="0"/>
        <w:spacing w:line="460" w:lineRule="exact"/>
        <w:ind w:left="-94" w:leftChars="-45" w:firstLine="480" w:firstLineChars="200"/>
        <w:jc w:val="left"/>
        <w:textAlignment w:val="center"/>
        <w:rPr>
          <w:rFonts w:hint="eastAsia" w:ascii="宋体" w:hAnsi="宋体" w:eastAsia="宋体"/>
          <w:color w:val="000000"/>
          <w:sz w:val="24"/>
          <w:lang w:eastAsia="zh-CN"/>
        </w:rPr>
      </w:pPr>
      <w:r>
        <w:rPr>
          <w:rFonts w:hint="eastAsia" w:ascii="宋体" w:hAnsi="宋体"/>
          <w:sz w:val="24"/>
        </w:rPr>
        <w:t>（一）现场报名：持下列资料到山东省鲁成招标有限公司2407室（济南市经十路</w:t>
      </w:r>
      <w:r>
        <w:rPr>
          <w:rFonts w:ascii="宋体" w:hAnsi="宋体"/>
          <w:sz w:val="24"/>
        </w:rPr>
        <w:t>10567</w:t>
      </w:r>
      <w:r>
        <w:rPr>
          <w:rFonts w:hint="eastAsia" w:ascii="宋体" w:hAnsi="宋体"/>
          <w:sz w:val="24"/>
        </w:rPr>
        <w:t>号成城大厦</w:t>
      </w:r>
      <w:r>
        <w:rPr>
          <w:rFonts w:ascii="宋体" w:hAnsi="宋体"/>
          <w:sz w:val="24"/>
        </w:rPr>
        <w:t>A</w:t>
      </w:r>
      <w:r>
        <w:rPr>
          <w:rFonts w:hint="eastAsia" w:ascii="宋体" w:hAnsi="宋体"/>
          <w:sz w:val="24"/>
        </w:rPr>
        <w:t>座）报名并购买招标文件：（1）</w:t>
      </w:r>
      <w:r>
        <w:rPr>
          <w:rFonts w:hint="eastAsia" w:ascii="宋体" w:hAnsi="宋体"/>
          <w:color w:val="000000"/>
          <w:sz w:val="24"/>
        </w:rPr>
        <w:t>法定代表人证书或法人授权委托书</w:t>
      </w:r>
      <w:r>
        <w:rPr>
          <w:rFonts w:ascii="宋体" w:hAnsi="宋体"/>
          <w:color w:val="000000"/>
          <w:sz w:val="24"/>
        </w:rPr>
        <w:t>(</w:t>
      </w:r>
      <w:r>
        <w:rPr>
          <w:rFonts w:hint="eastAsia" w:ascii="宋体" w:hAnsi="宋体"/>
          <w:color w:val="000000"/>
          <w:sz w:val="24"/>
        </w:rPr>
        <w:t>原件</w:t>
      </w:r>
      <w:r>
        <w:rPr>
          <w:rFonts w:ascii="宋体" w:hAnsi="宋体"/>
          <w:color w:val="000000"/>
          <w:sz w:val="24"/>
        </w:rPr>
        <w:t>)</w:t>
      </w:r>
      <w:r>
        <w:rPr>
          <w:rFonts w:hint="eastAsia" w:ascii="宋体" w:hAnsi="宋体"/>
          <w:color w:val="000000"/>
          <w:sz w:val="24"/>
        </w:rPr>
        <w:t>、法定代表人或授权代表身份证；</w:t>
      </w:r>
      <w:r>
        <w:rPr>
          <w:rFonts w:hint="eastAsia" w:ascii="宋体"/>
          <w:color w:val="000000"/>
          <w:sz w:val="24"/>
        </w:rPr>
        <w:t>（2）</w:t>
      </w:r>
      <w:r>
        <w:rPr>
          <w:rFonts w:hint="eastAsia" w:ascii="宋体" w:hAnsi="宋体"/>
          <w:color w:val="000000"/>
          <w:sz w:val="24"/>
        </w:rPr>
        <w:t>《中华人民共和国政府采购法实施条例》第十七条第一款规定</w:t>
      </w:r>
      <w:r>
        <w:rPr>
          <w:rFonts w:hint="eastAsia" w:ascii="宋体" w:hAnsi="宋体"/>
          <w:color w:val="000000"/>
          <w:sz w:val="24"/>
          <w:lang w:val="en-US" w:eastAsia="zh-CN"/>
        </w:rPr>
        <w:t>的</w:t>
      </w:r>
      <w:r>
        <w:rPr>
          <w:rFonts w:hint="eastAsia" w:ascii="宋体" w:hAnsi="宋体"/>
          <w:color w:val="000000"/>
          <w:sz w:val="24"/>
        </w:rPr>
        <w:t>相关证明材料</w:t>
      </w:r>
      <w:r>
        <w:rPr>
          <w:rFonts w:hint="eastAsia" w:ascii="宋体" w:hAnsi="宋体"/>
          <w:color w:val="000000"/>
          <w:sz w:val="24"/>
          <w:lang w:val="en-US" w:eastAsia="zh-CN"/>
        </w:rPr>
        <w:t>加盖公章</w:t>
      </w:r>
      <w:r>
        <w:rPr>
          <w:rFonts w:hint="eastAsia" w:ascii="宋体" w:hAnsi="宋体"/>
          <w:color w:val="000000"/>
          <w:sz w:val="24"/>
        </w:rPr>
        <w:t>；</w:t>
      </w:r>
    </w:p>
    <w:p>
      <w:pPr>
        <w:pStyle w:val="2"/>
        <w:keepNext w:val="0"/>
        <w:keepLines w:val="0"/>
        <w:pageBreakBefore w:val="0"/>
        <w:kinsoku/>
        <w:wordWrap/>
        <w:overflowPunct/>
        <w:topLinePunct w:val="0"/>
        <w:autoSpaceDE/>
        <w:bidi w:val="0"/>
        <w:spacing w:line="460" w:lineRule="exact"/>
        <w:ind w:firstLine="480" w:firstLineChars="200"/>
        <w:rPr>
          <w:rFonts w:hint="eastAsia" w:ascii="宋体" w:hAnsi="宋体" w:cs="宋体"/>
        </w:rPr>
      </w:pPr>
      <w:r>
        <w:rPr>
          <w:rFonts w:hint="eastAsia" w:ascii="宋体" w:hAnsi="宋体" w:cs="宋体"/>
        </w:rPr>
        <w:t>（二）邮件报名：有意参加本次采购活动的供应商发送邮件。邮件内容：项目名称、项目编号、公司名称、联系人、联系电话、邮箱、《中华人民共和国政府采购法实施条例》第十七条第一款规定的相关证明材料加盖公章</w:t>
      </w:r>
      <w:r>
        <w:rPr>
          <w:rFonts w:hint="eastAsia" w:ascii="宋体" w:hAnsi="宋体" w:cs="宋体"/>
          <w:lang w:val="en-US" w:eastAsia="zh-CN"/>
        </w:rPr>
        <w:t>的扫描件</w:t>
      </w:r>
      <w:r>
        <w:rPr>
          <w:rFonts w:hint="eastAsia" w:ascii="宋体" w:hAnsi="宋体" w:cs="宋体"/>
        </w:rPr>
        <w:t>、授权委托书扫描件加盖公章</w:t>
      </w:r>
      <w:r>
        <w:rPr>
          <w:rFonts w:hint="eastAsia" w:ascii="宋体" w:hAnsi="宋体" w:cs="宋体"/>
          <w:lang w:eastAsia="zh-CN"/>
        </w:rPr>
        <w:t>、</w:t>
      </w:r>
      <w:r>
        <w:rPr>
          <w:rFonts w:hint="eastAsia" w:ascii="宋体" w:hAnsi="宋体" w:cs="宋体"/>
        </w:rPr>
        <w:t>标书费汇款底单发送至山东省鲁成招标有限公司邮箱lczb08@126.com，邮件名称命名为：</w:t>
      </w:r>
      <w:r>
        <w:rPr>
          <w:rFonts w:hint="eastAsia" w:ascii="宋体" w:hAnsi="宋体" w:cs="宋体"/>
          <w:lang w:val="en-US" w:eastAsia="zh-CN"/>
        </w:rPr>
        <w:t>投标</w:t>
      </w:r>
      <w:r>
        <w:rPr>
          <w:rFonts w:hint="eastAsia" w:ascii="宋体" w:hAnsi="宋体" w:cs="宋体"/>
        </w:rPr>
        <w:t>单位名称-项目名称-报名。(提交标书费须从公司基本账户或一般账户转出，须标明项目编号、我公司开户银行：中国农业银行济南分行、开户名：山东省鲁成招标有限公司、银行账号：15110101040001136)</w:t>
      </w:r>
    </w:p>
    <w:p>
      <w:pPr>
        <w:keepNext w:val="0"/>
        <w:keepLines w:val="0"/>
        <w:pageBreakBefore w:val="0"/>
        <w:kinsoku/>
        <w:wordWrap/>
        <w:overflowPunct/>
        <w:topLinePunct w:val="0"/>
        <w:autoSpaceDE/>
        <w:autoSpaceDN w:val="0"/>
        <w:bidi w:val="0"/>
        <w:adjustRightInd w:val="0"/>
        <w:snapToGrid w:val="0"/>
        <w:spacing w:line="460" w:lineRule="exact"/>
        <w:ind w:firstLine="723" w:firstLineChars="300"/>
        <w:jc w:val="left"/>
        <w:textAlignment w:val="center"/>
        <w:rPr>
          <w:rFonts w:hint="eastAsia"/>
          <w:color w:val="C00000"/>
        </w:rPr>
      </w:pPr>
      <w:r>
        <w:rPr>
          <w:rFonts w:hint="eastAsia" w:ascii="宋体" w:hAnsi="宋体" w:cs="宋体"/>
          <w:b/>
          <w:bCs w:val="0"/>
          <w:color w:val="C00000"/>
          <w:kern w:val="0"/>
          <w:sz w:val="24"/>
          <w:szCs w:val="24"/>
          <w:highlight w:val="none"/>
          <w:lang w:val="en-US" w:eastAsia="zh-CN"/>
        </w:rPr>
        <w:t>（注：疫情期间提倡通过邮件形式报名）</w:t>
      </w:r>
    </w:p>
    <w:p>
      <w:pPr>
        <w:keepNext w:val="0"/>
        <w:keepLines w:val="0"/>
        <w:pageBreakBefore w:val="0"/>
        <w:kinsoku/>
        <w:wordWrap/>
        <w:overflowPunct/>
        <w:topLinePunct w:val="0"/>
        <w:autoSpaceDE/>
        <w:bidi w:val="0"/>
        <w:adjustRightInd w:val="0"/>
        <w:snapToGrid w:val="0"/>
        <w:spacing w:line="460" w:lineRule="exact"/>
        <w:ind w:firstLine="480" w:firstLineChars="200"/>
        <w:rPr>
          <w:rFonts w:ascii="宋体" w:hAnsi="宋体" w:cs="宋体"/>
          <w:sz w:val="24"/>
          <w:szCs w:val="20"/>
        </w:rPr>
      </w:pPr>
      <w:r>
        <w:rPr>
          <w:rFonts w:hint="eastAsia" w:ascii="宋体" w:hAnsi="宋体" w:cs="宋体"/>
          <w:sz w:val="24"/>
          <w:szCs w:val="20"/>
        </w:rPr>
        <w:t>根据财库〔</w:t>
      </w:r>
      <w:r>
        <w:rPr>
          <w:rFonts w:ascii="宋体" w:hAnsi="宋体" w:cs="宋体"/>
          <w:sz w:val="24"/>
          <w:szCs w:val="20"/>
        </w:rPr>
        <w:t>2016</w:t>
      </w:r>
      <w:r>
        <w:rPr>
          <w:rFonts w:hint="eastAsia" w:ascii="宋体" w:hAnsi="宋体" w:cs="宋体"/>
          <w:sz w:val="24"/>
          <w:szCs w:val="20"/>
        </w:rPr>
        <w:t>〕</w:t>
      </w:r>
      <w:r>
        <w:rPr>
          <w:rFonts w:ascii="宋体" w:hAnsi="宋体" w:cs="宋体"/>
          <w:sz w:val="24"/>
          <w:szCs w:val="20"/>
        </w:rPr>
        <w:t>125</w:t>
      </w:r>
      <w:r>
        <w:rPr>
          <w:rFonts w:hint="eastAsia" w:ascii="宋体" w:hAnsi="宋体" w:cs="宋体"/>
          <w:sz w:val="24"/>
          <w:szCs w:val="20"/>
        </w:rPr>
        <w:t>号文的规定，采购代理机构应当通过“信用中国”网站</w:t>
      </w:r>
      <w:r>
        <w:rPr>
          <w:rFonts w:ascii="宋体" w:hAnsi="宋体" w:cs="宋体"/>
          <w:sz w:val="24"/>
          <w:szCs w:val="20"/>
        </w:rPr>
        <w:t>(www.creditchina.gov.cn)</w:t>
      </w:r>
      <w:r>
        <w:rPr>
          <w:rFonts w:hint="eastAsia" w:ascii="宋体" w:hAnsi="宋体" w:cs="宋体"/>
          <w:sz w:val="24"/>
          <w:szCs w:val="20"/>
        </w:rPr>
        <w:t>、中国政府采购网</w:t>
      </w:r>
      <w:r>
        <w:rPr>
          <w:rFonts w:ascii="宋体" w:hAnsi="宋体" w:cs="宋体"/>
          <w:sz w:val="24"/>
          <w:szCs w:val="20"/>
        </w:rPr>
        <w:t>(www.ccgp.gov.cn)</w:t>
      </w:r>
      <w:r>
        <w:rPr>
          <w:rFonts w:hint="eastAsia" w:ascii="宋体" w:hAnsi="宋体" w:cs="宋体"/>
          <w:sz w:val="24"/>
          <w:szCs w:val="20"/>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pStyle w:val="2"/>
        <w:keepNext w:val="0"/>
        <w:keepLines w:val="0"/>
        <w:pageBreakBefore w:val="0"/>
        <w:kinsoku/>
        <w:wordWrap/>
        <w:overflowPunct/>
        <w:topLinePunct w:val="0"/>
        <w:autoSpaceDE/>
        <w:bidi w:val="0"/>
        <w:spacing w:line="460" w:lineRule="exact"/>
        <w:ind w:firstLine="480" w:firstLineChars="200"/>
      </w:pPr>
      <w:r>
        <w:rPr>
          <w:rFonts w:hint="eastAsia" w:ascii="宋体" w:hAnsi="宋体" w:cs="宋体"/>
        </w:rPr>
        <w:t>报名时提交的资料查验不代表资格审查的最终合格或通过。供应商最终资格的确认以评标委员会组织的资格后审为准。</w:t>
      </w:r>
    </w:p>
    <w:p>
      <w:pPr>
        <w:keepNext w:val="0"/>
        <w:keepLines w:val="0"/>
        <w:pageBreakBefore w:val="0"/>
        <w:kinsoku/>
        <w:wordWrap/>
        <w:overflowPunct/>
        <w:topLinePunct w:val="0"/>
        <w:autoSpaceDE/>
        <w:autoSpaceDN w:val="0"/>
        <w:bidi w:val="0"/>
        <w:adjustRightInd w:val="0"/>
        <w:snapToGrid w:val="0"/>
        <w:spacing w:line="460" w:lineRule="exact"/>
        <w:ind w:firstLine="480"/>
        <w:jc w:val="left"/>
        <w:textAlignment w:val="center"/>
        <w:rPr>
          <w:rFonts w:ascii="宋体" w:hAnsi="宋体"/>
          <w:color w:val="000000"/>
          <w:sz w:val="24"/>
          <w:highlight w:val="none"/>
        </w:rPr>
      </w:pPr>
      <w:r>
        <w:rPr>
          <w:rFonts w:hint="eastAsia" w:ascii="宋体" w:hAnsi="宋体" w:cs="宋体"/>
          <w:bCs/>
          <w:kern w:val="0"/>
          <w:sz w:val="24"/>
          <w:highlight w:val="none"/>
        </w:rPr>
        <w:t>7</w:t>
      </w:r>
      <w:r>
        <w:rPr>
          <w:rFonts w:ascii="宋体" w:hAnsi="宋体" w:cs="宋体"/>
          <w:bCs/>
          <w:kern w:val="0"/>
          <w:sz w:val="24"/>
          <w:highlight w:val="none"/>
        </w:rPr>
        <w:t>.2</w:t>
      </w:r>
      <w:r>
        <w:rPr>
          <w:rFonts w:hint="eastAsia" w:ascii="宋体" w:hAnsi="宋体" w:cs="宋体"/>
          <w:sz w:val="24"/>
          <w:highlight w:val="none"/>
        </w:rPr>
        <w:t>招标文件</w:t>
      </w:r>
      <w:r>
        <w:rPr>
          <w:rFonts w:hint="eastAsia" w:ascii="宋体" w:hAnsi="宋体" w:cs="宋体"/>
          <w:bCs/>
          <w:kern w:val="0"/>
          <w:sz w:val="24"/>
          <w:highlight w:val="none"/>
        </w:rPr>
        <w:t>工本费：</w:t>
      </w:r>
      <w:r>
        <w:rPr>
          <w:rFonts w:ascii="宋体" w:hAnsi="宋体" w:cs="宋体"/>
          <w:bCs/>
          <w:kern w:val="0"/>
          <w:sz w:val="24"/>
          <w:highlight w:val="none"/>
        </w:rPr>
        <w:t>300</w:t>
      </w:r>
      <w:r>
        <w:rPr>
          <w:rFonts w:hint="eastAsia" w:ascii="宋体" w:hAnsi="宋体" w:cs="宋体"/>
          <w:bCs/>
          <w:kern w:val="0"/>
          <w:sz w:val="24"/>
          <w:highlight w:val="none"/>
        </w:rPr>
        <w:t>元</w:t>
      </w:r>
      <w:r>
        <w:rPr>
          <w:rFonts w:ascii="宋体" w:hAnsi="宋体" w:cs="宋体"/>
          <w:bCs/>
          <w:kern w:val="0"/>
          <w:sz w:val="24"/>
          <w:highlight w:val="none"/>
        </w:rPr>
        <w:t>/</w:t>
      </w:r>
      <w:r>
        <w:rPr>
          <w:rFonts w:hint="eastAsia" w:ascii="宋体" w:hAnsi="宋体" w:cs="宋体"/>
          <w:bCs/>
          <w:kern w:val="0"/>
          <w:sz w:val="24"/>
          <w:highlight w:val="none"/>
        </w:rPr>
        <w:t>本，</w:t>
      </w:r>
      <w:r>
        <w:rPr>
          <w:rFonts w:hint="eastAsia" w:ascii="宋体" w:hAnsi="宋体" w:cs="宋体"/>
          <w:sz w:val="24"/>
          <w:highlight w:val="none"/>
        </w:rPr>
        <w:t>招标文件</w:t>
      </w:r>
      <w:r>
        <w:rPr>
          <w:rFonts w:hint="eastAsia" w:ascii="宋体" w:hAnsi="宋体" w:cs="宋体"/>
          <w:bCs/>
          <w:kern w:val="0"/>
          <w:sz w:val="24"/>
          <w:highlight w:val="none"/>
        </w:rPr>
        <w:t>售后不退。</w:t>
      </w:r>
    </w:p>
    <w:p>
      <w:pPr>
        <w:keepNext w:val="0"/>
        <w:keepLines w:val="0"/>
        <w:pageBreakBefore w:val="0"/>
        <w:kinsoku/>
        <w:wordWrap/>
        <w:overflowPunct/>
        <w:topLinePunct w:val="0"/>
        <w:autoSpaceDE/>
        <w:bidi w:val="0"/>
        <w:adjustRightInd w:val="0"/>
        <w:snapToGrid w:val="0"/>
        <w:spacing w:line="460" w:lineRule="exact"/>
        <w:rPr>
          <w:rFonts w:ascii="宋体" w:hAnsi="宋体"/>
          <w:color w:val="000000"/>
          <w:sz w:val="24"/>
          <w:highlight w:val="none"/>
        </w:rPr>
      </w:pPr>
      <w:r>
        <w:rPr>
          <w:rFonts w:hint="eastAsia" w:ascii="宋体" w:hAnsi="宋体" w:cs="宋体"/>
          <w:b/>
          <w:sz w:val="24"/>
          <w:highlight w:val="none"/>
        </w:rPr>
        <w:t>8、公告期限：</w:t>
      </w:r>
      <w:r>
        <w:rPr>
          <w:rFonts w:ascii="宋体" w:hAnsi="宋体"/>
          <w:sz w:val="24"/>
          <w:highlight w:val="none"/>
        </w:rPr>
        <w:t>20</w:t>
      </w:r>
      <w:r>
        <w:rPr>
          <w:rFonts w:hint="eastAsia" w:ascii="宋体" w:hAnsi="宋体"/>
          <w:sz w:val="24"/>
          <w:highlight w:val="none"/>
          <w:lang w:val="en-US" w:eastAsia="zh-CN"/>
        </w:rPr>
        <w:t>20</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2</w:t>
      </w:r>
      <w:r>
        <w:rPr>
          <w:rFonts w:hint="eastAsia" w:ascii="宋体" w:hAnsi="宋体"/>
          <w:sz w:val="24"/>
          <w:highlight w:val="none"/>
        </w:rPr>
        <w:t>日至</w:t>
      </w:r>
      <w:r>
        <w:rPr>
          <w:rFonts w:ascii="宋体" w:hAnsi="宋体"/>
          <w:sz w:val="24"/>
          <w:highlight w:val="none"/>
        </w:rPr>
        <w:t>20</w:t>
      </w:r>
      <w:r>
        <w:rPr>
          <w:rFonts w:hint="eastAsia" w:ascii="宋体" w:hAnsi="宋体"/>
          <w:sz w:val="24"/>
          <w:highlight w:val="none"/>
          <w:lang w:val="en-US" w:eastAsia="zh-CN"/>
        </w:rPr>
        <w:t>20</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9</w:t>
      </w:r>
      <w:r>
        <w:rPr>
          <w:rFonts w:hint="eastAsia" w:ascii="宋体" w:hAnsi="宋体"/>
          <w:sz w:val="24"/>
          <w:highlight w:val="none"/>
        </w:rPr>
        <w:t>日（不含节假日）</w:t>
      </w:r>
    </w:p>
    <w:p>
      <w:pPr>
        <w:keepNext w:val="0"/>
        <w:keepLines w:val="0"/>
        <w:pageBreakBefore w:val="0"/>
        <w:kinsoku/>
        <w:wordWrap/>
        <w:overflowPunct/>
        <w:topLinePunct w:val="0"/>
        <w:autoSpaceDE/>
        <w:bidi w:val="0"/>
        <w:adjustRightInd w:val="0"/>
        <w:snapToGrid w:val="0"/>
        <w:spacing w:line="460" w:lineRule="exact"/>
        <w:rPr>
          <w:rFonts w:ascii="宋体" w:cs="宋体"/>
          <w:b/>
          <w:sz w:val="24"/>
          <w:highlight w:val="none"/>
        </w:rPr>
      </w:pPr>
      <w:r>
        <w:rPr>
          <w:rFonts w:hint="eastAsia" w:ascii="宋体" w:hAnsi="宋体" w:cs="宋体"/>
          <w:b/>
          <w:sz w:val="24"/>
          <w:highlight w:val="none"/>
        </w:rPr>
        <w:t>9、投标文件递交截止时间及开标时间：</w:t>
      </w:r>
    </w:p>
    <w:p>
      <w:pPr>
        <w:keepNext w:val="0"/>
        <w:keepLines w:val="0"/>
        <w:pageBreakBefore w:val="0"/>
        <w:kinsoku/>
        <w:wordWrap/>
        <w:overflowPunct/>
        <w:topLinePunct w:val="0"/>
        <w:autoSpaceDE/>
        <w:bidi w:val="0"/>
        <w:adjustRightInd w:val="0"/>
        <w:snapToGrid w:val="0"/>
        <w:spacing w:line="460" w:lineRule="exact"/>
        <w:ind w:firstLine="480" w:firstLineChars="200"/>
        <w:rPr>
          <w:rFonts w:ascii="宋体" w:cs="宋体"/>
          <w:kern w:val="0"/>
          <w:sz w:val="24"/>
          <w:highlight w:val="none"/>
        </w:rPr>
      </w:pPr>
      <w:r>
        <w:rPr>
          <w:rFonts w:hint="eastAsia" w:ascii="宋体" w:hAnsi="宋体" w:cs="宋体"/>
          <w:kern w:val="0"/>
          <w:sz w:val="24"/>
          <w:highlight w:val="none"/>
        </w:rPr>
        <w:t>9</w:t>
      </w:r>
      <w:r>
        <w:rPr>
          <w:rFonts w:ascii="宋体" w:hAnsi="宋体" w:cs="宋体"/>
          <w:kern w:val="0"/>
          <w:sz w:val="24"/>
          <w:highlight w:val="none"/>
        </w:rPr>
        <w:t>.1</w:t>
      </w:r>
      <w:r>
        <w:rPr>
          <w:rFonts w:hint="eastAsia" w:ascii="宋体" w:hAnsi="宋体" w:cs="宋体"/>
          <w:kern w:val="0"/>
          <w:sz w:val="24"/>
          <w:highlight w:val="none"/>
        </w:rPr>
        <w:t>投标文件递交截止时间及开标时间：</w:t>
      </w:r>
      <w:r>
        <w:rPr>
          <w:rFonts w:ascii="宋体" w:hAnsi="宋体"/>
          <w:sz w:val="24"/>
          <w:highlight w:val="none"/>
        </w:rPr>
        <w:t>20</w:t>
      </w:r>
      <w:r>
        <w:rPr>
          <w:rFonts w:hint="eastAsia" w:ascii="宋体" w:hAnsi="宋体"/>
          <w:sz w:val="24"/>
          <w:highlight w:val="none"/>
          <w:lang w:val="en-US" w:eastAsia="zh-CN"/>
        </w:rPr>
        <w:t>20</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28</w:t>
      </w:r>
      <w:r>
        <w:rPr>
          <w:rFonts w:hint="eastAsia" w:ascii="宋体" w:hAnsi="宋体"/>
          <w:sz w:val="24"/>
          <w:highlight w:val="none"/>
        </w:rPr>
        <w:t>日</w:t>
      </w:r>
      <w:r>
        <w:rPr>
          <w:rFonts w:ascii="宋体" w:hAnsi="宋体"/>
          <w:sz w:val="24"/>
          <w:highlight w:val="none"/>
        </w:rPr>
        <w:t>9:00</w:t>
      </w:r>
      <w:r>
        <w:rPr>
          <w:rFonts w:hint="eastAsia" w:ascii="宋体" w:hAnsi="宋体"/>
          <w:sz w:val="24"/>
          <w:highlight w:val="none"/>
        </w:rPr>
        <w:t>时（北京时间）；</w:t>
      </w:r>
    </w:p>
    <w:p>
      <w:pPr>
        <w:keepNext w:val="0"/>
        <w:keepLines w:val="0"/>
        <w:pageBreakBefore w:val="0"/>
        <w:kinsoku/>
        <w:wordWrap/>
        <w:overflowPunct/>
        <w:topLinePunct w:val="0"/>
        <w:autoSpaceDE/>
        <w:bidi w:val="0"/>
        <w:adjustRightInd w:val="0"/>
        <w:snapToGrid w:val="0"/>
        <w:spacing w:line="460" w:lineRule="exact"/>
        <w:rPr>
          <w:rFonts w:ascii="宋体" w:cs="宋体"/>
          <w:kern w:val="0"/>
          <w:sz w:val="24"/>
          <w:highlight w:val="none"/>
        </w:rPr>
      </w:pPr>
      <w:r>
        <w:rPr>
          <w:rFonts w:hint="eastAsia" w:ascii="宋体" w:hAnsi="宋体" w:cs="宋体"/>
          <w:kern w:val="0"/>
          <w:sz w:val="24"/>
          <w:highlight w:val="none"/>
        </w:rPr>
        <w:t xml:space="preserve">       投标文件递交地点及开标地点：</w:t>
      </w:r>
      <w:bookmarkStart w:id="1" w:name="OLE_LINK2"/>
      <w:bookmarkStart w:id="2" w:name="OLE_LINK1"/>
      <w:r>
        <w:rPr>
          <w:rFonts w:hint="eastAsia" w:ascii="宋体" w:hAnsi="宋体"/>
          <w:color w:val="000000"/>
          <w:sz w:val="24"/>
          <w:highlight w:val="none"/>
        </w:rPr>
        <w:t>山东大学第二医院办公楼五楼会议室（地址：济南市天桥区北园大街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1"/>
      <w:bookmarkEnd w:id="2"/>
      <w:r>
        <w:rPr>
          <w:rFonts w:hint="eastAsia" w:ascii="宋体" w:hAnsi="宋体"/>
          <w:color w:val="000000"/>
          <w:sz w:val="24"/>
          <w:highlight w:val="none"/>
        </w:rPr>
        <w:t>（如需变更另行通知）；</w:t>
      </w:r>
    </w:p>
    <w:p>
      <w:pPr>
        <w:keepNext w:val="0"/>
        <w:keepLines w:val="0"/>
        <w:pageBreakBefore w:val="0"/>
        <w:widowControl/>
        <w:kinsoku/>
        <w:wordWrap/>
        <w:overflowPunct/>
        <w:topLinePunct w:val="0"/>
        <w:autoSpaceDE/>
        <w:bidi w:val="0"/>
        <w:adjustRightInd w:val="0"/>
        <w:snapToGrid w:val="0"/>
        <w:spacing w:line="460" w:lineRule="exact"/>
        <w:ind w:firstLine="480" w:firstLineChars="200"/>
        <w:jc w:val="left"/>
        <w:rPr>
          <w:rFonts w:ascii="宋体" w:cs="宋体"/>
          <w:kern w:val="0"/>
          <w:sz w:val="24"/>
          <w:highlight w:val="none"/>
        </w:rPr>
      </w:pPr>
      <w:r>
        <w:rPr>
          <w:rFonts w:hint="eastAsia" w:ascii="宋体" w:hAnsi="宋体" w:cs="宋体"/>
          <w:kern w:val="0"/>
          <w:sz w:val="24"/>
          <w:highlight w:val="none"/>
        </w:rPr>
        <w:t>9</w:t>
      </w:r>
      <w:r>
        <w:rPr>
          <w:rFonts w:ascii="宋体" w:hAnsi="宋体" w:cs="宋体"/>
          <w:kern w:val="0"/>
          <w:sz w:val="24"/>
          <w:highlight w:val="none"/>
        </w:rPr>
        <w:t>.2</w:t>
      </w:r>
      <w:r>
        <w:rPr>
          <w:rFonts w:hint="eastAsia" w:ascii="宋体" w:hAnsi="宋体" w:cs="宋体"/>
          <w:kern w:val="0"/>
          <w:sz w:val="24"/>
          <w:highlight w:val="none"/>
        </w:rPr>
        <w:t>逾期送达的或者未送达指定地点的投标文件，采购人不予受理。</w:t>
      </w:r>
    </w:p>
    <w:p>
      <w:pPr>
        <w:keepNext w:val="0"/>
        <w:keepLines w:val="0"/>
        <w:pageBreakBefore w:val="0"/>
        <w:widowControl/>
        <w:kinsoku/>
        <w:wordWrap/>
        <w:overflowPunct/>
        <w:topLinePunct w:val="0"/>
        <w:autoSpaceDE/>
        <w:bidi w:val="0"/>
        <w:adjustRightInd w:val="0"/>
        <w:snapToGrid w:val="0"/>
        <w:spacing w:line="460" w:lineRule="exact"/>
        <w:jc w:val="left"/>
        <w:rPr>
          <w:rFonts w:ascii="宋体" w:cs="宋体"/>
          <w:kern w:val="0"/>
          <w:sz w:val="18"/>
          <w:szCs w:val="18"/>
          <w:highlight w:val="none"/>
        </w:rPr>
      </w:pPr>
      <w:r>
        <w:rPr>
          <w:rFonts w:ascii="宋体" w:hAnsi="宋体" w:cs="宋体"/>
          <w:b/>
          <w:sz w:val="24"/>
          <w:highlight w:val="none"/>
        </w:rPr>
        <w:t>1</w:t>
      </w:r>
      <w:r>
        <w:rPr>
          <w:rFonts w:hint="eastAsia" w:ascii="宋体" w:hAnsi="宋体" w:cs="宋体"/>
          <w:b/>
          <w:sz w:val="24"/>
          <w:highlight w:val="none"/>
        </w:rPr>
        <w:t>0、</w:t>
      </w:r>
      <w:r>
        <w:rPr>
          <w:rFonts w:hint="eastAsia" w:ascii="宋体" w:hAnsi="宋体" w:cs="宋体"/>
          <w:b/>
          <w:bCs/>
          <w:kern w:val="0"/>
          <w:sz w:val="24"/>
          <w:highlight w:val="none"/>
        </w:rPr>
        <w:t>发布公告的媒介</w:t>
      </w:r>
    </w:p>
    <w:p>
      <w:pPr>
        <w:keepNext w:val="0"/>
        <w:keepLines w:val="0"/>
        <w:pageBreakBefore w:val="0"/>
        <w:widowControl/>
        <w:kinsoku/>
        <w:wordWrap/>
        <w:overflowPunct/>
        <w:topLinePunct w:val="0"/>
        <w:autoSpaceDE/>
        <w:bidi w:val="0"/>
        <w:adjustRightInd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本次招标公告在中国政府采购网、中国招标投标公共服务平台、山东大学第二医院官方网站同时发布。</w:t>
      </w:r>
    </w:p>
    <w:p>
      <w:pPr>
        <w:keepNext w:val="0"/>
        <w:keepLines w:val="0"/>
        <w:pageBreakBefore w:val="0"/>
        <w:widowControl/>
        <w:kinsoku/>
        <w:wordWrap/>
        <w:overflowPunct/>
        <w:topLinePunct w:val="0"/>
        <w:autoSpaceDE/>
        <w:bidi w:val="0"/>
        <w:adjustRightInd w:val="0"/>
        <w:snapToGrid w:val="0"/>
        <w:spacing w:line="460" w:lineRule="exact"/>
        <w:jc w:val="left"/>
        <w:rPr>
          <w:rFonts w:ascii="宋体" w:hAnsi="宋体" w:cs="宋体"/>
          <w:b/>
          <w:bCs/>
          <w:kern w:val="0"/>
          <w:sz w:val="24"/>
          <w:highlight w:val="none"/>
        </w:rPr>
      </w:pPr>
      <w:r>
        <w:rPr>
          <w:rFonts w:ascii="宋体" w:hAnsi="宋体" w:cs="宋体"/>
          <w:b/>
          <w:bCs/>
          <w:kern w:val="0"/>
          <w:sz w:val="24"/>
          <w:highlight w:val="none"/>
        </w:rPr>
        <w:t>1</w:t>
      </w:r>
      <w:r>
        <w:rPr>
          <w:rFonts w:hint="eastAsia" w:ascii="宋体" w:hAnsi="宋体" w:cs="宋体"/>
          <w:b/>
          <w:bCs/>
          <w:kern w:val="0"/>
          <w:sz w:val="24"/>
          <w:highlight w:val="none"/>
        </w:rPr>
        <w:t>1、采购项目需要落实的政府采购政策：</w:t>
      </w:r>
    </w:p>
    <w:p>
      <w:pPr>
        <w:keepNext w:val="0"/>
        <w:keepLines w:val="0"/>
        <w:pageBreakBefore w:val="0"/>
        <w:widowControl/>
        <w:kinsoku/>
        <w:wordWrap/>
        <w:overflowPunct/>
        <w:topLinePunct w:val="0"/>
        <w:autoSpaceDE/>
        <w:bidi w:val="0"/>
        <w:adjustRightInd w:val="0"/>
        <w:snapToGrid w:val="0"/>
        <w:spacing w:line="460" w:lineRule="exact"/>
        <w:ind w:firstLine="410"/>
        <w:jc w:val="left"/>
        <w:rPr>
          <w:rFonts w:ascii="宋体" w:hAnsi="宋体" w:cs="宋体"/>
          <w:b/>
          <w:bCs/>
          <w:kern w:val="0"/>
          <w:sz w:val="24"/>
          <w:highlight w:val="none"/>
        </w:rPr>
      </w:pPr>
      <w:r>
        <w:rPr>
          <w:rFonts w:hint="eastAsia" w:ascii="宋体" w:hAnsi="宋体" w:cs="宋体"/>
          <w:kern w:val="0"/>
          <w:sz w:val="24"/>
          <w:highlight w:val="none"/>
        </w:rPr>
        <w:t xml:space="preserve"> 本采购项目需落实节能产品、环境标志产品、中小型企业、监狱企业及残疾人福利性单位的优惠政策和办法，具体要求详见招标文件。</w:t>
      </w:r>
    </w:p>
    <w:p>
      <w:pPr>
        <w:pStyle w:val="20"/>
        <w:tabs>
          <w:tab w:val="left" w:pos="0"/>
        </w:tabs>
        <w:spacing w:line="240" w:lineRule="auto"/>
        <w:ind w:left="0" w:leftChars="0" w:firstLine="0" w:firstLineChars="0"/>
        <w:jc w:val="both"/>
        <w:outlineLvl w:val="0"/>
        <w:rPr>
          <w:rFonts w:hint="eastAsia" w:ascii="宋体" w:hAnsi="宋体"/>
          <w:b/>
          <w:sz w:val="36"/>
          <w:highlight w:val="none"/>
        </w:rPr>
      </w:pPr>
    </w:p>
    <w:p>
      <w:pPr>
        <w:rPr>
          <w:rFonts w:hint="eastAsia" w:ascii="宋体" w:hAnsi="宋体"/>
          <w:b/>
          <w:sz w:val="36"/>
          <w:highlight w:val="none"/>
        </w:rPr>
      </w:pPr>
      <w:r>
        <w:rPr>
          <w:rFonts w:hint="eastAsia" w:ascii="宋体" w:hAnsi="宋体"/>
          <w:b/>
          <w:sz w:val="36"/>
          <w:highlight w:val="none"/>
        </w:rPr>
        <w:br w:type="page"/>
      </w:r>
    </w:p>
    <w:p>
      <w:pPr>
        <w:pStyle w:val="20"/>
        <w:tabs>
          <w:tab w:val="left" w:pos="0"/>
        </w:tabs>
        <w:spacing w:line="240" w:lineRule="auto"/>
        <w:ind w:left="0" w:leftChars="0" w:firstLine="0" w:firstLineChars="0"/>
        <w:jc w:val="center"/>
        <w:outlineLvl w:val="0"/>
        <w:rPr>
          <w:rFonts w:ascii="宋体" w:cs="宋体"/>
          <w:highlight w:val="none"/>
        </w:rPr>
      </w:pPr>
      <w:r>
        <w:rPr>
          <w:rFonts w:hint="eastAsia" w:ascii="宋体" w:hAnsi="宋体"/>
          <w:b/>
          <w:sz w:val="36"/>
          <w:highlight w:val="none"/>
        </w:rPr>
        <w:t>第二部分投标人须知</w:t>
      </w:r>
      <w:bookmarkEnd w:id="0"/>
    </w:p>
    <w:p>
      <w:pPr>
        <w:pStyle w:val="88"/>
        <w:spacing w:before="240"/>
        <w:outlineLvl w:val="1"/>
        <w:rPr>
          <w:highlight w:val="none"/>
        </w:rPr>
      </w:pPr>
      <w:bookmarkStart w:id="3" w:name="_Toc243041162"/>
      <w:bookmarkStart w:id="4" w:name="_Toc1284"/>
      <w:r>
        <w:rPr>
          <w:rFonts w:hint="eastAsia"/>
          <w:highlight w:val="none"/>
        </w:rPr>
        <w:t>投标人须知前附表</w:t>
      </w:r>
      <w:bookmarkEnd w:id="3"/>
      <w:bookmarkEnd w:id="4"/>
    </w:p>
    <w:tbl>
      <w:tblPr>
        <w:tblStyle w:val="49"/>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432"/>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序号</w:t>
            </w:r>
          </w:p>
        </w:tc>
        <w:tc>
          <w:tcPr>
            <w:tcW w:w="2432" w:type="dxa"/>
            <w:vAlign w:val="center"/>
          </w:tcPr>
          <w:p>
            <w:pPr>
              <w:pStyle w:val="20"/>
              <w:tabs>
                <w:tab w:val="left" w:pos="0"/>
                <w:tab w:val="left" w:pos="955"/>
              </w:tabs>
              <w:snapToGrid w:val="0"/>
              <w:spacing w:line="360" w:lineRule="auto"/>
              <w:ind w:left="0" w:leftChars="0" w:firstLine="0" w:firstLineChars="0"/>
              <w:rPr>
                <w:rFonts w:ascii="宋体" w:cs="宋体"/>
                <w:highlight w:val="none"/>
              </w:rPr>
            </w:pPr>
            <w:r>
              <w:rPr>
                <w:rFonts w:ascii="宋体" w:hAnsi="宋体" w:cs="宋体"/>
                <w:highlight w:val="none"/>
              </w:rPr>
              <w:t xml:space="preserve">    </w:t>
            </w:r>
            <w:r>
              <w:rPr>
                <w:rFonts w:hint="eastAsia" w:ascii="宋体" w:hAnsi="宋体" w:cs="宋体"/>
                <w:highlight w:val="none"/>
              </w:rPr>
              <w:t>项</w:t>
            </w:r>
            <w:r>
              <w:rPr>
                <w:rFonts w:ascii="宋体" w:hAnsi="宋体" w:cs="宋体"/>
                <w:highlight w:val="none"/>
              </w:rPr>
              <w:t xml:space="preserve">    </w:t>
            </w:r>
            <w:r>
              <w:rPr>
                <w:rFonts w:hint="eastAsia" w:ascii="宋体" w:hAnsi="宋体" w:cs="宋体"/>
                <w:highlight w:val="none"/>
              </w:rPr>
              <w:t>目</w:t>
            </w:r>
          </w:p>
        </w:tc>
        <w:tc>
          <w:tcPr>
            <w:tcW w:w="6569" w:type="dxa"/>
            <w:vAlign w:val="center"/>
          </w:tcPr>
          <w:p>
            <w:pPr>
              <w:pStyle w:val="20"/>
              <w:tabs>
                <w:tab w:val="left" w:pos="0"/>
                <w:tab w:val="left" w:pos="955"/>
              </w:tabs>
              <w:snapToGrid w:val="0"/>
              <w:spacing w:line="360" w:lineRule="auto"/>
              <w:ind w:left="0" w:leftChars="0" w:firstLine="960" w:firstLineChars="400"/>
              <w:rPr>
                <w:rFonts w:ascii="宋体" w:cs="宋体"/>
                <w:highlight w:val="none"/>
              </w:rPr>
            </w:pPr>
            <w:r>
              <w:rPr>
                <w:rFonts w:ascii="宋体" w:hAnsi="宋体" w:cs="宋体"/>
                <w:highlight w:val="none"/>
              </w:rPr>
              <w:t xml:space="preserve">            </w:t>
            </w:r>
            <w:r>
              <w:rPr>
                <w:rFonts w:hint="eastAsia" w:ascii="宋体" w:hAnsi="宋体" w:cs="宋体"/>
                <w:highlight w:val="none"/>
              </w:rPr>
              <w:t>内</w:t>
            </w:r>
            <w:r>
              <w:rPr>
                <w:rFonts w:ascii="宋体" w:hAnsi="宋体" w:cs="宋体"/>
                <w:highlight w:val="none"/>
              </w:rPr>
              <w:t xml:space="preserve">       </w:t>
            </w:r>
            <w:r>
              <w:rPr>
                <w:rFonts w:hint="eastAsia" w:ascii="宋体" w:hAnsi="宋体" w:cs="宋体"/>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招标人</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招标人：山东大学第二医院</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址：济南市天桥区北园路</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p>
          <w:p>
            <w:pPr>
              <w:pStyle w:val="111"/>
              <w:snapToGrid w:val="0"/>
              <w:spacing w:line="360" w:lineRule="auto"/>
              <w:jc w:val="left"/>
              <w:rPr>
                <w:rFonts w:hint="default" w:ascii="宋体" w:hAnsi="宋体" w:cs="宋体"/>
                <w:color w:val="000000"/>
                <w:spacing w:val="7"/>
                <w:sz w:val="24"/>
                <w:highlight w:val="none"/>
                <w:lang w:val="en-US" w:eastAsia="zh-CN"/>
              </w:rPr>
            </w:pPr>
            <w:r>
              <w:rPr>
                <w:rFonts w:hint="eastAsia" w:ascii="宋体" w:hAnsi="宋体" w:cs="宋体"/>
                <w:color w:val="000000"/>
                <w:spacing w:val="7"/>
                <w:sz w:val="24"/>
                <w:highlight w:val="none"/>
                <w:lang w:val="en-US" w:eastAsia="zh-CN"/>
              </w:rPr>
              <w:t>联系人：李老师</w:t>
            </w:r>
          </w:p>
          <w:p>
            <w:pPr>
              <w:pStyle w:val="111"/>
              <w:snapToGrid w:val="0"/>
              <w:spacing w:line="360" w:lineRule="auto"/>
              <w:jc w:val="left"/>
              <w:rPr>
                <w:rFonts w:ascii="宋体" w:cs="宋体"/>
                <w:highlight w:val="none"/>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招标代理机构</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名</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称：山东省鲁成招标有限公司</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址：济南市经十东路</w:t>
            </w:r>
            <w:r>
              <w:rPr>
                <w:rFonts w:ascii="宋体" w:hAnsi="宋体" w:cs="宋体"/>
                <w:color w:val="000000"/>
                <w:spacing w:val="7"/>
                <w:sz w:val="24"/>
                <w:highlight w:val="none"/>
                <w:lang w:eastAsia="zh-CN"/>
              </w:rPr>
              <w:t>10567</w:t>
            </w:r>
            <w:r>
              <w:rPr>
                <w:rFonts w:hint="eastAsia" w:ascii="宋体" w:hAnsi="宋体" w:cs="宋体"/>
                <w:color w:val="000000"/>
                <w:spacing w:val="7"/>
                <w:sz w:val="24"/>
                <w:highlight w:val="none"/>
                <w:lang w:eastAsia="zh-CN"/>
              </w:rPr>
              <w:t>号成城大厦</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联系人：栾新宇、李文华</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0531-83191865</w:t>
            </w:r>
            <w:r>
              <w:rPr>
                <w:rFonts w:hint="eastAsia" w:ascii="宋体" w:hAnsi="宋体" w:cs="宋体"/>
                <w:color w:val="000000"/>
                <w:spacing w:val="7"/>
                <w:sz w:val="24"/>
                <w:highlight w:val="none"/>
                <w:lang w:eastAsia="zh-CN"/>
              </w:rPr>
              <w:t>、17853501303</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邮箱：</w:t>
            </w:r>
            <w:r>
              <w:rPr>
                <w:rFonts w:ascii="宋体" w:hAnsi="宋体" w:cs="宋体"/>
                <w:color w:val="000000"/>
                <w:spacing w:val="7"/>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3</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项目名称</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项目编号</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项目名称：山东大学第二医院输血管理系统采购项目</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项目编号：0676-196010ZB018042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4</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招标范围</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本项目为山东大学第二医院输血管理系统采购项目</w:t>
            </w:r>
            <w:r>
              <w:rPr>
                <w:rFonts w:hint="eastAsia" w:ascii="宋体" w:hAnsi="宋体" w:cs="宋体"/>
                <w:color w:val="000000"/>
                <w:spacing w:val="7"/>
                <w:sz w:val="24"/>
                <w:highlight w:val="none"/>
                <w:lang w:val="en-US" w:eastAsia="zh-CN"/>
              </w:rPr>
              <w:t>，</w:t>
            </w:r>
            <w:r>
              <w:rPr>
                <w:rFonts w:hint="eastAsia" w:ascii="宋体" w:hAnsi="宋体" w:cs="宋体"/>
                <w:color w:val="000000"/>
                <w:spacing w:val="7"/>
                <w:sz w:val="24"/>
                <w:highlight w:val="none"/>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5</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项目预算</w:t>
            </w:r>
          </w:p>
        </w:tc>
        <w:tc>
          <w:tcPr>
            <w:tcW w:w="6569" w:type="dxa"/>
            <w:vAlign w:val="center"/>
          </w:tcPr>
          <w:p>
            <w:pPr>
              <w:pStyle w:val="111"/>
              <w:snapToGrid w:val="0"/>
              <w:spacing w:line="360" w:lineRule="auto"/>
              <w:jc w:val="left"/>
              <w:rPr>
                <w:rFonts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预算金额</w:t>
            </w:r>
            <w:r>
              <w:rPr>
                <w:rFonts w:hint="eastAsia" w:ascii="宋体" w:hAnsi="宋体" w:cs="宋体"/>
                <w:color w:val="000000"/>
                <w:spacing w:val="7"/>
                <w:sz w:val="24"/>
                <w:highlight w:val="none"/>
                <w:lang w:val="en-US" w:eastAsia="zh-CN"/>
              </w:rPr>
              <w:t>：40</w:t>
            </w:r>
            <w:r>
              <w:rPr>
                <w:rFonts w:hint="eastAsia" w:ascii="宋体" w:hAnsi="宋体" w:cs="宋体"/>
                <w:color w:val="000000"/>
                <w:spacing w:val="7"/>
                <w:sz w:val="24"/>
                <w:highlight w:val="none"/>
                <w:lang w:eastAsia="zh-CN"/>
              </w:rPr>
              <w:t>万元</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6</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投标人资格要求</w:t>
            </w:r>
          </w:p>
        </w:tc>
        <w:tc>
          <w:tcPr>
            <w:tcW w:w="6569" w:type="dxa"/>
            <w:vAlign w:val="center"/>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1、</w:t>
            </w:r>
            <w:r>
              <w:rPr>
                <w:rFonts w:hint="eastAsia" w:ascii="宋体" w:hAnsi="宋体" w:cs="宋体"/>
                <w:color w:val="000000"/>
                <w:spacing w:val="7"/>
                <w:sz w:val="24"/>
                <w:highlight w:val="none"/>
                <w:lang w:eastAsia="zh-CN"/>
              </w:rPr>
              <w:t>符合《中华人民共和国政府采购法》第二十二条第一款的规定条件并按《中华人民共和国政府采购法实施条例》第十七条第一款的规定提供相关证明材料；</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2、</w:t>
            </w:r>
            <w:r>
              <w:rPr>
                <w:rFonts w:hint="eastAsia" w:ascii="宋体" w:hAnsi="宋体" w:cs="宋体"/>
                <w:color w:val="000000"/>
                <w:spacing w:val="7"/>
                <w:sz w:val="24"/>
                <w:highlight w:val="none"/>
                <w:lang w:eastAsia="zh-CN"/>
              </w:rPr>
              <w:t>必须为未列入“信用中国”、“中国政府采购网”失信被执行人、重大税收违法案件当事人名单、政府采购严重违法失信名单的企业；</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3、</w:t>
            </w:r>
            <w:r>
              <w:rPr>
                <w:rFonts w:hint="eastAsia" w:ascii="宋体" w:hAnsi="宋体" w:cs="宋体"/>
                <w:color w:val="000000"/>
                <w:spacing w:val="7"/>
                <w:sz w:val="24"/>
                <w:highlight w:val="none"/>
                <w:lang w:eastAsia="zh-CN"/>
              </w:rPr>
              <w:t>单位负责人为同一人或者存在直接控股、管理关系的不同投标人，不得参加同一合同项下的采购活动；</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val="en-US" w:eastAsia="zh-CN"/>
              </w:rPr>
              <w:t>4、</w:t>
            </w:r>
            <w:r>
              <w:rPr>
                <w:rFonts w:hint="eastAsia" w:ascii="宋体" w:hAnsi="宋体" w:cs="宋体"/>
                <w:color w:val="000000"/>
                <w:spacing w:val="7"/>
                <w:sz w:val="24"/>
                <w:highlight w:val="none"/>
                <w:lang w:eastAsia="zh-CN"/>
              </w:rPr>
              <w:t>本次采购不接受联合体报价；</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val="en-US" w:eastAsia="zh-CN"/>
              </w:rPr>
              <w:t>5、</w:t>
            </w:r>
            <w:r>
              <w:rPr>
                <w:rFonts w:hint="eastAsia" w:ascii="宋体" w:hAnsi="宋体" w:cs="宋体"/>
                <w:color w:val="000000"/>
                <w:spacing w:val="7"/>
                <w:sz w:val="24"/>
                <w:highlight w:val="none"/>
                <w:lang w:eastAsia="zh-CN"/>
              </w:rPr>
              <w:t>未尽事宜，遵照国家相关规定执行。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7</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资格审查方式</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8</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eastAsia="宋体" w:cs="宋体"/>
                <w:highlight w:val="none"/>
              </w:rPr>
              <w:t>付款方式</w:t>
            </w:r>
          </w:p>
        </w:tc>
        <w:tc>
          <w:tcPr>
            <w:tcW w:w="6569" w:type="dxa"/>
            <w:vAlign w:val="center"/>
          </w:tcPr>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整体系统部署完成能够正常使用且由甲方信息中心验收通过，且办理入库手续后，支付合同总金额的90%；乙方履行完一年免费维保期后，支付合同余款10%。以上所有付款节点乙方均需开具正规发票。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9</w:t>
            </w:r>
          </w:p>
        </w:tc>
        <w:tc>
          <w:tcPr>
            <w:tcW w:w="2432"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bCs/>
                <w:sz w:val="24"/>
                <w:highlight w:val="none"/>
                <w:lang w:eastAsia="zh-CN"/>
              </w:rPr>
              <w:t>工</w:t>
            </w:r>
            <w:r>
              <w:rPr>
                <w:rFonts w:hint="eastAsia" w:ascii="宋体" w:hAnsi="宋体"/>
                <w:bCs/>
                <w:sz w:val="24"/>
                <w:highlight w:val="none"/>
              </w:rPr>
              <w:t>期</w:t>
            </w:r>
          </w:p>
        </w:tc>
        <w:tc>
          <w:tcPr>
            <w:tcW w:w="6569" w:type="dxa"/>
            <w:vAlign w:val="center"/>
          </w:tcPr>
          <w:p>
            <w:pPr>
              <w:pStyle w:val="111"/>
              <w:snapToGrid w:val="0"/>
              <w:spacing w:line="360" w:lineRule="auto"/>
              <w:jc w:val="left"/>
              <w:rPr>
                <w:rFonts w:hint="default" w:ascii="宋体" w:hAnsi="宋体" w:eastAsia="宋体" w:cs="宋体"/>
                <w:color w:val="000000"/>
                <w:spacing w:val="7"/>
                <w:sz w:val="24"/>
                <w:highlight w:val="none"/>
                <w:lang w:val="en-US" w:eastAsia="zh-CN"/>
              </w:rPr>
            </w:pPr>
            <w:r>
              <w:rPr>
                <w:rFonts w:hint="default" w:ascii="宋体" w:hAnsi="宋体" w:eastAsia="宋体" w:cs="宋体"/>
                <w:color w:val="000000"/>
                <w:spacing w:val="7"/>
                <w:sz w:val="24"/>
                <w:highlight w:val="none"/>
                <w:lang w:val="en-US" w:eastAsia="zh-CN"/>
              </w:rPr>
              <w:t>3个月</w:t>
            </w:r>
            <w:r>
              <w:rPr>
                <w:rFonts w:hint="eastAsia" w:ascii="宋体" w:hAnsi="宋体" w:cs="宋体"/>
                <w:color w:val="000000"/>
                <w:spacing w:val="7"/>
                <w:sz w:val="24"/>
                <w:highlight w:val="none"/>
                <w:lang w:val="en-US" w:eastAsia="zh-CN"/>
              </w:rPr>
              <w:t>，可竞报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10</w:t>
            </w:r>
          </w:p>
        </w:tc>
        <w:tc>
          <w:tcPr>
            <w:tcW w:w="2432"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lang w:eastAsia="zh-CN"/>
              </w:rPr>
            </w:pPr>
            <w:r>
              <w:rPr>
                <w:rFonts w:hint="eastAsia" w:ascii="宋体" w:hAnsi="宋体" w:cs="宋体"/>
                <w:highlight w:val="none"/>
                <w:lang w:eastAsia="zh-CN"/>
              </w:rPr>
              <w:t>维保</w:t>
            </w:r>
            <w:r>
              <w:rPr>
                <w:rFonts w:hint="eastAsia" w:ascii="宋体" w:hAnsi="宋体" w:eastAsia="宋体" w:cs="宋体"/>
                <w:highlight w:val="none"/>
              </w:rPr>
              <w:t>期</w:t>
            </w:r>
          </w:p>
        </w:tc>
        <w:tc>
          <w:tcPr>
            <w:tcW w:w="6569" w:type="dxa"/>
            <w:vAlign w:val="center"/>
          </w:tcPr>
          <w:p>
            <w:pPr>
              <w:pStyle w:val="111"/>
              <w:snapToGrid w:val="0"/>
              <w:spacing w:line="360" w:lineRule="auto"/>
              <w:jc w:val="left"/>
              <w:rPr>
                <w:rFonts w:hint="eastAsia" w:ascii="宋体" w:hAnsi="宋体" w:eastAsia="宋体" w:cs="宋体"/>
                <w:color w:val="000000"/>
                <w:spacing w:val="7"/>
                <w:sz w:val="24"/>
                <w:highlight w:val="none"/>
                <w:lang w:eastAsia="zh-CN"/>
              </w:rPr>
            </w:pPr>
            <w:r>
              <w:rPr>
                <w:rFonts w:hint="eastAsia" w:ascii="宋体" w:hAnsi="宋体" w:eastAsia="宋体" w:cs="宋体"/>
                <w:color w:val="000000"/>
                <w:spacing w:val="7"/>
                <w:sz w:val="24"/>
                <w:highlight w:val="none"/>
                <w:lang w:eastAsia="zh-CN"/>
              </w:rPr>
              <w:t>免费维保期3年</w:t>
            </w:r>
            <w:r>
              <w:rPr>
                <w:rFonts w:hint="eastAsia" w:ascii="宋体" w:hAnsi="宋体" w:cs="宋体"/>
                <w:color w:val="000000"/>
                <w:spacing w:val="7"/>
                <w:sz w:val="24"/>
                <w:highlight w:val="none"/>
                <w:lang w:eastAsia="zh-CN"/>
              </w:rPr>
              <w:t>，可竞报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val="en-US" w:eastAsia="zh-CN"/>
              </w:rPr>
            </w:pPr>
            <w:r>
              <w:rPr>
                <w:rFonts w:hint="eastAsia" w:ascii="宋体" w:hAnsi="宋体" w:cs="宋体"/>
                <w:highlight w:val="none"/>
                <w:lang w:val="en-US" w:eastAsia="zh-CN"/>
              </w:rPr>
              <w:t>11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投标文件共</w:t>
            </w:r>
            <w:r>
              <w:rPr>
                <w:rFonts w:hint="eastAsia" w:ascii="宋体" w:hAnsi="宋体" w:cs="宋体"/>
                <w:color w:val="000000"/>
                <w:spacing w:val="7"/>
                <w:sz w:val="24"/>
                <w:highlight w:val="none"/>
                <w:lang w:val="en-US" w:eastAsia="zh-CN"/>
              </w:rPr>
              <w:t>5</w:t>
            </w:r>
            <w:r>
              <w:rPr>
                <w:rFonts w:hint="eastAsia" w:ascii="宋体" w:hAnsi="宋体" w:cs="宋体"/>
                <w:color w:val="000000"/>
                <w:spacing w:val="7"/>
                <w:sz w:val="24"/>
                <w:highlight w:val="none"/>
                <w:lang w:eastAsia="zh-CN"/>
              </w:rPr>
              <w:t>份，正本</w:t>
            </w:r>
            <w:r>
              <w:rPr>
                <w:rFonts w:ascii="宋体" w:hAnsi="宋体" w:cs="宋体"/>
                <w:color w:val="000000"/>
                <w:spacing w:val="7"/>
                <w:sz w:val="24"/>
                <w:highlight w:val="none"/>
                <w:lang w:eastAsia="zh-CN"/>
              </w:rPr>
              <w:t>1</w:t>
            </w:r>
            <w:r>
              <w:rPr>
                <w:rFonts w:hint="eastAsia" w:ascii="宋体" w:hAnsi="宋体" w:cs="宋体"/>
                <w:color w:val="000000"/>
                <w:spacing w:val="7"/>
                <w:sz w:val="24"/>
                <w:highlight w:val="none"/>
                <w:lang w:eastAsia="zh-CN"/>
              </w:rPr>
              <w:t>份，副本</w:t>
            </w:r>
            <w:r>
              <w:rPr>
                <w:rFonts w:hint="eastAsia" w:ascii="宋体" w:hAnsi="宋体" w:cs="宋体"/>
                <w:color w:val="000000"/>
                <w:spacing w:val="7"/>
                <w:sz w:val="24"/>
                <w:highlight w:val="none"/>
                <w:lang w:val="en-US" w:eastAsia="zh-CN"/>
              </w:rPr>
              <w:t>4</w:t>
            </w:r>
            <w:r>
              <w:rPr>
                <w:rFonts w:hint="eastAsia" w:ascii="宋体" w:hAnsi="宋体" w:cs="宋体"/>
                <w:color w:val="000000"/>
                <w:spacing w:val="7"/>
                <w:sz w:val="24"/>
                <w:highlight w:val="none"/>
                <w:lang w:eastAsia="zh-CN"/>
              </w:rPr>
              <w:t>份；电子文档</w:t>
            </w:r>
            <w:r>
              <w:rPr>
                <w:rFonts w:hint="eastAsia" w:ascii="宋体" w:hAnsi="宋体" w:cs="宋体"/>
                <w:spacing w:val="7"/>
                <w:sz w:val="24"/>
                <w:highlight w:val="none"/>
                <w:lang w:eastAsia="zh-CN"/>
              </w:rPr>
              <w:t>（</w:t>
            </w:r>
            <w:r>
              <w:rPr>
                <w:rFonts w:hint="eastAsia" w:ascii="宋体" w:hAnsi="宋体" w:cs="宋体"/>
                <w:b/>
                <w:spacing w:val="7"/>
                <w:sz w:val="24"/>
                <w:highlight w:val="none"/>
                <w:lang w:val="en-US" w:eastAsia="zh-CN"/>
              </w:rPr>
              <w:t>U</w:t>
            </w:r>
            <w:r>
              <w:rPr>
                <w:rFonts w:hint="eastAsia" w:ascii="宋体" w:hAnsi="宋体" w:cs="宋体"/>
                <w:b/>
                <w:spacing w:val="7"/>
                <w:sz w:val="24"/>
                <w:highlight w:val="none"/>
                <w:lang w:eastAsia="zh-CN"/>
              </w:rPr>
              <w:t>盘</w:t>
            </w:r>
            <w:r>
              <w:rPr>
                <w:rFonts w:hint="eastAsia" w:ascii="宋体" w:hAnsi="宋体" w:cs="宋体"/>
                <w:spacing w:val="7"/>
                <w:sz w:val="24"/>
                <w:highlight w:val="none"/>
                <w:lang w:eastAsia="zh-CN"/>
              </w:rPr>
              <w:t>）</w:t>
            </w:r>
            <w:r>
              <w:rPr>
                <w:rFonts w:hint="eastAsia" w:ascii="宋体" w:hAnsi="宋体" w:cs="宋体"/>
                <w:color w:val="000000"/>
                <w:spacing w:val="7"/>
                <w:sz w:val="24"/>
                <w:highlight w:val="none"/>
                <w:lang w:eastAsia="zh-CN"/>
              </w:rPr>
              <w:t>投标文件一份，采用</w:t>
            </w:r>
            <w:r>
              <w:rPr>
                <w:rFonts w:ascii="宋体" w:hAnsi="宋体" w:cs="宋体"/>
                <w:color w:val="000000"/>
                <w:spacing w:val="7"/>
                <w:sz w:val="24"/>
                <w:highlight w:val="none"/>
                <w:lang w:val="en-US" w:eastAsia="zh-CN"/>
              </w:rPr>
              <w:t>PDF</w:t>
            </w:r>
            <w:r>
              <w:rPr>
                <w:rFonts w:hint="eastAsia" w:ascii="宋体" w:hAnsi="宋体" w:cs="宋体"/>
                <w:color w:val="000000"/>
                <w:spacing w:val="7"/>
                <w:sz w:val="24"/>
                <w:highlight w:val="none"/>
                <w:lang w:eastAsia="zh-CN"/>
              </w:rPr>
              <w:t>中文版，与纸质投标文件一致。</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b/>
                <w:bCs/>
                <w:color w:val="000000"/>
                <w:spacing w:val="7"/>
                <w:sz w:val="24"/>
                <w:highlight w:val="none"/>
                <w:lang w:eastAsia="zh-CN"/>
              </w:rPr>
              <w:t>（装订方式：每册采用胶装方式装订，装订应牢固、不易拆散和换页，不得采用活页装订，投标文件每册不超过4.5厘米，如超过请分册。为节约成本，投标文件封皮请勿使用硬版纸）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开标一览表</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3</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密封和标记</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4</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投标人提出问题的</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highlight w:val="none"/>
              </w:rPr>
              <w:t>截止时间</w:t>
            </w:r>
          </w:p>
        </w:tc>
        <w:tc>
          <w:tcPr>
            <w:tcW w:w="6569" w:type="dxa"/>
            <w:vAlign w:val="center"/>
          </w:tcPr>
          <w:p>
            <w:pPr>
              <w:snapToGrid w:val="0"/>
              <w:spacing w:line="360" w:lineRule="auto"/>
              <w:ind w:right="113"/>
              <w:rPr>
                <w:rFonts w:ascii="宋体" w:cs="宋体"/>
                <w:color w:val="000000"/>
                <w:spacing w:val="7"/>
                <w:sz w:val="24"/>
                <w:highlight w:val="none"/>
              </w:rPr>
            </w:pPr>
            <w:r>
              <w:rPr>
                <w:rFonts w:ascii="宋体" w:hAnsi="宋体"/>
                <w:sz w:val="24"/>
                <w:highlight w:val="none"/>
              </w:rPr>
              <w:t>20</w:t>
            </w:r>
            <w:r>
              <w:rPr>
                <w:rFonts w:hint="eastAsia" w:ascii="宋体" w:hAnsi="宋体"/>
                <w:sz w:val="24"/>
                <w:highlight w:val="none"/>
                <w:lang w:val="en-US" w:eastAsia="zh-CN"/>
              </w:rPr>
              <w:t>20</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9</w:t>
            </w:r>
            <w:r>
              <w:rPr>
                <w:rFonts w:hint="eastAsia" w:ascii="宋体" w:hAnsi="宋体"/>
                <w:sz w:val="24"/>
                <w:highlight w:val="none"/>
              </w:rPr>
              <w:t>日17时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5</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投标人要求澄清</w:t>
            </w:r>
          </w:p>
          <w:p>
            <w:pPr>
              <w:snapToGrid w:val="0"/>
              <w:spacing w:line="360" w:lineRule="auto"/>
              <w:jc w:val="center"/>
              <w:rPr>
                <w:rFonts w:ascii="宋体"/>
                <w:sz w:val="24"/>
                <w:highlight w:val="none"/>
              </w:rPr>
            </w:pPr>
            <w:r>
              <w:rPr>
                <w:rFonts w:hint="eastAsia" w:ascii="宋体" w:hAnsi="宋体"/>
                <w:sz w:val="24"/>
                <w:highlight w:val="none"/>
              </w:rPr>
              <w:t>招标文件的截止时间</w:t>
            </w:r>
          </w:p>
        </w:tc>
        <w:tc>
          <w:tcPr>
            <w:tcW w:w="6569" w:type="dxa"/>
            <w:vAlign w:val="center"/>
          </w:tcPr>
          <w:p>
            <w:pPr>
              <w:snapToGrid w:val="0"/>
              <w:spacing w:line="360" w:lineRule="auto"/>
              <w:rPr>
                <w:rFonts w:ascii="宋体"/>
                <w:sz w:val="24"/>
                <w:highlight w:val="none"/>
              </w:rPr>
            </w:pPr>
            <w:r>
              <w:rPr>
                <w:rFonts w:ascii="宋体" w:hAnsi="宋体"/>
                <w:sz w:val="24"/>
                <w:highlight w:val="none"/>
              </w:rPr>
              <w:t>20</w:t>
            </w:r>
            <w:r>
              <w:rPr>
                <w:rFonts w:hint="eastAsia" w:ascii="宋体" w:hAnsi="宋体"/>
                <w:sz w:val="24"/>
                <w:highlight w:val="none"/>
                <w:lang w:val="en-US" w:eastAsia="zh-CN"/>
              </w:rPr>
              <w:t>20</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10</w:t>
            </w:r>
            <w:r>
              <w:rPr>
                <w:rFonts w:hint="eastAsia" w:ascii="宋体" w:hAnsi="宋体"/>
                <w:sz w:val="24"/>
                <w:highlight w:val="none"/>
              </w:rPr>
              <w:t>日</w:t>
            </w:r>
            <w:r>
              <w:rPr>
                <w:rFonts w:ascii="宋体" w:hAnsi="宋体"/>
                <w:sz w:val="24"/>
                <w:highlight w:val="none"/>
              </w:rPr>
              <w:t>1</w:t>
            </w:r>
            <w:r>
              <w:rPr>
                <w:rFonts w:hint="eastAsia" w:ascii="宋体" w:hAnsi="宋体"/>
                <w:sz w:val="24"/>
                <w:highlight w:val="none"/>
              </w:rPr>
              <w:t>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6</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招标人书面澄清的时间</w:t>
            </w:r>
          </w:p>
        </w:tc>
        <w:tc>
          <w:tcPr>
            <w:tcW w:w="6569" w:type="dxa"/>
            <w:vAlign w:val="center"/>
          </w:tcPr>
          <w:p>
            <w:pPr>
              <w:snapToGrid w:val="0"/>
              <w:spacing w:line="360" w:lineRule="auto"/>
              <w:rPr>
                <w:rFonts w:ascii="宋体" w:cs="宋体"/>
                <w:color w:val="000000"/>
                <w:spacing w:val="7"/>
                <w:sz w:val="24"/>
                <w:highlight w:val="none"/>
              </w:rPr>
            </w:pPr>
            <w:r>
              <w:rPr>
                <w:rFonts w:ascii="宋体" w:hAnsi="宋体"/>
                <w:sz w:val="24"/>
                <w:highlight w:val="none"/>
              </w:rPr>
              <w:t>2</w:t>
            </w:r>
            <w:r>
              <w:rPr>
                <w:rFonts w:hint="eastAsia" w:ascii="宋体" w:hAnsi="宋体"/>
                <w:sz w:val="24"/>
                <w:highlight w:val="none"/>
              </w:rPr>
              <w:t>0</w:t>
            </w:r>
            <w:r>
              <w:rPr>
                <w:rFonts w:hint="eastAsia" w:ascii="宋体" w:hAnsi="宋体"/>
                <w:sz w:val="24"/>
                <w:highlight w:val="none"/>
                <w:lang w:val="en-US" w:eastAsia="zh-CN"/>
              </w:rPr>
              <w:t>20</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10</w:t>
            </w:r>
            <w:r>
              <w:rPr>
                <w:rFonts w:hint="eastAsia" w:ascii="宋体" w:hAnsi="宋体"/>
                <w:sz w:val="24"/>
                <w:highlight w:val="none"/>
              </w:rPr>
              <w:t>日17时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7</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投标有效期</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90</w:t>
            </w:r>
            <w:r>
              <w:rPr>
                <w:rFonts w:hint="eastAsia" w:ascii="宋体" w:hAnsi="宋体" w:cs="宋体"/>
                <w:color w:val="000000"/>
                <w:spacing w:val="7"/>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8</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投标保证金交纳</w:t>
            </w:r>
          </w:p>
        </w:tc>
        <w:tc>
          <w:tcPr>
            <w:tcW w:w="6569" w:type="dxa"/>
            <w:vAlign w:val="center"/>
          </w:tcPr>
          <w:p>
            <w:pPr>
              <w:pStyle w:val="111"/>
              <w:snapToGrid w:val="0"/>
              <w:spacing w:line="360" w:lineRule="auto"/>
              <w:jc w:val="left"/>
              <w:rPr>
                <w:rFonts w:ascii="宋体" w:hAnsi="宋体" w:cs="宋体"/>
                <w:b/>
                <w:bCs/>
                <w:color w:val="000000"/>
                <w:spacing w:val="7"/>
                <w:sz w:val="24"/>
                <w:highlight w:val="none"/>
                <w:lang w:val="en-US" w:eastAsia="zh-CN"/>
              </w:rPr>
            </w:pPr>
            <w:r>
              <w:rPr>
                <w:rFonts w:hint="eastAsia" w:ascii="宋体" w:hAnsi="宋体" w:cs="宋体"/>
                <w:color w:val="000000"/>
                <w:spacing w:val="7"/>
                <w:sz w:val="24"/>
                <w:highlight w:val="none"/>
                <w:lang w:val="en-US" w:eastAsia="zh-CN"/>
              </w:rPr>
              <w:t>1、</w:t>
            </w:r>
            <w:r>
              <w:rPr>
                <w:rFonts w:hint="eastAsia" w:ascii="宋体" w:hAnsi="宋体" w:cs="宋体"/>
                <w:color w:val="000000"/>
                <w:spacing w:val="7"/>
                <w:sz w:val="24"/>
                <w:highlight w:val="none"/>
                <w:lang w:eastAsia="zh-CN"/>
              </w:rPr>
              <w:t>投标保证金的金额：</w:t>
            </w:r>
            <w:r>
              <w:rPr>
                <w:rFonts w:hint="eastAsia" w:ascii="宋体" w:hAnsi="宋体" w:cs="宋体"/>
                <w:b/>
                <w:bCs/>
                <w:color w:val="000000"/>
                <w:spacing w:val="7"/>
                <w:sz w:val="24"/>
                <w:highlight w:val="none"/>
                <w:lang w:val="en-US" w:eastAsia="zh-CN"/>
              </w:rPr>
              <w:t>8000元； 大写：</w:t>
            </w:r>
            <w:r>
              <w:rPr>
                <w:rFonts w:hint="eastAsia" w:ascii="宋体" w:hAnsi="宋体" w:cs="宋体"/>
                <w:b/>
                <w:bCs/>
                <w:color w:val="000000"/>
                <w:spacing w:val="7"/>
                <w:sz w:val="24"/>
                <w:highlight w:val="none"/>
                <w:lang w:val="en-US" w:eastAsia="zh-CN"/>
              </w:rPr>
              <w:fldChar w:fldCharType="begin"/>
            </w:r>
            <w:r>
              <w:rPr>
                <w:rFonts w:hint="eastAsia" w:ascii="宋体" w:hAnsi="宋体" w:cs="宋体"/>
                <w:b/>
                <w:bCs/>
                <w:color w:val="000000"/>
                <w:spacing w:val="7"/>
                <w:sz w:val="24"/>
                <w:highlight w:val="none"/>
                <w:lang w:val="en-US" w:eastAsia="zh-CN"/>
              </w:rPr>
              <w:instrText xml:space="preserve"> = 15000 \* CHINESENUM2 \* MERGEFORMAT </w:instrText>
            </w:r>
            <w:r>
              <w:rPr>
                <w:rFonts w:hint="eastAsia" w:ascii="宋体" w:hAnsi="宋体" w:cs="宋体"/>
                <w:b/>
                <w:bCs/>
                <w:color w:val="000000"/>
                <w:spacing w:val="7"/>
                <w:sz w:val="24"/>
                <w:highlight w:val="none"/>
                <w:lang w:val="en-US" w:eastAsia="zh-CN"/>
              </w:rPr>
              <w:fldChar w:fldCharType="separate"/>
            </w:r>
            <w:r>
              <w:rPr>
                <w:rFonts w:hint="eastAsia" w:ascii="宋体" w:hAnsi="宋体" w:cs="宋体"/>
                <w:b/>
                <w:bCs/>
                <w:color w:val="000000"/>
                <w:spacing w:val="7"/>
                <w:sz w:val="24"/>
                <w:highlight w:val="none"/>
                <w:lang w:val="en-US" w:eastAsia="zh-CN"/>
              </w:rPr>
              <w:t>捌仟</w:t>
            </w:r>
            <w:r>
              <w:rPr>
                <w:rFonts w:hint="eastAsia" w:ascii="宋体" w:hAnsi="宋体" w:cs="宋体"/>
                <w:b/>
                <w:bCs/>
                <w:color w:val="000000"/>
                <w:spacing w:val="7"/>
                <w:sz w:val="24"/>
                <w:highlight w:val="none"/>
                <w:lang w:val="en-US" w:eastAsia="zh-CN"/>
              </w:rPr>
              <w:fldChar w:fldCharType="end"/>
            </w:r>
            <w:r>
              <w:rPr>
                <w:rFonts w:hint="eastAsia" w:ascii="宋体" w:hAnsi="宋体" w:cs="宋体"/>
                <w:b/>
                <w:bCs/>
                <w:color w:val="000000"/>
                <w:spacing w:val="7"/>
                <w:sz w:val="24"/>
                <w:highlight w:val="none"/>
                <w:lang w:val="en-US" w:eastAsia="zh-CN"/>
              </w:rPr>
              <w:t>元整。</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、递交方式：电汇（电汇时需备注：招标八部</w:t>
            </w:r>
            <w:r>
              <w:rPr>
                <w:rFonts w:hint="eastAsia" w:ascii="宋体" w:hAnsi="宋体" w:cs="宋体"/>
                <w:color w:val="000000"/>
                <w:spacing w:val="7"/>
                <w:sz w:val="24"/>
                <w:highlight w:val="none"/>
                <w:lang w:val="en-US" w:eastAsia="zh-CN"/>
              </w:rPr>
              <w:t>-输血系统</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3</w:t>
            </w:r>
            <w:r>
              <w:rPr>
                <w:rFonts w:hint="eastAsia" w:ascii="宋体" w:hAnsi="宋体" w:cs="宋体"/>
                <w:color w:val="000000"/>
                <w:spacing w:val="7"/>
                <w:sz w:val="24"/>
                <w:highlight w:val="none"/>
                <w:lang w:eastAsia="zh-CN"/>
              </w:rPr>
              <w:t>、投标保证金汇入银行及账号：</w:t>
            </w:r>
          </w:p>
          <w:p>
            <w:pPr>
              <w:pStyle w:val="111"/>
              <w:snapToGrid w:val="0"/>
              <w:spacing w:line="360" w:lineRule="auto"/>
              <w:jc w:val="left"/>
              <w:rPr>
                <w:rFonts w:ascii="宋体" w:cs="宋体"/>
                <w:color w:val="000000"/>
                <w:spacing w:val="7"/>
                <w:sz w:val="24"/>
                <w:highlight w:val="none"/>
                <w:lang w:eastAsia="zh-CN"/>
              </w:rPr>
            </w:pPr>
            <w:r>
              <w:rPr>
                <w:rFonts w:ascii="宋体" w:cs="宋体"/>
                <w:color w:val="000000"/>
                <w:spacing w:val="7"/>
                <w:sz w:val="24"/>
                <w:highlight w:val="none"/>
                <w:lang w:eastAsia="zh-CN"/>
              </w:rPr>
              <w:t> </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开户名称：山东省鲁成招标有限公司</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开户银行：中国农业银行济南分行</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银行账号：</w:t>
            </w:r>
            <w:r>
              <w:rPr>
                <w:rFonts w:ascii="宋体" w:hAnsi="宋体" w:cs="宋体"/>
                <w:color w:val="000000"/>
                <w:spacing w:val="7"/>
                <w:sz w:val="24"/>
                <w:highlight w:val="none"/>
                <w:lang w:eastAsia="zh-CN"/>
              </w:rPr>
              <w:t>15110101040001136</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（行号：</w:t>
            </w:r>
            <w:r>
              <w:rPr>
                <w:rFonts w:ascii="宋体" w:hAnsi="宋体" w:cs="宋体"/>
                <w:color w:val="000000"/>
                <w:spacing w:val="7"/>
                <w:sz w:val="24"/>
                <w:highlight w:val="none"/>
                <w:lang w:eastAsia="zh-CN"/>
              </w:rPr>
              <w:t>103451011106</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投标保证金应当在</w:t>
            </w:r>
            <w:r>
              <w:rPr>
                <w:rFonts w:hint="eastAsia" w:ascii="宋体" w:hAnsi="宋体" w:cs="宋体"/>
                <w:b/>
                <w:bCs/>
                <w:highlight w:val="none"/>
                <w:lang w:eastAsia="zh-CN"/>
              </w:rPr>
              <w:t>20</w:t>
            </w:r>
            <w:r>
              <w:rPr>
                <w:rFonts w:hint="eastAsia" w:ascii="宋体" w:hAnsi="宋体" w:cs="宋体"/>
                <w:b/>
                <w:bCs/>
                <w:highlight w:val="none"/>
                <w:lang w:val="en-US" w:eastAsia="zh-CN"/>
              </w:rPr>
              <w:t>20</w:t>
            </w:r>
            <w:r>
              <w:rPr>
                <w:rFonts w:hint="eastAsia" w:ascii="宋体" w:hAnsi="宋体" w:cs="宋体"/>
                <w:b/>
                <w:bCs/>
                <w:highlight w:val="none"/>
                <w:lang w:eastAsia="zh-CN"/>
              </w:rPr>
              <w:t>年</w:t>
            </w:r>
            <w:r>
              <w:rPr>
                <w:rFonts w:hint="eastAsia" w:ascii="宋体" w:hAnsi="宋体" w:cs="宋体"/>
                <w:b/>
                <w:bCs/>
                <w:highlight w:val="none"/>
                <w:lang w:val="en-US" w:eastAsia="zh-CN"/>
              </w:rPr>
              <w:t>4</w:t>
            </w:r>
            <w:r>
              <w:rPr>
                <w:rFonts w:hint="eastAsia" w:ascii="宋体" w:hAnsi="宋体" w:cs="宋体"/>
                <w:b/>
                <w:bCs/>
                <w:highlight w:val="none"/>
                <w:lang w:eastAsia="zh-CN"/>
              </w:rPr>
              <w:t>月</w:t>
            </w:r>
            <w:r>
              <w:rPr>
                <w:rFonts w:hint="eastAsia" w:ascii="宋体" w:hAnsi="宋体" w:cs="宋体"/>
                <w:b/>
                <w:bCs/>
                <w:highlight w:val="none"/>
                <w:lang w:val="en-US" w:eastAsia="zh-CN"/>
              </w:rPr>
              <w:t>28</w:t>
            </w:r>
            <w:r>
              <w:rPr>
                <w:rFonts w:hint="eastAsia" w:ascii="宋体" w:hAnsi="宋体" w:cs="宋体"/>
                <w:b/>
                <w:bCs/>
                <w:highlight w:val="none"/>
                <w:lang w:eastAsia="zh-CN"/>
              </w:rPr>
              <w:t>日</w:t>
            </w:r>
            <w:r>
              <w:rPr>
                <w:rFonts w:hint="eastAsia" w:ascii="宋体" w:hAnsi="宋体" w:cs="宋体"/>
                <w:b/>
                <w:bCs/>
                <w:highlight w:val="none"/>
                <w:lang w:val="en-US" w:eastAsia="zh-CN"/>
              </w:rPr>
              <w:t>9</w:t>
            </w:r>
            <w:r>
              <w:rPr>
                <w:rFonts w:hint="eastAsia" w:ascii="宋体" w:hAnsi="宋体" w:cs="宋体"/>
                <w:b/>
                <w:bCs/>
                <w:highlight w:val="none"/>
                <w:lang w:eastAsia="zh-CN"/>
              </w:rPr>
              <w:t>:00</w:t>
            </w:r>
            <w:r>
              <w:rPr>
                <w:rFonts w:hint="eastAsia" w:ascii="宋体" w:hAnsi="宋体" w:cs="宋体"/>
                <w:color w:val="000000"/>
                <w:spacing w:val="7"/>
                <w:sz w:val="24"/>
                <w:highlight w:val="none"/>
                <w:lang w:eastAsia="zh-CN"/>
              </w:rPr>
              <w:t>之前到达上述帐户，逾期不予受理。并将开户许可证及投标保证金电汇凭证扫描版发送邮件至</w:t>
            </w:r>
            <w:r>
              <w:rPr>
                <w:rFonts w:hint="eastAsia" w:ascii="宋体" w:hAnsi="宋体" w:cs="宋体"/>
                <w:color w:val="000000"/>
                <w:spacing w:val="7"/>
                <w:sz w:val="24"/>
                <w:highlight w:val="none"/>
                <w:lang w:val="en-US" w:eastAsia="zh-CN"/>
              </w:rPr>
              <w:t>lczb08@126.com</w:t>
            </w:r>
            <w:r>
              <w:rPr>
                <w:rFonts w:hint="eastAsia" w:ascii="宋体" w:hAnsi="宋体" w:cs="宋体"/>
                <w:color w:val="000000"/>
                <w:spacing w:val="7"/>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9</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投标文件递交时间</w:t>
            </w:r>
          </w:p>
        </w:tc>
        <w:tc>
          <w:tcPr>
            <w:tcW w:w="656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w:t>
            </w:r>
            <w:r>
              <w:rPr>
                <w:rFonts w:hint="eastAsia" w:ascii="宋体" w:hAnsi="宋体" w:cs="宋体"/>
                <w:b/>
                <w:bCs/>
                <w:highlight w:val="none"/>
                <w:lang w:val="en-US" w:eastAsia="zh-CN"/>
              </w:rPr>
              <w:t>20</w:t>
            </w:r>
            <w:r>
              <w:rPr>
                <w:rFonts w:hint="eastAsia" w:ascii="宋体" w:hAnsi="宋体" w:cs="宋体"/>
                <w:b/>
                <w:bCs/>
                <w:highlight w:val="none"/>
              </w:rPr>
              <w:t>年</w:t>
            </w:r>
            <w:r>
              <w:rPr>
                <w:rFonts w:hint="eastAsia" w:ascii="宋体" w:hAnsi="宋体" w:cs="宋体"/>
                <w:b/>
                <w:bCs/>
                <w:highlight w:val="none"/>
                <w:lang w:val="en-US" w:eastAsia="zh-CN"/>
              </w:rPr>
              <w:t>4</w:t>
            </w:r>
            <w:r>
              <w:rPr>
                <w:rFonts w:hint="eastAsia" w:ascii="宋体" w:hAnsi="宋体" w:cs="宋体"/>
                <w:b/>
                <w:bCs/>
                <w:highlight w:val="none"/>
              </w:rPr>
              <w:t>月</w:t>
            </w:r>
            <w:r>
              <w:rPr>
                <w:rFonts w:hint="eastAsia" w:ascii="宋体" w:hAnsi="宋体" w:cs="宋体"/>
                <w:b/>
                <w:bCs/>
                <w:highlight w:val="none"/>
                <w:lang w:val="en-US" w:eastAsia="zh-CN"/>
              </w:rPr>
              <w:t>28</w:t>
            </w:r>
            <w:r>
              <w:rPr>
                <w:rFonts w:hint="eastAsia" w:ascii="宋体" w:hAnsi="宋体" w:cs="宋体"/>
                <w:b/>
                <w:bCs/>
                <w:highlight w:val="none"/>
              </w:rPr>
              <w:t>日08：00至09:00（超时不收）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val="en-US" w:eastAsia="zh-CN"/>
              </w:rPr>
            </w:pPr>
            <w:r>
              <w:rPr>
                <w:rFonts w:hint="eastAsia" w:ascii="宋体" w:hAnsi="宋体" w:cs="宋体"/>
                <w:highlight w:val="none"/>
                <w:lang w:val="en-US" w:eastAsia="zh-CN"/>
              </w:rPr>
              <w:t>20</w:t>
            </w:r>
          </w:p>
        </w:tc>
        <w:tc>
          <w:tcPr>
            <w:tcW w:w="2432"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投标文件递交的</w:t>
            </w:r>
          </w:p>
          <w:p>
            <w:pPr>
              <w:pStyle w:val="111"/>
              <w:snapToGrid w:val="0"/>
              <w:spacing w:line="360" w:lineRule="auto"/>
              <w:ind w:firstLine="508" w:firstLineChars="200"/>
              <w:rPr>
                <w:rFonts w:ascii="宋体" w:cs="宋体"/>
                <w:highlight w:val="none"/>
                <w:lang w:eastAsia="zh-CN"/>
              </w:rPr>
            </w:pPr>
            <w:r>
              <w:rPr>
                <w:rFonts w:hint="eastAsia" w:ascii="宋体" w:hAnsi="宋体" w:cs="宋体"/>
                <w:color w:val="000000"/>
                <w:spacing w:val="7"/>
                <w:sz w:val="24"/>
                <w:highlight w:val="none"/>
                <w:lang w:eastAsia="zh-CN"/>
              </w:rPr>
              <w:t>截止时间</w:t>
            </w:r>
          </w:p>
        </w:tc>
        <w:tc>
          <w:tcPr>
            <w:tcW w:w="656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w:t>
            </w:r>
            <w:r>
              <w:rPr>
                <w:rFonts w:hint="eastAsia" w:ascii="宋体" w:hAnsi="宋体" w:cs="宋体"/>
                <w:b/>
                <w:bCs/>
                <w:highlight w:val="none"/>
                <w:lang w:val="en-US" w:eastAsia="zh-CN"/>
              </w:rPr>
              <w:t>20</w:t>
            </w:r>
            <w:r>
              <w:rPr>
                <w:rFonts w:hint="eastAsia" w:ascii="宋体" w:hAnsi="宋体" w:cs="宋体"/>
                <w:b/>
                <w:bCs/>
                <w:highlight w:val="none"/>
              </w:rPr>
              <w:t>年</w:t>
            </w:r>
            <w:r>
              <w:rPr>
                <w:rFonts w:hint="eastAsia" w:ascii="宋体" w:hAnsi="宋体" w:cs="宋体"/>
                <w:b/>
                <w:bCs/>
                <w:highlight w:val="none"/>
                <w:lang w:val="en-US" w:eastAsia="zh-CN"/>
              </w:rPr>
              <w:t>4</w:t>
            </w:r>
            <w:r>
              <w:rPr>
                <w:rFonts w:hint="eastAsia" w:ascii="宋体" w:hAnsi="宋体" w:cs="宋体"/>
                <w:b/>
                <w:bCs/>
                <w:highlight w:val="none"/>
              </w:rPr>
              <w:t>月</w:t>
            </w:r>
            <w:r>
              <w:rPr>
                <w:rFonts w:hint="eastAsia" w:ascii="宋体" w:hAnsi="宋体" w:cs="宋体"/>
                <w:b/>
                <w:bCs/>
                <w:highlight w:val="none"/>
                <w:lang w:val="en-US" w:eastAsia="zh-CN"/>
              </w:rPr>
              <w:t>28</w:t>
            </w:r>
            <w:r>
              <w:rPr>
                <w:rFonts w:hint="eastAsia" w:ascii="宋体" w:hAnsi="宋体" w:cs="宋体"/>
                <w:b/>
                <w:bCs/>
                <w:highlight w:val="none"/>
              </w:rPr>
              <w:t>日09：00时整(北京时间)。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val="en-US" w:eastAsia="zh-CN"/>
              </w:rPr>
            </w:pPr>
            <w:r>
              <w:rPr>
                <w:rFonts w:hint="eastAsia" w:ascii="宋体" w:hAnsi="宋体" w:cs="宋体"/>
                <w:highlight w:val="none"/>
                <w:lang w:val="en-US" w:eastAsia="zh-CN"/>
              </w:rPr>
              <w:t>21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递交投标文件地点</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山东大学第二医院办公楼五楼会议室（济南市天桥区北园大街</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r>
              <w:rPr>
                <w:rFonts w:hint="eastAsia" w:ascii="宋体" w:cs="宋体"/>
                <w:spacing w:val="6"/>
                <w:sz w:val="24"/>
                <w:highlight w:val="none"/>
                <w:lang w:eastAsia="zh-CN"/>
              </w:rPr>
              <w:t>（如有变动临时通知）</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2</w:t>
            </w:r>
            <w:r>
              <w:rPr>
                <w:rFonts w:hint="eastAsia" w:ascii="宋体" w:hAnsi="宋体" w:cs="宋体"/>
                <w:highlight w:val="none"/>
                <w:lang w:val="en-US" w:eastAsia="zh-CN"/>
              </w:rPr>
              <w:t>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评审方法</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2</w:t>
            </w:r>
            <w:r>
              <w:rPr>
                <w:rFonts w:hint="eastAsia" w:ascii="宋体" w:hAnsi="宋体" w:cs="宋体"/>
                <w:highlight w:val="none"/>
                <w:lang w:val="en-US" w:eastAsia="zh-CN"/>
              </w:rPr>
              <w:t>3</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投标费用</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中标服务费：按国家计委计价格</w:t>
            </w:r>
            <w:r>
              <w:rPr>
                <w:rFonts w:ascii="宋体" w:hAnsi="宋体" w:cs="宋体"/>
                <w:color w:val="000000"/>
                <w:spacing w:val="7"/>
                <w:sz w:val="24"/>
                <w:highlight w:val="none"/>
                <w:lang w:eastAsia="zh-CN"/>
              </w:rPr>
              <w:t>[2002]1980</w:t>
            </w:r>
            <w:r>
              <w:rPr>
                <w:rFonts w:hint="eastAsia" w:ascii="宋体" w:hAnsi="宋体" w:cs="宋体"/>
                <w:color w:val="000000"/>
                <w:spacing w:val="7"/>
                <w:sz w:val="24"/>
                <w:highlight w:val="none"/>
                <w:lang w:eastAsia="zh-CN"/>
              </w:rPr>
              <w:t>号文收费标准下浮</w:t>
            </w:r>
            <w:r>
              <w:rPr>
                <w:rFonts w:ascii="宋体" w:hAnsi="宋体" w:cs="宋体"/>
                <w:color w:val="000000"/>
                <w:spacing w:val="7"/>
                <w:sz w:val="24"/>
                <w:highlight w:val="none"/>
                <w:lang w:val="en-US" w:eastAsia="zh-CN"/>
              </w:rPr>
              <w:t>30%</w:t>
            </w:r>
            <w:r>
              <w:rPr>
                <w:rFonts w:hint="eastAsia" w:ascii="宋体" w:hAnsi="宋体" w:cs="宋体"/>
                <w:color w:val="000000"/>
                <w:spacing w:val="7"/>
                <w:sz w:val="24"/>
                <w:highlight w:val="none"/>
                <w:lang w:eastAsia="zh-CN"/>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highlight w:val="none"/>
        </w:rPr>
      </w:pPr>
      <w:r>
        <w:rPr>
          <w:rFonts w:ascii="宋体"/>
          <w:sz w:val="24"/>
          <w:highlight w:val="none"/>
        </w:rPr>
        <w:br w:type="page"/>
      </w:r>
    </w:p>
    <w:p>
      <w:pPr>
        <w:pStyle w:val="21"/>
        <w:spacing w:line="480" w:lineRule="exact"/>
        <w:ind w:left="98" w:leftChars="0" w:hanging="98" w:hangingChars="35"/>
        <w:outlineLvl w:val="1"/>
        <w:rPr>
          <w:rFonts w:ascii="宋体"/>
          <w:b/>
          <w:sz w:val="28"/>
          <w:highlight w:val="none"/>
        </w:rPr>
      </w:pPr>
      <w:bookmarkStart w:id="5" w:name="_Toc12225"/>
      <w:bookmarkStart w:id="6" w:name="_Toc16191"/>
      <w:bookmarkStart w:id="7" w:name="_Toc10957"/>
      <w:r>
        <w:rPr>
          <w:rFonts w:hint="eastAsia" w:ascii="宋体" w:hAnsi="宋体"/>
          <w:b/>
          <w:sz w:val="28"/>
          <w:highlight w:val="none"/>
        </w:rPr>
        <w:t>一、说明</w:t>
      </w:r>
      <w:bookmarkEnd w:id="5"/>
      <w:bookmarkEnd w:id="6"/>
      <w:bookmarkEnd w:id="7"/>
    </w:p>
    <w:p>
      <w:pPr>
        <w:pStyle w:val="13"/>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3"/>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3"/>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3"/>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highlight w:val="none"/>
        </w:rPr>
      </w:pPr>
      <w:bookmarkStart w:id="8" w:name="_Toc32185"/>
      <w:bookmarkStart w:id="9" w:name="_Toc6481"/>
      <w:bookmarkStart w:id="10" w:name="_Toc7693"/>
      <w:r>
        <w:rPr>
          <w:rFonts w:ascii="宋体" w:hAnsi="宋体"/>
          <w:b/>
          <w:sz w:val="24"/>
          <w:highlight w:val="none"/>
        </w:rPr>
        <w:t xml:space="preserve">3.  </w:t>
      </w:r>
      <w:r>
        <w:rPr>
          <w:rFonts w:hint="eastAsia" w:ascii="宋体" w:hAnsi="宋体"/>
          <w:b/>
          <w:sz w:val="24"/>
          <w:highlight w:val="none"/>
        </w:rPr>
        <w:t>合格投标人</w:t>
      </w:r>
      <w:bookmarkEnd w:id="8"/>
      <w:bookmarkEnd w:id="9"/>
      <w:bookmarkEnd w:id="10"/>
    </w:p>
    <w:p>
      <w:pPr>
        <w:pStyle w:val="13"/>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3"/>
        <w:tabs>
          <w:tab w:val="left" w:pos="1146"/>
        </w:tabs>
        <w:spacing w:line="480" w:lineRule="exact"/>
        <w:ind w:left="197" w:leftChars="94" w:firstLine="360" w:firstLineChars="150"/>
        <w:rPr>
          <w:rFonts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w:t>
      </w:r>
    </w:p>
    <w:p>
      <w:pPr>
        <w:pStyle w:val="13"/>
        <w:tabs>
          <w:tab w:val="left" w:pos="1146"/>
        </w:tabs>
        <w:spacing w:line="480" w:lineRule="exact"/>
        <w:ind w:left="197" w:leftChars="94" w:firstLine="360" w:firstLineChars="150"/>
        <w:rPr>
          <w:rFonts w:hint="eastAsia" w:ascii="宋体"/>
          <w:sz w:val="24"/>
          <w:highlight w:val="none"/>
        </w:rPr>
      </w:pPr>
      <w:r>
        <w:rPr>
          <w:rFonts w:ascii="宋体"/>
          <w:sz w:val="24"/>
          <w:highlight w:val="none"/>
        </w:rPr>
        <w:t>3.1.6</w:t>
      </w:r>
      <w:r>
        <w:rPr>
          <w:rFonts w:hint="eastAsia" w:ascii="宋体"/>
          <w:sz w:val="24"/>
          <w:highlight w:val="none"/>
        </w:rPr>
        <w:t>在以往的政府采购活动中无违法、违规、违纪、违约行为；</w:t>
      </w:r>
    </w:p>
    <w:p>
      <w:pPr>
        <w:pStyle w:val="13"/>
        <w:tabs>
          <w:tab w:val="left" w:pos="1146"/>
        </w:tabs>
        <w:spacing w:line="480" w:lineRule="exact"/>
        <w:ind w:left="197" w:leftChars="94" w:firstLine="360" w:firstLineChars="150"/>
        <w:rPr>
          <w:rFonts w:hint="eastAsia" w:ascii="宋体"/>
          <w:sz w:val="24"/>
          <w:highlight w:val="none"/>
        </w:rPr>
      </w:pPr>
      <w:r>
        <w:rPr>
          <w:rFonts w:ascii="宋体"/>
          <w:sz w:val="24"/>
          <w:highlight w:val="none"/>
        </w:rPr>
        <w:t>3.1.7</w:t>
      </w:r>
      <w:r>
        <w:rPr>
          <w:rFonts w:hint="eastAsia" w:ascii="宋体" w:hAnsi="宋体" w:cs="宋体"/>
          <w:sz w:val="24"/>
          <w:highlight w:val="none"/>
        </w:rPr>
        <w:t>单位负责人为同一人或者存在直接控股、管理关系的不同投标人，不得参加同一合同项下的采购活动；</w:t>
      </w:r>
    </w:p>
    <w:p>
      <w:pPr>
        <w:pStyle w:val="13"/>
        <w:tabs>
          <w:tab w:val="left" w:pos="1146"/>
        </w:tabs>
        <w:spacing w:line="480" w:lineRule="exact"/>
        <w:ind w:left="197" w:leftChars="94" w:firstLine="360" w:firstLineChars="150"/>
        <w:rPr>
          <w:rFonts w:ascii="宋体"/>
          <w:sz w:val="24"/>
          <w:highlight w:val="none"/>
        </w:rPr>
      </w:pPr>
      <w:r>
        <w:rPr>
          <w:rFonts w:ascii="宋体"/>
          <w:color w:val="000000"/>
          <w:sz w:val="24"/>
          <w:highlight w:val="none"/>
        </w:rPr>
        <w:t>3.1.8</w:t>
      </w:r>
      <w:r>
        <w:rPr>
          <w:rFonts w:hint="eastAsia" w:ascii="宋体"/>
          <w:sz w:val="24"/>
          <w:highlight w:val="none"/>
        </w:rPr>
        <w:t>法律、行政法规规定的其他条件。</w:t>
      </w:r>
    </w:p>
    <w:p>
      <w:pPr>
        <w:pStyle w:val="13"/>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sz w:val="24"/>
          <w:highlight w:val="none"/>
        </w:rPr>
        <w:t>提供的资格资质证明文件均真实有效；</w:t>
      </w:r>
    </w:p>
    <w:p>
      <w:pPr>
        <w:pStyle w:val="13"/>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向招标代理购买招标文件并登记备案；</w:t>
      </w:r>
    </w:p>
    <w:p>
      <w:pPr>
        <w:pStyle w:val="13"/>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在以往的招标活动中没有违法、违规、违纪、违约行为；</w:t>
      </w:r>
    </w:p>
    <w:p>
      <w:pPr>
        <w:pStyle w:val="13"/>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遵守《中华人民共和国政府采购法》及实施条例、其他有关的中国法律、法规和规定；</w:t>
      </w:r>
    </w:p>
    <w:p>
      <w:pPr>
        <w:pStyle w:val="13"/>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3.6</w:t>
      </w:r>
      <w:r>
        <w:rPr>
          <w:rFonts w:hint="eastAsia" w:ascii="宋体" w:hAnsi="宋体"/>
          <w:bCs/>
          <w:sz w:val="24"/>
          <w:highlight w:val="none"/>
        </w:rPr>
        <w:t>本次招标不接受联合体投标。</w:t>
      </w:r>
    </w:p>
    <w:p>
      <w:pPr>
        <w:pStyle w:val="21"/>
        <w:tabs>
          <w:tab w:val="left" w:pos="1146"/>
        </w:tabs>
        <w:spacing w:line="480" w:lineRule="exact"/>
        <w:ind w:left="1144" w:leftChars="272" w:hanging="573" w:hangingChars="238"/>
        <w:outlineLvl w:val="0"/>
        <w:rPr>
          <w:rFonts w:ascii="宋体"/>
          <w:b/>
          <w:sz w:val="24"/>
          <w:highlight w:val="none"/>
        </w:rPr>
      </w:pPr>
      <w:bookmarkStart w:id="11" w:name="_Toc28524"/>
      <w:bookmarkStart w:id="12" w:name="_Toc9430"/>
      <w:bookmarkStart w:id="13" w:name="_Toc10338"/>
      <w:r>
        <w:rPr>
          <w:rFonts w:ascii="宋体" w:hAnsi="宋体"/>
          <w:b/>
          <w:sz w:val="24"/>
          <w:highlight w:val="none"/>
        </w:rPr>
        <w:t xml:space="preserve">4  </w:t>
      </w:r>
      <w:r>
        <w:rPr>
          <w:rFonts w:hint="eastAsia" w:ascii="宋体" w:hAnsi="宋体"/>
          <w:b/>
          <w:sz w:val="24"/>
          <w:highlight w:val="none"/>
          <w:lang w:val="en-US" w:eastAsia="zh-CN"/>
        </w:rPr>
        <w:t>服务</w:t>
      </w:r>
      <w:r>
        <w:rPr>
          <w:rFonts w:hint="eastAsia" w:ascii="宋体" w:hAnsi="宋体"/>
          <w:b/>
          <w:sz w:val="24"/>
          <w:highlight w:val="none"/>
        </w:rPr>
        <w:t>定义</w:t>
      </w:r>
      <w:bookmarkEnd w:id="11"/>
      <w:bookmarkEnd w:id="12"/>
      <w:bookmarkEnd w:id="13"/>
    </w:p>
    <w:p>
      <w:pPr>
        <w:pStyle w:val="21"/>
        <w:tabs>
          <w:tab w:val="left" w:pos="1146"/>
        </w:tabs>
        <w:spacing w:line="480" w:lineRule="exact"/>
        <w:ind w:left="128" w:leftChars="61" w:firstLine="480" w:firstLineChars="200"/>
        <w:outlineLvl w:val="0"/>
        <w:rPr>
          <w:rFonts w:ascii="宋体"/>
          <w:sz w:val="24"/>
          <w:highlight w:val="none"/>
        </w:rPr>
      </w:pPr>
      <w:bookmarkStart w:id="14" w:name="_Toc13517"/>
      <w:bookmarkStart w:id="15" w:name="_Toc1705"/>
      <w:bookmarkStart w:id="16" w:name="_Toc979"/>
      <w:r>
        <w:rPr>
          <w:rFonts w:ascii="宋体" w:hAnsi="宋体"/>
          <w:sz w:val="24"/>
          <w:highlight w:val="none"/>
        </w:rPr>
        <w:t xml:space="preserve">4.1 </w:t>
      </w:r>
      <w:r>
        <w:rPr>
          <w:rFonts w:hint="eastAsia" w:ascii="宋体" w:hAnsi="宋体"/>
          <w:sz w:val="24"/>
          <w:highlight w:val="none"/>
        </w:rPr>
        <w:t>“招标</w:t>
      </w:r>
      <w:r>
        <w:rPr>
          <w:rFonts w:hint="eastAsia" w:ascii="宋体" w:hAnsi="宋体"/>
          <w:sz w:val="24"/>
          <w:highlight w:val="none"/>
          <w:lang w:val="en-US" w:eastAsia="zh-CN"/>
        </w:rPr>
        <w:t>服务</w:t>
      </w:r>
      <w:r>
        <w:rPr>
          <w:rFonts w:hint="eastAsia" w:ascii="宋体" w:hAnsi="宋体"/>
          <w:sz w:val="24"/>
          <w:highlight w:val="none"/>
        </w:rPr>
        <w:t>”指本招标文件中所述产品及相关服务。</w:t>
      </w:r>
      <w:bookmarkEnd w:id="14"/>
      <w:bookmarkEnd w:id="15"/>
      <w:bookmarkEnd w:id="16"/>
    </w:p>
    <w:p>
      <w:pPr>
        <w:pStyle w:val="21"/>
        <w:tabs>
          <w:tab w:val="left" w:pos="1146"/>
        </w:tabs>
        <w:spacing w:line="480" w:lineRule="exact"/>
        <w:ind w:left="128" w:leftChars="61" w:firstLine="480" w:firstLineChars="200"/>
        <w:outlineLvl w:val="0"/>
        <w:rPr>
          <w:rFonts w:ascii="宋体"/>
          <w:sz w:val="24"/>
          <w:highlight w:val="none"/>
        </w:rPr>
      </w:pPr>
      <w:bookmarkStart w:id="17" w:name="_Toc15995"/>
      <w:bookmarkStart w:id="18" w:name="_Toc17993"/>
      <w:bookmarkStart w:id="19" w:name="_Toc13825"/>
      <w:r>
        <w:rPr>
          <w:rFonts w:ascii="宋体" w:hAnsi="宋体"/>
          <w:sz w:val="24"/>
          <w:highlight w:val="none"/>
        </w:rPr>
        <w:t xml:space="preserve">4.2  </w:t>
      </w:r>
      <w:r>
        <w:rPr>
          <w:rFonts w:hint="eastAsia" w:ascii="宋体" w:hAnsi="宋体"/>
          <w:sz w:val="24"/>
          <w:highlight w:val="none"/>
        </w:rPr>
        <w:t>进口产品是指通过中国海关报关验放进入中国境内且产自关境外的产品。</w:t>
      </w:r>
      <w:bookmarkEnd w:id="17"/>
      <w:bookmarkEnd w:id="18"/>
      <w:bookmarkEnd w:id="19"/>
    </w:p>
    <w:p>
      <w:pPr>
        <w:pStyle w:val="21"/>
        <w:tabs>
          <w:tab w:val="left" w:pos="955"/>
        </w:tabs>
        <w:spacing w:line="480" w:lineRule="exact"/>
        <w:ind w:left="571" w:leftChars="272" w:firstLine="2" w:firstLineChars="0"/>
        <w:outlineLvl w:val="0"/>
        <w:rPr>
          <w:rFonts w:ascii="宋体"/>
          <w:b/>
          <w:sz w:val="24"/>
          <w:highlight w:val="none"/>
        </w:rPr>
      </w:pPr>
      <w:bookmarkStart w:id="20" w:name="_Toc6605"/>
      <w:bookmarkStart w:id="21" w:name="_Toc32728"/>
      <w:bookmarkStart w:id="22" w:name="_Toc30324"/>
      <w:r>
        <w:rPr>
          <w:rFonts w:ascii="宋体" w:hAnsi="宋体"/>
          <w:b/>
          <w:sz w:val="24"/>
          <w:highlight w:val="none"/>
        </w:rPr>
        <w:t xml:space="preserve">5.  </w:t>
      </w:r>
      <w:r>
        <w:rPr>
          <w:rFonts w:hint="eastAsia" w:ascii="宋体" w:hAnsi="宋体"/>
          <w:b/>
          <w:sz w:val="24"/>
          <w:highlight w:val="none"/>
        </w:rPr>
        <w:t>投标费用</w:t>
      </w:r>
      <w:bookmarkEnd w:id="20"/>
      <w:bookmarkEnd w:id="21"/>
      <w:bookmarkEnd w:id="22"/>
    </w:p>
    <w:p>
      <w:pPr>
        <w:pStyle w:val="21"/>
        <w:spacing w:line="480" w:lineRule="exact"/>
        <w:ind w:left="48" w:leftChars="23" w:firstLine="480" w:firstLineChars="200"/>
        <w:outlineLvl w:val="0"/>
        <w:rPr>
          <w:rFonts w:ascii="宋体"/>
          <w:sz w:val="24"/>
          <w:highlight w:val="none"/>
        </w:rPr>
      </w:pPr>
      <w:bookmarkStart w:id="23" w:name="_Toc17097"/>
      <w:bookmarkStart w:id="24" w:name="_Toc7414"/>
      <w:bookmarkStart w:id="25" w:name="_Toc8916"/>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3"/>
      <w:bookmarkEnd w:id="24"/>
      <w:bookmarkEnd w:id="25"/>
    </w:p>
    <w:p>
      <w:pPr>
        <w:pStyle w:val="21"/>
        <w:spacing w:line="480" w:lineRule="exact"/>
        <w:ind w:left="48" w:leftChars="23" w:firstLine="480" w:firstLineChars="200"/>
        <w:outlineLvl w:val="0"/>
        <w:rPr>
          <w:rFonts w:ascii="宋体"/>
          <w:sz w:val="24"/>
          <w:highlight w:val="none"/>
        </w:rPr>
      </w:pPr>
      <w:bookmarkStart w:id="26"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sz w:val="24"/>
          <w:szCs w:val="22"/>
          <w:highlight w:val="none"/>
        </w:rPr>
        <w:t>30%</w:t>
      </w:r>
      <w:r>
        <w:rPr>
          <w:rFonts w:hint="eastAsia"/>
          <w:sz w:val="24"/>
          <w:szCs w:val="22"/>
          <w:highlight w:val="none"/>
        </w:rPr>
        <w:t>向代理招标人交纳中标服务费。中标服务费由中标人支付。无论投标过程中的方法和结果如何，投标人自行承担所有与参加投标有关的费用。</w:t>
      </w:r>
      <w:bookmarkEnd w:id="26"/>
    </w:p>
    <w:p>
      <w:pPr>
        <w:pStyle w:val="21"/>
        <w:spacing w:line="480" w:lineRule="exact"/>
        <w:ind w:left="0" w:leftChars="0" w:firstLine="0" w:firstLineChars="0"/>
        <w:outlineLvl w:val="1"/>
        <w:rPr>
          <w:rFonts w:ascii="宋体"/>
          <w:b/>
          <w:sz w:val="28"/>
          <w:highlight w:val="none"/>
        </w:rPr>
      </w:pPr>
      <w:bookmarkStart w:id="27" w:name="_Toc7019"/>
      <w:bookmarkStart w:id="28" w:name="_Toc8225"/>
      <w:bookmarkStart w:id="29" w:name="_Toc22107"/>
      <w:r>
        <w:rPr>
          <w:rFonts w:hint="eastAsia" w:ascii="宋体" w:hAnsi="宋体"/>
          <w:b/>
          <w:sz w:val="28"/>
          <w:highlight w:val="none"/>
        </w:rPr>
        <w:t>二、招标文件</w:t>
      </w:r>
      <w:bookmarkEnd w:id="27"/>
      <w:bookmarkEnd w:id="28"/>
      <w:bookmarkEnd w:id="29"/>
    </w:p>
    <w:p>
      <w:pPr>
        <w:pStyle w:val="21"/>
        <w:spacing w:line="480" w:lineRule="exact"/>
        <w:ind w:left="569" w:leftChars="271" w:firstLine="2" w:firstLineChars="1"/>
        <w:outlineLvl w:val="0"/>
        <w:rPr>
          <w:rFonts w:ascii="宋体"/>
          <w:b/>
          <w:sz w:val="24"/>
          <w:highlight w:val="none"/>
        </w:rPr>
      </w:pPr>
      <w:bookmarkStart w:id="30" w:name="_Toc8798"/>
      <w:bookmarkStart w:id="31" w:name="_Toc31893"/>
      <w:bookmarkStart w:id="32" w:name="_Toc29387"/>
      <w:r>
        <w:rPr>
          <w:rFonts w:ascii="宋体" w:hAnsi="宋体"/>
          <w:b/>
          <w:sz w:val="24"/>
          <w:highlight w:val="none"/>
        </w:rPr>
        <w:t xml:space="preserve">6.  </w:t>
      </w:r>
      <w:r>
        <w:rPr>
          <w:rFonts w:hint="eastAsia" w:ascii="宋体" w:hAnsi="宋体"/>
          <w:b/>
          <w:sz w:val="24"/>
          <w:highlight w:val="none"/>
        </w:rPr>
        <w:t>招标文件构成</w:t>
      </w:r>
      <w:bookmarkEnd w:id="30"/>
      <w:bookmarkEnd w:id="31"/>
      <w:bookmarkEnd w:id="32"/>
    </w:p>
    <w:p>
      <w:pPr>
        <w:pStyle w:val="21"/>
        <w:spacing w:line="480" w:lineRule="exact"/>
        <w:ind w:left="197" w:leftChars="94" w:firstLine="360" w:firstLineChars="150"/>
        <w:outlineLvl w:val="0"/>
        <w:rPr>
          <w:rFonts w:ascii="宋体"/>
          <w:sz w:val="24"/>
          <w:highlight w:val="none"/>
        </w:rPr>
      </w:pPr>
      <w:bookmarkStart w:id="33" w:name="_Toc22244"/>
      <w:bookmarkStart w:id="34" w:name="_Toc29308"/>
      <w:bookmarkStart w:id="35" w:name="_Toc27616"/>
      <w:r>
        <w:rPr>
          <w:rFonts w:hint="eastAsia" w:ascii="宋体" w:hAnsi="宋体"/>
          <w:sz w:val="24"/>
          <w:highlight w:val="none"/>
        </w:rPr>
        <w:t>本招标文件共分五部分，内容如下：</w:t>
      </w:r>
      <w:bookmarkEnd w:id="33"/>
      <w:bookmarkEnd w:id="34"/>
      <w:bookmarkEnd w:id="35"/>
    </w:p>
    <w:p>
      <w:pPr>
        <w:pStyle w:val="21"/>
        <w:spacing w:line="480" w:lineRule="exact"/>
        <w:ind w:left="199" w:leftChars="95" w:firstLine="840" w:firstLineChars="350"/>
        <w:outlineLvl w:val="0"/>
        <w:rPr>
          <w:rFonts w:ascii="宋体"/>
          <w:sz w:val="24"/>
          <w:highlight w:val="none"/>
        </w:rPr>
      </w:pPr>
      <w:bookmarkStart w:id="36" w:name="_Toc22328"/>
      <w:bookmarkStart w:id="37" w:name="_Toc22769"/>
      <w:bookmarkStart w:id="38" w:name="_Toc24847"/>
      <w:r>
        <w:rPr>
          <w:rFonts w:hint="eastAsia" w:ascii="宋体" w:hAnsi="宋体"/>
          <w:sz w:val="24"/>
          <w:highlight w:val="none"/>
        </w:rPr>
        <w:t>第一部分招标公告</w:t>
      </w:r>
      <w:bookmarkEnd w:id="36"/>
      <w:bookmarkEnd w:id="37"/>
      <w:bookmarkEnd w:id="38"/>
    </w:p>
    <w:p>
      <w:pPr>
        <w:pStyle w:val="21"/>
        <w:spacing w:line="480" w:lineRule="exact"/>
        <w:ind w:left="199" w:leftChars="95" w:firstLine="840" w:firstLineChars="350"/>
        <w:outlineLvl w:val="0"/>
        <w:rPr>
          <w:rFonts w:ascii="宋体"/>
          <w:sz w:val="24"/>
          <w:highlight w:val="none"/>
        </w:rPr>
      </w:pPr>
      <w:bookmarkStart w:id="39" w:name="_Toc3662"/>
      <w:bookmarkStart w:id="40" w:name="_Toc30737"/>
      <w:bookmarkStart w:id="41" w:name="_Toc21707"/>
      <w:r>
        <w:rPr>
          <w:rFonts w:hint="eastAsia" w:ascii="宋体" w:hAnsi="宋体"/>
          <w:sz w:val="24"/>
          <w:highlight w:val="none"/>
        </w:rPr>
        <w:t>第二部分投标人须知</w:t>
      </w:r>
      <w:bookmarkEnd w:id="39"/>
      <w:bookmarkEnd w:id="40"/>
      <w:bookmarkEnd w:id="41"/>
    </w:p>
    <w:p>
      <w:pPr>
        <w:pStyle w:val="21"/>
        <w:spacing w:line="480" w:lineRule="exact"/>
        <w:ind w:left="199" w:leftChars="95" w:firstLine="840" w:firstLineChars="350"/>
        <w:outlineLvl w:val="0"/>
        <w:rPr>
          <w:rFonts w:ascii="宋体"/>
          <w:sz w:val="24"/>
          <w:highlight w:val="none"/>
        </w:rPr>
      </w:pPr>
      <w:bookmarkStart w:id="42" w:name="_Toc5592"/>
      <w:bookmarkStart w:id="43" w:name="_Toc25164"/>
      <w:bookmarkStart w:id="44" w:name="_Toc6061"/>
      <w:r>
        <w:rPr>
          <w:rFonts w:hint="eastAsia" w:ascii="宋体" w:hAnsi="宋体"/>
          <w:sz w:val="24"/>
          <w:highlight w:val="none"/>
        </w:rPr>
        <w:t>第三部分招标要求</w:t>
      </w:r>
      <w:bookmarkEnd w:id="42"/>
      <w:bookmarkEnd w:id="43"/>
      <w:bookmarkEnd w:id="44"/>
    </w:p>
    <w:p>
      <w:pPr>
        <w:pStyle w:val="21"/>
        <w:spacing w:line="480" w:lineRule="exact"/>
        <w:ind w:left="199" w:leftChars="95" w:firstLine="840" w:firstLineChars="350"/>
        <w:outlineLvl w:val="0"/>
        <w:rPr>
          <w:rFonts w:ascii="宋体"/>
          <w:sz w:val="24"/>
          <w:highlight w:val="none"/>
        </w:rPr>
      </w:pPr>
      <w:bookmarkStart w:id="45" w:name="_Toc26235"/>
      <w:bookmarkStart w:id="46" w:name="_Toc27874"/>
      <w:bookmarkStart w:id="47" w:name="_Toc8921"/>
      <w:r>
        <w:rPr>
          <w:rFonts w:hint="eastAsia" w:ascii="宋体" w:hAnsi="宋体"/>
          <w:sz w:val="24"/>
          <w:highlight w:val="none"/>
        </w:rPr>
        <w:t>第四部分合同条款及格式</w:t>
      </w:r>
      <w:bookmarkEnd w:id="45"/>
      <w:bookmarkEnd w:id="46"/>
      <w:bookmarkEnd w:id="47"/>
    </w:p>
    <w:p>
      <w:pPr>
        <w:pStyle w:val="21"/>
        <w:spacing w:line="480" w:lineRule="exact"/>
        <w:ind w:left="199" w:leftChars="95" w:firstLine="840" w:firstLineChars="350"/>
        <w:outlineLvl w:val="0"/>
        <w:rPr>
          <w:rFonts w:ascii="宋体"/>
          <w:sz w:val="24"/>
          <w:highlight w:val="none"/>
        </w:rPr>
      </w:pPr>
      <w:bookmarkStart w:id="48" w:name="_Toc24995"/>
      <w:bookmarkStart w:id="49" w:name="_Toc23721"/>
      <w:bookmarkStart w:id="50" w:name="_Toc1085"/>
      <w:r>
        <w:rPr>
          <w:rFonts w:hint="eastAsia" w:ascii="宋体" w:hAnsi="宋体"/>
          <w:sz w:val="24"/>
          <w:highlight w:val="none"/>
        </w:rPr>
        <w:t>第五部分附件</w:t>
      </w:r>
      <w:bookmarkEnd w:id="48"/>
      <w:bookmarkEnd w:id="49"/>
      <w:bookmarkEnd w:id="50"/>
    </w:p>
    <w:p>
      <w:pPr>
        <w:pStyle w:val="21"/>
        <w:spacing w:line="480" w:lineRule="exact"/>
        <w:ind w:left="197" w:leftChars="94" w:firstLine="376" w:firstLineChars="156"/>
        <w:outlineLvl w:val="0"/>
        <w:rPr>
          <w:rFonts w:ascii="宋体"/>
          <w:b/>
          <w:sz w:val="24"/>
          <w:highlight w:val="none"/>
        </w:rPr>
      </w:pPr>
      <w:bookmarkStart w:id="51" w:name="_Toc31858"/>
      <w:bookmarkStart w:id="52" w:name="_Toc4919"/>
      <w:bookmarkStart w:id="53" w:name="_Toc27057"/>
      <w:r>
        <w:rPr>
          <w:rFonts w:ascii="宋体" w:hAnsi="宋体"/>
          <w:b/>
          <w:sz w:val="24"/>
          <w:highlight w:val="none"/>
        </w:rPr>
        <w:t xml:space="preserve">7.  </w:t>
      </w:r>
      <w:r>
        <w:rPr>
          <w:rFonts w:hint="eastAsia" w:ascii="宋体" w:hAnsi="宋体"/>
          <w:b/>
          <w:sz w:val="24"/>
          <w:highlight w:val="none"/>
        </w:rPr>
        <w:t>招标文件澄清和修改</w:t>
      </w:r>
      <w:bookmarkEnd w:id="51"/>
      <w:bookmarkEnd w:id="52"/>
      <w:bookmarkEnd w:id="53"/>
    </w:p>
    <w:p>
      <w:pPr>
        <w:pStyle w:val="21"/>
        <w:spacing w:line="480" w:lineRule="exact"/>
        <w:ind w:left="286" w:leftChars="136" w:firstLine="480" w:firstLineChars="200"/>
        <w:outlineLvl w:val="0"/>
        <w:rPr>
          <w:rFonts w:ascii="宋体"/>
          <w:sz w:val="24"/>
          <w:highlight w:val="none"/>
        </w:rPr>
      </w:pPr>
      <w:bookmarkStart w:id="54" w:name="_Toc15456"/>
      <w:bookmarkStart w:id="55" w:name="_Toc14329"/>
      <w:bookmarkStart w:id="56" w:name="_Toc32322"/>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4"/>
      <w:bookmarkEnd w:id="55"/>
      <w:bookmarkEnd w:id="56"/>
    </w:p>
    <w:p>
      <w:pPr>
        <w:pStyle w:val="21"/>
        <w:spacing w:line="480" w:lineRule="exact"/>
        <w:ind w:left="286" w:leftChars="136" w:firstLine="480" w:firstLineChars="200"/>
        <w:outlineLvl w:val="0"/>
        <w:rPr>
          <w:rFonts w:ascii="宋体"/>
          <w:sz w:val="24"/>
          <w:highlight w:val="none"/>
        </w:rPr>
      </w:pPr>
      <w:bookmarkStart w:id="57" w:name="_Toc30033"/>
      <w:bookmarkStart w:id="58" w:name="_Toc2503"/>
      <w:bookmarkStart w:id="59" w:name="_Toc702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7"/>
      <w:bookmarkEnd w:id="58"/>
      <w:bookmarkEnd w:id="59"/>
    </w:p>
    <w:p>
      <w:pPr>
        <w:pStyle w:val="21"/>
        <w:spacing w:line="480" w:lineRule="exact"/>
        <w:ind w:left="286" w:leftChars="136" w:firstLine="480" w:firstLineChars="200"/>
        <w:outlineLvl w:val="0"/>
        <w:rPr>
          <w:rFonts w:ascii="宋体"/>
          <w:sz w:val="24"/>
          <w:highlight w:val="none"/>
        </w:rPr>
      </w:pPr>
      <w:bookmarkStart w:id="60" w:name="_Toc27548"/>
      <w:bookmarkStart w:id="61" w:name="_Toc23881"/>
      <w:bookmarkStart w:id="62" w:name="_Toc6239"/>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60"/>
      <w:bookmarkEnd w:id="61"/>
      <w:bookmarkEnd w:id="62"/>
    </w:p>
    <w:p>
      <w:pPr>
        <w:pStyle w:val="21"/>
        <w:spacing w:line="480" w:lineRule="exact"/>
        <w:ind w:left="286" w:leftChars="136" w:firstLine="480" w:firstLineChars="200"/>
        <w:outlineLvl w:val="0"/>
        <w:rPr>
          <w:rFonts w:ascii="宋体" w:hAnsi="宋体"/>
          <w:sz w:val="24"/>
          <w:highlight w:val="none"/>
        </w:rPr>
      </w:pPr>
      <w:bookmarkStart w:id="63" w:name="_Toc17859"/>
      <w:bookmarkStart w:id="64" w:name="_Toc6905"/>
      <w:bookmarkStart w:id="65" w:name="_Toc17449"/>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3"/>
      <w:bookmarkEnd w:id="64"/>
      <w:bookmarkEnd w:id="65"/>
    </w:p>
    <w:p>
      <w:pPr>
        <w:pStyle w:val="13"/>
        <w:tabs>
          <w:tab w:val="left" w:pos="1146"/>
        </w:tabs>
        <w:spacing w:line="480" w:lineRule="exact"/>
        <w:ind w:left="197" w:leftChars="94" w:firstLine="600" w:firstLineChars="250"/>
        <w:rPr>
          <w:rFonts w:ascii="宋体"/>
          <w:bCs/>
          <w:color w:val="000000"/>
          <w:sz w:val="24"/>
          <w:highlight w:val="none"/>
        </w:rPr>
      </w:pPr>
      <w:r>
        <w:rPr>
          <w:rFonts w:hint="eastAsia" w:ascii="宋体"/>
          <w:bCs/>
          <w:color w:val="000000"/>
          <w:sz w:val="24"/>
          <w:highlight w:val="none"/>
        </w:rPr>
        <w:t>7.5  因登记有误或其它意外情形，导致所发出的通知延迟送达或无法到投标人，采购代理不因此承担任何责任，有关的招标活动可以继续效地进行。</w:t>
      </w:r>
    </w:p>
    <w:p>
      <w:pPr>
        <w:pStyle w:val="21"/>
        <w:spacing w:line="480" w:lineRule="exact"/>
        <w:ind w:left="286" w:leftChars="136" w:firstLine="480" w:firstLineChars="200"/>
        <w:outlineLvl w:val="0"/>
        <w:rPr>
          <w:rFonts w:ascii="宋体" w:hAnsi="宋体"/>
          <w:sz w:val="24"/>
          <w:highlight w:val="none"/>
        </w:rPr>
      </w:pPr>
    </w:p>
    <w:p>
      <w:pPr>
        <w:pStyle w:val="21"/>
        <w:spacing w:line="480" w:lineRule="exact"/>
        <w:ind w:left="0" w:leftChars="0" w:firstLine="0" w:firstLineChars="0"/>
        <w:outlineLvl w:val="1"/>
        <w:rPr>
          <w:rFonts w:ascii="宋体"/>
          <w:b/>
          <w:sz w:val="28"/>
          <w:highlight w:val="none"/>
        </w:rPr>
      </w:pPr>
      <w:bookmarkStart w:id="66" w:name="_Toc21443"/>
      <w:bookmarkStart w:id="67" w:name="_Toc13670"/>
      <w:bookmarkStart w:id="68" w:name="_Toc20316"/>
      <w:r>
        <w:rPr>
          <w:rFonts w:hint="eastAsia" w:ascii="宋体" w:hAnsi="宋体"/>
          <w:b/>
          <w:sz w:val="28"/>
          <w:highlight w:val="none"/>
        </w:rPr>
        <w:t>三、投标文件编制</w:t>
      </w:r>
      <w:bookmarkEnd w:id="66"/>
      <w:bookmarkEnd w:id="67"/>
      <w:bookmarkEnd w:id="68"/>
    </w:p>
    <w:p>
      <w:pPr>
        <w:pStyle w:val="2"/>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29"/>
        <w:spacing w:line="480" w:lineRule="exact"/>
        <w:ind w:firstLine="561" w:firstLineChars="234"/>
        <w:rPr>
          <w:rFonts w:ascii="宋体"/>
          <w:highlight w:val="none"/>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p>
    <w:p>
      <w:pPr>
        <w:pStyle w:val="29"/>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29"/>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除招标文件的技术规格中另有规定外，投标文件中所使用的计量单位应使用中华人民共和国法定计量单位。</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2"/>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2"/>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2"/>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2"/>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3"/>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3"/>
        <w:spacing w:line="480" w:lineRule="exact"/>
        <w:ind w:left="0" w:leftChars="0" w:firstLine="578" w:firstLineChars="241"/>
        <w:rPr>
          <w:rFonts w:hint="eastAsia" w:ascii="宋体" w:hAns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3"/>
        <w:spacing w:line="480" w:lineRule="exact"/>
        <w:ind w:left="0" w:leftChars="0" w:firstLine="578" w:firstLineChars="241"/>
        <w:rPr>
          <w:rFonts w:hint="default" w:ascii="宋体" w:hAnsi="宋体" w:eastAsia="宋体"/>
          <w:sz w:val="24"/>
          <w:highlight w:val="none"/>
          <w:lang w:val="en-US" w:eastAsia="zh-CN"/>
        </w:rPr>
      </w:pPr>
      <w:r>
        <w:rPr>
          <w:rFonts w:hint="eastAsia" w:ascii="宋体" w:hAnsi="宋体"/>
          <w:sz w:val="24"/>
          <w:highlight w:val="none"/>
          <w:lang w:val="en-US" w:eastAsia="zh-CN"/>
        </w:rPr>
        <w:t>2)报价明细表（附件四）；</w:t>
      </w:r>
    </w:p>
    <w:p>
      <w:pPr>
        <w:pStyle w:val="2"/>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3"/>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3"/>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3"/>
        <w:spacing w:line="480" w:lineRule="exact"/>
        <w:ind w:left="197" w:leftChars="94" w:firstLine="360" w:firstLineChars="150"/>
        <w:rPr>
          <w:rFonts w:ascii="宋体" w:cs="宋体"/>
          <w:kern w:val="0"/>
          <w:sz w:val="24"/>
          <w:highlight w:val="none"/>
        </w:rPr>
      </w:pPr>
      <w:r>
        <w:rPr>
          <w:rFonts w:ascii="宋体" w:hAnsi="宋体"/>
          <w:sz w:val="24"/>
          <w:highlight w:val="none"/>
        </w:rPr>
        <w:t>3</w:t>
      </w:r>
      <w:r>
        <w:rPr>
          <w:rFonts w:hint="eastAsia" w:ascii="宋体" w:hAnsi="宋体"/>
          <w:sz w:val="24"/>
          <w:highlight w:val="none"/>
        </w:rPr>
        <w:t>）近三年无不良信誉证明，“信用中国”网站（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如投标单位成立不足三年供应商需提供自成立至今的。（附件</w:t>
      </w:r>
      <w:r>
        <w:rPr>
          <w:rFonts w:hint="eastAsia" w:ascii="宋体" w:hAnsi="宋体"/>
          <w:sz w:val="24"/>
          <w:highlight w:val="none"/>
          <w:lang w:val="en-US" w:eastAsia="zh-CN"/>
        </w:rPr>
        <w:t>九</w:t>
      </w:r>
      <w:r>
        <w:rPr>
          <w:rFonts w:hint="eastAsia" w:ascii="宋体" w:hAnsi="宋体"/>
          <w:sz w:val="24"/>
          <w:highlight w:val="none"/>
        </w:rPr>
        <w:t>的格式</w:t>
      </w:r>
      <w:r>
        <w:rPr>
          <w:rFonts w:ascii="宋体" w:hAnsi="宋体"/>
          <w:sz w:val="24"/>
          <w:highlight w:val="none"/>
        </w:rPr>
        <w:t>1</w:t>
      </w:r>
      <w:r>
        <w:rPr>
          <w:rFonts w:hint="eastAsia" w:ascii="宋体" w:hAnsi="宋体"/>
          <w:sz w:val="24"/>
          <w:highlight w:val="none"/>
        </w:rPr>
        <w:t>）；</w:t>
      </w:r>
    </w:p>
    <w:p>
      <w:pPr>
        <w:pStyle w:val="13"/>
        <w:spacing w:line="480" w:lineRule="exact"/>
        <w:ind w:left="197" w:leftChars="94" w:firstLine="360" w:firstLineChars="150"/>
        <w:rPr>
          <w:rFonts w:ascii="宋体"/>
          <w:sz w:val="24"/>
          <w:highlight w:val="none"/>
        </w:rPr>
      </w:pPr>
      <w:r>
        <w:rPr>
          <w:rFonts w:ascii="宋体" w:hAnsi="宋体" w:cs="宋体"/>
          <w:kern w:val="0"/>
          <w:sz w:val="24"/>
          <w:highlight w:val="none"/>
        </w:rPr>
        <w:t>4</w:t>
      </w:r>
      <w:r>
        <w:rPr>
          <w:rFonts w:hint="eastAsia" w:ascii="宋体" w:hAnsi="宋体" w:cs="宋体"/>
          <w:kern w:val="0"/>
          <w:sz w:val="24"/>
          <w:highlight w:val="none"/>
        </w:rPr>
        <w:t>）</w:t>
      </w:r>
      <w:r>
        <w:rPr>
          <w:rFonts w:ascii="宋体" w:hAnsi="宋体"/>
          <w:sz w:val="24"/>
          <w:highlight w:val="none"/>
        </w:rPr>
        <w:t>201</w:t>
      </w:r>
      <w:r>
        <w:rPr>
          <w:rFonts w:hint="eastAsia" w:ascii="宋体" w:hAnsi="宋体"/>
          <w:sz w:val="24"/>
          <w:highlight w:val="none"/>
        </w:rPr>
        <w:t>8年度财务状况报告（</w:t>
      </w:r>
      <w:r>
        <w:rPr>
          <w:rFonts w:hint="eastAsia" w:ascii="宋体" w:hAnsi="宋体"/>
          <w:sz w:val="24"/>
          <w:highlight w:val="none"/>
          <w:lang w:eastAsia="zh-CN"/>
        </w:rPr>
        <w:t>附件九</w:t>
      </w:r>
      <w:r>
        <w:rPr>
          <w:rFonts w:hint="eastAsia" w:ascii="宋体" w:hAnsi="宋体"/>
          <w:sz w:val="24"/>
          <w:highlight w:val="none"/>
        </w:rPr>
        <w:t>的格式</w:t>
      </w:r>
      <w:r>
        <w:rPr>
          <w:rFonts w:ascii="宋体" w:hAnsi="宋体"/>
          <w:sz w:val="24"/>
          <w:highlight w:val="none"/>
        </w:rPr>
        <w:t>2</w:t>
      </w:r>
      <w:r>
        <w:rPr>
          <w:rFonts w:hint="eastAsia" w:ascii="宋体" w:hAnsi="宋体"/>
          <w:sz w:val="24"/>
          <w:highlight w:val="none"/>
        </w:rPr>
        <w:t>）及依法缴纳税收和社会保障资金的相关材料，（</w:t>
      </w:r>
      <w:r>
        <w:rPr>
          <w:rFonts w:hint="eastAsia" w:ascii="宋体" w:hAnsi="宋体"/>
          <w:sz w:val="24"/>
          <w:highlight w:val="none"/>
          <w:lang w:eastAsia="zh-CN"/>
        </w:rPr>
        <w:t>附件九</w:t>
      </w:r>
      <w:r>
        <w:rPr>
          <w:rFonts w:hint="eastAsia" w:ascii="宋体" w:hAnsi="宋体"/>
          <w:sz w:val="24"/>
          <w:highlight w:val="none"/>
        </w:rPr>
        <w:t>的格式</w:t>
      </w:r>
      <w:r>
        <w:rPr>
          <w:rFonts w:ascii="宋体" w:hAnsi="宋体"/>
          <w:sz w:val="24"/>
          <w:highlight w:val="none"/>
        </w:rPr>
        <w:t>3</w:t>
      </w:r>
      <w:r>
        <w:rPr>
          <w:rFonts w:hint="eastAsia" w:ascii="宋体" w:hAnsi="宋体"/>
          <w:sz w:val="24"/>
          <w:highlight w:val="none"/>
        </w:rPr>
        <w:t>），如投标单位成立不足三年供应商需提供自成立至今的；</w:t>
      </w:r>
    </w:p>
    <w:p>
      <w:pPr>
        <w:pStyle w:val="13"/>
        <w:spacing w:line="480" w:lineRule="exact"/>
        <w:ind w:left="197" w:leftChars="94" w:firstLine="360" w:firstLineChars="150"/>
        <w:rPr>
          <w:rFonts w:ascii="宋体" w:hAnsi="宋体"/>
          <w:sz w:val="24"/>
          <w:highlight w:val="none"/>
        </w:rPr>
      </w:pPr>
      <w:r>
        <w:rPr>
          <w:rFonts w:ascii="宋体" w:hAnsi="宋体"/>
          <w:sz w:val="24"/>
          <w:highlight w:val="none"/>
        </w:rPr>
        <w:t>5</w:t>
      </w:r>
      <w:r>
        <w:rPr>
          <w:rFonts w:hint="eastAsia" w:ascii="宋体" w:hAnsi="宋体"/>
          <w:sz w:val="24"/>
          <w:highlight w:val="none"/>
        </w:rPr>
        <w:t>）具备履行合同所必需的设备和专业技术能力的证明材料（</w:t>
      </w:r>
      <w:r>
        <w:rPr>
          <w:rFonts w:hint="eastAsia" w:ascii="宋体" w:hAnsi="宋体"/>
          <w:sz w:val="24"/>
          <w:highlight w:val="none"/>
          <w:lang w:eastAsia="zh-CN"/>
        </w:rPr>
        <w:t>附件九</w:t>
      </w:r>
      <w:r>
        <w:rPr>
          <w:rFonts w:hint="eastAsia" w:ascii="宋体" w:hAnsi="宋体"/>
          <w:sz w:val="24"/>
          <w:highlight w:val="none"/>
        </w:rPr>
        <w:t>的格式</w:t>
      </w:r>
      <w:r>
        <w:rPr>
          <w:rFonts w:ascii="宋体" w:hAnsi="宋体"/>
          <w:sz w:val="24"/>
          <w:highlight w:val="none"/>
        </w:rPr>
        <w:t>4</w:t>
      </w:r>
      <w:r>
        <w:rPr>
          <w:rFonts w:hint="eastAsia" w:ascii="宋体" w:hAnsi="宋体"/>
          <w:sz w:val="24"/>
          <w:highlight w:val="none"/>
        </w:rPr>
        <w:t>）；</w:t>
      </w:r>
    </w:p>
    <w:p>
      <w:pPr>
        <w:pStyle w:val="13"/>
        <w:spacing w:line="480" w:lineRule="exact"/>
        <w:ind w:left="197" w:leftChars="94" w:firstLine="360" w:firstLineChars="150"/>
        <w:rPr>
          <w:rFonts w:ascii="宋体"/>
          <w:sz w:val="24"/>
          <w:highlight w:val="none"/>
        </w:rPr>
      </w:pPr>
      <w:r>
        <w:rPr>
          <w:rFonts w:ascii="宋体" w:hAnsi="宋体"/>
          <w:sz w:val="24"/>
          <w:highlight w:val="none"/>
        </w:rPr>
        <w:t>6</w:t>
      </w:r>
      <w:r>
        <w:rPr>
          <w:rFonts w:hint="eastAsia" w:ascii="宋体" w:hAnsi="宋体"/>
          <w:sz w:val="24"/>
          <w:highlight w:val="none"/>
        </w:rPr>
        <w:t>）投标人为小型和微型企业的，须提供企业所在地的县级以上中小企业主管部门出具的证明文件、《小微企业声明函》（</w:t>
      </w:r>
      <w:r>
        <w:rPr>
          <w:rFonts w:hint="eastAsia" w:ascii="宋体" w:hAnsi="宋体"/>
          <w:sz w:val="24"/>
          <w:highlight w:val="none"/>
          <w:lang w:eastAsia="zh-CN"/>
        </w:rPr>
        <w:t>附件九</w:t>
      </w:r>
      <w:r>
        <w:rPr>
          <w:rFonts w:hint="eastAsia" w:ascii="宋体" w:hAnsi="宋体"/>
          <w:sz w:val="24"/>
          <w:highlight w:val="none"/>
        </w:rPr>
        <w:t>的格式</w:t>
      </w:r>
      <w:r>
        <w:rPr>
          <w:rFonts w:ascii="宋体" w:hAnsi="宋体"/>
          <w:sz w:val="24"/>
          <w:highlight w:val="none"/>
        </w:rPr>
        <w:t>5</w:t>
      </w:r>
      <w:r>
        <w:rPr>
          <w:rFonts w:hint="eastAsia" w:ascii="宋体" w:hAnsi="宋体"/>
          <w:sz w:val="24"/>
          <w:highlight w:val="none"/>
        </w:rPr>
        <w:t>）、《从业人员声明函》（</w:t>
      </w:r>
      <w:r>
        <w:rPr>
          <w:rFonts w:hint="eastAsia" w:ascii="宋体" w:hAnsi="宋体"/>
          <w:sz w:val="24"/>
          <w:highlight w:val="none"/>
          <w:lang w:eastAsia="zh-CN"/>
        </w:rPr>
        <w:t>附件九</w:t>
      </w:r>
      <w:r>
        <w:rPr>
          <w:rFonts w:hint="eastAsia" w:ascii="宋体" w:hAnsi="宋体"/>
          <w:sz w:val="24"/>
          <w:highlight w:val="none"/>
        </w:rPr>
        <w:t>的格式</w:t>
      </w:r>
      <w:r>
        <w:rPr>
          <w:rFonts w:ascii="宋体" w:hAnsi="宋体"/>
          <w:sz w:val="24"/>
          <w:highlight w:val="none"/>
        </w:rPr>
        <w:t>6</w:t>
      </w:r>
      <w:r>
        <w:rPr>
          <w:rFonts w:hint="eastAsia" w:ascii="宋体" w:hAnsi="宋体"/>
          <w:sz w:val="24"/>
          <w:highlight w:val="none"/>
        </w:rPr>
        <w:t>）原件及复印件（如果有）；</w:t>
      </w:r>
    </w:p>
    <w:p>
      <w:pPr>
        <w:pStyle w:val="13"/>
        <w:spacing w:line="480" w:lineRule="exact"/>
        <w:ind w:left="197" w:leftChars="94" w:firstLine="360" w:firstLineChars="150"/>
        <w:rPr>
          <w:rFonts w:ascii="宋体"/>
          <w:sz w:val="24"/>
          <w:highlight w:val="none"/>
        </w:rPr>
      </w:pPr>
      <w:r>
        <w:rPr>
          <w:rFonts w:ascii="宋体" w:hAnsi="宋体"/>
          <w:sz w:val="24"/>
          <w:highlight w:val="none"/>
        </w:rPr>
        <w:t>7</w:t>
      </w:r>
      <w:r>
        <w:rPr>
          <w:rFonts w:hint="eastAsia" w:ascii="宋体" w:hAnsi="宋体"/>
          <w:sz w:val="24"/>
          <w:highlight w:val="none"/>
        </w:rPr>
        <w:t>）投标人为监狱企业的，须提供省级以上监狱管理局、戒毒管理局（含新疆生产建设兵团）出具的属于监狱企业的证明文件原件（如果有）；</w:t>
      </w:r>
    </w:p>
    <w:p>
      <w:pPr>
        <w:pStyle w:val="13"/>
        <w:spacing w:line="480" w:lineRule="exact"/>
        <w:ind w:left="197" w:leftChars="94" w:firstLine="360" w:firstLineChars="150"/>
        <w:rPr>
          <w:rFonts w:ascii="宋体" w:hAnsi="宋体"/>
          <w:sz w:val="24"/>
          <w:highlight w:val="none"/>
        </w:rPr>
      </w:pPr>
      <w:r>
        <w:rPr>
          <w:rFonts w:ascii="宋体" w:hAnsi="宋体"/>
          <w:sz w:val="24"/>
          <w:highlight w:val="none"/>
        </w:rPr>
        <w:t>8</w:t>
      </w:r>
      <w:r>
        <w:rPr>
          <w:rFonts w:hint="eastAsia" w:ascii="宋体" w:hAnsi="宋体"/>
          <w:sz w:val="24"/>
          <w:highlight w:val="none"/>
        </w:rPr>
        <w:t>）节能或环保产品证明（如果有）；</w:t>
      </w:r>
    </w:p>
    <w:p>
      <w:pPr>
        <w:pStyle w:val="13"/>
        <w:spacing w:line="480" w:lineRule="exact"/>
        <w:ind w:left="197" w:leftChars="94" w:firstLine="360" w:firstLineChars="150"/>
        <w:rPr>
          <w:rFonts w:ascii="宋体"/>
          <w:sz w:val="24"/>
          <w:highlight w:val="none"/>
        </w:rPr>
      </w:pPr>
      <w:r>
        <w:rPr>
          <w:rFonts w:hint="eastAsia" w:ascii="宋体" w:hAnsi="宋体"/>
          <w:sz w:val="24"/>
          <w:highlight w:val="none"/>
        </w:rPr>
        <w:t>9）投标人认为需要提交的其他文件。</w:t>
      </w:r>
    </w:p>
    <w:p>
      <w:pPr>
        <w:pStyle w:val="13"/>
        <w:spacing w:line="480" w:lineRule="exact"/>
        <w:ind w:left="197" w:leftChars="94" w:firstLine="361" w:firstLineChars="150"/>
        <w:rPr>
          <w:rFonts w:ascii="宋体" w:hAns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3"/>
        <w:spacing w:line="480" w:lineRule="exact"/>
        <w:ind w:left="197" w:leftChars="94" w:firstLine="360" w:firstLineChars="150"/>
        <w:rPr>
          <w:rFonts w:ascii="宋体"/>
          <w:color w:val="000000"/>
          <w:sz w:val="24"/>
          <w:highlight w:val="none"/>
        </w:rPr>
      </w:pPr>
      <w:r>
        <w:rPr>
          <w:rFonts w:hint="eastAsia" w:ascii="宋体"/>
          <w:color w:val="000000"/>
          <w:sz w:val="24"/>
          <w:highlight w:val="none"/>
        </w:rPr>
        <w:t>9.4 其它证明文件</w:t>
      </w:r>
    </w:p>
    <w:p>
      <w:pPr>
        <w:pStyle w:val="13"/>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1）近三年类似业绩一览表及合同复印件；</w:t>
      </w:r>
    </w:p>
    <w:p>
      <w:pPr>
        <w:pStyle w:val="13"/>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2）相关软件自主知识产权证书复印件；</w:t>
      </w:r>
    </w:p>
    <w:p>
      <w:pPr>
        <w:pStyle w:val="13"/>
        <w:spacing w:line="480" w:lineRule="exact"/>
        <w:ind w:left="197" w:leftChars="94" w:firstLine="360" w:firstLineChars="150"/>
        <w:rPr>
          <w:rFonts w:hint="eastAsia" w:ascii="宋体" w:hAnsi="宋体"/>
          <w:b/>
          <w:sz w:val="24"/>
          <w:highlight w:val="none"/>
        </w:rPr>
      </w:pPr>
      <w:r>
        <w:rPr>
          <w:rFonts w:hint="eastAsia" w:ascii="宋体" w:hAnsi="宋体"/>
          <w:color w:val="000000"/>
          <w:sz w:val="24"/>
          <w:highlight w:val="none"/>
        </w:rPr>
        <w:t>3）投标人认为需要提交的其他文件。</w:t>
      </w:r>
    </w:p>
    <w:p>
      <w:pPr>
        <w:pStyle w:val="13"/>
        <w:tabs>
          <w:tab w:val="left" w:pos="382"/>
        </w:tabs>
        <w:spacing w:line="480" w:lineRule="exact"/>
        <w:ind w:left="197" w:leftChars="94" w:firstLine="360" w:firstLineChars="150"/>
        <w:rPr>
          <w:rFonts w:ascii="宋体"/>
          <w:sz w:val="24"/>
          <w:highlight w:val="none"/>
        </w:rPr>
      </w:pPr>
      <w:r>
        <w:rPr>
          <w:rFonts w:ascii="宋体" w:hAnsi="宋体"/>
          <w:sz w:val="24"/>
          <w:highlight w:val="none"/>
        </w:rPr>
        <w:t>9.</w:t>
      </w:r>
      <w:r>
        <w:rPr>
          <w:rFonts w:hint="eastAsia" w:ascii="宋体" w:hAnsi="宋体"/>
          <w:sz w:val="24"/>
          <w:highlight w:val="none"/>
        </w:rPr>
        <w:t>5</w:t>
      </w:r>
      <w:r>
        <w:rPr>
          <w:rFonts w:ascii="宋体" w:hAnsi="宋体"/>
          <w:sz w:val="24"/>
          <w:highlight w:val="none"/>
        </w:rPr>
        <w:t xml:space="preserve">  </w:t>
      </w:r>
      <w:r>
        <w:rPr>
          <w:rFonts w:hint="eastAsia" w:ascii="宋体" w:hAnsi="宋体"/>
          <w:sz w:val="24"/>
          <w:highlight w:val="none"/>
        </w:rPr>
        <w:t>技术文件</w:t>
      </w:r>
    </w:p>
    <w:p>
      <w:pPr>
        <w:pStyle w:val="13"/>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s="宋体"/>
          <w:kern w:val="0"/>
          <w:sz w:val="24"/>
          <w:highlight w:val="none"/>
        </w:rPr>
        <w:t>9.5.1</w:t>
      </w:r>
      <w:r>
        <w:rPr>
          <w:rFonts w:hint="eastAsia" w:ascii="宋体" w:hAnsi="宋体"/>
          <w:color w:val="000000"/>
          <w:sz w:val="24"/>
          <w:highlight w:val="none"/>
        </w:rPr>
        <w:t>项目技术方案；</w:t>
      </w:r>
    </w:p>
    <w:p>
      <w:pPr>
        <w:pStyle w:val="13"/>
        <w:tabs>
          <w:tab w:val="left" w:pos="382"/>
        </w:tabs>
        <w:spacing w:line="480" w:lineRule="exact"/>
        <w:ind w:left="197" w:leftChars="94" w:firstLine="360" w:firstLineChars="150"/>
        <w:rPr>
          <w:rFonts w:ascii="宋体" w:hAnsi="宋体" w:cs="宋体"/>
          <w:kern w:val="0"/>
          <w:sz w:val="24"/>
          <w:szCs w:val="24"/>
          <w:highlight w:val="none"/>
        </w:rPr>
      </w:pPr>
      <w:r>
        <w:rPr>
          <w:rFonts w:hint="eastAsia" w:ascii="宋体" w:hAnsi="宋体" w:cs="宋体"/>
          <w:kern w:val="0"/>
          <w:sz w:val="24"/>
          <w:highlight w:val="none"/>
        </w:rPr>
        <w:t>9.5.2</w:t>
      </w:r>
      <w:r>
        <w:rPr>
          <w:rFonts w:hint="eastAsia" w:ascii="宋体" w:hAnsi="宋体" w:cs="宋体"/>
          <w:kern w:val="0"/>
          <w:sz w:val="24"/>
          <w:szCs w:val="24"/>
          <w:highlight w:val="none"/>
        </w:rPr>
        <w:t>产品概要；</w:t>
      </w:r>
    </w:p>
    <w:p>
      <w:pPr>
        <w:pStyle w:val="13"/>
        <w:tabs>
          <w:tab w:val="left" w:pos="382"/>
        </w:tabs>
        <w:spacing w:line="480" w:lineRule="exact"/>
        <w:ind w:left="197" w:leftChars="94" w:firstLine="360" w:firstLineChars="150"/>
        <w:rPr>
          <w:rFonts w:ascii="宋体" w:hAnsi="宋体" w:cs="宋体"/>
          <w:kern w:val="0"/>
          <w:sz w:val="24"/>
          <w:szCs w:val="24"/>
          <w:highlight w:val="none"/>
        </w:rPr>
      </w:pPr>
      <w:r>
        <w:rPr>
          <w:rFonts w:hint="eastAsia" w:ascii="宋体" w:hAnsi="宋体" w:cs="宋体"/>
          <w:kern w:val="0"/>
          <w:sz w:val="24"/>
          <w:szCs w:val="24"/>
          <w:highlight w:val="none"/>
        </w:rPr>
        <w:t>9.5.3血液入库；</w:t>
      </w:r>
    </w:p>
    <w:p>
      <w:pPr>
        <w:pStyle w:val="13"/>
        <w:tabs>
          <w:tab w:val="left" w:pos="382"/>
        </w:tabs>
        <w:spacing w:line="480" w:lineRule="exact"/>
        <w:ind w:left="197" w:leftChars="94" w:firstLine="360" w:firstLineChars="150"/>
        <w:rPr>
          <w:rFonts w:ascii="宋体" w:hAnsi="宋体" w:cs="宋体"/>
          <w:kern w:val="0"/>
          <w:sz w:val="24"/>
          <w:szCs w:val="24"/>
          <w:highlight w:val="none"/>
        </w:rPr>
      </w:pPr>
      <w:r>
        <w:rPr>
          <w:rFonts w:hint="eastAsia" w:ascii="宋体" w:hAnsi="宋体" w:cs="宋体"/>
          <w:kern w:val="0"/>
          <w:sz w:val="24"/>
          <w:szCs w:val="24"/>
          <w:highlight w:val="none"/>
        </w:rPr>
        <w:t>9.5.4</w:t>
      </w:r>
      <w:r>
        <w:rPr>
          <w:rFonts w:hint="eastAsia"/>
          <w:sz w:val="24"/>
          <w:szCs w:val="24"/>
        </w:rPr>
        <w:t>输血申请</w:t>
      </w:r>
      <w:r>
        <w:rPr>
          <w:rFonts w:hint="eastAsia" w:ascii="宋体" w:hAnsi="宋体" w:cs="宋体"/>
          <w:kern w:val="0"/>
          <w:sz w:val="24"/>
          <w:szCs w:val="24"/>
          <w:highlight w:val="none"/>
        </w:rPr>
        <w:t>；</w:t>
      </w:r>
    </w:p>
    <w:p>
      <w:pPr>
        <w:pStyle w:val="13"/>
        <w:tabs>
          <w:tab w:val="left" w:pos="382"/>
        </w:tabs>
        <w:spacing w:line="480" w:lineRule="exact"/>
        <w:ind w:left="197" w:leftChars="94" w:firstLine="360" w:firstLineChars="150"/>
        <w:rPr>
          <w:rFonts w:ascii="宋体" w:hAnsi="宋体" w:cs="宋体"/>
          <w:kern w:val="0"/>
          <w:sz w:val="24"/>
          <w:szCs w:val="24"/>
          <w:highlight w:val="none"/>
        </w:rPr>
      </w:pPr>
      <w:r>
        <w:rPr>
          <w:rFonts w:hint="eastAsia" w:ascii="宋体" w:hAnsi="宋体" w:cs="宋体"/>
          <w:kern w:val="0"/>
          <w:sz w:val="24"/>
          <w:szCs w:val="24"/>
          <w:highlight w:val="none"/>
        </w:rPr>
        <w:t>9.5.5</w:t>
      </w:r>
      <w:r>
        <w:rPr>
          <w:rFonts w:hint="eastAsia"/>
          <w:sz w:val="24"/>
          <w:szCs w:val="24"/>
        </w:rPr>
        <w:t>输血审核</w:t>
      </w:r>
      <w:r>
        <w:rPr>
          <w:rFonts w:hint="eastAsia" w:ascii="宋体" w:hAnsi="宋体" w:cs="宋体"/>
          <w:kern w:val="0"/>
          <w:sz w:val="24"/>
          <w:szCs w:val="24"/>
          <w:highlight w:val="none"/>
        </w:rPr>
        <w:t>；</w:t>
      </w:r>
    </w:p>
    <w:p>
      <w:pPr>
        <w:pStyle w:val="13"/>
        <w:numPr>
          <w:ilvl w:val="0"/>
          <w:numId w:val="1"/>
        </w:numPr>
        <w:tabs>
          <w:tab w:val="left" w:pos="382"/>
          <w:tab w:val="clear" w:pos="312"/>
        </w:tabs>
        <w:spacing w:line="480" w:lineRule="exact"/>
        <w:ind w:left="197" w:leftChars="94" w:firstLine="360" w:firstLineChars="150"/>
        <w:rPr>
          <w:rFonts w:ascii="宋体" w:hAnsi="宋体" w:cs="宋体"/>
          <w:kern w:val="0"/>
          <w:sz w:val="24"/>
          <w:szCs w:val="24"/>
          <w:highlight w:val="none"/>
        </w:rPr>
      </w:pPr>
      <w:r>
        <w:rPr>
          <w:rFonts w:hint="eastAsia" w:ascii="宋体" w:hAnsi="宋体" w:cs="宋体"/>
          <w:kern w:val="0"/>
          <w:sz w:val="24"/>
          <w:szCs w:val="24"/>
          <w:highlight w:val="none"/>
        </w:rPr>
        <w:t>5.6</w:t>
      </w:r>
      <w:r>
        <w:rPr>
          <w:rFonts w:hint="eastAsia"/>
          <w:sz w:val="24"/>
          <w:szCs w:val="24"/>
        </w:rPr>
        <w:t>配血管理</w:t>
      </w:r>
      <w:r>
        <w:rPr>
          <w:rFonts w:hint="eastAsia" w:ascii="宋体" w:hAnsi="宋体" w:cs="宋体"/>
          <w:kern w:val="0"/>
          <w:sz w:val="24"/>
          <w:szCs w:val="24"/>
          <w:highlight w:val="none"/>
        </w:rPr>
        <w:t>；</w:t>
      </w:r>
    </w:p>
    <w:p>
      <w:pPr>
        <w:pStyle w:val="13"/>
        <w:tabs>
          <w:tab w:val="left" w:pos="382"/>
        </w:tabs>
        <w:spacing w:line="480" w:lineRule="exact"/>
        <w:ind w:left="569" w:leftChars="271" w:firstLine="10" w:firstLineChars="0"/>
        <w:rPr>
          <w:rFonts w:ascii="宋体" w:hAnsi="宋体" w:cs="宋体"/>
          <w:kern w:val="0"/>
          <w:sz w:val="24"/>
          <w:szCs w:val="24"/>
          <w:highlight w:val="none"/>
        </w:rPr>
      </w:pPr>
      <w:r>
        <w:rPr>
          <w:rFonts w:hint="eastAsia" w:ascii="宋体" w:hAnsi="宋体" w:cs="宋体"/>
          <w:kern w:val="0"/>
          <w:sz w:val="24"/>
          <w:szCs w:val="24"/>
          <w:highlight w:val="none"/>
        </w:rPr>
        <w:t>9.5.7</w:t>
      </w:r>
      <w:r>
        <w:rPr>
          <w:rFonts w:hint="eastAsia"/>
          <w:sz w:val="24"/>
          <w:szCs w:val="24"/>
        </w:rPr>
        <w:t>发血管理</w:t>
      </w:r>
      <w:r>
        <w:rPr>
          <w:rFonts w:hint="eastAsia" w:ascii="宋体" w:hAnsi="宋体" w:cs="宋体"/>
          <w:kern w:val="0"/>
          <w:sz w:val="24"/>
          <w:szCs w:val="24"/>
          <w:highlight w:val="none"/>
        </w:rPr>
        <w:t>；</w:t>
      </w:r>
    </w:p>
    <w:p>
      <w:pPr>
        <w:pStyle w:val="13"/>
        <w:tabs>
          <w:tab w:val="left" w:pos="382"/>
        </w:tabs>
        <w:spacing w:line="480" w:lineRule="exact"/>
        <w:ind w:left="569" w:leftChars="271" w:firstLine="10" w:firstLineChars="0"/>
        <w:rPr>
          <w:rFonts w:ascii="宋体" w:hAnsi="宋体" w:cs="宋体"/>
          <w:kern w:val="0"/>
          <w:sz w:val="24"/>
          <w:szCs w:val="24"/>
          <w:highlight w:val="none"/>
        </w:rPr>
      </w:pPr>
      <w:r>
        <w:rPr>
          <w:rFonts w:hint="eastAsia" w:ascii="宋体" w:hAnsi="宋体" w:cs="宋体"/>
          <w:kern w:val="0"/>
          <w:sz w:val="24"/>
          <w:szCs w:val="24"/>
          <w:highlight w:val="none"/>
        </w:rPr>
        <w:t>9.5.8</w:t>
      </w:r>
      <w:r>
        <w:rPr>
          <w:rFonts w:hint="eastAsia"/>
          <w:sz w:val="24"/>
          <w:szCs w:val="24"/>
        </w:rPr>
        <w:t>自体血</w:t>
      </w:r>
      <w:r>
        <w:rPr>
          <w:rFonts w:hint="eastAsia" w:ascii="宋体" w:hAnsi="宋体" w:cs="宋体"/>
          <w:kern w:val="0"/>
          <w:sz w:val="24"/>
          <w:szCs w:val="24"/>
          <w:highlight w:val="none"/>
        </w:rPr>
        <w:t>；</w:t>
      </w:r>
    </w:p>
    <w:p>
      <w:pPr>
        <w:pStyle w:val="13"/>
        <w:tabs>
          <w:tab w:val="left" w:pos="382"/>
        </w:tabs>
        <w:spacing w:line="480" w:lineRule="exact"/>
        <w:ind w:left="569" w:leftChars="271" w:firstLine="10" w:firstLineChars="0"/>
        <w:rPr>
          <w:rFonts w:ascii="宋体" w:hAnsi="宋体" w:cs="宋体"/>
          <w:kern w:val="0"/>
          <w:sz w:val="24"/>
          <w:szCs w:val="24"/>
          <w:highlight w:val="none"/>
        </w:rPr>
      </w:pPr>
      <w:r>
        <w:rPr>
          <w:rFonts w:hint="eastAsia" w:ascii="宋体" w:hAnsi="宋体" w:cs="宋体"/>
          <w:kern w:val="0"/>
          <w:sz w:val="24"/>
          <w:szCs w:val="24"/>
          <w:highlight w:val="none"/>
        </w:rPr>
        <w:t>9.5.9</w:t>
      </w:r>
      <w:r>
        <w:rPr>
          <w:rFonts w:hint="eastAsia"/>
          <w:sz w:val="24"/>
          <w:szCs w:val="24"/>
        </w:rPr>
        <w:t>库存管理</w:t>
      </w:r>
      <w:r>
        <w:rPr>
          <w:rFonts w:hint="eastAsia" w:ascii="宋体" w:hAnsi="宋体" w:cs="宋体"/>
          <w:kern w:val="0"/>
          <w:sz w:val="24"/>
          <w:szCs w:val="24"/>
          <w:highlight w:val="none"/>
        </w:rPr>
        <w:t>；</w:t>
      </w:r>
    </w:p>
    <w:p>
      <w:pPr>
        <w:pStyle w:val="13"/>
        <w:tabs>
          <w:tab w:val="left" w:pos="382"/>
        </w:tabs>
        <w:spacing w:line="480" w:lineRule="exact"/>
        <w:ind w:left="569" w:leftChars="271" w:firstLine="10" w:firstLineChars="0"/>
        <w:rPr>
          <w:rFonts w:ascii="宋体" w:hAnsi="宋体" w:cs="宋体"/>
          <w:kern w:val="0"/>
          <w:sz w:val="24"/>
          <w:szCs w:val="24"/>
          <w:highlight w:val="none"/>
        </w:rPr>
      </w:pPr>
      <w:r>
        <w:rPr>
          <w:rFonts w:hint="eastAsia" w:ascii="宋体" w:hAnsi="宋体" w:cs="宋体"/>
          <w:kern w:val="0"/>
          <w:sz w:val="24"/>
          <w:szCs w:val="24"/>
          <w:highlight w:val="none"/>
        </w:rPr>
        <w:t>9.5.10</w:t>
      </w:r>
      <w:r>
        <w:rPr>
          <w:rFonts w:hint="eastAsia"/>
          <w:sz w:val="24"/>
          <w:szCs w:val="24"/>
        </w:rPr>
        <w:t>输注评价</w:t>
      </w:r>
      <w:r>
        <w:rPr>
          <w:rFonts w:hint="eastAsia" w:ascii="宋体" w:hAnsi="宋体" w:cs="宋体"/>
          <w:kern w:val="0"/>
          <w:sz w:val="24"/>
          <w:szCs w:val="24"/>
          <w:highlight w:val="none"/>
        </w:rPr>
        <w:t>；</w:t>
      </w:r>
    </w:p>
    <w:p>
      <w:pPr>
        <w:pStyle w:val="13"/>
        <w:tabs>
          <w:tab w:val="left" w:pos="382"/>
        </w:tabs>
        <w:spacing w:line="480" w:lineRule="exact"/>
        <w:ind w:left="569" w:leftChars="271" w:firstLine="10" w:firstLineChars="0"/>
        <w:rPr>
          <w:rFonts w:ascii="宋体" w:hAnsi="宋体" w:cs="宋体"/>
          <w:kern w:val="0"/>
          <w:sz w:val="24"/>
          <w:szCs w:val="24"/>
          <w:highlight w:val="none"/>
        </w:rPr>
      </w:pPr>
      <w:r>
        <w:rPr>
          <w:rFonts w:hint="eastAsia" w:ascii="宋体" w:hAnsi="宋体" w:cs="宋体"/>
          <w:kern w:val="0"/>
          <w:sz w:val="24"/>
          <w:szCs w:val="24"/>
          <w:highlight w:val="none"/>
        </w:rPr>
        <w:t>9.5.11</w:t>
      </w:r>
      <w:r>
        <w:rPr>
          <w:rFonts w:hint="eastAsia"/>
          <w:sz w:val="24"/>
          <w:szCs w:val="24"/>
        </w:rPr>
        <w:t>费用管理</w:t>
      </w:r>
      <w:r>
        <w:rPr>
          <w:rFonts w:hint="eastAsia" w:ascii="宋体" w:hAnsi="宋体" w:cs="宋体"/>
          <w:kern w:val="0"/>
          <w:sz w:val="24"/>
          <w:szCs w:val="24"/>
          <w:highlight w:val="none"/>
        </w:rPr>
        <w:t>；</w:t>
      </w:r>
    </w:p>
    <w:p>
      <w:pPr>
        <w:pStyle w:val="13"/>
        <w:tabs>
          <w:tab w:val="left" w:pos="382"/>
        </w:tabs>
        <w:spacing w:line="480" w:lineRule="exact"/>
        <w:ind w:left="569" w:leftChars="271" w:firstLine="10" w:firstLineChars="0"/>
        <w:rPr>
          <w:rFonts w:ascii="宋体" w:hAnsi="宋体" w:cs="宋体"/>
          <w:kern w:val="0"/>
          <w:sz w:val="24"/>
          <w:szCs w:val="24"/>
          <w:highlight w:val="none"/>
        </w:rPr>
      </w:pPr>
      <w:r>
        <w:rPr>
          <w:rFonts w:hint="eastAsia" w:ascii="宋体" w:hAnsi="宋体" w:cs="宋体"/>
          <w:kern w:val="0"/>
          <w:sz w:val="24"/>
          <w:szCs w:val="24"/>
          <w:highlight w:val="none"/>
        </w:rPr>
        <w:t>9.5.12</w:t>
      </w:r>
      <w:r>
        <w:rPr>
          <w:rFonts w:hint="eastAsia"/>
          <w:sz w:val="24"/>
          <w:szCs w:val="24"/>
          <w:lang w:eastAsia="zh-CN"/>
        </w:rPr>
        <w:t>护士站</w:t>
      </w:r>
      <w:r>
        <w:rPr>
          <w:rFonts w:hint="eastAsia" w:ascii="宋体" w:hAnsi="宋体" w:cs="宋体"/>
          <w:kern w:val="0"/>
          <w:sz w:val="24"/>
          <w:szCs w:val="24"/>
          <w:highlight w:val="none"/>
        </w:rPr>
        <w:t>；</w:t>
      </w:r>
    </w:p>
    <w:p>
      <w:pPr>
        <w:pStyle w:val="13"/>
        <w:tabs>
          <w:tab w:val="left" w:pos="382"/>
        </w:tabs>
        <w:spacing w:line="480" w:lineRule="exact"/>
        <w:ind w:left="512" w:leftChars="244" w:firstLine="0" w:firstLineChars="0"/>
        <w:rPr>
          <w:rFonts w:ascii="宋体" w:hAnsi="宋体" w:cs="宋体"/>
          <w:kern w:val="0"/>
          <w:sz w:val="24"/>
          <w:szCs w:val="24"/>
          <w:highlight w:val="none"/>
        </w:rPr>
      </w:pPr>
      <w:r>
        <w:rPr>
          <w:rFonts w:hint="eastAsia" w:ascii="宋体" w:hAnsi="宋体" w:cs="宋体"/>
          <w:kern w:val="0"/>
          <w:sz w:val="24"/>
          <w:szCs w:val="24"/>
          <w:highlight w:val="none"/>
        </w:rPr>
        <w:t>9.5.13</w:t>
      </w:r>
      <w:r>
        <w:rPr>
          <w:rFonts w:hint="eastAsia"/>
          <w:sz w:val="24"/>
          <w:szCs w:val="24"/>
        </w:rPr>
        <w:t>量化评分</w:t>
      </w:r>
      <w:r>
        <w:rPr>
          <w:rFonts w:hint="eastAsia" w:ascii="宋体" w:hAnsi="宋体" w:cs="宋体"/>
          <w:kern w:val="0"/>
          <w:sz w:val="24"/>
          <w:szCs w:val="24"/>
          <w:highlight w:val="none"/>
        </w:rPr>
        <w:t>；</w:t>
      </w:r>
    </w:p>
    <w:p>
      <w:pPr>
        <w:pStyle w:val="13"/>
        <w:tabs>
          <w:tab w:val="left" w:pos="382"/>
        </w:tabs>
        <w:spacing w:line="480" w:lineRule="exact"/>
        <w:ind w:left="512" w:leftChars="244" w:firstLine="0" w:firstLineChars="0"/>
        <w:rPr>
          <w:rFonts w:ascii="宋体" w:hAnsi="宋体" w:cs="宋体"/>
          <w:kern w:val="0"/>
          <w:sz w:val="24"/>
          <w:szCs w:val="24"/>
          <w:highlight w:val="none"/>
        </w:rPr>
      </w:pPr>
      <w:r>
        <w:rPr>
          <w:rFonts w:hint="eastAsia" w:ascii="宋体" w:hAnsi="宋体" w:cs="宋体"/>
          <w:kern w:val="0"/>
          <w:sz w:val="24"/>
          <w:szCs w:val="24"/>
          <w:highlight w:val="none"/>
        </w:rPr>
        <w:t>9.5.14</w:t>
      </w:r>
      <w:r>
        <w:rPr>
          <w:rFonts w:hint="eastAsia"/>
          <w:sz w:val="24"/>
          <w:szCs w:val="24"/>
        </w:rPr>
        <w:t>统计报表</w:t>
      </w:r>
      <w:r>
        <w:rPr>
          <w:rFonts w:hint="eastAsia" w:ascii="宋体" w:hAnsi="宋体" w:cs="宋体"/>
          <w:kern w:val="0"/>
          <w:sz w:val="24"/>
          <w:szCs w:val="24"/>
          <w:highlight w:val="none"/>
        </w:rPr>
        <w:t>；</w:t>
      </w:r>
    </w:p>
    <w:p>
      <w:pPr>
        <w:pStyle w:val="13"/>
        <w:tabs>
          <w:tab w:val="left" w:pos="382"/>
        </w:tabs>
        <w:spacing w:line="480" w:lineRule="exact"/>
        <w:ind w:left="512" w:leftChars="244" w:firstLine="0" w:firstLineChars="0"/>
        <w:rPr>
          <w:rFonts w:ascii="宋体" w:hAnsi="宋体" w:cs="宋体"/>
          <w:kern w:val="0"/>
          <w:sz w:val="24"/>
          <w:szCs w:val="24"/>
          <w:highlight w:val="none"/>
        </w:rPr>
      </w:pPr>
      <w:r>
        <w:rPr>
          <w:rFonts w:hint="eastAsia" w:ascii="宋体" w:hAnsi="宋体" w:cs="宋体"/>
          <w:kern w:val="0"/>
          <w:sz w:val="24"/>
          <w:szCs w:val="24"/>
          <w:highlight w:val="none"/>
        </w:rPr>
        <w:t>9.5.15</w:t>
      </w:r>
      <w:r>
        <w:rPr>
          <w:rFonts w:hint="eastAsia"/>
          <w:sz w:val="24"/>
          <w:szCs w:val="24"/>
          <w:lang w:eastAsia="zh-CN"/>
        </w:rPr>
        <w:t>用户权限</w:t>
      </w:r>
      <w:r>
        <w:rPr>
          <w:rFonts w:hint="eastAsia"/>
          <w:sz w:val="24"/>
          <w:szCs w:val="24"/>
        </w:rPr>
        <w:t>管理</w:t>
      </w:r>
      <w:r>
        <w:rPr>
          <w:rFonts w:hint="eastAsia" w:ascii="宋体" w:hAnsi="宋体" w:cs="宋体"/>
          <w:kern w:val="0"/>
          <w:sz w:val="24"/>
          <w:szCs w:val="24"/>
          <w:highlight w:val="none"/>
        </w:rPr>
        <w:t>；</w:t>
      </w:r>
    </w:p>
    <w:p>
      <w:pPr>
        <w:pStyle w:val="13"/>
        <w:tabs>
          <w:tab w:val="left" w:pos="382"/>
        </w:tabs>
        <w:spacing w:line="480" w:lineRule="exact"/>
        <w:ind w:left="512" w:leftChars="244" w:firstLine="0" w:firstLineChars="0"/>
        <w:rPr>
          <w:rFonts w:ascii="宋体" w:hAnsi="宋体" w:cs="宋体"/>
          <w:kern w:val="0"/>
          <w:sz w:val="24"/>
          <w:szCs w:val="24"/>
          <w:highlight w:val="none"/>
        </w:rPr>
      </w:pPr>
      <w:r>
        <w:rPr>
          <w:rFonts w:hint="eastAsia" w:ascii="宋体" w:hAnsi="宋体" w:cs="宋体"/>
          <w:kern w:val="0"/>
          <w:sz w:val="24"/>
          <w:szCs w:val="24"/>
          <w:highlight w:val="none"/>
        </w:rPr>
        <w:t>9.5.16</w:t>
      </w:r>
      <w:r>
        <w:rPr>
          <w:rFonts w:hint="eastAsia"/>
          <w:sz w:val="24"/>
          <w:szCs w:val="24"/>
        </w:rPr>
        <w:t>智能评估</w:t>
      </w:r>
      <w:r>
        <w:rPr>
          <w:rFonts w:hint="eastAsia" w:ascii="宋体" w:hAnsi="宋体" w:cs="宋体"/>
          <w:kern w:val="0"/>
          <w:sz w:val="24"/>
          <w:szCs w:val="24"/>
          <w:highlight w:val="none"/>
        </w:rPr>
        <w:t>；</w:t>
      </w:r>
    </w:p>
    <w:p>
      <w:pPr>
        <w:pStyle w:val="13"/>
        <w:tabs>
          <w:tab w:val="left" w:pos="382"/>
        </w:tabs>
        <w:spacing w:line="480" w:lineRule="exact"/>
        <w:ind w:left="512" w:leftChars="244" w:firstLine="0" w:firstLineChars="0"/>
        <w:rPr>
          <w:rFonts w:ascii="宋体" w:hAnsi="宋体" w:cs="宋体"/>
          <w:kern w:val="0"/>
          <w:sz w:val="24"/>
          <w:szCs w:val="24"/>
          <w:highlight w:val="none"/>
        </w:rPr>
      </w:pPr>
      <w:r>
        <w:rPr>
          <w:rFonts w:hint="eastAsia" w:ascii="宋体" w:hAnsi="宋体" w:cs="宋体"/>
          <w:kern w:val="0"/>
          <w:sz w:val="24"/>
          <w:szCs w:val="24"/>
          <w:highlight w:val="none"/>
        </w:rPr>
        <w:t>9.5.17</w:t>
      </w:r>
      <w:r>
        <w:rPr>
          <w:rFonts w:hint="eastAsia"/>
          <w:sz w:val="24"/>
          <w:szCs w:val="24"/>
        </w:rPr>
        <w:t>回收管理</w:t>
      </w:r>
      <w:r>
        <w:rPr>
          <w:rFonts w:hint="eastAsia" w:ascii="宋体" w:hAnsi="宋体" w:cs="宋体"/>
          <w:kern w:val="0"/>
          <w:sz w:val="24"/>
          <w:szCs w:val="24"/>
          <w:highlight w:val="none"/>
        </w:rPr>
        <w:t>；</w:t>
      </w:r>
    </w:p>
    <w:p>
      <w:pPr>
        <w:pStyle w:val="13"/>
        <w:tabs>
          <w:tab w:val="left" w:pos="382"/>
        </w:tabs>
        <w:spacing w:line="480" w:lineRule="exact"/>
        <w:ind w:left="512" w:leftChars="244" w:firstLine="0" w:firstLineChars="0"/>
        <w:rPr>
          <w:rFonts w:hint="eastAsia" w:ascii="宋体" w:hAnsi="宋体" w:cs="宋体"/>
          <w:kern w:val="0"/>
          <w:sz w:val="24"/>
          <w:szCs w:val="24"/>
          <w:highlight w:val="none"/>
        </w:rPr>
      </w:pPr>
      <w:r>
        <w:rPr>
          <w:rFonts w:hint="eastAsia" w:ascii="宋体" w:hAnsi="宋体" w:cs="宋体"/>
          <w:kern w:val="0"/>
          <w:sz w:val="24"/>
          <w:szCs w:val="24"/>
          <w:highlight w:val="none"/>
        </w:rPr>
        <w:t>9.5.18</w:t>
      </w:r>
      <w:r>
        <w:rPr>
          <w:rFonts w:hint="eastAsia"/>
          <w:sz w:val="24"/>
          <w:szCs w:val="24"/>
          <w:lang w:eastAsia="zh-CN"/>
        </w:rPr>
        <w:t>质控</w:t>
      </w:r>
      <w:r>
        <w:rPr>
          <w:rFonts w:hint="eastAsia"/>
          <w:sz w:val="24"/>
          <w:szCs w:val="24"/>
        </w:rPr>
        <w:t>管理</w:t>
      </w:r>
      <w:r>
        <w:rPr>
          <w:rFonts w:hint="eastAsia" w:ascii="宋体" w:hAnsi="宋体" w:cs="宋体"/>
          <w:kern w:val="0"/>
          <w:sz w:val="24"/>
          <w:szCs w:val="24"/>
          <w:highlight w:val="none"/>
        </w:rPr>
        <w:t>；</w:t>
      </w:r>
    </w:p>
    <w:p>
      <w:pPr>
        <w:pStyle w:val="13"/>
        <w:tabs>
          <w:tab w:val="left" w:pos="382"/>
        </w:tabs>
        <w:spacing w:line="480" w:lineRule="exact"/>
        <w:ind w:left="512" w:leftChars="244" w:firstLine="0" w:firstLineChars="0"/>
        <w:rPr>
          <w:rFonts w:hint="eastAsia" w:ascii="宋体" w:hAnsi="宋体" w:cs="宋体"/>
          <w:kern w:val="0"/>
          <w:sz w:val="24"/>
          <w:szCs w:val="24"/>
          <w:highlight w:val="none"/>
        </w:rPr>
      </w:pPr>
      <w:r>
        <w:rPr>
          <w:rFonts w:hint="eastAsia" w:ascii="宋体" w:hAnsi="宋体"/>
          <w:color w:val="000000"/>
          <w:sz w:val="24"/>
          <w:szCs w:val="24"/>
          <w:highlight w:val="none"/>
        </w:rPr>
        <w:t>9.5.19</w:t>
      </w:r>
      <w:r>
        <w:rPr>
          <w:rFonts w:hint="eastAsia"/>
          <w:sz w:val="24"/>
          <w:szCs w:val="24"/>
        </w:rPr>
        <w:t>系统接口</w:t>
      </w:r>
      <w:r>
        <w:rPr>
          <w:rFonts w:hint="eastAsia" w:ascii="宋体" w:hAnsi="宋体" w:cs="宋体"/>
          <w:kern w:val="0"/>
          <w:sz w:val="24"/>
          <w:szCs w:val="24"/>
          <w:highlight w:val="none"/>
        </w:rPr>
        <w:t>；</w:t>
      </w:r>
    </w:p>
    <w:p>
      <w:pPr>
        <w:pStyle w:val="13"/>
        <w:tabs>
          <w:tab w:val="left" w:pos="382"/>
        </w:tabs>
        <w:spacing w:line="480" w:lineRule="exact"/>
        <w:ind w:left="512" w:leftChars="244" w:firstLine="0" w:firstLineChars="0"/>
        <w:rPr>
          <w:rFonts w:hint="eastAsia" w:ascii="宋体" w:hAnsi="宋体" w:cs="宋体"/>
          <w:kern w:val="0"/>
          <w:sz w:val="24"/>
          <w:highlight w:val="none"/>
        </w:rPr>
      </w:pPr>
      <w:r>
        <w:rPr>
          <w:rFonts w:hint="eastAsia" w:ascii="宋体" w:hAnsi="宋体"/>
          <w:color w:val="000000"/>
          <w:sz w:val="24"/>
          <w:highlight w:val="none"/>
        </w:rPr>
        <w:t>9.5.</w:t>
      </w:r>
      <w:r>
        <w:rPr>
          <w:rFonts w:hint="eastAsia" w:ascii="宋体" w:hAnsi="宋体"/>
          <w:color w:val="000000"/>
          <w:sz w:val="24"/>
          <w:highlight w:val="none"/>
          <w:lang w:val="en-US" w:eastAsia="zh-CN"/>
        </w:rPr>
        <w:t>20项目理解</w:t>
      </w:r>
      <w:r>
        <w:rPr>
          <w:rFonts w:hint="eastAsia" w:ascii="宋体" w:hAnsi="宋体" w:cs="宋体"/>
          <w:kern w:val="0"/>
          <w:sz w:val="24"/>
          <w:szCs w:val="24"/>
          <w:highlight w:val="none"/>
        </w:rPr>
        <w:t>；</w:t>
      </w:r>
    </w:p>
    <w:p>
      <w:pPr>
        <w:pStyle w:val="13"/>
        <w:tabs>
          <w:tab w:val="left" w:pos="382"/>
        </w:tabs>
        <w:spacing w:line="480" w:lineRule="exact"/>
        <w:ind w:left="0" w:leftChars="0" w:firstLine="480" w:firstLineChars="200"/>
        <w:rPr>
          <w:rFonts w:ascii="宋体" w:hAnsi="宋体"/>
          <w:color w:val="000000"/>
          <w:sz w:val="24"/>
          <w:highlight w:val="none"/>
        </w:rPr>
      </w:pPr>
      <w:r>
        <w:rPr>
          <w:rFonts w:hint="eastAsia" w:ascii="宋体" w:hAnsi="宋体"/>
          <w:color w:val="000000"/>
          <w:sz w:val="24"/>
          <w:highlight w:val="none"/>
        </w:rPr>
        <w:t>9.5.2</w:t>
      </w:r>
      <w:r>
        <w:rPr>
          <w:rFonts w:hint="eastAsia" w:ascii="宋体" w:hAnsi="宋体"/>
          <w:color w:val="000000"/>
          <w:sz w:val="24"/>
          <w:highlight w:val="none"/>
          <w:lang w:val="en-US" w:eastAsia="zh-CN"/>
        </w:rPr>
        <w:t>1</w:t>
      </w:r>
      <w:r>
        <w:rPr>
          <w:rFonts w:hint="eastAsia" w:ascii="宋体" w:hAnsi="宋体"/>
          <w:color w:val="000000"/>
          <w:sz w:val="24"/>
          <w:highlight w:val="none"/>
        </w:rPr>
        <w:t>技术条款响应/偏离表（附件</w:t>
      </w:r>
      <w:r>
        <w:rPr>
          <w:rFonts w:hint="eastAsia" w:ascii="宋体" w:hAnsi="宋体"/>
          <w:color w:val="000000"/>
          <w:sz w:val="24"/>
          <w:highlight w:val="none"/>
          <w:lang w:val="en-US" w:eastAsia="zh-CN"/>
        </w:rPr>
        <w:t>五</w:t>
      </w:r>
      <w:r>
        <w:rPr>
          <w:rFonts w:hint="eastAsia" w:ascii="宋体" w:hAnsi="宋体"/>
          <w:color w:val="000000"/>
          <w:sz w:val="24"/>
          <w:highlight w:val="none"/>
        </w:rPr>
        <w:t>）；</w:t>
      </w:r>
    </w:p>
    <w:p>
      <w:pPr>
        <w:pStyle w:val="13"/>
        <w:spacing w:line="480" w:lineRule="exact"/>
        <w:ind w:left="0" w:leftChars="0" w:firstLine="480" w:firstLineChars="200"/>
        <w:rPr>
          <w:rFonts w:ascii="宋体" w:hAnsi="宋体"/>
          <w:color w:val="000000"/>
          <w:sz w:val="24"/>
          <w:highlight w:val="none"/>
        </w:rPr>
      </w:pPr>
      <w:r>
        <w:rPr>
          <w:rFonts w:hint="eastAsia" w:ascii="宋体" w:hAnsi="宋体"/>
          <w:color w:val="000000"/>
          <w:sz w:val="24"/>
          <w:highlight w:val="none"/>
        </w:rPr>
        <w:t>9.5.2</w:t>
      </w:r>
      <w:r>
        <w:rPr>
          <w:rFonts w:hint="eastAsia" w:ascii="宋体" w:hAnsi="宋体"/>
          <w:color w:val="000000"/>
          <w:sz w:val="24"/>
          <w:highlight w:val="none"/>
          <w:lang w:val="en-US" w:eastAsia="zh-CN"/>
        </w:rPr>
        <w:t>2</w:t>
      </w:r>
      <w:r>
        <w:rPr>
          <w:rFonts w:hint="eastAsia" w:ascii="宋体" w:hAnsi="宋体"/>
          <w:color w:val="000000"/>
          <w:sz w:val="24"/>
          <w:highlight w:val="none"/>
        </w:rPr>
        <w:t>投标人认为需要提交的其他技术文件。</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ascii="宋体" w:hAnsi="宋体" w:cs="宋体"/>
          <w:kern w:val="0"/>
          <w:sz w:val="24"/>
          <w:highlight w:val="none"/>
        </w:rPr>
      </w:pPr>
      <w:r>
        <w:rPr>
          <w:rFonts w:hint="eastAsia" w:ascii="宋体" w:hAnsi="宋体" w:cs="宋体"/>
          <w:kern w:val="0"/>
          <w:sz w:val="24"/>
          <w:highlight w:val="none"/>
        </w:rPr>
        <w:t>9.6  商务文件</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ascii="宋体" w:hAnsi="宋体" w:cs="宋体"/>
          <w:kern w:val="0"/>
          <w:sz w:val="24"/>
          <w:highlight w:val="none"/>
        </w:rPr>
      </w:pPr>
      <w:r>
        <w:rPr>
          <w:rFonts w:hint="eastAsia" w:ascii="宋体" w:hAnsi="宋体" w:cs="宋体"/>
          <w:kern w:val="0"/>
          <w:sz w:val="24"/>
          <w:highlight w:val="none"/>
        </w:rPr>
        <w:t>1）项目部人员配备表（附件</w:t>
      </w:r>
      <w:r>
        <w:rPr>
          <w:rFonts w:hint="eastAsia" w:ascii="宋体" w:hAnsi="宋体" w:cs="宋体"/>
          <w:kern w:val="0"/>
          <w:sz w:val="24"/>
          <w:highlight w:val="none"/>
          <w:lang w:val="en-US" w:eastAsia="zh-CN"/>
        </w:rPr>
        <w:t>七</w:t>
      </w:r>
      <w:r>
        <w:rPr>
          <w:rFonts w:hint="eastAsia" w:ascii="宋体" w:hAnsi="宋体" w:cs="宋体"/>
          <w:kern w:val="0"/>
          <w:sz w:val="24"/>
          <w:highlight w:val="none"/>
        </w:rPr>
        <w:t>）</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ascii="宋体" w:hAnsi="宋体" w:cs="宋体"/>
          <w:kern w:val="0"/>
          <w:sz w:val="24"/>
          <w:highlight w:val="none"/>
        </w:rPr>
      </w:pPr>
      <w:r>
        <w:rPr>
          <w:rFonts w:hint="eastAsia" w:ascii="宋体" w:hAnsi="宋体" w:cs="宋体"/>
          <w:kern w:val="0"/>
          <w:sz w:val="24"/>
          <w:highlight w:val="none"/>
        </w:rPr>
        <w:t>2）企业介绍及成功案例；</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eastAsia="宋体" w:cs="宋体"/>
          <w:kern w:val="0"/>
          <w:sz w:val="24"/>
          <w:highlight w:val="none"/>
          <w:lang w:eastAsia="zh-CN"/>
        </w:rPr>
      </w:pPr>
      <w:r>
        <w:rPr>
          <w:rFonts w:hint="eastAsia" w:ascii="宋体" w:hAnsi="宋体" w:cs="宋体"/>
          <w:kern w:val="0"/>
          <w:sz w:val="24"/>
          <w:highlight w:val="none"/>
        </w:rPr>
        <w:t>3）售后服务（附件</w:t>
      </w:r>
      <w:r>
        <w:rPr>
          <w:rFonts w:hint="eastAsia" w:ascii="宋体" w:hAnsi="宋体" w:cs="宋体"/>
          <w:kern w:val="0"/>
          <w:sz w:val="24"/>
          <w:highlight w:val="none"/>
          <w:lang w:val="en-US" w:eastAsia="zh-CN"/>
        </w:rPr>
        <w:t>八）</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ascii="宋体" w:hAnsi="宋体" w:cs="宋体"/>
          <w:kern w:val="0"/>
          <w:sz w:val="24"/>
          <w:highlight w:val="none"/>
          <w:lang w:val="zh-CN"/>
        </w:rPr>
      </w:pPr>
      <w:r>
        <w:rPr>
          <w:rFonts w:hint="eastAsia" w:ascii="宋体" w:hAnsi="宋体" w:cs="宋体"/>
          <w:kern w:val="0"/>
          <w:sz w:val="24"/>
          <w:highlight w:val="none"/>
        </w:rPr>
        <w:t>4）商务偏离表（附件</w:t>
      </w:r>
      <w:r>
        <w:rPr>
          <w:rFonts w:hint="eastAsia" w:ascii="宋体" w:hAnsi="宋体" w:cs="宋体"/>
          <w:kern w:val="0"/>
          <w:sz w:val="24"/>
          <w:highlight w:val="none"/>
          <w:lang w:val="en-US" w:eastAsia="zh-CN"/>
        </w:rPr>
        <w:t>六</w:t>
      </w:r>
      <w:r>
        <w:rPr>
          <w:rFonts w:hint="eastAsia" w:ascii="宋体" w:hAnsi="宋体" w:cs="宋体"/>
          <w:kern w:val="0"/>
          <w:sz w:val="24"/>
          <w:highlight w:val="none"/>
        </w:rPr>
        <w:t>）；</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ascii="宋体" w:hAnsi="宋体" w:cs="宋体"/>
          <w:kern w:val="0"/>
          <w:sz w:val="24"/>
          <w:highlight w:val="none"/>
        </w:rPr>
      </w:pPr>
      <w:r>
        <w:rPr>
          <w:rFonts w:hint="eastAsia" w:ascii="宋体" w:hAnsi="宋体" w:cs="宋体"/>
          <w:kern w:val="0"/>
          <w:sz w:val="24"/>
          <w:highlight w:val="none"/>
        </w:rPr>
        <w:t>5）投标人认为需要提交的其它资料。</w:t>
      </w:r>
    </w:p>
    <w:p>
      <w:pPr>
        <w:pStyle w:val="13"/>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pStyle w:val="13"/>
        <w:tabs>
          <w:tab w:val="left" w:pos="382"/>
        </w:tabs>
        <w:spacing w:line="480" w:lineRule="exact"/>
        <w:ind w:left="48" w:leftChars="23" w:firstLine="480" w:firstLineChars="200"/>
        <w:rPr>
          <w:rFonts w:asci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本次投标报价为一次性报价，报价币种为人民币。</w:t>
      </w:r>
      <w:r>
        <w:rPr>
          <w:rFonts w:hint="eastAsia" w:ascii="宋体" w:hAnsi="宋体"/>
          <w:bCs/>
          <w:color w:val="000000"/>
          <w:sz w:val="24"/>
          <w:highlight w:val="none"/>
        </w:rPr>
        <w:t>报价含软件开发、供应、安装调试、数据迁移费用、开发费用、缺陷处理，验收、培训、售后服务、检验及因购买软件和服务所需缴纳等的所有税、费。</w:t>
      </w:r>
      <w:r>
        <w:rPr>
          <w:rFonts w:hint="eastAsia" w:ascii="宋体" w:hAnsi="宋体" w:cs="宋体"/>
          <w:kern w:val="0"/>
          <w:sz w:val="24"/>
          <w:highlight w:val="none"/>
        </w:rPr>
        <w:t>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10.9</w:t>
      </w:r>
      <w:r>
        <w:rPr>
          <w:rFonts w:hint="eastAsia" w:ascii="宋体" w:hAnsi="宋体" w:cs="宋体"/>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highlight w:val="none"/>
        </w:rPr>
      </w:pPr>
      <w:bookmarkStart w:id="69" w:name="_Toc16942"/>
      <w:bookmarkStart w:id="70" w:name="_Toc5125"/>
      <w:bookmarkStart w:id="71" w:name="_Toc22972"/>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69"/>
      <w:bookmarkEnd w:id="70"/>
      <w:bookmarkEnd w:id="71"/>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w:t>
      </w:r>
      <w:r>
        <w:rPr>
          <w:rFonts w:hint="eastAsia" w:ascii="宋体" w:hAnsi="宋体" w:cs="宋体"/>
          <w:kern w:val="0"/>
          <w:sz w:val="24"/>
          <w:highlight w:val="none"/>
          <w:lang w:val="en-US" w:eastAsia="zh-CN"/>
        </w:rPr>
        <w:t>五</w:t>
      </w:r>
      <w:r>
        <w:rPr>
          <w:rFonts w:hint="eastAsia" w:ascii="宋体" w:hAnsi="宋体" w:cs="宋体"/>
          <w:kern w:val="0"/>
          <w:sz w:val="24"/>
          <w:highlight w:val="none"/>
        </w:rPr>
        <w:t>份投标文件，一份正本和</w:t>
      </w:r>
      <w:r>
        <w:rPr>
          <w:rFonts w:hint="eastAsia" w:ascii="宋体" w:hAnsi="宋体" w:cs="宋体"/>
          <w:kern w:val="0"/>
          <w:sz w:val="24"/>
          <w:highlight w:val="none"/>
          <w:lang w:val="en-US" w:eastAsia="zh-CN"/>
        </w:rPr>
        <w:t>四</w:t>
      </w:r>
      <w:r>
        <w:rPr>
          <w:rFonts w:hint="eastAsia" w:ascii="宋体" w:hAnsi="宋体" w:cs="宋体"/>
          <w:kern w:val="0"/>
          <w:sz w:val="24"/>
          <w:highlight w:val="none"/>
        </w:rPr>
        <w:t>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2" w:name="_Toc8600"/>
      <w:bookmarkStart w:id="73" w:name="_Toc28577"/>
      <w:bookmarkStart w:id="74" w:name="_Toc14371"/>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2"/>
      <w:bookmarkEnd w:id="73"/>
      <w:bookmarkEnd w:id="74"/>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5" w:name="_Toc26505"/>
      <w:bookmarkStart w:id="76" w:name="_Toc28358"/>
      <w:bookmarkStart w:id="77" w:name="_Toc9239"/>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5"/>
      <w:bookmarkEnd w:id="76"/>
      <w:bookmarkEnd w:id="77"/>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每一密封文件在封口处加盖投标人公章或授权代表签字，并注明“于（招标文件中规定的开标日期及时间）之前不准启封”字样。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ascii="宋体" w:cs="宋体"/>
          <w:kern w:val="0"/>
          <w:sz w:val="24"/>
          <w:highlight w:val="none"/>
        </w:rPr>
      </w:pPr>
      <w:bookmarkStart w:id="78" w:name="_Toc31899"/>
      <w:bookmarkStart w:id="79" w:name="_Toc9397"/>
      <w:bookmarkStart w:id="80" w:name="_Toc31000"/>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8"/>
      <w:bookmarkEnd w:id="79"/>
      <w:bookmarkEnd w:id="80"/>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ascii="宋体"/>
          <w:bCs/>
          <w:highlight w:val="none"/>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1"/>
        <w:spacing w:line="480" w:lineRule="exact"/>
        <w:ind w:leftChars="0" w:hanging="100" w:firstLineChars="0"/>
        <w:outlineLvl w:val="1"/>
        <w:rPr>
          <w:rFonts w:ascii="宋体"/>
          <w:b/>
          <w:bCs/>
          <w:sz w:val="24"/>
          <w:highlight w:val="none"/>
        </w:rPr>
      </w:pPr>
      <w:bookmarkStart w:id="81" w:name="_Toc3684"/>
      <w:bookmarkStart w:id="82" w:name="_Toc18910"/>
      <w:bookmarkStart w:id="83" w:name="_Toc1930"/>
      <w:r>
        <w:rPr>
          <w:rFonts w:hint="eastAsia" w:ascii="宋体" w:hAnsi="宋体"/>
          <w:b/>
          <w:bCs/>
          <w:sz w:val="24"/>
          <w:highlight w:val="none"/>
        </w:rPr>
        <w:t>四、投标文件递交</w:t>
      </w:r>
      <w:bookmarkEnd w:id="81"/>
      <w:bookmarkEnd w:id="82"/>
      <w:bookmarkEnd w:id="83"/>
    </w:p>
    <w:p>
      <w:pPr>
        <w:pStyle w:val="2"/>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2"/>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2"/>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2"/>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2"/>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2"/>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2"/>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1"/>
        <w:spacing w:line="480" w:lineRule="exact"/>
        <w:ind w:left="571" w:leftChars="272" w:firstLine="4" w:firstLineChars="2"/>
        <w:outlineLvl w:val="0"/>
        <w:rPr>
          <w:rFonts w:ascii="宋体"/>
          <w:bCs/>
          <w:sz w:val="24"/>
          <w:highlight w:val="none"/>
        </w:rPr>
      </w:pPr>
      <w:bookmarkStart w:id="84" w:name="_Toc13548"/>
      <w:bookmarkStart w:id="85" w:name="_Toc22790"/>
      <w:bookmarkStart w:id="86" w:name="_Toc5371"/>
      <w:r>
        <w:rPr>
          <w:rFonts w:ascii="宋体" w:hAnsi="宋体"/>
          <w:bCs/>
          <w:sz w:val="24"/>
          <w:highlight w:val="none"/>
        </w:rPr>
        <w:t xml:space="preserve">18.  </w:t>
      </w:r>
      <w:r>
        <w:rPr>
          <w:rFonts w:hint="eastAsia" w:ascii="宋体" w:hAnsi="宋体"/>
          <w:bCs/>
          <w:sz w:val="24"/>
          <w:highlight w:val="none"/>
        </w:rPr>
        <w:t>投标文件修改与撤回</w:t>
      </w:r>
      <w:bookmarkEnd w:id="84"/>
      <w:bookmarkEnd w:id="85"/>
      <w:bookmarkEnd w:id="86"/>
    </w:p>
    <w:p>
      <w:pPr>
        <w:pStyle w:val="2"/>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2"/>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2"/>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2"/>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2"/>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highlight w:val="none"/>
        </w:rPr>
      </w:pPr>
      <w:bookmarkStart w:id="87" w:name="_Toc142"/>
      <w:bookmarkStart w:id="88" w:name="_Toc29966"/>
      <w:r>
        <w:rPr>
          <w:rFonts w:hint="eastAsia" w:ascii="宋体" w:hAnsi="宋体"/>
          <w:b/>
          <w:bCs/>
          <w:sz w:val="24"/>
          <w:highlight w:val="none"/>
        </w:rPr>
        <w:t>五、开标与评标</w:t>
      </w:r>
      <w:bookmarkEnd w:id="87"/>
      <w:bookmarkEnd w:id="88"/>
    </w:p>
    <w:p>
      <w:pPr>
        <w:pStyle w:val="2"/>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2"/>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2"/>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2"/>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2"/>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2"/>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2"/>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2"/>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r>
        <w:rPr>
          <w:rFonts w:ascii="宋体" w:hAnsi="宋体"/>
          <w:bCs/>
          <w:highlight w:val="none"/>
        </w:rPr>
        <w:t>5</w:t>
      </w:r>
      <w:r>
        <w:rPr>
          <w:rFonts w:hint="eastAsia" w:ascii="宋体" w:hAnsi="宋体"/>
          <w:bCs/>
          <w:highlight w:val="none"/>
        </w:rPr>
        <w:t>）开标会结束，投标人退场。</w:t>
      </w:r>
    </w:p>
    <w:p>
      <w:pPr>
        <w:pStyle w:val="2"/>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2"/>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2"/>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2"/>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2"/>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2"/>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2"/>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2"/>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2"/>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2"/>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2"/>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投标人名称或组织结构与购买招标文件时不一致的；</w:t>
      </w:r>
    </w:p>
    <w:p>
      <w:pPr>
        <w:pStyle w:val="2"/>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2"/>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评标委员会认定投标人有围标、串通投标情形，按废标处理，取消其投标资格。</w:t>
      </w:r>
    </w:p>
    <w:p>
      <w:pPr>
        <w:pStyle w:val="2"/>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2"/>
        <w:spacing w:line="480" w:lineRule="exact"/>
        <w:ind w:firstLine="480" w:firstLineChars="200"/>
        <w:rPr>
          <w:rFonts w:ascii="宋体"/>
          <w:bCs/>
          <w:highlight w:val="none"/>
        </w:rPr>
      </w:pPr>
      <w:r>
        <w:rPr>
          <w:rFonts w:hint="eastAsia" w:ascii="宋体" w:hAnsi="宋体"/>
          <w:bCs/>
          <w:highlight w:val="none"/>
        </w:rPr>
        <w:t>招标人将根据本项目的特点组建评标委员会，其成员由招标人代表及有关方面的专家</w:t>
      </w:r>
      <w:r>
        <w:rPr>
          <w:rFonts w:ascii="宋体" w:hAnsi="宋体"/>
          <w:bCs/>
          <w:highlight w:val="none"/>
        </w:rPr>
        <w:t xml:space="preserve"> 5 </w:t>
      </w:r>
      <w:r>
        <w:rPr>
          <w:rFonts w:hint="eastAsia" w:ascii="宋体" w:hAnsi="宋体"/>
          <w:bCs/>
          <w:highlight w:val="none"/>
        </w:rPr>
        <w:t>人及以上单数组成，其中技术、经济等方面的专家不少于成员总数的三分之二，评标委员会负责对投标文件进行审查、澄清、推荐中标候选人或经招标人授权直接确定中标人。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highlight w:val="none"/>
        </w:rPr>
      </w:pPr>
      <w:bookmarkStart w:id="89" w:name="_Toc6823"/>
      <w:bookmarkStart w:id="90" w:name="_Toc26178"/>
      <w:bookmarkStart w:id="91" w:name="_Toc24408"/>
      <w:r>
        <w:rPr>
          <w:rFonts w:ascii="宋体" w:hAnsi="宋体"/>
          <w:bCs/>
          <w:sz w:val="24"/>
          <w:highlight w:val="none"/>
        </w:rPr>
        <w:t xml:space="preserve">21.  </w:t>
      </w:r>
      <w:r>
        <w:rPr>
          <w:rFonts w:hint="eastAsia" w:ascii="宋体" w:hAnsi="宋体"/>
          <w:bCs/>
          <w:sz w:val="24"/>
          <w:highlight w:val="none"/>
        </w:rPr>
        <w:t>评标原则</w:t>
      </w:r>
      <w:bookmarkEnd w:id="89"/>
      <w:bookmarkEnd w:id="90"/>
      <w:bookmarkEnd w:id="91"/>
    </w:p>
    <w:p>
      <w:pPr>
        <w:pStyle w:val="2"/>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2"/>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2"/>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2"/>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2"/>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2"/>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2"/>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2"/>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2"/>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2"/>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2"/>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2"/>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2"/>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2"/>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2"/>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2"/>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2"/>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2"/>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2"/>
        <w:tabs>
          <w:tab w:val="left" w:pos="0"/>
        </w:tabs>
        <w:spacing w:line="480" w:lineRule="exact"/>
        <w:ind w:firstLine="720" w:firstLineChars="300"/>
        <w:rPr>
          <w:rFonts w:hint="eastAsia" w:ascii="宋体" w:hAnsi="宋体"/>
          <w:bCs/>
          <w:highlight w:val="none"/>
        </w:rPr>
      </w:pPr>
      <w:r>
        <w:rPr>
          <w:rFonts w:ascii="宋体" w:hAnsi="宋体"/>
          <w:bCs/>
          <w:highlight w:val="none"/>
        </w:rPr>
        <w:t>H</w:t>
      </w:r>
      <w:r>
        <w:rPr>
          <w:rFonts w:hint="eastAsia" w:ascii="宋体" w:hAnsi="宋体"/>
          <w:bCs/>
          <w:highlight w:val="none"/>
        </w:rPr>
        <w:t>、投标文件中的商务条款、货物配置、技术参数（或使用功能）明显不符合招标文件要求；</w:t>
      </w:r>
    </w:p>
    <w:p>
      <w:pPr>
        <w:pStyle w:val="2"/>
        <w:tabs>
          <w:tab w:val="left" w:pos="0"/>
        </w:tabs>
        <w:spacing w:line="480" w:lineRule="exact"/>
        <w:ind w:firstLine="720" w:firstLineChars="300"/>
        <w:rPr>
          <w:rFonts w:ascii="宋体" w:hAnsi="宋体"/>
          <w:bCs/>
          <w:highlight w:val="none"/>
        </w:rPr>
      </w:pPr>
      <w:r>
        <w:rPr>
          <w:rFonts w:hint="eastAsia" w:ascii="宋体" w:hAnsi="宋体"/>
          <w:bCs/>
          <w:highlight w:val="none"/>
          <w:lang w:val="en-US" w:eastAsia="zh-CN"/>
        </w:rPr>
        <w:t>I、未全部响应招标文件规定的实质性要求（含*项）的。</w:t>
      </w:r>
    </w:p>
    <w:p>
      <w:pPr>
        <w:pStyle w:val="2"/>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2"/>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2"/>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2"/>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2"/>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2"/>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2"/>
        <w:spacing w:line="480" w:lineRule="exact"/>
        <w:ind w:left="0" w:leftChars="0" w:firstLine="578" w:firstLineChars="241"/>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2"/>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2"/>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2"/>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2"/>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2"/>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2"/>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2"/>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2"/>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2"/>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2"/>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3"/>
        <w:spacing w:line="480" w:lineRule="exact"/>
        <w:ind w:left="571" w:leftChars="272" w:firstLine="0" w:firstLineChars="0"/>
        <w:outlineLvl w:val="0"/>
        <w:rPr>
          <w:rFonts w:ascii="宋体"/>
          <w:bCs/>
          <w:sz w:val="24"/>
          <w:highlight w:val="none"/>
        </w:rPr>
      </w:pPr>
      <w:bookmarkStart w:id="92" w:name="_Toc2195"/>
      <w:bookmarkStart w:id="93" w:name="_Toc31292"/>
      <w:bookmarkStart w:id="94" w:name="_Toc27597"/>
      <w:r>
        <w:rPr>
          <w:rFonts w:ascii="宋体" w:hAnsi="宋体"/>
          <w:bCs/>
          <w:sz w:val="24"/>
          <w:highlight w:val="none"/>
        </w:rPr>
        <w:t xml:space="preserve">24.  </w:t>
      </w:r>
      <w:r>
        <w:rPr>
          <w:rFonts w:hint="eastAsia" w:ascii="宋体" w:hAnsi="宋体"/>
          <w:bCs/>
          <w:sz w:val="24"/>
          <w:highlight w:val="none"/>
        </w:rPr>
        <w:t>综合评审</w:t>
      </w:r>
      <w:bookmarkEnd w:id="92"/>
      <w:bookmarkEnd w:id="93"/>
      <w:bookmarkEnd w:id="94"/>
    </w:p>
    <w:p>
      <w:pPr>
        <w:pStyle w:val="2"/>
        <w:spacing w:line="480" w:lineRule="exact"/>
        <w:ind w:firstLine="480" w:firstLineChars="200"/>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2"/>
        <w:spacing w:line="480" w:lineRule="exact"/>
        <w:ind w:firstLine="480" w:firstLineChars="200"/>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2"/>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2"/>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维保方案；</w:t>
      </w:r>
    </w:p>
    <w:p>
      <w:pPr>
        <w:pStyle w:val="2"/>
        <w:spacing w:line="480" w:lineRule="exact"/>
        <w:ind w:firstLine="480" w:firstLineChars="200"/>
        <w:rPr>
          <w:rFonts w:ascii="宋体" w:hAnsi="宋体"/>
          <w:bCs/>
          <w:highlight w:val="none"/>
        </w:rPr>
      </w:pPr>
      <w:r>
        <w:rPr>
          <w:rFonts w:ascii="宋体" w:hAnsi="宋体"/>
          <w:bCs/>
          <w:highlight w:val="none"/>
        </w:rPr>
        <w:t xml:space="preserve">3) </w:t>
      </w:r>
      <w:r>
        <w:rPr>
          <w:rFonts w:hint="eastAsia" w:ascii="宋体" w:hAnsi="宋体"/>
          <w:bCs/>
          <w:highlight w:val="none"/>
        </w:rPr>
        <w:t>售后服务条款；</w:t>
      </w:r>
    </w:p>
    <w:p>
      <w:pPr>
        <w:pStyle w:val="2"/>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 xml:space="preserve"> 技术及商务有无偏离；</w:t>
      </w:r>
    </w:p>
    <w:p>
      <w:pPr>
        <w:pStyle w:val="2"/>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投标人资信情况和履约能力；</w:t>
      </w:r>
    </w:p>
    <w:p>
      <w:pPr>
        <w:pStyle w:val="2"/>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投标人的经营业绩；</w:t>
      </w:r>
    </w:p>
    <w:p>
      <w:pPr>
        <w:pStyle w:val="2"/>
        <w:spacing w:line="480" w:lineRule="exact"/>
        <w:ind w:firstLine="480" w:firstLineChars="200"/>
        <w:rPr>
          <w:rFonts w:ascii="宋体"/>
          <w:bCs/>
          <w:highlight w:val="none"/>
        </w:rPr>
      </w:pPr>
      <w:r>
        <w:rPr>
          <w:rFonts w:ascii="宋体" w:hAnsi="宋体"/>
          <w:bCs/>
          <w:highlight w:val="none"/>
        </w:rPr>
        <w:t xml:space="preserve">7) </w:t>
      </w:r>
      <w:r>
        <w:rPr>
          <w:rFonts w:hint="eastAsia" w:ascii="宋体" w:hAnsi="宋体"/>
          <w:bCs/>
          <w:highlight w:val="none"/>
        </w:rPr>
        <w:t>优惠条件；</w:t>
      </w:r>
    </w:p>
    <w:p>
      <w:pPr>
        <w:pStyle w:val="2"/>
        <w:spacing w:line="360" w:lineRule="auto"/>
        <w:ind w:firstLine="480" w:firstLineChars="200"/>
        <w:rPr>
          <w:rFonts w:ascii="宋体" w:hAnsi="宋体"/>
          <w:bCs/>
          <w:highlight w:val="none"/>
        </w:rPr>
      </w:pPr>
      <w:r>
        <w:rPr>
          <w:rFonts w:ascii="宋体" w:hAnsi="宋体"/>
          <w:bCs/>
          <w:highlight w:val="none"/>
        </w:rPr>
        <w:t xml:space="preserve">8) </w:t>
      </w:r>
      <w:r>
        <w:rPr>
          <w:rFonts w:hint="eastAsia" w:ascii="宋体" w:hAnsi="宋体"/>
          <w:bCs/>
          <w:highlight w:val="none"/>
        </w:rPr>
        <w:t>其他。</w:t>
      </w:r>
    </w:p>
    <w:p>
      <w:pPr>
        <w:pStyle w:val="2"/>
        <w:adjustRightInd w:val="0"/>
        <w:snapToGrid w:val="0"/>
        <w:spacing w:line="360" w:lineRule="auto"/>
        <w:ind w:firstLine="480" w:firstLineChars="200"/>
        <w:rPr>
          <w:rFonts w:ascii="宋体" w:hAnsi="宋体"/>
          <w:highlight w:val="none"/>
        </w:rPr>
      </w:pPr>
      <w:r>
        <w:rPr>
          <w:rFonts w:ascii="宋体" w:hAnsi="宋体"/>
          <w:bCs/>
          <w:highlight w:val="none"/>
        </w:rPr>
        <w:t>24.3</w:t>
      </w:r>
      <w:r>
        <w:rPr>
          <w:rFonts w:hint="eastAsia" w:ascii="宋体" w:hAnsi="宋体"/>
          <w:highlight w:val="none"/>
        </w:rPr>
        <w:t>评标方法：本项目采用综合评分法，评标委员会将对投标人的投标报价、项目技术方案、现场演示、售后维保服务、投标人业绩等综合评分，择优选择中标人。</w:t>
      </w:r>
    </w:p>
    <w:p>
      <w:pPr>
        <w:pStyle w:val="13"/>
        <w:spacing w:line="480" w:lineRule="exact"/>
        <w:ind w:left="0" w:leftChars="0" w:firstLine="0" w:firstLineChars="0"/>
        <w:jc w:val="center"/>
        <w:rPr>
          <w:rFonts w:ascii="宋体" w:hAnsi="宋体"/>
          <w:b/>
          <w:bCs/>
          <w:szCs w:val="21"/>
          <w:highlight w:val="none"/>
        </w:rPr>
      </w:pPr>
      <w:bookmarkStart w:id="95" w:name="_Toc326"/>
      <w:bookmarkStart w:id="96" w:name="_Toc482367258"/>
    </w:p>
    <w:p>
      <w:pPr>
        <w:pStyle w:val="13"/>
        <w:spacing w:line="480" w:lineRule="exact"/>
        <w:ind w:left="0" w:leftChars="0" w:firstLine="0" w:firstLineChars="0"/>
        <w:jc w:val="center"/>
        <w:rPr>
          <w:rFonts w:ascii="宋体" w:hAnsi="宋体"/>
          <w:b/>
          <w:bCs/>
          <w:sz w:val="36"/>
          <w:szCs w:val="36"/>
          <w:highlight w:val="none"/>
        </w:rPr>
      </w:pPr>
      <w:r>
        <w:rPr>
          <w:rFonts w:hint="eastAsia" w:ascii="宋体" w:hAnsi="宋体"/>
          <w:b/>
          <w:bCs/>
          <w:sz w:val="36"/>
          <w:szCs w:val="36"/>
          <w:highlight w:val="none"/>
        </w:rPr>
        <w:br w:type="page"/>
      </w:r>
      <w:r>
        <w:rPr>
          <w:rFonts w:hint="eastAsia" w:ascii="宋体" w:hAnsi="宋体"/>
          <w:b/>
          <w:bCs/>
          <w:sz w:val="36"/>
          <w:szCs w:val="36"/>
          <w:highlight w:val="none"/>
        </w:rPr>
        <w:t>评分细则</w:t>
      </w:r>
      <w:bookmarkEnd w:id="95"/>
      <w:bookmarkEnd w:id="96"/>
    </w:p>
    <w:tbl>
      <w:tblPr>
        <w:tblStyle w:val="49"/>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757"/>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b/>
                <w:color w:val="000000"/>
                <w:szCs w:val="21"/>
                <w:highlight w:val="none"/>
              </w:rPr>
            </w:pPr>
            <w:r>
              <w:rPr>
                <w:rFonts w:hint="eastAsia" w:ascii="宋体" w:hAnsi="宋体" w:cs="宋体"/>
                <w:b/>
                <w:color w:val="000000"/>
                <w:szCs w:val="21"/>
                <w:highlight w:val="none"/>
              </w:rPr>
              <w:t>序号</w:t>
            </w:r>
          </w:p>
        </w:tc>
        <w:tc>
          <w:tcPr>
            <w:tcW w:w="17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ascii="宋体" w:hAnsi="宋体" w:cs="宋体"/>
                <w:b/>
                <w:color w:val="000000"/>
                <w:szCs w:val="21"/>
                <w:highlight w:val="none"/>
              </w:rPr>
            </w:pPr>
            <w:r>
              <w:rPr>
                <w:rFonts w:ascii="宋体" w:hAnsi="宋体"/>
                <w:bCs/>
                <w:color w:val="000000"/>
                <w:highlight w:val="none"/>
              </w:rPr>
              <w:br w:type="page"/>
            </w:r>
            <w:r>
              <w:rPr>
                <w:rFonts w:ascii="宋体" w:hAnsi="宋体"/>
                <w:bCs/>
                <w:color w:val="000000"/>
                <w:sz w:val="24"/>
                <w:szCs w:val="20"/>
                <w:highlight w:val="none"/>
              </w:rPr>
              <w:br w:type="page"/>
            </w:r>
            <w:r>
              <w:rPr>
                <w:rFonts w:hint="eastAsia" w:ascii="宋体" w:hAnsi="宋体" w:cs="宋体"/>
                <w:b/>
                <w:color w:val="000000"/>
                <w:szCs w:val="21"/>
                <w:highlight w:val="none"/>
              </w:rPr>
              <w:t>评分项目</w:t>
            </w:r>
          </w:p>
        </w:tc>
        <w:tc>
          <w:tcPr>
            <w:tcW w:w="754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ascii="宋体" w:hAnsi="宋体" w:cs="宋体"/>
                <w:b/>
                <w:color w:val="000000"/>
                <w:szCs w:val="21"/>
                <w:highlight w:val="none"/>
              </w:rPr>
            </w:pPr>
            <w:r>
              <w:rPr>
                <w:rFonts w:hint="eastAsia" w:ascii="宋体" w:hAnsi="宋体" w:cs="宋体"/>
                <w:b/>
                <w:color w:val="00000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报价部分</w:t>
            </w:r>
          </w:p>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（30分）</w:t>
            </w:r>
          </w:p>
        </w:tc>
        <w:tc>
          <w:tcPr>
            <w:tcW w:w="7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hAnsi="宋体" w:cs="宋体"/>
                <w:color w:val="000000"/>
                <w:szCs w:val="21"/>
                <w:highlight w:val="none"/>
              </w:rPr>
            </w:pPr>
            <w:r>
              <w:rPr>
                <w:rFonts w:hint="eastAsia" w:ascii="宋体" w:hAnsi="宋体" w:cs="宋体"/>
                <w:color w:val="000000"/>
                <w:szCs w:val="21"/>
                <w:highlight w:val="none"/>
              </w:rPr>
              <w:t>价格分应当采用低价优先法计算，即满足招标文件要求且投标价格最低的投标报价为评标基准价，其价格分为满分。其他投标人的价格分统一按照下列公式计算：投标报价得分=（评标基准值/投标报价）×30%×100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554" w:type="dxa"/>
            <w:tcBorders>
              <w:left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1757"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技术响应</w:t>
            </w:r>
          </w:p>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57</w:t>
            </w:r>
            <w:r>
              <w:rPr>
                <w:rFonts w:hint="eastAsia" w:ascii="宋体" w:hAnsi="宋体" w:cs="宋体"/>
                <w:color w:val="000000"/>
                <w:szCs w:val="21"/>
                <w:highlight w:val="none"/>
              </w:rPr>
              <w:t>分）</w:t>
            </w:r>
          </w:p>
        </w:tc>
        <w:tc>
          <w:tcPr>
            <w:tcW w:w="7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hAnsi="宋体" w:cs="宋体"/>
                <w:color w:val="000000"/>
                <w:szCs w:val="21"/>
                <w:highlight w:val="none"/>
              </w:rPr>
            </w:pPr>
            <w:r>
              <w:rPr>
                <w:rFonts w:hint="eastAsia" w:ascii="宋体" w:hAnsi="宋体" w:cs="宋体"/>
                <w:color w:val="000000"/>
                <w:szCs w:val="21"/>
                <w:highlight w:val="none"/>
              </w:rPr>
              <w:t>对投标文件中（1）</w:t>
            </w:r>
            <w:r>
              <w:rPr>
                <w:rFonts w:hint="eastAsia" w:ascii="宋体" w:hAnsi="宋体" w:cs="宋体"/>
                <w:color w:val="000000"/>
                <w:szCs w:val="21"/>
                <w:highlight w:val="none"/>
                <w:lang w:eastAsia="zh-CN"/>
              </w:rPr>
              <w:t>产品概要</w:t>
            </w:r>
            <w:r>
              <w:rPr>
                <w:rFonts w:hint="eastAsia" w:ascii="宋体" w:hAnsi="宋体" w:cs="宋体"/>
                <w:color w:val="000000"/>
                <w:szCs w:val="21"/>
                <w:highlight w:val="none"/>
              </w:rPr>
              <w:t>、（2）</w:t>
            </w:r>
            <w:r>
              <w:rPr>
                <w:rFonts w:hint="eastAsia" w:ascii="宋体" w:hAnsi="宋体" w:cs="宋体"/>
                <w:color w:val="000000"/>
                <w:szCs w:val="21"/>
                <w:highlight w:val="none"/>
                <w:lang w:eastAsia="zh-CN"/>
              </w:rPr>
              <w:t>血液入库</w:t>
            </w:r>
            <w:r>
              <w:rPr>
                <w:rFonts w:hint="eastAsia" w:ascii="宋体" w:hAnsi="宋体" w:cs="宋体"/>
                <w:color w:val="000000"/>
                <w:szCs w:val="21"/>
                <w:highlight w:val="none"/>
              </w:rPr>
              <w:t>、（3）输血申请、（4）输血审核、（5）配血管理（6）发血管理、（7）自体血、（8）库存管理、（9）输注评价（10）费用管理、（11）</w:t>
            </w:r>
            <w:r>
              <w:rPr>
                <w:rFonts w:hint="eastAsia" w:ascii="宋体" w:hAnsi="宋体" w:cs="宋体"/>
                <w:color w:val="000000"/>
                <w:szCs w:val="21"/>
                <w:highlight w:val="none"/>
                <w:lang w:eastAsia="zh-CN"/>
              </w:rPr>
              <w:t>护士站</w:t>
            </w:r>
            <w:r>
              <w:rPr>
                <w:rFonts w:hint="eastAsia" w:ascii="宋体" w:hAnsi="宋体" w:cs="宋体"/>
                <w:color w:val="000000"/>
                <w:szCs w:val="21"/>
                <w:highlight w:val="none"/>
              </w:rPr>
              <w:t>、（12）量化评分、（13）统计报表、（14）</w:t>
            </w:r>
            <w:r>
              <w:rPr>
                <w:rFonts w:hint="eastAsia" w:ascii="宋体" w:hAnsi="宋体" w:cs="宋体"/>
                <w:color w:val="000000"/>
                <w:szCs w:val="21"/>
                <w:highlight w:val="none"/>
                <w:lang w:eastAsia="zh-CN"/>
              </w:rPr>
              <w:t>用户权限</w:t>
            </w:r>
            <w:r>
              <w:rPr>
                <w:rFonts w:hint="eastAsia" w:ascii="宋体" w:hAnsi="宋体" w:cs="宋体"/>
                <w:color w:val="000000"/>
                <w:szCs w:val="21"/>
                <w:highlight w:val="none"/>
              </w:rPr>
              <w:t>管理、（15）智能评估、（16）回收管理、（17）</w:t>
            </w:r>
            <w:r>
              <w:rPr>
                <w:rFonts w:hint="eastAsia" w:ascii="宋体" w:hAnsi="宋体" w:cs="宋体"/>
                <w:color w:val="000000"/>
                <w:szCs w:val="21"/>
                <w:highlight w:val="none"/>
                <w:lang w:eastAsia="zh-CN"/>
              </w:rPr>
              <w:t>质控管理、</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18</w:t>
            </w:r>
            <w:r>
              <w:rPr>
                <w:rFonts w:hint="eastAsia" w:ascii="宋体" w:hAnsi="宋体" w:cs="宋体"/>
                <w:color w:val="000000"/>
                <w:szCs w:val="21"/>
                <w:highlight w:val="none"/>
              </w:rPr>
              <w:t>）系统接口</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19</w:t>
            </w:r>
            <w:r>
              <w:rPr>
                <w:rFonts w:hint="eastAsia" w:ascii="宋体" w:hAnsi="宋体" w:cs="宋体"/>
                <w:color w:val="000000"/>
                <w:szCs w:val="21"/>
                <w:highlight w:val="none"/>
              </w:rPr>
              <w:t>）</w:t>
            </w:r>
            <w:r>
              <w:rPr>
                <w:rFonts w:hint="eastAsia"/>
                <w:lang w:eastAsia="zh-CN"/>
              </w:rPr>
              <w:t>项目理解</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共1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个方面进行评审，每部分满分</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分，完全满足得</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分，符合情况较好的得</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分，基本符合的得</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分。此项满分得</w:t>
            </w:r>
            <w:r>
              <w:rPr>
                <w:rFonts w:hint="eastAsia" w:ascii="宋体" w:hAnsi="宋体" w:cs="宋体"/>
                <w:color w:val="000000"/>
                <w:szCs w:val="21"/>
                <w:highlight w:val="none"/>
                <w:lang w:val="en-US" w:eastAsia="zh-CN"/>
              </w:rPr>
              <w:t>57</w:t>
            </w:r>
            <w:r>
              <w:rPr>
                <w:rFonts w:hint="eastAsia" w:ascii="宋体" w:hAnsi="宋体" w:cs="宋体"/>
                <w:color w:val="000000"/>
                <w:szCs w:val="21"/>
                <w:highlight w:val="none"/>
              </w:rPr>
              <w:t>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jc w:val="center"/>
        </w:trPr>
        <w:tc>
          <w:tcPr>
            <w:tcW w:w="554" w:type="dxa"/>
            <w:tcBorders>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w:t>
            </w:r>
          </w:p>
        </w:tc>
        <w:tc>
          <w:tcPr>
            <w:tcW w:w="1757"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系统演示</w:t>
            </w:r>
          </w:p>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w:t>
            </w:r>
          </w:p>
        </w:tc>
        <w:tc>
          <w:tcPr>
            <w:tcW w:w="7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cs="宋体"/>
                <w:color w:val="000000"/>
                <w:szCs w:val="21"/>
                <w:highlight w:val="none"/>
              </w:rPr>
            </w:pPr>
            <w:r>
              <w:rPr>
                <w:rFonts w:hint="eastAsia" w:ascii="宋体" w:hAnsi="宋体" w:cs="宋体"/>
                <w:color w:val="000000"/>
                <w:szCs w:val="21"/>
                <w:highlight w:val="none"/>
              </w:rPr>
              <w:t>对输血管理系统进行操作演示，每项演示得</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分，共</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分。每项演示时间为3分钟</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根据演示情况综合打分，演示要求具体如下：</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输血科或医务科用户可以通过手机端对大量用血进行审批，提供各类指标（用血量、用血人次、手术用血人次等）手机端展示，至少有科室和日期两个维度。能够接收各类预警信息，包括库存预警，特殊血型配血预警。（提供功能截图）</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分）</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cs="宋体"/>
                <w:color w:val="000000"/>
                <w:szCs w:val="21"/>
                <w:highlight w:val="none"/>
              </w:rPr>
            </w:pPr>
            <w:r>
              <w:rPr>
                <w:rFonts w:hint="eastAsia" w:ascii="宋体" w:hAnsi="宋体" w:cs="宋体"/>
                <w:color w:val="000000"/>
                <w:szCs w:val="21"/>
                <w:highlight w:val="none"/>
              </w:rPr>
              <w:t>（2）系统支持可视化闭环及量化评分：显示输血流程各节点完成情况并量化评分，可按照科室、医生、护士进行统计排名，并可点击申请单查看详情。（提供功能截图）；（</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54" w:type="dxa"/>
            <w:tcBorders>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4</w:t>
            </w:r>
          </w:p>
        </w:tc>
        <w:tc>
          <w:tcPr>
            <w:tcW w:w="1757"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业绩（</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分）</w:t>
            </w:r>
          </w:p>
        </w:tc>
        <w:tc>
          <w:tcPr>
            <w:tcW w:w="754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宋体" w:hAnsi="宋体" w:cs="宋体"/>
                <w:color w:val="000000"/>
                <w:szCs w:val="21"/>
                <w:highlight w:val="none"/>
              </w:rPr>
            </w:pPr>
            <w:r>
              <w:rPr>
                <w:rFonts w:hint="eastAsia" w:ascii="宋体" w:hAnsi="宋体" w:cs="宋体"/>
                <w:color w:val="000000"/>
                <w:szCs w:val="21"/>
                <w:highlight w:val="none"/>
              </w:rPr>
              <w:t>近三年</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2017年4月1日至今</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具有类似项目业绩，每一个业绩得</w:t>
            </w:r>
            <w:r>
              <w:rPr>
                <w:rFonts w:hint="eastAsia" w:ascii="宋体" w:hAnsi="宋体" w:cs="宋体"/>
                <w:color w:val="000000"/>
                <w:szCs w:val="21"/>
                <w:highlight w:val="none"/>
                <w:lang w:val="en-US" w:eastAsia="zh-CN"/>
              </w:rPr>
              <w:t>0.5</w:t>
            </w:r>
            <w:r>
              <w:rPr>
                <w:rFonts w:hint="eastAsia" w:ascii="宋体" w:hAnsi="宋体" w:cs="宋体"/>
                <w:color w:val="000000"/>
                <w:szCs w:val="21"/>
                <w:highlight w:val="none"/>
              </w:rPr>
              <w:t>分，最高得</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分。在投标文件中提供合同复印件并加盖投标人公章，合同复印件至少包括合同首页、建设内容以及签署页。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5</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售后服务</w:t>
            </w:r>
          </w:p>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分）</w:t>
            </w:r>
          </w:p>
        </w:tc>
        <w:tc>
          <w:tcPr>
            <w:tcW w:w="7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ascii="宋体" w:hAnsi="宋体" w:cs="宋体"/>
                <w:color w:val="000000"/>
                <w:szCs w:val="21"/>
                <w:highlight w:val="none"/>
              </w:rPr>
            </w:pPr>
            <w:r>
              <w:rPr>
                <w:rFonts w:hint="eastAsia" w:ascii="宋体" w:hAnsi="宋体" w:cs="宋体"/>
                <w:color w:val="000000"/>
                <w:szCs w:val="21"/>
                <w:highlight w:val="none"/>
              </w:rPr>
              <w:t>对投标文件中的售后服务措施及培训方案进行评审，包括：响应时间、服务方式及服务内容、系统升级、培训方案等内容进行评审，满足需求得</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分，每有1项不满足扣0.5分，扣完为止。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6</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000000"/>
                <w:szCs w:val="21"/>
                <w:highlight w:val="none"/>
              </w:rPr>
            </w:pPr>
            <w:r>
              <w:rPr>
                <w:rFonts w:hint="eastAsia" w:ascii="宋体" w:hAnsi="宋体" w:cs="宋体"/>
                <w:color w:val="000000"/>
                <w:szCs w:val="21"/>
                <w:highlight w:val="none"/>
              </w:rPr>
              <w:t>优惠条款（</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分）</w:t>
            </w:r>
          </w:p>
        </w:tc>
        <w:tc>
          <w:tcPr>
            <w:tcW w:w="7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eastAsia" w:ascii="宋体" w:hAnsi="宋体" w:cs="宋体"/>
                <w:color w:val="000000"/>
                <w:szCs w:val="21"/>
                <w:highlight w:val="none"/>
              </w:rPr>
            </w:pPr>
            <w:r>
              <w:rPr>
                <w:rFonts w:hint="eastAsia" w:ascii="宋体" w:hAnsi="宋体" w:cs="宋体"/>
                <w:color w:val="000000"/>
                <w:szCs w:val="21"/>
                <w:highlight w:val="none"/>
              </w:rPr>
              <w:t>售后免费维保期高于3年的，每加1年加1分</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最高得2分。</w:t>
            </w:r>
          </w:p>
        </w:tc>
      </w:tr>
    </w:tbl>
    <w:p>
      <w:pPr>
        <w:pStyle w:val="2"/>
        <w:spacing w:line="360" w:lineRule="exact"/>
        <w:rPr>
          <w:rFonts w:ascii="宋体" w:hAnsi="宋体"/>
          <w:b/>
          <w:bCs/>
          <w:color w:val="000000"/>
          <w:sz w:val="21"/>
          <w:szCs w:val="21"/>
          <w:highlight w:val="none"/>
        </w:rPr>
      </w:pPr>
    </w:p>
    <w:p>
      <w:pPr>
        <w:pStyle w:val="2"/>
        <w:spacing w:line="360" w:lineRule="auto"/>
        <w:rPr>
          <w:rFonts w:ascii="宋体"/>
          <w:b/>
          <w:bCs/>
          <w:color w:val="000000"/>
          <w:sz w:val="21"/>
          <w:szCs w:val="21"/>
          <w:highlight w:val="none"/>
        </w:rPr>
      </w:pPr>
      <w:r>
        <w:rPr>
          <w:rFonts w:hint="eastAsia" w:ascii="宋体" w:hAnsi="宋体"/>
          <w:b/>
          <w:bCs/>
          <w:color w:val="000000"/>
          <w:sz w:val="21"/>
          <w:szCs w:val="21"/>
          <w:highlight w:val="none"/>
        </w:rPr>
        <w:t>说明：（</w:t>
      </w:r>
      <w:r>
        <w:rPr>
          <w:rFonts w:ascii="宋体" w:hAnsi="宋体"/>
          <w:b/>
          <w:bCs/>
          <w:color w:val="000000"/>
          <w:sz w:val="21"/>
          <w:szCs w:val="21"/>
          <w:highlight w:val="none"/>
        </w:rPr>
        <w:t>1</w:t>
      </w:r>
      <w:r>
        <w:rPr>
          <w:rFonts w:hint="eastAsia" w:ascii="宋体" w:hAnsi="宋体"/>
          <w:b/>
          <w:bCs/>
          <w:color w:val="000000"/>
          <w:sz w:val="21"/>
          <w:szCs w:val="21"/>
          <w:highlight w:val="none"/>
        </w:rPr>
        <w:t>）本评标办法涉及到的业绩合同需在投标文件中附合同复印件并加盖投标人公章，合同复印件至少包括合同首页、建设内容以及签署页，作为加分的依据，若无不得分。</w:t>
      </w:r>
    </w:p>
    <w:p>
      <w:pPr>
        <w:pStyle w:val="2"/>
        <w:spacing w:line="360" w:lineRule="auto"/>
        <w:ind w:firstLine="517" w:firstLineChars="245"/>
        <w:rPr>
          <w:rFonts w:ascii="宋体" w:hAnsi="宋体"/>
          <w:b/>
          <w:bCs/>
          <w:color w:val="000000"/>
          <w:sz w:val="21"/>
          <w:szCs w:val="21"/>
          <w:highlight w:val="none"/>
        </w:rPr>
      </w:pPr>
      <w:r>
        <w:rPr>
          <w:rFonts w:hint="eastAsia" w:ascii="宋体" w:hAnsi="宋体"/>
          <w:b/>
          <w:bCs/>
          <w:color w:val="000000"/>
          <w:sz w:val="21"/>
          <w:szCs w:val="21"/>
          <w:highlight w:val="none"/>
        </w:rPr>
        <w:t>（</w:t>
      </w:r>
      <w:r>
        <w:rPr>
          <w:rFonts w:ascii="宋体" w:hAnsi="宋体"/>
          <w:b/>
          <w:bCs/>
          <w:color w:val="000000"/>
          <w:sz w:val="21"/>
          <w:szCs w:val="21"/>
          <w:highlight w:val="none"/>
        </w:rPr>
        <w:t>2</w:t>
      </w:r>
      <w:r>
        <w:rPr>
          <w:rFonts w:hint="eastAsia" w:ascii="宋体" w:hAnsi="宋体"/>
          <w:b/>
          <w:bCs/>
          <w:color w:val="000000"/>
          <w:sz w:val="21"/>
          <w:szCs w:val="21"/>
          <w:highlight w:val="none"/>
        </w:rPr>
        <w:t>）近三年是指自</w:t>
      </w:r>
      <w:r>
        <w:rPr>
          <w:rFonts w:hint="eastAsia" w:ascii="宋体" w:hAnsi="宋体"/>
          <w:b/>
          <w:bCs/>
          <w:color w:val="000000"/>
          <w:sz w:val="21"/>
          <w:szCs w:val="21"/>
          <w:highlight w:val="none"/>
          <w:lang w:val="en-US" w:eastAsia="zh-CN"/>
        </w:rPr>
        <w:t>2017年4月1日至今</w:t>
      </w:r>
      <w:r>
        <w:rPr>
          <w:rFonts w:hint="eastAsia" w:ascii="宋体" w:hAnsi="宋体"/>
          <w:b/>
          <w:bCs/>
          <w:color w:val="000000"/>
          <w:sz w:val="21"/>
          <w:szCs w:val="21"/>
          <w:highlight w:val="none"/>
        </w:rPr>
        <w:t>。</w:t>
      </w:r>
    </w:p>
    <w:p>
      <w:pPr>
        <w:pStyle w:val="2"/>
        <w:spacing w:line="360" w:lineRule="auto"/>
        <w:ind w:firstLine="517" w:firstLineChars="245"/>
        <w:rPr>
          <w:rFonts w:ascii="宋体" w:hAnsi="宋体"/>
          <w:b/>
          <w:bCs/>
          <w:color w:val="000000"/>
          <w:sz w:val="21"/>
          <w:szCs w:val="21"/>
          <w:highlight w:val="none"/>
        </w:rPr>
      </w:pPr>
      <w:r>
        <w:rPr>
          <w:rFonts w:hint="eastAsia" w:ascii="宋体" w:hAnsi="宋体"/>
          <w:b/>
          <w:bCs/>
          <w:color w:val="000000"/>
          <w:sz w:val="21"/>
          <w:szCs w:val="21"/>
          <w:highlight w:val="none"/>
        </w:rPr>
        <w:t>（3）当评标最终得分相同时，以报价低者优先；当评标最终得分和报价均相同时，以技术部分得分高者优先。</w:t>
      </w:r>
    </w:p>
    <w:p>
      <w:pPr>
        <w:pStyle w:val="2"/>
        <w:spacing w:line="360" w:lineRule="auto"/>
        <w:rPr>
          <w:rFonts w:ascii="宋体"/>
          <w:bCs/>
          <w:highlight w:val="none"/>
        </w:rPr>
      </w:pPr>
      <w:r>
        <w:rPr>
          <w:rFonts w:ascii="宋体" w:hAnsi="宋体"/>
          <w:bCs/>
          <w:highlight w:val="none"/>
        </w:rPr>
        <w:br w:type="page"/>
      </w:r>
      <w:r>
        <w:rPr>
          <w:rFonts w:ascii="宋体" w:hAnsi="宋体"/>
          <w:bCs/>
          <w:highlight w:val="none"/>
        </w:rPr>
        <w:t>24.4</w:t>
      </w:r>
      <w:r>
        <w:rPr>
          <w:rFonts w:hint="eastAsia" w:ascii="宋体" w:hAnsi="宋体"/>
          <w:bCs/>
          <w:highlight w:val="none"/>
        </w:rPr>
        <w:t>评标办法说明：支持小微企业发展、节能环保的鼓励优惠政策：</w:t>
      </w:r>
    </w:p>
    <w:p>
      <w:pPr>
        <w:pStyle w:val="2"/>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2"/>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2"/>
        <w:spacing w:line="360" w:lineRule="auto"/>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最新一期）、加盖公章的节能产品政府采购清单官方网站截图及产品目录（财政部、国家发改委最新一期）），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2"/>
        <w:spacing w:line="360" w:lineRule="auto"/>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2"/>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2"/>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2"/>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投标人如属小微企业，产品价格需扣除的，须按照工信部联企业</w:t>
      </w:r>
      <w:r>
        <w:rPr>
          <w:rFonts w:ascii="宋体" w:hAnsi="宋体"/>
          <w:bCs/>
          <w:highlight w:val="none"/>
        </w:rPr>
        <w:t>[2011]300</w:t>
      </w:r>
      <w:r>
        <w:rPr>
          <w:rFonts w:hint="eastAsia" w:ascii="宋体" w:hAnsi="宋体"/>
          <w:bCs/>
          <w:highlight w:val="none"/>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pPr>
        <w:pStyle w:val="2"/>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2"/>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2"/>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2"/>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2"/>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2"/>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2"/>
        <w:spacing w:line="360" w:lineRule="auto"/>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2"/>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2"/>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2"/>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2"/>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2"/>
        <w:spacing w:line="360" w:lineRule="auto"/>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2"/>
        <w:numPr>
          <w:ilvl w:val="0"/>
          <w:numId w:val="3"/>
        </w:numPr>
        <w:spacing w:line="360" w:lineRule="auto"/>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2"/>
        <w:spacing w:line="360" w:lineRule="auto"/>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2"/>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2"/>
        <w:spacing w:line="360" w:lineRule="auto"/>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2"/>
        <w:spacing w:line="360" w:lineRule="auto"/>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2"/>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2"/>
        <w:spacing w:line="360" w:lineRule="auto"/>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2"/>
        <w:spacing w:line="360" w:lineRule="auto"/>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2"/>
        <w:spacing w:line="360" w:lineRule="auto"/>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2"/>
        <w:spacing w:line="360" w:lineRule="auto"/>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2"/>
        <w:spacing w:line="360" w:lineRule="auto"/>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3"/>
        <w:spacing w:line="360" w:lineRule="auto"/>
        <w:ind w:left="571" w:leftChars="272" w:firstLine="0" w:firstLineChars="0"/>
        <w:outlineLvl w:val="0"/>
        <w:rPr>
          <w:rFonts w:ascii="宋体"/>
          <w:bCs/>
          <w:sz w:val="24"/>
          <w:highlight w:val="none"/>
        </w:rPr>
      </w:pPr>
      <w:bookmarkStart w:id="97" w:name="_Toc10857"/>
      <w:bookmarkStart w:id="98" w:name="_Toc30962"/>
      <w:bookmarkStart w:id="99" w:name="_Toc29202"/>
      <w:r>
        <w:rPr>
          <w:rFonts w:ascii="宋体" w:hAnsi="宋体"/>
          <w:bCs/>
          <w:sz w:val="24"/>
          <w:highlight w:val="none"/>
        </w:rPr>
        <w:t xml:space="preserve">27.  </w:t>
      </w:r>
      <w:r>
        <w:rPr>
          <w:rFonts w:hint="eastAsia" w:ascii="宋体" w:hAnsi="宋体"/>
          <w:bCs/>
          <w:sz w:val="24"/>
          <w:highlight w:val="none"/>
        </w:rPr>
        <w:t>投标人瑕疵滞后的处理</w:t>
      </w:r>
      <w:bookmarkEnd w:id="97"/>
      <w:bookmarkEnd w:id="98"/>
      <w:bookmarkEnd w:id="99"/>
    </w:p>
    <w:p>
      <w:pPr>
        <w:pStyle w:val="2"/>
        <w:spacing w:line="360" w:lineRule="auto"/>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2"/>
        <w:spacing w:line="360" w:lineRule="auto"/>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sz w:val="24"/>
          <w:highlight w:val="none"/>
        </w:rPr>
      </w:pPr>
      <w:bookmarkStart w:id="100" w:name="_Toc7870"/>
      <w:bookmarkStart w:id="101" w:name="_Toc28609"/>
      <w:r>
        <w:rPr>
          <w:rFonts w:hint="eastAsia" w:ascii="宋体" w:hAnsi="宋体"/>
          <w:b/>
          <w:bCs/>
          <w:sz w:val="24"/>
          <w:highlight w:val="none"/>
        </w:rPr>
        <w:t>六、合同签订</w:t>
      </w:r>
      <w:bookmarkEnd w:id="100"/>
      <w:bookmarkEnd w:id="101"/>
    </w:p>
    <w:p>
      <w:pPr>
        <w:pStyle w:val="2"/>
        <w:spacing w:line="360" w:lineRule="auto"/>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2"/>
        <w:spacing w:line="360" w:lineRule="auto"/>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2"/>
        <w:spacing w:line="360" w:lineRule="auto"/>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2"/>
        <w:spacing w:line="360" w:lineRule="auto"/>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2"/>
        <w:spacing w:line="360" w:lineRule="auto"/>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2"/>
        <w:spacing w:line="360" w:lineRule="auto"/>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2"/>
        <w:spacing w:line="360" w:lineRule="auto"/>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2"/>
        <w:spacing w:line="360" w:lineRule="auto"/>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2"/>
        <w:spacing w:line="360" w:lineRule="auto"/>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1"/>
        <w:spacing w:line="360" w:lineRule="auto"/>
        <w:ind w:leftChars="0" w:hanging="100" w:firstLineChars="0"/>
        <w:outlineLvl w:val="1"/>
        <w:rPr>
          <w:rFonts w:ascii="宋体"/>
          <w:b/>
          <w:bCs/>
          <w:sz w:val="24"/>
          <w:highlight w:val="none"/>
        </w:rPr>
      </w:pPr>
      <w:bookmarkStart w:id="102" w:name="_Toc3157"/>
      <w:bookmarkStart w:id="103" w:name="_Toc13878"/>
      <w:bookmarkStart w:id="104" w:name="_Toc30952"/>
      <w:r>
        <w:rPr>
          <w:rFonts w:hint="eastAsia" w:ascii="宋体" w:hAnsi="宋体"/>
          <w:b/>
          <w:bCs/>
          <w:sz w:val="24"/>
          <w:highlight w:val="none"/>
        </w:rPr>
        <w:t>七、处罚、质疑</w:t>
      </w:r>
      <w:bookmarkEnd w:id="102"/>
      <w:bookmarkEnd w:id="103"/>
      <w:bookmarkEnd w:id="104"/>
    </w:p>
    <w:p>
      <w:pPr>
        <w:pStyle w:val="2"/>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2"/>
        <w:spacing w:line="360" w:lineRule="auto"/>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2"/>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2"/>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2"/>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2"/>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2"/>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2"/>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2"/>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2"/>
        <w:spacing w:line="360" w:lineRule="auto"/>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2"/>
        <w:spacing w:line="360" w:lineRule="auto"/>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2"/>
        <w:spacing w:line="360" w:lineRule="auto"/>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）质疑项目名称、招标编号、包号、招标公告发布时间、开标时间；</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2"/>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2"/>
        <w:spacing w:line="360" w:lineRule="auto"/>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sz w:val="24"/>
          <w:highlight w:val="none"/>
        </w:rPr>
      </w:pPr>
      <w:bookmarkStart w:id="105" w:name="_Toc26147"/>
      <w:bookmarkStart w:id="106" w:name="_Toc1876"/>
      <w:bookmarkStart w:id="107" w:name="_Toc1537"/>
      <w:r>
        <w:rPr>
          <w:rFonts w:hint="eastAsia" w:ascii="宋体" w:hAnsi="宋体"/>
          <w:b/>
          <w:bCs/>
          <w:sz w:val="24"/>
          <w:highlight w:val="none"/>
        </w:rPr>
        <w:t>八、保密</w:t>
      </w:r>
      <w:bookmarkEnd w:id="105"/>
      <w:bookmarkEnd w:id="106"/>
      <w:bookmarkEnd w:id="107"/>
    </w:p>
    <w:p>
      <w:pPr>
        <w:pStyle w:val="2"/>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2"/>
        <w:spacing w:line="360" w:lineRule="auto"/>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sz w:val="24"/>
          <w:highlight w:val="none"/>
        </w:rPr>
      </w:pPr>
      <w:bookmarkStart w:id="108" w:name="_Toc28213"/>
      <w:bookmarkStart w:id="109" w:name="_Toc14534"/>
      <w:bookmarkStart w:id="110" w:name="_Toc11927"/>
      <w:r>
        <w:rPr>
          <w:rFonts w:hint="eastAsia" w:ascii="宋体" w:hAnsi="宋体"/>
          <w:b/>
          <w:bCs/>
          <w:sz w:val="24"/>
          <w:highlight w:val="none"/>
        </w:rPr>
        <w:t>九、专利权</w:t>
      </w:r>
      <w:bookmarkEnd w:id="108"/>
      <w:bookmarkEnd w:id="109"/>
      <w:bookmarkEnd w:id="110"/>
    </w:p>
    <w:p>
      <w:pPr>
        <w:pStyle w:val="2"/>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2"/>
        <w:spacing w:line="360" w:lineRule="auto"/>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sz w:val="24"/>
          <w:highlight w:val="none"/>
        </w:rPr>
      </w:pPr>
      <w:bookmarkStart w:id="111" w:name="_Toc1386"/>
      <w:bookmarkStart w:id="112" w:name="_Toc9163"/>
      <w:bookmarkStart w:id="113" w:name="_Toc5288"/>
      <w:r>
        <w:rPr>
          <w:rFonts w:hint="eastAsia" w:ascii="宋体" w:hAnsi="宋体"/>
          <w:b/>
          <w:bCs/>
          <w:sz w:val="24"/>
          <w:highlight w:val="none"/>
        </w:rPr>
        <w:t>十、解释权</w:t>
      </w:r>
      <w:bookmarkEnd w:id="111"/>
      <w:bookmarkEnd w:id="112"/>
      <w:bookmarkEnd w:id="113"/>
    </w:p>
    <w:p>
      <w:pPr>
        <w:pStyle w:val="2"/>
        <w:spacing w:line="360" w:lineRule="auto"/>
        <w:ind w:firstLine="480" w:firstLineChars="200"/>
        <w:rPr>
          <w:rFonts w:ascii="宋体" w:hAnsi="宋体"/>
          <w:bCs/>
          <w:highlight w:val="none"/>
        </w:rPr>
      </w:pPr>
      <w:r>
        <w:rPr>
          <w:rFonts w:hint="eastAsia" w:ascii="宋体" w:hAnsi="宋体"/>
          <w:bCs/>
          <w:highlight w:val="none"/>
        </w:rPr>
        <w:t>35.  解释权</w:t>
      </w:r>
    </w:p>
    <w:p>
      <w:pPr>
        <w:pStyle w:val="2"/>
        <w:spacing w:line="360" w:lineRule="auto"/>
        <w:ind w:firstLine="480" w:firstLineChars="200"/>
        <w:rPr>
          <w:rFonts w:ascii="宋体" w:hAns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sz w:val="24"/>
          <w:highlight w:val="none"/>
        </w:rPr>
      </w:pPr>
      <w:bookmarkStart w:id="114" w:name="_Toc1488"/>
      <w:bookmarkStart w:id="115" w:name="_Toc8805"/>
      <w:bookmarkStart w:id="116" w:name="_Toc27088"/>
      <w:r>
        <w:rPr>
          <w:rFonts w:hint="eastAsia" w:ascii="宋体" w:hAnsi="宋体"/>
          <w:b/>
          <w:bCs/>
          <w:sz w:val="24"/>
          <w:highlight w:val="none"/>
        </w:rPr>
        <w:t>十一、其他</w:t>
      </w:r>
      <w:bookmarkEnd w:id="114"/>
      <w:bookmarkEnd w:id="115"/>
      <w:bookmarkEnd w:id="116"/>
    </w:p>
    <w:p>
      <w:pPr>
        <w:pStyle w:val="21"/>
        <w:numPr>
          <w:ilvl w:val="0"/>
          <w:numId w:val="4"/>
        </w:numPr>
        <w:snapToGrid w:val="0"/>
        <w:spacing w:line="480" w:lineRule="auto"/>
        <w:ind w:leftChars="0" w:firstLineChars="0"/>
        <w:outlineLvl w:val="0"/>
        <w:rPr>
          <w:rFonts w:ascii="宋体"/>
          <w:bCs/>
          <w:sz w:val="24"/>
          <w:highlight w:val="none"/>
        </w:rPr>
      </w:pPr>
      <w:bookmarkStart w:id="117" w:name="_Toc30190"/>
      <w:bookmarkStart w:id="118" w:name="_Toc17247"/>
      <w:bookmarkStart w:id="119" w:name="_Toc19127"/>
      <w:r>
        <w:rPr>
          <w:rFonts w:hint="eastAsia" w:ascii="宋体" w:hAnsi="宋体"/>
          <w:bCs/>
          <w:sz w:val="24"/>
          <w:highlight w:val="none"/>
        </w:rPr>
        <w:t>其他</w:t>
      </w:r>
      <w:bookmarkEnd w:id="117"/>
      <w:bookmarkEnd w:id="118"/>
      <w:bookmarkEnd w:id="119"/>
    </w:p>
    <w:p>
      <w:pPr>
        <w:pStyle w:val="21"/>
        <w:snapToGrid w:val="0"/>
        <w:spacing w:line="480" w:lineRule="auto"/>
        <w:ind w:left="570" w:leftChars="0" w:firstLine="0" w:firstLineChars="0"/>
        <w:outlineLvl w:val="0"/>
        <w:rPr>
          <w:rFonts w:ascii="宋体"/>
          <w:bCs/>
          <w:sz w:val="24"/>
          <w:highlight w:val="none"/>
        </w:rPr>
      </w:pPr>
      <w:bookmarkStart w:id="120" w:name="_Toc7890"/>
      <w:bookmarkStart w:id="121" w:name="_Toc4557"/>
      <w:bookmarkStart w:id="122" w:name="_Toc12623"/>
      <w:r>
        <w:rPr>
          <w:rFonts w:ascii="宋体" w:hAnsi="宋体"/>
          <w:bCs/>
          <w:sz w:val="24"/>
          <w:highlight w:val="none"/>
        </w:rPr>
        <w:t>36.1</w:t>
      </w:r>
      <w:r>
        <w:rPr>
          <w:rFonts w:hint="eastAsia" w:ascii="宋体" w:hAnsi="宋体"/>
          <w:bCs/>
          <w:sz w:val="24"/>
          <w:highlight w:val="none"/>
        </w:rPr>
        <w:t>投标人所报产品技术参数（或使用功能）必须满足招标人要求。</w:t>
      </w:r>
      <w:bookmarkEnd w:id="120"/>
      <w:bookmarkEnd w:id="121"/>
      <w:bookmarkEnd w:id="122"/>
    </w:p>
    <w:p>
      <w:pPr>
        <w:pStyle w:val="21"/>
        <w:snapToGrid w:val="0"/>
        <w:spacing w:line="480" w:lineRule="auto"/>
        <w:ind w:left="570" w:leftChars="0" w:firstLine="0" w:firstLineChars="0"/>
        <w:outlineLvl w:val="0"/>
        <w:rPr>
          <w:rFonts w:ascii="宋体"/>
          <w:bCs/>
          <w:sz w:val="24"/>
          <w:highlight w:val="none"/>
        </w:rPr>
      </w:pPr>
      <w:bookmarkStart w:id="123" w:name="_Toc30966"/>
      <w:bookmarkStart w:id="124" w:name="_Toc20220"/>
      <w:bookmarkStart w:id="125" w:name="_Toc9875"/>
      <w:r>
        <w:rPr>
          <w:rFonts w:ascii="宋体" w:hAnsi="宋体"/>
          <w:bCs/>
          <w:sz w:val="24"/>
          <w:highlight w:val="none"/>
        </w:rPr>
        <w:t xml:space="preserve">36.2 </w:t>
      </w:r>
      <w:r>
        <w:rPr>
          <w:rFonts w:hint="eastAsia" w:ascii="宋体" w:hAnsi="宋体"/>
          <w:bCs/>
          <w:sz w:val="24"/>
          <w:highlight w:val="none"/>
        </w:rPr>
        <w:t>招标人不保证低价中标。</w:t>
      </w:r>
      <w:bookmarkEnd w:id="123"/>
      <w:bookmarkEnd w:id="124"/>
      <w:bookmarkEnd w:id="125"/>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bookmarkStart w:id="126" w:name="_Toc21726"/>
    </w:p>
    <w:p>
      <w:pPr>
        <w:pStyle w:val="20"/>
        <w:tabs>
          <w:tab w:val="left" w:pos="0"/>
        </w:tabs>
        <w:spacing w:line="480" w:lineRule="exact"/>
        <w:ind w:left="0" w:leftChars="0" w:firstLine="0" w:firstLineChars="0"/>
        <w:jc w:val="center"/>
        <w:rPr>
          <w:rFonts w:ascii="宋体"/>
          <w:b/>
          <w:sz w:val="36"/>
          <w:highlight w:val="none"/>
        </w:rPr>
      </w:pPr>
      <w:r>
        <w:rPr>
          <w:rFonts w:hint="eastAsia" w:ascii="宋体" w:hAnsi="宋体"/>
          <w:b/>
          <w:sz w:val="36"/>
          <w:highlight w:val="none"/>
        </w:rPr>
        <w:t>第三部分招标要求</w:t>
      </w:r>
      <w:bookmarkEnd w:id="126"/>
    </w:p>
    <w:p>
      <w:pPr>
        <w:spacing w:line="440" w:lineRule="exact"/>
        <w:rPr>
          <w:rFonts w:ascii="宋体"/>
          <w:bCs/>
          <w:highlight w:val="none"/>
        </w:rPr>
      </w:pPr>
    </w:p>
    <w:p>
      <w:pPr>
        <w:spacing w:line="360" w:lineRule="auto"/>
        <w:rPr>
          <w:b/>
          <w:szCs w:val="28"/>
          <w:highlight w:val="none"/>
        </w:rPr>
      </w:pPr>
      <w:r>
        <w:rPr>
          <w:rFonts w:hint="eastAsia"/>
          <w:b/>
          <w:bCs/>
          <w:sz w:val="28"/>
          <w:highlight w:val="none"/>
        </w:rPr>
        <w:t>一、本项目分包情况</w:t>
      </w:r>
    </w:p>
    <w:p>
      <w:pPr>
        <w:spacing w:line="360" w:lineRule="auto"/>
        <w:ind w:firstLine="240" w:firstLineChars="100"/>
        <w:rPr>
          <w:rFonts w:hint="eastAsia"/>
          <w:sz w:val="24"/>
          <w:highlight w:val="none"/>
        </w:rPr>
      </w:pPr>
      <w:r>
        <w:rPr>
          <w:sz w:val="24"/>
          <w:highlight w:val="none"/>
        </w:rPr>
        <w:t xml:space="preserve"> </w:t>
      </w:r>
      <w:r>
        <w:rPr>
          <w:rFonts w:hint="eastAsia"/>
          <w:sz w:val="24"/>
          <w:highlight w:val="none"/>
        </w:rPr>
        <w:t xml:space="preserve"> 本次招标为山东大学第二医院</w:t>
      </w:r>
      <w:r>
        <w:rPr>
          <w:rFonts w:hint="eastAsia"/>
          <w:sz w:val="24"/>
          <w:highlight w:val="none"/>
          <w:lang w:eastAsia="zh-CN"/>
        </w:rPr>
        <w:t>输血管理系统采购项目</w:t>
      </w:r>
      <w:r>
        <w:rPr>
          <w:rFonts w:hint="eastAsia"/>
          <w:sz w:val="24"/>
          <w:highlight w:val="none"/>
        </w:rPr>
        <w:t>。投标人必须对所报设备完全响应，不得对包内设备分解后进行响应。</w:t>
      </w:r>
    </w:p>
    <w:p>
      <w:pPr>
        <w:spacing w:line="360" w:lineRule="auto"/>
        <w:ind w:firstLine="480" w:firstLineChars="200"/>
        <w:rPr>
          <w:rFonts w:hint="eastAsia" w:ascii="Times New Roman" w:hAnsi="Times New Roman" w:eastAsia="宋体" w:cs="Times New Roman"/>
          <w:sz w:val="24"/>
          <w:highlight w:val="none"/>
          <w:lang w:eastAsia="zh-CN"/>
        </w:rPr>
      </w:pPr>
      <w:r>
        <w:rPr>
          <w:rFonts w:hint="eastAsia" w:ascii="Times New Roman" w:hAnsi="Times New Roman" w:cs="Times New Roman"/>
          <w:sz w:val="24"/>
          <w:highlight w:val="none"/>
          <w:lang w:eastAsia="zh-CN"/>
        </w:rPr>
        <w:t>工期：</w:t>
      </w:r>
      <w:r>
        <w:rPr>
          <w:rFonts w:hint="eastAsia" w:ascii="Times New Roman" w:hAnsi="Times New Roman" w:cs="Times New Roman"/>
          <w:sz w:val="24"/>
          <w:highlight w:val="none"/>
        </w:rPr>
        <w:t>3个月</w:t>
      </w:r>
      <w:r>
        <w:rPr>
          <w:rFonts w:hint="eastAsia" w:cs="Times New Roman"/>
          <w:sz w:val="24"/>
          <w:highlight w:val="none"/>
          <w:lang w:eastAsia="zh-CN"/>
        </w:rPr>
        <w:t>，可竞报</w:t>
      </w:r>
    </w:p>
    <w:p>
      <w:pPr>
        <w:spacing w:line="360" w:lineRule="auto"/>
        <w:ind w:firstLine="480" w:firstLineChars="200"/>
        <w:rPr>
          <w:rFonts w:hint="eastAsia" w:ascii="Times New Roman" w:hAnsi="Times New Roman" w:eastAsia="宋体" w:cs="Times New Roman"/>
          <w:sz w:val="24"/>
          <w:highlight w:val="none"/>
          <w:lang w:eastAsia="zh-CN"/>
        </w:rPr>
      </w:pPr>
      <w:r>
        <w:rPr>
          <w:rFonts w:hint="eastAsia" w:cs="Times New Roman"/>
          <w:sz w:val="24"/>
          <w:highlight w:val="none"/>
          <w:lang w:eastAsia="zh-CN"/>
        </w:rPr>
        <w:t>维保</w:t>
      </w:r>
      <w:r>
        <w:rPr>
          <w:rFonts w:hint="eastAsia" w:ascii="Times New Roman" w:hAnsi="Times New Roman" w:eastAsia="宋体" w:cs="Times New Roman"/>
          <w:sz w:val="24"/>
          <w:highlight w:val="none"/>
        </w:rPr>
        <w:t>期</w:t>
      </w:r>
      <w:r>
        <w:rPr>
          <w:rFonts w:hint="eastAsia" w:ascii="Times New Roman" w:hAnsi="Times New Roman" w:eastAsia="宋体" w:cs="Times New Roman"/>
          <w:sz w:val="24"/>
          <w:highlight w:val="none"/>
          <w:lang w:eastAsia="zh-CN"/>
        </w:rPr>
        <w:t>：免费维保期3年</w:t>
      </w:r>
      <w:r>
        <w:rPr>
          <w:rFonts w:hint="eastAsia" w:cs="Times New Roman"/>
          <w:sz w:val="24"/>
          <w:highlight w:val="none"/>
          <w:lang w:eastAsia="zh-CN"/>
        </w:rPr>
        <w:t>，可竞报</w:t>
      </w:r>
      <w:r>
        <w:rPr>
          <w:rFonts w:hint="eastAsia" w:ascii="Times New Roman" w:hAnsi="Times New Roman" w:eastAsia="宋体" w:cs="Times New Roman"/>
          <w:sz w:val="24"/>
          <w:highlight w:val="none"/>
          <w:lang w:eastAsia="zh-CN"/>
        </w:rPr>
        <w:t>。</w:t>
      </w:r>
    </w:p>
    <w:p>
      <w:pPr>
        <w:pStyle w:val="5"/>
        <w:numPr>
          <w:ilvl w:val="0"/>
          <w:numId w:val="5"/>
        </w:numPr>
        <w:spacing w:line="480" w:lineRule="exact"/>
        <w:rPr>
          <w:color w:val="000000"/>
          <w:sz w:val="28"/>
          <w:szCs w:val="28"/>
          <w:highlight w:val="none"/>
        </w:rPr>
      </w:pPr>
      <w:bookmarkStart w:id="127" w:name="_Toc2031"/>
      <w:r>
        <w:rPr>
          <w:rFonts w:hint="eastAsia"/>
          <w:color w:val="000000"/>
          <w:sz w:val="28"/>
          <w:szCs w:val="28"/>
          <w:highlight w:val="none"/>
        </w:rPr>
        <w:t xml:space="preserve">技术参数 </w:t>
      </w:r>
    </w:p>
    <w:p>
      <w:pPr>
        <w:pStyle w:val="5"/>
        <w:keepNext/>
        <w:keepLines/>
        <w:widowControl w:val="0"/>
        <w:numPr>
          <w:ilvl w:val="0"/>
          <w:numId w:val="0"/>
        </w:numPr>
        <w:spacing w:before="156" w:beforeLines="50" w:after="156" w:afterLines="50" w:line="360" w:lineRule="auto"/>
        <w:jc w:val="both"/>
        <w:rPr>
          <w:rFonts w:ascii="Times New Roman" w:hAnsi="Times New Roman" w:eastAsia="宋体" w:cs="Times New Roman"/>
          <w:bCs w:val="0"/>
          <w:kern w:val="2"/>
          <w:sz w:val="28"/>
          <w:szCs w:val="20"/>
          <w:lang w:eastAsia="zh-CN" w:bidi="ar-SA"/>
        </w:rPr>
      </w:pPr>
      <w:r>
        <w:rPr>
          <w:rFonts w:hint="eastAsia" w:ascii="Times New Roman" w:hAnsi="Times New Roman" w:eastAsia="宋体" w:cs="Times New Roman"/>
          <w:bCs w:val="0"/>
          <w:kern w:val="2"/>
          <w:sz w:val="28"/>
          <w:szCs w:val="20"/>
          <w:lang w:eastAsia="zh-CN" w:bidi="ar-SA"/>
        </w:rPr>
        <w:t>1.需求模块清单</w:t>
      </w:r>
    </w:p>
    <w:p>
      <w:pPr>
        <w:spacing w:line="360" w:lineRule="auto"/>
        <w:ind w:firstLine="480"/>
        <w:rPr>
          <w:rFonts w:ascii="宋体" w:hAnsi="宋体"/>
          <w:sz w:val="24"/>
          <w:lang w:eastAsia="zh-CN"/>
        </w:rPr>
      </w:pPr>
      <w:r>
        <w:rPr>
          <w:rFonts w:hint="eastAsia" w:ascii="宋体" w:hAnsi="宋体"/>
          <w:sz w:val="24"/>
          <w:lang w:eastAsia="zh-CN"/>
        </w:rPr>
        <w:t>本次招标内容为</w:t>
      </w:r>
      <w:bookmarkStart w:id="128" w:name="_Toc531851344"/>
      <w:r>
        <w:rPr>
          <w:rFonts w:ascii="宋体" w:hAnsi="宋体"/>
          <w:sz w:val="24"/>
          <w:lang w:eastAsia="zh-CN"/>
        </w:rPr>
        <w:t>输血管理系统</w:t>
      </w:r>
      <w:bookmarkEnd w:id="128"/>
      <w:r>
        <w:rPr>
          <w:rFonts w:hint="eastAsia" w:ascii="宋体" w:hAnsi="宋体"/>
          <w:sz w:val="24"/>
          <w:lang w:eastAsia="zh-CN"/>
        </w:rPr>
        <w:t>项目，包括输血科管理、急诊输血管理、病房医师与护士管理的供货、安装调试、软硬件集成、软件开发、技术支持、运行维护、项目验收、技术培训及售后服务等。</w:t>
      </w:r>
    </w:p>
    <w:tbl>
      <w:tblPr>
        <w:tblStyle w:val="49"/>
        <w:tblW w:w="9270"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3747"/>
        <w:gridCol w:w="1526"/>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3" w:type="dxa"/>
            <w:vAlign w:val="center"/>
          </w:tcPr>
          <w:p>
            <w:pPr>
              <w:pStyle w:val="133"/>
              <w:jc w:val="center"/>
              <w:rPr>
                <w:b/>
                <w:kern w:val="2"/>
              </w:rPr>
            </w:pPr>
            <w:r>
              <w:rPr>
                <w:rFonts w:hint="eastAsia"/>
                <w:b/>
                <w:kern w:val="2"/>
              </w:rPr>
              <w:t>序号</w:t>
            </w:r>
          </w:p>
        </w:tc>
        <w:tc>
          <w:tcPr>
            <w:tcW w:w="3747" w:type="dxa"/>
            <w:vAlign w:val="center"/>
          </w:tcPr>
          <w:p>
            <w:pPr>
              <w:pStyle w:val="133"/>
              <w:jc w:val="center"/>
              <w:rPr>
                <w:b/>
                <w:kern w:val="2"/>
              </w:rPr>
            </w:pPr>
            <w:r>
              <w:rPr>
                <w:rFonts w:hint="eastAsia"/>
                <w:b/>
                <w:kern w:val="2"/>
              </w:rPr>
              <w:t>模块名称</w:t>
            </w:r>
          </w:p>
        </w:tc>
        <w:tc>
          <w:tcPr>
            <w:tcW w:w="1526" w:type="dxa"/>
            <w:vAlign w:val="center"/>
          </w:tcPr>
          <w:p>
            <w:pPr>
              <w:pStyle w:val="133"/>
              <w:jc w:val="center"/>
              <w:rPr>
                <w:b/>
                <w:kern w:val="2"/>
              </w:rPr>
            </w:pPr>
            <w:r>
              <w:rPr>
                <w:rFonts w:hint="eastAsia"/>
                <w:b/>
                <w:kern w:val="2"/>
              </w:rPr>
              <w:t>数量</w:t>
            </w:r>
          </w:p>
        </w:tc>
        <w:tc>
          <w:tcPr>
            <w:tcW w:w="2804" w:type="dxa"/>
            <w:vAlign w:val="center"/>
          </w:tcPr>
          <w:p>
            <w:pPr>
              <w:pStyle w:val="133"/>
              <w:jc w:val="center"/>
              <w:rPr>
                <w:b/>
                <w:kern w:val="2"/>
              </w:rPr>
            </w:pPr>
            <w:r>
              <w:rPr>
                <w:rFonts w:hint="eastAsia"/>
                <w:b/>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3" w:type="dxa"/>
            <w:vAlign w:val="center"/>
          </w:tcPr>
          <w:p>
            <w:pPr>
              <w:pStyle w:val="133"/>
              <w:jc w:val="center"/>
              <w:rPr>
                <w:rFonts w:asciiTheme="majorEastAsia" w:hAnsiTheme="majorEastAsia" w:eastAsiaTheme="majorEastAsia"/>
                <w:lang w:eastAsia="zh-CN"/>
              </w:rPr>
            </w:pPr>
            <w:r>
              <w:rPr>
                <w:rFonts w:asciiTheme="majorEastAsia" w:hAnsiTheme="majorEastAsia" w:eastAsiaTheme="majorEastAsia"/>
                <w:lang w:eastAsia="zh-CN"/>
              </w:rPr>
              <w:t>1</w:t>
            </w:r>
          </w:p>
        </w:tc>
        <w:tc>
          <w:tcPr>
            <w:tcW w:w="3747"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产品概要</w:t>
            </w:r>
          </w:p>
        </w:tc>
        <w:tc>
          <w:tcPr>
            <w:tcW w:w="1526" w:type="dxa"/>
            <w:vAlign w:val="center"/>
          </w:tcPr>
          <w:p>
            <w:pPr>
              <w:pStyle w:val="133"/>
              <w:jc w:val="center"/>
              <w:rPr>
                <w:rFonts w:asciiTheme="majorEastAsia" w:hAnsiTheme="majorEastAsia" w:eastAsiaTheme="majorEastAsia"/>
                <w:lang w:eastAsia="zh-CN"/>
              </w:rPr>
            </w:pPr>
            <w:r>
              <w:rPr>
                <w:rFonts w:asciiTheme="majorEastAsia" w:hAnsiTheme="majorEastAsia" w:eastAsiaTheme="majorEastAsia"/>
                <w:lang w:eastAsia="zh-CN"/>
              </w:rPr>
              <w:t>1</w:t>
            </w:r>
          </w:p>
        </w:tc>
        <w:tc>
          <w:tcPr>
            <w:tcW w:w="2804" w:type="dxa"/>
            <w:vAlign w:val="center"/>
          </w:tcPr>
          <w:p>
            <w:pPr>
              <w:pStyle w:val="133"/>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3"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2</w:t>
            </w:r>
          </w:p>
        </w:tc>
        <w:tc>
          <w:tcPr>
            <w:tcW w:w="3747" w:type="dxa"/>
            <w:vAlign w:val="center"/>
          </w:tcPr>
          <w:p>
            <w:pPr>
              <w:pStyle w:val="133"/>
              <w:jc w:val="center"/>
              <w:rPr>
                <w:rFonts w:asciiTheme="majorEastAsia" w:hAnsiTheme="majorEastAsia" w:eastAsiaTheme="majorEastAsia"/>
                <w:lang w:eastAsia="zh-CN"/>
              </w:rPr>
            </w:pPr>
            <w:r>
              <w:rPr>
                <w:rFonts w:hint="eastAsia"/>
                <w:lang w:eastAsia="zh-CN"/>
              </w:rPr>
              <w:t>血液入库</w:t>
            </w:r>
          </w:p>
        </w:tc>
        <w:tc>
          <w:tcPr>
            <w:tcW w:w="1526"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p>
        </w:tc>
        <w:tc>
          <w:tcPr>
            <w:tcW w:w="2804" w:type="dxa"/>
            <w:vAlign w:val="center"/>
          </w:tcPr>
          <w:p>
            <w:pPr>
              <w:pStyle w:val="133"/>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3"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3</w:t>
            </w:r>
          </w:p>
        </w:tc>
        <w:tc>
          <w:tcPr>
            <w:tcW w:w="3747" w:type="dxa"/>
            <w:vAlign w:val="center"/>
          </w:tcPr>
          <w:p>
            <w:pPr>
              <w:pStyle w:val="133"/>
              <w:jc w:val="center"/>
              <w:rPr>
                <w:rFonts w:asciiTheme="majorEastAsia" w:hAnsiTheme="majorEastAsia" w:eastAsiaTheme="majorEastAsia"/>
                <w:lang w:eastAsia="zh-CN"/>
              </w:rPr>
            </w:pPr>
            <w:r>
              <w:rPr>
                <w:rFonts w:hint="eastAsia"/>
              </w:rPr>
              <w:t>输血申请</w:t>
            </w:r>
          </w:p>
        </w:tc>
        <w:tc>
          <w:tcPr>
            <w:tcW w:w="1526"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p>
        </w:tc>
        <w:tc>
          <w:tcPr>
            <w:tcW w:w="2804" w:type="dxa"/>
            <w:vAlign w:val="center"/>
          </w:tcPr>
          <w:p>
            <w:pPr>
              <w:pStyle w:val="133"/>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3"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4</w:t>
            </w:r>
          </w:p>
        </w:tc>
        <w:tc>
          <w:tcPr>
            <w:tcW w:w="3747" w:type="dxa"/>
            <w:vAlign w:val="center"/>
          </w:tcPr>
          <w:p>
            <w:pPr>
              <w:pStyle w:val="133"/>
              <w:jc w:val="center"/>
              <w:rPr>
                <w:rFonts w:asciiTheme="majorEastAsia" w:hAnsiTheme="majorEastAsia" w:eastAsiaTheme="majorEastAsia"/>
                <w:lang w:eastAsia="zh-CN"/>
              </w:rPr>
            </w:pPr>
            <w:r>
              <w:rPr>
                <w:rFonts w:hint="eastAsia"/>
              </w:rPr>
              <w:t>输血审核</w:t>
            </w:r>
          </w:p>
        </w:tc>
        <w:tc>
          <w:tcPr>
            <w:tcW w:w="1526"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p>
        </w:tc>
        <w:tc>
          <w:tcPr>
            <w:tcW w:w="2804" w:type="dxa"/>
            <w:vAlign w:val="center"/>
          </w:tcPr>
          <w:p>
            <w:pPr>
              <w:pStyle w:val="133"/>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3"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5</w:t>
            </w:r>
          </w:p>
        </w:tc>
        <w:tc>
          <w:tcPr>
            <w:tcW w:w="3747" w:type="dxa"/>
            <w:vAlign w:val="center"/>
          </w:tcPr>
          <w:p>
            <w:pPr>
              <w:pStyle w:val="133"/>
              <w:jc w:val="center"/>
              <w:rPr>
                <w:rFonts w:asciiTheme="majorEastAsia" w:hAnsiTheme="majorEastAsia" w:eastAsiaTheme="majorEastAsia"/>
                <w:lang w:eastAsia="zh-CN"/>
              </w:rPr>
            </w:pPr>
            <w:r>
              <w:rPr>
                <w:rFonts w:hint="eastAsia"/>
              </w:rPr>
              <w:t>配血管理</w:t>
            </w:r>
          </w:p>
        </w:tc>
        <w:tc>
          <w:tcPr>
            <w:tcW w:w="1526"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p>
        </w:tc>
        <w:tc>
          <w:tcPr>
            <w:tcW w:w="2804" w:type="dxa"/>
            <w:vAlign w:val="center"/>
          </w:tcPr>
          <w:p>
            <w:pPr>
              <w:pStyle w:val="133"/>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3"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6</w:t>
            </w:r>
          </w:p>
        </w:tc>
        <w:tc>
          <w:tcPr>
            <w:tcW w:w="3747" w:type="dxa"/>
            <w:vAlign w:val="center"/>
          </w:tcPr>
          <w:p>
            <w:pPr>
              <w:pStyle w:val="133"/>
              <w:jc w:val="center"/>
              <w:rPr>
                <w:rFonts w:asciiTheme="majorEastAsia" w:hAnsiTheme="majorEastAsia" w:eastAsiaTheme="majorEastAsia"/>
                <w:lang w:eastAsia="zh-CN"/>
              </w:rPr>
            </w:pPr>
            <w:r>
              <w:rPr>
                <w:rFonts w:hint="eastAsia"/>
              </w:rPr>
              <w:t>发血管理</w:t>
            </w:r>
          </w:p>
        </w:tc>
        <w:tc>
          <w:tcPr>
            <w:tcW w:w="1526"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p>
        </w:tc>
        <w:tc>
          <w:tcPr>
            <w:tcW w:w="2804" w:type="dxa"/>
            <w:vAlign w:val="center"/>
          </w:tcPr>
          <w:p>
            <w:pPr>
              <w:pStyle w:val="133"/>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3"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7</w:t>
            </w:r>
          </w:p>
        </w:tc>
        <w:tc>
          <w:tcPr>
            <w:tcW w:w="3747" w:type="dxa"/>
            <w:vAlign w:val="center"/>
          </w:tcPr>
          <w:p>
            <w:pPr>
              <w:pStyle w:val="133"/>
              <w:jc w:val="center"/>
              <w:rPr>
                <w:rFonts w:asciiTheme="majorEastAsia" w:hAnsiTheme="majorEastAsia" w:eastAsiaTheme="majorEastAsia"/>
                <w:lang w:eastAsia="zh-CN"/>
              </w:rPr>
            </w:pPr>
            <w:r>
              <w:rPr>
                <w:rFonts w:hint="eastAsia"/>
              </w:rPr>
              <w:t>自体血</w:t>
            </w:r>
          </w:p>
        </w:tc>
        <w:tc>
          <w:tcPr>
            <w:tcW w:w="1526"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p>
        </w:tc>
        <w:tc>
          <w:tcPr>
            <w:tcW w:w="2804" w:type="dxa"/>
            <w:vAlign w:val="center"/>
          </w:tcPr>
          <w:p>
            <w:pPr>
              <w:pStyle w:val="133"/>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3"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8</w:t>
            </w:r>
          </w:p>
        </w:tc>
        <w:tc>
          <w:tcPr>
            <w:tcW w:w="3747" w:type="dxa"/>
            <w:vAlign w:val="center"/>
          </w:tcPr>
          <w:p>
            <w:pPr>
              <w:pStyle w:val="133"/>
              <w:jc w:val="center"/>
              <w:rPr>
                <w:rFonts w:asciiTheme="majorEastAsia" w:hAnsiTheme="majorEastAsia" w:eastAsiaTheme="majorEastAsia"/>
                <w:lang w:eastAsia="zh-CN"/>
              </w:rPr>
            </w:pPr>
            <w:r>
              <w:rPr>
                <w:rFonts w:hint="eastAsia"/>
              </w:rPr>
              <w:t>库存管理</w:t>
            </w:r>
          </w:p>
        </w:tc>
        <w:tc>
          <w:tcPr>
            <w:tcW w:w="1526"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p>
        </w:tc>
        <w:tc>
          <w:tcPr>
            <w:tcW w:w="2804" w:type="dxa"/>
            <w:vAlign w:val="center"/>
          </w:tcPr>
          <w:p>
            <w:pPr>
              <w:pStyle w:val="133"/>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3"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9</w:t>
            </w:r>
          </w:p>
        </w:tc>
        <w:tc>
          <w:tcPr>
            <w:tcW w:w="3747" w:type="dxa"/>
            <w:vAlign w:val="center"/>
          </w:tcPr>
          <w:p>
            <w:pPr>
              <w:pStyle w:val="133"/>
              <w:jc w:val="center"/>
              <w:rPr>
                <w:rFonts w:asciiTheme="majorEastAsia" w:hAnsiTheme="majorEastAsia" w:eastAsiaTheme="majorEastAsia"/>
                <w:lang w:eastAsia="zh-CN"/>
              </w:rPr>
            </w:pPr>
            <w:r>
              <w:rPr>
                <w:rFonts w:hint="eastAsia"/>
              </w:rPr>
              <w:t>输注评价</w:t>
            </w:r>
          </w:p>
        </w:tc>
        <w:tc>
          <w:tcPr>
            <w:tcW w:w="1526"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p>
        </w:tc>
        <w:tc>
          <w:tcPr>
            <w:tcW w:w="2804" w:type="dxa"/>
            <w:vAlign w:val="center"/>
          </w:tcPr>
          <w:p>
            <w:pPr>
              <w:pStyle w:val="133"/>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3"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r>
              <w:rPr>
                <w:rFonts w:asciiTheme="majorEastAsia" w:hAnsiTheme="majorEastAsia" w:eastAsiaTheme="majorEastAsia"/>
                <w:lang w:eastAsia="zh-CN"/>
              </w:rPr>
              <w:t>0</w:t>
            </w:r>
          </w:p>
        </w:tc>
        <w:tc>
          <w:tcPr>
            <w:tcW w:w="3747" w:type="dxa"/>
            <w:vAlign w:val="center"/>
          </w:tcPr>
          <w:p>
            <w:pPr>
              <w:pStyle w:val="133"/>
              <w:jc w:val="center"/>
              <w:rPr>
                <w:rFonts w:asciiTheme="majorEastAsia" w:hAnsiTheme="majorEastAsia" w:eastAsiaTheme="majorEastAsia"/>
                <w:lang w:eastAsia="zh-CN"/>
              </w:rPr>
            </w:pPr>
            <w:r>
              <w:rPr>
                <w:rFonts w:hint="eastAsia"/>
              </w:rPr>
              <w:t>费用管理</w:t>
            </w:r>
          </w:p>
        </w:tc>
        <w:tc>
          <w:tcPr>
            <w:tcW w:w="1526"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p>
        </w:tc>
        <w:tc>
          <w:tcPr>
            <w:tcW w:w="2804" w:type="dxa"/>
            <w:vAlign w:val="center"/>
          </w:tcPr>
          <w:p>
            <w:pPr>
              <w:pStyle w:val="133"/>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3"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r>
              <w:rPr>
                <w:rFonts w:asciiTheme="majorEastAsia" w:hAnsiTheme="majorEastAsia" w:eastAsiaTheme="majorEastAsia"/>
                <w:lang w:eastAsia="zh-CN"/>
              </w:rPr>
              <w:t>1</w:t>
            </w:r>
          </w:p>
        </w:tc>
        <w:tc>
          <w:tcPr>
            <w:tcW w:w="3747" w:type="dxa"/>
            <w:vAlign w:val="center"/>
          </w:tcPr>
          <w:p>
            <w:pPr>
              <w:pStyle w:val="133"/>
              <w:jc w:val="center"/>
              <w:rPr>
                <w:rFonts w:asciiTheme="majorEastAsia" w:hAnsiTheme="majorEastAsia" w:eastAsiaTheme="majorEastAsia"/>
                <w:lang w:eastAsia="zh-CN"/>
              </w:rPr>
            </w:pPr>
            <w:r>
              <w:rPr>
                <w:rFonts w:hint="eastAsia"/>
                <w:lang w:eastAsia="zh-CN"/>
              </w:rPr>
              <w:t>护士站</w:t>
            </w:r>
          </w:p>
        </w:tc>
        <w:tc>
          <w:tcPr>
            <w:tcW w:w="1526"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p>
        </w:tc>
        <w:tc>
          <w:tcPr>
            <w:tcW w:w="2804" w:type="dxa"/>
            <w:vAlign w:val="center"/>
          </w:tcPr>
          <w:p>
            <w:pPr>
              <w:pStyle w:val="133"/>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3"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r>
              <w:rPr>
                <w:rFonts w:asciiTheme="majorEastAsia" w:hAnsiTheme="majorEastAsia" w:eastAsiaTheme="majorEastAsia"/>
                <w:lang w:eastAsia="zh-CN"/>
              </w:rPr>
              <w:t>2</w:t>
            </w:r>
          </w:p>
        </w:tc>
        <w:tc>
          <w:tcPr>
            <w:tcW w:w="3747" w:type="dxa"/>
            <w:vAlign w:val="center"/>
          </w:tcPr>
          <w:p>
            <w:pPr>
              <w:pStyle w:val="133"/>
              <w:jc w:val="center"/>
              <w:rPr>
                <w:rFonts w:asciiTheme="majorEastAsia" w:hAnsiTheme="majorEastAsia" w:eastAsiaTheme="majorEastAsia"/>
                <w:lang w:eastAsia="zh-CN"/>
              </w:rPr>
            </w:pPr>
            <w:r>
              <w:rPr>
                <w:rFonts w:hint="eastAsia"/>
              </w:rPr>
              <w:t>量化评分</w:t>
            </w:r>
          </w:p>
        </w:tc>
        <w:tc>
          <w:tcPr>
            <w:tcW w:w="1526"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p>
        </w:tc>
        <w:tc>
          <w:tcPr>
            <w:tcW w:w="2804" w:type="dxa"/>
            <w:vAlign w:val="center"/>
          </w:tcPr>
          <w:p>
            <w:pPr>
              <w:pStyle w:val="133"/>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3"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r>
              <w:rPr>
                <w:rFonts w:asciiTheme="majorEastAsia" w:hAnsiTheme="majorEastAsia" w:eastAsiaTheme="majorEastAsia"/>
                <w:lang w:eastAsia="zh-CN"/>
              </w:rPr>
              <w:t>3</w:t>
            </w:r>
          </w:p>
        </w:tc>
        <w:tc>
          <w:tcPr>
            <w:tcW w:w="3747" w:type="dxa"/>
            <w:vAlign w:val="center"/>
          </w:tcPr>
          <w:p>
            <w:pPr>
              <w:pStyle w:val="133"/>
              <w:jc w:val="center"/>
              <w:rPr>
                <w:rFonts w:asciiTheme="majorEastAsia" w:hAnsiTheme="majorEastAsia" w:eastAsiaTheme="majorEastAsia"/>
                <w:lang w:eastAsia="zh-CN"/>
              </w:rPr>
            </w:pPr>
            <w:r>
              <w:rPr>
                <w:rFonts w:hint="eastAsia"/>
              </w:rPr>
              <w:t>统计报表</w:t>
            </w:r>
          </w:p>
        </w:tc>
        <w:tc>
          <w:tcPr>
            <w:tcW w:w="1526"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p>
        </w:tc>
        <w:tc>
          <w:tcPr>
            <w:tcW w:w="2804" w:type="dxa"/>
            <w:vAlign w:val="center"/>
          </w:tcPr>
          <w:p>
            <w:pPr>
              <w:pStyle w:val="133"/>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3"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r>
              <w:rPr>
                <w:rFonts w:asciiTheme="majorEastAsia" w:hAnsiTheme="majorEastAsia" w:eastAsiaTheme="majorEastAsia"/>
                <w:lang w:eastAsia="zh-CN"/>
              </w:rPr>
              <w:t>4</w:t>
            </w:r>
          </w:p>
        </w:tc>
        <w:tc>
          <w:tcPr>
            <w:tcW w:w="3747" w:type="dxa"/>
            <w:vAlign w:val="center"/>
          </w:tcPr>
          <w:p>
            <w:pPr>
              <w:pStyle w:val="133"/>
              <w:jc w:val="center"/>
              <w:rPr>
                <w:rFonts w:asciiTheme="majorEastAsia" w:hAnsiTheme="majorEastAsia" w:eastAsiaTheme="majorEastAsia"/>
                <w:lang w:eastAsia="zh-CN"/>
              </w:rPr>
            </w:pPr>
            <w:r>
              <w:rPr>
                <w:rFonts w:hint="eastAsia"/>
                <w:lang w:eastAsia="zh-CN"/>
              </w:rPr>
              <w:t>用户权限</w:t>
            </w:r>
            <w:r>
              <w:rPr>
                <w:rFonts w:hint="eastAsia"/>
              </w:rPr>
              <w:t>管理</w:t>
            </w:r>
          </w:p>
        </w:tc>
        <w:tc>
          <w:tcPr>
            <w:tcW w:w="1526"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p>
        </w:tc>
        <w:tc>
          <w:tcPr>
            <w:tcW w:w="2804" w:type="dxa"/>
            <w:vAlign w:val="center"/>
          </w:tcPr>
          <w:p>
            <w:pPr>
              <w:pStyle w:val="133"/>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3"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r>
              <w:rPr>
                <w:rFonts w:asciiTheme="majorEastAsia" w:hAnsiTheme="majorEastAsia" w:eastAsiaTheme="majorEastAsia"/>
                <w:lang w:eastAsia="zh-CN"/>
              </w:rPr>
              <w:t>5</w:t>
            </w:r>
          </w:p>
        </w:tc>
        <w:tc>
          <w:tcPr>
            <w:tcW w:w="3747" w:type="dxa"/>
            <w:vAlign w:val="center"/>
          </w:tcPr>
          <w:p>
            <w:pPr>
              <w:pStyle w:val="133"/>
              <w:jc w:val="center"/>
              <w:rPr>
                <w:rFonts w:asciiTheme="majorEastAsia" w:hAnsiTheme="majorEastAsia" w:eastAsiaTheme="majorEastAsia"/>
                <w:lang w:eastAsia="zh-CN"/>
              </w:rPr>
            </w:pPr>
            <w:r>
              <w:rPr>
                <w:rFonts w:hint="eastAsia"/>
              </w:rPr>
              <w:t>智能评估</w:t>
            </w:r>
          </w:p>
        </w:tc>
        <w:tc>
          <w:tcPr>
            <w:tcW w:w="1526"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p>
        </w:tc>
        <w:tc>
          <w:tcPr>
            <w:tcW w:w="2804" w:type="dxa"/>
            <w:vAlign w:val="center"/>
          </w:tcPr>
          <w:p>
            <w:pPr>
              <w:pStyle w:val="133"/>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3"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r>
              <w:rPr>
                <w:rFonts w:asciiTheme="majorEastAsia" w:hAnsiTheme="majorEastAsia" w:eastAsiaTheme="majorEastAsia"/>
                <w:lang w:eastAsia="zh-CN"/>
              </w:rPr>
              <w:t>6</w:t>
            </w:r>
          </w:p>
        </w:tc>
        <w:tc>
          <w:tcPr>
            <w:tcW w:w="3747" w:type="dxa"/>
            <w:vAlign w:val="center"/>
          </w:tcPr>
          <w:p>
            <w:pPr>
              <w:pStyle w:val="133"/>
              <w:jc w:val="center"/>
              <w:rPr>
                <w:rFonts w:asciiTheme="majorEastAsia" w:hAnsiTheme="majorEastAsia" w:eastAsiaTheme="majorEastAsia"/>
                <w:lang w:eastAsia="zh-CN"/>
              </w:rPr>
            </w:pPr>
            <w:r>
              <w:rPr>
                <w:rFonts w:hint="eastAsia"/>
              </w:rPr>
              <w:t>回收管理</w:t>
            </w:r>
          </w:p>
        </w:tc>
        <w:tc>
          <w:tcPr>
            <w:tcW w:w="1526"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p>
        </w:tc>
        <w:tc>
          <w:tcPr>
            <w:tcW w:w="2804" w:type="dxa"/>
            <w:vAlign w:val="center"/>
          </w:tcPr>
          <w:p>
            <w:pPr>
              <w:pStyle w:val="133"/>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3"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r>
              <w:rPr>
                <w:rFonts w:asciiTheme="majorEastAsia" w:hAnsiTheme="majorEastAsia" w:eastAsiaTheme="majorEastAsia"/>
                <w:lang w:eastAsia="zh-CN"/>
              </w:rPr>
              <w:t>7</w:t>
            </w:r>
          </w:p>
        </w:tc>
        <w:tc>
          <w:tcPr>
            <w:tcW w:w="3747" w:type="dxa"/>
            <w:vAlign w:val="center"/>
          </w:tcPr>
          <w:p>
            <w:pPr>
              <w:pStyle w:val="133"/>
              <w:jc w:val="center"/>
              <w:rPr>
                <w:rFonts w:asciiTheme="majorEastAsia" w:hAnsiTheme="majorEastAsia" w:eastAsiaTheme="majorEastAsia"/>
                <w:lang w:eastAsia="zh-CN"/>
              </w:rPr>
            </w:pPr>
            <w:r>
              <w:rPr>
                <w:rFonts w:hint="eastAsia"/>
                <w:lang w:eastAsia="zh-CN"/>
              </w:rPr>
              <w:t>质控管理</w:t>
            </w:r>
          </w:p>
        </w:tc>
        <w:tc>
          <w:tcPr>
            <w:tcW w:w="1526"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p>
        </w:tc>
        <w:tc>
          <w:tcPr>
            <w:tcW w:w="2804" w:type="dxa"/>
            <w:vAlign w:val="center"/>
          </w:tcPr>
          <w:p>
            <w:pPr>
              <w:pStyle w:val="133"/>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3"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r>
              <w:rPr>
                <w:rFonts w:asciiTheme="majorEastAsia" w:hAnsiTheme="majorEastAsia" w:eastAsiaTheme="majorEastAsia"/>
                <w:lang w:eastAsia="zh-CN"/>
              </w:rPr>
              <w:t>8</w:t>
            </w:r>
          </w:p>
        </w:tc>
        <w:tc>
          <w:tcPr>
            <w:tcW w:w="3747" w:type="dxa"/>
            <w:vAlign w:val="center"/>
          </w:tcPr>
          <w:p>
            <w:pPr>
              <w:pStyle w:val="133"/>
              <w:jc w:val="center"/>
              <w:rPr>
                <w:rFonts w:asciiTheme="majorEastAsia" w:hAnsiTheme="majorEastAsia" w:eastAsiaTheme="majorEastAsia"/>
                <w:lang w:eastAsia="zh-CN"/>
              </w:rPr>
            </w:pPr>
            <w:r>
              <w:rPr>
                <w:rFonts w:hint="eastAsia"/>
              </w:rPr>
              <w:t>系统接口</w:t>
            </w:r>
          </w:p>
        </w:tc>
        <w:tc>
          <w:tcPr>
            <w:tcW w:w="1526"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p>
        </w:tc>
        <w:tc>
          <w:tcPr>
            <w:tcW w:w="2804" w:type="dxa"/>
            <w:vAlign w:val="center"/>
          </w:tcPr>
          <w:p>
            <w:pPr>
              <w:pStyle w:val="133"/>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93"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r>
              <w:rPr>
                <w:rFonts w:asciiTheme="majorEastAsia" w:hAnsiTheme="majorEastAsia" w:eastAsiaTheme="majorEastAsia"/>
                <w:lang w:eastAsia="zh-CN"/>
              </w:rPr>
              <w:t>9</w:t>
            </w:r>
          </w:p>
        </w:tc>
        <w:tc>
          <w:tcPr>
            <w:tcW w:w="3747" w:type="dxa"/>
            <w:vAlign w:val="center"/>
          </w:tcPr>
          <w:p>
            <w:pPr>
              <w:pStyle w:val="133"/>
              <w:jc w:val="center"/>
              <w:rPr>
                <w:rFonts w:asciiTheme="majorEastAsia" w:hAnsiTheme="majorEastAsia" w:eastAsiaTheme="majorEastAsia"/>
                <w:lang w:eastAsia="zh-CN"/>
              </w:rPr>
            </w:pPr>
            <w:r>
              <w:rPr>
                <w:rFonts w:hint="eastAsia"/>
                <w:lang w:eastAsia="zh-CN"/>
              </w:rPr>
              <w:t>其他</w:t>
            </w:r>
          </w:p>
        </w:tc>
        <w:tc>
          <w:tcPr>
            <w:tcW w:w="1526" w:type="dxa"/>
            <w:vAlign w:val="center"/>
          </w:tcPr>
          <w:p>
            <w:pPr>
              <w:pStyle w:val="133"/>
              <w:jc w:val="center"/>
              <w:rPr>
                <w:rFonts w:asciiTheme="majorEastAsia" w:hAnsiTheme="majorEastAsia" w:eastAsiaTheme="majorEastAsia"/>
                <w:lang w:eastAsia="zh-CN"/>
              </w:rPr>
            </w:pPr>
            <w:r>
              <w:rPr>
                <w:rFonts w:hint="eastAsia" w:asciiTheme="majorEastAsia" w:hAnsiTheme="majorEastAsia" w:eastAsiaTheme="majorEastAsia"/>
                <w:lang w:eastAsia="zh-CN"/>
              </w:rPr>
              <w:t>1</w:t>
            </w:r>
          </w:p>
        </w:tc>
        <w:tc>
          <w:tcPr>
            <w:tcW w:w="2804" w:type="dxa"/>
            <w:vAlign w:val="center"/>
          </w:tcPr>
          <w:p>
            <w:pPr>
              <w:pStyle w:val="133"/>
              <w:jc w:val="center"/>
              <w:rPr>
                <w:rFonts w:asciiTheme="majorEastAsia" w:hAnsiTheme="majorEastAsia" w:eastAsiaTheme="majorEastAsia"/>
                <w:lang w:eastAsia="zh-CN"/>
              </w:rPr>
            </w:pPr>
          </w:p>
        </w:tc>
      </w:tr>
    </w:tbl>
    <w:p>
      <w:pPr>
        <w:pStyle w:val="5"/>
        <w:keepNext/>
        <w:keepLines/>
        <w:widowControl w:val="0"/>
        <w:numPr>
          <w:ilvl w:val="0"/>
          <w:numId w:val="0"/>
        </w:numPr>
        <w:spacing w:before="156" w:beforeLines="50" w:after="156" w:afterLines="50" w:line="360" w:lineRule="auto"/>
        <w:jc w:val="both"/>
        <w:rPr>
          <w:rFonts w:ascii="Times New Roman" w:hAnsi="Times New Roman" w:eastAsia="宋体" w:cs="Times New Roman"/>
          <w:bCs w:val="0"/>
          <w:kern w:val="2"/>
          <w:sz w:val="28"/>
          <w:szCs w:val="20"/>
          <w:lang w:eastAsia="zh-CN" w:bidi="ar-SA"/>
        </w:rPr>
      </w:pPr>
      <w:r>
        <w:rPr>
          <w:rFonts w:ascii="Times New Roman" w:hAnsi="Times New Roman" w:eastAsia="宋体" w:cs="Times New Roman"/>
          <w:bCs w:val="0"/>
          <w:kern w:val="2"/>
          <w:sz w:val="28"/>
          <w:szCs w:val="20"/>
          <w:lang w:eastAsia="zh-CN" w:bidi="ar-SA"/>
        </w:rPr>
        <w:t>2.总体要求</w:t>
      </w:r>
    </w:p>
    <w:p>
      <w:pPr>
        <w:rPr>
          <w:rFonts w:ascii="宋体" w:hAnsi="宋体"/>
          <w:sz w:val="24"/>
          <w:lang w:eastAsia="zh-CN"/>
        </w:rPr>
      </w:pPr>
      <w:r>
        <w:rPr>
          <w:rFonts w:hint="eastAsia" w:ascii="宋体" w:hAnsi="宋体"/>
          <w:sz w:val="24"/>
          <w:lang w:eastAsia="zh-CN"/>
        </w:rPr>
        <w:t>1、系统可提升山大二院的输血科业务的信息化水平，实现闭环式管理，为电子病历评级提供有力支撑。</w:t>
      </w:r>
    </w:p>
    <w:p>
      <w:pPr>
        <w:rPr>
          <w:lang w:eastAsia="zh-CN" w:bidi="ar-SA"/>
        </w:rPr>
      </w:pPr>
      <w:r>
        <w:rPr>
          <w:rFonts w:ascii="宋体" w:hAnsi="宋体"/>
          <w:sz w:val="24"/>
          <w:lang w:eastAsia="zh-CN"/>
        </w:rPr>
        <w:t>2</w:t>
      </w:r>
      <w:r>
        <w:rPr>
          <w:rFonts w:hint="eastAsia" w:ascii="宋体" w:hAnsi="宋体"/>
          <w:sz w:val="24"/>
          <w:lang w:eastAsia="zh-CN"/>
        </w:rPr>
        <w:t>、</w:t>
      </w:r>
      <w:r>
        <w:rPr>
          <w:rFonts w:hint="eastAsia" w:ascii="宋体" w:hAnsi="宋体"/>
          <w:bCs/>
          <w:sz w:val="24"/>
          <w:lang w:eastAsia="zh-CN"/>
        </w:rPr>
        <w:t>系统须符合全省统一质控标准和规范，针对后续新的输血规范、功能模块统一更新升级</w:t>
      </w:r>
      <w:r>
        <w:rPr>
          <w:rFonts w:hint="eastAsia" w:ascii="宋体" w:hAnsi="宋体"/>
          <w:sz w:val="24"/>
          <w:lang w:eastAsia="zh-CN"/>
        </w:rPr>
        <w:t>，以满足医院输血质量控制工作要求。</w:t>
      </w:r>
    </w:p>
    <w:p>
      <w:pPr>
        <w:spacing w:line="360" w:lineRule="auto"/>
        <w:rPr>
          <w:rFonts w:ascii="宋体" w:hAnsi="宋体"/>
          <w:sz w:val="24"/>
          <w:lang w:eastAsia="zh-CN"/>
        </w:rPr>
      </w:pPr>
      <w:r>
        <w:rPr>
          <w:rFonts w:ascii="宋体" w:hAnsi="宋体"/>
          <w:sz w:val="24"/>
          <w:lang w:eastAsia="zh-CN"/>
        </w:rPr>
        <w:t>3</w:t>
      </w:r>
      <w:r>
        <w:rPr>
          <w:rFonts w:hint="eastAsia" w:ascii="宋体" w:hAnsi="宋体"/>
          <w:sz w:val="24"/>
          <w:lang w:eastAsia="zh-CN"/>
        </w:rPr>
        <w:t>、投标人须提供系统的所有数据库表结构及表字段的解释说明，并由信息中心验收通过。</w:t>
      </w:r>
    </w:p>
    <w:p>
      <w:pPr>
        <w:spacing w:line="360" w:lineRule="auto"/>
        <w:rPr>
          <w:rFonts w:ascii="宋体" w:hAnsi="宋体"/>
          <w:sz w:val="24"/>
          <w:lang w:eastAsia="zh-CN"/>
        </w:rPr>
      </w:pPr>
      <w:r>
        <w:rPr>
          <w:rFonts w:ascii="宋体" w:hAnsi="宋体"/>
          <w:sz w:val="24"/>
          <w:lang w:eastAsia="zh-CN"/>
        </w:rPr>
        <w:t>4</w:t>
      </w:r>
      <w:r>
        <w:rPr>
          <w:rFonts w:hint="eastAsia" w:ascii="宋体" w:hAnsi="宋体"/>
          <w:sz w:val="24"/>
          <w:lang w:eastAsia="zh-CN"/>
        </w:rPr>
        <w:t>、投标人须提供系统的所有源码（可签署保密协议）。</w:t>
      </w:r>
    </w:p>
    <w:p>
      <w:pPr>
        <w:spacing w:line="360" w:lineRule="auto"/>
        <w:rPr>
          <w:rFonts w:ascii="宋体" w:hAnsi="宋体"/>
          <w:sz w:val="24"/>
          <w:lang w:eastAsia="zh-CN"/>
        </w:rPr>
      </w:pPr>
      <w:r>
        <w:rPr>
          <w:rFonts w:ascii="宋体" w:hAnsi="宋体"/>
          <w:sz w:val="24"/>
          <w:lang w:eastAsia="zh-CN"/>
        </w:rPr>
        <w:t>5</w:t>
      </w:r>
      <w:r>
        <w:rPr>
          <w:rFonts w:hint="eastAsia" w:ascii="宋体" w:hAnsi="宋体"/>
          <w:sz w:val="24"/>
          <w:lang w:eastAsia="zh-CN"/>
        </w:rPr>
        <w:t>、</w:t>
      </w:r>
      <w:r>
        <w:rPr>
          <w:rFonts w:ascii="宋体" w:hAnsi="宋体"/>
          <w:sz w:val="24"/>
          <w:lang w:eastAsia="zh-CN"/>
        </w:rPr>
        <w:t>系统</w:t>
      </w:r>
      <w:r>
        <w:rPr>
          <w:rFonts w:hint="eastAsia" w:ascii="宋体" w:hAnsi="宋体"/>
          <w:sz w:val="24"/>
          <w:lang w:eastAsia="zh-CN"/>
        </w:rPr>
        <w:t>须和山东大学第二医院H</w:t>
      </w:r>
      <w:r>
        <w:rPr>
          <w:rFonts w:ascii="宋体" w:hAnsi="宋体"/>
          <w:sz w:val="24"/>
          <w:lang w:eastAsia="zh-CN"/>
        </w:rPr>
        <w:t>IS系统</w:t>
      </w:r>
      <w:r>
        <w:rPr>
          <w:rFonts w:hint="eastAsia" w:ascii="宋体" w:hAnsi="宋体"/>
          <w:sz w:val="24"/>
          <w:lang w:eastAsia="zh-CN"/>
        </w:rPr>
        <w:t>、山东大学第二</w:t>
      </w:r>
      <w:r>
        <w:rPr>
          <w:rFonts w:ascii="宋体" w:hAnsi="宋体"/>
          <w:sz w:val="24"/>
          <w:lang w:eastAsia="zh-CN"/>
        </w:rPr>
        <w:t>医院集成平台</w:t>
      </w:r>
      <w:r>
        <w:rPr>
          <w:rFonts w:hint="eastAsia" w:ascii="宋体" w:hAnsi="宋体"/>
          <w:sz w:val="24"/>
          <w:lang w:eastAsia="zh-CN"/>
        </w:rPr>
        <w:t>、</w:t>
      </w:r>
      <w:r>
        <w:rPr>
          <w:rFonts w:ascii="宋体" w:hAnsi="宋体"/>
          <w:sz w:val="24"/>
          <w:lang w:eastAsia="zh-CN"/>
        </w:rPr>
        <w:t>其它山东大学第二医院信息中心指定的相关系统对接</w:t>
      </w:r>
      <w:r>
        <w:rPr>
          <w:rFonts w:hint="eastAsia" w:ascii="宋体" w:hAnsi="宋体"/>
          <w:sz w:val="24"/>
          <w:lang w:eastAsia="zh-CN"/>
        </w:rPr>
        <w:t>，</w:t>
      </w:r>
      <w:r>
        <w:rPr>
          <w:rFonts w:ascii="宋体" w:hAnsi="宋体"/>
          <w:sz w:val="24"/>
          <w:lang w:eastAsia="zh-CN"/>
        </w:rPr>
        <w:t>并由信息中心验收通过。</w:t>
      </w:r>
    </w:p>
    <w:p>
      <w:pPr>
        <w:spacing w:line="360" w:lineRule="auto"/>
        <w:rPr>
          <w:rFonts w:ascii="宋体" w:hAnsi="宋体"/>
          <w:sz w:val="24"/>
          <w:lang w:eastAsia="zh-CN"/>
        </w:rPr>
      </w:pPr>
      <w:r>
        <w:rPr>
          <w:rFonts w:ascii="宋体" w:hAnsi="宋体"/>
          <w:sz w:val="24"/>
          <w:lang w:eastAsia="zh-CN"/>
        </w:rPr>
        <w:t>6</w:t>
      </w:r>
      <w:r>
        <w:rPr>
          <w:rFonts w:hint="eastAsia" w:ascii="宋体" w:hAnsi="宋体"/>
          <w:sz w:val="24"/>
          <w:lang w:eastAsia="zh-CN"/>
        </w:rPr>
        <w:t>、部署系统所需的操作系统和数据库软件系统由投标人提供并安装，要求无版权问题。</w:t>
      </w:r>
    </w:p>
    <w:p>
      <w:pPr>
        <w:pStyle w:val="5"/>
        <w:keepNext/>
        <w:keepLines/>
        <w:widowControl w:val="0"/>
        <w:numPr>
          <w:ilvl w:val="0"/>
          <w:numId w:val="0"/>
        </w:numPr>
        <w:spacing w:before="156" w:beforeLines="50" w:after="156" w:afterLines="50" w:line="360" w:lineRule="auto"/>
        <w:jc w:val="both"/>
        <w:rPr>
          <w:rFonts w:ascii="Times New Roman" w:hAnsi="Times New Roman" w:eastAsia="宋体" w:cs="Times New Roman"/>
          <w:bCs w:val="0"/>
          <w:kern w:val="2"/>
          <w:sz w:val="28"/>
          <w:szCs w:val="20"/>
          <w:lang w:eastAsia="zh-CN" w:bidi="ar-SA"/>
        </w:rPr>
      </w:pPr>
      <w:r>
        <w:rPr>
          <w:rFonts w:ascii="Times New Roman" w:hAnsi="Times New Roman" w:eastAsia="宋体" w:cs="Times New Roman"/>
          <w:bCs w:val="0"/>
          <w:kern w:val="2"/>
          <w:sz w:val="28"/>
          <w:szCs w:val="20"/>
          <w:lang w:eastAsia="zh-CN" w:bidi="ar-SA"/>
        </w:rPr>
        <w:t>3</w:t>
      </w:r>
      <w:r>
        <w:rPr>
          <w:rFonts w:hint="eastAsia" w:ascii="Times New Roman" w:hAnsi="Times New Roman" w:eastAsia="宋体" w:cs="Times New Roman"/>
          <w:bCs w:val="0"/>
          <w:kern w:val="2"/>
          <w:sz w:val="28"/>
          <w:szCs w:val="20"/>
          <w:lang w:eastAsia="zh-CN" w:bidi="ar-SA"/>
        </w:rPr>
        <w:t>.总体技术参数</w:t>
      </w:r>
    </w:p>
    <w:tbl>
      <w:tblPr>
        <w:tblStyle w:val="50"/>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95"/>
        <w:gridCol w:w="1695"/>
        <w:gridCol w:w="558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01" w:type="dxa"/>
            <w:vAlign w:val="center"/>
          </w:tcPr>
          <w:p>
            <w:pPr>
              <w:spacing w:after="0"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序号</w:t>
            </w:r>
          </w:p>
        </w:tc>
        <w:tc>
          <w:tcPr>
            <w:tcW w:w="795" w:type="dxa"/>
            <w:vAlign w:val="center"/>
          </w:tcPr>
          <w:p>
            <w:pPr>
              <w:spacing w:after="0"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模块</w:t>
            </w:r>
          </w:p>
        </w:tc>
        <w:tc>
          <w:tcPr>
            <w:tcW w:w="1695" w:type="dxa"/>
            <w:vAlign w:val="center"/>
          </w:tcPr>
          <w:p>
            <w:pPr>
              <w:spacing w:after="0"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功能</w:t>
            </w:r>
          </w:p>
        </w:tc>
        <w:tc>
          <w:tcPr>
            <w:tcW w:w="5580" w:type="dxa"/>
            <w:vAlign w:val="center"/>
          </w:tcPr>
          <w:p>
            <w:pPr>
              <w:spacing w:after="0"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参数及说明</w:t>
            </w:r>
          </w:p>
        </w:tc>
        <w:tc>
          <w:tcPr>
            <w:tcW w:w="1215" w:type="dxa"/>
            <w:vAlign w:val="center"/>
          </w:tcPr>
          <w:p>
            <w:pPr>
              <w:spacing w:after="0"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restart"/>
            <w:vAlign w:val="center"/>
          </w:tcPr>
          <w:p>
            <w:pPr>
              <w:spacing w:after="0"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795" w:type="dxa"/>
            <w:vMerge w:val="restart"/>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产品概要</w:t>
            </w: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输血科首页</w:t>
            </w:r>
          </w:p>
        </w:tc>
        <w:tc>
          <w:tcPr>
            <w:tcW w:w="5580" w:type="dxa"/>
          </w:tcPr>
          <w:p>
            <w:pPr>
              <w:spacing w:after="0" w:line="24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可以实时监控当日申请量、发血量、库存信息，科室用血排名、在院患者血型分布、剩余库存动态信息等指标。</w:t>
            </w:r>
            <w:r>
              <w:rPr>
                <w:rFonts w:hint="eastAsia" w:ascii="宋体" w:hAnsi="宋体" w:eastAsia="宋体" w:cs="宋体"/>
                <w:sz w:val="24"/>
                <w:szCs w:val="24"/>
                <w:lang w:eastAsia="zh-CN"/>
              </w:rPr>
              <w:t>（提供功能截图）</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tcPr>
          <w:p>
            <w:pPr>
              <w:spacing w:after="0" w:line="360" w:lineRule="auto"/>
              <w:jc w:val="center"/>
              <w:rPr>
                <w:rFonts w:hint="eastAsia" w:ascii="宋体" w:hAnsi="宋体" w:eastAsia="宋体" w:cs="宋体"/>
                <w:sz w:val="24"/>
                <w:szCs w:val="24"/>
                <w:lang w:eastAsia="zh-CN"/>
              </w:rPr>
            </w:pPr>
          </w:p>
        </w:tc>
        <w:tc>
          <w:tcPr>
            <w:tcW w:w="795" w:type="dxa"/>
            <w:vMerge w:val="continue"/>
          </w:tcPr>
          <w:p>
            <w:pPr>
              <w:spacing w:after="0" w:line="360" w:lineRule="auto"/>
              <w:rPr>
                <w:rFonts w:hint="eastAsia" w:ascii="宋体" w:hAnsi="宋体" w:eastAsia="宋体" w:cs="宋体"/>
                <w:sz w:val="24"/>
                <w:szCs w:val="24"/>
                <w:lang w:eastAsia="zh-CN"/>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电子病历评级</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电子病历评级应对级别逐条对应（提供功能截图）</w:t>
            </w:r>
          </w:p>
        </w:tc>
        <w:tc>
          <w:tcPr>
            <w:tcW w:w="1215" w:type="dxa"/>
          </w:tcPr>
          <w:p>
            <w:pPr>
              <w:spacing w:after="0" w:line="24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tcPr>
          <w:p>
            <w:pPr>
              <w:spacing w:after="0" w:line="360" w:lineRule="auto"/>
              <w:jc w:val="center"/>
              <w:rPr>
                <w:rFonts w:hint="eastAsia" w:ascii="宋体" w:hAnsi="宋体" w:eastAsia="宋体" w:cs="宋体"/>
                <w:sz w:val="24"/>
                <w:szCs w:val="24"/>
                <w:lang w:eastAsia="zh-CN"/>
              </w:rPr>
            </w:pPr>
          </w:p>
        </w:tc>
        <w:tc>
          <w:tcPr>
            <w:tcW w:w="795" w:type="dxa"/>
            <w:vMerge w:val="continue"/>
          </w:tcPr>
          <w:p>
            <w:pPr>
              <w:spacing w:after="0" w:line="360" w:lineRule="auto"/>
              <w:rPr>
                <w:rFonts w:hint="eastAsia" w:ascii="宋体" w:hAnsi="宋体" w:eastAsia="宋体" w:cs="宋体"/>
                <w:sz w:val="24"/>
                <w:szCs w:val="24"/>
                <w:lang w:eastAsia="zh-CN"/>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全流程闭环</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包括输血闭环、标本闭环、血袋及废袋回收闭环； （提供功能截图）</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tcPr>
          <w:p>
            <w:pPr>
              <w:spacing w:after="0" w:line="360" w:lineRule="auto"/>
              <w:jc w:val="center"/>
              <w:rPr>
                <w:rFonts w:hint="eastAsia" w:ascii="宋体" w:hAnsi="宋体" w:eastAsia="宋体" w:cs="宋体"/>
                <w:sz w:val="24"/>
                <w:szCs w:val="24"/>
                <w:lang w:eastAsia="zh-CN"/>
              </w:rPr>
            </w:pPr>
          </w:p>
        </w:tc>
        <w:tc>
          <w:tcPr>
            <w:tcW w:w="795" w:type="dxa"/>
            <w:vMerge w:val="continue"/>
          </w:tcPr>
          <w:p>
            <w:pPr>
              <w:spacing w:after="0" w:line="360" w:lineRule="auto"/>
              <w:rPr>
                <w:rFonts w:hint="eastAsia" w:ascii="宋体" w:hAnsi="宋体" w:eastAsia="宋体" w:cs="宋体"/>
                <w:sz w:val="24"/>
                <w:szCs w:val="24"/>
                <w:lang w:eastAsia="zh-CN"/>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移动办公</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输血科或医务科用户可以通过手机端对大量用血进行审批，提供各类指标（用血量、用血人次、手术用血人次等）手机端展示，至少有科室和日期两个维度。</w:t>
            </w:r>
          </w:p>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能够接收各类预警信息，包括库存预警，特殊血型配血预警。（提供功能截图）</w:t>
            </w:r>
          </w:p>
        </w:tc>
        <w:tc>
          <w:tcPr>
            <w:tcW w:w="1215" w:type="dxa"/>
          </w:tcPr>
          <w:p>
            <w:pPr>
              <w:spacing w:after="0"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tcPr>
          <w:p>
            <w:pPr>
              <w:spacing w:after="0" w:line="360" w:lineRule="auto"/>
              <w:jc w:val="center"/>
              <w:rPr>
                <w:rFonts w:hint="eastAsia" w:ascii="宋体" w:hAnsi="宋体" w:eastAsia="宋体" w:cs="宋体"/>
                <w:sz w:val="24"/>
                <w:szCs w:val="24"/>
                <w:lang w:eastAsia="zh-CN"/>
              </w:rPr>
            </w:pPr>
          </w:p>
        </w:tc>
        <w:tc>
          <w:tcPr>
            <w:tcW w:w="795" w:type="dxa"/>
            <w:vMerge w:val="continue"/>
          </w:tcPr>
          <w:p>
            <w:pPr>
              <w:spacing w:after="0" w:line="360" w:lineRule="auto"/>
              <w:rPr>
                <w:rFonts w:hint="eastAsia" w:ascii="宋体" w:hAnsi="宋体" w:eastAsia="宋体" w:cs="宋体"/>
                <w:sz w:val="24"/>
                <w:szCs w:val="24"/>
                <w:lang w:eastAsia="zh-CN"/>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安全机制</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在医院网络瘫痪的情况下，能有相应的安全机制来保证业务的正常运转：包括不限于查询库存血袋、历史标本检验结果等信息（提供功能截图）</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tcPr>
          <w:p>
            <w:pPr>
              <w:spacing w:after="0" w:line="360" w:lineRule="auto"/>
              <w:jc w:val="center"/>
              <w:rPr>
                <w:rFonts w:hint="eastAsia" w:ascii="宋体" w:hAnsi="宋体" w:eastAsia="宋体" w:cs="宋体"/>
                <w:sz w:val="24"/>
                <w:szCs w:val="24"/>
                <w:lang w:eastAsia="zh-CN"/>
              </w:rPr>
            </w:pPr>
          </w:p>
        </w:tc>
        <w:tc>
          <w:tcPr>
            <w:tcW w:w="795" w:type="dxa"/>
            <w:vMerge w:val="continue"/>
          </w:tcPr>
          <w:p>
            <w:pPr>
              <w:spacing w:after="0" w:line="360" w:lineRule="auto"/>
              <w:rPr>
                <w:rFonts w:hint="eastAsia" w:ascii="宋体" w:hAnsi="宋体" w:eastAsia="宋体" w:cs="宋体"/>
                <w:sz w:val="24"/>
                <w:szCs w:val="24"/>
                <w:lang w:eastAsia="zh-CN"/>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消息提醒</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给医生端接收审核结果通知，危急值通知临床。</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restart"/>
            <w:vAlign w:val="center"/>
          </w:tcPr>
          <w:p>
            <w:pPr>
              <w:spacing w:after="0"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2</w:t>
            </w:r>
          </w:p>
        </w:tc>
        <w:tc>
          <w:tcPr>
            <w:tcW w:w="795" w:type="dxa"/>
            <w:vMerge w:val="restart"/>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血液入库</w:t>
            </w: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血袋入库</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通过中间服务器同步入库单，程序自动提取入库单和血袋信息。系统支持与血液中心对接，通过系统接口可以自动识别血液中心提供的血液条形码</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tcPr>
          <w:p>
            <w:pPr>
              <w:spacing w:after="0" w:line="360" w:lineRule="auto"/>
              <w:rPr>
                <w:rFonts w:hint="eastAsia" w:ascii="宋体" w:hAnsi="宋体" w:eastAsia="宋体" w:cs="宋体"/>
                <w:sz w:val="24"/>
                <w:szCs w:val="24"/>
                <w:lang w:eastAsia="zh-CN"/>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血袋接收</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扫描入库，或通过导入血站信息入库。自由灵活切换入库方式</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tcPr>
          <w:p>
            <w:pPr>
              <w:spacing w:after="0" w:line="360" w:lineRule="auto"/>
              <w:rPr>
                <w:rFonts w:hint="eastAsia" w:ascii="宋体" w:hAnsi="宋体" w:eastAsia="宋体" w:cs="宋体"/>
                <w:sz w:val="24"/>
                <w:szCs w:val="24"/>
                <w:lang w:eastAsia="zh-CN"/>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数据统计</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入库信息的查询、打印、统计汇总。</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tcPr>
          <w:p>
            <w:pPr>
              <w:spacing w:after="0" w:line="360" w:lineRule="auto"/>
              <w:rPr>
                <w:rFonts w:hint="eastAsia" w:ascii="宋体" w:hAnsi="宋体" w:eastAsia="宋体" w:cs="宋体"/>
                <w:sz w:val="24"/>
                <w:szCs w:val="24"/>
                <w:lang w:eastAsia="zh-CN"/>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入库单管理</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录血自动计数、自动生成入库单号、条码自动辨别。</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restart"/>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w:t>
            </w:r>
          </w:p>
        </w:tc>
        <w:tc>
          <w:tcPr>
            <w:tcW w:w="795" w:type="dxa"/>
            <w:vMerge w:val="restart"/>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输血申请</w:t>
            </w: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申请单管理</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通过临床医师开输血申请，提示是否需要采集配血标本。大量用血申请系统强制要求打印大量用血审批单；提供输血知情同意书打印功能。</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tcPr>
          <w:p>
            <w:pPr>
              <w:spacing w:after="0" w:line="360" w:lineRule="auto"/>
              <w:rPr>
                <w:rFonts w:hint="eastAsia" w:ascii="宋体" w:hAnsi="宋体" w:eastAsia="宋体" w:cs="宋体"/>
                <w:sz w:val="24"/>
                <w:szCs w:val="24"/>
                <w:lang w:eastAsia="zh-CN"/>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手工输血申请</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支持输血科手工录入输血申请单（提供功能截图），通过输入患者病案号，系统自动提取患者相关信息、相关检验信息。</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tcPr>
          <w:p>
            <w:pPr>
              <w:spacing w:after="0" w:line="360" w:lineRule="auto"/>
              <w:rPr>
                <w:rFonts w:hint="eastAsia" w:ascii="宋体" w:hAnsi="宋体" w:eastAsia="宋体" w:cs="宋体"/>
                <w:sz w:val="24"/>
                <w:szCs w:val="24"/>
                <w:lang w:eastAsia="zh-CN"/>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条码管理</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申请单、血样及血液全程条形码管理。申请单、血样都有系统生成的唯一标识码，通过其中任一条码可定位到申请单、或血样相关信息。</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tcPr>
          <w:p>
            <w:pPr>
              <w:spacing w:after="0" w:line="360" w:lineRule="auto"/>
              <w:rPr>
                <w:rFonts w:hint="eastAsia" w:ascii="宋体" w:hAnsi="宋体" w:eastAsia="宋体" w:cs="宋体"/>
                <w:sz w:val="24"/>
                <w:szCs w:val="24"/>
                <w:lang w:eastAsia="zh-CN"/>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同意书管理</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输血知情同意书/互助献血登记管理。</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tcPr>
          <w:p>
            <w:pPr>
              <w:spacing w:after="0" w:line="360" w:lineRule="auto"/>
              <w:rPr>
                <w:rFonts w:hint="eastAsia" w:ascii="宋体" w:hAnsi="宋体" w:eastAsia="宋体" w:cs="宋体"/>
                <w:sz w:val="24"/>
                <w:szCs w:val="24"/>
                <w:lang w:eastAsia="zh-CN"/>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特殊提示</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智能提示接收标本。患者稀有血型、既往特殊疑难配血的提示。</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tcPr>
          <w:p>
            <w:pPr>
              <w:spacing w:after="0" w:line="360" w:lineRule="auto"/>
              <w:rPr>
                <w:rFonts w:hint="eastAsia" w:ascii="宋体" w:hAnsi="宋体" w:eastAsia="宋体" w:cs="宋体"/>
                <w:sz w:val="24"/>
                <w:szCs w:val="24"/>
                <w:lang w:eastAsia="zh-CN"/>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信息共享</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既往相关实验信息、配血信息、发血信息辅助申请单的处理。</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tcPr>
          <w:p>
            <w:pPr>
              <w:spacing w:after="0" w:line="360" w:lineRule="auto"/>
              <w:rPr>
                <w:rFonts w:hint="eastAsia" w:ascii="宋体" w:hAnsi="宋体" w:eastAsia="宋体" w:cs="宋体"/>
                <w:sz w:val="24"/>
                <w:szCs w:val="24"/>
                <w:lang w:eastAsia="zh-CN"/>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申请权限管理</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按相应职称自动判断医师输血申请权限，实现医师输血申请分级管理。</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tcPr>
          <w:p>
            <w:pPr>
              <w:spacing w:after="0" w:line="360" w:lineRule="auto"/>
              <w:rPr>
                <w:rFonts w:hint="eastAsia" w:ascii="宋体" w:hAnsi="宋体" w:eastAsia="宋体" w:cs="宋体"/>
                <w:sz w:val="24"/>
                <w:szCs w:val="24"/>
                <w:lang w:eastAsia="zh-CN"/>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知识库管理</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知识库管理：提供输血知识库、输血指南、成分输血指南。</w:t>
            </w:r>
          </w:p>
          <w:p>
            <w:pPr>
              <w:pStyle w:val="134"/>
              <w:numPr>
                <w:ilvl w:val="0"/>
                <w:numId w:val="6"/>
              </w:num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可以设置临床医生是否可以看到库存信息。</w:t>
            </w:r>
          </w:p>
          <w:p>
            <w:pPr>
              <w:pStyle w:val="134"/>
              <w:numPr>
                <w:ilvl w:val="0"/>
                <w:numId w:val="6"/>
              </w:numPr>
              <w:tabs>
                <w:tab w:val="left" w:pos="200"/>
              </w:tabs>
              <w:spacing w:after="0" w:line="240" w:lineRule="auto"/>
              <w:ind w:left="200" w:leftChars="0" w:hanging="20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知情同意书、输血前评估、用血申请单等如果同一信息在多处展示，只需更改一处即可在其他单据同步修改。</w:t>
            </w:r>
          </w:p>
          <w:p>
            <w:pPr>
              <w:pStyle w:val="134"/>
              <w:numPr>
                <w:ilvl w:val="0"/>
                <w:numId w:val="6"/>
              </w:numPr>
              <w:spacing w:after="0" w:line="240" w:lineRule="auto"/>
              <w:ind w:left="200" w:leftChars="0" w:hanging="20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在申请环节可以查看当前患者的申请次数、24小时用血量、互助献血量信息。</w:t>
            </w:r>
          </w:p>
          <w:p>
            <w:pPr>
              <w:pStyle w:val="134"/>
              <w:numPr>
                <w:ilvl w:val="0"/>
                <w:numId w:val="6"/>
              </w:num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可以查看打印，过往申请信息。</w:t>
            </w:r>
          </w:p>
          <w:p>
            <w:pPr>
              <w:pStyle w:val="134"/>
              <w:numPr>
                <w:ilvl w:val="0"/>
                <w:numId w:val="6"/>
              </w:numPr>
              <w:spacing w:after="0" w:line="240" w:lineRule="auto"/>
              <w:ind w:left="200" w:leftChars="0" w:hanging="20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对已经发送的申请能够进行查看、删除、添加输血后评价。</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restart"/>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w:t>
            </w:r>
          </w:p>
        </w:tc>
        <w:tc>
          <w:tcPr>
            <w:tcW w:w="795" w:type="dxa"/>
            <w:vMerge w:val="restart"/>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输血审核</w:t>
            </w: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审核流程</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医生的输血申请单在完成输血前评估后系统将申请单发送到输血科进行输血审核，输血科审核后反馈临床。审核通过的打印纸质申请单，由护士打印条码、采集标本，并送到输血科。</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vAlign w:val="center"/>
          </w:tcPr>
          <w:p>
            <w:pPr>
              <w:spacing w:after="0" w:line="360" w:lineRule="auto"/>
              <w:jc w:val="center"/>
              <w:rPr>
                <w:rFonts w:hint="eastAsia" w:ascii="宋体" w:hAnsi="宋体" w:eastAsia="宋体" w:cs="宋体"/>
                <w:sz w:val="24"/>
                <w:szCs w:val="24"/>
                <w:lang w:eastAsia="zh-CN"/>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审核功能</w:t>
            </w:r>
          </w:p>
        </w:tc>
        <w:tc>
          <w:tcPr>
            <w:tcW w:w="5580" w:type="dxa"/>
          </w:tcPr>
          <w:p>
            <w:pPr>
              <w:pStyle w:val="134"/>
              <w:numPr>
                <w:ilvl w:val="0"/>
                <w:numId w:val="7"/>
              </w:numPr>
              <w:spacing w:after="0" w:line="240" w:lineRule="auto"/>
              <w:ind w:left="200" w:leftChars="0" w:hanging="20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在审核页面可以查看用血申请单、知情同意书、输血前评估、输血前检查等单据信息。（提供功能截图）</w:t>
            </w:r>
          </w:p>
          <w:p>
            <w:pPr>
              <w:pStyle w:val="134"/>
              <w:numPr>
                <w:ilvl w:val="0"/>
                <w:numId w:val="7"/>
              </w:numPr>
              <w:spacing w:after="0" w:line="240" w:lineRule="auto"/>
              <w:ind w:left="200" w:leftChars="0" w:hanging="20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可以查看近期用血趋势，当前库存，点击用血申请记录时要与库存进行联动。（提供功能截图）</w:t>
            </w:r>
          </w:p>
          <w:p>
            <w:pPr>
              <w:pStyle w:val="134"/>
              <w:numPr>
                <w:ilvl w:val="0"/>
                <w:numId w:val="7"/>
              </w:numPr>
              <w:spacing w:after="0" w:line="240" w:lineRule="auto"/>
              <w:ind w:left="200" w:leftChars="0" w:hanging="20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展示当前患者的申请项目、历史用血记录、互助献血记录和审核记录。</w:t>
            </w:r>
          </w:p>
          <w:p>
            <w:pPr>
              <w:pStyle w:val="134"/>
              <w:numPr>
                <w:ilvl w:val="0"/>
                <w:numId w:val="7"/>
              </w:numPr>
              <w:spacing w:after="0" w:line="240" w:lineRule="auto"/>
              <w:ind w:left="200" w:leftChars="0" w:hanging="20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当输血科驳回或通过后，医生端可以查看到申请进度，对于已经驳回的申请单可以再次发起请求，所有操作都要有记录可查。（提供功能截图）</w:t>
            </w:r>
          </w:p>
          <w:p>
            <w:pPr>
              <w:pStyle w:val="134"/>
              <w:numPr>
                <w:ilvl w:val="0"/>
                <w:numId w:val="7"/>
              </w:numPr>
              <w:spacing w:after="0" w:line="240" w:lineRule="auto"/>
              <w:ind w:left="200" w:leftChars="0" w:hanging="20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对于已经审核通过的记录，输血科可以撤销审核，还原为待审核状态。驳回申请后需要录入审核意见，审核意见支持模板配置。</w:t>
            </w:r>
          </w:p>
          <w:p>
            <w:pPr>
              <w:pStyle w:val="134"/>
              <w:numPr>
                <w:ilvl w:val="0"/>
                <w:numId w:val="7"/>
              </w:numPr>
              <w:spacing w:after="0" w:line="240" w:lineRule="auto"/>
              <w:ind w:left="200" w:leftChars="0" w:hanging="20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对于24小时内用血量&gt;=1600ml的申请，需要先经医务科审核，医务科审核通过后输血科才能进行审核。</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restart"/>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5</w:t>
            </w:r>
          </w:p>
        </w:tc>
        <w:tc>
          <w:tcPr>
            <w:tcW w:w="795" w:type="dxa"/>
            <w:vMerge w:val="restart"/>
            <w:vAlign w:val="center"/>
          </w:tcPr>
          <w:p>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配血管理</w:t>
            </w: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配血流程</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自动获得临床输血申请单并完成配血信息处理，填入相应的交叉配血结果。交叉配血，提供病人备血和血制品的交叉配血，输入病人病历号可自动获取病人资料，配血方法和配血结果可设定默认值，血袋号可以手工录入，也可以扫描条形码录入。系统自动收费。</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vAlign w:val="center"/>
          </w:tcPr>
          <w:p>
            <w:pPr>
              <w:spacing w:after="0" w:line="360" w:lineRule="auto"/>
              <w:jc w:val="center"/>
              <w:rPr>
                <w:rFonts w:hint="eastAsia" w:ascii="宋体" w:hAnsi="宋体" w:eastAsia="宋体" w:cs="宋体"/>
                <w:sz w:val="24"/>
                <w:szCs w:val="24"/>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直观展示</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在配血界面能够直观展示近三天已处理与未处理申请单情况（提供功能截图）</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vAlign w:val="center"/>
          </w:tcPr>
          <w:p>
            <w:pPr>
              <w:spacing w:after="0" w:line="360" w:lineRule="auto"/>
              <w:jc w:val="center"/>
              <w:rPr>
                <w:rFonts w:hint="eastAsia" w:ascii="宋体" w:hAnsi="宋体" w:eastAsia="宋体" w:cs="宋体"/>
                <w:sz w:val="24"/>
                <w:szCs w:val="24"/>
                <w:lang w:eastAsia="zh-CN"/>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配血功能</w:t>
            </w:r>
          </w:p>
        </w:tc>
        <w:tc>
          <w:tcPr>
            <w:tcW w:w="5580" w:type="dxa"/>
          </w:tcPr>
          <w:p>
            <w:pPr>
              <w:pStyle w:val="134"/>
              <w:numPr>
                <w:ilvl w:val="0"/>
                <w:numId w:val="8"/>
              </w:numPr>
              <w:spacing w:after="0" w:line="240" w:lineRule="auto"/>
              <w:ind w:left="200" w:leftChars="0" w:hanging="20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申请单和标本能够自动关联，关联规则灵活配置，对应标本类别可配置。</w:t>
            </w:r>
          </w:p>
          <w:p>
            <w:pPr>
              <w:pStyle w:val="134"/>
              <w:numPr>
                <w:ilvl w:val="0"/>
                <w:numId w:val="8"/>
              </w:numPr>
              <w:spacing w:after="0" w:line="240" w:lineRule="auto"/>
              <w:ind w:left="200" w:leftChars="0" w:hanging="20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申请信息里面展示配血进度，如所申请各血液品种都已完成在进度为100%，否则显示剩余待配血数量。</w:t>
            </w:r>
          </w:p>
          <w:p>
            <w:pPr>
              <w:pStyle w:val="134"/>
              <w:numPr>
                <w:ilvl w:val="0"/>
                <w:numId w:val="8"/>
              </w:numPr>
              <w:spacing w:after="0" w:line="240" w:lineRule="auto"/>
              <w:ind w:left="200" w:leftChars="0" w:hanging="20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支持血型复检结果录入，当录入结果与患者历史检验结果不符时进行提醒，可以对复检结果进行处理，包括删除、审核等操作。</w:t>
            </w:r>
          </w:p>
          <w:p>
            <w:pPr>
              <w:pStyle w:val="134"/>
              <w:numPr>
                <w:ilvl w:val="0"/>
                <w:numId w:val="8"/>
              </w:num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交叉配血页面自动关联患者过往血型检验结果</w:t>
            </w:r>
          </w:p>
          <w:p>
            <w:pPr>
              <w:pStyle w:val="134"/>
              <w:numPr>
                <w:ilvl w:val="0"/>
                <w:numId w:val="8"/>
              </w:num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可以调取申请单对应患者的历史检验结果。</w:t>
            </w:r>
          </w:p>
          <w:p>
            <w:pPr>
              <w:pStyle w:val="134"/>
              <w:numPr>
                <w:ilvl w:val="0"/>
                <w:numId w:val="8"/>
              </w:numPr>
              <w:spacing w:after="0" w:line="240" w:lineRule="auto"/>
              <w:ind w:left="200" w:leftChars="0" w:hanging="20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能够根据当前申请单申请血型和申请血液品种，自动过滤出符合条件的血袋，并按过期日期排序，允许用户切换显示全部血袋。</w:t>
            </w:r>
          </w:p>
          <w:p>
            <w:pPr>
              <w:pStyle w:val="134"/>
              <w:numPr>
                <w:ilvl w:val="0"/>
                <w:numId w:val="8"/>
              </w:numPr>
              <w:spacing w:after="0" w:line="240" w:lineRule="auto"/>
              <w:ind w:left="200" w:leftChars="0" w:hanging="20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血袋录入时支持动态查询，自动过滤符合条件的血袋。</w:t>
            </w:r>
          </w:p>
          <w:p>
            <w:pPr>
              <w:pStyle w:val="134"/>
              <w:numPr>
                <w:ilvl w:val="0"/>
                <w:numId w:val="8"/>
              </w:num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对非同型配血需经输血科主任审核通过。</w:t>
            </w:r>
          </w:p>
          <w:p>
            <w:pPr>
              <w:pStyle w:val="134"/>
              <w:numPr>
                <w:ilvl w:val="0"/>
                <w:numId w:val="8"/>
              </w:num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可配置哪些血液产品无需配血。</w:t>
            </w:r>
          </w:p>
          <w:p>
            <w:pPr>
              <w:pStyle w:val="134"/>
              <w:numPr>
                <w:ilvl w:val="0"/>
                <w:numId w:val="8"/>
              </w:numPr>
              <w:spacing w:after="0" w:line="240" w:lineRule="auto"/>
              <w:ind w:left="200" w:leftChars="0" w:hanging="20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当前页面可以对血袋进行出库、计费、取消计费、取消出库，并显示出库计费状态</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restart"/>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c>
          <w:tcPr>
            <w:tcW w:w="795" w:type="dxa"/>
            <w:vMerge w:val="restart"/>
            <w:vAlign w:val="center"/>
          </w:tcPr>
          <w:p>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发血管理</w:t>
            </w: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发血流程</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根据临床取血单和配血信息进行核实，打印配血记录单（且还有补打功能），完成发血操作。配血记录单上有患者基本信息，血袋相关信息，血型复核人，交叉配血人，发血人，领血人签名等。</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vAlign w:val="center"/>
          </w:tcPr>
          <w:p>
            <w:pPr>
              <w:spacing w:after="0" w:line="360" w:lineRule="auto"/>
              <w:jc w:val="center"/>
              <w:rPr>
                <w:rFonts w:hint="eastAsia" w:ascii="宋体" w:hAnsi="宋体" w:eastAsia="宋体" w:cs="宋体"/>
                <w:sz w:val="24"/>
                <w:szCs w:val="24"/>
                <w:lang w:eastAsia="zh-CN"/>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发血功能</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1.发血同时打印患者信息标签-条码打印，用于粘贴到血袋上（提供功能截图）</w:t>
            </w:r>
          </w:p>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2.发血核对：发血前先扫描取血单条码，先选中取血单，并过滤对应血袋，当扫描非当前申请单的血袋时，进行提醒，扫描血袋发血后，自动更改当前血袋状态。</w:t>
            </w:r>
          </w:p>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3.手工发血：支持特殊情况授权手工勾选出库。（提供功能截图）</w:t>
            </w:r>
          </w:p>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支持大量用血患者分批次发血。</w:t>
            </w:r>
          </w:p>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4.退血管理：血液发出后，临床未接收血袋可以退回。</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7</w:t>
            </w:r>
          </w:p>
        </w:tc>
        <w:tc>
          <w:tcPr>
            <w:tcW w:w="7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自体血</w:t>
            </w: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具体功能</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保存自体血申请记录、支持打印自体血标签（条码）。</w:t>
            </w:r>
          </w:p>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支持自体血采集相关信息保存，自体血入库、出库、计费等。</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restart"/>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8</w:t>
            </w:r>
          </w:p>
        </w:tc>
        <w:tc>
          <w:tcPr>
            <w:tcW w:w="795" w:type="dxa"/>
            <w:vMerge w:val="restart"/>
            <w:vAlign w:val="center"/>
          </w:tcPr>
          <w:p>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库存管理</w:t>
            </w: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报废管理</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报废管理（名称、数量、经手人、审批人、报废原因、报废日期等）。</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vAlign w:val="center"/>
          </w:tcPr>
          <w:p>
            <w:pPr>
              <w:spacing w:after="0" w:line="360" w:lineRule="auto"/>
              <w:jc w:val="center"/>
              <w:rPr>
                <w:rFonts w:hint="eastAsia" w:ascii="宋体" w:hAnsi="宋体" w:eastAsia="宋体" w:cs="宋体"/>
                <w:sz w:val="24"/>
                <w:szCs w:val="24"/>
                <w:lang w:eastAsia="zh-CN"/>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有效期管理</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有效期管理（有效期报警、库存量提示等）。不合格、报废不做物理删除，仅做删除标志，保证入库信息的完整性；全程操作轨迹记录。</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vAlign w:val="center"/>
          </w:tcPr>
          <w:p>
            <w:pPr>
              <w:spacing w:after="0" w:line="360" w:lineRule="auto"/>
              <w:jc w:val="center"/>
              <w:rPr>
                <w:rFonts w:hint="eastAsia" w:ascii="宋体" w:hAnsi="宋体" w:eastAsia="宋体" w:cs="宋体"/>
                <w:sz w:val="24"/>
                <w:szCs w:val="24"/>
                <w:lang w:eastAsia="zh-CN"/>
              </w:rPr>
            </w:pPr>
          </w:p>
        </w:tc>
        <w:tc>
          <w:tcPr>
            <w:tcW w:w="1695" w:type="dxa"/>
            <w:vAlign w:val="center"/>
          </w:tcPr>
          <w:p>
            <w:pPr>
              <w:spacing w:after="0"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血袋定时过期处理</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系统根据指定时间定时查询，将失效的血袋进行过期出库处理。</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vAlign w:val="center"/>
          </w:tcPr>
          <w:p>
            <w:pPr>
              <w:spacing w:after="0" w:line="360" w:lineRule="auto"/>
              <w:jc w:val="center"/>
              <w:rPr>
                <w:rFonts w:hint="eastAsia" w:ascii="宋体" w:hAnsi="宋体" w:eastAsia="宋体" w:cs="宋体"/>
                <w:sz w:val="24"/>
                <w:szCs w:val="24"/>
                <w:lang w:eastAsia="zh-CN"/>
              </w:rPr>
            </w:pPr>
          </w:p>
        </w:tc>
        <w:tc>
          <w:tcPr>
            <w:tcW w:w="1695" w:type="dxa"/>
            <w:vAlign w:val="center"/>
          </w:tcPr>
          <w:p>
            <w:pPr>
              <w:spacing w:after="0"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库存动态分析</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血液超过报警期限、低于存储血量报警线、库存不足报警管理及提示。</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vAlign w:val="center"/>
          </w:tcPr>
          <w:p>
            <w:pPr>
              <w:spacing w:after="0" w:line="360" w:lineRule="auto"/>
              <w:jc w:val="center"/>
              <w:rPr>
                <w:rFonts w:hint="eastAsia" w:ascii="宋体" w:hAnsi="宋体" w:eastAsia="宋体" w:cs="宋体"/>
                <w:sz w:val="24"/>
                <w:szCs w:val="24"/>
                <w:lang w:eastAsia="zh-CN"/>
              </w:rPr>
            </w:pPr>
          </w:p>
        </w:tc>
        <w:tc>
          <w:tcPr>
            <w:tcW w:w="1695" w:type="dxa"/>
            <w:vAlign w:val="center"/>
          </w:tcPr>
          <w:p>
            <w:pPr>
              <w:spacing w:after="0"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血液复检</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血液复检支持入库前复检、出库前复检两种情况。</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restart"/>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9</w:t>
            </w:r>
          </w:p>
        </w:tc>
        <w:tc>
          <w:tcPr>
            <w:tcW w:w="795" w:type="dxa"/>
            <w:vMerge w:val="restart"/>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输注评价</w:t>
            </w:r>
          </w:p>
        </w:tc>
        <w:tc>
          <w:tcPr>
            <w:tcW w:w="1695" w:type="dxa"/>
            <w:vAlign w:val="center"/>
          </w:tcPr>
          <w:p>
            <w:pPr>
              <w:spacing w:after="0"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输血不良反应登记</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由护士根据输血后状况发起不良反应处置，临床医师可通过系统进行填报，然后输血科录入不良反应处置信息。</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vAlign w:val="center"/>
          </w:tcPr>
          <w:p>
            <w:pPr>
              <w:spacing w:after="0" w:line="360" w:lineRule="auto"/>
              <w:jc w:val="center"/>
              <w:rPr>
                <w:rFonts w:hint="eastAsia" w:ascii="宋体" w:hAnsi="宋体" w:eastAsia="宋体" w:cs="宋体"/>
                <w:sz w:val="24"/>
                <w:szCs w:val="24"/>
                <w:lang w:eastAsia="zh-CN"/>
              </w:rPr>
            </w:pPr>
          </w:p>
        </w:tc>
        <w:tc>
          <w:tcPr>
            <w:tcW w:w="1695" w:type="dxa"/>
            <w:vAlign w:val="center"/>
          </w:tcPr>
          <w:p>
            <w:pPr>
              <w:spacing w:after="0"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智能输血评价</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系统自动抓取患者输血前后的各项检验结果，生成输血后评估单供医生参考和修正，大大减少医生输入工作量。</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vAlign w:val="center"/>
          </w:tcPr>
          <w:p>
            <w:pPr>
              <w:spacing w:after="0" w:line="360" w:lineRule="auto"/>
              <w:jc w:val="center"/>
              <w:rPr>
                <w:rFonts w:hint="eastAsia" w:ascii="宋体" w:hAnsi="宋体" w:eastAsia="宋体" w:cs="宋体"/>
                <w:sz w:val="24"/>
                <w:szCs w:val="24"/>
                <w:lang w:eastAsia="zh-CN"/>
              </w:rPr>
            </w:pPr>
          </w:p>
        </w:tc>
        <w:tc>
          <w:tcPr>
            <w:tcW w:w="1695" w:type="dxa"/>
            <w:vAlign w:val="center"/>
          </w:tcPr>
          <w:p>
            <w:pPr>
              <w:spacing w:after="0"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自动提醒</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系统记录患者输血不良反应记录后，患者再次输血，系统自动提示患者既往输血不良反应信息。</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restart"/>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795" w:type="dxa"/>
            <w:vMerge w:val="restart"/>
            <w:vAlign w:val="center"/>
          </w:tcPr>
          <w:p>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费用管理</w:t>
            </w:r>
          </w:p>
        </w:tc>
        <w:tc>
          <w:tcPr>
            <w:tcW w:w="1695" w:type="dxa"/>
            <w:vAlign w:val="center"/>
          </w:tcPr>
          <w:p>
            <w:pPr>
              <w:spacing w:after="0" w:line="240" w:lineRule="auto"/>
              <w:jc w:val="center"/>
              <w:rPr>
                <w:rFonts w:hint="eastAsia" w:ascii="宋体" w:hAnsi="宋体" w:eastAsia="宋体" w:cs="宋体"/>
                <w:b/>
                <w:sz w:val="24"/>
                <w:szCs w:val="24"/>
                <w:lang w:eastAsia="zh-CN"/>
              </w:rPr>
            </w:pPr>
            <w:r>
              <w:rPr>
                <w:rFonts w:hint="eastAsia" w:ascii="宋体" w:hAnsi="宋体" w:eastAsia="宋体" w:cs="宋体"/>
                <w:sz w:val="24"/>
                <w:szCs w:val="24"/>
              </w:rPr>
              <w:t>自动计费</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配血过程中的自动计费，通过字典设置血液与收费关系，在相关环节中自动记录费用信息。</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vAlign w:val="center"/>
          </w:tcPr>
          <w:p>
            <w:pPr>
              <w:spacing w:after="0" w:line="360" w:lineRule="auto"/>
              <w:jc w:val="center"/>
              <w:rPr>
                <w:rFonts w:hint="eastAsia" w:ascii="宋体" w:hAnsi="宋体" w:eastAsia="宋体" w:cs="宋体"/>
                <w:sz w:val="24"/>
                <w:szCs w:val="24"/>
                <w:lang w:eastAsia="zh-CN"/>
              </w:rPr>
            </w:pPr>
          </w:p>
        </w:tc>
        <w:tc>
          <w:tcPr>
            <w:tcW w:w="1695" w:type="dxa"/>
            <w:vAlign w:val="center"/>
          </w:tcPr>
          <w:p>
            <w:pPr>
              <w:spacing w:after="0" w:line="240" w:lineRule="auto"/>
              <w:jc w:val="center"/>
              <w:rPr>
                <w:rFonts w:hint="eastAsia" w:ascii="宋体" w:hAnsi="宋体" w:eastAsia="宋体" w:cs="宋体"/>
                <w:sz w:val="24"/>
                <w:szCs w:val="24"/>
                <w:lang w:eastAsia="zh-CN"/>
              </w:rPr>
            </w:pPr>
            <w:r>
              <w:rPr>
                <w:rFonts w:hint="eastAsia" w:ascii="宋体" w:hAnsi="宋体" w:eastAsia="宋体" w:cs="宋体"/>
                <w:sz w:val="24"/>
                <w:szCs w:val="24"/>
              </w:rPr>
              <w:t>漏费预警</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当监测到his所收血袋费用和输血系统发血血袋费用不一致时能够及时提醒输血科查找原因，防止漏费</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restart"/>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11</w:t>
            </w:r>
          </w:p>
        </w:tc>
        <w:tc>
          <w:tcPr>
            <w:tcW w:w="795" w:type="dxa"/>
            <w:vMerge w:val="restart"/>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护士站</w:t>
            </w:r>
          </w:p>
        </w:tc>
        <w:tc>
          <w:tcPr>
            <w:tcW w:w="1695" w:type="dxa"/>
            <w:vAlign w:val="center"/>
          </w:tcPr>
          <w:p>
            <w:pPr>
              <w:spacing w:after="0"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功能描述</w:t>
            </w:r>
          </w:p>
        </w:tc>
        <w:tc>
          <w:tcPr>
            <w:tcW w:w="5580" w:type="dxa"/>
          </w:tcPr>
          <w:p>
            <w:pPr>
              <w:spacing w:after="0" w:line="240" w:lineRule="auto"/>
              <w:rPr>
                <w:rFonts w:hint="eastAsia" w:ascii="宋体" w:hAnsi="宋体" w:eastAsia="宋体" w:cs="宋体"/>
                <w:b/>
                <w:sz w:val="24"/>
                <w:szCs w:val="24"/>
                <w:lang w:eastAsia="zh-CN"/>
              </w:rPr>
            </w:pPr>
            <w:bookmarkStart w:id="129" w:name="_Hlk8837913"/>
            <w:r>
              <w:rPr>
                <w:rFonts w:hint="eastAsia" w:ascii="宋体" w:hAnsi="宋体" w:eastAsia="宋体" w:cs="宋体"/>
                <w:sz w:val="24"/>
                <w:szCs w:val="24"/>
                <w:lang w:eastAsia="zh-CN"/>
              </w:rPr>
              <w:t>支持PDA接收血袋，记录接收人、接收时间。包含输注核对、输注巡视、智能提醒、血袋回收等功能。</w:t>
            </w:r>
            <w:bookmarkEnd w:id="129"/>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vAlign w:val="center"/>
          </w:tcPr>
          <w:p>
            <w:pPr>
              <w:spacing w:after="0" w:line="360" w:lineRule="auto"/>
              <w:jc w:val="center"/>
              <w:rPr>
                <w:rFonts w:hint="eastAsia" w:ascii="宋体" w:hAnsi="宋体" w:eastAsia="宋体" w:cs="宋体"/>
                <w:sz w:val="24"/>
                <w:szCs w:val="24"/>
                <w:lang w:eastAsia="zh-CN"/>
              </w:rPr>
            </w:pPr>
          </w:p>
        </w:tc>
        <w:tc>
          <w:tcPr>
            <w:tcW w:w="1695" w:type="dxa"/>
            <w:vAlign w:val="center"/>
          </w:tcPr>
          <w:p>
            <w:pPr>
              <w:spacing w:after="0"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移动护理</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按照互联互通标准和护理操作要求，实现输血系统和移动护士站/移动护理系统对接（提供接口或者独立的APK安装包）</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12</w:t>
            </w:r>
          </w:p>
        </w:tc>
        <w:tc>
          <w:tcPr>
            <w:tcW w:w="7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量化评分</w:t>
            </w:r>
          </w:p>
        </w:tc>
        <w:tc>
          <w:tcPr>
            <w:tcW w:w="1695" w:type="dxa"/>
            <w:vAlign w:val="center"/>
          </w:tcPr>
          <w:p>
            <w:pPr>
              <w:spacing w:after="0" w:line="240" w:lineRule="auto"/>
              <w:jc w:val="center"/>
              <w:rPr>
                <w:rFonts w:hint="eastAsia" w:ascii="宋体" w:hAnsi="宋体" w:eastAsia="宋体" w:cs="宋体"/>
                <w:sz w:val="24"/>
                <w:szCs w:val="24"/>
                <w:lang w:eastAsia="zh-CN"/>
              </w:rPr>
            </w:pPr>
            <w:r>
              <w:rPr>
                <w:rFonts w:hint="eastAsia" w:ascii="宋体" w:hAnsi="宋体" w:eastAsia="宋体" w:cs="宋体"/>
                <w:sz w:val="24"/>
                <w:szCs w:val="24"/>
              </w:rPr>
              <w:t>量化评分</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系统支持可视化闭环及量化评分：</w:t>
            </w:r>
          </w:p>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显示输血流程各节点完成情况并量化评分，可按照科室、医生、护士进行统计排名，</w:t>
            </w:r>
            <w:r>
              <w:rPr>
                <w:rFonts w:hint="eastAsia" w:ascii="宋体" w:hAnsi="宋体" w:eastAsia="宋体" w:cs="宋体"/>
                <w:b/>
                <w:sz w:val="24"/>
                <w:szCs w:val="24"/>
                <w:lang w:eastAsia="zh-CN"/>
              </w:rPr>
              <w:t>并可点击申请单查看详情。</w:t>
            </w:r>
            <w:r>
              <w:rPr>
                <w:rFonts w:hint="eastAsia" w:ascii="宋体" w:hAnsi="宋体" w:eastAsia="宋体" w:cs="宋体"/>
                <w:sz w:val="24"/>
                <w:szCs w:val="24"/>
                <w:lang w:eastAsia="zh-CN"/>
              </w:rPr>
              <w:t>（提供功能截图）</w:t>
            </w:r>
          </w:p>
        </w:tc>
        <w:tc>
          <w:tcPr>
            <w:tcW w:w="1215" w:type="dxa"/>
          </w:tcPr>
          <w:p>
            <w:pPr>
              <w:spacing w:after="0"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13</w:t>
            </w:r>
          </w:p>
        </w:tc>
        <w:tc>
          <w:tcPr>
            <w:tcW w:w="795" w:type="dxa"/>
            <w:vAlign w:val="center"/>
          </w:tcPr>
          <w:p>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统计报表</w:t>
            </w:r>
          </w:p>
        </w:tc>
        <w:tc>
          <w:tcPr>
            <w:tcW w:w="1695" w:type="dxa"/>
            <w:vAlign w:val="center"/>
          </w:tcPr>
          <w:p>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统计报表</w:t>
            </w:r>
          </w:p>
        </w:tc>
        <w:tc>
          <w:tcPr>
            <w:tcW w:w="5580" w:type="dxa"/>
          </w:tcPr>
          <w:p>
            <w:pPr>
              <w:spacing w:after="0" w:line="24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1.基础数据统计模块：用血总量、异体用血总量、术中异体用血量、自体输血量、出院人数、手术台次、输血人次</w:t>
            </w:r>
          </w:p>
          <w:p>
            <w:pPr>
              <w:spacing w:after="0" w:line="24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2.用血评价指标模块：输血人均用血量、术中用血量比率、术中红细胞自体输血率、自体输血率表、输血流程评分、单病种用血量、出院人均用血量、手术台均用血量、输血患者比率</w:t>
            </w:r>
          </w:p>
          <w:p>
            <w:pPr>
              <w:spacing w:after="0" w:line="24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3.工作量统计模块：检验结果汇总、检验项目和费用统计、标本接收记录表、稀有血型记录、住院病人血型分布统计、血型分布和库存对应表</w:t>
            </w:r>
          </w:p>
          <w:p>
            <w:pPr>
              <w:spacing w:after="0" w:line="240" w:lineRule="auto"/>
              <w:rPr>
                <w:rFonts w:hint="eastAsia" w:ascii="宋体" w:hAnsi="宋体" w:eastAsia="宋体" w:cs="宋体"/>
                <w:sz w:val="24"/>
                <w:szCs w:val="24"/>
                <w:lang w:eastAsia="zh-CN"/>
              </w:rPr>
            </w:pPr>
            <w:r>
              <w:rPr>
                <w:rFonts w:hint="eastAsia" w:ascii="宋体" w:hAnsi="宋体" w:eastAsia="宋体" w:cs="宋体"/>
                <w:bCs/>
                <w:sz w:val="24"/>
                <w:szCs w:val="24"/>
                <w:lang w:eastAsia="zh-CN"/>
              </w:rPr>
              <w:t>4.库血统计模块：血液入库统计、血液出库统计、血液库存统计、血液入库清单、血液出库清单、血液库存清单、超量发血统计、超量发血明细、自体血入库记录、自体血出库记录、库存预警报表</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restart"/>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14</w:t>
            </w:r>
          </w:p>
        </w:tc>
        <w:tc>
          <w:tcPr>
            <w:tcW w:w="795" w:type="dxa"/>
            <w:vMerge w:val="restart"/>
            <w:vAlign w:val="center"/>
          </w:tcPr>
          <w:p>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用户权限</w:t>
            </w:r>
            <w:r>
              <w:rPr>
                <w:rFonts w:hint="eastAsia" w:ascii="宋体" w:hAnsi="宋体" w:eastAsia="宋体" w:cs="宋体"/>
                <w:sz w:val="24"/>
                <w:szCs w:val="24"/>
              </w:rPr>
              <w:t>管理</w:t>
            </w:r>
          </w:p>
        </w:tc>
        <w:tc>
          <w:tcPr>
            <w:tcW w:w="1695" w:type="dxa"/>
            <w:vMerge w:val="restart"/>
            <w:vAlign w:val="center"/>
          </w:tcPr>
          <w:p>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权限管理</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系统提供详细的权限管理功能，对不同的操作人员提供不同的系统操作权限。</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vAlign w:val="center"/>
          </w:tcPr>
          <w:p>
            <w:pPr>
              <w:spacing w:after="0" w:line="360" w:lineRule="auto"/>
              <w:jc w:val="center"/>
              <w:rPr>
                <w:rFonts w:hint="eastAsia" w:ascii="宋体" w:hAnsi="宋体" w:eastAsia="宋体" w:cs="宋体"/>
                <w:sz w:val="24"/>
                <w:szCs w:val="24"/>
                <w:lang w:eastAsia="zh-CN"/>
              </w:rPr>
            </w:pPr>
          </w:p>
        </w:tc>
        <w:tc>
          <w:tcPr>
            <w:tcW w:w="1695" w:type="dxa"/>
            <w:vMerge w:val="continue"/>
            <w:vAlign w:val="center"/>
          </w:tcPr>
          <w:p>
            <w:pPr>
              <w:spacing w:after="0" w:line="240" w:lineRule="auto"/>
              <w:ind w:left="440"/>
              <w:jc w:val="center"/>
              <w:rPr>
                <w:rFonts w:hint="eastAsia" w:ascii="宋体" w:hAnsi="宋体" w:eastAsia="宋体" w:cs="宋体"/>
                <w:sz w:val="24"/>
                <w:szCs w:val="24"/>
                <w:lang w:eastAsia="zh-CN"/>
              </w:rPr>
            </w:pP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用户可以自行定义权限；</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vAlign w:val="center"/>
          </w:tcPr>
          <w:p>
            <w:pPr>
              <w:spacing w:after="0" w:line="360" w:lineRule="auto"/>
              <w:jc w:val="center"/>
              <w:rPr>
                <w:rFonts w:hint="eastAsia" w:ascii="宋体" w:hAnsi="宋体" w:eastAsia="宋体" w:cs="宋体"/>
                <w:sz w:val="24"/>
                <w:szCs w:val="24"/>
                <w:lang w:eastAsia="zh-CN"/>
              </w:rPr>
            </w:pPr>
          </w:p>
        </w:tc>
        <w:tc>
          <w:tcPr>
            <w:tcW w:w="1695" w:type="dxa"/>
            <w:vMerge w:val="continue"/>
            <w:vAlign w:val="center"/>
          </w:tcPr>
          <w:p>
            <w:pPr>
              <w:spacing w:after="0" w:line="240" w:lineRule="auto"/>
              <w:ind w:left="440"/>
              <w:jc w:val="center"/>
              <w:rPr>
                <w:rFonts w:hint="eastAsia" w:ascii="宋体" w:hAnsi="宋体" w:eastAsia="宋体" w:cs="宋体"/>
                <w:sz w:val="24"/>
                <w:szCs w:val="24"/>
                <w:lang w:eastAsia="zh-CN"/>
              </w:rPr>
            </w:pPr>
          </w:p>
        </w:tc>
        <w:tc>
          <w:tcPr>
            <w:tcW w:w="5580" w:type="dxa"/>
          </w:tcPr>
          <w:p>
            <w:pPr>
              <w:spacing w:after="0" w:line="240" w:lineRule="auto"/>
              <w:rPr>
                <w:rFonts w:hint="eastAsia" w:ascii="宋体" w:hAnsi="宋体" w:eastAsia="宋体" w:cs="宋体"/>
                <w:bCs/>
                <w:color w:val="000000"/>
                <w:sz w:val="24"/>
                <w:szCs w:val="24"/>
                <w:lang w:eastAsia="zh-CN"/>
              </w:rPr>
            </w:pPr>
            <w:r>
              <w:rPr>
                <w:rFonts w:hint="eastAsia" w:ascii="宋体" w:hAnsi="宋体" w:eastAsia="宋体" w:cs="宋体"/>
                <w:sz w:val="24"/>
                <w:szCs w:val="24"/>
                <w:lang w:eastAsia="zh-CN"/>
              </w:rPr>
              <w:t>权限可以分组分角色进行管理。</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vAlign w:val="center"/>
          </w:tcPr>
          <w:p>
            <w:pPr>
              <w:spacing w:after="0" w:line="360" w:lineRule="auto"/>
              <w:jc w:val="center"/>
              <w:rPr>
                <w:rFonts w:hint="eastAsia" w:ascii="宋体" w:hAnsi="宋体" w:eastAsia="宋体" w:cs="宋体"/>
                <w:sz w:val="24"/>
                <w:szCs w:val="24"/>
                <w:lang w:eastAsia="zh-CN"/>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信息维护</w:t>
            </w:r>
          </w:p>
        </w:tc>
        <w:tc>
          <w:tcPr>
            <w:tcW w:w="5580" w:type="dxa"/>
          </w:tcPr>
          <w:p>
            <w:pPr>
              <w:spacing w:after="0" w:line="240" w:lineRule="auto"/>
              <w:rPr>
                <w:rFonts w:hint="eastAsia" w:ascii="宋体" w:hAnsi="宋体" w:eastAsia="宋体" w:cs="宋体"/>
                <w:color w:val="FF0000"/>
                <w:sz w:val="24"/>
                <w:szCs w:val="24"/>
                <w:lang w:eastAsia="zh-CN"/>
              </w:rPr>
            </w:pPr>
            <w:r>
              <w:rPr>
                <w:rFonts w:hint="eastAsia" w:ascii="宋体" w:hAnsi="宋体" w:eastAsia="宋体" w:cs="宋体"/>
                <w:sz w:val="24"/>
                <w:szCs w:val="24"/>
                <w:lang w:eastAsia="zh-CN"/>
              </w:rPr>
              <w:t>医生、护士或输血科用户登录系统后，可以在个人信息维护界面完善自己的信息，包括签名图片以及自定义配置（包括是否打开消息提醒，主题切换）等个性化配置</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15</w:t>
            </w:r>
          </w:p>
        </w:tc>
        <w:tc>
          <w:tcPr>
            <w:tcW w:w="795" w:type="dxa"/>
            <w:vAlign w:val="center"/>
          </w:tcPr>
          <w:p>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智能评估</w:t>
            </w:r>
          </w:p>
        </w:tc>
        <w:tc>
          <w:tcPr>
            <w:tcW w:w="1695" w:type="dxa"/>
            <w:vAlign w:val="center"/>
          </w:tcPr>
          <w:p>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智能评估</w:t>
            </w:r>
          </w:p>
        </w:tc>
        <w:tc>
          <w:tcPr>
            <w:tcW w:w="5580" w:type="dxa"/>
          </w:tcPr>
          <w:p>
            <w:pPr>
              <w:spacing w:after="0" w:line="240" w:lineRule="auto"/>
              <w:rPr>
                <w:rFonts w:hint="eastAsia" w:ascii="宋体" w:hAnsi="宋体" w:eastAsia="宋体" w:cs="宋体"/>
                <w:bCs/>
                <w:sz w:val="24"/>
                <w:szCs w:val="24"/>
                <w:lang w:eastAsia="zh-CN"/>
              </w:rPr>
            </w:pPr>
            <w:r>
              <w:rPr>
                <w:rFonts w:hint="eastAsia" w:ascii="宋体" w:hAnsi="宋体" w:eastAsia="宋体" w:cs="宋体"/>
                <w:sz w:val="24"/>
                <w:szCs w:val="24"/>
                <w:lang w:eastAsia="zh-CN"/>
              </w:rPr>
              <w:t>系统可以通过参数设置自动对输血申请的合理性进行自动智能评估。 根据当前患者体征、临床诊断、所在科室、各项检验结果等信息进行自动评估，如果需要医生录入相关信息，需要根据当前患者情况进行个性化引导操作。（提供功能截图）</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16</w:t>
            </w:r>
          </w:p>
        </w:tc>
        <w:tc>
          <w:tcPr>
            <w:tcW w:w="795" w:type="dxa"/>
            <w:vAlign w:val="center"/>
          </w:tcPr>
          <w:p>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回收管理</w:t>
            </w:r>
          </w:p>
        </w:tc>
        <w:tc>
          <w:tcPr>
            <w:tcW w:w="1695" w:type="dxa"/>
            <w:vAlign w:val="center"/>
          </w:tcPr>
          <w:p>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回收管理</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血袋回收管理；支持条码扫描录入。支持输血科批量回收模式</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restart"/>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17</w:t>
            </w:r>
          </w:p>
        </w:tc>
        <w:tc>
          <w:tcPr>
            <w:tcW w:w="795" w:type="dxa"/>
            <w:vMerge w:val="restart"/>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质控管理</w:t>
            </w:r>
          </w:p>
        </w:tc>
        <w:tc>
          <w:tcPr>
            <w:tcW w:w="1695" w:type="dxa"/>
            <w:vAlign w:val="center"/>
          </w:tcPr>
          <w:p>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lang w:eastAsia="zh-CN"/>
              </w:rPr>
              <w:t>不良事件</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输血不良事件上报管理，实现以输血科为首，医师和护士的根因分析管理与统计</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vAlign w:val="center"/>
          </w:tcPr>
          <w:p>
            <w:pPr>
              <w:spacing w:after="0" w:line="360" w:lineRule="auto"/>
              <w:jc w:val="center"/>
              <w:rPr>
                <w:rFonts w:hint="eastAsia" w:ascii="宋体" w:hAnsi="宋体" w:eastAsia="宋体" w:cs="宋体"/>
                <w:sz w:val="24"/>
                <w:szCs w:val="24"/>
                <w:lang w:eastAsia="zh-CN"/>
              </w:rPr>
            </w:pPr>
          </w:p>
        </w:tc>
        <w:tc>
          <w:tcPr>
            <w:tcW w:w="1695" w:type="dxa"/>
            <w:vAlign w:val="center"/>
          </w:tcPr>
          <w:p>
            <w:pPr>
              <w:spacing w:after="0"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完整的日志</w:t>
            </w:r>
          </w:p>
          <w:p>
            <w:pPr>
              <w:spacing w:after="0"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记录</w:t>
            </w:r>
          </w:p>
        </w:tc>
        <w:tc>
          <w:tcPr>
            <w:tcW w:w="5580" w:type="dxa"/>
          </w:tcPr>
          <w:p>
            <w:pPr>
              <w:spacing w:after="0" w:line="240" w:lineRule="auto"/>
              <w:rPr>
                <w:rFonts w:hint="eastAsia" w:ascii="宋体" w:hAnsi="宋体" w:eastAsia="宋体" w:cs="宋体"/>
                <w:color w:val="FF0000"/>
                <w:sz w:val="24"/>
                <w:szCs w:val="24"/>
                <w:lang w:eastAsia="zh-CN"/>
              </w:rPr>
            </w:pPr>
            <w:r>
              <w:rPr>
                <w:rFonts w:hint="eastAsia" w:ascii="宋体" w:hAnsi="宋体" w:eastAsia="宋体" w:cs="宋体"/>
                <w:color w:val="000000" w:themeColor="text1"/>
                <w:sz w:val="24"/>
                <w:szCs w:val="24"/>
                <w:lang w:eastAsia="zh-CN"/>
                <w14:textFill>
                  <w14:solidFill>
                    <w14:schemeClr w14:val="tx1"/>
                  </w14:solidFill>
                </w14:textFill>
              </w:rPr>
              <w:t>记录每次用户登录的ip用户名，及登录后的敏感操作信息，比如检验结果录入修改删除等，每个申请单的审核记录日志。</w:t>
            </w:r>
            <w:r>
              <w:rPr>
                <w:rFonts w:hint="eastAsia" w:ascii="宋体" w:hAnsi="宋体" w:eastAsia="宋体" w:cs="宋体"/>
                <w:sz w:val="24"/>
                <w:szCs w:val="24"/>
                <w:lang w:eastAsia="zh-CN"/>
              </w:rPr>
              <w:t>（提供功能截图）</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after="0" w:line="360" w:lineRule="auto"/>
              <w:jc w:val="center"/>
              <w:rPr>
                <w:rFonts w:hint="eastAsia" w:ascii="宋体" w:hAnsi="宋体" w:eastAsia="宋体" w:cs="宋体"/>
                <w:sz w:val="24"/>
                <w:szCs w:val="24"/>
                <w:lang w:eastAsia="zh-CN"/>
              </w:rPr>
            </w:pPr>
          </w:p>
        </w:tc>
        <w:tc>
          <w:tcPr>
            <w:tcW w:w="795" w:type="dxa"/>
            <w:vMerge w:val="continue"/>
            <w:vAlign w:val="center"/>
          </w:tcPr>
          <w:p>
            <w:pPr>
              <w:spacing w:after="0" w:line="360" w:lineRule="auto"/>
              <w:jc w:val="center"/>
              <w:rPr>
                <w:rFonts w:hint="eastAsia" w:ascii="宋体" w:hAnsi="宋体" w:eastAsia="宋体" w:cs="宋体"/>
                <w:sz w:val="24"/>
                <w:szCs w:val="24"/>
                <w:lang w:eastAsia="zh-CN"/>
              </w:rPr>
            </w:pPr>
          </w:p>
        </w:tc>
        <w:tc>
          <w:tcPr>
            <w:tcW w:w="1695"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其他</w:t>
            </w:r>
          </w:p>
        </w:tc>
        <w:tc>
          <w:tcPr>
            <w:tcW w:w="5580" w:type="dxa"/>
          </w:tcPr>
          <w:p>
            <w:pPr>
              <w:spacing w:after="0" w:line="24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sz w:val="24"/>
                <w:szCs w:val="24"/>
                <w:lang w:eastAsia="zh-CN"/>
              </w:rPr>
              <w:t>针对后续新的输血规范、功能模块统一更新升级</w:t>
            </w:r>
            <w:r>
              <w:rPr>
                <w:rFonts w:hint="eastAsia" w:ascii="宋体" w:hAnsi="宋体" w:eastAsia="宋体" w:cs="宋体"/>
                <w:sz w:val="24"/>
                <w:szCs w:val="24"/>
                <w:lang w:eastAsia="zh-CN"/>
              </w:rPr>
              <w:t>，以满足医院输血质量控制工作要求</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18</w:t>
            </w:r>
          </w:p>
        </w:tc>
        <w:tc>
          <w:tcPr>
            <w:tcW w:w="795" w:type="dxa"/>
            <w:vAlign w:val="center"/>
          </w:tcPr>
          <w:p>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系统接口</w:t>
            </w:r>
          </w:p>
        </w:tc>
        <w:tc>
          <w:tcPr>
            <w:tcW w:w="1695" w:type="dxa"/>
            <w:vAlign w:val="center"/>
          </w:tcPr>
          <w:p>
            <w:pPr>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系统接口</w:t>
            </w:r>
          </w:p>
        </w:tc>
        <w:tc>
          <w:tcPr>
            <w:tcW w:w="5580" w:type="dxa"/>
          </w:tcPr>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系统需要与医院内部业务系统进行数据互联互通，主要包括HIS系统、手麻系统、LIS系统等，另外系统支持条码扫描接口、PDA接口等</w:t>
            </w:r>
          </w:p>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1）从HIS中提取患者基本信息、临床科室信息、临床医护人员信息、物价信息等。</w:t>
            </w:r>
          </w:p>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2）与HIS、手麻系统进行交互。例如备血医嘱、输血医嘱、收费信息、输血核对等消息。</w:t>
            </w:r>
          </w:p>
          <w:p>
            <w:pPr>
              <w:spacing w:after="0"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3）从LIS中提取患者输血前相关实验结果。</w:t>
            </w:r>
          </w:p>
        </w:tc>
        <w:tc>
          <w:tcPr>
            <w:tcW w:w="1215" w:type="dxa"/>
          </w:tcPr>
          <w:p>
            <w:pPr>
              <w:spacing w:after="0" w:line="360" w:lineRule="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19</w:t>
            </w:r>
          </w:p>
        </w:tc>
        <w:tc>
          <w:tcPr>
            <w:tcW w:w="795" w:type="dxa"/>
            <w:vAlign w:val="center"/>
          </w:tcPr>
          <w:p>
            <w:pPr>
              <w:spacing w:after="0"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其他</w:t>
            </w:r>
          </w:p>
        </w:tc>
        <w:tc>
          <w:tcPr>
            <w:tcW w:w="1695" w:type="dxa"/>
            <w:vAlign w:val="center"/>
          </w:tcPr>
          <w:p>
            <w:pPr>
              <w:spacing w:after="0"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项目理解</w:t>
            </w:r>
          </w:p>
        </w:tc>
        <w:tc>
          <w:tcPr>
            <w:tcW w:w="5580" w:type="dxa"/>
          </w:tcPr>
          <w:p>
            <w:pPr>
              <w:pStyle w:val="134"/>
              <w:numPr>
                <w:ilvl w:val="0"/>
                <w:numId w:val="0"/>
              </w:numPr>
              <w:spacing w:after="0" w:line="240" w:lineRule="auto"/>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对本项目的实际情况理解进行描述</w:t>
            </w:r>
          </w:p>
          <w:p>
            <w:pPr>
              <w:pStyle w:val="134"/>
              <w:numPr>
                <w:ilvl w:val="0"/>
                <w:numId w:val="0"/>
              </w:numPr>
              <w:spacing w:after="0" w:line="240" w:lineRule="auto"/>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完善的系统切换方案、数据迁移、利用等</w:t>
            </w:r>
          </w:p>
        </w:tc>
        <w:tc>
          <w:tcPr>
            <w:tcW w:w="1215" w:type="dxa"/>
          </w:tcPr>
          <w:p>
            <w:pPr>
              <w:spacing w:after="0" w:line="360" w:lineRule="auto"/>
              <w:rPr>
                <w:rFonts w:hint="eastAsia" w:ascii="宋体" w:hAnsi="宋体" w:eastAsia="宋体" w:cs="宋体"/>
                <w:sz w:val="24"/>
                <w:szCs w:val="24"/>
                <w:lang w:eastAsia="zh-CN"/>
              </w:rPr>
            </w:pPr>
          </w:p>
        </w:tc>
      </w:tr>
    </w:tbl>
    <w:p>
      <w:pPr>
        <w:spacing w:line="360" w:lineRule="auto"/>
        <w:ind w:firstLine="480"/>
        <w:rPr>
          <w:rFonts w:ascii="Times New Roman" w:hAnsi="Times New Roman" w:eastAsia="宋体" w:cs="Times New Roman"/>
          <w:bCs/>
          <w:kern w:val="2"/>
          <w:sz w:val="28"/>
          <w:szCs w:val="20"/>
          <w:lang w:eastAsia="zh-CN" w:bidi="ar-SA"/>
        </w:rPr>
      </w:pPr>
      <w:r>
        <w:rPr>
          <w:rFonts w:hint="eastAsia" w:ascii="Times New Roman" w:hAnsi="Times New Roman" w:eastAsia="宋体" w:cs="Times New Roman"/>
          <w:bCs/>
          <w:kern w:val="2"/>
          <w:sz w:val="28"/>
          <w:szCs w:val="20"/>
          <w:lang w:eastAsia="zh-CN" w:bidi="ar-SA"/>
        </w:rPr>
        <w:t>备注：</w:t>
      </w:r>
    </w:p>
    <w:p>
      <w:pPr>
        <w:spacing w:after="0" w:line="360" w:lineRule="auto"/>
        <w:ind w:left="840" w:leftChars="400"/>
        <w:rPr>
          <w:sz w:val="24"/>
          <w:szCs w:val="24"/>
          <w:lang w:eastAsia="zh-CN"/>
        </w:rPr>
      </w:pPr>
      <w:r>
        <w:rPr>
          <w:rFonts w:hint="eastAsia"/>
          <w:sz w:val="24"/>
          <w:szCs w:val="24"/>
          <w:lang w:eastAsia="zh-CN"/>
        </w:rPr>
        <w:t>对于标有“△”进行现场重点演示，提供功能截图内容须在标书中体现。</w:t>
      </w:r>
    </w:p>
    <w:p/>
    <w:p>
      <w:pPr>
        <w:rPr>
          <w:highlight w:val="none"/>
        </w:rPr>
      </w:pPr>
    </w:p>
    <w:p>
      <w:pPr>
        <w:spacing w:line="360" w:lineRule="auto"/>
        <w:jc w:val="center"/>
        <w:rPr>
          <w:rFonts w:ascii="宋体"/>
          <w:b/>
          <w:sz w:val="36"/>
          <w:highlight w:val="none"/>
        </w:rPr>
      </w:pPr>
      <w:r>
        <w:rPr>
          <w:rFonts w:hint="eastAsia" w:ascii="宋体" w:hAnsi="宋体" w:cs="宋体"/>
          <w:b/>
          <w:sz w:val="24"/>
          <w:highlight w:val="none"/>
        </w:rPr>
        <w:br w:type="page"/>
      </w:r>
      <w:r>
        <w:rPr>
          <w:rFonts w:hint="eastAsia" w:ascii="宋体" w:hAnsi="宋体"/>
          <w:b/>
          <w:sz w:val="36"/>
          <w:highlight w:val="none"/>
        </w:rPr>
        <w:t>第四部分合同条款及格式</w:t>
      </w:r>
      <w:bookmarkEnd w:id="127"/>
    </w:p>
    <w:p>
      <w:pPr>
        <w:pStyle w:val="20"/>
        <w:tabs>
          <w:tab w:val="left" w:pos="0"/>
        </w:tabs>
        <w:spacing w:line="480" w:lineRule="exact"/>
        <w:ind w:left="0" w:leftChars="0" w:firstLine="0" w:firstLineChars="0"/>
        <w:jc w:val="center"/>
        <w:rPr>
          <w:rFonts w:ascii="宋体"/>
          <w:sz w:val="28"/>
          <w:szCs w:val="28"/>
          <w:highlight w:val="none"/>
        </w:rPr>
      </w:pPr>
    </w:p>
    <w:p>
      <w:pPr>
        <w:pStyle w:val="20"/>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2"/>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2"/>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2"/>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2"/>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2"/>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2"/>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2"/>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2"/>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2"/>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2"/>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2"/>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2"/>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2"/>
        <w:spacing w:line="480" w:lineRule="exact"/>
        <w:rPr>
          <w:rFonts w:ascii="宋体"/>
          <w:bCs/>
          <w:highlight w:val="none"/>
        </w:rPr>
      </w:pPr>
      <w:r>
        <w:rPr>
          <w:rFonts w:ascii="宋体" w:hAnsi="宋体"/>
          <w:bCs/>
          <w:highlight w:val="none"/>
        </w:rPr>
        <w:t>4</w:t>
      </w:r>
      <w:r>
        <w:rPr>
          <w:rFonts w:hint="eastAsia" w:ascii="宋体" w:hAnsi="宋体"/>
          <w:bCs/>
          <w:highlight w:val="none"/>
        </w:rPr>
        <w:t>、付款</w:t>
      </w:r>
    </w:p>
    <w:p>
      <w:pPr>
        <w:pStyle w:val="2"/>
        <w:spacing w:line="480" w:lineRule="exact"/>
        <w:ind w:left="1"/>
        <w:rPr>
          <w:rFonts w:hint="eastAsia" w:ascii="宋体" w:hAnsi="宋体" w:eastAsia="宋体" w:cs="Times New Roman"/>
          <w:bCs/>
          <w:highlight w:val="none"/>
        </w:rPr>
      </w:pPr>
      <w:r>
        <w:rPr>
          <w:rFonts w:hint="eastAsia" w:ascii="宋体" w:hAnsi="宋体" w:eastAsia="宋体" w:cs="Times New Roman"/>
          <w:bCs/>
          <w:highlight w:val="none"/>
        </w:rPr>
        <w:t>付款方式：</w:t>
      </w:r>
    </w:p>
    <w:p>
      <w:pPr>
        <w:pStyle w:val="2"/>
        <w:spacing w:line="480" w:lineRule="exact"/>
        <w:ind w:left="1"/>
        <w:rPr>
          <w:rFonts w:hint="eastAsia" w:ascii="宋体" w:hAnsi="宋体" w:eastAsia="宋体" w:cs="Times New Roman"/>
          <w:bCs/>
          <w:highlight w:val="none"/>
          <w:lang w:eastAsia="zh-CN"/>
        </w:rPr>
      </w:pPr>
      <w:r>
        <w:rPr>
          <w:rFonts w:hint="eastAsia" w:ascii="宋体" w:hAnsi="宋体" w:cs="Times New Roman"/>
          <w:bCs/>
          <w:highlight w:val="none"/>
          <w:lang w:eastAsia="zh-CN"/>
        </w:rPr>
        <w:t>整体系统部署完成能够正常使用且由甲方信息中心验收通过，且办理入库手续后，支付合同总金额的90%；乙方履行完一年免费维保期后，支付合同余款10%。以上所有付款节点乙方均需开具正规发票。</w:t>
      </w:r>
    </w:p>
    <w:p>
      <w:pPr>
        <w:pStyle w:val="2"/>
        <w:spacing w:line="480" w:lineRule="exact"/>
        <w:ind w:left="1"/>
        <w:rPr>
          <w:rFonts w:ascii="宋体"/>
          <w:bCs/>
          <w:highlight w:val="none"/>
        </w:rPr>
      </w:pP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2"/>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2"/>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2"/>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2"/>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2"/>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2"/>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2"/>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2"/>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2"/>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2"/>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2"/>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2"/>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2"/>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2"/>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2"/>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2"/>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2"/>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2"/>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2"/>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2"/>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2"/>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2"/>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2"/>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2"/>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2"/>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2"/>
        <w:spacing w:line="480" w:lineRule="exact"/>
        <w:rPr>
          <w:rFonts w:ascii="宋体"/>
          <w:bCs/>
          <w:highlight w:val="none"/>
        </w:rPr>
      </w:pPr>
      <w:bookmarkStart w:id="130" w:name="_Toc487900361"/>
      <w:r>
        <w:rPr>
          <w:rFonts w:ascii="宋体" w:hAnsi="宋体"/>
          <w:bCs/>
          <w:highlight w:val="none"/>
        </w:rPr>
        <w:t>11</w:t>
      </w:r>
      <w:r>
        <w:rPr>
          <w:rFonts w:hint="eastAsia" w:ascii="宋体" w:hAnsi="宋体"/>
          <w:bCs/>
          <w:highlight w:val="none"/>
        </w:rPr>
        <w:t>、索赔</w:t>
      </w:r>
      <w:bookmarkEnd w:id="130"/>
    </w:p>
    <w:p>
      <w:pPr>
        <w:pStyle w:val="2"/>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2"/>
        <w:spacing w:line="480" w:lineRule="exact"/>
        <w:ind w:left="1"/>
        <w:rPr>
          <w:rFonts w:ascii="宋体"/>
          <w:bCs/>
          <w:highlight w:val="none"/>
        </w:rPr>
      </w:pPr>
      <w:bookmarkStart w:id="131"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31"/>
    </w:p>
    <w:p>
      <w:pPr>
        <w:pStyle w:val="2"/>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2"/>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2"/>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2"/>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2"/>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2"/>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2"/>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2"/>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2"/>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2"/>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2"/>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2"/>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2"/>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2"/>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2"/>
        <w:spacing w:line="480" w:lineRule="exact"/>
        <w:ind w:left="1"/>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2"/>
        <w:spacing w:line="480" w:lineRule="exact"/>
        <w:ind w:left="1"/>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2"/>
        <w:spacing w:line="480" w:lineRule="exact"/>
        <w:ind w:left="1"/>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2"/>
        <w:spacing w:line="480" w:lineRule="exact"/>
        <w:ind w:left="1"/>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2"/>
        <w:spacing w:line="480" w:lineRule="exact"/>
        <w:ind w:left="1"/>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2"/>
        <w:spacing w:line="480" w:lineRule="exact"/>
        <w:rPr>
          <w:rFonts w:ascii="宋体"/>
          <w:bCs/>
          <w:highlight w:val="none"/>
        </w:rPr>
      </w:pPr>
      <w:r>
        <w:rPr>
          <w:rFonts w:ascii="宋体" w:hAnsi="宋体"/>
          <w:bCs/>
          <w:highlight w:val="none"/>
        </w:rPr>
        <w:t>15</w:t>
      </w:r>
      <w:r>
        <w:rPr>
          <w:rFonts w:hint="eastAsia" w:ascii="宋体" w:hAnsi="宋体"/>
          <w:bCs/>
          <w:highlight w:val="none"/>
        </w:rPr>
        <w:t>、破产终止合同</w:t>
      </w:r>
    </w:p>
    <w:p>
      <w:pPr>
        <w:pStyle w:val="2"/>
        <w:spacing w:line="480" w:lineRule="exact"/>
        <w:ind w:left="1"/>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2"/>
        <w:spacing w:line="480" w:lineRule="exact"/>
        <w:rPr>
          <w:rFonts w:ascii="宋体"/>
          <w:bCs/>
          <w:highlight w:val="none"/>
        </w:rPr>
      </w:pPr>
      <w:r>
        <w:rPr>
          <w:rFonts w:ascii="宋体" w:hAnsi="宋体"/>
          <w:bCs/>
          <w:highlight w:val="none"/>
        </w:rPr>
        <w:t>16</w:t>
      </w:r>
      <w:r>
        <w:rPr>
          <w:rFonts w:hint="eastAsia" w:ascii="宋体" w:hAnsi="宋体"/>
          <w:bCs/>
          <w:highlight w:val="none"/>
        </w:rPr>
        <w:t>、不可抗力</w:t>
      </w:r>
    </w:p>
    <w:p>
      <w:pPr>
        <w:pStyle w:val="2"/>
        <w:spacing w:line="480" w:lineRule="exact"/>
        <w:ind w:left="1"/>
        <w:rPr>
          <w:rFonts w:ascii="宋体"/>
          <w:bCs/>
          <w:highlight w:val="none"/>
        </w:rPr>
      </w:pPr>
      <w:bookmarkStart w:id="132"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2"/>
        <w:spacing w:line="420" w:lineRule="exact"/>
        <w:ind w:left="1"/>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2"/>
        <w:spacing w:line="420" w:lineRule="exact"/>
        <w:ind w:left="763" w:hanging="763" w:hangingChars="318"/>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Cs/>
          <w:highlight w:val="none"/>
        </w:rPr>
      </w:pPr>
      <w:r>
        <w:rPr>
          <w:rFonts w:ascii="宋体" w:hAnsi="宋体"/>
          <w:bCs/>
          <w:highlight w:val="none"/>
        </w:rPr>
        <w:t xml:space="preserve">17   </w:t>
      </w:r>
      <w:r>
        <w:rPr>
          <w:rFonts w:hint="eastAsia" w:ascii="宋体" w:hAnsi="宋体"/>
          <w:bCs/>
          <w:highlight w:val="none"/>
        </w:rPr>
        <w:t>税费</w:t>
      </w:r>
      <w:bookmarkEnd w:id="132"/>
    </w:p>
    <w:p>
      <w:pPr>
        <w:pStyle w:val="2"/>
        <w:keepNext w:val="0"/>
        <w:keepLines w:val="0"/>
        <w:pageBreakBefore w:val="0"/>
        <w:widowControl w:val="0"/>
        <w:kinsoku/>
        <w:wordWrap/>
        <w:overflowPunct/>
        <w:topLinePunct w:val="0"/>
        <w:autoSpaceDE/>
        <w:autoSpaceDN/>
        <w:bidi w:val="0"/>
        <w:adjustRightInd/>
        <w:snapToGrid/>
        <w:spacing w:line="360" w:lineRule="exact"/>
        <w:ind w:left="763" w:hanging="763" w:hangingChars="318"/>
        <w:textAlignment w:val="auto"/>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Cs/>
          <w:highlight w:val="none"/>
        </w:rPr>
      </w:pPr>
      <w:bookmarkStart w:id="133" w:name="_Toc487900369"/>
      <w:r>
        <w:rPr>
          <w:rFonts w:ascii="宋体" w:hAnsi="宋体"/>
          <w:bCs/>
          <w:highlight w:val="none"/>
        </w:rPr>
        <w:t xml:space="preserve">18   </w:t>
      </w:r>
      <w:r>
        <w:rPr>
          <w:rFonts w:hint="eastAsia" w:ascii="宋体" w:hAnsi="宋体"/>
          <w:bCs/>
          <w:highlight w:val="none"/>
        </w:rPr>
        <w:t>转让和分包</w:t>
      </w:r>
      <w:bookmarkEnd w:id="133"/>
    </w:p>
    <w:p>
      <w:pPr>
        <w:pStyle w:val="2"/>
        <w:keepNext w:val="0"/>
        <w:keepLines w:val="0"/>
        <w:pageBreakBefore w:val="0"/>
        <w:widowControl w:val="0"/>
        <w:kinsoku/>
        <w:wordWrap/>
        <w:overflowPunct/>
        <w:topLinePunct w:val="0"/>
        <w:autoSpaceDE/>
        <w:autoSpaceDN/>
        <w:bidi w:val="0"/>
        <w:adjustRightInd/>
        <w:snapToGrid/>
        <w:spacing w:line="360" w:lineRule="exact"/>
        <w:ind w:left="763" w:hanging="763" w:hangingChars="318"/>
        <w:textAlignment w:val="auto"/>
        <w:rPr>
          <w:rFonts w:ascii="宋体"/>
          <w:bCs/>
          <w:highlight w:val="none"/>
        </w:rPr>
      </w:pPr>
      <w:r>
        <w:rPr>
          <w:rFonts w:hint="eastAsia" w:ascii="宋体" w:hAnsi="宋体"/>
          <w:bCs/>
          <w:highlight w:val="none"/>
        </w:rPr>
        <w:t>未经允许，本招标采购项目不得转让。</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Cs/>
          <w:highlight w:val="none"/>
        </w:rPr>
      </w:pPr>
      <w:bookmarkStart w:id="134" w:name="_Toc487900371"/>
      <w:r>
        <w:rPr>
          <w:rFonts w:ascii="宋体" w:hAnsi="宋体"/>
          <w:bCs/>
          <w:highlight w:val="none"/>
        </w:rPr>
        <w:t xml:space="preserve">19   </w:t>
      </w:r>
      <w:r>
        <w:rPr>
          <w:rFonts w:hint="eastAsia" w:ascii="宋体" w:hAnsi="宋体"/>
          <w:bCs/>
          <w:highlight w:val="none"/>
        </w:rPr>
        <w:t>通知</w:t>
      </w:r>
      <w:bookmarkEnd w:id="134"/>
    </w:p>
    <w:p>
      <w:pPr>
        <w:pStyle w:val="2"/>
        <w:keepNext w:val="0"/>
        <w:keepLines w:val="0"/>
        <w:pageBreakBefore w:val="0"/>
        <w:widowControl w:val="0"/>
        <w:kinsoku/>
        <w:wordWrap/>
        <w:overflowPunct/>
        <w:topLinePunct w:val="0"/>
        <w:autoSpaceDE/>
        <w:autoSpaceDN/>
        <w:bidi w:val="0"/>
        <w:adjustRightInd/>
        <w:snapToGrid/>
        <w:spacing w:line="360" w:lineRule="exact"/>
        <w:ind w:left="1"/>
        <w:textAlignment w:val="auto"/>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Cs/>
          <w:highlight w:val="none"/>
        </w:rPr>
      </w:pPr>
      <w:r>
        <w:rPr>
          <w:rFonts w:ascii="宋体" w:hAnsi="宋体"/>
          <w:bCs/>
          <w:highlight w:val="none"/>
        </w:rPr>
        <w:t>20</w:t>
      </w:r>
      <w:r>
        <w:rPr>
          <w:rFonts w:hint="eastAsia" w:ascii="宋体" w:hAnsi="宋体"/>
          <w:bCs/>
          <w:highlight w:val="none"/>
        </w:rPr>
        <w:t>、争议的解决</w:t>
      </w:r>
    </w:p>
    <w:p>
      <w:pPr>
        <w:pStyle w:val="2"/>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bCs/>
          <w:highlight w:val="none"/>
        </w:rPr>
      </w:pPr>
      <w:r>
        <w:rPr>
          <w:rFonts w:hint="eastAsia" w:ascii="宋体" w:hAnsi="宋体"/>
          <w:bCs/>
          <w:highlight w:val="none"/>
        </w:rPr>
        <w:t>合同发生纠纷时，双方应协商解决，协商不成可以提交济南仲裁委员会仲裁。</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Cs/>
          <w:highlight w:val="none"/>
        </w:rPr>
      </w:pPr>
      <w:r>
        <w:rPr>
          <w:rFonts w:ascii="宋体" w:hAnsi="宋体"/>
          <w:bCs/>
          <w:highlight w:val="none"/>
        </w:rPr>
        <w:t>21</w:t>
      </w:r>
      <w:r>
        <w:rPr>
          <w:rFonts w:hint="eastAsia" w:ascii="宋体" w:hAnsi="宋体"/>
          <w:bCs/>
          <w:highlight w:val="none"/>
        </w:rPr>
        <w:t>、合同生效</w:t>
      </w:r>
    </w:p>
    <w:p>
      <w:pPr>
        <w:pStyle w:val="2"/>
        <w:spacing w:line="420" w:lineRule="exact"/>
        <w:ind w:left="703" w:leftChars="200" w:hanging="283" w:hangingChars="118"/>
        <w:rPr>
          <w:rFonts w:ascii="宋体"/>
          <w:bCs/>
          <w:highlight w:val="none"/>
        </w:rPr>
      </w:pPr>
      <w:r>
        <w:rPr>
          <w:rFonts w:hint="eastAsia" w:ascii="宋体" w:hAnsi="宋体"/>
          <w:bCs/>
          <w:highlight w:val="none"/>
        </w:rPr>
        <w:t>本合同甲乙双方签章后即生效。</w:t>
      </w:r>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0"/>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290"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rPr>
        <w:t>项目名称</w:t>
      </w:r>
      <w:r>
        <w:rPr>
          <w:rFonts w:ascii="宋体" w:hAnsi="宋体"/>
          <w:sz w:val="24"/>
          <w:highlight w:val="none"/>
        </w:rPr>
        <w:t>)</w:t>
      </w:r>
      <w:r>
        <w:rPr>
          <w:rFonts w:hint="eastAsia" w:ascii="宋体" w:hAnsi="宋体"/>
          <w:sz w:val="24"/>
          <w:highlight w:val="none"/>
        </w:rPr>
        <w:t>经（代理机构名称）以招标文件在国内以公开招标方式进行采购。经评标委员会确定（乙方）为中标人。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5" w:name="_Toc15866"/>
      <w:bookmarkStart w:id="136" w:name="_Toc27021"/>
      <w:bookmarkStart w:id="137" w:name="_Toc15550"/>
      <w:r>
        <w:rPr>
          <w:rFonts w:hint="eastAsia" w:ascii="宋体" w:hAnsi="宋体"/>
          <w:b/>
          <w:bCs/>
          <w:sz w:val="24"/>
          <w:highlight w:val="none"/>
        </w:rPr>
        <w:t>一、本合同由合同文本和下列文件组成</w:t>
      </w:r>
      <w:bookmarkEnd w:id="135"/>
      <w:bookmarkEnd w:id="136"/>
      <w:bookmarkEnd w:id="137"/>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8" w:name="_Toc9903"/>
      <w:bookmarkStart w:id="139" w:name="_Toc9153"/>
      <w:bookmarkStart w:id="140" w:name="_Toc16073"/>
      <w:r>
        <w:rPr>
          <w:rFonts w:hint="eastAsia" w:ascii="宋体" w:hAnsi="宋体"/>
          <w:b/>
          <w:bCs/>
          <w:sz w:val="24"/>
          <w:highlight w:val="none"/>
        </w:rPr>
        <w:t>二、货物的名称、数量</w:t>
      </w:r>
      <w:bookmarkEnd w:id="138"/>
      <w:bookmarkEnd w:id="139"/>
      <w:bookmarkEnd w:id="140"/>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41" w:name="_Toc4618"/>
      <w:bookmarkStart w:id="142" w:name="_Toc1690"/>
      <w:bookmarkStart w:id="143" w:name="_Toc14263"/>
      <w:r>
        <w:rPr>
          <w:rFonts w:hint="eastAsia" w:ascii="宋体" w:hAnsi="宋体"/>
          <w:b/>
          <w:bCs/>
          <w:sz w:val="24"/>
          <w:highlight w:val="none"/>
        </w:rPr>
        <w:t>三、合同金额</w:t>
      </w:r>
      <w:bookmarkEnd w:id="141"/>
      <w:bookmarkEnd w:id="142"/>
      <w:bookmarkEnd w:id="143"/>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5"/>
        <w:snapToGrid w:val="0"/>
        <w:spacing w:line="480" w:lineRule="exact"/>
        <w:ind w:firstLine="960" w:firstLineChars="400"/>
        <w:rPr>
          <w:rFonts w:ascii="宋体"/>
          <w:sz w:val="24"/>
          <w:highlight w:val="none"/>
        </w:rPr>
      </w:pPr>
      <w:r>
        <w:rPr>
          <w:rFonts w:hint="eastAsia" w:ascii="宋体" w:hAnsi="宋体"/>
          <w:sz w:val="24"/>
          <w:highlight w:val="none"/>
        </w:rPr>
        <w:t>分项价格见中标货物清单</w:t>
      </w:r>
    </w:p>
    <w:p>
      <w:pPr>
        <w:snapToGrid w:val="0"/>
        <w:spacing w:line="480" w:lineRule="exact"/>
        <w:ind w:firstLine="482" w:firstLineChars="200"/>
        <w:outlineLvl w:val="0"/>
        <w:rPr>
          <w:rFonts w:ascii="宋体"/>
          <w:b/>
          <w:sz w:val="24"/>
          <w:highlight w:val="yellow"/>
        </w:rPr>
      </w:pPr>
      <w:bookmarkStart w:id="144" w:name="_Toc10675"/>
      <w:bookmarkStart w:id="145" w:name="_Toc19878"/>
      <w:bookmarkStart w:id="146" w:name="_Toc23604"/>
      <w:r>
        <w:rPr>
          <w:rFonts w:hint="eastAsia" w:ascii="宋体" w:hAnsi="宋体"/>
          <w:b/>
          <w:bCs/>
          <w:sz w:val="24"/>
          <w:highlight w:val="none"/>
        </w:rPr>
        <w:t>四、</w:t>
      </w:r>
      <w:bookmarkEnd w:id="144"/>
      <w:bookmarkEnd w:id="145"/>
      <w:bookmarkEnd w:id="146"/>
      <w:r>
        <w:rPr>
          <w:rFonts w:hint="eastAsia" w:ascii="宋体" w:hAnsi="宋体"/>
          <w:b/>
          <w:sz w:val="24"/>
          <w:highlight w:val="none"/>
        </w:rPr>
        <w:t>付款方式：</w:t>
      </w:r>
    </w:p>
    <w:p>
      <w:pPr>
        <w:tabs>
          <w:tab w:val="left" w:pos="764"/>
        </w:tabs>
        <w:snapToGrid w:val="0"/>
        <w:spacing w:line="480" w:lineRule="exact"/>
        <w:ind w:firstLine="476" w:firstLineChars="200"/>
        <w:rPr>
          <w:rFonts w:hint="eastAsia" w:ascii="仿宋" w:hAnsi="仿宋" w:eastAsia="仿宋"/>
          <w:spacing w:val="-1"/>
          <w:sz w:val="28"/>
          <w:szCs w:val="28"/>
          <w:highlight w:val="none"/>
          <w:lang w:eastAsia="zh-CN"/>
        </w:rPr>
      </w:pPr>
      <w:r>
        <w:rPr>
          <w:rFonts w:hint="eastAsia" w:ascii="宋体" w:hAnsi="宋体" w:cs="宋体"/>
          <w:spacing w:val="-1"/>
          <w:sz w:val="24"/>
          <w:szCs w:val="24"/>
          <w:highlight w:val="none"/>
          <w:lang w:eastAsia="zh-CN"/>
        </w:rPr>
        <w:t>整体系统部署完成能够正常使用且由甲方信息中心验收通过，且办理入库手续后，支付合同总金额的90%；乙方履行完一年免费维保期后，支付合同余款10%。以上所有付款节点乙方均需开具正规发票。</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五、交付时间、地点、验收方式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、交付日期：合同生效之日起</w:t>
      </w:r>
      <w:r>
        <w:rPr>
          <w:sz w:val="24"/>
          <w:highlight w:val="none"/>
          <w:u w:val="single"/>
        </w:rPr>
        <w:t xml:space="preserve">            </w:t>
      </w:r>
      <w:r>
        <w:rPr>
          <w:rFonts w:hint="eastAsia" w:ascii="宋体" w:hAnsi="宋体"/>
          <w:sz w:val="24"/>
          <w:highlight w:val="none"/>
        </w:rPr>
        <w:t>日内交付。。</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7" w:name="_Toc28907"/>
      <w:bookmarkStart w:id="148" w:name="_Toc12280"/>
      <w:bookmarkStart w:id="149" w:name="_Toc28569"/>
      <w:r>
        <w:rPr>
          <w:rFonts w:hint="eastAsia" w:ascii="宋体" w:hAnsi="宋体"/>
          <w:b/>
          <w:bCs/>
          <w:sz w:val="24"/>
          <w:highlight w:val="none"/>
        </w:rPr>
        <w:t>六、履约保证金</w:t>
      </w:r>
      <w:bookmarkEnd w:id="147"/>
      <w:bookmarkEnd w:id="148"/>
      <w:bookmarkEnd w:id="149"/>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50" w:name="_Toc29637"/>
      <w:bookmarkStart w:id="151" w:name="_Toc24320"/>
      <w:bookmarkStart w:id="152" w:name="_Toc609"/>
      <w:r>
        <w:rPr>
          <w:rFonts w:hint="eastAsia" w:ascii="宋体" w:hAnsi="宋体"/>
          <w:b/>
          <w:bCs/>
          <w:sz w:val="24"/>
          <w:highlight w:val="none"/>
        </w:rPr>
        <w:t>七、合同生效</w:t>
      </w:r>
      <w:bookmarkEnd w:id="150"/>
      <w:bookmarkEnd w:id="151"/>
      <w:bookmarkEnd w:id="152"/>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53" w:name="_Toc28312"/>
      <w:bookmarkStart w:id="154" w:name="_Toc10585"/>
      <w:bookmarkStart w:id="155" w:name="_Toc20385"/>
      <w:r>
        <w:rPr>
          <w:rFonts w:hint="eastAsia" w:ascii="宋体" w:hAnsi="宋体"/>
          <w:b/>
          <w:bCs/>
          <w:sz w:val="24"/>
          <w:highlight w:val="none"/>
        </w:rPr>
        <w:t>八、合同保存</w:t>
      </w:r>
      <w:bookmarkEnd w:id="153"/>
      <w:bookmarkEnd w:id="154"/>
      <w:bookmarkEnd w:id="155"/>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6" w:name="_Toc14149"/>
      <w:bookmarkStart w:id="157" w:name="_Toc17788"/>
      <w:bookmarkStart w:id="158" w:name="_Toc23003"/>
      <w:r>
        <w:rPr>
          <w:rFonts w:hint="eastAsia" w:ascii="宋体" w:hAnsi="宋体"/>
          <w:b/>
          <w:bCs/>
          <w:sz w:val="24"/>
          <w:highlight w:val="none"/>
        </w:rPr>
        <w:t>九、违约条款</w:t>
      </w:r>
      <w:bookmarkEnd w:id="156"/>
      <w:bookmarkEnd w:id="157"/>
      <w:bookmarkEnd w:id="158"/>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59" w:name="_Toc4944"/>
      <w:bookmarkStart w:id="160" w:name="_Toc2531"/>
      <w:bookmarkStart w:id="161" w:name="_Toc25277"/>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59"/>
      <w:bookmarkEnd w:id="160"/>
      <w:bookmarkEnd w:id="161"/>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rPr>
        <w:t>签订时间：</w:t>
      </w:r>
    </w:p>
    <w:p>
      <w:pPr>
        <w:snapToGrid w:val="0"/>
        <w:spacing w:before="290" w:beforeLines="100" w:line="480" w:lineRule="exact"/>
        <w:jc w:val="center"/>
        <w:outlineLvl w:val="0"/>
        <w:rPr>
          <w:rFonts w:ascii="宋体"/>
          <w:b/>
          <w:sz w:val="36"/>
          <w:highlight w:val="none"/>
        </w:rPr>
      </w:pPr>
      <w:r>
        <w:rPr>
          <w:rFonts w:ascii="宋体"/>
          <w:sz w:val="24"/>
          <w:highlight w:val="none"/>
        </w:rPr>
        <w:br w:type="page"/>
      </w:r>
      <w:bookmarkStart w:id="162" w:name="_Toc4921"/>
      <w:r>
        <w:rPr>
          <w:rFonts w:hint="eastAsia" w:ascii="宋体" w:hAnsi="宋体"/>
          <w:b/>
          <w:kern w:val="0"/>
          <w:sz w:val="36"/>
          <w:szCs w:val="20"/>
          <w:highlight w:val="none"/>
        </w:rPr>
        <w:t>第五部分附件</w:t>
      </w:r>
      <w:bookmarkEnd w:id="162"/>
    </w:p>
    <w:p>
      <w:pPr>
        <w:pStyle w:val="29"/>
        <w:spacing w:line="480" w:lineRule="exact"/>
        <w:ind w:firstLine="0" w:firstLineChars="0"/>
        <w:jc w:val="left"/>
        <w:rPr>
          <w:rFonts w:ascii="宋体"/>
          <w:bCs/>
          <w:highlight w:val="none"/>
        </w:rPr>
      </w:pPr>
      <w:r>
        <w:rPr>
          <w:rFonts w:hint="eastAsia" w:ascii="宋体" w:hAnsi="宋体"/>
          <w:bCs/>
          <w:highlight w:val="none"/>
        </w:rPr>
        <w:t>附件一：</w:t>
      </w:r>
    </w:p>
    <w:p>
      <w:pPr>
        <w:pStyle w:val="29"/>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29"/>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29"/>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的投标活动并提交投标文件。为此，我方郑重声明以下诸点，并负法律责任。</w:t>
      </w:r>
    </w:p>
    <w:p>
      <w:pPr>
        <w:pStyle w:val="29"/>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29"/>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、如果我们的投标文件被接受，我们将履行招标文件中规定的每一项要求，并按我们投标文件中的承诺按期、按质、按量提供货物</w:t>
      </w:r>
      <w:r>
        <w:rPr>
          <w:rFonts w:hint="eastAsia" w:ascii="宋体" w:hAnsi="宋体"/>
          <w:color w:val="000000"/>
          <w:highlight w:val="none"/>
        </w:rPr>
        <w:t>及服务</w:t>
      </w:r>
      <w:r>
        <w:rPr>
          <w:rFonts w:hint="eastAsia" w:ascii="宋体" w:hAnsi="宋体"/>
          <w:highlight w:val="none"/>
        </w:rPr>
        <w:t>。</w:t>
      </w:r>
    </w:p>
    <w:p>
      <w:pPr>
        <w:pStyle w:val="29"/>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29"/>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29"/>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、我们同意按招标文件规定交纳投标保证金、中标服务费，遵守贵机构有关招标的各项规定。</w:t>
      </w:r>
    </w:p>
    <w:p>
      <w:pPr>
        <w:pStyle w:val="29"/>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29"/>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29"/>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r>
        <w:rPr>
          <w:rFonts w:hint="eastAsia" w:ascii="宋体" w:hAnsi="宋体" w:cs="宋体"/>
          <w:sz w:val="24"/>
          <w:highlight w:val="none"/>
        </w:rPr>
        <w:t></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ind w:firstLine="240" w:firstLineChars="100"/>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145"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145"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2"/>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2"/>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49"/>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2"/>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2"/>
        <w:spacing w:after="145" w:afterLines="50" w:line="480" w:lineRule="exact"/>
        <w:jc w:val="center"/>
        <w:rPr>
          <w:rFonts w:ascii="宋体"/>
          <w:b/>
          <w:bCs/>
          <w:sz w:val="32"/>
          <w:szCs w:val="32"/>
          <w:highlight w:val="none"/>
        </w:rPr>
      </w:pPr>
      <w:r>
        <w:rPr>
          <w:rFonts w:hint="eastAsia" w:ascii="宋体" w:hAnsi="宋体"/>
          <w:b/>
          <w:bCs/>
          <w:sz w:val="32"/>
          <w:szCs w:val="32"/>
          <w:highlight w:val="none"/>
        </w:rPr>
        <w:t>开标一览表</w:t>
      </w:r>
    </w:p>
    <w:p>
      <w:pPr>
        <w:pStyle w:val="2"/>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49"/>
        <w:tblW w:w="9820"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投标报价</w:t>
            </w:r>
          </w:p>
        </w:tc>
        <w:tc>
          <w:tcPr>
            <w:tcW w:w="7121" w:type="dxa"/>
            <w:vAlign w:val="center"/>
          </w:tcPr>
          <w:p>
            <w:pPr>
              <w:spacing w:line="360" w:lineRule="auto"/>
              <w:rPr>
                <w:rFonts w:ascii="宋体" w:hAnsi="宋体" w:cs="宋体"/>
                <w:szCs w:val="20"/>
                <w:highlight w:val="none"/>
              </w:rPr>
            </w:pPr>
            <w:r>
              <w:rPr>
                <w:rFonts w:ascii="宋体" w:hAnsi="宋体" w:cs="宋体"/>
                <w:szCs w:val="20"/>
                <w:highlight w:val="none"/>
              </w:rPr>
              <w:t>（大写）：</w:t>
            </w:r>
          </w:p>
          <w:p>
            <w:pPr>
              <w:spacing w:line="480" w:lineRule="exact"/>
              <w:rPr>
                <w:rFonts w:ascii="宋体" w:hAnsi="宋体"/>
                <w:sz w:val="24"/>
                <w:highlight w:val="none"/>
              </w:rPr>
            </w:pPr>
            <w:r>
              <w:rPr>
                <w:rFonts w:ascii="宋体" w:hAnsi="宋体" w:cs="宋体"/>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lang w:eastAsia="zh-CN"/>
              </w:rPr>
              <w:t>工期</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sz w:val="24"/>
                <w:highlight w:val="none"/>
              </w:rPr>
            </w:pPr>
            <w:r>
              <w:rPr>
                <w:rFonts w:hint="eastAsia" w:ascii="宋体" w:hAnsi="宋体"/>
                <w:sz w:val="24"/>
                <w:highlight w:val="none"/>
                <w:lang w:eastAsia="zh-CN"/>
              </w:rPr>
              <w:t>维保</w:t>
            </w:r>
            <w:r>
              <w:rPr>
                <w:rFonts w:hint="eastAsia" w:ascii="宋体" w:hAnsi="宋体"/>
                <w:sz w:val="24"/>
                <w:highlight w:val="none"/>
              </w:rPr>
              <w:t>期</w:t>
            </w:r>
          </w:p>
        </w:tc>
        <w:tc>
          <w:tcPr>
            <w:tcW w:w="7121"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7121"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footerReference r:id="rId8" w:type="first"/>
          <w:footerReference r:id="rId7" w:type="default"/>
          <w:type w:val="continuous"/>
          <w:pgSz w:w="11907" w:h="16840"/>
          <w:pgMar w:top="1304" w:right="1213" w:bottom="1157" w:left="1418" w:header="851" w:footer="851" w:gutter="0"/>
          <w:cols w:space="720" w:num="1"/>
          <w:titlePg/>
          <w:docGrid w:type="lines" w:linePitch="290" w:charSpace="-3931"/>
        </w:sectPr>
      </w:pPr>
    </w:p>
    <w:p>
      <w:pPr>
        <w:pStyle w:val="6"/>
        <w:tabs>
          <w:tab w:val="left" w:pos="1098"/>
        </w:tabs>
        <w:spacing w:before="67"/>
        <w:ind w:left="136"/>
        <w:jc w:val="left"/>
        <w:rPr>
          <w:rFonts w:hint="eastAsia" w:ascii="宋体" w:hAnsi="宋体" w:eastAsia="宋体" w:cs="Times New Roman"/>
          <w:sz w:val="24"/>
          <w:szCs w:val="24"/>
          <w:highlight w:val="none"/>
        </w:rPr>
        <w:sectPr>
          <w:type w:val="continuous"/>
          <w:pgSz w:w="11907" w:h="16840"/>
          <w:pgMar w:top="1304" w:right="1418" w:bottom="1157" w:left="1418" w:header="851" w:footer="851" w:gutter="0"/>
          <w:cols w:space="720" w:num="1"/>
          <w:docGrid w:type="lines" w:linePitch="290" w:charSpace="-3931"/>
        </w:sectPr>
      </w:pPr>
    </w:p>
    <w:p>
      <w:pPr>
        <w:pStyle w:val="2"/>
        <w:spacing w:after="0" w:afterLines="0" w:line="480" w:lineRule="exact"/>
        <w:jc w:val="left"/>
        <w:outlineLvl w:val="0"/>
        <w:rPr>
          <w:rFonts w:ascii="宋体"/>
          <w:b/>
          <w:sz w:val="32"/>
          <w:szCs w:val="32"/>
          <w:highlight w:val="none"/>
        </w:rPr>
      </w:pPr>
      <w:bookmarkStart w:id="163" w:name="_Toc14774"/>
      <w:bookmarkStart w:id="164" w:name="_Toc32015"/>
      <w:bookmarkStart w:id="165" w:name="_Toc5221"/>
      <w:r>
        <w:rPr>
          <w:rFonts w:hint="eastAsia" w:ascii="宋体" w:hAnsi="宋体"/>
          <w:highlight w:val="none"/>
        </w:rPr>
        <w:t>附件四：</w:t>
      </w:r>
      <w:bookmarkEnd w:id="163"/>
      <w:bookmarkEnd w:id="164"/>
      <w:bookmarkEnd w:id="165"/>
      <w:r>
        <w:rPr>
          <w:rFonts w:hint="eastAsia" w:ascii="宋体" w:hAnsi="宋体"/>
          <w:highlight w:val="none"/>
          <w:lang w:val="en-US" w:eastAsia="zh-CN"/>
        </w:rPr>
        <w:t xml:space="preserve"> </w:t>
      </w:r>
      <w:bookmarkStart w:id="166" w:name="_Toc17048"/>
      <w:bookmarkStart w:id="167" w:name="_Toc27446"/>
      <w:r>
        <w:rPr>
          <w:rFonts w:hint="eastAsia" w:ascii="宋体" w:hAnsi="宋体"/>
          <w:highlight w:val="none"/>
          <w:lang w:val="en-US" w:eastAsia="zh-CN"/>
        </w:rPr>
        <w:t xml:space="preserve">                                                  </w:t>
      </w:r>
      <w:r>
        <w:rPr>
          <w:rFonts w:hint="eastAsia" w:ascii="宋体" w:hAnsi="宋体"/>
          <w:b/>
          <w:sz w:val="32"/>
          <w:szCs w:val="32"/>
          <w:highlight w:val="none"/>
        </w:rPr>
        <w:t>报价明细表</w:t>
      </w:r>
      <w:bookmarkEnd w:id="166"/>
      <w:bookmarkEnd w:id="167"/>
    </w:p>
    <w:p>
      <w:pPr>
        <w:tabs>
          <w:tab w:val="left" w:pos="1785"/>
        </w:tabs>
        <w:spacing w:line="480" w:lineRule="exact"/>
        <w:rPr>
          <w:rFonts w:ascii="宋体"/>
          <w:sz w:val="24"/>
          <w:highlight w:val="none"/>
        </w:rPr>
      </w:pPr>
      <w:r>
        <w:rPr>
          <w:rFonts w:hint="eastAsia" w:ascii="宋体" w:hAnsi="宋体"/>
          <w:b/>
          <w:sz w:val="24"/>
          <w:highlight w:val="none"/>
        </w:rPr>
        <w:t xml:space="preserve">  </w:t>
      </w:r>
      <w:r>
        <w:rPr>
          <w:rFonts w:hint="eastAsia" w:ascii="宋体" w:hAnsi="宋体"/>
          <w:b/>
          <w:sz w:val="24"/>
          <w:highlight w:val="none"/>
          <w:lang w:val="en-US" w:eastAsia="zh-CN"/>
        </w:rPr>
        <w:t>招标</w:t>
      </w:r>
      <w:r>
        <w:rPr>
          <w:rFonts w:hint="eastAsia" w:ascii="宋体" w:hAnsi="宋体"/>
          <w:b/>
          <w:sz w:val="24"/>
          <w:highlight w:val="none"/>
        </w:rPr>
        <w:t>内容</w:t>
      </w:r>
      <w:r>
        <w:rPr>
          <w:rFonts w:ascii="宋体" w:hAnsi="宋体"/>
          <w:b/>
          <w:sz w:val="24"/>
          <w:highlight w:val="none"/>
        </w:rPr>
        <w:t xml:space="preserve"> :                                                                     </w:t>
      </w:r>
      <w:r>
        <w:rPr>
          <w:rFonts w:hint="eastAsia" w:ascii="宋体" w:hAnsi="宋体"/>
          <w:b/>
          <w:sz w:val="24"/>
          <w:highlight w:val="none"/>
        </w:rPr>
        <w:t>货币：</w:t>
      </w:r>
      <w:r>
        <w:rPr>
          <w:rFonts w:ascii="宋体" w:hAnsi="宋体"/>
          <w:sz w:val="24"/>
          <w:highlight w:val="none"/>
        </w:rPr>
        <w:t xml:space="preserve"> </w:t>
      </w: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序号</w:t>
            </w:r>
          </w:p>
        </w:tc>
        <w:tc>
          <w:tcPr>
            <w:tcW w:w="1164"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货物</w:t>
            </w:r>
          </w:p>
          <w:p>
            <w:pPr>
              <w:spacing w:line="480" w:lineRule="exact"/>
              <w:jc w:val="center"/>
              <w:rPr>
                <w:rFonts w:ascii="宋体"/>
                <w:sz w:val="24"/>
                <w:highlight w:val="none"/>
              </w:rPr>
            </w:pPr>
            <w:r>
              <w:rPr>
                <w:rFonts w:hint="eastAsia" w:ascii="宋体" w:hAnsi="宋体"/>
                <w:sz w:val="24"/>
                <w:highlight w:val="none"/>
              </w:rPr>
              <w:t>名称</w:t>
            </w:r>
          </w:p>
        </w:tc>
        <w:tc>
          <w:tcPr>
            <w:tcW w:w="1566"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规格</w:t>
            </w:r>
          </w:p>
          <w:p>
            <w:pPr>
              <w:spacing w:line="480" w:lineRule="exact"/>
              <w:jc w:val="center"/>
              <w:rPr>
                <w:rFonts w:ascii="宋体"/>
                <w:sz w:val="24"/>
                <w:highlight w:val="none"/>
              </w:rPr>
            </w:pPr>
            <w:r>
              <w:rPr>
                <w:rFonts w:hint="eastAsia" w:ascii="宋体" w:hAnsi="宋体"/>
                <w:sz w:val="24"/>
                <w:highlight w:val="none"/>
              </w:rPr>
              <w:t>型号</w:t>
            </w:r>
          </w:p>
        </w:tc>
        <w:tc>
          <w:tcPr>
            <w:tcW w:w="1602"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制造商</w:t>
            </w:r>
            <w:r>
              <w:rPr>
                <w:rFonts w:ascii="宋体" w:hAnsi="宋体"/>
                <w:sz w:val="24"/>
                <w:highlight w:val="none"/>
              </w:rPr>
              <w:t>/</w:t>
            </w:r>
            <w:r>
              <w:rPr>
                <w:rFonts w:hint="eastAsia" w:ascii="宋体" w:hAnsi="宋体"/>
                <w:sz w:val="24"/>
                <w:highlight w:val="none"/>
              </w:rPr>
              <w:t>品牌</w:t>
            </w:r>
          </w:p>
        </w:tc>
        <w:tc>
          <w:tcPr>
            <w:tcW w:w="1056"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数量</w:t>
            </w:r>
          </w:p>
        </w:tc>
        <w:tc>
          <w:tcPr>
            <w:tcW w:w="1752" w:type="dxa"/>
            <w:gridSpan w:val="2"/>
            <w:noWrap w:val="0"/>
            <w:vAlign w:val="center"/>
          </w:tcPr>
          <w:p>
            <w:pPr>
              <w:spacing w:line="480" w:lineRule="exact"/>
              <w:jc w:val="center"/>
              <w:rPr>
                <w:rFonts w:ascii="宋体"/>
                <w:sz w:val="24"/>
                <w:highlight w:val="none"/>
              </w:rPr>
            </w:pPr>
            <w:r>
              <w:rPr>
                <w:rFonts w:hint="eastAsia" w:ascii="宋体" w:hAnsi="宋体"/>
                <w:sz w:val="24"/>
                <w:highlight w:val="none"/>
              </w:rPr>
              <w:t>货物价</w:t>
            </w:r>
          </w:p>
        </w:tc>
        <w:tc>
          <w:tcPr>
            <w:tcW w:w="1680" w:type="dxa"/>
            <w:gridSpan w:val="2"/>
            <w:noWrap w:val="0"/>
            <w:vAlign w:val="center"/>
          </w:tcPr>
          <w:p>
            <w:pPr>
              <w:spacing w:line="480" w:lineRule="exact"/>
              <w:jc w:val="center"/>
              <w:rPr>
                <w:rFonts w:ascii="宋体"/>
                <w:sz w:val="24"/>
                <w:highlight w:val="none"/>
              </w:rPr>
            </w:pPr>
            <w:r>
              <w:rPr>
                <w:rFonts w:hint="eastAsia" w:ascii="宋体" w:hAnsi="宋体"/>
                <w:sz w:val="24"/>
                <w:highlight w:val="none"/>
              </w:rPr>
              <w:t>运杂费</w:t>
            </w:r>
          </w:p>
        </w:tc>
        <w:tc>
          <w:tcPr>
            <w:tcW w:w="1995" w:type="dxa"/>
            <w:gridSpan w:val="2"/>
            <w:noWrap w:val="0"/>
            <w:vAlign w:val="center"/>
          </w:tcPr>
          <w:p>
            <w:pPr>
              <w:spacing w:line="480" w:lineRule="exact"/>
              <w:jc w:val="center"/>
              <w:rPr>
                <w:rFonts w:ascii="宋体"/>
                <w:sz w:val="24"/>
                <w:highlight w:val="none"/>
              </w:rPr>
            </w:pPr>
            <w:r>
              <w:rPr>
                <w:rFonts w:hint="eastAsia" w:ascii="宋体" w:hAnsi="宋体"/>
                <w:sz w:val="24"/>
                <w:highlight w:val="none"/>
              </w:rPr>
              <w:t>安装调试费</w:t>
            </w:r>
          </w:p>
        </w:tc>
        <w:tc>
          <w:tcPr>
            <w:tcW w:w="1155"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培训费</w:t>
            </w:r>
          </w:p>
        </w:tc>
        <w:tc>
          <w:tcPr>
            <w:tcW w:w="1260"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continue"/>
            <w:noWrap w:val="0"/>
            <w:vAlign w:val="center"/>
          </w:tcPr>
          <w:p>
            <w:pPr>
              <w:spacing w:line="480" w:lineRule="exact"/>
              <w:jc w:val="center"/>
              <w:rPr>
                <w:rFonts w:ascii="宋体"/>
                <w:sz w:val="24"/>
                <w:highlight w:val="none"/>
              </w:rPr>
            </w:pPr>
          </w:p>
        </w:tc>
        <w:tc>
          <w:tcPr>
            <w:tcW w:w="1164" w:type="dxa"/>
            <w:vMerge w:val="continue"/>
            <w:noWrap w:val="0"/>
            <w:vAlign w:val="center"/>
          </w:tcPr>
          <w:p>
            <w:pPr>
              <w:spacing w:line="480" w:lineRule="exact"/>
              <w:jc w:val="center"/>
              <w:rPr>
                <w:rFonts w:ascii="宋体"/>
                <w:sz w:val="24"/>
                <w:highlight w:val="none"/>
              </w:rPr>
            </w:pPr>
          </w:p>
        </w:tc>
        <w:tc>
          <w:tcPr>
            <w:tcW w:w="1566" w:type="dxa"/>
            <w:vMerge w:val="continue"/>
            <w:noWrap w:val="0"/>
            <w:vAlign w:val="top"/>
          </w:tcPr>
          <w:p>
            <w:pPr>
              <w:spacing w:line="480" w:lineRule="exact"/>
              <w:rPr>
                <w:rFonts w:ascii="宋体"/>
                <w:sz w:val="24"/>
                <w:highlight w:val="none"/>
              </w:rPr>
            </w:pPr>
          </w:p>
        </w:tc>
        <w:tc>
          <w:tcPr>
            <w:tcW w:w="1602" w:type="dxa"/>
            <w:vMerge w:val="continue"/>
            <w:noWrap w:val="0"/>
            <w:vAlign w:val="top"/>
          </w:tcPr>
          <w:p>
            <w:pPr>
              <w:spacing w:line="480" w:lineRule="exact"/>
              <w:rPr>
                <w:rFonts w:ascii="宋体"/>
                <w:sz w:val="24"/>
                <w:highlight w:val="none"/>
              </w:rPr>
            </w:pPr>
          </w:p>
        </w:tc>
        <w:tc>
          <w:tcPr>
            <w:tcW w:w="1056" w:type="dxa"/>
            <w:vMerge w:val="continue"/>
            <w:noWrap w:val="0"/>
            <w:vAlign w:val="top"/>
          </w:tcPr>
          <w:p>
            <w:pPr>
              <w:spacing w:line="480" w:lineRule="exact"/>
              <w:rPr>
                <w:rFonts w:ascii="宋体"/>
                <w:sz w:val="24"/>
                <w:highlight w:val="none"/>
              </w:rPr>
            </w:pPr>
          </w:p>
        </w:tc>
        <w:tc>
          <w:tcPr>
            <w:tcW w:w="702" w:type="dxa"/>
            <w:noWrap w:val="0"/>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050" w:type="dxa"/>
            <w:noWrap w:val="0"/>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735" w:type="dxa"/>
            <w:noWrap w:val="0"/>
            <w:vAlign w:val="center"/>
          </w:tcPr>
          <w:p>
            <w:pPr>
              <w:spacing w:line="480" w:lineRule="exact"/>
              <w:jc w:val="center"/>
              <w:rPr>
                <w:rFonts w:ascii="宋体"/>
                <w:sz w:val="24"/>
                <w:highlight w:val="none"/>
              </w:rPr>
            </w:pPr>
            <w:r>
              <w:rPr>
                <w:rFonts w:hint="eastAsia" w:ascii="宋体" w:hAnsi="宋体"/>
                <w:sz w:val="24"/>
                <w:highlight w:val="none"/>
              </w:rPr>
              <w:t>单价</w:t>
            </w:r>
          </w:p>
        </w:tc>
        <w:tc>
          <w:tcPr>
            <w:tcW w:w="945" w:type="dxa"/>
            <w:noWrap w:val="0"/>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840" w:type="dxa"/>
            <w:noWrap w:val="0"/>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155" w:type="dxa"/>
            <w:noWrap w:val="0"/>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1155" w:type="dxa"/>
            <w:vMerge w:val="continue"/>
            <w:noWrap w:val="0"/>
            <w:vAlign w:val="top"/>
          </w:tcPr>
          <w:p>
            <w:pPr>
              <w:spacing w:line="480" w:lineRule="exact"/>
              <w:jc w:val="center"/>
              <w:rPr>
                <w:rFonts w:ascii="宋体"/>
                <w:sz w:val="24"/>
                <w:highlight w:val="none"/>
              </w:rPr>
            </w:pPr>
          </w:p>
        </w:tc>
        <w:tc>
          <w:tcPr>
            <w:tcW w:w="1260" w:type="dxa"/>
            <w:vMerge w:val="continue"/>
            <w:noWrap w:val="0"/>
            <w:vAlign w:val="top"/>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8" w:type="dxa"/>
            <w:noWrap w:val="0"/>
            <w:vAlign w:val="center"/>
          </w:tcPr>
          <w:p>
            <w:pPr>
              <w:spacing w:line="480" w:lineRule="exact"/>
              <w:jc w:val="center"/>
              <w:rPr>
                <w:rFonts w:ascii="宋体"/>
                <w:sz w:val="24"/>
                <w:highlight w:val="none"/>
              </w:rPr>
            </w:pPr>
          </w:p>
        </w:tc>
        <w:tc>
          <w:tcPr>
            <w:tcW w:w="1164" w:type="dxa"/>
            <w:noWrap w:val="0"/>
            <w:vAlign w:val="center"/>
          </w:tcPr>
          <w:p>
            <w:pPr>
              <w:spacing w:line="480" w:lineRule="exact"/>
              <w:jc w:val="center"/>
              <w:rPr>
                <w:rFonts w:ascii="宋体"/>
                <w:sz w:val="24"/>
                <w:highlight w:val="none"/>
              </w:rPr>
            </w:pPr>
          </w:p>
        </w:tc>
        <w:tc>
          <w:tcPr>
            <w:tcW w:w="1566" w:type="dxa"/>
            <w:noWrap w:val="0"/>
            <w:vAlign w:val="center"/>
          </w:tcPr>
          <w:p>
            <w:pPr>
              <w:spacing w:line="480" w:lineRule="exact"/>
              <w:jc w:val="center"/>
              <w:rPr>
                <w:rFonts w:ascii="宋体"/>
                <w:sz w:val="24"/>
                <w:highlight w:val="none"/>
              </w:rPr>
            </w:pPr>
          </w:p>
        </w:tc>
        <w:tc>
          <w:tcPr>
            <w:tcW w:w="1602" w:type="dxa"/>
            <w:noWrap w:val="0"/>
            <w:vAlign w:val="center"/>
          </w:tcPr>
          <w:p>
            <w:pPr>
              <w:spacing w:line="480" w:lineRule="exact"/>
              <w:jc w:val="center"/>
              <w:rPr>
                <w:rFonts w:ascii="宋体"/>
                <w:sz w:val="24"/>
                <w:highlight w:val="none"/>
              </w:rPr>
            </w:pPr>
          </w:p>
        </w:tc>
        <w:tc>
          <w:tcPr>
            <w:tcW w:w="1056" w:type="dxa"/>
            <w:noWrap w:val="0"/>
            <w:vAlign w:val="center"/>
          </w:tcPr>
          <w:p>
            <w:pPr>
              <w:spacing w:line="480" w:lineRule="exact"/>
              <w:jc w:val="center"/>
              <w:rPr>
                <w:rFonts w:ascii="宋体"/>
                <w:sz w:val="24"/>
                <w:highlight w:val="none"/>
              </w:rPr>
            </w:pPr>
          </w:p>
        </w:tc>
        <w:tc>
          <w:tcPr>
            <w:tcW w:w="702" w:type="dxa"/>
            <w:noWrap w:val="0"/>
            <w:vAlign w:val="center"/>
          </w:tcPr>
          <w:p>
            <w:pPr>
              <w:spacing w:line="480" w:lineRule="exact"/>
              <w:jc w:val="center"/>
              <w:rPr>
                <w:rFonts w:ascii="宋体"/>
                <w:sz w:val="24"/>
                <w:highlight w:val="none"/>
              </w:rPr>
            </w:pPr>
          </w:p>
        </w:tc>
        <w:tc>
          <w:tcPr>
            <w:tcW w:w="1050" w:type="dxa"/>
            <w:noWrap w:val="0"/>
            <w:vAlign w:val="center"/>
          </w:tcPr>
          <w:p>
            <w:pPr>
              <w:spacing w:line="480" w:lineRule="exact"/>
              <w:jc w:val="center"/>
              <w:rPr>
                <w:rFonts w:ascii="宋体"/>
                <w:sz w:val="24"/>
                <w:highlight w:val="none"/>
              </w:rPr>
            </w:pPr>
          </w:p>
        </w:tc>
        <w:tc>
          <w:tcPr>
            <w:tcW w:w="735" w:type="dxa"/>
            <w:noWrap w:val="0"/>
            <w:vAlign w:val="center"/>
          </w:tcPr>
          <w:p>
            <w:pPr>
              <w:spacing w:line="480" w:lineRule="exact"/>
              <w:jc w:val="center"/>
              <w:rPr>
                <w:rFonts w:ascii="宋体"/>
                <w:sz w:val="24"/>
                <w:highlight w:val="none"/>
              </w:rPr>
            </w:pPr>
          </w:p>
        </w:tc>
        <w:tc>
          <w:tcPr>
            <w:tcW w:w="945" w:type="dxa"/>
            <w:noWrap w:val="0"/>
            <w:vAlign w:val="center"/>
          </w:tcPr>
          <w:p>
            <w:pPr>
              <w:spacing w:line="480" w:lineRule="exact"/>
              <w:jc w:val="center"/>
              <w:rPr>
                <w:rFonts w:ascii="宋体"/>
                <w:sz w:val="24"/>
                <w:highlight w:val="none"/>
              </w:rPr>
            </w:pPr>
          </w:p>
        </w:tc>
        <w:tc>
          <w:tcPr>
            <w:tcW w:w="840"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260" w:type="dxa"/>
            <w:noWrap w:val="0"/>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noWrap w:val="0"/>
            <w:vAlign w:val="center"/>
          </w:tcPr>
          <w:p>
            <w:pPr>
              <w:spacing w:line="480" w:lineRule="exact"/>
              <w:jc w:val="center"/>
              <w:rPr>
                <w:rFonts w:ascii="宋体"/>
                <w:sz w:val="24"/>
                <w:highlight w:val="none"/>
              </w:rPr>
            </w:pPr>
          </w:p>
        </w:tc>
        <w:tc>
          <w:tcPr>
            <w:tcW w:w="1164" w:type="dxa"/>
            <w:noWrap w:val="0"/>
            <w:vAlign w:val="center"/>
          </w:tcPr>
          <w:p>
            <w:pPr>
              <w:spacing w:line="480" w:lineRule="exact"/>
              <w:jc w:val="center"/>
              <w:rPr>
                <w:rFonts w:ascii="宋体"/>
                <w:sz w:val="24"/>
                <w:highlight w:val="none"/>
              </w:rPr>
            </w:pPr>
          </w:p>
        </w:tc>
        <w:tc>
          <w:tcPr>
            <w:tcW w:w="1566" w:type="dxa"/>
            <w:noWrap w:val="0"/>
            <w:vAlign w:val="center"/>
          </w:tcPr>
          <w:p>
            <w:pPr>
              <w:spacing w:line="480" w:lineRule="exact"/>
              <w:jc w:val="center"/>
              <w:rPr>
                <w:rFonts w:ascii="宋体"/>
                <w:sz w:val="24"/>
                <w:highlight w:val="none"/>
              </w:rPr>
            </w:pPr>
          </w:p>
        </w:tc>
        <w:tc>
          <w:tcPr>
            <w:tcW w:w="1602" w:type="dxa"/>
            <w:noWrap w:val="0"/>
            <w:vAlign w:val="center"/>
          </w:tcPr>
          <w:p>
            <w:pPr>
              <w:spacing w:line="480" w:lineRule="exact"/>
              <w:jc w:val="center"/>
              <w:rPr>
                <w:rFonts w:ascii="宋体"/>
                <w:sz w:val="24"/>
                <w:highlight w:val="none"/>
              </w:rPr>
            </w:pPr>
          </w:p>
        </w:tc>
        <w:tc>
          <w:tcPr>
            <w:tcW w:w="1056" w:type="dxa"/>
            <w:noWrap w:val="0"/>
            <w:vAlign w:val="center"/>
          </w:tcPr>
          <w:p>
            <w:pPr>
              <w:spacing w:line="480" w:lineRule="exact"/>
              <w:jc w:val="center"/>
              <w:rPr>
                <w:rFonts w:ascii="宋体"/>
                <w:sz w:val="24"/>
                <w:highlight w:val="none"/>
              </w:rPr>
            </w:pPr>
          </w:p>
        </w:tc>
        <w:tc>
          <w:tcPr>
            <w:tcW w:w="702" w:type="dxa"/>
            <w:noWrap w:val="0"/>
            <w:vAlign w:val="center"/>
          </w:tcPr>
          <w:p>
            <w:pPr>
              <w:spacing w:line="480" w:lineRule="exact"/>
              <w:jc w:val="center"/>
              <w:rPr>
                <w:rFonts w:ascii="宋体"/>
                <w:sz w:val="24"/>
                <w:highlight w:val="none"/>
              </w:rPr>
            </w:pPr>
          </w:p>
        </w:tc>
        <w:tc>
          <w:tcPr>
            <w:tcW w:w="1050" w:type="dxa"/>
            <w:noWrap w:val="0"/>
            <w:vAlign w:val="center"/>
          </w:tcPr>
          <w:p>
            <w:pPr>
              <w:spacing w:line="480" w:lineRule="exact"/>
              <w:jc w:val="center"/>
              <w:rPr>
                <w:rFonts w:ascii="宋体"/>
                <w:sz w:val="24"/>
                <w:highlight w:val="none"/>
              </w:rPr>
            </w:pPr>
          </w:p>
        </w:tc>
        <w:tc>
          <w:tcPr>
            <w:tcW w:w="735" w:type="dxa"/>
            <w:noWrap w:val="0"/>
            <w:vAlign w:val="center"/>
          </w:tcPr>
          <w:p>
            <w:pPr>
              <w:spacing w:line="480" w:lineRule="exact"/>
              <w:jc w:val="center"/>
              <w:rPr>
                <w:rFonts w:ascii="宋体"/>
                <w:sz w:val="24"/>
                <w:highlight w:val="none"/>
              </w:rPr>
            </w:pPr>
          </w:p>
        </w:tc>
        <w:tc>
          <w:tcPr>
            <w:tcW w:w="945" w:type="dxa"/>
            <w:noWrap w:val="0"/>
            <w:vAlign w:val="center"/>
          </w:tcPr>
          <w:p>
            <w:pPr>
              <w:spacing w:line="480" w:lineRule="exact"/>
              <w:jc w:val="center"/>
              <w:rPr>
                <w:rFonts w:ascii="宋体"/>
                <w:sz w:val="24"/>
                <w:highlight w:val="none"/>
              </w:rPr>
            </w:pPr>
          </w:p>
        </w:tc>
        <w:tc>
          <w:tcPr>
            <w:tcW w:w="840"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260" w:type="dxa"/>
            <w:noWrap w:val="0"/>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noWrap w:val="0"/>
            <w:vAlign w:val="center"/>
          </w:tcPr>
          <w:p>
            <w:pPr>
              <w:spacing w:line="480" w:lineRule="exact"/>
              <w:jc w:val="center"/>
              <w:rPr>
                <w:rFonts w:ascii="宋体"/>
                <w:sz w:val="24"/>
                <w:highlight w:val="none"/>
              </w:rPr>
            </w:pPr>
          </w:p>
        </w:tc>
        <w:tc>
          <w:tcPr>
            <w:tcW w:w="1164" w:type="dxa"/>
            <w:noWrap w:val="0"/>
            <w:vAlign w:val="center"/>
          </w:tcPr>
          <w:p>
            <w:pPr>
              <w:spacing w:line="480" w:lineRule="exact"/>
              <w:jc w:val="center"/>
              <w:rPr>
                <w:rFonts w:ascii="宋体"/>
                <w:sz w:val="24"/>
                <w:highlight w:val="none"/>
              </w:rPr>
            </w:pPr>
          </w:p>
        </w:tc>
        <w:tc>
          <w:tcPr>
            <w:tcW w:w="1566" w:type="dxa"/>
            <w:noWrap w:val="0"/>
            <w:vAlign w:val="center"/>
          </w:tcPr>
          <w:p>
            <w:pPr>
              <w:spacing w:line="480" w:lineRule="exact"/>
              <w:jc w:val="center"/>
              <w:rPr>
                <w:rFonts w:ascii="宋体"/>
                <w:sz w:val="24"/>
                <w:highlight w:val="none"/>
              </w:rPr>
            </w:pPr>
          </w:p>
        </w:tc>
        <w:tc>
          <w:tcPr>
            <w:tcW w:w="1602" w:type="dxa"/>
            <w:noWrap w:val="0"/>
            <w:vAlign w:val="center"/>
          </w:tcPr>
          <w:p>
            <w:pPr>
              <w:spacing w:line="480" w:lineRule="exact"/>
              <w:jc w:val="center"/>
              <w:rPr>
                <w:rFonts w:ascii="宋体"/>
                <w:sz w:val="24"/>
                <w:highlight w:val="none"/>
              </w:rPr>
            </w:pPr>
          </w:p>
        </w:tc>
        <w:tc>
          <w:tcPr>
            <w:tcW w:w="1056" w:type="dxa"/>
            <w:noWrap w:val="0"/>
            <w:vAlign w:val="center"/>
          </w:tcPr>
          <w:p>
            <w:pPr>
              <w:spacing w:line="480" w:lineRule="exact"/>
              <w:jc w:val="center"/>
              <w:rPr>
                <w:rFonts w:ascii="宋体"/>
                <w:sz w:val="24"/>
                <w:highlight w:val="none"/>
              </w:rPr>
            </w:pPr>
          </w:p>
        </w:tc>
        <w:tc>
          <w:tcPr>
            <w:tcW w:w="702" w:type="dxa"/>
            <w:noWrap w:val="0"/>
            <w:vAlign w:val="center"/>
          </w:tcPr>
          <w:p>
            <w:pPr>
              <w:spacing w:line="480" w:lineRule="exact"/>
              <w:jc w:val="center"/>
              <w:rPr>
                <w:rFonts w:ascii="宋体"/>
                <w:sz w:val="24"/>
                <w:highlight w:val="none"/>
              </w:rPr>
            </w:pPr>
          </w:p>
        </w:tc>
        <w:tc>
          <w:tcPr>
            <w:tcW w:w="1050" w:type="dxa"/>
            <w:noWrap w:val="0"/>
            <w:vAlign w:val="center"/>
          </w:tcPr>
          <w:p>
            <w:pPr>
              <w:spacing w:line="480" w:lineRule="exact"/>
              <w:jc w:val="center"/>
              <w:rPr>
                <w:rFonts w:ascii="宋体"/>
                <w:sz w:val="24"/>
                <w:highlight w:val="none"/>
              </w:rPr>
            </w:pPr>
          </w:p>
        </w:tc>
        <w:tc>
          <w:tcPr>
            <w:tcW w:w="735" w:type="dxa"/>
            <w:noWrap w:val="0"/>
            <w:vAlign w:val="center"/>
          </w:tcPr>
          <w:p>
            <w:pPr>
              <w:spacing w:line="480" w:lineRule="exact"/>
              <w:jc w:val="center"/>
              <w:rPr>
                <w:rFonts w:ascii="宋体"/>
                <w:sz w:val="24"/>
                <w:highlight w:val="none"/>
              </w:rPr>
            </w:pPr>
          </w:p>
        </w:tc>
        <w:tc>
          <w:tcPr>
            <w:tcW w:w="945" w:type="dxa"/>
            <w:noWrap w:val="0"/>
            <w:vAlign w:val="center"/>
          </w:tcPr>
          <w:p>
            <w:pPr>
              <w:spacing w:line="480" w:lineRule="exact"/>
              <w:jc w:val="center"/>
              <w:rPr>
                <w:rFonts w:ascii="宋体"/>
                <w:sz w:val="24"/>
                <w:highlight w:val="none"/>
              </w:rPr>
            </w:pPr>
          </w:p>
        </w:tc>
        <w:tc>
          <w:tcPr>
            <w:tcW w:w="840"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260" w:type="dxa"/>
            <w:noWrap w:val="0"/>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noWrap w:val="0"/>
            <w:vAlign w:val="center"/>
          </w:tcPr>
          <w:p>
            <w:pPr>
              <w:spacing w:line="480" w:lineRule="exact"/>
              <w:jc w:val="center"/>
              <w:rPr>
                <w:rFonts w:ascii="宋体"/>
                <w:sz w:val="24"/>
                <w:highlight w:val="none"/>
              </w:rPr>
            </w:pPr>
          </w:p>
        </w:tc>
        <w:tc>
          <w:tcPr>
            <w:tcW w:w="1164" w:type="dxa"/>
            <w:noWrap w:val="0"/>
            <w:vAlign w:val="center"/>
          </w:tcPr>
          <w:p>
            <w:pPr>
              <w:spacing w:line="480" w:lineRule="exact"/>
              <w:jc w:val="center"/>
              <w:rPr>
                <w:rFonts w:ascii="宋体"/>
                <w:sz w:val="24"/>
                <w:highlight w:val="none"/>
              </w:rPr>
            </w:pPr>
          </w:p>
        </w:tc>
        <w:tc>
          <w:tcPr>
            <w:tcW w:w="1566" w:type="dxa"/>
            <w:noWrap w:val="0"/>
            <w:vAlign w:val="center"/>
          </w:tcPr>
          <w:p>
            <w:pPr>
              <w:spacing w:line="480" w:lineRule="exact"/>
              <w:jc w:val="center"/>
              <w:rPr>
                <w:rFonts w:ascii="宋体"/>
                <w:sz w:val="24"/>
                <w:highlight w:val="none"/>
              </w:rPr>
            </w:pPr>
          </w:p>
        </w:tc>
        <w:tc>
          <w:tcPr>
            <w:tcW w:w="1602" w:type="dxa"/>
            <w:noWrap w:val="0"/>
            <w:vAlign w:val="center"/>
          </w:tcPr>
          <w:p>
            <w:pPr>
              <w:spacing w:line="480" w:lineRule="exact"/>
              <w:jc w:val="center"/>
              <w:rPr>
                <w:rFonts w:ascii="宋体"/>
                <w:sz w:val="24"/>
                <w:highlight w:val="none"/>
              </w:rPr>
            </w:pPr>
          </w:p>
        </w:tc>
        <w:tc>
          <w:tcPr>
            <w:tcW w:w="1056" w:type="dxa"/>
            <w:noWrap w:val="0"/>
            <w:vAlign w:val="center"/>
          </w:tcPr>
          <w:p>
            <w:pPr>
              <w:spacing w:line="480" w:lineRule="exact"/>
              <w:jc w:val="center"/>
              <w:rPr>
                <w:rFonts w:ascii="宋体"/>
                <w:sz w:val="24"/>
                <w:highlight w:val="none"/>
              </w:rPr>
            </w:pPr>
          </w:p>
        </w:tc>
        <w:tc>
          <w:tcPr>
            <w:tcW w:w="702" w:type="dxa"/>
            <w:noWrap w:val="0"/>
            <w:vAlign w:val="center"/>
          </w:tcPr>
          <w:p>
            <w:pPr>
              <w:spacing w:line="480" w:lineRule="exact"/>
              <w:jc w:val="center"/>
              <w:rPr>
                <w:rFonts w:ascii="宋体"/>
                <w:sz w:val="24"/>
                <w:highlight w:val="none"/>
              </w:rPr>
            </w:pPr>
          </w:p>
        </w:tc>
        <w:tc>
          <w:tcPr>
            <w:tcW w:w="1050" w:type="dxa"/>
            <w:noWrap w:val="0"/>
            <w:vAlign w:val="center"/>
          </w:tcPr>
          <w:p>
            <w:pPr>
              <w:spacing w:line="480" w:lineRule="exact"/>
              <w:jc w:val="center"/>
              <w:rPr>
                <w:rFonts w:ascii="宋体"/>
                <w:sz w:val="24"/>
                <w:highlight w:val="none"/>
              </w:rPr>
            </w:pPr>
          </w:p>
        </w:tc>
        <w:tc>
          <w:tcPr>
            <w:tcW w:w="735" w:type="dxa"/>
            <w:noWrap w:val="0"/>
            <w:vAlign w:val="center"/>
          </w:tcPr>
          <w:p>
            <w:pPr>
              <w:spacing w:line="480" w:lineRule="exact"/>
              <w:jc w:val="center"/>
              <w:rPr>
                <w:rFonts w:ascii="宋体"/>
                <w:sz w:val="24"/>
                <w:highlight w:val="none"/>
              </w:rPr>
            </w:pPr>
          </w:p>
        </w:tc>
        <w:tc>
          <w:tcPr>
            <w:tcW w:w="945" w:type="dxa"/>
            <w:noWrap w:val="0"/>
            <w:vAlign w:val="center"/>
          </w:tcPr>
          <w:p>
            <w:pPr>
              <w:spacing w:line="480" w:lineRule="exact"/>
              <w:jc w:val="center"/>
              <w:rPr>
                <w:rFonts w:ascii="宋体"/>
                <w:sz w:val="24"/>
                <w:highlight w:val="none"/>
              </w:rPr>
            </w:pPr>
          </w:p>
        </w:tc>
        <w:tc>
          <w:tcPr>
            <w:tcW w:w="840"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260" w:type="dxa"/>
            <w:noWrap w:val="0"/>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48" w:type="dxa"/>
            <w:noWrap w:val="0"/>
            <w:vAlign w:val="center"/>
          </w:tcPr>
          <w:p>
            <w:pPr>
              <w:spacing w:line="480" w:lineRule="exact"/>
              <w:jc w:val="center"/>
              <w:rPr>
                <w:rFonts w:ascii="宋体"/>
                <w:sz w:val="24"/>
                <w:highlight w:val="none"/>
              </w:rPr>
            </w:pPr>
            <w:r>
              <w:rPr>
                <w:rFonts w:hint="eastAsia" w:ascii="宋体" w:hAnsi="宋体"/>
                <w:sz w:val="24"/>
                <w:highlight w:val="none"/>
              </w:rPr>
              <w:t>总报价</w:t>
            </w:r>
          </w:p>
        </w:tc>
        <w:tc>
          <w:tcPr>
            <w:tcW w:w="13230" w:type="dxa"/>
            <w:gridSpan w:val="12"/>
            <w:noWrap w:val="0"/>
            <w:vAlign w:val="top"/>
          </w:tcPr>
          <w:p>
            <w:pPr>
              <w:widowControl/>
              <w:spacing w:line="480" w:lineRule="exact"/>
              <w:jc w:val="left"/>
              <w:rPr>
                <w:rFonts w:ascii="宋体"/>
                <w:sz w:val="24"/>
                <w:highlight w:val="none"/>
              </w:rPr>
            </w:pPr>
          </w:p>
        </w:tc>
      </w:tr>
    </w:tbl>
    <w:p>
      <w:pPr>
        <w:pStyle w:val="96"/>
        <w:spacing w:before="240" w:beforeLines="0" w:line="480" w:lineRule="exact"/>
        <w:ind w:firstLine="0" w:firstLineChars="0"/>
        <w:rPr>
          <w:rFonts w:ascii="宋体"/>
          <w:highlight w:val="none"/>
        </w:rPr>
      </w:pPr>
      <w:r>
        <w:rPr>
          <w:rFonts w:hint="eastAsia" w:ascii="宋体" w:hAnsi="宋体"/>
          <w:highlight w:val="none"/>
          <w:lang w:val="en-US" w:eastAsia="zh-CN"/>
        </w:rPr>
        <w:t>投标企业</w:t>
      </w:r>
      <w:r>
        <w:rPr>
          <w:rFonts w:hint="eastAsia" w:ascii="宋体" w:hAnsi="宋体"/>
          <w:highlight w:val="none"/>
        </w:rPr>
        <w:t>名称（盖章）：</w:t>
      </w:r>
    </w:p>
    <w:p>
      <w:pPr>
        <w:pStyle w:val="96"/>
        <w:spacing w:before="240" w:beforeLines="0" w:line="480" w:lineRule="exact"/>
        <w:ind w:firstLine="0" w:firstLineChars="0"/>
        <w:rPr>
          <w:rFonts w:hint="eastAsia" w:ascii="宋体" w:hAnsi="宋体"/>
          <w:highlight w:val="none"/>
        </w:rPr>
      </w:pPr>
      <w:r>
        <w:rPr>
          <w:rFonts w:hint="eastAsia" w:ascii="宋体" w:hAnsi="宋体"/>
          <w:highlight w:val="none"/>
        </w:rPr>
        <w:t xml:space="preserve">授权代表（签字或盖章）：                                    </w:t>
      </w:r>
    </w:p>
    <w:p>
      <w:pPr>
        <w:pStyle w:val="96"/>
        <w:spacing w:before="240" w:beforeLines="0" w:line="480" w:lineRule="exact"/>
        <w:ind w:firstLine="7922" w:firstLineChars="3400"/>
        <w:rPr>
          <w:rFonts w:ascii="宋体"/>
          <w:highlight w:val="none"/>
        </w:rPr>
      </w:pPr>
      <w:r>
        <w:rPr>
          <w:rFonts w:hint="eastAsia" w:ascii="宋体" w:hAnsi="宋体"/>
          <w:highlight w:val="none"/>
        </w:rPr>
        <w:t>年月日</w:t>
      </w:r>
    </w:p>
    <w:p>
      <w:pPr>
        <w:spacing w:line="480" w:lineRule="exact"/>
        <w:rPr>
          <w:rFonts w:ascii="宋体"/>
          <w:sz w:val="24"/>
          <w:highlight w:val="none"/>
        </w:rPr>
      </w:pPr>
      <w:r>
        <w:rPr>
          <w:rFonts w:hint="eastAsia" w:ascii="宋体" w:hAnsi="宋体"/>
          <w:sz w:val="24"/>
          <w:highlight w:val="none"/>
        </w:rPr>
        <w:t>注：</w:t>
      </w:r>
      <w:r>
        <w:rPr>
          <w:rFonts w:ascii="宋体" w:hAnsi="宋体"/>
          <w:sz w:val="24"/>
          <w:highlight w:val="none"/>
        </w:rPr>
        <w:t xml:space="preserve"> 1. </w:t>
      </w:r>
      <w:r>
        <w:rPr>
          <w:rFonts w:hint="eastAsia" w:ascii="宋体" w:hAnsi="宋体"/>
          <w:sz w:val="24"/>
          <w:highlight w:val="none"/>
        </w:rPr>
        <w:t>包中货物应全部分项报价</w:t>
      </w:r>
      <w:r>
        <w:rPr>
          <w:rFonts w:ascii="宋体" w:hAnsi="宋体"/>
          <w:sz w:val="24"/>
          <w:highlight w:val="none"/>
        </w:rPr>
        <w:t>(</w:t>
      </w:r>
      <w:r>
        <w:rPr>
          <w:rFonts w:hint="eastAsia" w:ascii="宋体" w:hAnsi="宋体"/>
          <w:sz w:val="24"/>
          <w:highlight w:val="none"/>
        </w:rPr>
        <w:t>根据技术要求中清单数量进行分项报价</w:t>
      </w:r>
      <w:r>
        <w:rPr>
          <w:rFonts w:ascii="宋体" w:hAnsi="宋体"/>
          <w:sz w:val="24"/>
          <w:highlight w:val="none"/>
        </w:rPr>
        <w:t>)</w:t>
      </w:r>
      <w:r>
        <w:rPr>
          <w:rFonts w:hint="eastAsia" w:ascii="宋体" w:hAnsi="宋体"/>
          <w:sz w:val="24"/>
          <w:highlight w:val="none"/>
        </w:rPr>
        <w:t>；</w:t>
      </w:r>
    </w:p>
    <w:p>
      <w:pPr>
        <w:tabs>
          <w:tab w:val="left" w:pos="930"/>
        </w:tabs>
        <w:spacing w:line="480" w:lineRule="exact"/>
        <w:ind w:firstLine="553" w:firstLineChars="250"/>
        <w:rPr>
          <w:rFonts w:hint="eastAsia" w:ascii="宋体" w:hAnsi="宋体"/>
          <w:sz w:val="24"/>
          <w:highlight w:val="none"/>
        </w:rPr>
        <w:sectPr>
          <w:pgSz w:w="16840" w:h="11907" w:orient="landscape"/>
          <w:pgMar w:top="1418" w:right="1157" w:bottom="1418" w:left="1304" w:header="851" w:footer="851" w:gutter="0"/>
          <w:cols w:space="720" w:num="1"/>
          <w:titlePg/>
          <w:docGrid w:type="linesAndChars" w:linePitch="290" w:charSpace="-3931"/>
        </w:sectPr>
      </w:pPr>
      <w:r>
        <w:rPr>
          <w:rFonts w:ascii="宋体" w:hAnsi="宋体"/>
          <w:sz w:val="24"/>
          <w:highlight w:val="none"/>
        </w:rPr>
        <w:t>2.</w:t>
      </w:r>
      <w:r>
        <w:rPr>
          <w:rFonts w:hint="eastAsia" w:ascii="宋体" w:hAnsi="宋体"/>
          <w:sz w:val="24"/>
          <w:highlight w:val="none"/>
        </w:rPr>
        <w:t>随货物所供的备品备件、专用工具、技术培训等应分项明细报价。</w:t>
      </w:r>
    </w:p>
    <w:p>
      <w:pPr>
        <w:pStyle w:val="16"/>
        <w:spacing w:line="480" w:lineRule="exact"/>
        <w:rPr>
          <w:rFonts w:ascii="宋体" w:hAnsi="宋体" w:eastAsia="宋体"/>
          <w:highlight w:val="none"/>
        </w:rPr>
      </w:pP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五</w:t>
      </w:r>
      <w:r>
        <w:rPr>
          <w:rFonts w:hint="eastAsia" w:ascii="宋体" w:hAnsi="宋体" w:eastAsia="宋体" w:cs="Times New Roman"/>
          <w:sz w:val="24"/>
          <w:szCs w:val="24"/>
          <w:highlight w:val="none"/>
        </w:rPr>
        <w:t>：</w:t>
      </w:r>
    </w:p>
    <w:p>
      <w:pPr>
        <w:pStyle w:val="16"/>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rPr>
        <w:t>项目名称</w:t>
      </w:r>
      <w:r>
        <w:rPr>
          <w:rFonts w:ascii="宋体" w:hAnsi="宋体"/>
          <w:sz w:val="24"/>
          <w:highlight w:val="none"/>
        </w:rPr>
        <w:t xml:space="preserve"> :                              </w:t>
      </w:r>
      <w:r>
        <w:rPr>
          <w:rFonts w:hint="eastAsia" w:ascii="宋体" w:hAnsi="宋体"/>
          <w:sz w:val="24"/>
          <w:highlight w:val="none"/>
        </w:rPr>
        <w:t xml:space="preserve">                        </w:t>
      </w:r>
      <w:r>
        <w:rPr>
          <w:rFonts w:ascii="宋体" w:hAnsi="宋体"/>
          <w:sz w:val="24"/>
          <w:highlight w:val="none"/>
        </w:rPr>
        <w:t xml:space="preserve">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6"/>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6"/>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六</w:t>
      </w:r>
      <w:r>
        <w:rPr>
          <w:rFonts w:ascii="宋体" w:hAnsi="宋体" w:eastAsia="宋体" w:cs="Times New Roman"/>
          <w:sz w:val="24"/>
          <w:szCs w:val="24"/>
          <w:highlight w:val="none"/>
        </w:rPr>
        <w:t>:</w:t>
      </w:r>
    </w:p>
    <w:p>
      <w:pPr>
        <w:pStyle w:val="16"/>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rPr>
        <w:t>项目名称</w:t>
      </w:r>
      <w:r>
        <w:rPr>
          <w:rFonts w:ascii="宋体" w:hAnsi="宋体"/>
          <w:sz w:val="24"/>
          <w:highlight w:val="none"/>
        </w:rPr>
        <w:t xml:space="preserve"> :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6"/>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pStyle w:val="16"/>
        <w:spacing w:line="480" w:lineRule="exact"/>
        <w:rPr>
          <w:rFonts w:ascii="宋体" w:hAnsi="宋体" w:eastAsia="宋体" w:cs="Times New Roman"/>
          <w:sz w:val="24"/>
          <w:szCs w:val="24"/>
          <w:highlight w:val="none"/>
        </w:rPr>
      </w:pPr>
      <w:bookmarkStart w:id="168" w:name="_Toc13424"/>
      <w:bookmarkStart w:id="169" w:name="_Toc13100"/>
      <w:bookmarkStart w:id="170" w:name="_Toc29000"/>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七</w:t>
      </w:r>
      <w:r>
        <w:rPr>
          <w:rFonts w:hint="eastAsia" w:ascii="宋体" w:hAnsi="宋体" w:eastAsia="宋体" w:cs="Times New Roman"/>
          <w:sz w:val="24"/>
          <w:szCs w:val="24"/>
          <w:highlight w:val="none"/>
        </w:rPr>
        <w:t>：</w:t>
      </w:r>
    </w:p>
    <w:p>
      <w:pPr>
        <w:pStyle w:val="3"/>
        <w:spacing w:line="580" w:lineRule="exact"/>
        <w:jc w:val="center"/>
        <w:rPr>
          <w:sz w:val="24"/>
          <w:highlight w:val="none"/>
        </w:rPr>
      </w:pPr>
      <w:r>
        <w:rPr>
          <w:rFonts w:hint="eastAsia"/>
          <w:sz w:val="28"/>
          <w:szCs w:val="28"/>
          <w:highlight w:val="none"/>
        </w:rPr>
        <w:t>项目部人员配备表</w:t>
      </w:r>
    </w:p>
    <w:p>
      <w:pPr>
        <w:spacing w:line="480" w:lineRule="exact"/>
        <w:rPr>
          <w:highlight w:val="none"/>
        </w:rPr>
      </w:pPr>
      <w:r>
        <w:rPr>
          <w:rFonts w:hint="eastAsia" w:ascii="宋体" w:hAnsi="宋体"/>
          <w:color w:val="000000"/>
          <w:sz w:val="24"/>
          <w:highlight w:val="none"/>
        </w:rPr>
        <w:t>项目名称</w:t>
      </w:r>
      <w:r>
        <w:rPr>
          <w:rFonts w:ascii="宋体" w:hAnsi="宋体"/>
          <w:color w:val="000000"/>
          <w:sz w:val="24"/>
          <w:highlight w:val="none"/>
        </w:rPr>
        <w:t xml:space="preserve"> :</w:t>
      </w:r>
    </w:p>
    <w:tbl>
      <w:tblPr>
        <w:tblStyle w:val="4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2"/>
        <w:gridCol w:w="1287"/>
        <w:gridCol w:w="858"/>
        <w:gridCol w:w="912"/>
        <w:gridCol w:w="1213"/>
        <w:gridCol w:w="1504"/>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序号</w:t>
            </w:r>
          </w:p>
        </w:tc>
        <w:tc>
          <w:tcPr>
            <w:tcW w:w="1142"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姓名</w:t>
            </w:r>
          </w:p>
        </w:tc>
        <w:tc>
          <w:tcPr>
            <w:tcW w:w="1287"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岗位</w:t>
            </w:r>
          </w:p>
        </w:tc>
        <w:tc>
          <w:tcPr>
            <w:tcW w:w="858"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年龄</w:t>
            </w:r>
          </w:p>
        </w:tc>
        <w:tc>
          <w:tcPr>
            <w:tcW w:w="912"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专业</w:t>
            </w:r>
          </w:p>
        </w:tc>
        <w:tc>
          <w:tcPr>
            <w:tcW w:w="1213"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职称</w:t>
            </w:r>
          </w:p>
        </w:tc>
        <w:tc>
          <w:tcPr>
            <w:tcW w:w="1504"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岗位证书</w:t>
            </w:r>
          </w:p>
        </w:tc>
        <w:tc>
          <w:tcPr>
            <w:tcW w:w="1651"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1</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2</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3</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4</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5</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6</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7</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8</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9</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10</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bl>
    <w:p>
      <w:pPr>
        <w:pStyle w:val="96"/>
        <w:spacing w:before="240" w:line="480" w:lineRule="exact"/>
        <w:ind w:firstLine="0" w:firstLineChars="0"/>
        <w:rPr>
          <w:color w:val="000000"/>
          <w:highlight w:val="none"/>
        </w:rPr>
      </w:pPr>
      <w:r>
        <w:rPr>
          <w:rFonts w:hint="eastAsia"/>
          <w:color w:val="000000"/>
          <w:highlight w:val="none"/>
        </w:rPr>
        <w:t>投标人名称（盖章）：</w:t>
      </w:r>
    </w:p>
    <w:p>
      <w:pPr>
        <w:pStyle w:val="96"/>
        <w:spacing w:before="240" w:line="480" w:lineRule="exact"/>
        <w:ind w:firstLine="0" w:firstLineChars="0"/>
        <w:rPr>
          <w:color w:val="000000"/>
          <w:highlight w:val="none"/>
        </w:rPr>
      </w:pPr>
      <w:r>
        <w:rPr>
          <w:rFonts w:hint="eastAsia"/>
          <w:color w:val="000000"/>
          <w:highlight w:val="none"/>
        </w:rPr>
        <w:t>授权代表（签字或盖章）：</w:t>
      </w:r>
    </w:p>
    <w:p>
      <w:pPr>
        <w:pStyle w:val="16"/>
        <w:wordWrap w:val="0"/>
        <w:spacing w:line="480" w:lineRule="exact"/>
        <w:ind w:right="600"/>
        <w:jc w:val="righ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年 月 日</w:t>
      </w:r>
    </w:p>
    <w:p>
      <w:pPr>
        <w:rPr>
          <w:rFonts w:ascii="宋体"/>
          <w:b/>
          <w:color w:val="000000"/>
          <w:sz w:val="24"/>
          <w:highlight w:val="none"/>
        </w:rPr>
      </w:pPr>
      <w:r>
        <w:rPr>
          <w:rFonts w:hint="eastAsia" w:ascii="宋体"/>
          <w:b/>
          <w:color w:val="000000"/>
          <w:sz w:val="24"/>
          <w:highlight w:val="none"/>
        </w:rPr>
        <w:t>注：本表后附相关岗位证书及项目部人员近三个月的社保证明复印件</w:t>
      </w:r>
    </w:p>
    <w:p>
      <w:pPr>
        <w:spacing w:line="480" w:lineRule="exact"/>
        <w:jc w:val="center"/>
        <w:outlineLvl w:val="0"/>
        <w:rPr>
          <w:rFonts w:ascii="宋体"/>
          <w:b/>
          <w:sz w:val="28"/>
          <w:highlight w:val="none"/>
        </w:rPr>
      </w:pPr>
      <w:r>
        <w:rPr>
          <w:rFonts w:ascii="宋体"/>
          <w:color w:val="000000"/>
          <w:sz w:val="24"/>
          <w:highlight w:val="none"/>
        </w:rPr>
        <w:br w:type="page"/>
      </w:r>
      <w:r>
        <w:rPr>
          <w:rFonts w:hint="eastAsia" w:ascii="宋体" w:hAnsi="宋体"/>
          <w:sz w:val="24"/>
          <w:highlight w:val="none"/>
        </w:rPr>
        <w:t>附件七：</w:t>
      </w:r>
      <w:r>
        <w:rPr>
          <w:rFonts w:hint="eastAsia" w:ascii="宋体" w:hAnsi="宋体"/>
          <w:b/>
          <w:sz w:val="28"/>
          <w:highlight w:val="none"/>
        </w:rPr>
        <w:t>售后服务及其它优惠条件</w:t>
      </w:r>
      <w:bookmarkEnd w:id="168"/>
      <w:bookmarkEnd w:id="169"/>
      <w:bookmarkEnd w:id="170"/>
    </w:p>
    <w:p>
      <w:pPr>
        <w:spacing w:line="480" w:lineRule="exact"/>
        <w:jc w:val="center"/>
        <w:outlineLvl w:val="0"/>
        <w:rPr>
          <w:rFonts w:ascii="宋体"/>
          <w:bCs/>
          <w:sz w:val="28"/>
          <w:szCs w:val="28"/>
          <w:highlight w:val="none"/>
        </w:rPr>
      </w:pPr>
      <w:bookmarkStart w:id="171" w:name="_Toc13684"/>
      <w:bookmarkStart w:id="172" w:name="_Toc24720"/>
      <w:bookmarkStart w:id="173" w:name="_Toc22463"/>
      <w:r>
        <w:rPr>
          <w:rFonts w:hint="eastAsia" w:ascii="宋体" w:hAnsi="宋体"/>
          <w:bCs/>
          <w:sz w:val="28"/>
          <w:szCs w:val="28"/>
          <w:highlight w:val="none"/>
        </w:rPr>
        <w:t>（格式自定）</w:t>
      </w:r>
      <w:bookmarkEnd w:id="171"/>
      <w:bookmarkEnd w:id="172"/>
      <w:bookmarkEnd w:id="173"/>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520" w:lineRule="exact"/>
        <w:ind w:firstLine="3360" w:firstLineChars="1400"/>
        <w:rPr>
          <w:rFonts w:ascii="宋体"/>
          <w:sz w:val="24"/>
          <w:highlight w:val="none"/>
        </w:rPr>
      </w:pPr>
      <w:bookmarkStart w:id="174" w:name="_Toc14611"/>
      <w:bookmarkStart w:id="175" w:name="_Toc15805"/>
      <w:bookmarkStart w:id="176" w:name="_Toc14477"/>
      <w:r>
        <w:rPr>
          <w:rFonts w:hint="eastAsia" w:ascii="宋体" w:hAnsi="宋体"/>
          <w:sz w:val="24"/>
          <w:highlight w:val="none"/>
        </w:rPr>
        <w:t>附件</w:t>
      </w:r>
      <w:r>
        <w:rPr>
          <w:rFonts w:hint="eastAsia" w:ascii="宋体" w:hAnsi="宋体"/>
          <w:sz w:val="24"/>
          <w:highlight w:val="none"/>
          <w:lang w:val="en-US" w:eastAsia="zh-CN"/>
        </w:rPr>
        <w:t>九</w:t>
      </w:r>
      <w:r>
        <w:rPr>
          <w:rFonts w:hint="eastAsia" w:ascii="宋体" w:hAnsi="宋体"/>
          <w:sz w:val="24"/>
          <w:highlight w:val="none"/>
        </w:rPr>
        <w:t>：</w:t>
      </w:r>
      <w:r>
        <w:rPr>
          <w:rFonts w:hint="eastAsia" w:ascii="宋体" w:hAnsi="宋体"/>
          <w:b/>
          <w:sz w:val="28"/>
          <w:highlight w:val="none"/>
        </w:rPr>
        <w:t>证明文件格式</w:t>
      </w:r>
      <w:bookmarkEnd w:id="174"/>
      <w:bookmarkEnd w:id="175"/>
      <w:bookmarkEnd w:id="176"/>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77" w:name="_Toc19508"/>
      <w:bookmarkStart w:id="178" w:name="_Toc5230"/>
      <w:bookmarkStart w:id="179" w:name="_Toc28149"/>
      <w:r>
        <w:rPr>
          <w:rFonts w:hint="eastAsia" w:ascii="宋体" w:hAnsi="宋体"/>
          <w:b/>
          <w:sz w:val="24"/>
          <w:highlight w:val="none"/>
        </w:rPr>
        <w:t xml:space="preserve"> 格式</w:t>
      </w:r>
      <w:r>
        <w:rPr>
          <w:rFonts w:ascii="宋体" w:hAnsi="宋体"/>
          <w:b/>
          <w:sz w:val="24"/>
          <w:highlight w:val="none"/>
        </w:rPr>
        <w:t xml:space="preserve">1  </w:t>
      </w:r>
      <w:r>
        <w:rPr>
          <w:rFonts w:hint="eastAsia" w:ascii="宋体" w:hAnsi="宋体"/>
          <w:b/>
          <w:sz w:val="24"/>
          <w:highlight w:val="none"/>
        </w:rPr>
        <w:t>近三年无不良信誉证明</w:t>
      </w:r>
      <w:bookmarkEnd w:id="177"/>
      <w:bookmarkEnd w:id="178"/>
      <w:bookmarkEnd w:id="179"/>
    </w:p>
    <w:p>
      <w:pPr>
        <w:spacing w:line="480" w:lineRule="exact"/>
        <w:jc w:val="center"/>
        <w:outlineLvl w:val="0"/>
        <w:rPr>
          <w:rFonts w:ascii="宋体"/>
          <w:sz w:val="24"/>
          <w:highlight w:val="none"/>
        </w:rPr>
      </w:pPr>
      <w:bookmarkStart w:id="180" w:name="_Toc29571"/>
      <w:bookmarkStart w:id="181" w:name="_Toc5579"/>
      <w:bookmarkStart w:id="182" w:name="_Toc16969"/>
      <w:r>
        <w:rPr>
          <w:rFonts w:hint="eastAsia" w:ascii="宋体" w:hAnsi="宋体"/>
          <w:sz w:val="24"/>
          <w:highlight w:val="none"/>
        </w:rPr>
        <w:t>（需声明投标人近三年未发生重大质量安全事故；无弄虚作假和重大违法违纪行为；无医药购销领域商业贿赂方面的不良记录。）</w:t>
      </w:r>
      <w:bookmarkEnd w:id="180"/>
      <w:bookmarkEnd w:id="181"/>
      <w:bookmarkEnd w:id="182"/>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83" w:name="_Toc5573"/>
      <w:bookmarkStart w:id="184" w:name="_Toc25890"/>
      <w:bookmarkStart w:id="185" w:name="_Toc1781"/>
      <w:r>
        <w:rPr>
          <w:rFonts w:hint="eastAsia" w:ascii="宋体" w:hAnsi="宋体"/>
          <w:b/>
          <w:sz w:val="24"/>
          <w:highlight w:val="none"/>
        </w:rPr>
        <w:t>格式</w:t>
      </w:r>
      <w:r>
        <w:rPr>
          <w:rFonts w:ascii="宋体" w:hAnsi="宋体"/>
          <w:b/>
          <w:sz w:val="24"/>
          <w:highlight w:val="none"/>
        </w:rPr>
        <w:t>2  201</w:t>
      </w:r>
      <w:r>
        <w:rPr>
          <w:rFonts w:hint="eastAsia" w:ascii="宋体" w:hAnsi="宋体"/>
          <w:b/>
          <w:sz w:val="24"/>
          <w:highlight w:val="none"/>
        </w:rPr>
        <w:t>8年度财务状况报告</w:t>
      </w:r>
      <w:bookmarkEnd w:id="183"/>
      <w:bookmarkEnd w:id="184"/>
      <w:bookmarkEnd w:id="185"/>
    </w:p>
    <w:p>
      <w:pPr>
        <w:spacing w:line="480" w:lineRule="exact"/>
        <w:jc w:val="center"/>
        <w:outlineLvl w:val="0"/>
        <w:rPr>
          <w:rFonts w:ascii="宋体"/>
          <w:sz w:val="24"/>
          <w:highlight w:val="none"/>
        </w:rPr>
      </w:pPr>
      <w:bookmarkStart w:id="186" w:name="_Toc3211"/>
      <w:bookmarkStart w:id="187" w:name="_Toc24571"/>
      <w:bookmarkStart w:id="188" w:name="_Toc29391"/>
      <w:r>
        <w:rPr>
          <w:rFonts w:hint="eastAsia" w:ascii="宋体" w:hAnsi="宋体"/>
          <w:sz w:val="24"/>
          <w:highlight w:val="none"/>
        </w:rPr>
        <w:t>（附财务报表（含资产负债表、现金流量表、利润表的复印件），或其基本开户银行出具的资信证明）</w:t>
      </w:r>
      <w:bookmarkEnd w:id="186"/>
      <w:bookmarkEnd w:id="187"/>
      <w:bookmarkEnd w:id="188"/>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89" w:name="_Toc13521"/>
      <w:bookmarkStart w:id="190" w:name="_Toc23494"/>
      <w:bookmarkStart w:id="191" w:name="_Toc23883"/>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189"/>
      <w:bookmarkEnd w:id="190"/>
      <w:bookmarkEnd w:id="191"/>
    </w:p>
    <w:p>
      <w:pPr>
        <w:spacing w:line="480" w:lineRule="exact"/>
        <w:jc w:val="center"/>
        <w:outlineLvl w:val="0"/>
        <w:rPr>
          <w:rFonts w:ascii="宋体" w:hAnsi="宋体"/>
          <w:sz w:val="24"/>
          <w:highlight w:val="none"/>
        </w:rPr>
      </w:pPr>
      <w:bookmarkStart w:id="192" w:name="_Toc20732"/>
      <w:bookmarkStart w:id="193" w:name="_Toc1183"/>
      <w:bookmarkStart w:id="194" w:name="_Toc16451"/>
      <w:r>
        <w:rPr>
          <w:rFonts w:hint="eastAsia" w:ascii="宋体" w:hAnsi="宋体"/>
          <w:sz w:val="24"/>
          <w:highlight w:val="none"/>
        </w:rPr>
        <w:t>1、附近三个月的纳税凭证：完税凭证或免税证明或纳税申报表或银行缴税电汇凭证；</w:t>
      </w:r>
    </w:p>
    <w:p>
      <w:pPr>
        <w:spacing w:line="480" w:lineRule="exact"/>
        <w:outlineLvl w:val="0"/>
        <w:rPr>
          <w:rFonts w:ascii="宋体" w:hAnsi="宋体"/>
          <w:sz w:val="24"/>
          <w:highlight w:val="none"/>
        </w:rPr>
      </w:pPr>
      <w:r>
        <w:rPr>
          <w:rFonts w:hint="eastAsia" w:ascii="宋体" w:hAnsi="宋体"/>
          <w:sz w:val="24"/>
          <w:highlight w:val="none"/>
        </w:rPr>
        <w:t>2、近三个月缴纳社会保险的凭据：专用收据或社会保险缴纳清单。</w:t>
      </w:r>
    </w:p>
    <w:bookmarkEnd w:id="192"/>
    <w:bookmarkEnd w:id="193"/>
    <w:bookmarkEnd w:id="194"/>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195" w:name="_Toc3815"/>
      <w:bookmarkStart w:id="196" w:name="_Toc31328"/>
      <w:bookmarkStart w:id="197" w:name="_Toc4"/>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195"/>
      <w:bookmarkEnd w:id="196"/>
      <w:bookmarkEnd w:id="197"/>
    </w:p>
    <w:p>
      <w:pPr>
        <w:spacing w:line="480" w:lineRule="exact"/>
        <w:jc w:val="center"/>
        <w:outlineLvl w:val="0"/>
        <w:rPr>
          <w:rFonts w:ascii="宋体"/>
          <w:sz w:val="28"/>
          <w:highlight w:val="none"/>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198" w:name="_Toc11678"/>
      <w:bookmarkStart w:id="199" w:name="_Toc15082"/>
      <w:bookmarkStart w:id="200" w:name="_Toc4460"/>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198"/>
      <w:bookmarkEnd w:id="199"/>
      <w:bookmarkEnd w:id="200"/>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201" w:name="_Toc14964"/>
      <w:bookmarkStart w:id="202" w:name="_Toc9435"/>
      <w:bookmarkStart w:id="203" w:name="_Toc170"/>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201"/>
      <w:bookmarkEnd w:id="202"/>
      <w:bookmarkEnd w:id="203"/>
    </w:p>
    <w:p>
      <w:pPr>
        <w:spacing w:line="480" w:lineRule="exact"/>
        <w:jc w:val="center"/>
        <w:outlineLvl w:val="0"/>
        <w:rPr>
          <w:rFonts w:ascii="宋体"/>
          <w:b/>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3"/>
        <w:spacing w:line="580" w:lineRule="exact"/>
        <w:jc w:val="center"/>
        <w:rPr>
          <w:sz w:val="28"/>
          <w:szCs w:val="28"/>
          <w:highlight w:val="none"/>
        </w:rPr>
      </w:pPr>
      <w:r>
        <w:rPr>
          <w:rFonts w:ascii="宋体"/>
          <w:highlight w:val="none"/>
        </w:rPr>
        <w:br w:type="page"/>
      </w:r>
      <w:bookmarkStart w:id="204" w:name="_Toc492372156"/>
      <w:bookmarkStart w:id="205" w:name="_Toc15306"/>
      <w:bookmarkStart w:id="206" w:name="_Toc503943637"/>
      <w:bookmarkStart w:id="207" w:name="_Toc499827580"/>
      <w:bookmarkStart w:id="208" w:name="_Toc499831025"/>
      <w:r>
        <w:rPr>
          <w:rFonts w:hint="eastAsia"/>
          <w:sz w:val="28"/>
          <w:szCs w:val="28"/>
          <w:highlight w:val="none"/>
        </w:rPr>
        <w:t>格式</w:t>
      </w:r>
      <w:r>
        <w:rPr>
          <w:sz w:val="28"/>
          <w:szCs w:val="28"/>
          <w:highlight w:val="none"/>
        </w:rPr>
        <w:t xml:space="preserve">7  </w:t>
      </w:r>
      <w:bookmarkEnd w:id="204"/>
      <w:r>
        <w:rPr>
          <w:rFonts w:hint="eastAsia"/>
          <w:sz w:val="28"/>
          <w:szCs w:val="28"/>
          <w:highlight w:val="none"/>
        </w:rPr>
        <w:t>残疾人福利性单位声明函</w:t>
      </w:r>
      <w:bookmarkEnd w:id="205"/>
      <w:bookmarkEnd w:id="206"/>
      <w:bookmarkEnd w:id="207"/>
      <w:bookmarkEnd w:id="208"/>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49"/>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0"/>
        <w:spacing w:line="480" w:lineRule="exact"/>
        <w:ind w:left="0" w:leftChars="0" w:firstLine="0" w:firstLineChars="0"/>
        <w:rPr>
          <w:rFonts w:ascii="宋体"/>
          <w:highlight w:val="none"/>
        </w:rPr>
      </w:pPr>
      <w:r>
        <w:rPr>
          <w:rFonts w:ascii="宋体"/>
          <w:highlight w:val="none"/>
        </w:rPr>
        <w:br w:type="page"/>
      </w:r>
    </w:p>
    <w:p>
      <w:pPr>
        <w:pStyle w:val="20"/>
        <w:spacing w:line="480" w:lineRule="exact"/>
        <w:ind w:left="0" w:leftChars="0" w:firstLine="0" w:firstLineChars="0"/>
        <w:jc w:val="center"/>
        <w:rPr>
          <w:rFonts w:ascii="宋体"/>
          <w:sz w:val="21"/>
          <w:highlight w:val="none"/>
        </w:rPr>
      </w:pPr>
      <w:r>
        <w:rPr>
          <w:rFonts w:hint="eastAsia" w:ascii="宋体" w:hAnsi="宋体"/>
          <w:highlight w:val="none"/>
        </w:rPr>
        <w:t>附件</w:t>
      </w:r>
      <w:r>
        <w:rPr>
          <w:rFonts w:hint="eastAsia" w:ascii="宋体" w:hAnsi="宋体"/>
          <w:highlight w:val="none"/>
          <w:lang w:val="en-US" w:eastAsia="zh-CN"/>
        </w:rPr>
        <w:t>十</w:t>
      </w:r>
      <w:r>
        <w:rPr>
          <w:rFonts w:hint="eastAsia" w:ascii="宋体" w:hAnsi="宋体"/>
          <w:highlight w:val="none"/>
        </w:rPr>
        <w:t>：</w:t>
      </w:r>
      <w:r>
        <w:rPr>
          <w:rFonts w:hint="eastAsia" w:ascii="宋体" w:hAnsi="宋体"/>
          <w:b/>
          <w:sz w:val="32"/>
          <w:szCs w:val="32"/>
          <w:highlight w:val="none"/>
        </w:rPr>
        <w:t>封面格式：</w:t>
      </w:r>
    </w:p>
    <w:p>
      <w:pPr>
        <w:pStyle w:val="20"/>
        <w:spacing w:line="480" w:lineRule="exact"/>
        <w:ind w:left="0" w:leftChars="0" w:firstLine="0" w:firstLineChars="0"/>
        <w:rPr>
          <w:rFonts w:ascii="宋体"/>
          <w:highlight w:val="none"/>
        </w:rPr>
      </w:pPr>
    </w:p>
    <w:p>
      <w:pPr>
        <w:pStyle w:val="20"/>
        <w:spacing w:line="480" w:lineRule="exact"/>
        <w:ind w:left="1747" w:firstLine="470"/>
        <w:rPr>
          <w:rFonts w:ascii="宋体"/>
          <w:highlight w:val="none"/>
        </w:rPr>
        <w:sectPr>
          <w:pgSz w:w="11907" w:h="16840"/>
          <w:pgMar w:top="1304" w:right="1418" w:bottom="1157" w:left="1418" w:header="851" w:footer="851" w:gutter="0"/>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（正本）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c>
          <w:tcPr>
            <w:tcW w:w="477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（副本）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r>
    </w:tbl>
    <w:p>
      <w:pPr>
        <w:pStyle w:val="20"/>
        <w:spacing w:line="480" w:lineRule="exact"/>
        <w:ind w:left="1747" w:firstLine="470"/>
        <w:rPr>
          <w:rFonts w:ascii="宋体"/>
          <w:highlight w:val="none"/>
        </w:rPr>
      </w:pPr>
    </w:p>
    <w:tbl>
      <w:tblPr>
        <w:tblStyle w:val="49"/>
        <w:tblW w:w="9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9100" w:type="dxa"/>
          </w:tcPr>
          <w:p>
            <w:pPr>
              <w:pStyle w:val="20"/>
              <w:spacing w:line="480" w:lineRule="exact"/>
              <w:ind w:left="1747" w:firstLine="590"/>
              <w:jc w:val="center"/>
              <w:rPr>
                <w:rFonts w:ascii="宋体"/>
                <w:b/>
                <w:kern w:val="2"/>
                <w:sz w:val="30"/>
                <w:szCs w:val="24"/>
                <w:highlight w:val="none"/>
              </w:rPr>
            </w:pPr>
          </w:p>
          <w:p>
            <w:pPr>
              <w:pStyle w:val="20"/>
              <w:spacing w:line="480" w:lineRule="exact"/>
              <w:ind w:left="0" w:leftChars="0" w:firstLine="0" w:firstLineChars="0"/>
              <w:jc w:val="center"/>
              <w:rPr>
                <w:rFonts w:ascii="宋体"/>
                <w:kern w:val="2"/>
                <w:sz w:val="30"/>
                <w:szCs w:val="24"/>
                <w:highlight w:val="none"/>
              </w:rPr>
            </w:pPr>
            <w:r>
              <w:rPr>
                <w:rFonts w:hint="eastAsia" w:ascii="宋体" w:hAnsi="宋体"/>
                <w:b/>
                <w:kern w:val="2"/>
                <w:sz w:val="32"/>
                <w:szCs w:val="32"/>
                <w:highlight w:val="none"/>
              </w:rPr>
              <w:t>开标一览表</w:t>
            </w:r>
          </w:p>
          <w:p>
            <w:pPr>
              <w:pStyle w:val="20"/>
              <w:spacing w:line="480" w:lineRule="exact"/>
              <w:ind w:left="1747" w:firstLine="470"/>
              <w:rPr>
                <w:rFonts w:ascii="宋体"/>
                <w:kern w:val="2"/>
                <w:szCs w:val="24"/>
                <w:highlight w:val="none"/>
              </w:rPr>
            </w:pPr>
          </w:p>
          <w:p>
            <w:pPr>
              <w:pStyle w:val="20"/>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tc>
      </w:tr>
    </w:tbl>
    <w:p>
      <w:pPr>
        <w:pStyle w:val="20"/>
        <w:spacing w:line="480" w:lineRule="exact"/>
        <w:ind w:left="1747" w:firstLine="470"/>
        <w:rPr>
          <w:rFonts w:ascii="宋体"/>
          <w:highlight w:val="none"/>
        </w:rPr>
      </w:pPr>
    </w:p>
    <w:p>
      <w:pPr>
        <w:pStyle w:val="20"/>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49"/>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180" w:type="dxa"/>
            <w:vAlign w:val="center"/>
          </w:tcPr>
          <w:p>
            <w:pPr>
              <w:pStyle w:val="20"/>
              <w:spacing w:line="480" w:lineRule="exact"/>
              <w:ind w:left="0" w:leftChars="0" w:firstLine="0" w:firstLineChars="0"/>
              <w:rPr>
                <w:rFonts w:ascii="宋体"/>
                <w:kern w:val="2"/>
                <w:szCs w:val="24"/>
                <w:highlight w:val="none"/>
              </w:rPr>
            </w:pPr>
            <w:r>
              <w:rPr>
                <w:rFonts w:hint="eastAsia" w:ascii="宋体" w:hAnsi="宋体"/>
                <w:kern w:val="2"/>
                <w:szCs w:val="24"/>
                <w:highlight w:val="none"/>
              </w:rPr>
              <w:t>………………………于年月日时之前不准启封（公章）………………………</w:t>
            </w:r>
          </w:p>
        </w:tc>
      </w:tr>
    </w:tbl>
    <w:p>
      <w:pPr>
        <w:pStyle w:val="20"/>
        <w:spacing w:line="480" w:lineRule="exact"/>
        <w:ind w:left="0" w:leftChars="0" w:firstLine="0" w:firstLineChars="0"/>
        <w:rPr>
          <w:rFonts w:ascii="宋体"/>
          <w:highlight w:val="none"/>
        </w:rPr>
      </w:pPr>
    </w:p>
    <w:sectPr>
      <w:type w:val="continuous"/>
      <w:pgSz w:w="11907" w:h="16840"/>
      <w:pgMar w:top="1304" w:right="1418" w:bottom="1157" w:left="1418" w:header="851" w:footer="851" w:gutter="0"/>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DE"/>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juml68BAABLAwAADgAAAGRycy9lMm9Eb2MueG1srVPNahsxEL4H8g5C&#10;91hrB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BrShy3OKL9zx/7X6/7l+9klt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juml6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drawing>
        <wp:inline distT="0" distB="0" distL="114300" distR="114300">
          <wp:extent cx="136525" cy="136525"/>
          <wp:effectExtent l="0" t="0" r="15875" b="158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136525" cy="136525"/>
                  </a:xfrm>
                  <a:prstGeom prst="rect">
                    <a:avLst/>
                  </a:prstGeom>
                  <a:noFill/>
                  <a:ln>
                    <a:noFill/>
                  </a:ln>
                </pic:spPr>
              </pic:pic>
            </a:graphicData>
          </a:graphic>
        </wp:inline>
      </w:drawing>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2690DC"/>
    <w:multiLevelType w:val="singleLevel"/>
    <w:tmpl w:val="E32690DC"/>
    <w:lvl w:ilvl="0" w:tentative="0">
      <w:start w:val="2"/>
      <w:numFmt w:val="chineseCounting"/>
      <w:suff w:val="nothing"/>
      <w:lvlText w:val="%1、"/>
      <w:lvlJc w:val="left"/>
      <w:rPr>
        <w:rFonts w:hint="eastAsia"/>
      </w:rPr>
    </w:lvl>
  </w:abstractNum>
  <w:abstractNum w:abstractNumId="1">
    <w:nsid w:val="EC5535B5"/>
    <w:multiLevelType w:val="singleLevel"/>
    <w:tmpl w:val="EC5535B5"/>
    <w:lvl w:ilvl="0" w:tentative="0">
      <w:start w:val="9"/>
      <w:numFmt w:val="decimal"/>
      <w:lvlText w:val="%1."/>
      <w:lvlJc w:val="left"/>
      <w:pPr>
        <w:tabs>
          <w:tab w:val="left" w:pos="312"/>
        </w:tabs>
      </w:pPr>
    </w:lvl>
  </w:abstractNum>
  <w:abstractNum w:abstractNumId="2">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3">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4">
    <w:nsid w:val="14E37AA9"/>
    <w:multiLevelType w:val="multilevel"/>
    <w:tmpl w:val="14E37A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BD718A"/>
    <w:multiLevelType w:val="multilevel"/>
    <w:tmpl w:val="1EBD71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E0118E"/>
    <w:multiLevelType w:val="singleLevel"/>
    <w:tmpl w:val="5AE0118E"/>
    <w:lvl w:ilvl="0" w:tentative="0">
      <w:start w:val="5"/>
      <w:numFmt w:val="decimal"/>
      <w:suff w:val="nothing"/>
      <w:lvlText w:val="%1、"/>
      <w:lvlJc w:val="left"/>
      <w:rPr>
        <w:rFonts w:cs="Times New Roman"/>
      </w:rPr>
    </w:lvl>
  </w:abstractNum>
  <w:abstractNum w:abstractNumId="7">
    <w:nsid w:val="66EC2BDA"/>
    <w:multiLevelType w:val="multilevel"/>
    <w:tmpl w:val="66EC2B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50"/>
  <w:drawingGridHorizontalSpacing w:val="191"/>
  <w:drawingGridVerticalSpacing w:val="14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626DD"/>
    <w:rsid w:val="000904F1"/>
    <w:rsid w:val="000C678F"/>
    <w:rsid w:val="000E2449"/>
    <w:rsid w:val="00131905"/>
    <w:rsid w:val="00162C5D"/>
    <w:rsid w:val="00172A27"/>
    <w:rsid w:val="00182A74"/>
    <w:rsid w:val="001914BD"/>
    <w:rsid w:val="00194DBA"/>
    <w:rsid w:val="00195DA1"/>
    <w:rsid w:val="00205145"/>
    <w:rsid w:val="00243E3D"/>
    <w:rsid w:val="00246731"/>
    <w:rsid w:val="00276B8B"/>
    <w:rsid w:val="002C1BB4"/>
    <w:rsid w:val="002D5FC0"/>
    <w:rsid w:val="002F4ECD"/>
    <w:rsid w:val="002F5066"/>
    <w:rsid w:val="00302DBF"/>
    <w:rsid w:val="00305EEA"/>
    <w:rsid w:val="00323006"/>
    <w:rsid w:val="00356D4F"/>
    <w:rsid w:val="00370188"/>
    <w:rsid w:val="00386985"/>
    <w:rsid w:val="003C419A"/>
    <w:rsid w:val="003D1EDA"/>
    <w:rsid w:val="003F33E7"/>
    <w:rsid w:val="00423430"/>
    <w:rsid w:val="00432143"/>
    <w:rsid w:val="0046019C"/>
    <w:rsid w:val="00465637"/>
    <w:rsid w:val="00471882"/>
    <w:rsid w:val="004772C0"/>
    <w:rsid w:val="004D1A53"/>
    <w:rsid w:val="00517D33"/>
    <w:rsid w:val="00527409"/>
    <w:rsid w:val="0053706A"/>
    <w:rsid w:val="00566766"/>
    <w:rsid w:val="005735D4"/>
    <w:rsid w:val="00575932"/>
    <w:rsid w:val="00576D88"/>
    <w:rsid w:val="005B2561"/>
    <w:rsid w:val="005D2392"/>
    <w:rsid w:val="006519FF"/>
    <w:rsid w:val="006769D2"/>
    <w:rsid w:val="0067730B"/>
    <w:rsid w:val="0069381A"/>
    <w:rsid w:val="006B69AC"/>
    <w:rsid w:val="006C069F"/>
    <w:rsid w:val="006E1D66"/>
    <w:rsid w:val="00761902"/>
    <w:rsid w:val="00774762"/>
    <w:rsid w:val="007838AB"/>
    <w:rsid w:val="0082141B"/>
    <w:rsid w:val="008F5DC5"/>
    <w:rsid w:val="00920411"/>
    <w:rsid w:val="00991453"/>
    <w:rsid w:val="00995536"/>
    <w:rsid w:val="009A405D"/>
    <w:rsid w:val="009B1504"/>
    <w:rsid w:val="009D2573"/>
    <w:rsid w:val="009D5D9A"/>
    <w:rsid w:val="009F1C91"/>
    <w:rsid w:val="00A35668"/>
    <w:rsid w:val="00A457A3"/>
    <w:rsid w:val="00A45B84"/>
    <w:rsid w:val="00A478A0"/>
    <w:rsid w:val="00A540D0"/>
    <w:rsid w:val="00A75CA1"/>
    <w:rsid w:val="00AA49DB"/>
    <w:rsid w:val="00AD5758"/>
    <w:rsid w:val="00AF6B68"/>
    <w:rsid w:val="00B0178F"/>
    <w:rsid w:val="00B03677"/>
    <w:rsid w:val="00B14739"/>
    <w:rsid w:val="00B3167C"/>
    <w:rsid w:val="00BF1996"/>
    <w:rsid w:val="00BF5D8C"/>
    <w:rsid w:val="00C22CF4"/>
    <w:rsid w:val="00C30279"/>
    <w:rsid w:val="00C37280"/>
    <w:rsid w:val="00C42EEE"/>
    <w:rsid w:val="00CE6A2C"/>
    <w:rsid w:val="00CF633E"/>
    <w:rsid w:val="00D0384D"/>
    <w:rsid w:val="00D20821"/>
    <w:rsid w:val="00D2184F"/>
    <w:rsid w:val="00D262AB"/>
    <w:rsid w:val="00D76286"/>
    <w:rsid w:val="00D90AF6"/>
    <w:rsid w:val="00DB598B"/>
    <w:rsid w:val="00DD5723"/>
    <w:rsid w:val="00DE31F6"/>
    <w:rsid w:val="00E17C0E"/>
    <w:rsid w:val="00E352B5"/>
    <w:rsid w:val="00E5162D"/>
    <w:rsid w:val="00E6261D"/>
    <w:rsid w:val="00E849CB"/>
    <w:rsid w:val="00EA13C3"/>
    <w:rsid w:val="00EB7236"/>
    <w:rsid w:val="00F5673C"/>
    <w:rsid w:val="00FC0E0C"/>
    <w:rsid w:val="00FD1F62"/>
    <w:rsid w:val="00FD3231"/>
    <w:rsid w:val="00FD5088"/>
    <w:rsid w:val="012347B7"/>
    <w:rsid w:val="01267FBC"/>
    <w:rsid w:val="01367B2E"/>
    <w:rsid w:val="013B7FED"/>
    <w:rsid w:val="01477457"/>
    <w:rsid w:val="01483AE6"/>
    <w:rsid w:val="015C2257"/>
    <w:rsid w:val="016018AA"/>
    <w:rsid w:val="016171C3"/>
    <w:rsid w:val="0175408A"/>
    <w:rsid w:val="0178463B"/>
    <w:rsid w:val="01833406"/>
    <w:rsid w:val="018B4463"/>
    <w:rsid w:val="018B6312"/>
    <w:rsid w:val="019D0F86"/>
    <w:rsid w:val="019F1051"/>
    <w:rsid w:val="01B0280C"/>
    <w:rsid w:val="01F92DB9"/>
    <w:rsid w:val="02177898"/>
    <w:rsid w:val="02227C57"/>
    <w:rsid w:val="022C7141"/>
    <w:rsid w:val="02347B0F"/>
    <w:rsid w:val="023A5D18"/>
    <w:rsid w:val="023D5D3A"/>
    <w:rsid w:val="027236E2"/>
    <w:rsid w:val="02A254D3"/>
    <w:rsid w:val="02B053ED"/>
    <w:rsid w:val="02B16F47"/>
    <w:rsid w:val="02C248BF"/>
    <w:rsid w:val="02D35B8B"/>
    <w:rsid w:val="02D601CF"/>
    <w:rsid w:val="02DC73A5"/>
    <w:rsid w:val="02E45A48"/>
    <w:rsid w:val="02EE0490"/>
    <w:rsid w:val="02F42AF4"/>
    <w:rsid w:val="02FA6999"/>
    <w:rsid w:val="03190F6E"/>
    <w:rsid w:val="03261ED3"/>
    <w:rsid w:val="03522D6F"/>
    <w:rsid w:val="036E457D"/>
    <w:rsid w:val="03741D26"/>
    <w:rsid w:val="037B55A1"/>
    <w:rsid w:val="037E752F"/>
    <w:rsid w:val="03B865B7"/>
    <w:rsid w:val="03D9691B"/>
    <w:rsid w:val="03E35D9F"/>
    <w:rsid w:val="03F0148C"/>
    <w:rsid w:val="04052A76"/>
    <w:rsid w:val="040E3633"/>
    <w:rsid w:val="041626B7"/>
    <w:rsid w:val="042D27C9"/>
    <w:rsid w:val="044010E0"/>
    <w:rsid w:val="046E0BCD"/>
    <w:rsid w:val="048F2EAC"/>
    <w:rsid w:val="04A813F0"/>
    <w:rsid w:val="04BD332D"/>
    <w:rsid w:val="04C60BF6"/>
    <w:rsid w:val="04C64C86"/>
    <w:rsid w:val="04D04155"/>
    <w:rsid w:val="04D46BF9"/>
    <w:rsid w:val="04D83675"/>
    <w:rsid w:val="04F856AF"/>
    <w:rsid w:val="050837CA"/>
    <w:rsid w:val="0526784C"/>
    <w:rsid w:val="052E7492"/>
    <w:rsid w:val="055838CE"/>
    <w:rsid w:val="055D0DAD"/>
    <w:rsid w:val="05617CA7"/>
    <w:rsid w:val="05755832"/>
    <w:rsid w:val="05817010"/>
    <w:rsid w:val="05834B6F"/>
    <w:rsid w:val="05C6569E"/>
    <w:rsid w:val="05D03DF4"/>
    <w:rsid w:val="05E04535"/>
    <w:rsid w:val="05E35544"/>
    <w:rsid w:val="05F0753E"/>
    <w:rsid w:val="060D342D"/>
    <w:rsid w:val="060F5DD5"/>
    <w:rsid w:val="06250628"/>
    <w:rsid w:val="064B02D7"/>
    <w:rsid w:val="064C4C30"/>
    <w:rsid w:val="06542070"/>
    <w:rsid w:val="06562376"/>
    <w:rsid w:val="066F3069"/>
    <w:rsid w:val="06893342"/>
    <w:rsid w:val="069444F0"/>
    <w:rsid w:val="06AB0347"/>
    <w:rsid w:val="06B35D6A"/>
    <w:rsid w:val="06C26570"/>
    <w:rsid w:val="06D23153"/>
    <w:rsid w:val="06D80483"/>
    <w:rsid w:val="06FD7E11"/>
    <w:rsid w:val="07011658"/>
    <w:rsid w:val="07255034"/>
    <w:rsid w:val="072E64EA"/>
    <w:rsid w:val="074D6753"/>
    <w:rsid w:val="075258A9"/>
    <w:rsid w:val="075713E8"/>
    <w:rsid w:val="076C384E"/>
    <w:rsid w:val="077924D4"/>
    <w:rsid w:val="078475F2"/>
    <w:rsid w:val="078B0666"/>
    <w:rsid w:val="07963322"/>
    <w:rsid w:val="07BD01C3"/>
    <w:rsid w:val="07BD0F68"/>
    <w:rsid w:val="07BD4DD1"/>
    <w:rsid w:val="08010237"/>
    <w:rsid w:val="08071830"/>
    <w:rsid w:val="080776C4"/>
    <w:rsid w:val="080B3E19"/>
    <w:rsid w:val="08121A78"/>
    <w:rsid w:val="081F4806"/>
    <w:rsid w:val="0829532F"/>
    <w:rsid w:val="08397BFF"/>
    <w:rsid w:val="08490850"/>
    <w:rsid w:val="085415DF"/>
    <w:rsid w:val="087C3B7A"/>
    <w:rsid w:val="087E432D"/>
    <w:rsid w:val="08873EAB"/>
    <w:rsid w:val="089116C8"/>
    <w:rsid w:val="08BA02CC"/>
    <w:rsid w:val="08CE65E6"/>
    <w:rsid w:val="08D614C7"/>
    <w:rsid w:val="0908208A"/>
    <w:rsid w:val="095B245E"/>
    <w:rsid w:val="09646610"/>
    <w:rsid w:val="09654F95"/>
    <w:rsid w:val="09782E97"/>
    <w:rsid w:val="098A0D6C"/>
    <w:rsid w:val="09955B90"/>
    <w:rsid w:val="0996643B"/>
    <w:rsid w:val="09A1593F"/>
    <w:rsid w:val="09A3603A"/>
    <w:rsid w:val="09CA79E9"/>
    <w:rsid w:val="09E9599C"/>
    <w:rsid w:val="09F27F64"/>
    <w:rsid w:val="09F55CE3"/>
    <w:rsid w:val="0A014875"/>
    <w:rsid w:val="0A0F1EA6"/>
    <w:rsid w:val="0A0F6BF1"/>
    <w:rsid w:val="0A1A3BD9"/>
    <w:rsid w:val="0A405D2D"/>
    <w:rsid w:val="0A5A6458"/>
    <w:rsid w:val="0A6F663E"/>
    <w:rsid w:val="0A7C58C9"/>
    <w:rsid w:val="0A8054FA"/>
    <w:rsid w:val="0A810628"/>
    <w:rsid w:val="0A844C62"/>
    <w:rsid w:val="0AC241A3"/>
    <w:rsid w:val="0AC63BD6"/>
    <w:rsid w:val="0AD00FE0"/>
    <w:rsid w:val="0AE21508"/>
    <w:rsid w:val="0AE73FAC"/>
    <w:rsid w:val="0AE77507"/>
    <w:rsid w:val="0AEF47FB"/>
    <w:rsid w:val="0AF9564E"/>
    <w:rsid w:val="0B07100B"/>
    <w:rsid w:val="0B1812C3"/>
    <w:rsid w:val="0B1B6B69"/>
    <w:rsid w:val="0B790DB1"/>
    <w:rsid w:val="0B8D10E4"/>
    <w:rsid w:val="0B981026"/>
    <w:rsid w:val="0BBC755F"/>
    <w:rsid w:val="0C3E6AC4"/>
    <w:rsid w:val="0C3F09BC"/>
    <w:rsid w:val="0C4D1511"/>
    <w:rsid w:val="0C620D79"/>
    <w:rsid w:val="0C6B59DB"/>
    <w:rsid w:val="0C993171"/>
    <w:rsid w:val="0C9A2D16"/>
    <w:rsid w:val="0CA61420"/>
    <w:rsid w:val="0CAB22B6"/>
    <w:rsid w:val="0CAC6AE8"/>
    <w:rsid w:val="0CC37BE2"/>
    <w:rsid w:val="0CC64DD0"/>
    <w:rsid w:val="0CE95F5F"/>
    <w:rsid w:val="0CF4329D"/>
    <w:rsid w:val="0D086F79"/>
    <w:rsid w:val="0D0B7061"/>
    <w:rsid w:val="0D2A2B39"/>
    <w:rsid w:val="0D3E6C92"/>
    <w:rsid w:val="0D4E351D"/>
    <w:rsid w:val="0D507D0D"/>
    <w:rsid w:val="0D5A688D"/>
    <w:rsid w:val="0D6774D6"/>
    <w:rsid w:val="0D791322"/>
    <w:rsid w:val="0D853DE8"/>
    <w:rsid w:val="0D8D2290"/>
    <w:rsid w:val="0D8E5397"/>
    <w:rsid w:val="0D9945DA"/>
    <w:rsid w:val="0D99769E"/>
    <w:rsid w:val="0DCE62FF"/>
    <w:rsid w:val="0DD80D8A"/>
    <w:rsid w:val="0DE02318"/>
    <w:rsid w:val="0E007950"/>
    <w:rsid w:val="0E090B33"/>
    <w:rsid w:val="0E150C48"/>
    <w:rsid w:val="0E172A1B"/>
    <w:rsid w:val="0E1967C1"/>
    <w:rsid w:val="0E2F42D1"/>
    <w:rsid w:val="0E3B2EEC"/>
    <w:rsid w:val="0E4D3146"/>
    <w:rsid w:val="0E6F5851"/>
    <w:rsid w:val="0E770F0B"/>
    <w:rsid w:val="0E771FE7"/>
    <w:rsid w:val="0E772D56"/>
    <w:rsid w:val="0EAF3CFB"/>
    <w:rsid w:val="0ECB11B5"/>
    <w:rsid w:val="0ED22571"/>
    <w:rsid w:val="0ED7443F"/>
    <w:rsid w:val="0ED974C9"/>
    <w:rsid w:val="0EDB0F07"/>
    <w:rsid w:val="0EEE03B8"/>
    <w:rsid w:val="0EF512E5"/>
    <w:rsid w:val="0F167C07"/>
    <w:rsid w:val="0F2A62A0"/>
    <w:rsid w:val="0F501C07"/>
    <w:rsid w:val="0F507736"/>
    <w:rsid w:val="0F692D5A"/>
    <w:rsid w:val="0F7449C0"/>
    <w:rsid w:val="0F8628E6"/>
    <w:rsid w:val="0F9C2A4D"/>
    <w:rsid w:val="0FA82E1F"/>
    <w:rsid w:val="0FA96252"/>
    <w:rsid w:val="0FB03457"/>
    <w:rsid w:val="0FBC441C"/>
    <w:rsid w:val="0FC95D8D"/>
    <w:rsid w:val="0FE576A4"/>
    <w:rsid w:val="0FEA2AA1"/>
    <w:rsid w:val="10183F05"/>
    <w:rsid w:val="104352A2"/>
    <w:rsid w:val="104F28D6"/>
    <w:rsid w:val="1052003D"/>
    <w:rsid w:val="10632D51"/>
    <w:rsid w:val="10840EB5"/>
    <w:rsid w:val="10847FCD"/>
    <w:rsid w:val="1086577E"/>
    <w:rsid w:val="10980533"/>
    <w:rsid w:val="10A34487"/>
    <w:rsid w:val="10AE4686"/>
    <w:rsid w:val="10B72F5D"/>
    <w:rsid w:val="10BC57A4"/>
    <w:rsid w:val="10BD3919"/>
    <w:rsid w:val="10C1206B"/>
    <w:rsid w:val="10C95AA0"/>
    <w:rsid w:val="10CF6159"/>
    <w:rsid w:val="10F75CBD"/>
    <w:rsid w:val="10FE5ED8"/>
    <w:rsid w:val="110045A1"/>
    <w:rsid w:val="110E4253"/>
    <w:rsid w:val="11421803"/>
    <w:rsid w:val="11442249"/>
    <w:rsid w:val="114D3221"/>
    <w:rsid w:val="117D1A08"/>
    <w:rsid w:val="11AF39F6"/>
    <w:rsid w:val="11E95CE2"/>
    <w:rsid w:val="11E96D3A"/>
    <w:rsid w:val="11EA4504"/>
    <w:rsid w:val="120129C4"/>
    <w:rsid w:val="120301D5"/>
    <w:rsid w:val="124219E9"/>
    <w:rsid w:val="12496D2B"/>
    <w:rsid w:val="12510410"/>
    <w:rsid w:val="125D168B"/>
    <w:rsid w:val="126B3ACC"/>
    <w:rsid w:val="127B5B8A"/>
    <w:rsid w:val="12815604"/>
    <w:rsid w:val="12861902"/>
    <w:rsid w:val="128B4771"/>
    <w:rsid w:val="1297465C"/>
    <w:rsid w:val="129E3A93"/>
    <w:rsid w:val="12E37BC0"/>
    <w:rsid w:val="12F234F4"/>
    <w:rsid w:val="12F31760"/>
    <w:rsid w:val="12F75240"/>
    <w:rsid w:val="13111C23"/>
    <w:rsid w:val="13153B92"/>
    <w:rsid w:val="132F60FE"/>
    <w:rsid w:val="13410E38"/>
    <w:rsid w:val="136658C4"/>
    <w:rsid w:val="136B4814"/>
    <w:rsid w:val="13734AB8"/>
    <w:rsid w:val="1377104B"/>
    <w:rsid w:val="137E50DC"/>
    <w:rsid w:val="138F504A"/>
    <w:rsid w:val="139103F2"/>
    <w:rsid w:val="13963CB0"/>
    <w:rsid w:val="13A64BAD"/>
    <w:rsid w:val="13B449C3"/>
    <w:rsid w:val="13BA0ACF"/>
    <w:rsid w:val="13CE3C39"/>
    <w:rsid w:val="13D705AF"/>
    <w:rsid w:val="13F906A1"/>
    <w:rsid w:val="140C65BF"/>
    <w:rsid w:val="14272C54"/>
    <w:rsid w:val="143945FD"/>
    <w:rsid w:val="14497C26"/>
    <w:rsid w:val="144C1E1B"/>
    <w:rsid w:val="145B5728"/>
    <w:rsid w:val="14744D84"/>
    <w:rsid w:val="1476244A"/>
    <w:rsid w:val="147D31D6"/>
    <w:rsid w:val="1487005D"/>
    <w:rsid w:val="14970036"/>
    <w:rsid w:val="14A251C4"/>
    <w:rsid w:val="14AB5BA1"/>
    <w:rsid w:val="14AC48B9"/>
    <w:rsid w:val="14D51C51"/>
    <w:rsid w:val="14DD57E6"/>
    <w:rsid w:val="14E37F8F"/>
    <w:rsid w:val="15031F47"/>
    <w:rsid w:val="15046A51"/>
    <w:rsid w:val="15431BD8"/>
    <w:rsid w:val="1544535D"/>
    <w:rsid w:val="155C65D2"/>
    <w:rsid w:val="156231BF"/>
    <w:rsid w:val="15772110"/>
    <w:rsid w:val="157D04F6"/>
    <w:rsid w:val="158762D8"/>
    <w:rsid w:val="158A61CC"/>
    <w:rsid w:val="15AA5AE6"/>
    <w:rsid w:val="15B863E2"/>
    <w:rsid w:val="15C17AA5"/>
    <w:rsid w:val="15C336BD"/>
    <w:rsid w:val="15D86AE1"/>
    <w:rsid w:val="15E11A76"/>
    <w:rsid w:val="15EC15CC"/>
    <w:rsid w:val="16053F66"/>
    <w:rsid w:val="16060B72"/>
    <w:rsid w:val="160A6351"/>
    <w:rsid w:val="160E6831"/>
    <w:rsid w:val="161367AB"/>
    <w:rsid w:val="16165FE6"/>
    <w:rsid w:val="161F1F07"/>
    <w:rsid w:val="164875A5"/>
    <w:rsid w:val="16634357"/>
    <w:rsid w:val="167D4F4F"/>
    <w:rsid w:val="16993D4F"/>
    <w:rsid w:val="16BF72A7"/>
    <w:rsid w:val="16DF10FC"/>
    <w:rsid w:val="16ED1D96"/>
    <w:rsid w:val="1702105F"/>
    <w:rsid w:val="170A75B6"/>
    <w:rsid w:val="1714786D"/>
    <w:rsid w:val="17172E9F"/>
    <w:rsid w:val="1721333A"/>
    <w:rsid w:val="17507554"/>
    <w:rsid w:val="175F1414"/>
    <w:rsid w:val="17682F23"/>
    <w:rsid w:val="178017C5"/>
    <w:rsid w:val="17862DA8"/>
    <w:rsid w:val="178C35AF"/>
    <w:rsid w:val="17B02FF0"/>
    <w:rsid w:val="17B113C3"/>
    <w:rsid w:val="17B331B6"/>
    <w:rsid w:val="17CB4092"/>
    <w:rsid w:val="17D016D3"/>
    <w:rsid w:val="17D63E38"/>
    <w:rsid w:val="17F41C17"/>
    <w:rsid w:val="1803064D"/>
    <w:rsid w:val="18047FD8"/>
    <w:rsid w:val="180E66C1"/>
    <w:rsid w:val="1815778F"/>
    <w:rsid w:val="18236CCC"/>
    <w:rsid w:val="18274AC7"/>
    <w:rsid w:val="18294C2A"/>
    <w:rsid w:val="183752E1"/>
    <w:rsid w:val="18433E74"/>
    <w:rsid w:val="185264A3"/>
    <w:rsid w:val="18616FBC"/>
    <w:rsid w:val="187A0FF6"/>
    <w:rsid w:val="18831711"/>
    <w:rsid w:val="188651D5"/>
    <w:rsid w:val="189F70A8"/>
    <w:rsid w:val="18C37E50"/>
    <w:rsid w:val="18CB405A"/>
    <w:rsid w:val="18EB1198"/>
    <w:rsid w:val="18EB3D30"/>
    <w:rsid w:val="18EF7421"/>
    <w:rsid w:val="18FE2E17"/>
    <w:rsid w:val="19142D5E"/>
    <w:rsid w:val="19194C0B"/>
    <w:rsid w:val="191C17C0"/>
    <w:rsid w:val="193A692A"/>
    <w:rsid w:val="19404C8A"/>
    <w:rsid w:val="194B5E15"/>
    <w:rsid w:val="194C631E"/>
    <w:rsid w:val="19555528"/>
    <w:rsid w:val="195B6A5F"/>
    <w:rsid w:val="195F6EF9"/>
    <w:rsid w:val="196A0B47"/>
    <w:rsid w:val="198056E5"/>
    <w:rsid w:val="198236EE"/>
    <w:rsid w:val="19862474"/>
    <w:rsid w:val="198854CF"/>
    <w:rsid w:val="198E5062"/>
    <w:rsid w:val="19BA593C"/>
    <w:rsid w:val="19C76609"/>
    <w:rsid w:val="19CB2001"/>
    <w:rsid w:val="19DA4BAF"/>
    <w:rsid w:val="19EF7A93"/>
    <w:rsid w:val="19F75513"/>
    <w:rsid w:val="1A233813"/>
    <w:rsid w:val="1A6B7E1C"/>
    <w:rsid w:val="1AA8346A"/>
    <w:rsid w:val="1AAD7C8B"/>
    <w:rsid w:val="1AB07BA3"/>
    <w:rsid w:val="1ADA7273"/>
    <w:rsid w:val="1ADE7EC1"/>
    <w:rsid w:val="1AE16342"/>
    <w:rsid w:val="1AE63CDE"/>
    <w:rsid w:val="1AF47D69"/>
    <w:rsid w:val="1B0765B6"/>
    <w:rsid w:val="1B3D67C6"/>
    <w:rsid w:val="1B3E5015"/>
    <w:rsid w:val="1B440C4F"/>
    <w:rsid w:val="1B650452"/>
    <w:rsid w:val="1B6B0C3C"/>
    <w:rsid w:val="1B6E0CCB"/>
    <w:rsid w:val="1B7319FB"/>
    <w:rsid w:val="1B7F3A95"/>
    <w:rsid w:val="1B835053"/>
    <w:rsid w:val="1B9C3B8A"/>
    <w:rsid w:val="1BBC1D6E"/>
    <w:rsid w:val="1BC3326E"/>
    <w:rsid w:val="1BCE25D1"/>
    <w:rsid w:val="1BE94888"/>
    <w:rsid w:val="1C676D69"/>
    <w:rsid w:val="1C6B1C30"/>
    <w:rsid w:val="1C960BD9"/>
    <w:rsid w:val="1CDA24D0"/>
    <w:rsid w:val="1CEA0481"/>
    <w:rsid w:val="1CEF4CDC"/>
    <w:rsid w:val="1CF80043"/>
    <w:rsid w:val="1CF84FA8"/>
    <w:rsid w:val="1D0B688C"/>
    <w:rsid w:val="1D2A03E0"/>
    <w:rsid w:val="1D4072F6"/>
    <w:rsid w:val="1D7442DF"/>
    <w:rsid w:val="1D7C7E64"/>
    <w:rsid w:val="1D897F94"/>
    <w:rsid w:val="1D904EA6"/>
    <w:rsid w:val="1D9C3BA7"/>
    <w:rsid w:val="1DA03982"/>
    <w:rsid w:val="1DA6482E"/>
    <w:rsid w:val="1DC72E00"/>
    <w:rsid w:val="1DCC1FD2"/>
    <w:rsid w:val="1DCD5344"/>
    <w:rsid w:val="1DD84FE2"/>
    <w:rsid w:val="1DD9314E"/>
    <w:rsid w:val="1DE514B9"/>
    <w:rsid w:val="1E055A7D"/>
    <w:rsid w:val="1E10357E"/>
    <w:rsid w:val="1E1B3F90"/>
    <w:rsid w:val="1E711D3D"/>
    <w:rsid w:val="1E7A7A7D"/>
    <w:rsid w:val="1EC36841"/>
    <w:rsid w:val="1EC91419"/>
    <w:rsid w:val="1ED46122"/>
    <w:rsid w:val="1EDA73E1"/>
    <w:rsid w:val="1EE7441B"/>
    <w:rsid w:val="1F083EC3"/>
    <w:rsid w:val="1F091532"/>
    <w:rsid w:val="1F363982"/>
    <w:rsid w:val="1F39229F"/>
    <w:rsid w:val="1F574973"/>
    <w:rsid w:val="1F9E611E"/>
    <w:rsid w:val="1FB10B7E"/>
    <w:rsid w:val="1FB57903"/>
    <w:rsid w:val="1FC2047B"/>
    <w:rsid w:val="1FF33CDA"/>
    <w:rsid w:val="1FFB5863"/>
    <w:rsid w:val="1FFC257E"/>
    <w:rsid w:val="20093F38"/>
    <w:rsid w:val="20153B98"/>
    <w:rsid w:val="205D5DD0"/>
    <w:rsid w:val="20AE149D"/>
    <w:rsid w:val="20B45D5E"/>
    <w:rsid w:val="20B7137B"/>
    <w:rsid w:val="20DB381D"/>
    <w:rsid w:val="20E51521"/>
    <w:rsid w:val="20E62554"/>
    <w:rsid w:val="211C693F"/>
    <w:rsid w:val="21306070"/>
    <w:rsid w:val="214E32E4"/>
    <w:rsid w:val="21577A83"/>
    <w:rsid w:val="215D4DDE"/>
    <w:rsid w:val="21610A7A"/>
    <w:rsid w:val="216B37D0"/>
    <w:rsid w:val="217976A3"/>
    <w:rsid w:val="21B827F2"/>
    <w:rsid w:val="21C46CEC"/>
    <w:rsid w:val="21C5415A"/>
    <w:rsid w:val="21D234BA"/>
    <w:rsid w:val="21D40159"/>
    <w:rsid w:val="21E532BD"/>
    <w:rsid w:val="21E978A8"/>
    <w:rsid w:val="221832B0"/>
    <w:rsid w:val="22495289"/>
    <w:rsid w:val="224A3975"/>
    <w:rsid w:val="2262123C"/>
    <w:rsid w:val="22652F4C"/>
    <w:rsid w:val="22712127"/>
    <w:rsid w:val="2282753B"/>
    <w:rsid w:val="228E5FD0"/>
    <w:rsid w:val="229C224B"/>
    <w:rsid w:val="229F7773"/>
    <w:rsid w:val="22AF1342"/>
    <w:rsid w:val="22CC59AF"/>
    <w:rsid w:val="22CD0B61"/>
    <w:rsid w:val="22D17F2B"/>
    <w:rsid w:val="22EA0F92"/>
    <w:rsid w:val="231E6A95"/>
    <w:rsid w:val="231F0708"/>
    <w:rsid w:val="231F3121"/>
    <w:rsid w:val="2321451F"/>
    <w:rsid w:val="23247FCD"/>
    <w:rsid w:val="23442187"/>
    <w:rsid w:val="234E6121"/>
    <w:rsid w:val="23A25530"/>
    <w:rsid w:val="23CD38EE"/>
    <w:rsid w:val="23D10C2B"/>
    <w:rsid w:val="23DD4EC5"/>
    <w:rsid w:val="23DE5801"/>
    <w:rsid w:val="23EE10A4"/>
    <w:rsid w:val="23EF24BF"/>
    <w:rsid w:val="240A3D34"/>
    <w:rsid w:val="241234A7"/>
    <w:rsid w:val="241F0CB3"/>
    <w:rsid w:val="244D4391"/>
    <w:rsid w:val="24710A0A"/>
    <w:rsid w:val="247A3095"/>
    <w:rsid w:val="2487513F"/>
    <w:rsid w:val="24937AF5"/>
    <w:rsid w:val="24942F10"/>
    <w:rsid w:val="24B60F3A"/>
    <w:rsid w:val="24C15E8D"/>
    <w:rsid w:val="24CA6837"/>
    <w:rsid w:val="24D875D1"/>
    <w:rsid w:val="24EB025D"/>
    <w:rsid w:val="25024A59"/>
    <w:rsid w:val="250D78DC"/>
    <w:rsid w:val="25103F6B"/>
    <w:rsid w:val="252C2BB4"/>
    <w:rsid w:val="255D7BED"/>
    <w:rsid w:val="25696BEC"/>
    <w:rsid w:val="257379EA"/>
    <w:rsid w:val="259D7AF5"/>
    <w:rsid w:val="25BD613A"/>
    <w:rsid w:val="25CA1020"/>
    <w:rsid w:val="25CA2248"/>
    <w:rsid w:val="25E30E41"/>
    <w:rsid w:val="25EE1A8D"/>
    <w:rsid w:val="25F83CB3"/>
    <w:rsid w:val="25FD5076"/>
    <w:rsid w:val="260362D3"/>
    <w:rsid w:val="260531C3"/>
    <w:rsid w:val="260D5DE2"/>
    <w:rsid w:val="26136C30"/>
    <w:rsid w:val="26187716"/>
    <w:rsid w:val="26614252"/>
    <w:rsid w:val="26750E3C"/>
    <w:rsid w:val="267968DD"/>
    <w:rsid w:val="2681167F"/>
    <w:rsid w:val="26A230F1"/>
    <w:rsid w:val="26A82FFE"/>
    <w:rsid w:val="26BC1220"/>
    <w:rsid w:val="26C9354E"/>
    <w:rsid w:val="26E36D28"/>
    <w:rsid w:val="270F7F7E"/>
    <w:rsid w:val="271410E3"/>
    <w:rsid w:val="271D10B1"/>
    <w:rsid w:val="27266254"/>
    <w:rsid w:val="273E5A64"/>
    <w:rsid w:val="273F795A"/>
    <w:rsid w:val="274330A7"/>
    <w:rsid w:val="274C1A4C"/>
    <w:rsid w:val="274E0D59"/>
    <w:rsid w:val="27522728"/>
    <w:rsid w:val="27591A0D"/>
    <w:rsid w:val="275A793D"/>
    <w:rsid w:val="27647129"/>
    <w:rsid w:val="279573FC"/>
    <w:rsid w:val="279B6F30"/>
    <w:rsid w:val="27C50EE8"/>
    <w:rsid w:val="27C83924"/>
    <w:rsid w:val="27D17719"/>
    <w:rsid w:val="27D22A70"/>
    <w:rsid w:val="27DA0AFE"/>
    <w:rsid w:val="27DA67B5"/>
    <w:rsid w:val="27DD3D8A"/>
    <w:rsid w:val="27E25F95"/>
    <w:rsid w:val="27F14FB6"/>
    <w:rsid w:val="27F70BA9"/>
    <w:rsid w:val="27FC08D7"/>
    <w:rsid w:val="28011091"/>
    <w:rsid w:val="280C219C"/>
    <w:rsid w:val="280E5E45"/>
    <w:rsid w:val="280F1C18"/>
    <w:rsid w:val="281B4F97"/>
    <w:rsid w:val="281C6476"/>
    <w:rsid w:val="28376F70"/>
    <w:rsid w:val="28400D6D"/>
    <w:rsid w:val="28655342"/>
    <w:rsid w:val="289A2570"/>
    <w:rsid w:val="28AA32D9"/>
    <w:rsid w:val="28B6003D"/>
    <w:rsid w:val="28BE47BE"/>
    <w:rsid w:val="28E307C0"/>
    <w:rsid w:val="28FB727A"/>
    <w:rsid w:val="29111004"/>
    <w:rsid w:val="2916585E"/>
    <w:rsid w:val="29302A01"/>
    <w:rsid w:val="29927EE9"/>
    <w:rsid w:val="29B53A4E"/>
    <w:rsid w:val="29B67DDC"/>
    <w:rsid w:val="29BC7983"/>
    <w:rsid w:val="29C0639D"/>
    <w:rsid w:val="29CE7F54"/>
    <w:rsid w:val="29DE079C"/>
    <w:rsid w:val="29F678ED"/>
    <w:rsid w:val="2A0503EE"/>
    <w:rsid w:val="2A213403"/>
    <w:rsid w:val="2A37334A"/>
    <w:rsid w:val="2A425F8A"/>
    <w:rsid w:val="2A6A01CF"/>
    <w:rsid w:val="2A763C3F"/>
    <w:rsid w:val="2A9161AE"/>
    <w:rsid w:val="2AA208EC"/>
    <w:rsid w:val="2AC6783D"/>
    <w:rsid w:val="2ADC4EDF"/>
    <w:rsid w:val="2AEC2DEC"/>
    <w:rsid w:val="2AFE0462"/>
    <w:rsid w:val="2B0351AB"/>
    <w:rsid w:val="2B3F1BCC"/>
    <w:rsid w:val="2BC0015D"/>
    <w:rsid w:val="2BC33263"/>
    <w:rsid w:val="2BC55D1D"/>
    <w:rsid w:val="2BCB3CF4"/>
    <w:rsid w:val="2BD346BF"/>
    <w:rsid w:val="2BF0645F"/>
    <w:rsid w:val="2C103E0B"/>
    <w:rsid w:val="2C1D0A52"/>
    <w:rsid w:val="2C406641"/>
    <w:rsid w:val="2C6C41B6"/>
    <w:rsid w:val="2C70101E"/>
    <w:rsid w:val="2C8D48A3"/>
    <w:rsid w:val="2C8E2D71"/>
    <w:rsid w:val="2C906D72"/>
    <w:rsid w:val="2CB32C76"/>
    <w:rsid w:val="2CB4229C"/>
    <w:rsid w:val="2CB92B18"/>
    <w:rsid w:val="2CF12D9F"/>
    <w:rsid w:val="2CF7361C"/>
    <w:rsid w:val="2CFA7496"/>
    <w:rsid w:val="2CFF6EF7"/>
    <w:rsid w:val="2D2C151F"/>
    <w:rsid w:val="2D2C1CEC"/>
    <w:rsid w:val="2D302CE5"/>
    <w:rsid w:val="2D3629D1"/>
    <w:rsid w:val="2D4D04D3"/>
    <w:rsid w:val="2D65674B"/>
    <w:rsid w:val="2D760C43"/>
    <w:rsid w:val="2D7A3452"/>
    <w:rsid w:val="2DA47447"/>
    <w:rsid w:val="2DA53DE6"/>
    <w:rsid w:val="2DBE1E56"/>
    <w:rsid w:val="2DC376DD"/>
    <w:rsid w:val="2E067D83"/>
    <w:rsid w:val="2E0966AA"/>
    <w:rsid w:val="2E162CEE"/>
    <w:rsid w:val="2E1A221B"/>
    <w:rsid w:val="2E274498"/>
    <w:rsid w:val="2E2D3233"/>
    <w:rsid w:val="2E3A551C"/>
    <w:rsid w:val="2E3C63D7"/>
    <w:rsid w:val="2E4C5E50"/>
    <w:rsid w:val="2E692E9D"/>
    <w:rsid w:val="2E8E0891"/>
    <w:rsid w:val="2E9830A2"/>
    <w:rsid w:val="2EA760C8"/>
    <w:rsid w:val="2EBF18B7"/>
    <w:rsid w:val="2ED66A2F"/>
    <w:rsid w:val="2EE32CD1"/>
    <w:rsid w:val="2EF14075"/>
    <w:rsid w:val="2F3D1885"/>
    <w:rsid w:val="2F407F05"/>
    <w:rsid w:val="2F4F2FBB"/>
    <w:rsid w:val="2F6616FB"/>
    <w:rsid w:val="2F6C68D2"/>
    <w:rsid w:val="2F70132B"/>
    <w:rsid w:val="2F7D7574"/>
    <w:rsid w:val="2F9B417A"/>
    <w:rsid w:val="2FAF0639"/>
    <w:rsid w:val="2FC26088"/>
    <w:rsid w:val="2FE71F7E"/>
    <w:rsid w:val="2FED4A2A"/>
    <w:rsid w:val="2FF93510"/>
    <w:rsid w:val="301C20C2"/>
    <w:rsid w:val="30245948"/>
    <w:rsid w:val="302F78CB"/>
    <w:rsid w:val="304609FF"/>
    <w:rsid w:val="304D4243"/>
    <w:rsid w:val="30721654"/>
    <w:rsid w:val="30745A30"/>
    <w:rsid w:val="30C55BD7"/>
    <w:rsid w:val="30C673C6"/>
    <w:rsid w:val="30DF0B95"/>
    <w:rsid w:val="30E3098B"/>
    <w:rsid w:val="30EA0C9B"/>
    <w:rsid w:val="30F04A33"/>
    <w:rsid w:val="30FA0D3D"/>
    <w:rsid w:val="31147393"/>
    <w:rsid w:val="3122396B"/>
    <w:rsid w:val="31241474"/>
    <w:rsid w:val="31285C96"/>
    <w:rsid w:val="312E4C4B"/>
    <w:rsid w:val="31312938"/>
    <w:rsid w:val="313E0E7B"/>
    <w:rsid w:val="31560D46"/>
    <w:rsid w:val="31630E8C"/>
    <w:rsid w:val="316E1F56"/>
    <w:rsid w:val="3194510B"/>
    <w:rsid w:val="319D4E65"/>
    <w:rsid w:val="31A91D7F"/>
    <w:rsid w:val="31AC3F86"/>
    <w:rsid w:val="31B07155"/>
    <w:rsid w:val="31BA5FB3"/>
    <w:rsid w:val="31BF2F46"/>
    <w:rsid w:val="31C04C8B"/>
    <w:rsid w:val="31C05C5C"/>
    <w:rsid w:val="31C427BB"/>
    <w:rsid w:val="31E74757"/>
    <w:rsid w:val="31F41846"/>
    <w:rsid w:val="320C1B00"/>
    <w:rsid w:val="322940DE"/>
    <w:rsid w:val="323C4A94"/>
    <w:rsid w:val="32412B20"/>
    <w:rsid w:val="324827C7"/>
    <w:rsid w:val="324F2948"/>
    <w:rsid w:val="324F7F9E"/>
    <w:rsid w:val="32581AE0"/>
    <w:rsid w:val="32631746"/>
    <w:rsid w:val="32820D11"/>
    <w:rsid w:val="32990FA5"/>
    <w:rsid w:val="32A45645"/>
    <w:rsid w:val="32B91B04"/>
    <w:rsid w:val="32D91938"/>
    <w:rsid w:val="33100032"/>
    <w:rsid w:val="33177552"/>
    <w:rsid w:val="3324428B"/>
    <w:rsid w:val="334D4B72"/>
    <w:rsid w:val="33537E87"/>
    <w:rsid w:val="33562A7C"/>
    <w:rsid w:val="335E5632"/>
    <w:rsid w:val="33626D58"/>
    <w:rsid w:val="33667F60"/>
    <w:rsid w:val="33701250"/>
    <w:rsid w:val="338259C2"/>
    <w:rsid w:val="33876BF0"/>
    <w:rsid w:val="339252AF"/>
    <w:rsid w:val="339B6B78"/>
    <w:rsid w:val="33A857F5"/>
    <w:rsid w:val="33B61575"/>
    <w:rsid w:val="33EF1D0C"/>
    <w:rsid w:val="33FC4F94"/>
    <w:rsid w:val="340E375E"/>
    <w:rsid w:val="341C223F"/>
    <w:rsid w:val="34225AF4"/>
    <w:rsid w:val="3425062E"/>
    <w:rsid w:val="342930CE"/>
    <w:rsid w:val="34301B5F"/>
    <w:rsid w:val="34316BE5"/>
    <w:rsid w:val="3442592A"/>
    <w:rsid w:val="34431263"/>
    <w:rsid w:val="344C628C"/>
    <w:rsid w:val="34506B4F"/>
    <w:rsid w:val="345E5704"/>
    <w:rsid w:val="34776A27"/>
    <w:rsid w:val="347A4027"/>
    <w:rsid w:val="34823126"/>
    <w:rsid w:val="34986296"/>
    <w:rsid w:val="34CB09E3"/>
    <w:rsid w:val="34D57484"/>
    <w:rsid w:val="34D60E8A"/>
    <w:rsid w:val="34EF1945"/>
    <w:rsid w:val="35016370"/>
    <w:rsid w:val="350A6DBB"/>
    <w:rsid w:val="35401164"/>
    <w:rsid w:val="35443611"/>
    <w:rsid w:val="35695C04"/>
    <w:rsid w:val="357F7A06"/>
    <w:rsid w:val="35873F02"/>
    <w:rsid w:val="358E5E0A"/>
    <w:rsid w:val="35D27572"/>
    <w:rsid w:val="35D73AC3"/>
    <w:rsid w:val="36112DD8"/>
    <w:rsid w:val="36240901"/>
    <w:rsid w:val="362A08E9"/>
    <w:rsid w:val="3640342D"/>
    <w:rsid w:val="367819D7"/>
    <w:rsid w:val="369D76FA"/>
    <w:rsid w:val="36A16820"/>
    <w:rsid w:val="36A77B65"/>
    <w:rsid w:val="36AB4C46"/>
    <w:rsid w:val="36B00264"/>
    <w:rsid w:val="36CA22C9"/>
    <w:rsid w:val="36CD27DD"/>
    <w:rsid w:val="36F43CD9"/>
    <w:rsid w:val="36F50FF0"/>
    <w:rsid w:val="370E6157"/>
    <w:rsid w:val="37285211"/>
    <w:rsid w:val="373E147E"/>
    <w:rsid w:val="37440291"/>
    <w:rsid w:val="37616FF2"/>
    <w:rsid w:val="376F4B60"/>
    <w:rsid w:val="37774365"/>
    <w:rsid w:val="379E19F4"/>
    <w:rsid w:val="37A503C1"/>
    <w:rsid w:val="37AB2367"/>
    <w:rsid w:val="37AB3C35"/>
    <w:rsid w:val="37AE1114"/>
    <w:rsid w:val="37DE3958"/>
    <w:rsid w:val="38107A88"/>
    <w:rsid w:val="381941D9"/>
    <w:rsid w:val="381C4496"/>
    <w:rsid w:val="38230347"/>
    <w:rsid w:val="38245841"/>
    <w:rsid w:val="382F21F6"/>
    <w:rsid w:val="3838592B"/>
    <w:rsid w:val="385873D9"/>
    <w:rsid w:val="386D69C1"/>
    <w:rsid w:val="387A4994"/>
    <w:rsid w:val="388A1154"/>
    <w:rsid w:val="389978B1"/>
    <w:rsid w:val="38AB7213"/>
    <w:rsid w:val="38BB74B3"/>
    <w:rsid w:val="38C026D8"/>
    <w:rsid w:val="38C212FE"/>
    <w:rsid w:val="38CC444E"/>
    <w:rsid w:val="38F106D1"/>
    <w:rsid w:val="38F20527"/>
    <w:rsid w:val="38FD4BDC"/>
    <w:rsid w:val="39026FFD"/>
    <w:rsid w:val="390E2E0B"/>
    <w:rsid w:val="391C30A1"/>
    <w:rsid w:val="3959196E"/>
    <w:rsid w:val="3960729B"/>
    <w:rsid w:val="39764C13"/>
    <w:rsid w:val="397D18BF"/>
    <w:rsid w:val="397D5852"/>
    <w:rsid w:val="398205C3"/>
    <w:rsid w:val="399105D0"/>
    <w:rsid w:val="39955A42"/>
    <w:rsid w:val="39B62462"/>
    <w:rsid w:val="39BE0852"/>
    <w:rsid w:val="39D92EFE"/>
    <w:rsid w:val="39DE4367"/>
    <w:rsid w:val="39E264FC"/>
    <w:rsid w:val="39E56F1A"/>
    <w:rsid w:val="39E72493"/>
    <w:rsid w:val="39EA15D2"/>
    <w:rsid w:val="39EC4F48"/>
    <w:rsid w:val="39F31009"/>
    <w:rsid w:val="3A1B1537"/>
    <w:rsid w:val="3A20028E"/>
    <w:rsid w:val="3A283C67"/>
    <w:rsid w:val="3A3A68A8"/>
    <w:rsid w:val="3A41272A"/>
    <w:rsid w:val="3A4D1BD1"/>
    <w:rsid w:val="3A551997"/>
    <w:rsid w:val="3A5B0712"/>
    <w:rsid w:val="3A6A3CA7"/>
    <w:rsid w:val="3A732F0A"/>
    <w:rsid w:val="3A7F32C6"/>
    <w:rsid w:val="3A992D40"/>
    <w:rsid w:val="3AA008D0"/>
    <w:rsid w:val="3AAD3EFA"/>
    <w:rsid w:val="3AAD5053"/>
    <w:rsid w:val="3AB72BEB"/>
    <w:rsid w:val="3AE47094"/>
    <w:rsid w:val="3AE954D2"/>
    <w:rsid w:val="3B2C5CE6"/>
    <w:rsid w:val="3B5B6B36"/>
    <w:rsid w:val="3B6B0742"/>
    <w:rsid w:val="3B713E35"/>
    <w:rsid w:val="3B843773"/>
    <w:rsid w:val="3BB872AC"/>
    <w:rsid w:val="3BE81CC8"/>
    <w:rsid w:val="3BEB250F"/>
    <w:rsid w:val="3C0122B4"/>
    <w:rsid w:val="3C087D51"/>
    <w:rsid w:val="3C0B47C3"/>
    <w:rsid w:val="3C0F2E5C"/>
    <w:rsid w:val="3C232E49"/>
    <w:rsid w:val="3C5A1F12"/>
    <w:rsid w:val="3C662EDF"/>
    <w:rsid w:val="3C873654"/>
    <w:rsid w:val="3C9A241A"/>
    <w:rsid w:val="3CA72903"/>
    <w:rsid w:val="3CAE4F60"/>
    <w:rsid w:val="3CC10947"/>
    <w:rsid w:val="3CC30F28"/>
    <w:rsid w:val="3CC940A7"/>
    <w:rsid w:val="3CC9647F"/>
    <w:rsid w:val="3CDC2B0A"/>
    <w:rsid w:val="3CE14229"/>
    <w:rsid w:val="3CFC13E0"/>
    <w:rsid w:val="3D092504"/>
    <w:rsid w:val="3D1D3010"/>
    <w:rsid w:val="3D20669A"/>
    <w:rsid w:val="3D212D9D"/>
    <w:rsid w:val="3D3246B3"/>
    <w:rsid w:val="3D5F4271"/>
    <w:rsid w:val="3D700D52"/>
    <w:rsid w:val="3D770A1E"/>
    <w:rsid w:val="3DAD3632"/>
    <w:rsid w:val="3DB01E78"/>
    <w:rsid w:val="3DDE73FA"/>
    <w:rsid w:val="3DE9435F"/>
    <w:rsid w:val="3E053264"/>
    <w:rsid w:val="3E083B2C"/>
    <w:rsid w:val="3E0C40FA"/>
    <w:rsid w:val="3E266827"/>
    <w:rsid w:val="3E47031D"/>
    <w:rsid w:val="3E481A2D"/>
    <w:rsid w:val="3E490253"/>
    <w:rsid w:val="3E4B0C50"/>
    <w:rsid w:val="3E5F66AA"/>
    <w:rsid w:val="3E802B14"/>
    <w:rsid w:val="3EA4318E"/>
    <w:rsid w:val="3EB021FA"/>
    <w:rsid w:val="3EE651EF"/>
    <w:rsid w:val="3F000F93"/>
    <w:rsid w:val="3F042F23"/>
    <w:rsid w:val="3F366D21"/>
    <w:rsid w:val="3F3711CA"/>
    <w:rsid w:val="3F40400F"/>
    <w:rsid w:val="3F6B3B01"/>
    <w:rsid w:val="3F9A7607"/>
    <w:rsid w:val="3F9D1772"/>
    <w:rsid w:val="3FAB63AE"/>
    <w:rsid w:val="400B3D58"/>
    <w:rsid w:val="402166A4"/>
    <w:rsid w:val="4039779C"/>
    <w:rsid w:val="403F4AD6"/>
    <w:rsid w:val="4055421F"/>
    <w:rsid w:val="405D685D"/>
    <w:rsid w:val="407F379A"/>
    <w:rsid w:val="4098721B"/>
    <w:rsid w:val="40A30CB7"/>
    <w:rsid w:val="410D50E4"/>
    <w:rsid w:val="41335E35"/>
    <w:rsid w:val="41625ED3"/>
    <w:rsid w:val="416A5C1B"/>
    <w:rsid w:val="417144B1"/>
    <w:rsid w:val="4189511A"/>
    <w:rsid w:val="41940565"/>
    <w:rsid w:val="41A03E55"/>
    <w:rsid w:val="41CB13D4"/>
    <w:rsid w:val="41D47FBA"/>
    <w:rsid w:val="42042B32"/>
    <w:rsid w:val="4211574A"/>
    <w:rsid w:val="4216392F"/>
    <w:rsid w:val="421D7007"/>
    <w:rsid w:val="42264F86"/>
    <w:rsid w:val="425A401B"/>
    <w:rsid w:val="425B0051"/>
    <w:rsid w:val="426E18B4"/>
    <w:rsid w:val="427B75A2"/>
    <w:rsid w:val="42881A27"/>
    <w:rsid w:val="42953CD7"/>
    <w:rsid w:val="429B3F8F"/>
    <w:rsid w:val="42CE6B71"/>
    <w:rsid w:val="42DB7DEF"/>
    <w:rsid w:val="42DF0DF6"/>
    <w:rsid w:val="42E34D2A"/>
    <w:rsid w:val="42EA5C2A"/>
    <w:rsid w:val="42EB1A6F"/>
    <w:rsid w:val="42EB44C6"/>
    <w:rsid w:val="42EB4B8D"/>
    <w:rsid w:val="42F4186C"/>
    <w:rsid w:val="42F805B7"/>
    <w:rsid w:val="43017D07"/>
    <w:rsid w:val="4328593E"/>
    <w:rsid w:val="4346230B"/>
    <w:rsid w:val="43470790"/>
    <w:rsid w:val="43686F28"/>
    <w:rsid w:val="43746231"/>
    <w:rsid w:val="43793D50"/>
    <w:rsid w:val="43C6296C"/>
    <w:rsid w:val="43C91B45"/>
    <w:rsid w:val="43C96C82"/>
    <w:rsid w:val="43F244DD"/>
    <w:rsid w:val="43F67CAD"/>
    <w:rsid w:val="44067F90"/>
    <w:rsid w:val="44197675"/>
    <w:rsid w:val="442134A5"/>
    <w:rsid w:val="443F4550"/>
    <w:rsid w:val="44502944"/>
    <w:rsid w:val="446B0DA7"/>
    <w:rsid w:val="44896E05"/>
    <w:rsid w:val="448F23C8"/>
    <w:rsid w:val="449263B1"/>
    <w:rsid w:val="44A252E3"/>
    <w:rsid w:val="44CE05B1"/>
    <w:rsid w:val="44EC5492"/>
    <w:rsid w:val="44FE1790"/>
    <w:rsid w:val="45143E62"/>
    <w:rsid w:val="451963D2"/>
    <w:rsid w:val="451A4C4E"/>
    <w:rsid w:val="45472394"/>
    <w:rsid w:val="457B07D4"/>
    <w:rsid w:val="4584601C"/>
    <w:rsid w:val="45A17614"/>
    <w:rsid w:val="45A77792"/>
    <w:rsid w:val="45AC2C16"/>
    <w:rsid w:val="45B8521A"/>
    <w:rsid w:val="45C922E6"/>
    <w:rsid w:val="45CF386F"/>
    <w:rsid w:val="46056421"/>
    <w:rsid w:val="460C04D4"/>
    <w:rsid w:val="46113C23"/>
    <w:rsid w:val="46544454"/>
    <w:rsid w:val="465A02C0"/>
    <w:rsid w:val="466331AA"/>
    <w:rsid w:val="466A1851"/>
    <w:rsid w:val="46885EC5"/>
    <w:rsid w:val="46951251"/>
    <w:rsid w:val="46A0248D"/>
    <w:rsid w:val="46A176A3"/>
    <w:rsid w:val="46B27462"/>
    <w:rsid w:val="46BC31AA"/>
    <w:rsid w:val="46C93A01"/>
    <w:rsid w:val="46D404E0"/>
    <w:rsid w:val="46EA0B8E"/>
    <w:rsid w:val="46F31900"/>
    <w:rsid w:val="46F5741D"/>
    <w:rsid w:val="470019E5"/>
    <w:rsid w:val="471E5360"/>
    <w:rsid w:val="472B3E49"/>
    <w:rsid w:val="472E0A76"/>
    <w:rsid w:val="473105C2"/>
    <w:rsid w:val="47636BC0"/>
    <w:rsid w:val="4767390C"/>
    <w:rsid w:val="476B423D"/>
    <w:rsid w:val="476C60EE"/>
    <w:rsid w:val="476F4169"/>
    <w:rsid w:val="476F45D2"/>
    <w:rsid w:val="4778041E"/>
    <w:rsid w:val="47890CE4"/>
    <w:rsid w:val="47BB12D0"/>
    <w:rsid w:val="47F77B0F"/>
    <w:rsid w:val="48071BA2"/>
    <w:rsid w:val="48111F72"/>
    <w:rsid w:val="483D2593"/>
    <w:rsid w:val="48676FF8"/>
    <w:rsid w:val="48842DA4"/>
    <w:rsid w:val="488525DC"/>
    <w:rsid w:val="488C3A69"/>
    <w:rsid w:val="488C7D67"/>
    <w:rsid w:val="48997517"/>
    <w:rsid w:val="48A02163"/>
    <w:rsid w:val="48A67A6B"/>
    <w:rsid w:val="48DB33FE"/>
    <w:rsid w:val="49130C1C"/>
    <w:rsid w:val="49230E35"/>
    <w:rsid w:val="492A0B4A"/>
    <w:rsid w:val="492D7083"/>
    <w:rsid w:val="493F3170"/>
    <w:rsid w:val="49486A0E"/>
    <w:rsid w:val="49495705"/>
    <w:rsid w:val="494B6EB7"/>
    <w:rsid w:val="495513EB"/>
    <w:rsid w:val="496B027E"/>
    <w:rsid w:val="497A03CE"/>
    <w:rsid w:val="49B74CC7"/>
    <w:rsid w:val="49C93046"/>
    <w:rsid w:val="49CB6EC3"/>
    <w:rsid w:val="49D2508E"/>
    <w:rsid w:val="4A086368"/>
    <w:rsid w:val="4A09291C"/>
    <w:rsid w:val="4A44122C"/>
    <w:rsid w:val="4A4B6037"/>
    <w:rsid w:val="4A5D1A04"/>
    <w:rsid w:val="4A641C09"/>
    <w:rsid w:val="4A6A5A0E"/>
    <w:rsid w:val="4A724ECC"/>
    <w:rsid w:val="4A802880"/>
    <w:rsid w:val="4A987EF3"/>
    <w:rsid w:val="4A995123"/>
    <w:rsid w:val="4A9A633F"/>
    <w:rsid w:val="4AA0090F"/>
    <w:rsid w:val="4AB57F33"/>
    <w:rsid w:val="4ACF1833"/>
    <w:rsid w:val="4AD551D0"/>
    <w:rsid w:val="4AFD678E"/>
    <w:rsid w:val="4B052AF1"/>
    <w:rsid w:val="4B434C80"/>
    <w:rsid w:val="4B64732E"/>
    <w:rsid w:val="4B831C66"/>
    <w:rsid w:val="4B8D15C7"/>
    <w:rsid w:val="4B8E09DB"/>
    <w:rsid w:val="4BA24E4F"/>
    <w:rsid w:val="4BB73E18"/>
    <w:rsid w:val="4BB8514A"/>
    <w:rsid w:val="4BD56841"/>
    <w:rsid w:val="4BE139FD"/>
    <w:rsid w:val="4BE50026"/>
    <w:rsid w:val="4BEE2D4D"/>
    <w:rsid w:val="4BF519A8"/>
    <w:rsid w:val="4BF67987"/>
    <w:rsid w:val="4BF94E3C"/>
    <w:rsid w:val="4BFE59A0"/>
    <w:rsid w:val="4C3342E0"/>
    <w:rsid w:val="4C451933"/>
    <w:rsid w:val="4C522EDB"/>
    <w:rsid w:val="4C6E2B8E"/>
    <w:rsid w:val="4C7C3B09"/>
    <w:rsid w:val="4C8205AE"/>
    <w:rsid w:val="4C9E7FD4"/>
    <w:rsid w:val="4CC159EE"/>
    <w:rsid w:val="4CE84C22"/>
    <w:rsid w:val="4CEE3602"/>
    <w:rsid w:val="4CEE55F9"/>
    <w:rsid w:val="4CF21B51"/>
    <w:rsid w:val="4D071B5B"/>
    <w:rsid w:val="4D0B1077"/>
    <w:rsid w:val="4D2224BC"/>
    <w:rsid w:val="4D2757CE"/>
    <w:rsid w:val="4D34309E"/>
    <w:rsid w:val="4D3867E9"/>
    <w:rsid w:val="4D3B2402"/>
    <w:rsid w:val="4D4A5484"/>
    <w:rsid w:val="4D552535"/>
    <w:rsid w:val="4D73653A"/>
    <w:rsid w:val="4D7F63E0"/>
    <w:rsid w:val="4D816CE7"/>
    <w:rsid w:val="4D8D072A"/>
    <w:rsid w:val="4D8D7B77"/>
    <w:rsid w:val="4D8E0557"/>
    <w:rsid w:val="4D9715DC"/>
    <w:rsid w:val="4D9F307A"/>
    <w:rsid w:val="4DAC1B1E"/>
    <w:rsid w:val="4DB025C4"/>
    <w:rsid w:val="4DB925D0"/>
    <w:rsid w:val="4DE76A72"/>
    <w:rsid w:val="4DFC6F40"/>
    <w:rsid w:val="4E0323E8"/>
    <w:rsid w:val="4E346CAD"/>
    <w:rsid w:val="4E37492E"/>
    <w:rsid w:val="4E4F5A01"/>
    <w:rsid w:val="4E580033"/>
    <w:rsid w:val="4E616A5C"/>
    <w:rsid w:val="4E693B74"/>
    <w:rsid w:val="4E6A4C09"/>
    <w:rsid w:val="4E6E3E0B"/>
    <w:rsid w:val="4E7C7399"/>
    <w:rsid w:val="4E977205"/>
    <w:rsid w:val="4EB827B3"/>
    <w:rsid w:val="4ED3637B"/>
    <w:rsid w:val="4EE20D35"/>
    <w:rsid w:val="4EF8689A"/>
    <w:rsid w:val="4F06340E"/>
    <w:rsid w:val="4F0C05E8"/>
    <w:rsid w:val="4F333B3B"/>
    <w:rsid w:val="4F622289"/>
    <w:rsid w:val="4F712C49"/>
    <w:rsid w:val="4F731E97"/>
    <w:rsid w:val="4F7B27D9"/>
    <w:rsid w:val="4F87770B"/>
    <w:rsid w:val="4F90601D"/>
    <w:rsid w:val="4FC56263"/>
    <w:rsid w:val="4FD330DE"/>
    <w:rsid w:val="4FD82EBA"/>
    <w:rsid w:val="4FE0355B"/>
    <w:rsid w:val="4FE03B09"/>
    <w:rsid w:val="4FEA1DA8"/>
    <w:rsid w:val="4FEE437C"/>
    <w:rsid w:val="5005319C"/>
    <w:rsid w:val="500F018A"/>
    <w:rsid w:val="500F0855"/>
    <w:rsid w:val="502D6368"/>
    <w:rsid w:val="503D0E74"/>
    <w:rsid w:val="504815B1"/>
    <w:rsid w:val="504E5BD3"/>
    <w:rsid w:val="505C1EA2"/>
    <w:rsid w:val="508729FC"/>
    <w:rsid w:val="508B6AC9"/>
    <w:rsid w:val="50A57F20"/>
    <w:rsid w:val="50B62894"/>
    <w:rsid w:val="50B630A1"/>
    <w:rsid w:val="50B6395E"/>
    <w:rsid w:val="50B8297E"/>
    <w:rsid w:val="50BA3090"/>
    <w:rsid w:val="50DA59F5"/>
    <w:rsid w:val="50E25EDC"/>
    <w:rsid w:val="510A7B76"/>
    <w:rsid w:val="51221EB8"/>
    <w:rsid w:val="512A162D"/>
    <w:rsid w:val="514F6C05"/>
    <w:rsid w:val="515A6CD7"/>
    <w:rsid w:val="516E725E"/>
    <w:rsid w:val="517109FA"/>
    <w:rsid w:val="51781C23"/>
    <w:rsid w:val="51921966"/>
    <w:rsid w:val="519C32A5"/>
    <w:rsid w:val="51B404DB"/>
    <w:rsid w:val="51CC0E85"/>
    <w:rsid w:val="51F67C2A"/>
    <w:rsid w:val="52030077"/>
    <w:rsid w:val="52200C03"/>
    <w:rsid w:val="52302068"/>
    <w:rsid w:val="52362800"/>
    <w:rsid w:val="525A6558"/>
    <w:rsid w:val="525E02D9"/>
    <w:rsid w:val="52626214"/>
    <w:rsid w:val="5271161E"/>
    <w:rsid w:val="52931EA1"/>
    <w:rsid w:val="52937669"/>
    <w:rsid w:val="529C78AE"/>
    <w:rsid w:val="52A33D9C"/>
    <w:rsid w:val="52A50F59"/>
    <w:rsid w:val="52A8295F"/>
    <w:rsid w:val="52B61BC0"/>
    <w:rsid w:val="52BA5D97"/>
    <w:rsid w:val="52D640F7"/>
    <w:rsid w:val="52DD11F2"/>
    <w:rsid w:val="52F45961"/>
    <w:rsid w:val="53420DCD"/>
    <w:rsid w:val="53715C89"/>
    <w:rsid w:val="53844150"/>
    <w:rsid w:val="538E3101"/>
    <w:rsid w:val="53955515"/>
    <w:rsid w:val="53B0479A"/>
    <w:rsid w:val="53C85EEB"/>
    <w:rsid w:val="53D86CEE"/>
    <w:rsid w:val="53F83D51"/>
    <w:rsid w:val="542B3576"/>
    <w:rsid w:val="542E33A9"/>
    <w:rsid w:val="54370630"/>
    <w:rsid w:val="543A749F"/>
    <w:rsid w:val="543E0450"/>
    <w:rsid w:val="543F7DF3"/>
    <w:rsid w:val="5468040B"/>
    <w:rsid w:val="546D7420"/>
    <w:rsid w:val="547804C3"/>
    <w:rsid w:val="547F7402"/>
    <w:rsid w:val="54967F9A"/>
    <w:rsid w:val="549B378E"/>
    <w:rsid w:val="549C1223"/>
    <w:rsid w:val="54A7060D"/>
    <w:rsid w:val="54CB0AD8"/>
    <w:rsid w:val="54FB6F2A"/>
    <w:rsid w:val="55063AA0"/>
    <w:rsid w:val="552B3541"/>
    <w:rsid w:val="553A6E72"/>
    <w:rsid w:val="555C44A6"/>
    <w:rsid w:val="557A3593"/>
    <w:rsid w:val="557F05FE"/>
    <w:rsid w:val="55986395"/>
    <w:rsid w:val="55B01C76"/>
    <w:rsid w:val="55BB3B99"/>
    <w:rsid w:val="55C0767F"/>
    <w:rsid w:val="55D56AB5"/>
    <w:rsid w:val="55DE6836"/>
    <w:rsid w:val="55F112D3"/>
    <w:rsid w:val="565E25B5"/>
    <w:rsid w:val="5660004C"/>
    <w:rsid w:val="566912B5"/>
    <w:rsid w:val="56703ABB"/>
    <w:rsid w:val="5679751E"/>
    <w:rsid w:val="568E3E40"/>
    <w:rsid w:val="569F078A"/>
    <w:rsid w:val="56C204B1"/>
    <w:rsid w:val="56DC07B3"/>
    <w:rsid w:val="56E124D0"/>
    <w:rsid w:val="56E70EE9"/>
    <w:rsid w:val="56F11C95"/>
    <w:rsid w:val="56F65FA4"/>
    <w:rsid w:val="5707208A"/>
    <w:rsid w:val="5712294D"/>
    <w:rsid w:val="57245E6C"/>
    <w:rsid w:val="57345A19"/>
    <w:rsid w:val="574A48FC"/>
    <w:rsid w:val="57516D3B"/>
    <w:rsid w:val="575B5170"/>
    <w:rsid w:val="576B13D9"/>
    <w:rsid w:val="57716D4D"/>
    <w:rsid w:val="577F3A42"/>
    <w:rsid w:val="57957FA2"/>
    <w:rsid w:val="57A074AD"/>
    <w:rsid w:val="57AE0036"/>
    <w:rsid w:val="57CC2E79"/>
    <w:rsid w:val="57D54F13"/>
    <w:rsid w:val="57D868C5"/>
    <w:rsid w:val="580B6363"/>
    <w:rsid w:val="581500E7"/>
    <w:rsid w:val="581570D7"/>
    <w:rsid w:val="582C3328"/>
    <w:rsid w:val="58483122"/>
    <w:rsid w:val="58584D43"/>
    <w:rsid w:val="58585757"/>
    <w:rsid w:val="585F4ABD"/>
    <w:rsid w:val="586A54E0"/>
    <w:rsid w:val="586E7AAE"/>
    <w:rsid w:val="58763C80"/>
    <w:rsid w:val="58AD2A41"/>
    <w:rsid w:val="58C571DD"/>
    <w:rsid w:val="58CA22FD"/>
    <w:rsid w:val="58CB571C"/>
    <w:rsid w:val="591A0FF8"/>
    <w:rsid w:val="594413B6"/>
    <w:rsid w:val="5945092A"/>
    <w:rsid w:val="595D44CA"/>
    <w:rsid w:val="5965407F"/>
    <w:rsid w:val="59691876"/>
    <w:rsid w:val="59730464"/>
    <w:rsid w:val="598D2DC2"/>
    <w:rsid w:val="598E798D"/>
    <w:rsid w:val="5A0B0F42"/>
    <w:rsid w:val="5A3A5D6A"/>
    <w:rsid w:val="5A405D38"/>
    <w:rsid w:val="5A423CC1"/>
    <w:rsid w:val="5A4F77F7"/>
    <w:rsid w:val="5A540A75"/>
    <w:rsid w:val="5A5F3C5F"/>
    <w:rsid w:val="5A6B4B3B"/>
    <w:rsid w:val="5A74777A"/>
    <w:rsid w:val="5AA306AC"/>
    <w:rsid w:val="5ADF3265"/>
    <w:rsid w:val="5AF43670"/>
    <w:rsid w:val="5B0E6006"/>
    <w:rsid w:val="5B144AC2"/>
    <w:rsid w:val="5B1B278B"/>
    <w:rsid w:val="5B356B4F"/>
    <w:rsid w:val="5B45668A"/>
    <w:rsid w:val="5B483D9D"/>
    <w:rsid w:val="5B4B4861"/>
    <w:rsid w:val="5B4F4307"/>
    <w:rsid w:val="5B514E4B"/>
    <w:rsid w:val="5B550F93"/>
    <w:rsid w:val="5B743EDD"/>
    <w:rsid w:val="5B910EA8"/>
    <w:rsid w:val="5BA302A1"/>
    <w:rsid w:val="5BAE772A"/>
    <w:rsid w:val="5BAF03D2"/>
    <w:rsid w:val="5BC373A6"/>
    <w:rsid w:val="5BD137D6"/>
    <w:rsid w:val="5BDF75DB"/>
    <w:rsid w:val="5BE145D4"/>
    <w:rsid w:val="5BE565AF"/>
    <w:rsid w:val="5BF52022"/>
    <w:rsid w:val="5C027076"/>
    <w:rsid w:val="5C2F5441"/>
    <w:rsid w:val="5C306CA5"/>
    <w:rsid w:val="5C3830AD"/>
    <w:rsid w:val="5C4252F8"/>
    <w:rsid w:val="5C67046F"/>
    <w:rsid w:val="5C733A40"/>
    <w:rsid w:val="5CA049EF"/>
    <w:rsid w:val="5CA13735"/>
    <w:rsid w:val="5CAD02F5"/>
    <w:rsid w:val="5CC542C1"/>
    <w:rsid w:val="5CF30491"/>
    <w:rsid w:val="5CFA684E"/>
    <w:rsid w:val="5D2E1346"/>
    <w:rsid w:val="5D435AE7"/>
    <w:rsid w:val="5D4A1997"/>
    <w:rsid w:val="5D5C65F9"/>
    <w:rsid w:val="5D632C47"/>
    <w:rsid w:val="5D73584D"/>
    <w:rsid w:val="5D74299B"/>
    <w:rsid w:val="5D7D038D"/>
    <w:rsid w:val="5DA50DB0"/>
    <w:rsid w:val="5DC26F7E"/>
    <w:rsid w:val="5DFE6F1D"/>
    <w:rsid w:val="5E14778D"/>
    <w:rsid w:val="5E230525"/>
    <w:rsid w:val="5E2324B5"/>
    <w:rsid w:val="5E265D92"/>
    <w:rsid w:val="5E2E01FA"/>
    <w:rsid w:val="5E316D7C"/>
    <w:rsid w:val="5E3A7444"/>
    <w:rsid w:val="5E446E9C"/>
    <w:rsid w:val="5E4C71CC"/>
    <w:rsid w:val="5E4E0212"/>
    <w:rsid w:val="5E65721B"/>
    <w:rsid w:val="5E6E38AD"/>
    <w:rsid w:val="5E8B02E6"/>
    <w:rsid w:val="5EA47F79"/>
    <w:rsid w:val="5EA7756C"/>
    <w:rsid w:val="5EAC7C32"/>
    <w:rsid w:val="5EBC35F3"/>
    <w:rsid w:val="5ECA7640"/>
    <w:rsid w:val="5EFD5FFE"/>
    <w:rsid w:val="5F173A2B"/>
    <w:rsid w:val="5F243B32"/>
    <w:rsid w:val="5F25704F"/>
    <w:rsid w:val="5F2D64C4"/>
    <w:rsid w:val="5F302A42"/>
    <w:rsid w:val="5F676A86"/>
    <w:rsid w:val="5F792A0A"/>
    <w:rsid w:val="5F816F30"/>
    <w:rsid w:val="5F95270F"/>
    <w:rsid w:val="5FE553A1"/>
    <w:rsid w:val="600D1887"/>
    <w:rsid w:val="601F39AC"/>
    <w:rsid w:val="60456E5A"/>
    <w:rsid w:val="606611F8"/>
    <w:rsid w:val="606A0927"/>
    <w:rsid w:val="60750A5B"/>
    <w:rsid w:val="607522E4"/>
    <w:rsid w:val="607934F6"/>
    <w:rsid w:val="607A0CA4"/>
    <w:rsid w:val="607C032F"/>
    <w:rsid w:val="607F0D85"/>
    <w:rsid w:val="608A400B"/>
    <w:rsid w:val="608D6203"/>
    <w:rsid w:val="608E2BC6"/>
    <w:rsid w:val="60A7237F"/>
    <w:rsid w:val="60A91285"/>
    <w:rsid w:val="60D914F9"/>
    <w:rsid w:val="60DC420F"/>
    <w:rsid w:val="60EA42BB"/>
    <w:rsid w:val="610B17B3"/>
    <w:rsid w:val="6148513F"/>
    <w:rsid w:val="614900DA"/>
    <w:rsid w:val="614958AE"/>
    <w:rsid w:val="614B2C99"/>
    <w:rsid w:val="61517704"/>
    <w:rsid w:val="615869C4"/>
    <w:rsid w:val="616E69F3"/>
    <w:rsid w:val="61A00D01"/>
    <w:rsid w:val="61A57406"/>
    <w:rsid w:val="61CB0398"/>
    <w:rsid w:val="61E659E1"/>
    <w:rsid w:val="61E77F11"/>
    <w:rsid w:val="61EC2C51"/>
    <w:rsid w:val="62073131"/>
    <w:rsid w:val="620B5412"/>
    <w:rsid w:val="621D1177"/>
    <w:rsid w:val="621D2C7D"/>
    <w:rsid w:val="62304F98"/>
    <w:rsid w:val="624F14BF"/>
    <w:rsid w:val="62622680"/>
    <w:rsid w:val="62651F9B"/>
    <w:rsid w:val="62785189"/>
    <w:rsid w:val="627C2E83"/>
    <w:rsid w:val="628561B1"/>
    <w:rsid w:val="62936A2E"/>
    <w:rsid w:val="62B23C0C"/>
    <w:rsid w:val="62B90F27"/>
    <w:rsid w:val="62DF451C"/>
    <w:rsid w:val="62E479F1"/>
    <w:rsid w:val="62E75E06"/>
    <w:rsid w:val="630F53DD"/>
    <w:rsid w:val="632743B5"/>
    <w:rsid w:val="6337726C"/>
    <w:rsid w:val="634216B9"/>
    <w:rsid w:val="63544525"/>
    <w:rsid w:val="636A08A2"/>
    <w:rsid w:val="636B2783"/>
    <w:rsid w:val="63777684"/>
    <w:rsid w:val="63880C2C"/>
    <w:rsid w:val="639022D0"/>
    <w:rsid w:val="63917EF3"/>
    <w:rsid w:val="639904AE"/>
    <w:rsid w:val="63DA603A"/>
    <w:rsid w:val="63E83945"/>
    <w:rsid w:val="63F46C6B"/>
    <w:rsid w:val="640335EA"/>
    <w:rsid w:val="642F23C5"/>
    <w:rsid w:val="64427CA3"/>
    <w:rsid w:val="64836005"/>
    <w:rsid w:val="649A0EAA"/>
    <w:rsid w:val="649E03FE"/>
    <w:rsid w:val="64A40894"/>
    <w:rsid w:val="64A47D9C"/>
    <w:rsid w:val="64BE53A3"/>
    <w:rsid w:val="64CC5E85"/>
    <w:rsid w:val="64CE1606"/>
    <w:rsid w:val="64D1763C"/>
    <w:rsid w:val="64ED4DEA"/>
    <w:rsid w:val="64F3490E"/>
    <w:rsid w:val="64F475D0"/>
    <w:rsid w:val="64FB09DF"/>
    <w:rsid w:val="650A4E00"/>
    <w:rsid w:val="65123550"/>
    <w:rsid w:val="6517300B"/>
    <w:rsid w:val="65267D7D"/>
    <w:rsid w:val="654C0271"/>
    <w:rsid w:val="654D1FDF"/>
    <w:rsid w:val="657140B6"/>
    <w:rsid w:val="65743936"/>
    <w:rsid w:val="657630EF"/>
    <w:rsid w:val="6582032C"/>
    <w:rsid w:val="65AC593A"/>
    <w:rsid w:val="65B0610E"/>
    <w:rsid w:val="65C36A89"/>
    <w:rsid w:val="65CA32B2"/>
    <w:rsid w:val="65D7004F"/>
    <w:rsid w:val="65EE54D2"/>
    <w:rsid w:val="65F1000E"/>
    <w:rsid w:val="65F261EA"/>
    <w:rsid w:val="660B002C"/>
    <w:rsid w:val="66200283"/>
    <w:rsid w:val="663F542A"/>
    <w:rsid w:val="664C0DCF"/>
    <w:rsid w:val="66724724"/>
    <w:rsid w:val="66BB5299"/>
    <w:rsid w:val="66C8550E"/>
    <w:rsid w:val="66E35836"/>
    <w:rsid w:val="66FA4194"/>
    <w:rsid w:val="670747EC"/>
    <w:rsid w:val="67151307"/>
    <w:rsid w:val="67301B6F"/>
    <w:rsid w:val="67493059"/>
    <w:rsid w:val="675672BB"/>
    <w:rsid w:val="675D6959"/>
    <w:rsid w:val="678A77BE"/>
    <w:rsid w:val="67A14CCC"/>
    <w:rsid w:val="67B0630D"/>
    <w:rsid w:val="67C83087"/>
    <w:rsid w:val="67F00122"/>
    <w:rsid w:val="67F37CEC"/>
    <w:rsid w:val="680F66F8"/>
    <w:rsid w:val="6816723B"/>
    <w:rsid w:val="681A4D5E"/>
    <w:rsid w:val="6827226A"/>
    <w:rsid w:val="682C2940"/>
    <w:rsid w:val="683E75F2"/>
    <w:rsid w:val="68543939"/>
    <w:rsid w:val="6865718C"/>
    <w:rsid w:val="68680574"/>
    <w:rsid w:val="686B07B1"/>
    <w:rsid w:val="6873650C"/>
    <w:rsid w:val="689602F4"/>
    <w:rsid w:val="690C66BC"/>
    <w:rsid w:val="69110FDA"/>
    <w:rsid w:val="692846B8"/>
    <w:rsid w:val="693076D3"/>
    <w:rsid w:val="695A6274"/>
    <w:rsid w:val="69663D9B"/>
    <w:rsid w:val="698F17E8"/>
    <w:rsid w:val="699A1E01"/>
    <w:rsid w:val="69A52777"/>
    <w:rsid w:val="69B56A40"/>
    <w:rsid w:val="69BA0C35"/>
    <w:rsid w:val="69CA4BCF"/>
    <w:rsid w:val="69F14805"/>
    <w:rsid w:val="6A020F97"/>
    <w:rsid w:val="6A227444"/>
    <w:rsid w:val="6A3D1A13"/>
    <w:rsid w:val="6A4673F3"/>
    <w:rsid w:val="6A472C58"/>
    <w:rsid w:val="6A557ED4"/>
    <w:rsid w:val="6A57639F"/>
    <w:rsid w:val="6A682165"/>
    <w:rsid w:val="6A8126CC"/>
    <w:rsid w:val="6A9E1986"/>
    <w:rsid w:val="6AA46897"/>
    <w:rsid w:val="6AAA3E5D"/>
    <w:rsid w:val="6AAA418C"/>
    <w:rsid w:val="6AAA7890"/>
    <w:rsid w:val="6AB170B9"/>
    <w:rsid w:val="6AD505F2"/>
    <w:rsid w:val="6B0D2E6C"/>
    <w:rsid w:val="6B152D8D"/>
    <w:rsid w:val="6B1E47C4"/>
    <w:rsid w:val="6B385F86"/>
    <w:rsid w:val="6B3C1ADE"/>
    <w:rsid w:val="6B442E5D"/>
    <w:rsid w:val="6B600994"/>
    <w:rsid w:val="6B611003"/>
    <w:rsid w:val="6B6E6074"/>
    <w:rsid w:val="6B9337AD"/>
    <w:rsid w:val="6B9D5759"/>
    <w:rsid w:val="6BBE7F33"/>
    <w:rsid w:val="6BBF2471"/>
    <w:rsid w:val="6BC3620B"/>
    <w:rsid w:val="6BF41357"/>
    <w:rsid w:val="6C465105"/>
    <w:rsid w:val="6C4B5BE2"/>
    <w:rsid w:val="6C61108B"/>
    <w:rsid w:val="6C6A7B7C"/>
    <w:rsid w:val="6C6B76E4"/>
    <w:rsid w:val="6C6C4836"/>
    <w:rsid w:val="6C9963D6"/>
    <w:rsid w:val="6CBF3B63"/>
    <w:rsid w:val="6CD30E22"/>
    <w:rsid w:val="6CE31E95"/>
    <w:rsid w:val="6CFA02EB"/>
    <w:rsid w:val="6CFB2708"/>
    <w:rsid w:val="6D0A2DFE"/>
    <w:rsid w:val="6D146220"/>
    <w:rsid w:val="6D2D541D"/>
    <w:rsid w:val="6D3839A0"/>
    <w:rsid w:val="6D4B0D49"/>
    <w:rsid w:val="6D57750F"/>
    <w:rsid w:val="6D5E591E"/>
    <w:rsid w:val="6D6340C5"/>
    <w:rsid w:val="6D6D4857"/>
    <w:rsid w:val="6D8952C4"/>
    <w:rsid w:val="6D9466CD"/>
    <w:rsid w:val="6D9A2ED9"/>
    <w:rsid w:val="6DAC05E0"/>
    <w:rsid w:val="6DAF0687"/>
    <w:rsid w:val="6DC3749A"/>
    <w:rsid w:val="6DD06048"/>
    <w:rsid w:val="6DE32D68"/>
    <w:rsid w:val="6DE42F2A"/>
    <w:rsid w:val="6DE62102"/>
    <w:rsid w:val="6DF403D5"/>
    <w:rsid w:val="6DF52370"/>
    <w:rsid w:val="6E054ED2"/>
    <w:rsid w:val="6E094194"/>
    <w:rsid w:val="6E3B7F3D"/>
    <w:rsid w:val="6E3F24E3"/>
    <w:rsid w:val="6E446567"/>
    <w:rsid w:val="6E674D77"/>
    <w:rsid w:val="6E70561A"/>
    <w:rsid w:val="6E935534"/>
    <w:rsid w:val="6E9B3CBB"/>
    <w:rsid w:val="6EBB33FE"/>
    <w:rsid w:val="6ED00398"/>
    <w:rsid w:val="6ED23C2E"/>
    <w:rsid w:val="6EE07773"/>
    <w:rsid w:val="6EF675F4"/>
    <w:rsid w:val="6F205AE1"/>
    <w:rsid w:val="6F224A9A"/>
    <w:rsid w:val="6F2D2520"/>
    <w:rsid w:val="6F43582A"/>
    <w:rsid w:val="6F4E6A62"/>
    <w:rsid w:val="6F51727C"/>
    <w:rsid w:val="6F891938"/>
    <w:rsid w:val="6FD35B04"/>
    <w:rsid w:val="6FDE5BAB"/>
    <w:rsid w:val="6FF036DD"/>
    <w:rsid w:val="7001053D"/>
    <w:rsid w:val="703F56BE"/>
    <w:rsid w:val="70417F03"/>
    <w:rsid w:val="70461870"/>
    <w:rsid w:val="70574C0E"/>
    <w:rsid w:val="7066163C"/>
    <w:rsid w:val="70677AA3"/>
    <w:rsid w:val="7075449A"/>
    <w:rsid w:val="70957F22"/>
    <w:rsid w:val="70B910CE"/>
    <w:rsid w:val="70CA434A"/>
    <w:rsid w:val="70D464A7"/>
    <w:rsid w:val="70D727DD"/>
    <w:rsid w:val="70EF0410"/>
    <w:rsid w:val="70F62BCC"/>
    <w:rsid w:val="70FF136C"/>
    <w:rsid w:val="710010D9"/>
    <w:rsid w:val="71013CFA"/>
    <w:rsid w:val="711112DF"/>
    <w:rsid w:val="711F132C"/>
    <w:rsid w:val="716A1FBB"/>
    <w:rsid w:val="716E32F1"/>
    <w:rsid w:val="71902876"/>
    <w:rsid w:val="71910A05"/>
    <w:rsid w:val="71B80D70"/>
    <w:rsid w:val="71BF767B"/>
    <w:rsid w:val="71CE63D4"/>
    <w:rsid w:val="71E03E7D"/>
    <w:rsid w:val="71E12F48"/>
    <w:rsid w:val="71E44647"/>
    <w:rsid w:val="71F71906"/>
    <w:rsid w:val="721132C1"/>
    <w:rsid w:val="722A607A"/>
    <w:rsid w:val="72793549"/>
    <w:rsid w:val="729749D4"/>
    <w:rsid w:val="72A47EB6"/>
    <w:rsid w:val="72AE0C4A"/>
    <w:rsid w:val="72B375A2"/>
    <w:rsid w:val="72C0586E"/>
    <w:rsid w:val="72F8181C"/>
    <w:rsid w:val="72FE0D2A"/>
    <w:rsid w:val="730A0482"/>
    <w:rsid w:val="73163B23"/>
    <w:rsid w:val="73171C1D"/>
    <w:rsid w:val="731B3260"/>
    <w:rsid w:val="7334225F"/>
    <w:rsid w:val="734D438E"/>
    <w:rsid w:val="734E4B79"/>
    <w:rsid w:val="735C2A7D"/>
    <w:rsid w:val="735C7677"/>
    <w:rsid w:val="736F5EC2"/>
    <w:rsid w:val="737C5956"/>
    <w:rsid w:val="73AD02F2"/>
    <w:rsid w:val="73B10B9E"/>
    <w:rsid w:val="73C51173"/>
    <w:rsid w:val="73E349D9"/>
    <w:rsid w:val="73F36DD0"/>
    <w:rsid w:val="73FA0C14"/>
    <w:rsid w:val="73FB2A0A"/>
    <w:rsid w:val="73FD2A87"/>
    <w:rsid w:val="74105E85"/>
    <w:rsid w:val="74280B5A"/>
    <w:rsid w:val="742F5403"/>
    <w:rsid w:val="743E01B2"/>
    <w:rsid w:val="74492D05"/>
    <w:rsid w:val="745768E1"/>
    <w:rsid w:val="74611604"/>
    <w:rsid w:val="74616FA7"/>
    <w:rsid w:val="747606A0"/>
    <w:rsid w:val="747B74C6"/>
    <w:rsid w:val="74A93E82"/>
    <w:rsid w:val="74B81BC8"/>
    <w:rsid w:val="74BF628F"/>
    <w:rsid w:val="74C7513B"/>
    <w:rsid w:val="74CF24EA"/>
    <w:rsid w:val="74DF64DD"/>
    <w:rsid w:val="74FC1E12"/>
    <w:rsid w:val="750114E0"/>
    <w:rsid w:val="75017DB1"/>
    <w:rsid w:val="751A6AA1"/>
    <w:rsid w:val="751B5142"/>
    <w:rsid w:val="753A2E76"/>
    <w:rsid w:val="75437EB4"/>
    <w:rsid w:val="75611536"/>
    <w:rsid w:val="75727319"/>
    <w:rsid w:val="757C338F"/>
    <w:rsid w:val="75906F35"/>
    <w:rsid w:val="75C40043"/>
    <w:rsid w:val="75C9473F"/>
    <w:rsid w:val="75DB58CF"/>
    <w:rsid w:val="75E7472C"/>
    <w:rsid w:val="75EA05F4"/>
    <w:rsid w:val="75EE0A32"/>
    <w:rsid w:val="75F61D4B"/>
    <w:rsid w:val="75FE2171"/>
    <w:rsid w:val="760714CE"/>
    <w:rsid w:val="760947E4"/>
    <w:rsid w:val="76290E42"/>
    <w:rsid w:val="763C49A2"/>
    <w:rsid w:val="76496042"/>
    <w:rsid w:val="764B4E40"/>
    <w:rsid w:val="768A4630"/>
    <w:rsid w:val="76913910"/>
    <w:rsid w:val="7692221F"/>
    <w:rsid w:val="76944F51"/>
    <w:rsid w:val="76976122"/>
    <w:rsid w:val="769B4F81"/>
    <w:rsid w:val="76A50F7A"/>
    <w:rsid w:val="76B64AD8"/>
    <w:rsid w:val="76E621C3"/>
    <w:rsid w:val="76F94B98"/>
    <w:rsid w:val="773311A3"/>
    <w:rsid w:val="77417882"/>
    <w:rsid w:val="77616036"/>
    <w:rsid w:val="7780233D"/>
    <w:rsid w:val="778E761C"/>
    <w:rsid w:val="77916499"/>
    <w:rsid w:val="77A96C0F"/>
    <w:rsid w:val="77AB3782"/>
    <w:rsid w:val="77C16D8A"/>
    <w:rsid w:val="77D53B7E"/>
    <w:rsid w:val="77D9675D"/>
    <w:rsid w:val="77E0692E"/>
    <w:rsid w:val="77F07BA5"/>
    <w:rsid w:val="78080864"/>
    <w:rsid w:val="78276BEA"/>
    <w:rsid w:val="783A2BBF"/>
    <w:rsid w:val="78840773"/>
    <w:rsid w:val="788A5245"/>
    <w:rsid w:val="78990D40"/>
    <w:rsid w:val="78BD7CCE"/>
    <w:rsid w:val="78C01776"/>
    <w:rsid w:val="78C0654C"/>
    <w:rsid w:val="78C748FE"/>
    <w:rsid w:val="78D17314"/>
    <w:rsid w:val="78D808F3"/>
    <w:rsid w:val="78E45C45"/>
    <w:rsid w:val="78E63BF6"/>
    <w:rsid w:val="78F61FAE"/>
    <w:rsid w:val="790E32FE"/>
    <w:rsid w:val="791B1828"/>
    <w:rsid w:val="792A6FFF"/>
    <w:rsid w:val="792E634E"/>
    <w:rsid w:val="79362295"/>
    <w:rsid w:val="79417098"/>
    <w:rsid w:val="7946391D"/>
    <w:rsid w:val="796524E7"/>
    <w:rsid w:val="79717EC3"/>
    <w:rsid w:val="79760722"/>
    <w:rsid w:val="79A15A0C"/>
    <w:rsid w:val="79A32C7B"/>
    <w:rsid w:val="79A81FAE"/>
    <w:rsid w:val="79AC0891"/>
    <w:rsid w:val="79AC45E0"/>
    <w:rsid w:val="79D336E1"/>
    <w:rsid w:val="79E456F3"/>
    <w:rsid w:val="79E97912"/>
    <w:rsid w:val="79FB0742"/>
    <w:rsid w:val="7A0213AE"/>
    <w:rsid w:val="7A0B0004"/>
    <w:rsid w:val="7A172839"/>
    <w:rsid w:val="7A306A90"/>
    <w:rsid w:val="7A346593"/>
    <w:rsid w:val="7A354A57"/>
    <w:rsid w:val="7A861E03"/>
    <w:rsid w:val="7A8F26A7"/>
    <w:rsid w:val="7A925C99"/>
    <w:rsid w:val="7A9861A1"/>
    <w:rsid w:val="7A9961D7"/>
    <w:rsid w:val="7A9C34D6"/>
    <w:rsid w:val="7AAC76B9"/>
    <w:rsid w:val="7ABF51CD"/>
    <w:rsid w:val="7B0D2F9A"/>
    <w:rsid w:val="7B264856"/>
    <w:rsid w:val="7B3B125D"/>
    <w:rsid w:val="7B3F013E"/>
    <w:rsid w:val="7B43183F"/>
    <w:rsid w:val="7B590B76"/>
    <w:rsid w:val="7B6139F0"/>
    <w:rsid w:val="7B692624"/>
    <w:rsid w:val="7B873792"/>
    <w:rsid w:val="7B877386"/>
    <w:rsid w:val="7BB14D15"/>
    <w:rsid w:val="7BB15E62"/>
    <w:rsid w:val="7BD701FC"/>
    <w:rsid w:val="7BD9713D"/>
    <w:rsid w:val="7BFB2649"/>
    <w:rsid w:val="7C02600A"/>
    <w:rsid w:val="7C0A4B17"/>
    <w:rsid w:val="7C153412"/>
    <w:rsid w:val="7C195509"/>
    <w:rsid w:val="7C382FC8"/>
    <w:rsid w:val="7C400E30"/>
    <w:rsid w:val="7C8860C7"/>
    <w:rsid w:val="7CBB4466"/>
    <w:rsid w:val="7D1D03A0"/>
    <w:rsid w:val="7D2A2F5A"/>
    <w:rsid w:val="7D3F16EC"/>
    <w:rsid w:val="7D534451"/>
    <w:rsid w:val="7D5C74DE"/>
    <w:rsid w:val="7D5E31AA"/>
    <w:rsid w:val="7D611DF2"/>
    <w:rsid w:val="7D7C35F3"/>
    <w:rsid w:val="7D8B55FE"/>
    <w:rsid w:val="7D8D4931"/>
    <w:rsid w:val="7DB727FB"/>
    <w:rsid w:val="7DC3440A"/>
    <w:rsid w:val="7DDA027D"/>
    <w:rsid w:val="7DDC60EB"/>
    <w:rsid w:val="7DE201AC"/>
    <w:rsid w:val="7DE5401E"/>
    <w:rsid w:val="7DF72A15"/>
    <w:rsid w:val="7DFB48D3"/>
    <w:rsid w:val="7E0702D8"/>
    <w:rsid w:val="7E105DE6"/>
    <w:rsid w:val="7E1A1248"/>
    <w:rsid w:val="7E312E27"/>
    <w:rsid w:val="7E611873"/>
    <w:rsid w:val="7E6620B9"/>
    <w:rsid w:val="7E83663A"/>
    <w:rsid w:val="7E846634"/>
    <w:rsid w:val="7E883BEF"/>
    <w:rsid w:val="7E8C022C"/>
    <w:rsid w:val="7EA5742C"/>
    <w:rsid w:val="7EB31AB8"/>
    <w:rsid w:val="7EB96119"/>
    <w:rsid w:val="7EBB77C0"/>
    <w:rsid w:val="7EBC71FA"/>
    <w:rsid w:val="7EEE218F"/>
    <w:rsid w:val="7EEE6B7F"/>
    <w:rsid w:val="7EF4144E"/>
    <w:rsid w:val="7EF7261F"/>
    <w:rsid w:val="7F084B9C"/>
    <w:rsid w:val="7F3A7824"/>
    <w:rsid w:val="7F4360B6"/>
    <w:rsid w:val="7F4D7148"/>
    <w:rsid w:val="7F577569"/>
    <w:rsid w:val="7F627193"/>
    <w:rsid w:val="7F6F4377"/>
    <w:rsid w:val="7F78526F"/>
    <w:rsid w:val="7FBC7702"/>
    <w:rsid w:val="7FC64347"/>
    <w:rsid w:val="7FDC6B6B"/>
    <w:rsid w:val="7FE626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99"/>
    <w:pPr>
      <w:keepNext/>
      <w:keepLines/>
      <w:spacing w:line="578" w:lineRule="auto"/>
      <w:outlineLvl w:val="0"/>
    </w:pPr>
    <w:rPr>
      <w:b/>
      <w:kern w:val="44"/>
      <w:sz w:val="44"/>
      <w:szCs w:val="20"/>
    </w:rPr>
  </w:style>
  <w:style w:type="paragraph" w:styleId="4">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5">
    <w:name w:val="heading 3"/>
    <w:basedOn w:val="1"/>
    <w:next w:val="1"/>
    <w:link w:val="60"/>
    <w:qFormat/>
    <w:uiPriority w:val="99"/>
    <w:pPr>
      <w:keepNext/>
      <w:keepLines/>
      <w:spacing w:line="416" w:lineRule="auto"/>
      <w:outlineLvl w:val="2"/>
    </w:pPr>
    <w:rPr>
      <w:b/>
      <w:kern w:val="0"/>
      <w:sz w:val="32"/>
      <w:szCs w:val="20"/>
    </w:rPr>
  </w:style>
  <w:style w:type="paragraph" w:styleId="6">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7">
    <w:name w:val="heading 5"/>
    <w:basedOn w:val="1"/>
    <w:next w:val="1"/>
    <w:link w:val="62"/>
    <w:qFormat/>
    <w:uiPriority w:val="99"/>
    <w:pPr>
      <w:keepNext/>
      <w:keepLines/>
      <w:spacing w:line="376" w:lineRule="auto"/>
      <w:outlineLvl w:val="4"/>
    </w:pPr>
    <w:rPr>
      <w:b/>
      <w:kern w:val="0"/>
      <w:sz w:val="28"/>
      <w:szCs w:val="20"/>
    </w:rPr>
  </w:style>
  <w:style w:type="paragraph" w:styleId="8">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9">
    <w:name w:val="heading 7"/>
    <w:basedOn w:val="1"/>
    <w:next w:val="1"/>
    <w:link w:val="64"/>
    <w:qFormat/>
    <w:uiPriority w:val="99"/>
    <w:pPr>
      <w:keepNext/>
      <w:keepLines/>
      <w:spacing w:beforeAutospacing="1" w:afterAutospacing="1" w:line="360" w:lineRule="auto"/>
      <w:ind w:left="1296" w:hanging="1296"/>
      <w:outlineLvl w:val="6"/>
    </w:pPr>
    <w:rPr>
      <w:b/>
      <w:kern w:val="0"/>
      <w:sz w:val="24"/>
      <w:szCs w:val="20"/>
    </w:rPr>
  </w:style>
  <w:style w:type="paragraph" w:styleId="10">
    <w:name w:val="heading 8"/>
    <w:basedOn w:val="1"/>
    <w:next w:val="11"/>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2">
    <w:name w:val="heading 9"/>
    <w:basedOn w:val="1"/>
    <w:next w:val="11"/>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1"/>
    <w:qFormat/>
    <w:uiPriority w:val="99"/>
    <w:rPr>
      <w:sz w:val="24"/>
      <w:szCs w:val="20"/>
    </w:rPr>
  </w:style>
  <w:style w:type="paragraph" w:customStyle="1" w:styleId="11">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3">
    <w:name w:val="List 3"/>
    <w:basedOn w:val="1"/>
    <w:qFormat/>
    <w:uiPriority w:val="99"/>
    <w:pPr>
      <w:ind w:left="100" w:leftChars="400" w:hanging="200" w:hangingChars="200"/>
    </w:pPr>
  </w:style>
  <w:style w:type="paragraph" w:styleId="14">
    <w:name w:val="toc 7"/>
    <w:basedOn w:val="1"/>
    <w:next w:val="1"/>
    <w:qFormat/>
    <w:uiPriority w:val="99"/>
    <w:pPr>
      <w:ind w:left="2520" w:leftChars="1200"/>
    </w:pPr>
  </w:style>
  <w:style w:type="paragraph" w:styleId="15">
    <w:name w:val="Normal Indent"/>
    <w:basedOn w:val="1"/>
    <w:qFormat/>
    <w:uiPriority w:val="99"/>
    <w:pPr>
      <w:ind w:firstLine="420" w:firstLineChars="200"/>
    </w:pPr>
  </w:style>
  <w:style w:type="paragraph" w:styleId="16">
    <w:name w:val="caption"/>
    <w:basedOn w:val="1"/>
    <w:next w:val="1"/>
    <w:qFormat/>
    <w:uiPriority w:val="99"/>
    <w:rPr>
      <w:rFonts w:ascii="Arial" w:hAnsi="Arial" w:eastAsia="黑体" w:cs="Arial"/>
      <w:sz w:val="20"/>
      <w:szCs w:val="20"/>
    </w:rPr>
  </w:style>
  <w:style w:type="paragraph" w:styleId="17">
    <w:name w:val="Document Map"/>
    <w:basedOn w:val="1"/>
    <w:link w:val="69"/>
    <w:qFormat/>
    <w:uiPriority w:val="99"/>
    <w:pPr>
      <w:shd w:val="clear" w:color="auto" w:fill="000080"/>
    </w:pPr>
    <w:rPr>
      <w:kern w:val="0"/>
      <w:sz w:val="2"/>
      <w:szCs w:val="20"/>
    </w:rPr>
  </w:style>
  <w:style w:type="paragraph" w:styleId="18">
    <w:name w:val="annotation text"/>
    <w:basedOn w:val="1"/>
    <w:link w:val="67"/>
    <w:semiHidden/>
    <w:qFormat/>
    <w:uiPriority w:val="99"/>
    <w:pPr>
      <w:jc w:val="left"/>
    </w:pPr>
    <w:rPr>
      <w:kern w:val="0"/>
      <w:sz w:val="24"/>
      <w:szCs w:val="20"/>
    </w:rPr>
  </w:style>
  <w:style w:type="paragraph" w:styleId="19">
    <w:name w:val="Body Text 3"/>
    <w:basedOn w:val="1"/>
    <w:link w:val="70"/>
    <w:qFormat/>
    <w:uiPriority w:val="99"/>
    <w:rPr>
      <w:kern w:val="0"/>
      <w:sz w:val="16"/>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8"/>
    <w:next w:val="18"/>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99"/>
    <w:rPr>
      <w:rFonts w:cs="Times New Roman"/>
      <w:b/>
    </w:rPr>
  </w:style>
  <w:style w:type="character" w:styleId="53">
    <w:name w:val="page number"/>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Char"/>
    <w:link w:val="3"/>
    <w:qFormat/>
    <w:locked/>
    <w:uiPriority w:val="99"/>
    <w:rPr>
      <w:rFonts w:eastAsia="宋体" w:cs="Times New Roman"/>
      <w:b/>
      <w:kern w:val="44"/>
      <w:sz w:val="44"/>
      <w:lang w:val="en-US" w:eastAsia="zh-CN"/>
    </w:rPr>
  </w:style>
  <w:style w:type="character" w:customStyle="1" w:styleId="59">
    <w:name w:val="标题 2 Char"/>
    <w:link w:val="4"/>
    <w:qFormat/>
    <w:locked/>
    <w:uiPriority w:val="99"/>
    <w:rPr>
      <w:rFonts w:ascii="Cambria" w:hAnsi="Cambria" w:eastAsia="宋体" w:cs="Times New Roman"/>
      <w:b/>
      <w:sz w:val="32"/>
    </w:rPr>
  </w:style>
  <w:style w:type="character" w:customStyle="1" w:styleId="60">
    <w:name w:val="标题 3 Char"/>
    <w:link w:val="5"/>
    <w:qFormat/>
    <w:locked/>
    <w:uiPriority w:val="99"/>
    <w:rPr>
      <w:rFonts w:cs="Times New Roman"/>
      <w:b/>
      <w:sz w:val="32"/>
    </w:rPr>
  </w:style>
  <w:style w:type="character" w:customStyle="1" w:styleId="61">
    <w:name w:val="标题 4 Char"/>
    <w:link w:val="6"/>
    <w:qFormat/>
    <w:locked/>
    <w:uiPriority w:val="99"/>
    <w:rPr>
      <w:rFonts w:ascii="Cambria" w:hAnsi="Cambria" w:eastAsia="宋体" w:cs="Times New Roman"/>
      <w:b/>
      <w:sz w:val="28"/>
    </w:rPr>
  </w:style>
  <w:style w:type="character" w:customStyle="1" w:styleId="62">
    <w:name w:val="标题 5 Char"/>
    <w:link w:val="7"/>
    <w:qFormat/>
    <w:locked/>
    <w:uiPriority w:val="99"/>
    <w:rPr>
      <w:rFonts w:cs="Times New Roman"/>
      <w:b/>
      <w:sz w:val="28"/>
    </w:rPr>
  </w:style>
  <w:style w:type="character" w:customStyle="1" w:styleId="63">
    <w:name w:val="标题 6 Char"/>
    <w:link w:val="8"/>
    <w:qFormat/>
    <w:locked/>
    <w:uiPriority w:val="99"/>
    <w:rPr>
      <w:rFonts w:ascii="Cambria" w:hAnsi="Cambria" w:eastAsia="宋体" w:cs="Times New Roman"/>
      <w:b/>
      <w:sz w:val="24"/>
    </w:rPr>
  </w:style>
  <w:style w:type="character" w:customStyle="1" w:styleId="64">
    <w:name w:val="标题 7 Char"/>
    <w:link w:val="9"/>
    <w:qFormat/>
    <w:locked/>
    <w:uiPriority w:val="99"/>
    <w:rPr>
      <w:rFonts w:cs="Times New Roman"/>
      <w:b/>
      <w:sz w:val="24"/>
    </w:rPr>
  </w:style>
  <w:style w:type="character" w:customStyle="1" w:styleId="65">
    <w:name w:val="标题 8 Char"/>
    <w:link w:val="10"/>
    <w:qFormat/>
    <w:locked/>
    <w:uiPriority w:val="99"/>
    <w:rPr>
      <w:rFonts w:ascii="Cambria" w:hAnsi="Cambria" w:eastAsia="宋体" w:cs="Times New Roman"/>
      <w:sz w:val="24"/>
    </w:rPr>
  </w:style>
  <w:style w:type="character" w:customStyle="1" w:styleId="66">
    <w:name w:val="标题 9 Char"/>
    <w:link w:val="12"/>
    <w:qFormat/>
    <w:locked/>
    <w:uiPriority w:val="99"/>
    <w:rPr>
      <w:rFonts w:ascii="Cambria" w:hAnsi="Cambria" w:eastAsia="宋体" w:cs="Times New Roman"/>
      <w:sz w:val="21"/>
    </w:rPr>
  </w:style>
  <w:style w:type="character" w:customStyle="1" w:styleId="67">
    <w:name w:val="批注文字 Char"/>
    <w:link w:val="18"/>
    <w:qFormat/>
    <w:locked/>
    <w:uiPriority w:val="99"/>
    <w:rPr>
      <w:rFonts w:cs="Times New Roman"/>
      <w:sz w:val="24"/>
    </w:rPr>
  </w:style>
  <w:style w:type="character" w:customStyle="1" w:styleId="68">
    <w:name w:val="批注主题 Char"/>
    <w:link w:val="48"/>
    <w:qFormat/>
    <w:locked/>
    <w:uiPriority w:val="99"/>
    <w:rPr>
      <w:rFonts w:cs="Times New Roman"/>
      <w:b/>
      <w:sz w:val="24"/>
    </w:rPr>
  </w:style>
  <w:style w:type="character" w:customStyle="1" w:styleId="69">
    <w:name w:val="文档结构图 Char"/>
    <w:link w:val="17"/>
    <w:qFormat/>
    <w:locked/>
    <w:uiPriority w:val="99"/>
    <w:rPr>
      <w:rFonts w:cs="Times New Roman"/>
      <w:sz w:val="2"/>
    </w:rPr>
  </w:style>
  <w:style w:type="character" w:customStyle="1" w:styleId="70">
    <w:name w:val="正文文本 3 Char"/>
    <w:link w:val="19"/>
    <w:qFormat/>
    <w:locked/>
    <w:uiPriority w:val="99"/>
    <w:rPr>
      <w:rFonts w:cs="Times New Roman"/>
      <w:sz w:val="16"/>
    </w:rPr>
  </w:style>
  <w:style w:type="character" w:customStyle="1" w:styleId="71">
    <w:name w:val="正文文本 Char"/>
    <w:link w:val="2"/>
    <w:qFormat/>
    <w:locked/>
    <w:uiPriority w:val="99"/>
    <w:rPr>
      <w:rFonts w:eastAsia="宋体" w:cs="Times New Roman"/>
      <w:kern w:val="2"/>
      <w:sz w:val="24"/>
      <w:lang w:val="en-US" w:eastAsia="zh-CN"/>
    </w:rPr>
  </w:style>
  <w:style w:type="character" w:customStyle="1" w:styleId="72">
    <w:name w:val="正文文本缩进 Char"/>
    <w:link w:val="20"/>
    <w:qFormat/>
    <w:locked/>
    <w:uiPriority w:val="99"/>
    <w:rPr>
      <w:rFonts w:cs="Times New Roman"/>
      <w:sz w:val="24"/>
    </w:rPr>
  </w:style>
  <w:style w:type="character" w:customStyle="1" w:styleId="73">
    <w:name w:val="HTML 地址 Char"/>
    <w:link w:val="23"/>
    <w:qFormat/>
    <w:locked/>
    <w:uiPriority w:val="99"/>
    <w:rPr>
      <w:rFonts w:cs="Times New Roman"/>
      <w:i/>
      <w:sz w:val="24"/>
    </w:rPr>
  </w:style>
  <w:style w:type="character" w:customStyle="1" w:styleId="74">
    <w:name w:val="纯文本 Char"/>
    <w:link w:val="26"/>
    <w:qFormat/>
    <w:locked/>
    <w:uiPriority w:val="99"/>
    <w:rPr>
      <w:rFonts w:ascii="宋体" w:hAnsi="Courier New" w:eastAsia="宋体" w:cs="Times New Roman"/>
      <w:kern w:val="2"/>
      <w:sz w:val="21"/>
      <w:lang w:val="en-US" w:eastAsia="zh-CN"/>
    </w:rPr>
  </w:style>
  <w:style w:type="character" w:customStyle="1" w:styleId="75">
    <w:name w:val="日期 Char"/>
    <w:link w:val="28"/>
    <w:qFormat/>
    <w:locked/>
    <w:uiPriority w:val="99"/>
    <w:rPr>
      <w:rFonts w:cs="Times New Roman"/>
      <w:sz w:val="24"/>
    </w:rPr>
  </w:style>
  <w:style w:type="character" w:customStyle="1" w:styleId="76">
    <w:name w:val="正文文本缩进 2 Char"/>
    <w:link w:val="29"/>
    <w:qFormat/>
    <w:locked/>
    <w:uiPriority w:val="99"/>
    <w:rPr>
      <w:rFonts w:cs="Times New Roman"/>
      <w:sz w:val="24"/>
    </w:rPr>
  </w:style>
  <w:style w:type="character" w:customStyle="1" w:styleId="77">
    <w:name w:val="批注框文本 Char"/>
    <w:link w:val="30"/>
    <w:qFormat/>
    <w:locked/>
    <w:uiPriority w:val="99"/>
    <w:rPr>
      <w:rFonts w:cs="Times New Roman"/>
      <w:sz w:val="2"/>
    </w:rPr>
  </w:style>
  <w:style w:type="character" w:customStyle="1" w:styleId="78">
    <w:name w:val="页脚 Char"/>
    <w:link w:val="31"/>
    <w:qFormat/>
    <w:locked/>
    <w:uiPriority w:val="99"/>
    <w:rPr>
      <w:rFonts w:eastAsia="宋体" w:cs="Times New Roman"/>
      <w:kern w:val="2"/>
      <w:sz w:val="18"/>
      <w:lang w:val="en-US" w:eastAsia="zh-CN"/>
    </w:rPr>
  </w:style>
  <w:style w:type="character" w:customStyle="1" w:styleId="79">
    <w:name w:val="页眉 Char"/>
    <w:link w:val="32"/>
    <w:qFormat/>
    <w:locked/>
    <w:uiPriority w:val="99"/>
    <w:rPr>
      <w:rFonts w:eastAsia="宋体" w:cs="Times New Roman"/>
      <w:kern w:val="2"/>
      <w:sz w:val="18"/>
      <w:lang w:val="en-US" w:eastAsia="zh-CN"/>
    </w:rPr>
  </w:style>
  <w:style w:type="character" w:customStyle="1" w:styleId="80">
    <w:name w:val="签名 Char"/>
    <w:link w:val="33"/>
    <w:qFormat/>
    <w:locked/>
    <w:uiPriority w:val="99"/>
    <w:rPr>
      <w:rFonts w:cs="Times New Roman"/>
      <w:sz w:val="24"/>
    </w:rPr>
  </w:style>
  <w:style w:type="character" w:customStyle="1" w:styleId="81">
    <w:name w:val="正文文本缩进 3 Char"/>
    <w:link w:val="40"/>
    <w:qFormat/>
    <w:locked/>
    <w:uiPriority w:val="99"/>
    <w:rPr>
      <w:rFonts w:cs="Times New Roman"/>
      <w:sz w:val="16"/>
    </w:rPr>
  </w:style>
  <w:style w:type="character" w:customStyle="1" w:styleId="82">
    <w:name w:val="正文文本 2 Char"/>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7"/>
    <w:qFormat/>
    <w:uiPriority w:val="99"/>
    <w:pPr>
      <w:widowControl/>
    </w:pPr>
    <w:rPr>
      <w:rFonts w:ascii="Tahoma" w:hAnsi="Tahoma"/>
      <w:sz w:val="24"/>
    </w:rPr>
  </w:style>
  <w:style w:type="paragraph" w:customStyle="1" w:styleId="93">
    <w:name w:val="列出段落1"/>
    <w:basedOn w:val="1"/>
    <w:qFormat/>
    <w:uiPriority w:val="99"/>
    <w:pPr>
      <w:ind w:firstLine="420" w:firstLineChars="200"/>
    </w:pPr>
  </w:style>
  <w:style w:type="paragraph" w:customStyle="1" w:styleId="94">
    <w:name w:val="默认段落字体 Para Char Char Char Char Char Char Char Char Char Char Char Char Char"/>
    <w:basedOn w:val="17"/>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1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7"/>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11"/>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列出段落3"/>
    <w:basedOn w:val="1"/>
    <w:next w:val="1"/>
    <w:qFormat/>
    <w:uiPriority w:val="34"/>
    <w:pPr>
      <w:ind w:firstLine="420" w:firstLineChars="200"/>
    </w:pPr>
  </w:style>
  <w:style w:type="paragraph" w:customStyle="1" w:styleId="131">
    <w:name w:val="_Style 2"/>
    <w:basedOn w:val="1"/>
    <w:qFormat/>
    <w:uiPriority w:val="34"/>
    <w:pPr>
      <w:ind w:firstLine="420" w:firstLineChars="200"/>
    </w:pPr>
  </w:style>
  <w:style w:type="paragraph" w:customStyle="1" w:styleId="132">
    <w:name w:val="列出段落31"/>
    <w:basedOn w:val="1"/>
    <w:qFormat/>
    <w:uiPriority w:val="99"/>
    <w:pPr>
      <w:ind w:firstLine="420" w:firstLineChars="200"/>
    </w:pPr>
  </w:style>
  <w:style w:type="paragraph" w:styleId="133">
    <w:name w:val="No Spacing"/>
    <w:basedOn w:val="1"/>
    <w:qFormat/>
    <w:uiPriority w:val="1"/>
    <w:pPr>
      <w:spacing w:after="0" w:line="240" w:lineRule="auto"/>
    </w:pPr>
  </w:style>
  <w:style w:type="paragraph" w:styleId="134">
    <w:name w:val="List Paragraph"/>
    <w:basedOn w:val="1"/>
    <w:qFormat/>
    <w:uiPriority w:val="0"/>
    <w:pPr>
      <w:ind w:left="720"/>
      <w:contextualSpacing/>
    </w:pPr>
  </w:style>
  <w:style w:type="paragraph" w:customStyle="1" w:styleId="135">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DJGS.COM</Company>
  <Pages>1</Pages>
  <Words>5317</Words>
  <Characters>30311</Characters>
  <Lines>252</Lines>
  <Paragraphs>71</Paragraphs>
  <TotalTime>0</TotalTime>
  <ScaleCrop>false</ScaleCrop>
  <LinksUpToDate>false</LinksUpToDate>
  <CharactersWithSpaces>35557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Administrator</cp:lastModifiedBy>
  <cp:lastPrinted>2019-08-30T06:51:00Z</cp:lastPrinted>
  <dcterms:modified xsi:type="dcterms:W3CDTF">2020-04-01T07:19:01Z</dcterms:modified>
  <dc:title>招标文件目录</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